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drawing>
          <wp:anchor distT="0" distB="0" distL="0" distR="0" allowOverlap="1" layoutInCell="1" locked="0" behindDoc="1" simplePos="0" relativeHeight="251223040">
            <wp:simplePos x="0" y="0"/>
            <wp:positionH relativeFrom="page">
              <wp:posOffset>0</wp:posOffset>
            </wp:positionH>
            <wp:positionV relativeFrom="page">
              <wp:posOffset>0</wp:posOffset>
            </wp:positionV>
            <wp:extent cx="7538084" cy="1065910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38084" cy="10659108"/>
                    </a:xfrm>
                    <a:prstGeom prst="rect">
                      <a:avLst/>
                    </a:prstGeom>
                  </pic:spPr>
                </pic:pic>
              </a:graphicData>
            </a:graphic>
          </wp:anchor>
        </w:drawing>
      </w:r>
    </w:p>
    <w:p>
      <w:pPr>
        <w:spacing w:after="0"/>
        <w:rPr>
          <w:rFonts w:ascii="Times New Roman"/>
          <w:sz w:val="17"/>
        </w:rPr>
        <w:sectPr>
          <w:type w:val="continuous"/>
          <w:pgSz w:w="11910" w:h="16840"/>
          <w:pgMar w:top="1580" w:bottom="280" w:left="1320" w:right="1140"/>
        </w:sectPr>
      </w:pPr>
    </w:p>
    <w:p>
      <w:pPr>
        <w:pStyle w:val="Heading1"/>
        <w:spacing w:before="79"/>
      </w:pPr>
      <w:r>
        <w:rPr>
          <w:color w:val="6F2F9F"/>
        </w:rPr>
        <w:t>Overview</w:t>
      </w:r>
    </w:p>
    <w:p>
      <w:pPr>
        <w:pStyle w:val="BodyText"/>
        <w:spacing w:line="259" w:lineRule="auto" w:before="33"/>
        <w:ind w:left="120" w:right="749"/>
      </w:pPr>
      <w:r>
        <w:rPr/>
        <w:t>Gender equality is a fundamental component of a civil society and equal opportunity in Australia. The Queensland Government is committed to gender equality in all aspects of society, and recognise that to achieve gender equality, wholesale cultural change is required. Without demonstrated commitment from leaders to plan, drive and deliver on gender equality, effective change will not succeed.</w:t>
      </w:r>
    </w:p>
    <w:p>
      <w:pPr>
        <w:pStyle w:val="BodyText"/>
        <w:spacing w:before="8"/>
        <w:rPr>
          <w:sz w:val="23"/>
        </w:rPr>
      </w:pPr>
    </w:p>
    <w:p>
      <w:pPr>
        <w:pStyle w:val="BodyText"/>
        <w:spacing w:line="259" w:lineRule="auto" w:before="1"/>
        <w:ind w:left="120" w:right="371"/>
      </w:pPr>
      <w:r>
        <w:rPr/>
        <w:t>It is important for government, business, community services and the broader community to take action to achieve gender equality across all aspects of their business including workforce participation, development and delivery of policy, programs and services and how we communicate and engage both internally and externally.</w:t>
      </w:r>
    </w:p>
    <w:p>
      <w:pPr>
        <w:pStyle w:val="BodyText"/>
        <w:spacing w:before="8"/>
        <w:rPr>
          <w:sz w:val="23"/>
        </w:rPr>
      </w:pPr>
    </w:p>
    <w:p>
      <w:pPr>
        <w:pStyle w:val="BodyText"/>
        <w:spacing w:line="256" w:lineRule="auto"/>
        <w:ind w:left="120" w:right="468"/>
      </w:pPr>
      <w:r>
        <w:rPr/>
        <w:t>To assist government, business and community organisations to plan, this Gender Equality Action Plan guide and template has been developed.</w:t>
      </w:r>
    </w:p>
    <w:p>
      <w:pPr>
        <w:pStyle w:val="BodyText"/>
        <w:rPr>
          <w:sz w:val="24"/>
        </w:rPr>
      </w:pPr>
    </w:p>
    <w:p>
      <w:pPr>
        <w:pStyle w:val="Heading2"/>
        <w:spacing w:before="161"/>
      </w:pPr>
      <w:r>
        <w:rPr>
          <w:color w:val="6F2F9F"/>
        </w:rPr>
        <w:t>Gender Equality Action Plan template</w:t>
      </w:r>
    </w:p>
    <w:p>
      <w:pPr>
        <w:pStyle w:val="BodyText"/>
        <w:spacing w:line="259" w:lineRule="auto" w:before="24"/>
        <w:ind w:left="120" w:right="333"/>
      </w:pPr>
      <w:r>
        <w:rPr/>
        <w:t>The Gender Equality Action Plan template has been developed to assist you in documenting and promoting your Gender Equality Action Plan (Appendix 1).</w:t>
      </w:r>
    </w:p>
    <w:p>
      <w:pPr>
        <w:pStyle w:val="BodyText"/>
        <w:spacing w:line="259" w:lineRule="auto" w:before="159"/>
        <w:ind w:left="120" w:right="296"/>
      </w:pPr>
      <w:r>
        <w:rPr/>
        <w:t>Page 1 is designed to be used as a promotional tool to demonstrate your commitment to and focus on gender equality all on one page. It is recommended you promote this on your website.</w:t>
      </w:r>
    </w:p>
    <w:p>
      <w:pPr>
        <w:pStyle w:val="BodyText"/>
        <w:spacing w:line="259" w:lineRule="auto" w:before="160"/>
        <w:ind w:left="120" w:right="2021"/>
      </w:pPr>
      <w:r>
        <w:rPr/>
        <w:t>If you have any questions please contact the Office for Women by emailing </w:t>
      </w:r>
      <w:hyperlink r:id="rId8">
        <w:r>
          <w:rPr>
            <w:color w:val="247CA7"/>
            <w:u w:val="single" w:color="247CA7"/>
          </w:rPr>
          <w:t>women@qld.gov.au</w:t>
        </w:r>
      </w:hyperlink>
    </w:p>
    <w:p>
      <w:pPr>
        <w:pStyle w:val="BodyText"/>
        <w:spacing w:before="6"/>
        <w:rPr>
          <w:sz w:val="29"/>
        </w:rPr>
      </w:pPr>
    </w:p>
    <w:p>
      <w:pPr>
        <w:pStyle w:val="Heading2"/>
      </w:pPr>
      <w:r>
        <w:rPr>
          <w:color w:val="6F2F9F"/>
        </w:rPr>
        <w:t>Why have a Gender Equality Action Plan?</w:t>
      </w:r>
    </w:p>
    <w:p>
      <w:pPr>
        <w:pStyle w:val="BodyText"/>
        <w:spacing w:before="25"/>
        <w:ind w:left="120" w:right="370"/>
      </w:pPr>
      <w:r>
        <w:rPr/>
        <w:t>The Queensland Government recognises that a gender equal society enables women to reach their full potential, so that both women and men can fully participate as equal partners in society.</w:t>
      </w:r>
    </w:p>
    <w:p>
      <w:pPr>
        <w:pStyle w:val="BodyText"/>
        <w:spacing w:before="4"/>
        <w:rPr>
          <w:sz w:val="24"/>
        </w:rPr>
      </w:pPr>
    </w:p>
    <w:p>
      <w:pPr>
        <w:pStyle w:val="BodyText"/>
        <w:spacing w:line="259" w:lineRule="auto"/>
        <w:ind w:left="120" w:right="505"/>
      </w:pPr>
      <w:r>
        <w:rPr/>
        <w:t>The</w:t>
      </w:r>
      <w:hyperlink r:id="rId9">
        <w:r>
          <w:rPr>
            <w:color w:val="6F2F9F"/>
            <w:u w:val="single" w:color="6F2F9F"/>
          </w:rPr>
          <w:t> </w:t>
        </w:r>
        <w:r>
          <w:rPr>
            <w:i/>
            <w:color w:val="6F2F9F"/>
            <w:u w:val="single" w:color="6F2F9F"/>
          </w:rPr>
          <w:t>Queensland Women’s Strategy 2016-21</w:t>
        </w:r>
        <w:r>
          <w:rPr>
            <w:i/>
            <w:color w:val="6F2F9F"/>
          </w:rPr>
          <w:t> </w:t>
        </w:r>
      </w:hyperlink>
      <w:r>
        <w:rPr/>
        <w:t>outlines the Government’s vision for women and girls: that the Queensland community respects women, embraces gender equality and promotes and protects the rights, interests and wellbeing of all women and girls.</w:t>
      </w:r>
    </w:p>
    <w:p>
      <w:pPr>
        <w:spacing w:line="259" w:lineRule="auto" w:before="160"/>
        <w:ind w:left="120" w:right="480" w:firstLine="0"/>
        <w:jc w:val="left"/>
        <w:rPr>
          <w:sz w:val="22"/>
        </w:rPr>
      </w:pPr>
      <w:r>
        <w:rPr>
          <w:sz w:val="22"/>
        </w:rPr>
        <w:t>To demonstrate commitment, the Queensland Government has included Gender Equality Action Plans for Government departments and statutory authorities as a discretionary </w:t>
      </w:r>
      <w:hyperlink r:id="rId10">
        <w:r>
          <w:rPr>
            <w:i/>
            <w:color w:val="6F2F9F"/>
            <w:sz w:val="22"/>
            <w:u w:val="single" w:color="6F2F9F"/>
          </w:rPr>
          <w:t>Specific Purpose Planning Requirements</w:t>
        </w:r>
        <w:r>
          <w:rPr>
            <w:i/>
            <w:color w:val="6F2F9F"/>
            <w:sz w:val="22"/>
          </w:rPr>
          <w:t> </w:t>
        </w:r>
      </w:hyperlink>
      <w:r>
        <w:rPr>
          <w:sz w:val="22"/>
        </w:rPr>
        <w:t>under the </w:t>
      </w:r>
      <w:hyperlink r:id="rId11">
        <w:r>
          <w:rPr>
            <w:i/>
            <w:color w:val="6F2F9F"/>
            <w:sz w:val="22"/>
            <w:u w:val="single" w:color="6F2F9F"/>
          </w:rPr>
          <w:t>Queensland Government Performance</w:t>
        </w:r>
      </w:hyperlink>
      <w:r>
        <w:rPr>
          <w:i/>
          <w:color w:val="6F2F9F"/>
          <w:sz w:val="22"/>
        </w:rPr>
        <w:t> </w:t>
      </w:r>
      <w:hyperlink r:id="rId11">
        <w:r>
          <w:rPr>
            <w:i/>
            <w:color w:val="6F2F9F"/>
            <w:sz w:val="22"/>
            <w:u w:val="single" w:color="6F2F9F"/>
          </w:rPr>
          <w:t>Management Framework</w:t>
        </w:r>
        <w:r>
          <w:rPr>
            <w:i/>
            <w:color w:val="6F2F9F"/>
            <w:sz w:val="22"/>
          </w:rPr>
          <w:t> </w:t>
        </w:r>
      </w:hyperlink>
      <w:r>
        <w:rPr>
          <w:sz w:val="22"/>
        </w:rPr>
        <w:t>Policy.</w:t>
      </w:r>
    </w:p>
    <w:p>
      <w:pPr>
        <w:pStyle w:val="BodyText"/>
        <w:spacing w:before="1"/>
        <w:rPr>
          <w:sz w:val="26"/>
        </w:rPr>
      </w:pPr>
      <w:r>
        <w:rPr/>
        <w:pict>
          <v:shape style="position:absolute;margin-left:71.800003pt;margin-top:17.988476pt;width:449.25pt;height:106.5pt;mso-position-horizontal-relative:page;mso-position-vertical-relative:paragraph;z-index:-251657216;mso-wrap-distance-left:0;mso-wrap-distance-right:0" type="#_x0000_t202" filled="true" fillcolor="#eadcf4" stroked="true" strokeweight="2pt" strokecolor="#6f2f9f">
            <v:textbox inset="0,0,0,0">
              <w:txbxContent>
                <w:p>
                  <w:pPr>
                    <w:spacing w:before="110"/>
                    <w:ind w:left="145" w:right="0" w:firstLine="0"/>
                    <w:jc w:val="left"/>
                    <w:rPr>
                      <w:b/>
                      <w:sz w:val="26"/>
                    </w:rPr>
                  </w:pPr>
                  <w:r>
                    <w:rPr>
                      <w:b/>
                      <w:color w:val="6F2F9F"/>
                      <w:sz w:val="26"/>
                    </w:rPr>
                    <w:t>Embedding your commitment across your organisation</w:t>
                  </w:r>
                </w:p>
                <w:p>
                  <w:pPr>
                    <w:pStyle w:val="BodyText"/>
                    <w:spacing w:line="259" w:lineRule="auto" w:before="24"/>
                    <w:ind w:left="145" w:right="160"/>
                  </w:pPr>
                  <w:r>
                    <w:rPr/>
                    <w:t>To achieve true commitment to gender equality and help you to plan for change, you are strongly encouraged to ensure gender analysis is a key component when developing policies, legislation, programs, services and resources. Tools and resources are available to assist including a </w:t>
                  </w:r>
                  <w:hyperlink r:id="rId12">
                    <w:r>
                      <w:rPr>
                        <w:color w:val="6F2F9F"/>
                        <w:u w:val="single" w:color="6F2F9F"/>
                      </w:rPr>
                      <w:t>Gender Analysis Toolkit </w:t>
                    </w:r>
                  </w:hyperlink>
                  <w:r>
                    <w:rPr/>
                    <w:t>as well as access to </w:t>
                  </w:r>
                  <w:hyperlink r:id="rId13">
                    <w:r>
                      <w:rPr>
                        <w:color w:val="6F2F9F"/>
                        <w:u w:val="single" w:color="6F2F9F"/>
                      </w:rPr>
                      <w:t>gender report</w:t>
                    </w:r>
                  </w:hyperlink>
                  <w:r>
                    <w:rPr>
                      <w:color w:val="6F2F9F"/>
                    </w:rPr>
                    <w:t> </w:t>
                  </w:r>
                  <w:hyperlink r:id="rId13">
                    <w:r>
                      <w:rPr>
                        <w:color w:val="6F2F9F"/>
                        <w:u w:val="single" w:color="6F2F9F"/>
                      </w:rPr>
                      <w:t>cards </w:t>
                    </w:r>
                  </w:hyperlink>
                  <w:r>
                    <w:rPr/>
                    <w:t>for Queensland to support your planning and progress for gender</w:t>
                  </w:r>
                  <w:r>
                    <w:rPr>
                      <w:spacing w:val="-20"/>
                    </w:rPr>
                    <w:t> </w:t>
                  </w:r>
                  <w:r>
                    <w:rPr/>
                    <w:t>equality.</w:t>
                  </w:r>
                </w:p>
              </w:txbxContent>
            </v:textbox>
            <v:fill type="solid"/>
            <v:stroke dashstyle="solid"/>
            <w10:wrap type="topAndBottom"/>
          </v:shape>
        </w:pict>
      </w:r>
    </w:p>
    <w:p>
      <w:pPr>
        <w:spacing w:after="0"/>
        <w:rPr>
          <w:sz w:val="26"/>
        </w:rPr>
        <w:sectPr>
          <w:headerReference w:type="default" r:id="rId6"/>
          <w:footerReference w:type="default" r:id="rId7"/>
          <w:pgSz w:w="11910" w:h="16840"/>
          <w:pgMar w:header="0" w:footer="995" w:top="1320" w:bottom="1180" w:left="1320" w:right="1140"/>
          <w:pgNumType w:start="1"/>
        </w:sectPr>
      </w:pPr>
    </w:p>
    <w:p>
      <w:pPr>
        <w:pStyle w:val="BodyText"/>
        <w:spacing w:before="10"/>
        <w:rPr>
          <w:sz w:val="29"/>
        </w:rPr>
      </w:pPr>
    </w:p>
    <w:p>
      <w:pPr>
        <w:pStyle w:val="Heading2"/>
        <w:spacing w:before="96"/>
        <w:jc w:val="both"/>
      </w:pPr>
      <w:r>
        <w:rPr>
          <w:color w:val="6F2F9F"/>
        </w:rPr>
        <w:t>What is gender equality</w:t>
      </w:r>
      <w:r>
        <w:rPr>
          <w:color w:val="6F2F9F"/>
          <w:position w:val="9"/>
          <w:sz w:val="17"/>
        </w:rPr>
        <w:t>1</w:t>
      </w:r>
      <w:r>
        <w:rPr>
          <w:color w:val="6F2F9F"/>
        </w:rPr>
        <w:t>?</w:t>
      </w:r>
    </w:p>
    <w:p>
      <w:pPr>
        <w:pStyle w:val="ListParagraph"/>
        <w:numPr>
          <w:ilvl w:val="0"/>
          <w:numId w:val="1"/>
        </w:numPr>
        <w:tabs>
          <w:tab w:pos="480" w:val="left" w:leader="none"/>
          <w:tab w:pos="481" w:val="left" w:leader="none"/>
        </w:tabs>
        <w:spacing w:line="240" w:lineRule="auto" w:before="24" w:after="0"/>
        <w:ind w:left="480" w:right="397" w:hanging="360"/>
        <w:jc w:val="left"/>
        <w:rPr>
          <w:sz w:val="22"/>
        </w:rPr>
      </w:pPr>
      <w:r>
        <w:rPr>
          <w:sz w:val="22"/>
        </w:rPr>
        <w:t>Gender equality refers to the equal rights, responsibilities and opportunities of women and men and girls and boys. Equality does not mean that women and men will become the same but that women’s and men’s rights, responsibilities and opportunities will not depend on whether they are born male or female and that opportunities are available for people of all genders to realise their full human rights and</w:t>
      </w:r>
      <w:r>
        <w:rPr>
          <w:spacing w:val="-12"/>
          <w:sz w:val="22"/>
        </w:rPr>
        <w:t> </w:t>
      </w:r>
      <w:r>
        <w:rPr>
          <w:sz w:val="22"/>
        </w:rPr>
        <w:t>potential.</w:t>
      </w:r>
    </w:p>
    <w:p>
      <w:pPr>
        <w:pStyle w:val="BodyText"/>
        <w:spacing w:before="8"/>
        <w:rPr>
          <w:sz w:val="20"/>
        </w:rPr>
      </w:pPr>
    </w:p>
    <w:p>
      <w:pPr>
        <w:pStyle w:val="ListParagraph"/>
        <w:numPr>
          <w:ilvl w:val="0"/>
          <w:numId w:val="1"/>
        </w:numPr>
        <w:tabs>
          <w:tab w:pos="480" w:val="left" w:leader="none"/>
          <w:tab w:pos="481" w:val="left" w:leader="none"/>
        </w:tabs>
        <w:spacing w:line="240" w:lineRule="auto" w:before="0" w:after="0"/>
        <w:ind w:left="480" w:right="870" w:hanging="360"/>
        <w:jc w:val="left"/>
        <w:rPr>
          <w:sz w:val="22"/>
        </w:rPr>
      </w:pPr>
      <w:r>
        <w:rPr>
          <w:sz w:val="22"/>
        </w:rPr>
        <w:t>Gender equality implies that the interests, needs and priorities of people of different genders are taken into consideration, thereby recognising the diversity of different groups of people of all</w:t>
      </w:r>
      <w:r>
        <w:rPr>
          <w:spacing w:val="2"/>
          <w:sz w:val="22"/>
        </w:rPr>
        <w:t> </w:t>
      </w:r>
      <w:r>
        <w:rPr>
          <w:sz w:val="22"/>
        </w:rPr>
        <w:t>genders.</w:t>
      </w:r>
    </w:p>
    <w:p>
      <w:pPr>
        <w:pStyle w:val="BodyText"/>
        <w:spacing w:before="9"/>
        <w:rPr>
          <w:sz w:val="20"/>
        </w:rPr>
      </w:pPr>
    </w:p>
    <w:p>
      <w:pPr>
        <w:pStyle w:val="Heading2"/>
        <w:spacing w:before="0"/>
        <w:jc w:val="both"/>
      </w:pPr>
      <w:r>
        <w:rPr>
          <w:color w:val="6F2F9F"/>
        </w:rPr>
        <w:t>What is a gender perspective?</w:t>
      </w:r>
    </w:p>
    <w:p>
      <w:pPr>
        <w:pStyle w:val="BodyText"/>
        <w:spacing w:line="259" w:lineRule="auto" w:before="24"/>
        <w:ind w:left="120" w:right="421"/>
        <w:jc w:val="both"/>
      </w:pPr>
      <w:r>
        <w:rPr/>
        <w:t>A gender perspective examines the impact of gender on people’s opportunities, social roles and interactions. Including a ‘gender perspective’ requires an understanding that individuals have different experiences, needs and interests.</w:t>
      </w:r>
    </w:p>
    <w:p>
      <w:pPr>
        <w:pStyle w:val="Heading2"/>
        <w:spacing w:before="159"/>
      </w:pPr>
      <w:r>
        <w:rPr>
          <w:color w:val="6F2F9F"/>
        </w:rPr>
        <w:t>What is the business case for gender equality?</w:t>
      </w:r>
    </w:p>
    <w:p>
      <w:pPr>
        <w:pStyle w:val="BodyText"/>
        <w:spacing w:before="19"/>
        <w:ind w:left="120"/>
      </w:pPr>
      <w:r>
        <w:rPr/>
        <w:t>A growing body of research shows that</w:t>
      </w:r>
      <w:r>
        <w:rPr>
          <w:position w:val="8"/>
          <w:sz w:val="14"/>
        </w:rPr>
        <w:t>2</w:t>
      </w:r>
      <w:r>
        <w:rPr/>
        <w:t>:</w:t>
      </w:r>
    </w:p>
    <w:p>
      <w:pPr>
        <w:pStyle w:val="ListParagraph"/>
        <w:numPr>
          <w:ilvl w:val="0"/>
          <w:numId w:val="2"/>
        </w:numPr>
        <w:tabs>
          <w:tab w:pos="840" w:val="left" w:leader="none"/>
          <w:tab w:pos="841" w:val="left" w:leader="none"/>
        </w:tabs>
        <w:spacing w:line="240" w:lineRule="auto" w:before="183" w:after="0"/>
        <w:ind w:left="840" w:right="0" w:hanging="361"/>
        <w:jc w:val="left"/>
        <w:rPr>
          <w:rFonts w:ascii="Calibri" w:hAnsi="Calibri"/>
          <w:sz w:val="22"/>
        </w:rPr>
      </w:pPr>
      <w:r>
        <w:rPr>
          <w:sz w:val="22"/>
        </w:rPr>
        <w:t>organisations that demonstrate gender equality outperform those that</w:t>
      </w:r>
      <w:r>
        <w:rPr>
          <w:spacing w:val="-10"/>
          <w:sz w:val="22"/>
        </w:rPr>
        <w:t> </w:t>
      </w:r>
      <w:r>
        <w:rPr>
          <w:sz w:val="22"/>
        </w:rPr>
        <w:t>don’t,</w:t>
      </w:r>
    </w:p>
    <w:p>
      <w:pPr>
        <w:pStyle w:val="ListParagraph"/>
        <w:numPr>
          <w:ilvl w:val="0"/>
          <w:numId w:val="2"/>
        </w:numPr>
        <w:tabs>
          <w:tab w:pos="840" w:val="left" w:leader="none"/>
          <w:tab w:pos="841" w:val="left" w:leader="none"/>
        </w:tabs>
        <w:spacing w:line="244" w:lineRule="auto" w:before="8" w:after="0"/>
        <w:ind w:left="840" w:right="910" w:hanging="360"/>
        <w:jc w:val="left"/>
        <w:rPr>
          <w:rFonts w:ascii="Calibri" w:hAnsi="Calibri"/>
          <w:sz w:val="22"/>
        </w:rPr>
      </w:pPr>
      <w:r>
        <w:rPr>
          <w:sz w:val="22"/>
        </w:rPr>
        <w:t>increasing the proportion of women in leadership roles is associated with better economic, social and financial performance,</w:t>
      </w:r>
      <w:r>
        <w:rPr>
          <w:spacing w:val="-4"/>
          <w:sz w:val="22"/>
        </w:rPr>
        <w:t> </w:t>
      </w:r>
      <w:r>
        <w:rPr>
          <w:sz w:val="22"/>
        </w:rPr>
        <w:t>and</w:t>
      </w:r>
    </w:p>
    <w:p>
      <w:pPr>
        <w:pStyle w:val="ListParagraph"/>
        <w:numPr>
          <w:ilvl w:val="0"/>
          <w:numId w:val="2"/>
        </w:numPr>
        <w:tabs>
          <w:tab w:pos="840" w:val="left" w:leader="none"/>
          <w:tab w:pos="841" w:val="left" w:leader="none"/>
        </w:tabs>
        <w:spacing w:line="240" w:lineRule="auto" w:before="16" w:after="0"/>
        <w:ind w:left="840" w:right="0" w:hanging="361"/>
        <w:jc w:val="left"/>
        <w:rPr>
          <w:rFonts w:ascii="Calibri" w:hAnsi="Calibri"/>
          <w:color w:val="545454"/>
          <w:sz w:val="16"/>
        </w:rPr>
      </w:pPr>
      <w:r>
        <w:rPr>
          <w:sz w:val="22"/>
        </w:rPr>
        <w:t>gender equality in teams promotes an environment where innovation can</w:t>
      </w:r>
      <w:r>
        <w:rPr>
          <w:spacing w:val="-15"/>
          <w:sz w:val="22"/>
        </w:rPr>
        <w:t> </w:t>
      </w:r>
      <w:r>
        <w:rPr>
          <w:sz w:val="22"/>
        </w:rPr>
        <w:t>flourish.</w:t>
      </w:r>
    </w:p>
    <w:p>
      <w:pPr>
        <w:pStyle w:val="Heading2"/>
        <w:spacing w:before="177"/>
      </w:pPr>
      <w:r>
        <w:rPr>
          <w:color w:val="6F2F9F"/>
        </w:rPr>
        <w:t>What needs to be included in the Gender Equality Action Plan?</w:t>
      </w:r>
    </w:p>
    <w:p>
      <w:pPr>
        <w:pStyle w:val="BodyText"/>
        <w:spacing w:line="259" w:lineRule="auto" w:before="27"/>
        <w:ind w:left="120" w:right="324"/>
      </w:pPr>
      <w:r>
        <w:rPr/>
        <w:t>This guide to developing a Gender Equality Action Plan has been designed based on research across a range of jurisdictional plans and gender equality planning tools. It includes an example of three key focus areas identified as important in a Gender Equality Action Plan. These</w:t>
      </w:r>
      <w:r>
        <w:rPr>
          <w:spacing w:val="-2"/>
        </w:rPr>
        <w:t> </w:t>
      </w:r>
      <w:r>
        <w:rPr/>
        <w:t>are:</w:t>
      </w:r>
    </w:p>
    <w:p>
      <w:pPr>
        <w:pStyle w:val="ListParagraph"/>
        <w:numPr>
          <w:ilvl w:val="0"/>
          <w:numId w:val="3"/>
        </w:numPr>
        <w:tabs>
          <w:tab w:pos="841" w:val="left" w:leader="none"/>
        </w:tabs>
        <w:spacing w:line="240" w:lineRule="auto" w:before="158" w:after="0"/>
        <w:ind w:left="840" w:right="0" w:hanging="361"/>
        <w:jc w:val="left"/>
        <w:rPr>
          <w:sz w:val="22"/>
        </w:rPr>
      </w:pPr>
      <w:r>
        <w:rPr>
          <w:b/>
          <w:sz w:val="24"/>
        </w:rPr>
        <w:t>Workforce Participation: </w:t>
      </w:r>
      <w:r>
        <w:rPr>
          <w:sz w:val="22"/>
        </w:rPr>
        <w:t>Includes recruitment and employment</w:t>
      </w:r>
      <w:r>
        <w:rPr>
          <w:spacing w:val="-7"/>
          <w:sz w:val="22"/>
        </w:rPr>
        <w:t> </w:t>
      </w:r>
      <w:r>
        <w:rPr>
          <w:sz w:val="22"/>
        </w:rPr>
        <w:t>practices.</w:t>
      </w:r>
    </w:p>
    <w:p>
      <w:pPr>
        <w:pStyle w:val="ListParagraph"/>
        <w:numPr>
          <w:ilvl w:val="0"/>
          <w:numId w:val="3"/>
        </w:numPr>
        <w:tabs>
          <w:tab w:pos="841" w:val="left" w:leader="none"/>
        </w:tabs>
        <w:spacing w:line="259" w:lineRule="auto" w:before="22" w:after="0"/>
        <w:ind w:left="840" w:right="851" w:hanging="360"/>
        <w:jc w:val="left"/>
        <w:rPr>
          <w:sz w:val="22"/>
        </w:rPr>
      </w:pPr>
      <w:r>
        <w:rPr>
          <w:b/>
          <w:sz w:val="24"/>
        </w:rPr>
        <w:t>Policy, Programs and Services: </w:t>
      </w:r>
      <w:r>
        <w:rPr>
          <w:sz w:val="22"/>
        </w:rPr>
        <w:t>Includes all aspects of policy and program development, procurement practices and service</w:t>
      </w:r>
      <w:r>
        <w:rPr>
          <w:spacing w:val="-5"/>
          <w:sz w:val="22"/>
        </w:rPr>
        <w:t> </w:t>
      </w:r>
      <w:r>
        <w:rPr>
          <w:sz w:val="22"/>
        </w:rPr>
        <w:t>delivery.</w:t>
      </w:r>
    </w:p>
    <w:p>
      <w:pPr>
        <w:pStyle w:val="ListParagraph"/>
        <w:numPr>
          <w:ilvl w:val="0"/>
          <w:numId w:val="3"/>
        </w:numPr>
        <w:tabs>
          <w:tab w:pos="841" w:val="left" w:leader="none"/>
        </w:tabs>
        <w:spacing w:line="259" w:lineRule="auto" w:before="0" w:after="0"/>
        <w:ind w:left="840" w:right="299" w:hanging="360"/>
        <w:jc w:val="left"/>
        <w:rPr>
          <w:sz w:val="22"/>
        </w:rPr>
      </w:pPr>
      <w:r>
        <w:rPr/>
        <w:pict>
          <v:shape style="position:absolute;margin-left:71.800003pt;margin-top:47.945862pt;width:449.25pt;height:106.5pt;mso-position-horizontal-relative:page;mso-position-vertical-relative:paragraph;z-index:-251656192;mso-wrap-distance-left:0;mso-wrap-distance-right:0" type="#_x0000_t202" filled="true" fillcolor="#eadcf4" stroked="true" strokeweight="2pt" strokecolor="#6f2f9f">
            <v:textbox inset="0,0,0,0">
              <w:txbxContent>
                <w:p>
                  <w:pPr>
                    <w:spacing w:before="111"/>
                    <w:ind w:left="145" w:right="0" w:firstLine="0"/>
                    <w:jc w:val="left"/>
                    <w:rPr>
                      <w:b/>
                      <w:sz w:val="26"/>
                    </w:rPr>
                  </w:pPr>
                  <w:r>
                    <w:rPr>
                      <w:b/>
                      <w:color w:val="6F2F9F"/>
                      <w:sz w:val="26"/>
                    </w:rPr>
                    <w:t>Communicating your commitment</w:t>
                  </w:r>
                </w:p>
                <w:p>
                  <w:pPr>
                    <w:pStyle w:val="BodyText"/>
                    <w:spacing w:line="259" w:lineRule="auto" w:before="24"/>
                    <w:ind w:left="145" w:right="354"/>
                  </w:pPr>
                  <w:r>
                    <w:rPr/>
                    <w:t>It is recommended that you promote your Gender Equality Action Plan on your website to showcase your commitment to gender equality.</w:t>
                  </w:r>
                </w:p>
                <w:p>
                  <w:pPr>
                    <w:pStyle w:val="BodyText"/>
                    <w:spacing w:line="259" w:lineRule="auto" w:before="159"/>
                    <w:ind w:left="145" w:right="904"/>
                  </w:pPr>
                  <w:r>
                    <w:rPr/>
                    <w:t>Communicating gender equality at a senior leadership level is very important and promoting results with internal and external benchmarking on a regular basis will demonstrate the commitment and progress being made.</w:t>
                  </w:r>
                </w:p>
              </w:txbxContent>
            </v:textbox>
            <v:fill type="solid"/>
            <v:stroke dashstyle="solid"/>
            <w10:wrap type="topAndBottom"/>
          </v:shape>
        </w:pict>
      </w:r>
      <w:r>
        <w:rPr>
          <w:b/>
          <w:sz w:val="24"/>
        </w:rPr>
        <w:t>Communication and Engagement: </w:t>
      </w:r>
      <w:r>
        <w:rPr>
          <w:sz w:val="22"/>
        </w:rPr>
        <w:t>Includes all aspects of how we communicate and engage both internally and externally of the department, business or organisation.</w:t>
      </w:r>
    </w:p>
    <w:p>
      <w:pPr>
        <w:pStyle w:val="BodyText"/>
        <w:rPr>
          <w:sz w:val="24"/>
        </w:rPr>
      </w:pPr>
    </w:p>
    <w:p>
      <w:pPr>
        <w:pStyle w:val="BodyText"/>
        <w:spacing w:before="6"/>
        <w:rPr>
          <w:sz w:val="35"/>
        </w:rPr>
      </w:pPr>
    </w:p>
    <w:p>
      <w:pPr>
        <w:pStyle w:val="Heading1"/>
      </w:pPr>
      <w:r>
        <w:rPr>
          <w:color w:val="6F2F9F"/>
        </w:rPr>
        <w:t>A guide for developing your Gender Equality Action Plan</w:t>
      </w:r>
    </w:p>
    <w:p>
      <w:pPr>
        <w:pStyle w:val="Heading2"/>
        <w:spacing w:before="72"/>
      </w:pPr>
      <w:r>
        <w:rPr>
          <w:color w:val="6F2F9F"/>
        </w:rPr>
        <w:t>Step 1: Prepare to plan: Review current status</w:t>
      </w:r>
    </w:p>
    <w:p>
      <w:pPr>
        <w:pStyle w:val="BodyText"/>
        <w:spacing w:line="259" w:lineRule="auto" w:before="24"/>
        <w:ind w:left="120" w:right="811"/>
      </w:pPr>
      <w:r>
        <w:rPr/>
        <w:t>Assess your current status and analyse performance to identify strengths, weaknesses, barriers and gaps for gender equality.</w:t>
      </w:r>
    </w:p>
    <w:p>
      <w:pPr>
        <w:spacing w:after="0" w:line="259" w:lineRule="auto"/>
        <w:sectPr>
          <w:pgSz w:w="11910" w:h="16840"/>
          <w:pgMar w:header="0" w:footer="995" w:top="1320" w:bottom="1180" w:left="1320" w:right="1140"/>
        </w:sectPr>
      </w:pPr>
    </w:p>
    <w:p>
      <w:pPr>
        <w:pStyle w:val="ListParagraph"/>
        <w:numPr>
          <w:ilvl w:val="0"/>
          <w:numId w:val="4"/>
        </w:numPr>
        <w:tabs>
          <w:tab w:pos="763" w:val="left" w:leader="none"/>
          <w:tab w:pos="764" w:val="left" w:leader="none"/>
        </w:tabs>
        <w:spacing w:line="244" w:lineRule="auto" w:before="85" w:after="0"/>
        <w:ind w:left="763" w:right="508" w:hanging="360"/>
        <w:jc w:val="left"/>
        <w:rPr>
          <w:rFonts w:ascii="Calibri" w:hAnsi="Calibri"/>
          <w:sz w:val="22"/>
        </w:rPr>
      </w:pPr>
      <w:r>
        <w:rPr>
          <w:sz w:val="22"/>
        </w:rPr>
        <w:t>Undertake an analysis of how well you are performing on gender equality. A Gender Analysis Toolkit developed by the Queensland Government can assist you</w:t>
      </w:r>
      <w:r>
        <w:rPr>
          <w:color w:val="247CA7"/>
          <w:spacing w:val="-14"/>
          <w:sz w:val="22"/>
        </w:rPr>
        <w:t> </w:t>
      </w:r>
      <w:hyperlink r:id="rId14">
        <w:r>
          <w:rPr>
            <w:color w:val="247CA7"/>
            <w:sz w:val="22"/>
            <w:u w:val="single" w:color="247CA7"/>
          </w:rPr>
          <w:t>here</w:t>
        </w:r>
      </w:hyperlink>
      <w:r>
        <w:rPr>
          <w:sz w:val="22"/>
        </w:rPr>
        <w:t>.</w:t>
      </w:r>
    </w:p>
    <w:p>
      <w:pPr>
        <w:pStyle w:val="ListParagraph"/>
        <w:numPr>
          <w:ilvl w:val="0"/>
          <w:numId w:val="4"/>
        </w:numPr>
        <w:tabs>
          <w:tab w:pos="763" w:val="left" w:leader="none"/>
          <w:tab w:pos="764" w:val="left" w:leader="none"/>
        </w:tabs>
        <w:spacing w:line="244" w:lineRule="auto" w:before="18" w:after="0"/>
        <w:ind w:left="763" w:right="508" w:hanging="360"/>
        <w:jc w:val="left"/>
        <w:rPr>
          <w:rFonts w:ascii="Calibri" w:hAnsi="Calibri"/>
          <w:sz w:val="22"/>
        </w:rPr>
      </w:pPr>
      <w:r>
        <w:rPr/>
        <w:pict>
          <v:shape style="position:absolute;margin-left:75.75pt;margin-top:32.623631pt;width:450.75pt;height:38.25pt;mso-position-horizontal-relative:page;mso-position-vertical-relative:paragraph;z-index:-251655168;mso-wrap-distance-left:0;mso-wrap-distance-right:0" type="#_x0000_t202" filled="true" fillcolor="#eadcf4" stroked="true" strokeweight=".75pt" strokecolor="#000000">
            <v:textbox inset="0,0,0,0">
              <w:txbxContent>
                <w:p>
                  <w:pPr>
                    <w:pStyle w:val="BodyText"/>
                    <w:spacing w:line="259" w:lineRule="auto" w:before="68"/>
                    <w:ind w:left="143" w:right="332"/>
                    <w:rPr>
                      <w:rFonts w:ascii="Calibri"/>
                    </w:rPr>
                  </w:pPr>
                  <w:r>
                    <w:rPr>
                      <w:rFonts w:ascii="Calibri"/>
                      <w:b/>
                    </w:rPr>
                    <w:t>ACTION: </w:t>
                  </w:r>
                  <w:r>
                    <w:rPr>
                      <w:rFonts w:ascii="Calibri"/>
                    </w:rPr>
                    <w:t>Insert any links/references to relevant gender equality actions and activities identified in existing strategies and plans into your Gender Equality Action Plan.</w:t>
                  </w:r>
                </w:p>
              </w:txbxContent>
            </v:textbox>
            <v:fill type="solid"/>
            <v:stroke dashstyle="solid"/>
            <w10:wrap type="topAndBottom"/>
          </v:shape>
        </w:pict>
      </w:r>
      <w:r>
        <w:rPr>
          <w:sz w:val="22"/>
        </w:rPr>
        <w:t>Identify what you are already doing well and what other strategies or plans exist that have or require more</w:t>
      </w:r>
      <w:r>
        <w:rPr>
          <w:spacing w:val="-5"/>
          <w:sz w:val="22"/>
        </w:rPr>
        <w:t> </w:t>
      </w:r>
      <w:r>
        <w:rPr>
          <w:sz w:val="22"/>
        </w:rPr>
        <w:t>action.</w:t>
      </w:r>
    </w:p>
    <w:p>
      <w:pPr>
        <w:pStyle w:val="BodyText"/>
        <w:rPr>
          <w:sz w:val="24"/>
        </w:rPr>
      </w:pPr>
    </w:p>
    <w:p>
      <w:pPr>
        <w:pStyle w:val="Heading2"/>
        <w:spacing w:before="163"/>
      </w:pPr>
      <w:r>
        <w:rPr>
          <w:color w:val="6F2F9F"/>
        </w:rPr>
        <w:t>Step 2: Our Commitment: Define your story</w:t>
      </w:r>
    </w:p>
    <w:p>
      <w:pPr>
        <w:pStyle w:val="BodyText"/>
        <w:spacing w:line="259" w:lineRule="auto" w:before="24"/>
        <w:ind w:left="120" w:right="688"/>
      </w:pPr>
      <w:r>
        <w:rPr/>
        <w:t>Develop a statement that provides an overview of why you have a gender equality action plan, what you hope to achieve and how it relates to your core business and existing strategic plans.</w:t>
      </w:r>
    </w:p>
    <w:p>
      <w:pPr>
        <w:pStyle w:val="ListParagraph"/>
        <w:numPr>
          <w:ilvl w:val="0"/>
          <w:numId w:val="4"/>
        </w:numPr>
        <w:tabs>
          <w:tab w:pos="763" w:val="left" w:leader="none"/>
          <w:tab w:pos="764" w:val="left" w:leader="none"/>
        </w:tabs>
        <w:spacing w:line="244" w:lineRule="auto" w:before="162" w:after="0"/>
        <w:ind w:left="763" w:right="695" w:hanging="360"/>
        <w:jc w:val="left"/>
        <w:rPr>
          <w:rFonts w:ascii="Calibri" w:hAnsi="Calibri"/>
          <w:sz w:val="22"/>
        </w:rPr>
      </w:pPr>
      <w:r>
        <w:rPr>
          <w:sz w:val="22"/>
        </w:rPr>
        <w:t>Define your robust and credible business case. (What are the benefits beyond just social or corporate responsibility for your</w:t>
      </w:r>
      <w:r>
        <w:rPr>
          <w:spacing w:val="-6"/>
          <w:sz w:val="22"/>
        </w:rPr>
        <w:t> </w:t>
      </w:r>
      <w:r>
        <w:rPr>
          <w:sz w:val="22"/>
        </w:rPr>
        <w:t>organisation?)</w:t>
      </w:r>
    </w:p>
    <w:p>
      <w:pPr>
        <w:pStyle w:val="ListParagraph"/>
        <w:numPr>
          <w:ilvl w:val="0"/>
          <w:numId w:val="4"/>
        </w:numPr>
        <w:tabs>
          <w:tab w:pos="763" w:val="left" w:leader="none"/>
          <w:tab w:pos="764" w:val="left" w:leader="none"/>
        </w:tabs>
        <w:spacing w:line="244" w:lineRule="auto" w:before="18" w:after="0"/>
        <w:ind w:left="763" w:right="327" w:hanging="360"/>
        <w:jc w:val="left"/>
        <w:rPr>
          <w:rFonts w:ascii="Calibri" w:hAnsi="Calibri"/>
          <w:sz w:val="22"/>
        </w:rPr>
      </w:pPr>
      <w:r>
        <w:rPr/>
        <w:pict>
          <v:shape style="position:absolute;margin-left:72pt;margin-top:32.133621pt;width:450.75pt;height:36.75pt;mso-position-horizontal-relative:page;mso-position-vertical-relative:paragraph;z-index:-251654144;mso-wrap-distance-left:0;mso-wrap-distance-right:0" type="#_x0000_t202" filled="true" fillcolor="#eadcf4" stroked="true" strokeweight=".75pt" strokecolor="#6f2f9f">
            <v:textbox inset="0,0,0,0">
              <w:txbxContent>
                <w:p>
                  <w:pPr>
                    <w:pStyle w:val="BodyText"/>
                    <w:spacing w:line="256" w:lineRule="auto" w:before="71"/>
                    <w:ind w:left="144" w:right="211"/>
                    <w:rPr>
                      <w:rFonts w:ascii="Calibri" w:hAnsi="Calibri"/>
                    </w:rPr>
                  </w:pPr>
                  <w:r>
                    <w:rPr>
                      <w:rFonts w:ascii="Calibri" w:hAnsi="Calibri"/>
                      <w:b/>
                    </w:rPr>
                    <w:t>ACTION: </w:t>
                  </w:r>
                  <w:r>
                    <w:rPr>
                      <w:rFonts w:ascii="Calibri" w:hAnsi="Calibri"/>
                    </w:rPr>
                    <w:t>Enter your ‘Our Commitment’ statement on ‘Page 1’ of the Gender Equality Action Plan template. An example of one is shown below.</w:t>
                  </w:r>
                </w:p>
              </w:txbxContent>
            </v:textbox>
            <v:fill type="solid"/>
            <v:stroke dashstyle="solid"/>
            <w10:wrap type="topAndBottom"/>
          </v:shape>
        </w:pict>
      </w:r>
      <w:r>
        <w:rPr>
          <w:sz w:val="22"/>
        </w:rPr>
        <w:t>Determine what your commitment to gender equality is, why are you doing it and what difference it will</w:t>
      </w:r>
      <w:r>
        <w:rPr>
          <w:spacing w:val="-4"/>
          <w:sz w:val="22"/>
        </w:rPr>
        <w:t> </w:t>
      </w:r>
      <w:r>
        <w:rPr>
          <w:sz w:val="22"/>
        </w:rPr>
        <w:t>make?</w:t>
      </w:r>
    </w:p>
    <w:p>
      <w:pPr>
        <w:pStyle w:val="Heading2"/>
        <w:spacing w:before="76" w:after="124"/>
        <w:ind w:left="3554" w:right="3732"/>
        <w:jc w:val="center"/>
      </w:pPr>
      <w:r>
        <w:rPr>
          <w:color w:val="6F2F9F"/>
        </w:rPr>
        <w:t>Our Commitment</w:t>
      </w:r>
    </w:p>
    <w:p>
      <w:pPr>
        <w:pStyle w:val="BodyText"/>
        <w:ind w:left="96"/>
        <w:rPr>
          <w:sz w:val="20"/>
        </w:rPr>
      </w:pPr>
      <w:r>
        <w:rPr>
          <w:position w:val="-1"/>
          <w:sz w:val="20"/>
        </w:rPr>
        <w:pict>
          <v:shape style="width:450pt;height:51pt;mso-position-horizontal-relative:char;mso-position-vertical-relative:line" type="#_x0000_t202" filled="false" stroked="true" strokeweight="2pt" strokecolor="#6f2f9f">
            <w10:anchorlock/>
            <v:textbox inset="0,0,0,0">
              <w:txbxContent>
                <w:p>
                  <w:pPr>
                    <w:pStyle w:val="BodyText"/>
                    <w:spacing w:line="259" w:lineRule="auto" w:before="71"/>
                    <w:ind w:left="145" w:right="185"/>
                  </w:pPr>
                  <w:r>
                    <w:rPr>
                      <w:color w:val="6F2F9F"/>
                    </w:rPr>
                    <w:t>E.g. We are committed to building and sustaining gender equality through our workforce, products, services and communication practices to better serve our customer base and demonstrate that gender is not a barrier to success.</w:t>
                  </w:r>
                </w:p>
              </w:txbxContent>
            </v:textbox>
            <v:stroke dashstyle="solid"/>
          </v:shape>
        </w:pict>
      </w:r>
      <w:r>
        <w:rPr>
          <w:position w:val="-1"/>
          <w:sz w:val="20"/>
        </w:rPr>
      </w:r>
    </w:p>
    <w:p>
      <w:pPr>
        <w:pStyle w:val="BodyText"/>
        <w:rPr>
          <w:b/>
          <w:sz w:val="28"/>
        </w:rPr>
      </w:pPr>
    </w:p>
    <w:p>
      <w:pPr>
        <w:spacing w:before="169"/>
        <w:ind w:left="120" w:right="0" w:firstLine="0"/>
        <w:jc w:val="left"/>
        <w:rPr>
          <w:b/>
          <w:sz w:val="26"/>
        </w:rPr>
      </w:pPr>
      <w:r>
        <w:rPr>
          <w:b/>
          <w:color w:val="6F2F9F"/>
          <w:sz w:val="26"/>
        </w:rPr>
        <w:t>Step 3: Our Focus: Establish your key statements of commitment</w:t>
      </w:r>
    </w:p>
    <w:p>
      <w:pPr>
        <w:pStyle w:val="BodyText"/>
        <w:spacing w:line="259" w:lineRule="auto" w:before="185"/>
        <w:ind w:left="120" w:right="284"/>
      </w:pPr>
      <w:r>
        <w:rPr/>
        <w:t>It is important to know, understand and have agreement on what the core focus for achieving gender equality in these three key areas of your business means to your organisation.</w:t>
      </w:r>
    </w:p>
    <w:p>
      <w:pPr>
        <w:pStyle w:val="BodyText"/>
        <w:spacing w:before="1"/>
      </w:pPr>
      <w:r>
        <w:rPr/>
        <w:pict>
          <v:shape style="position:absolute;margin-left:71.800003pt;margin-top:15.060957pt;width:449.25pt;height:37.5pt;mso-position-horizontal-relative:page;mso-position-vertical-relative:paragraph;z-index:-251652096;mso-wrap-distance-left:0;mso-wrap-distance-right:0" type="#_x0000_t202" filled="true" fillcolor="#eadcf4" stroked="true" strokeweight=".75pt" strokecolor="#6f2f9f">
            <v:textbox inset="0,0,0,0">
              <w:txbxContent>
                <w:p>
                  <w:pPr>
                    <w:pStyle w:val="BodyText"/>
                    <w:spacing w:line="259" w:lineRule="auto" w:before="69"/>
                    <w:ind w:left="143" w:right="219"/>
                    <w:rPr>
                      <w:rFonts w:ascii="Calibri" w:hAnsi="Calibri"/>
                    </w:rPr>
                  </w:pPr>
                  <w:r>
                    <w:rPr>
                      <w:rFonts w:ascii="Calibri" w:hAnsi="Calibri"/>
                      <w:b/>
                    </w:rPr>
                    <w:t>ACTION: </w:t>
                  </w:r>
                  <w:r>
                    <w:rPr>
                      <w:rFonts w:ascii="Calibri" w:hAnsi="Calibri"/>
                    </w:rPr>
                    <w:t>Enter statements for ‘Our Focus’ for each focus area on ‘Page 1’ of the Gender Equality Action Plan template. An example is shown below.</w:t>
                  </w:r>
                </w:p>
              </w:txbxContent>
            </v:textbox>
            <v:fill type="solid"/>
            <v:stroke dashstyle="solid"/>
            <w10:wrap type="topAndBottom"/>
          </v:shape>
        </w:pict>
      </w:r>
    </w:p>
    <w:p>
      <w:pPr>
        <w:pStyle w:val="Heading2"/>
        <w:spacing w:before="61" w:after="29"/>
        <w:ind w:left="3552" w:right="3732"/>
        <w:jc w:val="center"/>
      </w:pPr>
      <w:r>
        <w:rPr>
          <w:color w:val="6F2F9F"/>
        </w:rPr>
        <w:t>Our Focus</w:t>
      </w:r>
    </w:p>
    <w:tbl>
      <w:tblPr>
        <w:tblW w:w="0" w:type="auto"/>
        <w:jc w:val="left"/>
        <w:tblInd w:w="1340"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CellMar>
          <w:top w:w="0" w:type="dxa"/>
          <w:left w:w="0" w:type="dxa"/>
          <w:bottom w:w="0" w:type="dxa"/>
          <w:right w:w="0" w:type="dxa"/>
        </w:tblCellMar>
        <w:tblLook w:val="01E0"/>
      </w:tblPr>
      <w:tblGrid>
        <w:gridCol w:w="2129"/>
        <w:gridCol w:w="2282"/>
        <w:gridCol w:w="2205"/>
      </w:tblGrid>
      <w:tr>
        <w:trPr>
          <w:trHeight w:val="496" w:hRule="atLeast"/>
        </w:trPr>
        <w:tc>
          <w:tcPr>
            <w:tcW w:w="2129" w:type="dxa"/>
            <w:tcBorders>
              <w:bottom w:val="single" w:sz="18" w:space="0" w:color="6F2F9F"/>
            </w:tcBorders>
          </w:tcPr>
          <w:p>
            <w:pPr>
              <w:pStyle w:val="TableParagraph"/>
              <w:spacing w:line="248" w:lineRule="exact"/>
              <w:ind w:left="517"/>
              <w:rPr>
                <w:b/>
                <w:sz w:val="22"/>
              </w:rPr>
            </w:pPr>
            <w:r>
              <w:rPr>
                <w:b/>
                <w:color w:val="6F2F9F"/>
                <w:sz w:val="22"/>
              </w:rPr>
              <w:t>Workforce</w:t>
            </w:r>
          </w:p>
          <w:p>
            <w:pPr>
              <w:pStyle w:val="TableParagraph"/>
              <w:spacing w:line="227" w:lineRule="exact" w:before="1"/>
              <w:ind w:left="395"/>
              <w:rPr>
                <w:b/>
                <w:sz w:val="22"/>
              </w:rPr>
            </w:pPr>
            <w:r>
              <w:rPr>
                <w:b/>
                <w:color w:val="6F2F9F"/>
                <w:sz w:val="22"/>
              </w:rPr>
              <w:t>Participation</w:t>
            </w:r>
          </w:p>
        </w:tc>
        <w:tc>
          <w:tcPr>
            <w:tcW w:w="2282" w:type="dxa"/>
            <w:tcBorders>
              <w:bottom w:val="single" w:sz="18" w:space="0" w:color="6F2F9F"/>
            </w:tcBorders>
            <w:shd w:val="clear" w:color="auto" w:fill="FCFDFD"/>
          </w:tcPr>
          <w:p>
            <w:pPr>
              <w:pStyle w:val="TableParagraph"/>
              <w:spacing w:line="248" w:lineRule="exact"/>
              <w:ind w:left="223" w:right="191"/>
              <w:jc w:val="center"/>
              <w:rPr>
                <w:b/>
                <w:sz w:val="22"/>
              </w:rPr>
            </w:pPr>
            <w:r>
              <w:rPr>
                <w:b/>
                <w:color w:val="6F2F9F"/>
                <w:sz w:val="22"/>
              </w:rPr>
              <w:t>Policy, Programs</w:t>
            </w:r>
          </w:p>
          <w:p>
            <w:pPr>
              <w:pStyle w:val="TableParagraph"/>
              <w:spacing w:line="227" w:lineRule="exact" w:before="1"/>
              <w:ind w:left="219" w:right="191"/>
              <w:jc w:val="center"/>
              <w:rPr>
                <w:b/>
                <w:sz w:val="22"/>
              </w:rPr>
            </w:pPr>
            <w:r>
              <w:rPr>
                <w:b/>
                <w:color w:val="6F2F9F"/>
                <w:sz w:val="22"/>
              </w:rPr>
              <w:t>and Services</w:t>
            </w:r>
          </w:p>
        </w:tc>
        <w:tc>
          <w:tcPr>
            <w:tcW w:w="2205" w:type="dxa"/>
            <w:tcBorders>
              <w:bottom w:val="single" w:sz="18" w:space="0" w:color="6F2F9F"/>
            </w:tcBorders>
          </w:tcPr>
          <w:p>
            <w:pPr>
              <w:pStyle w:val="TableParagraph"/>
              <w:spacing w:line="248" w:lineRule="exact"/>
              <w:ind w:left="271"/>
              <w:rPr>
                <w:b/>
                <w:sz w:val="22"/>
              </w:rPr>
            </w:pPr>
            <w:r>
              <w:rPr>
                <w:b/>
                <w:color w:val="6F2F9F"/>
                <w:sz w:val="22"/>
              </w:rPr>
              <w:t>Communication</w:t>
            </w:r>
          </w:p>
          <w:p>
            <w:pPr>
              <w:pStyle w:val="TableParagraph"/>
              <w:spacing w:line="227" w:lineRule="exact" w:before="1"/>
              <w:ind w:left="216"/>
              <w:rPr>
                <w:b/>
                <w:sz w:val="22"/>
              </w:rPr>
            </w:pPr>
            <w:r>
              <w:rPr>
                <w:b/>
                <w:color w:val="6F2F9F"/>
                <w:sz w:val="22"/>
              </w:rPr>
              <w:t>and Engagement</w:t>
            </w:r>
          </w:p>
        </w:tc>
      </w:tr>
      <w:tr>
        <w:trPr>
          <w:trHeight w:val="3022" w:hRule="atLeast"/>
        </w:trPr>
        <w:tc>
          <w:tcPr>
            <w:tcW w:w="2129" w:type="dxa"/>
            <w:tcBorders>
              <w:top w:val="single" w:sz="18" w:space="0" w:color="6F2F9F"/>
              <w:bottom w:val="single" w:sz="18" w:space="0" w:color="6F2F9F"/>
            </w:tcBorders>
          </w:tcPr>
          <w:p>
            <w:pPr>
              <w:pStyle w:val="TableParagraph"/>
              <w:ind w:left="107" w:right="137"/>
              <w:rPr>
                <w:sz w:val="22"/>
              </w:rPr>
            </w:pPr>
            <w:r>
              <w:rPr>
                <w:color w:val="6F2F9F"/>
                <w:sz w:val="22"/>
              </w:rPr>
              <w:t>E.g. People are able to access and enjoy workforce participation with the same rewards, resources, opportunities and outcomes regardless of gender</w:t>
            </w:r>
          </w:p>
        </w:tc>
        <w:tc>
          <w:tcPr>
            <w:tcW w:w="2282" w:type="dxa"/>
            <w:tcBorders>
              <w:top w:val="single" w:sz="18" w:space="0" w:color="6F2F9F"/>
              <w:bottom w:val="single" w:sz="18" w:space="0" w:color="6F2F9F"/>
            </w:tcBorders>
            <w:shd w:val="clear" w:color="auto" w:fill="FCFDFD"/>
          </w:tcPr>
          <w:p>
            <w:pPr>
              <w:pStyle w:val="TableParagraph"/>
              <w:ind w:left="107" w:right="70"/>
              <w:rPr>
                <w:sz w:val="22"/>
              </w:rPr>
            </w:pPr>
            <w:r>
              <w:rPr>
                <w:color w:val="6F2F9F"/>
                <w:sz w:val="22"/>
              </w:rPr>
              <w:t>E.g. Consideration is given to the differences in the lives of women and men, their participation in social and economic life and the differential impacts on their lives from our policies,</w:t>
            </w:r>
          </w:p>
          <w:p>
            <w:pPr>
              <w:pStyle w:val="TableParagraph"/>
              <w:spacing w:line="252" w:lineRule="exact"/>
              <w:ind w:left="107" w:right="767"/>
              <w:rPr>
                <w:sz w:val="22"/>
              </w:rPr>
            </w:pPr>
            <w:r>
              <w:rPr>
                <w:color w:val="6F2F9F"/>
                <w:sz w:val="22"/>
              </w:rPr>
              <w:t>programs and services</w:t>
            </w:r>
          </w:p>
        </w:tc>
        <w:tc>
          <w:tcPr>
            <w:tcW w:w="2205" w:type="dxa"/>
            <w:tcBorders>
              <w:top w:val="single" w:sz="18" w:space="0" w:color="6F2F9F"/>
              <w:bottom w:val="single" w:sz="18" w:space="0" w:color="6F2F9F"/>
            </w:tcBorders>
          </w:tcPr>
          <w:p>
            <w:pPr>
              <w:pStyle w:val="TableParagraph"/>
              <w:ind w:right="66"/>
              <w:rPr>
                <w:sz w:val="22"/>
              </w:rPr>
            </w:pPr>
            <w:r>
              <w:rPr>
                <w:color w:val="6F2F9F"/>
                <w:sz w:val="22"/>
              </w:rPr>
              <w:t>E.g. Communication and engagement is gender neutral and the organisation demonstrates a reputation for inclusive behaviour</w:t>
            </w:r>
          </w:p>
        </w:tc>
      </w:tr>
    </w:tbl>
    <w:p>
      <w:pPr>
        <w:spacing w:after="0"/>
        <w:rPr>
          <w:sz w:val="22"/>
        </w:rPr>
        <w:sectPr>
          <w:pgSz w:w="11910" w:h="16840"/>
          <w:pgMar w:header="0" w:footer="995" w:top="1320" w:bottom="1180" w:left="1320" w:right="1140"/>
        </w:sectPr>
      </w:pPr>
    </w:p>
    <w:p>
      <w:pPr>
        <w:pStyle w:val="BodyText"/>
        <w:rPr>
          <w:b/>
          <w:sz w:val="20"/>
        </w:rPr>
      </w:pPr>
    </w:p>
    <w:p>
      <w:pPr>
        <w:spacing w:before="215"/>
        <w:ind w:left="120" w:right="0" w:firstLine="0"/>
        <w:jc w:val="left"/>
        <w:rPr>
          <w:b/>
          <w:sz w:val="26"/>
        </w:rPr>
      </w:pPr>
      <w:r>
        <w:rPr>
          <w:b/>
          <w:color w:val="6F2F9F"/>
          <w:sz w:val="26"/>
        </w:rPr>
        <w:t>Step 4: Our Priorities: Identify your actions in each focus area</w:t>
      </w:r>
    </w:p>
    <w:p>
      <w:pPr>
        <w:pStyle w:val="BodyText"/>
        <w:spacing w:before="10"/>
        <w:rPr>
          <w:b/>
          <w:sz w:val="25"/>
        </w:rPr>
      </w:pPr>
    </w:p>
    <w:p>
      <w:pPr>
        <w:pStyle w:val="BodyText"/>
        <w:spacing w:line="259" w:lineRule="auto"/>
        <w:ind w:left="120" w:right="529"/>
      </w:pPr>
      <w:r>
        <w:rPr/>
        <w:t>Each focus area will require some high level key actions that define what you will be committed to achieving over the next 3 year period. To identify what the priorities are for your workforce, policies, programs and services and how you communicate and engage in the future you should consider:</w:t>
      </w:r>
    </w:p>
    <w:p>
      <w:pPr>
        <w:pStyle w:val="BodyText"/>
        <w:spacing w:before="10"/>
        <w:rPr>
          <w:sz w:val="23"/>
        </w:rPr>
      </w:pPr>
    </w:p>
    <w:p>
      <w:pPr>
        <w:pStyle w:val="ListParagraph"/>
        <w:numPr>
          <w:ilvl w:val="0"/>
          <w:numId w:val="4"/>
        </w:numPr>
        <w:tabs>
          <w:tab w:pos="763" w:val="left" w:leader="none"/>
          <w:tab w:pos="764" w:val="left" w:leader="none"/>
        </w:tabs>
        <w:spacing w:line="240" w:lineRule="auto" w:before="0" w:after="0"/>
        <w:ind w:left="763" w:right="0" w:hanging="361"/>
        <w:jc w:val="left"/>
        <w:rPr>
          <w:rFonts w:ascii="Calibri" w:hAnsi="Calibri"/>
          <w:sz w:val="22"/>
        </w:rPr>
      </w:pPr>
      <w:r>
        <w:rPr>
          <w:sz w:val="22"/>
        </w:rPr>
        <w:t>what activities can change culture through leadership, flexibility and</w:t>
      </w:r>
      <w:r>
        <w:rPr>
          <w:spacing w:val="-13"/>
          <w:sz w:val="22"/>
        </w:rPr>
        <w:t> </w:t>
      </w:r>
      <w:r>
        <w:rPr>
          <w:sz w:val="22"/>
        </w:rPr>
        <w:t>innovation?</w:t>
      </w:r>
    </w:p>
    <w:p>
      <w:pPr>
        <w:pStyle w:val="ListParagraph"/>
        <w:numPr>
          <w:ilvl w:val="0"/>
          <w:numId w:val="4"/>
        </w:numPr>
        <w:tabs>
          <w:tab w:pos="763" w:val="left" w:leader="none"/>
          <w:tab w:pos="764" w:val="left" w:leader="none"/>
        </w:tabs>
        <w:spacing w:line="240" w:lineRule="auto" w:before="7" w:after="0"/>
        <w:ind w:left="763" w:right="0" w:hanging="361"/>
        <w:jc w:val="left"/>
        <w:rPr>
          <w:rFonts w:ascii="Calibri" w:hAnsi="Calibri"/>
          <w:sz w:val="22"/>
        </w:rPr>
      </w:pPr>
      <w:r>
        <w:rPr>
          <w:sz w:val="22"/>
        </w:rPr>
        <w:t>what research or plans already exist that can inform your</w:t>
      </w:r>
      <w:r>
        <w:rPr>
          <w:spacing w:val="-3"/>
          <w:sz w:val="22"/>
        </w:rPr>
        <w:t> </w:t>
      </w:r>
      <w:r>
        <w:rPr>
          <w:sz w:val="22"/>
        </w:rPr>
        <w:t>actions?</w:t>
      </w:r>
    </w:p>
    <w:p>
      <w:pPr>
        <w:pStyle w:val="ListParagraph"/>
        <w:numPr>
          <w:ilvl w:val="0"/>
          <w:numId w:val="4"/>
        </w:numPr>
        <w:tabs>
          <w:tab w:pos="763" w:val="left" w:leader="none"/>
          <w:tab w:pos="764" w:val="left" w:leader="none"/>
        </w:tabs>
        <w:spacing w:line="244" w:lineRule="auto" w:before="8" w:after="0"/>
        <w:ind w:left="763" w:right="851" w:hanging="360"/>
        <w:jc w:val="left"/>
        <w:rPr>
          <w:rFonts w:ascii="Calibri" w:hAnsi="Calibri"/>
          <w:sz w:val="22"/>
        </w:rPr>
      </w:pPr>
      <w:r>
        <w:rPr>
          <w:sz w:val="22"/>
        </w:rPr>
        <w:t>how might you benchmark your performance against other similar entities and/or competitors?</w:t>
      </w:r>
    </w:p>
    <w:p>
      <w:pPr>
        <w:pStyle w:val="BodyText"/>
        <w:spacing w:before="174"/>
        <w:ind w:left="120"/>
      </w:pPr>
      <w:r>
        <w:rPr/>
        <w:t>Steps may include:</w:t>
      </w:r>
    </w:p>
    <w:p>
      <w:pPr>
        <w:pStyle w:val="BodyText"/>
        <w:spacing w:before="9"/>
        <w:rPr>
          <w:sz w:val="25"/>
        </w:rPr>
      </w:pPr>
    </w:p>
    <w:p>
      <w:pPr>
        <w:pStyle w:val="ListParagraph"/>
        <w:numPr>
          <w:ilvl w:val="0"/>
          <w:numId w:val="4"/>
        </w:numPr>
        <w:tabs>
          <w:tab w:pos="763" w:val="left" w:leader="none"/>
          <w:tab w:pos="764" w:val="left" w:leader="none"/>
        </w:tabs>
        <w:spacing w:line="240" w:lineRule="auto" w:before="0" w:after="0"/>
        <w:ind w:left="763" w:right="0" w:hanging="361"/>
        <w:jc w:val="left"/>
        <w:rPr>
          <w:rFonts w:ascii="Calibri" w:hAnsi="Calibri"/>
          <w:sz w:val="22"/>
        </w:rPr>
      </w:pPr>
      <w:r>
        <w:rPr>
          <w:sz w:val="22"/>
        </w:rPr>
        <w:t>ensuring input from a gender diverse group of</w:t>
      </w:r>
      <w:r>
        <w:rPr>
          <w:spacing w:val="-6"/>
          <w:sz w:val="22"/>
        </w:rPr>
        <w:t> </w:t>
      </w:r>
      <w:r>
        <w:rPr>
          <w:sz w:val="22"/>
        </w:rPr>
        <w:t>stakeholders</w:t>
      </w:r>
    </w:p>
    <w:p>
      <w:pPr>
        <w:pStyle w:val="ListParagraph"/>
        <w:numPr>
          <w:ilvl w:val="0"/>
          <w:numId w:val="4"/>
        </w:numPr>
        <w:tabs>
          <w:tab w:pos="763" w:val="left" w:leader="none"/>
          <w:tab w:pos="764" w:val="left" w:leader="none"/>
        </w:tabs>
        <w:spacing w:line="244" w:lineRule="auto" w:before="8" w:after="0"/>
        <w:ind w:left="763" w:right="717" w:hanging="360"/>
        <w:jc w:val="left"/>
        <w:rPr>
          <w:rFonts w:ascii="Calibri" w:hAnsi="Calibri"/>
          <w:sz w:val="22"/>
        </w:rPr>
      </w:pPr>
      <w:r>
        <w:rPr>
          <w:sz w:val="22"/>
        </w:rPr>
        <w:t>identifying existing consultation mechanisms and leadership teams for input to the plan</w:t>
      </w:r>
    </w:p>
    <w:p>
      <w:pPr>
        <w:pStyle w:val="ListParagraph"/>
        <w:numPr>
          <w:ilvl w:val="0"/>
          <w:numId w:val="4"/>
        </w:numPr>
        <w:tabs>
          <w:tab w:pos="763" w:val="left" w:leader="none"/>
          <w:tab w:pos="764" w:val="left" w:leader="none"/>
        </w:tabs>
        <w:spacing w:line="240" w:lineRule="auto" w:before="17" w:after="0"/>
        <w:ind w:left="763" w:right="0" w:hanging="361"/>
        <w:jc w:val="left"/>
        <w:rPr>
          <w:rFonts w:ascii="Calibri" w:hAnsi="Calibri"/>
          <w:sz w:val="22"/>
        </w:rPr>
      </w:pPr>
      <w:r>
        <w:rPr>
          <w:sz w:val="22"/>
        </w:rPr>
        <w:t>consulting with colleagues across your</w:t>
      </w:r>
      <w:r>
        <w:rPr>
          <w:spacing w:val="1"/>
          <w:sz w:val="22"/>
        </w:rPr>
        <w:t> </w:t>
      </w:r>
      <w:r>
        <w:rPr>
          <w:sz w:val="22"/>
        </w:rPr>
        <w:t>workforce</w:t>
      </w:r>
    </w:p>
    <w:p>
      <w:pPr>
        <w:pStyle w:val="ListParagraph"/>
        <w:numPr>
          <w:ilvl w:val="0"/>
          <w:numId w:val="4"/>
        </w:numPr>
        <w:tabs>
          <w:tab w:pos="763" w:val="left" w:leader="none"/>
          <w:tab w:pos="764" w:val="left" w:leader="none"/>
        </w:tabs>
        <w:spacing w:line="240" w:lineRule="auto" w:before="8" w:after="0"/>
        <w:ind w:left="763" w:right="0" w:hanging="361"/>
        <w:jc w:val="left"/>
        <w:rPr>
          <w:rFonts w:ascii="Calibri" w:hAnsi="Calibri"/>
          <w:sz w:val="22"/>
        </w:rPr>
      </w:pPr>
      <w:r>
        <w:rPr>
          <w:sz w:val="22"/>
        </w:rPr>
        <w:t>consulting with external stakeholders such as your core</w:t>
      </w:r>
      <w:r>
        <w:rPr>
          <w:spacing w:val="-8"/>
          <w:sz w:val="22"/>
        </w:rPr>
        <w:t> </w:t>
      </w:r>
      <w:r>
        <w:rPr>
          <w:sz w:val="22"/>
        </w:rPr>
        <w:t>clients</w:t>
      </w:r>
    </w:p>
    <w:p>
      <w:pPr>
        <w:pStyle w:val="ListParagraph"/>
        <w:numPr>
          <w:ilvl w:val="0"/>
          <w:numId w:val="4"/>
        </w:numPr>
        <w:tabs>
          <w:tab w:pos="763" w:val="left" w:leader="none"/>
          <w:tab w:pos="764" w:val="left" w:leader="none"/>
        </w:tabs>
        <w:spacing w:line="240" w:lineRule="auto" w:before="5" w:after="0"/>
        <w:ind w:left="763" w:right="0" w:hanging="361"/>
        <w:jc w:val="left"/>
        <w:rPr>
          <w:rFonts w:ascii="Calibri" w:hAnsi="Calibri"/>
          <w:sz w:val="22"/>
        </w:rPr>
      </w:pPr>
      <w:r>
        <w:rPr>
          <w:sz w:val="22"/>
        </w:rPr>
        <w:t>considering establishing a working group to have input to your</w:t>
      </w:r>
      <w:r>
        <w:rPr>
          <w:spacing w:val="-7"/>
          <w:sz w:val="22"/>
        </w:rPr>
        <w:t> </w:t>
      </w:r>
      <w:r>
        <w:rPr>
          <w:sz w:val="22"/>
        </w:rPr>
        <w:t>plan</w:t>
      </w:r>
    </w:p>
    <w:p>
      <w:pPr>
        <w:pStyle w:val="BodyText"/>
        <w:spacing w:before="1"/>
        <w:rPr>
          <w:sz w:val="18"/>
        </w:rPr>
      </w:pPr>
      <w:r>
        <w:rPr/>
        <w:pict>
          <v:shape style="position:absolute;margin-left:72pt;margin-top:12.773896pt;width:450.75pt;height:37.5pt;mso-position-horizontal-relative:page;mso-position-vertical-relative:paragraph;z-index:-251651072;mso-wrap-distance-left:0;mso-wrap-distance-right:0" type="#_x0000_t202" filled="true" fillcolor="#eadcf4" stroked="true" strokeweight=".75pt" strokecolor="#6f2f9f">
            <v:textbox inset="0,0,0,0">
              <w:txbxContent>
                <w:p>
                  <w:pPr>
                    <w:pStyle w:val="BodyText"/>
                    <w:spacing w:line="259" w:lineRule="auto" w:before="68"/>
                    <w:ind w:left="144" w:right="719"/>
                    <w:rPr>
                      <w:rFonts w:ascii="Calibri" w:hAnsi="Calibri"/>
                    </w:rPr>
                  </w:pPr>
                  <w:r>
                    <w:rPr>
                      <w:rFonts w:ascii="Calibri" w:hAnsi="Calibri"/>
                      <w:b/>
                    </w:rPr>
                    <w:t>ACTION: </w:t>
                  </w:r>
                  <w:r>
                    <w:rPr>
                      <w:rFonts w:ascii="Calibri" w:hAnsi="Calibri"/>
                    </w:rPr>
                    <w:t>Enter your key actions for each focus area under ‘Our Priorities’ on ‘Page 1’ of the Gender Equality Action Plan template. An example is shown below.</w:t>
                  </w:r>
                </w:p>
              </w:txbxContent>
            </v:textbox>
            <v:fill type="solid"/>
            <v:stroke dashstyle="solid"/>
            <w10:wrap type="topAndBottom"/>
          </v:shape>
        </w:pict>
      </w:r>
    </w:p>
    <w:p>
      <w:pPr>
        <w:pStyle w:val="BodyText"/>
        <w:rPr>
          <w:sz w:val="37"/>
        </w:rPr>
      </w:pPr>
    </w:p>
    <w:p>
      <w:pPr>
        <w:pStyle w:val="Heading2"/>
        <w:spacing w:before="0" w:after="27"/>
        <w:ind w:left="3551" w:right="3732"/>
        <w:jc w:val="center"/>
      </w:pPr>
      <w:r>
        <w:rPr>
          <w:color w:val="6F2F9F"/>
        </w:rPr>
        <w:t>Our Priorities</w:t>
      </w:r>
    </w:p>
    <w:tbl>
      <w:tblPr>
        <w:tblW w:w="0" w:type="auto"/>
        <w:jc w:val="left"/>
        <w:tblInd w:w="791"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CellMar>
          <w:top w:w="0" w:type="dxa"/>
          <w:left w:w="0" w:type="dxa"/>
          <w:bottom w:w="0" w:type="dxa"/>
          <w:right w:w="0" w:type="dxa"/>
        </w:tblCellMar>
        <w:tblLook w:val="01E0"/>
      </w:tblPr>
      <w:tblGrid>
        <w:gridCol w:w="2081"/>
        <w:gridCol w:w="5271"/>
      </w:tblGrid>
      <w:tr>
        <w:trPr>
          <w:trHeight w:val="1815" w:hRule="atLeast"/>
        </w:trPr>
        <w:tc>
          <w:tcPr>
            <w:tcW w:w="2081" w:type="dxa"/>
          </w:tcPr>
          <w:p>
            <w:pPr>
              <w:pStyle w:val="TableParagraph"/>
              <w:spacing w:before="7"/>
              <w:ind w:left="0"/>
              <w:rPr>
                <w:b/>
                <w:sz w:val="21"/>
              </w:rPr>
            </w:pPr>
          </w:p>
          <w:p>
            <w:pPr>
              <w:pStyle w:val="TableParagraph"/>
              <w:spacing w:before="1"/>
              <w:ind w:left="371" w:right="327" w:firstLine="120"/>
              <w:rPr>
                <w:b/>
                <w:sz w:val="22"/>
              </w:rPr>
            </w:pPr>
            <w:r>
              <w:rPr>
                <w:b/>
                <w:color w:val="6F2F9F"/>
                <w:sz w:val="22"/>
              </w:rPr>
              <w:t>Workforce Participation</w:t>
            </w:r>
          </w:p>
        </w:tc>
        <w:tc>
          <w:tcPr>
            <w:tcW w:w="5271" w:type="dxa"/>
          </w:tcPr>
          <w:p>
            <w:pPr>
              <w:pStyle w:val="TableParagraph"/>
              <w:ind w:left="0"/>
              <w:rPr>
                <w:b/>
                <w:sz w:val="22"/>
              </w:rPr>
            </w:pPr>
          </w:p>
          <w:p>
            <w:pPr>
              <w:pStyle w:val="TableParagraph"/>
              <w:numPr>
                <w:ilvl w:val="0"/>
                <w:numId w:val="5"/>
              </w:numPr>
              <w:tabs>
                <w:tab w:pos="518" w:val="left" w:leader="none"/>
                <w:tab w:pos="519" w:val="left" w:leader="none"/>
              </w:tabs>
              <w:spacing w:line="237" w:lineRule="auto" w:before="0" w:after="0"/>
              <w:ind w:left="518" w:right="391" w:hanging="360"/>
              <w:jc w:val="left"/>
              <w:rPr>
                <w:sz w:val="22"/>
              </w:rPr>
            </w:pPr>
            <w:r>
              <w:rPr>
                <w:color w:val="6F2F9F"/>
                <w:sz w:val="22"/>
              </w:rPr>
              <w:t>Establish flexible work practices that support women’s participation in leadership</w:t>
            </w:r>
            <w:r>
              <w:rPr>
                <w:color w:val="6F2F9F"/>
                <w:spacing w:val="-10"/>
                <w:sz w:val="22"/>
              </w:rPr>
              <w:t> </w:t>
            </w:r>
            <w:r>
              <w:rPr>
                <w:color w:val="6F2F9F"/>
                <w:sz w:val="22"/>
              </w:rPr>
              <w:t>roles</w:t>
            </w:r>
          </w:p>
          <w:p>
            <w:pPr>
              <w:pStyle w:val="TableParagraph"/>
              <w:numPr>
                <w:ilvl w:val="0"/>
                <w:numId w:val="5"/>
              </w:numPr>
              <w:tabs>
                <w:tab w:pos="518" w:val="left" w:leader="none"/>
                <w:tab w:pos="519" w:val="left" w:leader="none"/>
              </w:tabs>
              <w:spacing w:line="237" w:lineRule="auto" w:before="4" w:after="0"/>
              <w:ind w:left="518" w:right="401" w:hanging="360"/>
              <w:jc w:val="left"/>
              <w:rPr>
                <w:sz w:val="22"/>
              </w:rPr>
            </w:pPr>
            <w:r>
              <w:rPr>
                <w:color w:val="6F2F9F"/>
                <w:sz w:val="22"/>
              </w:rPr>
              <w:t>Review and address any gender pay gap for staff</w:t>
            </w:r>
          </w:p>
          <w:p>
            <w:pPr>
              <w:pStyle w:val="TableParagraph"/>
              <w:numPr>
                <w:ilvl w:val="0"/>
                <w:numId w:val="5"/>
              </w:numPr>
              <w:tabs>
                <w:tab w:pos="518" w:val="left" w:leader="none"/>
                <w:tab w:pos="519" w:val="left" w:leader="none"/>
              </w:tabs>
              <w:spacing w:line="252" w:lineRule="exact" w:before="21" w:after="0"/>
              <w:ind w:left="518" w:right="635" w:hanging="360"/>
              <w:jc w:val="left"/>
              <w:rPr>
                <w:sz w:val="22"/>
              </w:rPr>
            </w:pPr>
            <w:r>
              <w:rPr>
                <w:color w:val="6F2F9F"/>
                <w:sz w:val="22"/>
              </w:rPr>
              <w:t>Build the leadership pipeline of women for senior management</w:t>
            </w:r>
            <w:r>
              <w:rPr>
                <w:color w:val="6F2F9F"/>
                <w:spacing w:val="-1"/>
                <w:sz w:val="22"/>
              </w:rPr>
              <w:t> </w:t>
            </w:r>
            <w:r>
              <w:rPr>
                <w:color w:val="6F2F9F"/>
                <w:sz w:val="22"/>
              </w:rPr>
              <w:t>roles</w:t>
            </w:r>
          </w:p>
        </w:tc>
      </w:tr>
      <w:tr>
        <w:trPr>
          <w:trHeight w:val="2321" w:hRule="atLeast"/>
        </w:trPr>
        <w:tc>
          <w:tcPr>
            <w:tcW w:w="2081" w:type="dxa"/>
          </w:tcPr>
          <w:p>
            <w:pPr>
              <w:pStyle w:val="TableParagraph"/>
              <w:spacing w:before="7"/>
              <w:ind w:left="0"/>
              <w:rPr>
                <w:b/>
                <w:sz w:val="21"/>
              </w:rPr>
            </w:pPr>
          </w:p>
          <w:p>
            <w:pPr>
              <w:pStyle w:val="TableParagraph"/>
              <w:ind w:left="356" w:right="96" w:hanging="219"/>
              <w:rPr>
                <w:b/>
                <w:sz w:val="22"/>
              </w:rPr>
            </w:pPr>
            <w:r>
              <w:rPr>
                <w:b/>
                <w:color w:val="6F2F9F"/>
                <w:sz w:val="22"/>
              </w:rPr>
              <w:t>Policy, Programs and Services</w:t>
            </w:r>
          </w:p>
        </w:tc>
        <w:tc>
          <w:tcPr>
            <w:tcW w:w="5271" w:type="dxa"/>
          </w:tcPr>
          <w:p>
            <w:pPr>
              <w:pStyle w:val="TableParagraph"/>
              <w:spacing w:before="9"/>
              <w:ind w:left="0"/>
              <w:rPr>
                <w:b/>
                <w:sz w:val="21"/>
              </w:rPr>
            </w:pPr>
          </w:p>
          <w:p>
            <w:pPr>
              <w:pStyle w:val="TableParagraph"/>
              <w:numPr>
                <w:ilvl w:val="0"/>
                <w:numId w:val="6"/>
              </w:numPr>
              <w:tabs>
                <w:tab w:pos="519" w:val="left" w:leader="none"/>
              </w:tabs>
              <w:spacing w:line="240" w:lineRule="auto" w:before="0" w:after="0"/>
              <w:ind w:left="518" w:right="243" w:hanging="360"/>
              <w:jc w:val="both"/>
              <w:rPr>
                <w:rFonts w:ascii="Symbol" w:hAnsi="Symbol"/>
                <w:color w:val="6F2F9F"/>
                <w:sz w:val="22"/>
              </w:rPr>
            </w:pPr>
            <w:r>
              <w:rPr>
                <w:color w:val="6F2F9F"/>
                <w:sz w:val="22"/>
              </w:rPr>
              <w:t>Undertake gender analysis to review policies, programs and services to ensure they support gender diversity and</w:t>
            </w:r>
            <w:r>
              <w:rPr>
                <w:color w:val="6F2F9F"/>
                <w:spacing w:val="-1"/>
                <w:sz w:val="22"/>
              </w:rPr>
              <w:t> </w:t>
            </w:r>
            <w:r>
              <w:rPr>
                <w:color w:val="6F2F9F"/>
                <w:sz w:val="22"/>
              </w:rPr>
              <w:t>inclusion</w:t>
            </w:r>
          </w:p>
          <w:p>
            <w:pPr>
              <w:pStyle w:val="TableParagraph"/>
              <w:numPr>
                <w:ilvl w:val="0"/>
                <w:numId w:val="6"/>
              </w:numPr>
              <w:tabs>
                <w:tab w:pos="518" w:val="left" w:leader="none"/>
                <w:tab w:pos="519" w:val="left" w:leader="none"/>
              </w:tabs>
              <w:spacing w:line="240" w:lineRule="auto" w:before="0" w:after="0"/>
              <w:ind w:left="518" w:right="731" w:hanging="360"/>
              <w:jc w:val="left"/>
              <w:rPr>
                <w:rFonts w:ascii="Symbol" w:hAnsi="Symbol"/>
                <w:color w:val="6F2F9F"/>
                <w:sz w:val="22"/>
              </w:rPr>
            </w:pPr>
            <w:r>
              <w:rPr>
                <w:color w:val="6F2F9F"/>
                <w:sz w:val="22"/>
              </w:rPr>
              <w:t>Build organisational capability to address unconscious bias and gender inequality practices</w:t>
            </w:r>
          </w:p>
          <w:p>
            <w:pPr>
              <w:pStyle w:val="TableParagraph"/>
              <w:numPr>
                <w:ilvl w:val="0"/>
                <w:numId w:val="6"/>
              </w:numPr>
              <w:tabs>
                <w:tab w:pos="518" w:val="left" w:leader="none"/>
                <w:tab w:pos="519" w:val="left" w:leader="none"/>
              </w:tabs>
              <w:spacing w:line="252" w:lineRule="exact" w:before="16" w:after="0"/>
              <w:ind w:left="518" w:right="124" w:hanging="360"/>
              <w:jc w:val="left"/>
              <w:rPr>
                <w:rFonts w:ascii="Symbol" w:hAnsi="Symbol"/>
                <w:sz w:val="22"/>
              </w:rPr>
            </w:pPr>
            <w:r>
              <w:rPr>
                <w:color w:val="6F2F9F"/>
                <w:sz w:val="22"/>
              </w:rPr>
              <w:t>Revise procurement policies to address</w:t>
            </w:r>
            <w:r>
              <w:rPr>
                <w:color w:val="6F2F9F"/>
                <w:spacing w:val="-13"/>
                <w:sz w:val="22"/>
              </w:rPr>
              <w:t> </w:t>
            </w:r>
            <w:r>
              <w:rPr>
                <w:color w:val="6F2F9F"/>
                <w:sz w:val="22"/>
              </w:rPr>
              <w:t>gender equality</w:t>
            </w:r>
            <w:r>
              <w:rPr>
                <w:color w:val="6F2F9F"/>
                <w:spacing w:val="-3"/>
                <w:sz w:val="22"/>
              </w:rPr>
              <w:t> </w:t>
            </w:r>
            <w:r>
              <w:rPr>
                <w:color w:val="6F2F9F"/>
                <w:sz w:val="22"/>
              </w:rPr>
              <w:t>issues</w:t>
            </w:r>
          </w:p>
        </w:tc>
      </w:tr>
      <w:tr>
        <w:trPr>
          <w:trHeight w:val="2067" w:hRule="atLeast"/>
        </w:trPr>
        <w:tc>
          <w:tcPr>
            <w:tcW w:w="2081" w:type="dxa"/>
          </w:tcPr>
          <w:p>
            <w:pPr>
              <w:pStyle w:val="TableParagraph"/>
              <w:spacing w:before="5"/>
              <w:ind w:left="0"/>
              <w:rPr>
                <w:b/>
                <w:sz w:val="21"/>
              </w:rPr>
            </w:pPr>
          </w:p>
          <w:p>
            <w:pPr>
              <w:pStyle w:val="TableParagraph"/>
              <w:ind w:left="150" w:right="108" w:firstLine="55"/>
              <w:rPr>
                <w:b/>
                <w:sz w:val="22"/>
              </w:rPr>
            </w:pPr>
            <w:r>
              <w:rPr>
                <w:b/>
                <w:color w:val="6F2F9F"/>
                <w:sz w:val="22"/>
              </w:rPr>
              <w:t>Communication and Engagement</w:t>
            </w:r>
          </w:p>
        </w:tc>
        <w:tc>
          <w:tcPr>
            <w:tcW w:w="5271" w:type="dxa"/>
          </w:tcPr>
          <w:p>
            <w:pPr>
              <w:pStyle w:val="TableParagraph"/>
              <w:spacing w:before="7"/>
              <w:ind w:left="0"/>
              <w:rPr>
                <w:b/>
                <w:sz w:val="21"/>
              </w:rPr>
            </w:pPr>
          </w:p>
          <w:p>
            <w:pPr>
              <w:pStyle w:val="TableParagraph"/>
              <w:numPr>
                <w:ilvl w:val="0"/>
                <w:numId w:val="7"/>
              </w:numPr>
              <w:tabs>
                <w:tab w:pos="519" w:val="left" w:leader="none"/>
              </w:tabs>
              <w:spacing w:line="240" w:lineRule="auto" w:before="0" w:after="0"/>
              <w:ind w:left="518" w:right="325" w:hanging="360"/>
              <w:jc w:val="both"/>
              <w:rPr>
                <w:rFonts w:ascii="Symbol" w:hAnsi="Symbol"/>
                <w:color w:val="6F2F9F"/>
                <w:sz w:val="22"/>
              </w:rPr>
            </w:pPr>
            <w:r>
              <w:rPr>
                <w:color w:val="6F2F9F"/>
                <w:sz w:val="22"/>
              </w:rPr>
              <w:t>Build gender equality into our communication and engagement strategy to gender inclusive practices</w:t>
            </w:r>
          </w:p>
          <w:p>
            <w:pPr>
              <w:pStyle w:val="TableParagraph"/>
              <w:numPr>
                <w:ilvl w:val="0"/>
                <w:numId w:val="7"/>
              </w:numPr>
              <w:tabs>
                <w:tab w:pos="518" w:val="left" w:leader="none"/>
                <w:tab w:pos="519" w:val="left" w:leader="none"/>
              </w:tabs>
              <w:spacing w:line="237" w:lineRule="auto" w:before="2" w:after="0"/>
              <w:ind w:left="518" w:right="266" w:hanging="360"/>
              <w:jc w:val="left"/>
              <w:rPr>
                <w:rFonts w:ascii="Symbol" w:hAnsi="Symbol"/>
                <w:color w:val="6F2F9F"/>
                <w:sz w:val="22"/>
              </w:rPr>
            </w:pPr>
            <w:r>
              <w:rPr>
                <w:color w:val="6F2F9F"/>
                <w:sz w:val="22"/>
              </w:rPr>
              <w:t>Become recognised as an employer of choice for gender</w:t>
            </w:r>
            <w:r>
              <w:rPr>
                <w:color w:val="6F2F9F"/>
                <w:spacing w:val="-6"/>
                <w:sz w:val="22"/>
              </w:rPr>
              <w:t> </w:t>
            </w:r>
            <w:r>
              <w:rPr>
                <w:color w:val="6F2F9F"/>
                <w:sz w:val="22"/>
              </w:rPr>
              <w:t>equality</w:t>
            </w:r>
          </w:p>
          <w:p>
            <w:pPr>
              <w:pStyle w:val="TableParagraph"/>
              <w:numPr>
                <w:ilvl w:val="0"/>
                <w:numId w:val="7"/>
              </w:numPr>
              <w:tabs>
                <w:tab w:pos="518" w:val="left" w:leader="none"/>
                <w:tab w:pos="519" w:val="left" w:leader="none"/>
              </w:tabs>
              <w:spacing w:line="252" w:lineRule="exact" w:before="21" w:after="0"/>
              <w:ind w:left="518" w:right="120" w:hanging="360"/>
              <w:jc w:val="left"/>
              <w:rPr>
                <w:rFonts w:ascii="Symbol" w:hAnsi="Symbol"/>
                <w:sz w:val="22"/>
              </w:rPr>
            </w:pPr>
            <w:r>
              <w:rPr>
                <w:color w:val="6F2F9F"/>
                <w:sz w:val="22"/>
              </w:rPr>
              <w:t>Ensure consultation and promotional resources consider and demonstrate gender</w:t>
            </w:r>
            <w:r>
              <w:rPr>
                <w:color w:val="6F2F9F"/>
                <w:spacing w:val="-5"/>
                <w:sz w:val="22"/>
              </w:rPr>
              <w:t> </w:t>
            </w:r>
            <w:r>
              <w:rPr>
                <w:color w:val="6F2F9F"/>
                <w:sz w:val="22"/>
              </w:rPr>
              <w:t>diversity</w:t>
            </w:r>
          </w:p>
        </w:tc>
      </w:tr>
    </w:tbl>
    <w:p>
      <w:pPr>
        <w:spacing w:after="0" w:line="252" w:lineRule="exact"/>
        <w:jc w:val="left"/>
        <w:rPr>
          <w:rFonts w:ascii="Symbol" w:hAnsi="Symbol"/>
          <w:sz w:val="22"/>
        </w:rPr>
        <w:sectPr>
          <w:pgSz w:w="11910" w:h="16840"/>
          <w:pgMar w:header="0" w:footer="995" w:top="1320" w:bottom="1180" w:left="1320" w:right="1140"/>
        </w:sectPr>
      </w:pPr>
    </w:p>
    <w:p>
      <w:pPr>
        <w:pStyle w:val="BodyText"/>
        <w:rPr>
          <w:b/>
          <w:sz w:val="20"/>
        </w:rPr>
      </w:pPr>
    </w:p>
    <w:p>
      <w:pPr>
        <w:pStyle w:val="BodyText"/>
        <w:spacing w:before="9"/>
        <w:rPr>
          <w:b/>
          <w:sz w:val="16"/>
        </w:rPr>
      </w:pPr>
    </w:p>
    <w:p>
      <w:pPr>
        <w:spacing w:before="91"/>
        <w:ind w:left="120" w:right="0" w:firstLine="0"/>
        <w:jc w:val="left"/>
        <w:rPr>
          <w:b/>
          <w:sz w:val="26"/>
        </w:rPr>
      </w:pPr>
      <w:r>
        <w:rPr>
          <w:b/>
          <w:color w:val="6F2F9F"/>
          <w:sz w:val="26"/>
        </w:rPr>
        <w:t>Step 5: Our Action Plan Activities:</w:t>
      </w:r>
    </w:p>
    <w:p>
      <w:pPr>
        <w:pStyle w:val="BodyText"/>
        <w:spacing w:line="256" w:lineRule="auto" w:before="27"/>
        <w:ind w:left="120" w:right="433"/>
      </w:pPr>
      <w:r>
        <w:rPr/>
        <w:t>It is important to define the short-term ‘Year 1’, medium-term ‘Year 2’ and longer-term ‘Year 3’ activities you will undertake to achieve actions.</w:t>
      </w:r>
    </w:p>
    <w:p>
      <w:pPr>
        <w:pStyle w:val="BodyText"/>
        <w:spacing w:before="164"/>
        <w:ind w:left="120"/>
      </w:pPr>
      <w:r>
        <w:rPr/>
        <w:t>To achieve actions for gender equality across all focus areas you will need to identify:</w:t>
      </w:r>
    </w:p>
    <w:p>
      <w:pPr>
        <w:pStyle w:val="ListParagraph"/>
        <w:numPr>
          <w:ilvl w:val="0"/>
          <w:numId w:val="4"/>
        </w:numPr>
        <w:tabs>
          <w:tab w:pos="763" w:val="left" w:leader="none"/>
          <w:tab w:pos="764" w:val="left" w:leader="none"/>
        </w:tabs>
        <w:spacing w:line="240" w:lineRule="auto" w:before="181" w:after="0"/>
        <w:ind w:left="763" w:right="0" w:hanging="361"/>
        <w:jc w:val="left"/>
        <w:rPr>
          <w:rFonts w:ascii="Calibri" w:hAnsi="Calibri"/>
          <w:sz w:val="22"/>
        </w:rPr>
      </w:pPr>
      <w:r>
        <w:rPr>
          <w:sz w:val="22"/>
        </w:rPr>
        <w:t>specific activities that need to be undertaken to achieve each</w:t>
      </w:r>
      <w:r>
        <w:rPr>
          <w:spacing w:val="-7"/>
          <w:sz w:val="22"/>
        </w:rPr>
        <w:t> </w:t>
      </w:r>
      <w:r>
        <w:rPr>
          <w:sz w:val="22"/>
        </w:rPr>
        <w:t>action</w:t>
      </w:r>
    </w:p>
    <w:p>
      <w:pPr>
        <w:pStyle w:val="ListParagraph"/>
        <w:numPr>
          <w:ilvl w:val="0"/>
          <w:numId w:val="4"/>
        </w:numPr>
        <w:tabs>
          <w:tab w:pos="763" w:val="left" w:leader="none"/>
          <w:tab w:pos="764" w:val="left" w:leader="none"/>
        </w:tabs>
        <w:spacing w:line="240" w:lineRule="auto" w:before="7" w:after="0"/>
        <w:ind w:left="763" w:right="0" w:hanging="361"/>
        <w:jc w:val="left"/>
        <w:rPr>
          <w:rFonts w:ascii="Calibri" w:hAnsi="Calibri"/>
          <w:sz w:val="22"/>
        </w:rPr>
      </w:pPr>
      <w:r>
        <w:rPr>
          <w:sz w:val="22"/>
        </w:rPr>
        <w:t>measures and targets to monitor performance and drive</w:t>
      </w:r>
      <w:r>
        <w:rPr>
          <w:spacing w:val="-14"/>
          <w:sz w:val="22"/>
        </w:rPr>
        <w:t> </w:t>
      </w:r>
      <w:r>
        <w:rPr>
          <w:sz w:val="22"/>
        </w:rPr>
        <w:t>change</w:t>
      </w:r>
    </w:p>
    <w:p>
      <w:pPr>
        <w:pStyle w:val="ListParagraph"/>
        <w:numPr>
          <w:ilvl w:val="0"/>
          <w:numId w:val="4"/>
        </w:numPr>
        <w:tabs>
          <w:tab w:pos="763" w:val="left" w:leader="none"/>
          <w:tab w:pos="764" w:val="left" w:leader="none"/>
        </w:tabs>
        <w:spacing w:line="240" w:lineRule="auto" w:before="8" w:after="0"/>
        <w:ind w:left="763" w:right="0" w:hanging="361"/>
        <w:jc w:val="left"/>
        <w:rPr>
          <w:rFonts w:ascii="Calibri" w:hAnsi="Calibri"/>
          <w:sz w:val="22"/>
        </w:rPr>
      </w:pPr>
      <w:r>
        <w:rPr>
          <w:sz w:val="22"/>
        </w:rPr>
        <w:t>the stakeholders responsible to deliver the</w:t>
      </w:r>
      <w:r>
        <w:rPr>
          <w:spacing w:val="-3"/>
          <w:sz w:val="22"/>
        </w:rPr>
        <w:t> </w:t>
      </w:r>
      <w:r>
        <w:rPr>
          <w:sz w:val="22"/>
        </w:rPr>
        <w:t>activities</w:t>
      </w:r>
    </w:p>
    <w:p>
      <w:pPr>
        <w:pStyle w:val="ListParagraph"/>
        <w:numPr>
          <w:ilvl w:val="0"/>
          <w:numId w:val="4"/>
        </w:numPr>
        <w:tabs>
          <w:tab w:pos="763" w:val="left" w:leader="none"/>
          <w:tab w:pos="764" w:val="left" w:leader="none"/>
        </w:tabs>
        <w:spacing w:line="244" w:lineRule="auto" w:before="7" w:after="0"/>
        <w:ind w:left="763" w:right="439" w:hanging="360"/>
        <w:jc w:val="left"/>
        <w:rPr>
          <w:rFonts w:ascii="Calibri" w:hAnsi="Calibri"/>
          <w:sz w:val="22"/>
        </w:rPr>
      </w:pPr>
      <w:r>
        <w:rPr>
          <w:sz w:val="22"/>
        </w:rPr>
        <w:t>who the champion or person responsible for accountability and reporting on activities and outcomes</w:t>
      </w:r>
      <w:r>
        <w:rPr>
          <w:spacing w:val="-3"/>
          <w:sz w:val="22"/>
        </w:rPr>
        <w:t> </w:t>
      </w:r>
      <w:r>
        <w:rPr>
          <w:sz w:val="22"/>
        </w:rPr>
        <w:t>is.</w:t>
      </w:r>
    </w:p>
    <w:p>
      <w:pPr>
        <w:pStyle w:val="BodyText"/>
        <w:spacing w:before="2"/>
        <w:rPr>
          <w:sz w:val="25"/>
        </w:rPr>
      </w:pPr>
    </w:p>
    <w:p>
      <w:pPr>
        <w:pStyle w:val="BodyText"/>
        <w:spacing w:line="259" w:lineRule="auto"/>
        <w:ind w:left="403" w:right="589"/>
      </w:pPr>
      <w:r>
        <w:rPr/>
        <w:t>Note: You may wish to set up a management team/advisory body that includes experts across each priority area who will take carriage of this plan.</w:t>
      </w:r>
    </w:p>
    <w:p>
      <w:pPr>
        <w:pStyle w:val="BodyText"/>
        <w:spacing w:before="8"/>
        <w:rPr>
          <w:sz w:val="23"/>
        </w:rPr>
      </w:pPr>
    </w:p>
    <w:p>
      <w:pPr>
        <w:pStyle w:val="BodyText"/>
        <w:ind w:left="120"/>
      </w:pPr>
      <w:r>
        <w:rPr/>
        <w:t>Here are some examples of what you might discuss for each priority area.</w:t>
      </w:r>
    </w:p>
    <w:p>
      <w:pPr>
        <w:pStyle w:val="BodyText"/>
        <w:spacing w:before="9"/>
        <w:rPr>
          <w:sz w:val="25"/>
        </w:rPr>
      </w:pPr>
    </w:p>
    <w:p>
      <w:pPr>
        <w:pStyle w:val="ListParagraph"/>
        <w:numPr>
          <w:ilvl w:val="0"/>
          <w:numId w:val="4"/>
        </w:numPr>
        <w:tabs>
          <w:tab w:pos="763" w:val="left" w:leader="none"/>
          <w:tab w:pos="764" w:val="left" w:leader="none"/>
        </w:tabs>
        <w:spacing w:line="244" w:lineRule="auto" w:before="0" w:after="0"/>
        <w:ind w:left="763" w:right="913" w:hanging="360"/>
        <w:jc w:val="left"/>
        <w:rPr>
          <w:rFonts w:ascii="Calibri" w:hAnsi="Calibri"/>
          <w:sz w:val="22"/>
        </w:rPr>
      </w:pPr>
      <w:r>
        <w:rPr>
          <w:sz w:val="22"/>
        </w:rPr>
        <w:t>What are some potential stretch targets that can help drive change through goal setting and leverage commitment and</w:t>
      </w:r>
      <w:r>
        <w:rPr>
          <w:spacing w:val="-3"/>
          <w:sz w:val="22"/>
        </w:rPr>
        <w:t> </w:t>
      </w:r>
      <w:r>
        <w:rPr>
          <w:sz w:val="22"/>
        </w:rPr>
        <w:t>accountability?</w:t>
      </w:r>
    </w:p>
    <w:p>
      <w:pPr>
        <w:pStyle w:val="ListParagraph"/>
        <w:numPr>
          <w:ilvl w:val="0"/>
          <w:numId w:val="4"/>
        </w:numPr>
        <w:tabs>
          <w:tab w:pos="763" w:val="left" w:leader="none"/>
          <w:tab w:pos="764" w:val="left" w:leader="none"/>
        </w:tabs>
        <w:spacing w:line="240" w:lineRule="auto" w:before="17" w:after="0"/>
        <w:ind w:left="763" w:right="0" w:hanging="361"/>
        <w:jc w:val="left"/>
        <w:rPr>
          <w:rFonts w:ascii="Calibri" w:hAnsi="Calibri"/>
          <w:sz w:val="22"/>
        </w:rPr>
      </w:pPr>
      <w:r>
        <w:rPr>
          <w:sz w:val="22"/>
        </w:rPr>
        <w:t>How might you measure your performance, who will do this and</w:t>
      </w:r>
      <w:r>
        <w:rPr>
          <w:spacing w:val="-6"/>
          <w:sz w:val="22"/>
        </w:rPr>
        <w:t> </w:t>
      </w:r>
      <w:r>
        <w:rPr>
          <w:sz w:val="22"/>
        </w:rPr>
        <w:t>how?</w:t>
      </w:r>
    </w:p>
    <w:p>
      <w:pPr>
        <w:pStyle w:val="ListParagraph"/>
        <w:numPr>
          <w:ilvl w:val="0"/>
          <w:numId w:val="4"/>
        </w:numPr>
        <w:tabs>
          <w:tab w:pos="763" w:val="left" w:leader="none"/>
          <w:tab w:pos="764" w:val="left" w:leader="none"/>
        </w:tabs>
        <w:spacing w:line="244" w:lineRule="auto" w:before="8" w:after="0"/>
        <w:ind w:left="763" w:right="619" w:hanging="360"/>
        <w:jc w:val="left"/>
        <w:rPr>
          <w:rFonts w:ascii="Calibri" w:hAnsi="Calibri"/>
          <w:sz w:val="22"/>
        </w:rPr>
      </w:pPr>
      <w:r>
        <w:rPr>
          <w:sz w:val="22"/>
        </w:rPr>
        <w:t>Who is best placed to lead the activities to achieve each action and who else might need to be</w:t>
      </w:r>
      <w:r>
        <w:rPr>
          <w:spacing w:val="-3"/>
          <w:sz w:val="22"/>
        </w:rPr>
        <w:t> </w:t>
      </w:r>
      <w:r>
        <w:rPr>
          <w:sz w:val="22"/>
        </w:rPr>
        <w:t>involved?</w:t>
      </w:r>
    </w:p>
    <w:p>
      <w:pPr>
        <w:pStyle w:val="ListParagraph"/>
        <w:numPr>
          <w:ilvl w:val="0"/>
          <w:numId w:val="4"/>
        </w:numPr>
        <w:tabs>
          <w:tab w:pos="763" w:val="left" w:leader="none"/>
          <w:tab w:pos="764" w:val="left" w:leader="none"/>
        </w:tabs>
        <w:spacing w:line="240" w:lineRule="auto" w:before="15" w:after="0"/>
        <w:ind w:left="763" w:right="0" w:hanging="361"/>
        <w:jc w:val="left"/>
        <w:rPr>
          <w:rFonts w:ascii="Calibri" w:hAnsi="Calibri"/>
          <w:sz w:val="22"/>
        </w:rPr>
      </w:pPr>
      <w:r>
        <w:rPr>
          <w:sz w:val="22"/>
        </w:rPr>
        <w:t>Who will monitor progress and when will you report on your</w:t>
      </w:r>
      <w:r>
        <w:rPr>
          <w:spacing w:val="-1"/>
          <w:sz w:val="22"/>
        </w:rPr>
        <w:t> </w:t>
      </w:r>
      <w:r>
        <w:rPr>
          <w:sz w:val="22"/>
        </w:rPr>
        <w:t>actions?</w:t>
      </w:r>
    </w:p>
    <w:p>
      <w:pPr>
        <w:pStyle w:val="ListParagraph"/>
        <w:numPr>
          <w:ilvl w:val="0"/>
          <w:numId w:val="4"/>
        </w:numPr>
        <w:tabs>
          <w:tab w:pos="763" w:val="left" w:leader="none"/>
          <w:tab w:pos="764" w:val="left" w:leader="none"/>
        </w:tabs>
        <w:spacing w:line="240" w:lineRule="auto" w:before="5" w:after="0"/>
        <w:ind w:left="763" w:right="0" w:hanging="361"/>
        <w:jc w:val="left"/>
        <w:rPr>
          <w:rFonts w:ascii="Calibri" w:hAnsi="Calibri"/>
          <w:i/>
          <w:color w:val="EC7C30"/>
          <w:sz w:val="22"/>
        </w:rPr>
      </w:pPr>
      <w:r>
        <w:rPr>
          <w:sz w:val="22"/>
        </w:rPr>
        <w:t>Who will you need to consult and seek endorsement of your plan</w:t>
      </w:r>
      <w:r>
        <w:rPr>
          <w:spacing w:val="-2"/>
          <w:sz w:val="22"/>
        </w:rPr>
        <w:t> </w:t>
      </w:r>
      <w:r>
        <w:rPr>
          <w:sz w:val="22"/>
        </w:rPr>
        <w:t>from</w:t>
      </w:r>
      <w:r>
        <w:rPr>
          <w:i/>
          <w:sz w:val="22"/>
        </w:rPr>
        <w:t>?</w:t>
      </w:r>
    </w:p>
    <w:p>
      <w:pPr>
        <w:pStyle w:val="BodyText"/>
        <w:rPr>
          <w:i/>
          <w:sz w:val="19"/>
        </w:rPr>
      </w:pPr>
      <w:r>
        <w:rPr/>
        <w:pict>
          <v:shape style="position:absolute;margin-left:72pt;margin-top:13.310537pt;width:450.75pt;height:36pt;mso-position-horizontal-relative:page;mso-position-vertical-relative:paragraph;z-index:-251650048;mso-wrap-distance-left:0;mso-wrap-distance-right:0" type="#_x0000_t202" filled="true" fillcolor="#eadcf4" stroked="true" strokeweight=".75pt" strokecolor="#6f2f9f">
            <v:textbox inset="0,0,0,0">
              <w:txbxContent>
                <w:p>
                  <w:pPr>
                    <w:pStyle w:val="BodyText"/>
                    <w:spacing w:line="259" w:lineRule="auto" w:before="70"/>
                    <w:ind w:left="144" w:right="315"/>
                    <w:rPr>
                      <w:rFonts w:ascii="Calibri" w:hAnsi="Calibri"/>
                    </w:rPr>
                  </w:pPr>
                  <w:r>
                    <w:rPr>
                      <w:rFonts w:ascii="Calibri" w:hAnsi="Calibri"/>
                    </w:rPr>
                    <w:t>ACTION: Enter your short (Yr1), medium (Yr2) and long term (Yr3) activities for each key action identified on ‘Page 1’ of the Gender Equality Action Plan template. An example is shown below.</w:t>
                  </w:r>
                </w:p>
              </w:txbxContent>
            </v:textbox>
            <v:fill type="solid"/>
            <v:stroke dashstyle="solid"/>
            <w10:wrap type="topAndBottom"/>
          </v:shape>
        </w:pict>
      </w:r>
    </w:p>
    <w:p>
      <w:pPr>
        <w:spacing w:before="140"/>
        <w:ind w:left="120" w:right="0" w:firstLine="0"/>
        <w:jc w:val="left"/>
        <w:rPr>
          <w:b/>
          <w:sz w:val="22"/>
        </w:rPr>
      </w:pPr>
      <w:r>
        <w:rPr>
          <w:b/>
          <w:color w:val="6F2F9F"/>
          <w:sz w:val="22"/>
        </w:rPr>
        <w:t>Workforce Participation (Example)</w:t>
      </w:r>
    </w:p>
    <w:p>
      <w:pPr>
        <w:pStyle w:val="BodyText"/>
        <w:spacing w:before="184"/>
        <w:ind w:left="120"/>
      </w:pPr>
      <w:r>
        <w:rPr/>
        <w:t>(Where appropriate, include links to relevant actions that already exist in other plans)</w:t>
      </w:r>
    </w:p>
    <w:p>
      <w:pPr>
        <w:pStyle w:val="BodyText"/>
        <w:spacing w:before="8" w:after="1"/>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2009"/>
        <w:gridCol w:w="1560"/>
        <w:gridCol w:w="2268"/>
        <w:gridCol w:w="1558"/>
      </w:tblGrid>
      <w:tr>
        <w:trPr>
          <w:trHeight w:val="1082" w:hRule="atLeast"/>
        </w:trPr>
        <w:tc>
          <w:tcPr>
            <w:tcW w:w="1814" w:type="dxa"/>
          </w:tcPr>
          <w:p>
            <w:pPr>
              <w:pStyle w:val="TableParagraph"/>
              <w:spacing w:line="250" w:lineRule="exact"/>
              <w:ind w:left="107"/>
              <w:rPr>
                <w:b/>
                <w:sz w:val="22"/>
              </w:rPr>
            </w:pPr>
            <w:r>
              <w:rPr>
                <w:b/>
                <w:sz w:val="22"/>
              </w:rPr>
              <w:t>Year 1</w:t>
            </w:r>
          </w:p>
          <w:p>
            <w:pPr>
              <w:pStyle w:val="TableParagraph"/>
              <w:spacing w:line="252" w:lineRule="exact"/>
              <w:ind w:left="107"/>
              <w:rPr>
                <w:b/>
                <w:sz w:val="22"/>
              </w:rPr>
            </w:pPr>
            <w:r>
              <w:rPr>
                <w:b/>
                <w:sz w:val="22"/>
              </w:rPr>
              <w:t>(Insert) 2018 –</w:t>
            </w:r>
          </w:p>
          <w:p>
            <w:pPr>
              <w:pStyle w:val="TableParagraph"/>
              <w:spacing w:line="252" w:lineRule="exact"/>
              <w:ind w:left="107"/>
              <w:rPr>
                <w:b/>
                <w:sz w:val="22"/>
              </w:rPr>
            </w:pPr>
            <w:r>
              <w:rPr>
                <w:b/>
                <w:sz w:val="22"/>
              </w:rPr>
              <w:t>2019</w:t>
            </w:r>
          </w:p>
        </w:tc>
        <w:tc>
          <w:tcPr>
            <w:tcW w:w="2009" w:type="dxa"/>
          </w:tcPr>
          <w:p>
            <w:pPr>
              <w:pStyle w:val="TableParagraph"/>
              <w:spacing w:line="250" w:lineRule="exact"/>
              <w:rPr>
                <w:b/>
                <w:sz w:val="22"/>
              </w:rPr>
            </w:pPr>
            <w:r>
              <w:rPr>
                <w:b/>
                <w:sz w:val="22"/>
              </w:rPr>
              <w:t>Year 2</w:t>
            </w:r>
          </w:p>
          <w:p>
            <w:pPr>
              <w:pStyle w:val="TableParagraph"/>
              <w:spacing w:line="252" w:lineRule="exact"/>
              <w:rPr>
                <w:b/>
                <w:sz w:val="22"/>
              </w:rPr>
            </w:pPr>
            <w:r>
              <w:rPr>
                <w:b/>
                <w:sz w:val="22"/>
              </w:rPr>
              <w:t>Insert) 2019 –</w:t>
            </w:r>
          </w:p>
          <w:p>
            <w:pPr>
              <w:pStyle w:val="TableParagraph"/>
              <w:spacing w:line="252" w:lineRule="exact"/>
              <w:rPr>
                <w:b/>
                <w:sz w:val="22"/>
              </w:rPr>
            </w:pPr>
            <w:r>
              <w:rPr>
                <w:b/>
                <w:sz w:val="22"/>
              </w:rPr>
              <w:t>2020</w:t>
            </w:r>
          </w:p>
        </w:tc>
        <w:tc>
          <w:tcPr>
            <w:tcW w:w="1560" w:type="dxa"/>
          </w:tcPr>
          <w:p>
            <w:pPr>
              <w:pStyle w:val="TableParagraph"/>
              <w:spacing w:line="250" w:lineRule="exact"/>
              <w:rPr>
                <w:b/>
                <w:sz w:val="22"/>
              </w:rPr>
            </w:pPr>
            <w:r>
              <w:rPr>
                <w:b/>
                <w:sz w:val="22"/>
              </w:rPr>
              <w:t>Year 3</w:t>
            </w:r>
          </w:p>
          <w:p>
            <w:pPr>
              <w:pStyle w:val="TableParagraph"/>
              <w:spacing w:line="252" w:lineRule="exact"/>
              <w:rPr>
                <w:b/>
                <w:sz w:val="22"/>
              </w:rPr>
            </w:pPr>
            <w:r>
              <w:rPr>
                <w:b/>
                <w:sz w:val="22"/>
              </w:rPr>
              <w:t>Insert) 2020</w:t>
            </w:r>
          </w:p>
          <w:p>
            <w:pPr>
              <w:pStyle w:val="TableParagraph"/>
              <w:spacing w:line="252" w:lineRule="exact"/>
              <w:rPr>
                <w:b/>
                <w:sz w:val="22"/>
              </w:rPr>
            </w:pPr>
            <w:r>
              <w:rPr>
                <w:b/>
                <w:sz w:val="22"/>
              </w:rPr>
              <w:t>– 2021</w:t>
            </w:r>
          </w:p>
        </w:tc>
        <w:tc>
          <w:tcPr>
            <w:tcW w:w="2268" w:type="dxa"/>
          </w:tcPr>
          <w:p>
            <w:pPr>
              <w:pStyle w:val="TableParagraph"/>
              <w:ind w:right="136"/>
              <w:rPr>
                <w:sz w:val="18"/>
              </w:rPr>
            </w:pPr>
            <w:r>
              <w:rPr>
                <w:b/>
                <w:sz w:val="22"/>
              </w:rPr>
              <w:t>Success </w:t>
            </w:r>
            <w:r>
              <w:rPr>
                <w:b/>
                <w:spacing w:val="-3"/>
                <w:sz w:val="22"/>
              </w:rPr>
              <w:t>Measures </w:t>
            </w:r>
            <w:r>
              <w:rPr>
                <w:sz w:val="18"/>
              </w:rPr>
              <w:t>(Performance against targets and/or how</w:t>
            </w:r>
            <w:r>
              <w:rPr>
                <w:spacing w:val="-7"/>
                <w:sz w:val="18"/>
              </w:rPr>
              <w:t> </w:t>
            </w:r>
            <w:r>
              <w:rPr>
                <w:sz w:val="18"/>
              </w:rPr>
              <w:t>we</w:t>
            </w:r>
          </w:p>
          <w:p>
            <w:pPr>
              <w:pStyle w:val="TableParagraph"/>
              <w:spacing w:line="210" w:lineRule="atLeast"/>
              <w:ind w:right="339"/>
              <w:rPr>
                <w:sz w:val="18"/>
              </w:rPr>
            </w:pPr>
            <w:r>
              <w:rPr>
                <w:sz w:val="18"/>
              </w:rPr>
              <w:t>will know actions are successfully</w:t>
            </w:r>
            <w:r>
              <w:rPr>
                <w:spacing w:val="-10"/>
                <w:sz w:val="18"/>
              </w:rPr>
              <w:t> </w:t>
            </w:r>
            <w:r>
              <w:rPr>
                <w:sz w:val="18"/>
              </w:rPr>
              <w:t>achieved)</w:t>
            </w:r>
          </w:p>
        </w:tc>
        <w:tc>
          <w:tcPr>
            <w:tcW w:w="1558" w:type="dxa"/>
          </w:tcPr>
          <w:p>
            <w:pPr>
              <w:pStyle w:val="TableParagraph"/>
              <w:ind w:right="127"/>
              <w:jc w:val="both"/>
              <w:rPr>
                <w:b/>
                <w:sz w:val="22"/>
              </w:rPr>
            </w:pPr>
            <w:r>
              <w:rPr>
                <w:b/>
                <w:sz w:val="22"/>
              </w:rPr>
              <w:t>Responsible Department/ Area</w:t>
            </w:r>
          </w:p>
        </w:tc>
      </w:tr>
      <w:tr>
        <w:trPr>
          <w:trHeight w:val="500" w:hRule="atLeast"/>
        </w:trPr>
        <w:tc>
          <w:tcPr>
            <w:tcW w:w="9209" w:type="dxa"/>
            <w:gridSpan w:val="5"/>
          </w:tcPr>
          <w:p>
            <w:pPr>
              <w:pStyle w:val="TableParagraph"/>
              <w:tabs>
                <w:tab w:pos="1698" w:val="left" w:leader="none"/>
              </w:tabs>
              <w:spacing w:line="243" w:lineRule="exact"/>
              <w:ind w:left="107"/>
              <w:rPr>
                <w:b/>
                <w:sz w:val="22"/>
              </w:rPr>
            </w:pPr>
            <w:r>
              <w:rPr>
                <w:b/>
                <w:sz w:val="22"/>
              </w:rPr>
              <w:t>#Key</w:t>
            </w:r>
            <w:r>
              <w:rPr>
                <w:b/>
                <w:spacing w:val="-2"/>
                <w:sz w:val="22"/>
              </w:rPr>
              <w:t> </w:t>
            </w:r>
            <w:r>
              <w:rPr>
                <w:b/>
                <w:sz w:val="22"/>
              </w:rPr>
              <w:t>Action:</w:t>
              <w:tab/>
              <w:t>Establish flexible work practices that support women’s participation</w:t>
            </w:r>
            <w:r>
              <w:rPr>
                <w:b/>
                <w:spacing w:val="-23"/>
                <w:sz w:val="22"/>
              </w:rPr>
              <w:t> </w:t>
            </w:r>
            <w:r>
              <w:rPr>
                <w:b/>
                <w:sz w:val="22"/>
              </w:rPr>
              <w:t>in</w:t>
            </w:r>
          </w:p>
          <w:p>
            <w:pPr>
              <w:pStyle w:val="TableParagraph"/>
              <w:spacing w:line="237" w:lineRule="exact" w:before="1"/>
              <w:ind w:left="107"/>
              <w:rPr>
                <w:b/>
                <w:sz w:val="22"/>
              </w:rPr>
            </w:pPr>
            <w:r>
              <w:rPr>
                <w:b/>
                <w:sz w:val="22"/>
              </w:rPr>
              <w:t>leadership roles</w:t>
            </w:r>
          </w:p>
        </w:tc>
      </w:tr>
      <w:tr>
        <w:trPr>
          <w:trHeight w:val="1519" w:hRule="atLeast"/>
        </w:trPr>
        <w:tc>
          <w:tcPr>
            <w:tcW w:w="1814" w:type="dxa"/>
          </w:tcPr>
          <w:p>
            <w:pPr>
              <w:pStyle w:val="TableParagraph"/>
              <w:ind w:left="107" w:right="160"/>
              <w:rPr>
                <w:sz w:val="22"/>
              </w:rPr>
            </w:pPr>
            <w:r>
              <w:rPr>
                <w:sz w:val="22"/>
              </w:rPr>
              <w:t>e.g. Audit number of staff on flexible work arrangements</w:t>
            </w:r>
          </w:p>
        </w:tc>
        <w:tc>
          <w:tcPr>
            <w:tcW w:w="2009" w:type="dxa"/>
          </w:tcPr>
          <w:p>
            <w:pPr>
              <w:pStyle w:val="TableParagraph"/>
              <w:ind w:right="134"/>
              <w:rPr>
                <w:sz w:val="22"/>
              </w:rPr>
            </w:pPr>
            <w:r>
              <w:rPr>
                <w:sz w:val="22"/>
              </w:rPr>
              <w:t>e.g. Establish targets for flexible work arrangements for men and women</w:t>
            </w:r>
          </w:p>
        </w:tc>
        <w:tc>
          <w:tcPr>
            <w:tcW w:w="1560" w:type="dxa"/>
          </w:tcPr>
          <w:p>
            <w:pPr>
              <w:pStyle w:val="TableParagraph"/>
              <w:ind w:right="415"/>
              <w:rPr>
                <w:sz w:val="22"/>
              </w:rPr>
            </w:pPr>
            <w:r>
              <w:rPr>
                <w:sz w:val="22"/>
              </w:rPr>
              <w:t>e.g. </w:t>
            </w:r>
            <w:r>
              <w:rPr>
                <w:spacing w:val="-1"/>
                <w:sz w:val="22"/>
              </w:rPr>
              <w:t>Undertake </w:t>
            </w:r>
            <w:r>
              <w:rPr>
                <w:sz w:val="22"/>
              </w:rPr>
              <w:t>review of progress against</w:t>
            </w:r>
          </w:p>
          <w:p>
            <w:pPr>
              <w:pStyle w:val="TableParagraph"/>
              <w:spacing w:line="237" w:lineRule="exact"/>
              <w:rPr>
                <w:sz w:val="22"/>
              </w:rPr>
            </w:pPr>
            <w:r>
              <w:rPr>
                <w:sz w:val="22"/>
              </w:rPr>
              <w:t>targets</w:t>
            </w:r>
          </w:p>
        </w:tc>
        <w:tc>
          <w:tcPr>
            <w:tcW w:w="2268" w:type="dxa"/>
          </w:tcPr>
          <w:p>
            <w:pPr>
              <w:pStyle w:val="TableParagraph"/>
              <w:ind w:right="136"/>
              <w:rPr>
                <w:sz w:val="22"/>
              </w:rPr>
            </w:pPr>
            <w:r>
              <w:rPr>
                <w:sz w:val="22"/>
              </w:rPr>
              <w:t>e.g. Report on progress and promote and publish your results internally and</w:t>
            </w:r>
          </w:p>
          <w:p>
            <w:pPr>
              <w:pStyle w:val="TableParagraph"/>
              <w:spacing w:line="237" w:lineRule="exact"/>
              <w:rPr>
                <w:sz w:val="22"/>
              </w:rPr>
            </w:pPr>
            <w:r>
              <w:rPr>
                <w:sz w:val="22"/>
              </w:rPr>
              <w:t>externally</w:t>
            </w:r>
          </w:p>
        </w:tc>
        <w:tc>
          <w:tcPr>
            <w:tcW w:w="1558" w:type="dxa"/>
          </w:tcPr>
          <w:p>
            <w:pPr>
              <w:pStyle w:val="TableParagraph"/>
              <w:spacing w:line="250" w:lineRule="exact"/>
              <w:rPr>
                <w:sz w:val="22"/>
              </w:rPr>
            </w:pPr>
            <w:r>
              <w:rPr>
                <w:sz w:val="22"/>
              </w:rPr>
              <w:t>XXXX</w:t>
            </w:r>
          </w:p>
        </w:tc>
      </w:tr>
      <w:tr>
        <w:trPr>
          <w:trHeight w:val="2022" w:hRule="atLeast"/>
        </w:trPr>
        <w:tc>
          <w:tcPr>
            <w:tcW w:w="1814" w:type="dxa"/>
          </w:tcPr>
          <w:p>
            <w:pPr>
              <w:pStyle w:val="TableParagraph"/>
              <w:ind w:left="107" w:right="138"/>
              <w:rPr>
                <w:sz w:val="22"/>
              </w:rPr>
            </w:pPr>
            <w:r>
              <w:rPr>
                <w:sz w:val="22"/>
              </w:rPr>
              <w:t>e.g. Identify best practice and establish and promote successful </w:t>
            </w:r>
            <w:r>
              <w:rPr>
                <w:spacing w:val="-4"/>
                <w:sz w:val="22"/>
              </w:rPr>
              <w:t>case </w:t>
            </w:r>
            <w:r>
              <w:rPr>
                <w:sz w:val="22"/>
              </w:rPr>
              <w:t>studies</w:t>
            </w:r>
          </w:p>
        </w:tc>
        <w:tc>
          <w:tcPr>
            <w:tcW w:w="2009" w:type="dxa"/>
          </w:tcPr>
          <w:p>
            <w:pPr>
              <w:pStyle w:val="TableParagraph"/>
              <w:ind w:right="134"/>
              <w:rPr>
                <w:sz w:val="22"/>
              </w:rPr>
            </w:pPr>
            <w:r>
              <w:rPr>
                <w:sz w:val="22"/>
              </w:rPr>
              <w:t>e.g. Have agency heads and executives agree to implement best practice arrangements identified from</w:t>
            </w:r>
          </w:p>
          <w:p>
            <w:pPr>
              <w:pStyle w:val="TableParagraph"/>
              <w:spacing w:line="234" w:lineRule="exact"/>
              <w:rPr>
                <w:sz w:val="22"/>
              </w:rPr>
            </w:pPr>
            <w:r>
              <w:rPr>
                <w:sz w:val="22"/>
              </w:rPr>
              <w:t>case studies</w:t>
            </w:r>
          </w:p>
        </w:tc>
        <w:tc>
          <w:tcPr>
            <w:tcW w:w="1560" w:type="dxa"/>
          </w:tcPr>
          <w:p>
            <w:pPr>
              <w:pStyle w:val="TableParagraph"/>
              <w:ind w:right="121"/>
              <w:rPr>
                <w:sz w:val="22"/>
              </w:rPr>
            </w:pPr>
            <w:r>
              <w:rPr>
                <w:sz w:val="22"/>
              </w:rPr>
              <w:t>e.g. Undertake review of flexible work practices and the benefits to the</w:t>
            </w:r>
          </w:p>
          <w:p>
            <w:pPr>
              <w:pStyle w:val="TableParagraph"/>
              <w:spacing w:line="234" w:lineRule="exact"/>
              <w:rPr>
                <w:sz w:val="22"/>
              </w:rPr>
            </w:pPr>
            <w:r>
              <w:rPr>
                <w:sz w:val="22"/>
              </w:rPr>
              <w:t>business</w:t>
            </w:r>
          </w:p>
        </w:tc>
        <w:tc>
          <w:tcPr>
            <w:tcW w:w="2268" w:type="dxa"/>
          </w:tcPr>
          <w:p>
            <w:pPr>
              <w:pStyle w:val="TableParagraph"/>
              <w:ind w:right="112"/>
              <w:rPr>
                <w:sz w:val="22"/>
              </w:rPr>
            </w:pPr>
            <w:r>
              <w:rPr>
                <w:sz w:val="22"/>
              </w:rPr>
              <w:t>e.g. Number of women in leadership roles has increased by XX%</w:t>
            </w:r>
          </w:p>
        </w:tc>
        <w:tc>
          <w:tcPr>
            <w:tcW w:w="1558" w:type="dxa"/>
          </w:tcPr>
          <w:p>
            <w:pPr>
              <w:pStyle w:val="TableParagraph"/>
              <w:spacing w:line="250" w:lineRule="exact"/>
              <w:rPr>
                <w:sz w:val="22"/>
              </w:rPr>
            </w:pPr>
            <w:r>
              <w:rPr>
                <w:sz w:val="22"/>
              </w:rPr>
              <w:t>XXXX</w:t>
            </w:r>
          </w:p>
        </w:tc>
      </w:tr>
    </w:tbl>
    <w:p>
      <w:pPr>
        <w:spacing w:after="0" w:line="250" w:lineRule="exact"/>
        <w:rPr>
          <w:sz w:val="22"/>
        </w:rPr>
        <w:sectPr>
          <w:pgSz w:w="11910" w:h="16840"/>
          <w:pgMar w:header="0" w:footer="995" w:top="1320" w:bottom="1180" w:left="1320" w:right="1140"/>
        </w:sectPr>
      </w:pPr>
    </w:p>
    <w:p>
      <w:pPr>
        <w:pStyle w:val="Heading1"/>
        <w:spacing w:before="81"/>
      </w:pPr>
      <w:r>
        <w:rPr>
          <w:color w:val="6F2F9F"/>
        </w:rPr>
        <w:t>Monitoring Progress and</w:t>
      </w:r>
      <w:r>
        <w:rPr>
          <w:color w:val="6F2F9F"/>
          <w:spacing w:val="-11"/>
        </w:rPr>
        <w:t> </w:t>
      </w:r>
      <w:r>
        <w:rPr>
          <w:color w:val="6F2F9F"/>
        </w:rPr>
        <w:t>Reporting</w:t>
      </w:r>
    </w:p>
    <w:p>
      <w:pPr>
        <w:pStyle w:val="BodyText"/>
        <w:spacing w:line="259" w:lineRule="auto" w:before="31"/>
        <w:ind w:left="120" w:right="383"/>
      </w:pPr>
      <w:r>
        <w:rPr/>
        <w:t>As a three year plan it will be important to monitor the progress of your actions and consider reporting on your progress and achievements</w:t>
      </w:r>
      <w:r>
        <w:rPr>
          <w:spacing w:val="-2"/>
        </w:rPr>
        <w:t> </w:t>
      </w:r>
      <w:r>
        <w:rPr/>
        <w:t>regularly.</w:t>
      </w:r>
    </w:p>
    <w:p>
      <w:pPr>
        <w:pStyle w:val="BodyText"/>
        <w:spacing w:line="259" w:lineRule="auto" w:before="159"/>
        <w:ind w:left="120" w:right="811"/>
      </w:pPr>
      <w:r>
        <w:rPr/>
        <w:t>It is recommended you review your plan and progress annually, and if necessary, make adjustments to the detailed actions in your plan to represent any changes or additional actions you need to take.</w:t>
      </w:r>
    </w:p>
    <w:p>
      <w:pPr>
        <w:pStyle w:val="BodyText"/>
        <w:spacing w:line="259" w:lineRule="auto" w:before="160"/>
        <w:ind w:left="120" w:right="847"/>
      </w:pPr>
      <w:r>
        <w:rPr/>
        <w:t>Consider publicly reporting on your progress and demonstrate what has been achieved alongside your published action plan.</w:t>
      </w:r>
    </w:p>
    <w:p>
      <w:pPr>
        <w:pStyle w:val="BodyText"/>
        <w:spacing w:line="259" w:lineRule="auto" w:before="161"/>
        <w:ind w:left="120" w:right="334"/>
      </w:pPr>
      <w:r>
        <w:rPr/>
        <w:t>Significant research has been undertaken and organisations such as the Diversity Council of Australia and the Workplace Gender Equality Agency can confirm, showcasing your commitment, demonstrates there is a purposeful approach to diversity and inclusion enabling broader perspectives and insights to better serve your customers and to be recognised as an employer of choice and an enhanced organisational</w:t>
      </w:r>
      <w:r>
        <w:rPr>
          <w:spacing w:val="-10"/>
        </w:rPr>
        <w:t> </w:t>
      </w:r>
      <w:r>
        <w:rPr/>
        <w:t>reputation.</w:t>
      </w:r>
    </w:p>
    <w:p>
      <w:pPr>
        <w:pStyle w:val="BodyText"/>
        <w:spacing w:line="259" w:lineRule="auto" w:before="159"/>
        <w:ind w:left="120" w:right="1030"/>
      </w:pPr>
      <w:r>
        <w:rPr/>
        <w:t>At the end of the three years, review and develop a plan for the following three years, ensuring gender equality is sustained.</w:t>
      </w:r>
    </w:p>
    <w:p>
      <w:pPr>
        <w:pStyle w:val="BodyText"/>
        <w:spacing w:before="5"/>
        <w:rPr>
          <w:sz w:val="20"/>
        </w:rPr>
      </w:pPr>
    </w:p>
    <w:p>
      <w:pPr>
        <w:pStyle w:val="Heading1"/>
      </w:pPr>
      <w:r>
        <w:rPr>
          <w:color w:val="6F2F9F"/>
        </w:rPr>
        <w:t>Supporting Resources</w:t>
      </w:r>
    </w:p>
    <w:p>
      <w:pPr>
        <w:pStyle w:val="Heading2"/>
        <w:spacing w:before="72"/>
      </w:pPr>
      <w:r>
        <w:rPr>
          <w:color w:val="6F2F9F"/>
        </w:rPr>
        <w:t>Workforce Participation:</w:t>
      </w:r>
    </w:p>
    <w:p>
      <w:pPr>
        <w:pStyle w:val="BodyText"/>
        <w:spacing w:line="259" w:lineRule="auto" w:before="24"/>
        <w:ind w:left="120" w:right="676"/>
      </w:pPr>
      <w:r>
        <w:rPr/>
        <w:t>Gender Strategy Toolkit – A direction for achieving gender equality in your organisations. Developed by the Workplace Gender Equality Agency (Access resource </w:t>
      </w:r>
      <w:hyperlink r:id="rId15">
        <w:r>
          <w:rPr>
            <w:color w:val="6F2F9F"/>
            <w:u w:val="single" w:color="6F2F9F"/>
          </w:rPr>
          <w:t>here</w:t>
        </w:r>
      </w:hyperlink>
      <w:r>
        <w:rPr/>
        <w:t>).</w:t>
      </w:r>
    </w:p>
    <w:p>
      <w:pPr>
        <w:pStyle w:val="BodyText"/>
        <w:spacing w:before="6"/>
        <w:rPr>
          <w:sz w:val="15"/>
        </w:rPr>
      </w:pPr>
    </w:p>
    <w:p>
      <w:pPr>
        <w:pStyle w:val="BodyText"/>
        <w:spacing w:line="259" w:lineRule="auto" w:before="93"/>
        <w:ind w:left="120" w:right="395"/>
      </w:pPr>
      <w:r>
        <w:rPr/>
        <w:t>Who is this toolkit for? Any individual who is a stakeholder in workplace gender equality and has the potential to influence an organisation’s approach to gender issues should find some or all of the frameworks and ideas useful. Such stakeholders are likely to include business leaders and managers, diversity champions and sponsors within organisations, and human resources or diversity practitioners.</w:t>
      </w:r>
    </w:p>
    <w:p>
      <w:pPr>
        <w:pStyle w:val="BodyText"/>
        <w:spacing w:before="161"/>
        <w:ind w:left="120" w:right="334"/>
      </w:pPr>
      <w:hyperlink r:id="rId16">
        <w:r>
          <w:rPr>
            <w:color w:val="6F2F9F"/>
            <w:u w:val="single" w:color="6F2F9F"/>
          </w:rPr>
          <w:t>Diversity resources – ASX</w:t>
        </w:r>
        <w:r>
          <w:rPr>
            <w:color w:val="6F2F9F"/>
          </w:rPr>
          <w:t> </w:t>
        </w:r>
      </w:hyperlink>
      <w:r>
        <w:rPr/>
        <w:t>offers a range of resources that listed companies may find helpful in implementing diversity.</w:t>
      </w:r>
    </w:p>
    <w:p>
      <w:pPr>
        <w:pStyle w:val="BodyText"/>
        <w:spacing w:before="11"/>
        <w:rPr>
          <w:sz w:val="21"/>
        </w:rPr>
      </w:pPr>
    </w:p>
    <w:p>
      <w:pPr>
        <w:pStyle w:val="BodyText"/>
        <w:ind w:left="120" w:right="517"/>
      </w:pPr>
      <w:r>
        <w:rPr/>
        <w:t>Working for Queensland survey – collects data annually on the use of flexible work options and employee perceptions of whether gender is a barrier to success in their organisation - </w:t>
      </w:r>
      <w:hyperlink r:id="rId17">
        <w:r>
          <w:rPr>
            <w:color w:val="6F2F9F"/>
            <w:u w:val="single" w:color="6F2F9F"/>
          </w:rPr>
          <w:t>https://www.forgov.qld.gov.au/working-queensland-survey</w:t>
        </w:r>
      </w:hyperlink>
    </w:p>
    <w:p>
      <w:pPr>
        <w:pStyle w:val="BodyText"/>
        <w:spacing w:before="11"/>
        <w:rPr>
          <w:sz w:val="13"/>
        </w:rPr>
      </w:pPr>
    </w:p>
    <w:p>
      <w:pPr>
        <w:pStyle w:val="BodyText"/>
        <w:spacing w:before="94"/>
        <w:ind w:left="120" w:right="787"/>
      </w:pPr>
      <w:r>
        <w:rPr/>
        <w:t>Inclusion and diversity commitment, including gender targets for the Queensland public service at the SO and SES level - </w:t>
      </w:r>
      <w:hyperlink r:id="rId18">
        <w:r>
          <w:rPr>
            <w:color w:val="6F2F9F"/>
            <w:u w:val="single" w:color="6F2F9F"/>
          </w:rPr>
          <w:t>https://www.forgov.qld.gov.au/inclusion-and-diversity-</w:t>
        </w:r>
      </w:hyperlink>
      <w:r>
        <w:rPr>
          <w:color w:val="6F2F9F"/>
        </w:rPr>
        <w:t> </w:t>
      </w:r>
      <w:hyperlink r:id="rId18">
        <w:r>
          <w:rPr>
            <w:color w:val="6F2F9F"/>
            <w:u w:val="single" w:color="6F2F9F"/>
          </w:rPr>
          <w:t>commitment</w:t>
        </w:r>
      </w:hyperlink>
    </w:p>
    <w:p>
      <w:pPr>
        <w:pStyle w:val="BodyText"/>
        <w:spacing w:before="5"/>
        <w:rPr>
          <w:sz w:val="29"/>
        </w:rPr>
      </w:pPr>
    </w:p>
    <w:p>
      <w:pPr>
        <w:pStyle w:val="Heading2"/>
      </w:pPr>
      <w:r>
        <w:rPr>
          <w:color w:val="6F2F9F"/>
        </w:rPr>
        <w:t>Policy, Programs and Services:</w:t>
      </w:r>
    </w:p>
    <w:p>
      <w:pPr>
        <w:pStyle w:val="BodyText"/>
        <w:spacing w:line="256" w:lineRule="auto" w:before="27"/>
        <w:ind w:left="120" w:right="566"/>
      </w:pPr>
      <w:r>
        <w:rPr>
          <w:i/>
        </w:rPr>
        <w:t>Gender Analysis Toolkit </w:t>
      </w:r>
      <w:r>
        <w:rPr/>
        <w:t>– a resource to assist in analysis of gender equality developed by the Queensland Government (Access resource </w:t>
      </w:r>
      <w:hyperlink r:id="rId14">
        <w:r>
          <w:rPr>
            <w:color w:val="247CA7"/>
            <w:u w:val="single" w:color="247CA7"/>
          </w:rPr>
          <w:t>here</w:t>
        </w:r>
      </w:hyperlink>
      <w:r>
        <w:rPr/>
        <w:t>)</w:t>
      </w:r>
    </w:p>
    <w:p>
      <w:pPr>
        <w:pStyle w:val="BodyText"/>
        <w:spacing w:before="11"/>
        <w:rPr>
          <w:sz w:val="15"/>
        </w:rPr>
      </w:pPr>
    </w:p>
    <w:p>
      <w:pPr>
        <w:pStyle w:val="BodyText"/>
        <w:spacing w:before="94"/>
        <w:ind w:left="120"/>
      </w:pPr>
      <w:r>
        <w:rPr/>
        <w:t>This toolkit can help to apply gender analysis in daily activities with focus</w:t>
      </w:r>
      <w:r>
        <w:rPr>
          <w:spacing w:val="-28"/>
        </w:rPr>
        <w:t> </w:t>
      </w:r>
      <w:r>
        <w:rPr/>
        <w:t>on:</w:t>
      </w:r>
    </w:p>
    <w:p>
      <w:pPr>
        <w:pStyle w:val="ListParagraph"/>
        <w:numPr>
          <w:ilvl w:val="0"/>
          <w:numId w:val="4"/>
        </w:numPr>
        <w:tabs>
          <w:tab w:pos="763" w:val="left" w:leader="none"/>
          <w:tab w:pos="764" w:val="left" w:leader="none"/>
        </w:tabs>
        <w:spacing w:line="244" w:lineRule="auto" w:before="22" w:after="0"/>
        <w:ind w:left="763" w:right="669" w:hanging="360"/>
        <w:jc w:val="left"/>
        <w:rPr>
          <w:rFonts w:ascii="Calibri" w:hAnsi="Calibri"/>
          <w:sz w:val="22"/>
        </w:rPr>
      </w:pPr>
      <w:r>
        <w:rPr>
          <w:sz w:val="22"/>
        </w:rPr>
        <w:t>better interpreting policy, and outcomes of policy implementation and program and service delivery, in respect of gender awareness;</w:t>
      </w:r>
      <w:r>
        <w:rPr>
          <w:spacing w:val="3"/>
          <w:sz w:val="22"/>
        </w:rPr>
        <w:t> </w:t>
      </w:r>
      <w:r>
        <w:rPr>
          <w:sz w:val="22"/>
        </w:rPr>
        <w:t>and/or</w:t>
      </w:r>
    </w:p>
    <w:p>
      <w:pPr>
        <w:pStyle w:val="ListParagraph"/>
        <w:numPr>
          <w:ilvl w:val="0"/>
          <w:numId w:val="4"/>
        </w:numPr>
        <w:tabs>
          <w:tab w:pos="763" w:val="left" w:leader="none"/>
          <w:tab w:pos="764" w:val="left" w:leader="none"/>
        </w:tabs>
        <w:spacing w:line="244" w:lineRule="auto" w:before="18" w:after="0"/>
        <w:ind w:left="763" w:right="340" w:hanging="360"/>
        <w:jc w:val="left"/>
        <w:rPr>
          <w:rFonts w:ascii="Calibri" w:hAnsi="Calibri"/>
          <w:sz w:val="22"/>
        </w:rPr>
      </w:pPr>
      <w:r>
        <w:rPr>
          <w:sz w:val="22"/>
        </w:rPr>
        <w:t>consideration of gender issues as an integral factor in each stage of the development, implementation and evaluation of all policies, programs and</w:t>
      </w:r>
      <w:r>
        <w:rPr>
          <w:spacing w:val="-4"/>
          <w:sz w:val="22"/>
        </w:rPr>
        <w:t> </w:t>
      </w:r>
      <w:r>
        <w:rPr>
          <w:sz w:val="22"/>
        </w:rPr>
        <w:t>services.</w:t>
      </w:r>
    </w:p>
    <w:p>
      <w:pPr>
        <w:spacing w:after="0" w:line="244" w:lineRule="auto"/>
        <w:jc w:val="left"/>
        <w:rPr>
          <w:rFonts w:ascii="Calibri" w:hAnsi="Calibri"/>
          <w:sz w:val="22"/>
        </w:rPr>
        <w:sectPr>
          <w:pgSz w:w="11910" w:h="16840"/>
          <w:pgMar w:header="0" w:footer="995" w:top="1320" w:bottom="1180" w:left="1320" w:right="1140"/>
        </w:sectPr>
      </w:pPr>
    </w:p>
    <w:p>
      <w:pPr>
        <w:pStyle w:val="Heading2"/>
        <w:spacing w:before="82"/>
      </w:pPr>
      <w:r>
        <w:rPr>
          <w:color w:val="6F2F9F"/>
        </w:rPr>
        <w:t>Communication and Engagement:</w:t>
      </w:r>
    </w:p>
    <w:p>
      <w:pPr>
        <w:spacing w:line="259" w:lineRule="auto" w:before="25"/>
        <w:ind w:left="120" w:right="359" w:firstLine="0"/>
        <w:jc w:val="left"/>
        <w:rPr>
          <w:sz w:val="22"/>
        </w:rPr>
      </w:pPr>
      <w:r>
        <w:rPr>
          <w:i/>
          <w:sz w:val="22"/>
        </w:rPr>
        <w:t>Communicating gender diversity: A critical approach </w:t>
      </w:r>
      <w:r>
        <w:rPr>
          <w:sz w:val="22"/>
        </w:rPr>
        <w:t>- examines the variety of ways in which communication of and about gender enables and constrains people's intersectional identities.</w:t>
      </w:r>
    </w:p>
    <w:p>
      <w:pPr>
        <w:pStyle w:val="BodyText"/>
        <w:rPr>
          <w:sz w:val="24"/>
        </w:rPr>
      </w:pPr>
    </w:p>
    <w:p>
      <w:pPr>
        <w:pStyle w:val="BodyText"/>
        <w:spacing w:before="7"/>
        <w:rPr>
          <w:sz w:val="27"/>
        </w:rPr>
      </w:pPr>
    </w:p>
    <w:p>
      <w:pPr>
        <w:pStyle w:val="BodyText"/>
        <w:spacing w:line="256" w:lineRule="auto"/>
        <w:ind w:left="120" w:right="395"/>
      </w:pPr>
      <w:r>
        <w:rPr/>
        <w:t>Authors Victoria Pruin DeFrancisco and Catherine Helen Palczewski place an emphasis not on how gender influences communication, but on how communication constitutes gender.</w:t>
      </w:r>
    </w:p>
    <w:p>
      <w:pPr>
        <w:pStyle w:val="BodyText"/>
        <w:spacing w:before="3"/>
        <w:ind w:left="120"/>
      </w:pPr>
      <w:r>
        <w:rPr/>
        <w:t>Operating from a gender diversity perspective. Published by Sage 2007. (Access book </w:t>
      </w:r>
      <w:hyperlink r:id="rId19">
        <w:r>
          <w:rPr>
            <w:color w:val="247CA7"/>
            <w:u w:val="single" w:color="247CA7"/>
          </w:rPr>
          <w:t>here</w:t>
        </w:r>
      </w:hyperlink>
      <w:r>
        <w:rPr/>
        <w:t>)</w:t>
      </w:r>
    </w:p>
    <w:p>
      <w:pPr>
        <w:pStyle w:val="BodyText"/>
        <w:spacing w:line="259" w:lineRule="auto" w:before="182"/>
        <w:ind w:left="120" w:right="382"/>
      </w:pPr>
      <w:r>
        <w:rPr>
          <w:i/>
        </w:rPr>
        <w:t>WordsAtWork - Building inclusion through the power of language </w:t>
      </w:r>
      <w:r>
        <w:rPr/>
        <w:t>- developed by Diversity Council Australia as part of a campaign, explains how language is a powerful tool for building inclusion and exclusion at work and how inclusive language can improve workplace culture and drive productivity. (Access resource</w:t>
      </w:r>
      <w:hyperlink r:id="rId20">
        <w:r>
          <w:rPr>
            <w:color w:val="247CA7"/>
            <w:u w:val="single" w:color="247CA7"/>
          </w:rPr>
          <w:t> here</w:t>
        </w:r>
      </w:hyperlink>
      <w:r>
        <w:rPr/>
        <w:t>)</w:t>
      </w:r>
    </w:p>
    <w:p>
      <w:pPr>
        <w:pStyle w:val="Heading2"/>
        <w:spacing w:before="156"/>
      </w:pPr>
      <w:r>
        <w:rPr>
          <w:color w:val="6F2F9F"/>
        </w:rPr>
        <w:t>Setting gender targets:</w:t>
      </w:r>
    </w:p>
    <w:p>
      <w:pPr>
        <w:pStyle w:val="BodyText"/>
        <w:spacing w:line="259" w:lineRule="auto" w:before="27"/>
        <w:ind w:left="120" w:right="456"/>
      </w:pPr>
      <w:r>
        <w:rPr>
          <w:i/>
        </w:rPr>
        <w:t>Setting gender targets </w:t>
      </w:r>
      <w:r>
        <w:rPr/>
        <w:t>- a target-setting tool to assist employers set voluntary targets within their organisation developed by the Workplace Gender Equality Agency. (Access resource </w:t>
      </w:r>
      <w:hyperlink r:id="rId21">
        <w:r>
          <w:rPr>
            <w:color w:val="247CA7"/>
            <w:u w:val="single" w:color="247CA7"/>
          </w:rPr>
          <w:t>here</w:t>
        </w:r>
      </w:hyperlink>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1"/>
        </w:rPr>
      </w:pPr>
      <w:r>
        <w:rPr/>
        <w:pict>
          <v:shape style="position:absolute;margin-left:72.024002pt;margin-top:9.094614pt;width:144.050pt;height:.1pt;mso-position-horizontal-relative:page;mso-position-vertical-relative:paragraph;z-index:-251649024;mso-wrap-distance-left:0;mso-wrap-distance-right:0" coordorigin="1440,182" coordsize="2881,0" path="m1440,182l4321,182e" filled="false" stroked="true" strokeweight=".72003pt" strokecolor="#000000">
            <v:path arrowok="t"/>
            <v:stroke dashstyle="solid"/>
            <w10:wrap type="topAndBottom"/>
          </v:shape>
        </w:pict>
      </w:r>
    </w:p>
    <w:p>
      <w:pPr>
        <w:pStyle w:val="ListParagraph"/>
        <w:numPr>
          <w:ilvl w:val="0"/>
          <w:numId w:val="8"/>
        </w:numPr>
        <w:tabs>
          <w:tab w:pos="231" w:val="left" w:leader="none"/>
        </w:tabs>
        <w:spacing w:line="240" w:lineRule="auto" w:before="69" w:after="0"/>
        <w:ind w:left="230" w:right="0" w:hanging="111"/>
        <w:jc w:val="left"/>
        <w:rPr>
          <w:rFonts w:ascii="Calibri"/>
          <w:sz w:val="13"/>
        </w:rPr>
      </w:pPr>
      <w:hyperlink r:id="rId22">
        <w:r>
          <w:rPr>
            <w:rFonts w:ascii="Segoe UI"/>
            <w:color w:val="247CA7"/>
            <w:sz w:val="16"/>
            <w:u w:val="single" w:color="247CA7"/>
          </w:rPr>
          <w:t>UN Women, Concepts and definitions, viewed 31 January</w:t>
        </w:r>
        <w:r>
          <w:rPr>
            <w:rFonts w:ascii="Segoe UI"/>
            <w:color w:val="247CA7"/>
            <w:spacing w:val="-12"/>
            <w:sz w:val="16"/>
            <w:u w:val="single" w:color="247CA7"/>
          </w:rPr>
          <w:t> </w:t>
        </w:r>
        <w:r>
          <w:rPr>
            <w:rFonts w:ascii="Segoe UI"/>
            <w:color w:val="247CA7"/>
            <w:sz w:val="16"/>
            <w:u w:val="single" w:color="247CA7"/>
          </w:rPr>
          <w:t>2018</w:t>
        </w:r>
        <w:r>
          <w:rPr>
            <w:rFonts w:ascii="Segoe UI"/>
            <w:color w:val="247CA7"/>
            <w:sz w:val="16"/>
          </w:rPr>
          <w:t>,</w:t>
        </w:r>
      </w:hyperlink>
    </w:p>
    <w:p>
      <w:pPr>
        <w:spacing w:line="241" w:lineRule="exact" w:before="12"/>
        <w:ind w:left="120" w:right="0" w:firstLine="0"/>
        <w:jc w:val="left"/>
        <w:rPr>
          <w:rFonts w:ascii="Calibri"/>
          <w:sz w:val="20"/>
        </w:rPr>
      </w:pPr>
      <w:r>
        <w:rPr>
          <w:rFonts w:ascii="Calibri"/>
          <w:sz w:val="20"/>
        </w:rPr>
        <w:t>&lt;</w:t>
      </w:r>
      <w:hyperlink r:id="rId22">
        <w:r>
          <w:rPr>
            <w:rFonts w:ascii="Segoe UI"/>
            <w:color w:val="247CA7"/>
            <w:sz w:val="16"/>
            <w:u w:val="single" w:color="247CA7"/>
          </w:rPr>
          <w:t>http://www.un.org/womenwatch/osagi/conceptsandefinitions.htm</w:t>
        </w:r>
      </w:hyperlink>
      <w:r>
        <w:rPr>
          <w:rFonts w:ascii="Calibri"/>
          <w:sz w:val="20"/>
        </w:rPr>
        <w:t>&gt;</w:t>
      </w:r>
    </w:p>
    <w:p>
      <w:pPr>
        <w:pStyle w:val="ListParagraph"/>
        <w:numPr>
          <w:ilvl w:val="0"/>
          <w:numId w:val="8"/>
        </w:numPr>
        <w:tabs>
          <w:tab w:pos="241" w:val="left" w:leader="none"/>
        </w:tabs>
        <w:spacing w:line="247" w:lineRule="auto" w:before="0" w:after="0"/>
        <w:ind w:left="120" w:right="474" w:firstLine="0"/>
        <w:jc w:val="left"/>
        <w:rPr>
          <w:rFonts w:ascii="Calibri" w:hAnsi="Calibri"/>
          <w:sz w:val="14"/>
        </w:rPr>
      </w:pPr>
      <w:r>
        <w:rPr>
          <w:rFonts w:ascii="Segoe UI" w:hAnsi="Segoe UI"/>
          <w:color w:val="545454"/>
          <w:sz w:val="16"/>
        </w:rPr>
        <w:t>'The business case for gender equality', Workplace Gender Equality Agency (2016),</w:t>
      </w:r>
      <w:r>
        <w:rPr>
          <w:rFonts w:ascii="Segoe UI" w:hAnsi="Segoe UI"/>
          <w:color w:val="247CA7"/>
          <w:sz w:val="16"/>
        </w:rPr>
        <w:t> </w:t>
      </w:r>
      <w:hyperlink r:id="rId23">
        <w:r>
          <w:rPr>
            <w:rFonts w:ascii="Segoe UI" w:hAnsi="Segoe UI"/>
            <w:color w:val="247CA7"/>
            <w:sz w:val="16"/>
            <w:u w:val="single" w:color="247CA7"/>
          </w:rPr>
          <w:t>www.wgea.gov.au</w:t>
        </w:r>
        <w:r>
          <w:rPr>
            <w:rFonts w:ascii="Segoe UI" w:hAnsi="Segoe UI"/>
            <w:color w:val="545454"/>
            <w:sz w:val="16"/>
          </w:rPr>
          <w:t>, </w:t>
        </w:r>
      </w:hyperlink>
      <w:r>
        <w:rPr>
          <w:rFonts w:ascii="Segoe UI" w:hAnsi="Segoe UI"/>
          <w:color w:val="545454"/>
          <w:sz w:val="16"/>
        </w:rPr>
        <w:t>'Supporting Working Parents: Pregnancy and Return to Work National Review – Report' (Section 1.3(a)), Australian Human Rights Commission (2014),</w:t>
      </w:r>
      <w:hyperlink r:id="rId24">
        <w:r>
          <w:rPr>
            <w:rFonts w:ascii="Segoe UI" w:hAnsi="Segoe UI"/>
            <w:color w:val="247CA7"/>
            <w:sz w:val="16"/>
          </w:rPr>
          <w:t> </w:t>
        </w:r>
        <w:r>
          <w:rPr>
            <w:rFonts w:ascii="Segoe UI" w:hAnsi="Segoe UI"/>
            <w:color w:val="247CA7"/>
            <w:sz w:val="16"/>
            <w:u w:val="single" w:color="247CA7"/>
          </w:rPr>
          <w:t>https://www.humanrights.gov.au/publications/supporting-working-parents-pregnancy-and-return-work-national-</w:t>
        </w:r>
      </w:hyperlink>
      <w:hyperlink r:id="rId24">
        <w:r>
          <w:rPr>
            <w:rFonts w:ascii="Segoe UI" w:hAnsi="Segoe UI"/>
            <w:color w:val="247CA7"/>
            <w:sz w:val="16"/>
            <w:u w:val="single" w:color="247CA7"/>
          </w:rPr>
          <w:t> review-report/chapter-1</w:t>
        </w:r>
        <w:r>
          <w:rPr>
            <w:rFonts w:ascii="Segoe UI" w:hAnsi="Segoe UI"/>
            <w:color w:val="545454"/>
            <w:sz w:val="16"/>
          </w:rPr>
          <w:t>,</w:t>
        </w:r>
        <w:r>
          <w:rPr>
            <w:rFonts w:ascii="Segoe UI" w:hAnsi="Segoe UI"/>
            <w:color w:val="545454"/>
            <w:spacing w:val="-1"/>
            <w:sz w:val="16"/>
          </w:rPr>
          <w:t> </w:t>
        </w:r>
      </w:hyperlink>
      <w:r>
        <w:rPr>
          <w:rFonts w:ascii="Segoe UI" w:hAnsi="Segoe UI"/>
          <w:color w:val="545454"/>
          <w:sz w:val="16"/>
        </w:rPr>
        <w:t>accessed</w:t>
      </w:r>
      <w:r>
        <w:rPr>
          <w:rFonts w:ascii="Segoe UI" w:hAnsi="Segoe UI"/>
          <w:color w:val="545454"/>
          <w:spacing w:val="-3"/>
          <w:sz w:val="16"/>
        </w:rPr>
        <w:t> </w:t>
      </w:r>
      <w:r>
        <w:rPr>
          <w:rFonts w:ascii="Segoe UI" w:hAnsi="Segoe UI"/>
          <w:color w:val="545454"/>
          <w:sz w:val="16"/>
        </w:rPr>
        <w:t>10</w:t>
      </w:r>
      <w:r>
        <w:rPr>
          <w:rFonts w:ascii="Segoe UI" w:hAnsi="Segoe UI"/>
          <w:color w:val="545454"/>
          <w:spacing w:val="-3"/>
          <w:sz w:val="16"/>
        </w:rPr>
        <w:t> </w:t>
      </w:r>
      <w:r>
        <w:rPr>
          <w:rFonts w:ascii="Segoe UI" w:hAnsi="Segoe UI"/>
          <w:color w:val="545454"/>
          <w:sz w:val="16"/>
        </w:rPr>
        <w:t>May</w:t>
      </w:r>
      <w:r>
        <w:rPr>
          <w:rFonts w:ascii="Segoe UI" w:hAnsi="Segoe UI"/>
          <w:color w:val="545454"/>
          <w:spacing w:val="-3"/>
          <w:sz w:val="16"/>
        </w:rPr>
        <w:t> </w:t>
      </w:r>
      <w:r>
        <w:rPr>
          <w:rFonts w:ascii="Segoe UI" w:hAnsi="Segoe UI"/>
          <w:color w:val="545454"/>
          <w:sz w:val="16"/>
        </w:rPr>
        <w:t>2016</w:t>
      </w:r>
      <w:r>
        <w:rPr>
          <w:rFonts w:ascii="Segoe UI" w:hAnsi="Segoe UI"/>
          <w:color w:val="545454"/>
          <w:spacing w:val="-2"/>
          <w:sz w:val="16"/>
        </w:rPr>
        <w:t> </w:t>
      </w:r>
      <w:r>
        <w:rPr>
          <w:rFonts w:ascii="Segoe UI" w:hAnsi="Segoe UI"/>
          <w:color w:val="545454"/>
          <w:sz w:val="16"/>
        </w:rPr>
        <w:t>'What</w:t>
      </w:r>
      <w:r>
        <w:rPr>
          <w:rFonts w:ascii="Segoe UI" w:hAnsi="Segoe UI"/>
          <w:color w:val="545454"/>
          <w:spacing w:val="-2"/>
          <w:sz w:val="16"/>
        </w:rPr>
        <w:t> </w:t>
      </w:r>
      <w:r>
        <w:rPr>
          <w:rFonts w:ascii="Segoe UI" w:hAnsi="Segoe UI"/>
          <w:color w:val="545454"/>
          <w:sz w:val="16"/>
        </w:rPr>
        <w:t>is</w:t>
      </w:r>
      <w:r>
        <w:rPr>
          <w:rFonts w:ascii="Segoe UI" w:hAnsi="Segoe UI"/>
          <w:color w:val="545454"/>
          <w:spacing w:val="-3"/>
          <w:sz w:val="16"/>
        </w:rPr>
        <w:t> </w:t>
      </w:r>
      <w:r>
        <w:rPr>
          <w:rFonts w:ascii="Segoe UI" w:hAnsi="Segoe UI"/>
          <w:color w:val="545454"/>
          <w:sz w:val="16"/>
        </w:rPr>
        <w:t>the</w:t>
      </w:r>
      <w:r>
        <w:rPr>
          <w:rFonts w:ascii="Segoe UI" w:hAnsi="Segoe UI"/>
          <w:color w:val="545454"/>
          <w:spacing w:val="-2"/>
          <w:sz w:val="16"/>
        </w:rPr>
        <w:t> </w:t>
      </w:r>
      <w:r>
        <w:rPr>
          <w:rFonts w:ascii="Segoe UI" w:hAnsi="Segoe UI"/>
          <w:color w:val="545454"/>
          <w:sz w:val="16"/>
        </w:rPr>
        <w:t>impact</w:t>
      </w:r>
      <w:r>
        <w:rPr>
          <w:rFonts w:ascii="Segoe UI" w:hAnsi="Segoe UI"/>
          <w:color w:val="545454"/>
          <w:spacing w:val="-1"/>
          <w:sz w:val="16"/>
        </w:rPr>
        <w:t> </w:t>
      </w:r>
      <w:r>
        <w:rPr>
          <w:rFonts w:ascii="Segoe UI" w:hAnsi="Segoe UI"/>
          <w:color w:val="545454"/>
          <w:sz w:val="16"/>
        </w:rPr>
        <w:t>of</w:t>
      </w:r>
      <w:r>
        <w:rPr>
          <w:rFonts w:ascii="Segoe UI" w:hAnsi="Segoe UI"/>
          <w:color w:val="545454"/>
          <w:spacing w:val="-2"/>
          <w:sz w:val="16"/>
        </w:rPr>
        <w:t> </w:t>
      </w:r>
      <w:r>
        <w:rPr>
          <w:rFonts w:ascii="Segoe UI" w:hAnsi="Segoe UI"/>
          <w:color w:val="545454"/>
          <w:sz w:val="16"/>
        </w:rPr>
        <w:t>gender</w:t>
      </w:r>
      <w:r>
        <w:rPr>
          <w:rFonts w:ascii="Segoe UI" w:hAnsi="Segoe UI"/>
          <w:color w:val="545454"/>
          <w:spacing w:val="-3"/>
          <w:sz w:val="16"/>
        </w:rPr>
        <w:t> </w:t>
      </w:r>
      <w:r>
        <w:rPr>
          <w:rFonts w:ascii="Segoe UI" w:hAnsi="Segoe UI"/>
          <w:color w:val="545454"/>
          <w:sz w:val="16"/>
        </w:rPr>
        <w:t>diversity</w:t>
      </w:r>
      <w:r>
        <w:rPr>
          <w:rFonts w:ascii="Segoe UI" w:hAnsi="Segoe UI"/>
          <w:color w:val="545454"/>
          <w:spacing w:val="-1"/>
          <w:sz w:val="16"/>
        </w:rPr>
        <w:t> </w:t>
      </w:r>
      <w:r>
        <w:rPr>
          <w:rFonts w:ascii="Segoe UI" w:hAnsi="Segoe UI"/>
          <w:color w:val="545454"/>
          <w:sz w:val="16"/>
        </w:rPr>
        <w:t>on</w:t>
      </w:r>
      <w:r>
        <w:rPr>
          <w:rFonts w:ascii="Segoe UI" w:hAnsi="Segoe UI"/>
          <w:color w:val="545454"/>
          <w:spacing w:val="-2"/>
          <w:sz w:val="16"/>
        </w:rPr>
        <w:t> </w:t>
      </w:r>
      <w:r>
        <w:rPr>
          <w:rFonts w:ascii="Segoe UI" w:hAnsi="Segoe UI"/>
          <w:color w:val="545454"/>
          <w:sz w:val="16"/>
        </w:rPr>
        <w:t>technology</w:t>
      </w:r>
      <w:r>
        <w:rPr>
          <w:rFonts w:ascii="Segoe UI" w:hAnsi="Segoe UI"/>
          <w:color w:val="545454"/>
          <w:spacing w:val="-3"/>
          <w:sz w:val="16"/>
        </w:rPr>
        <w:t> </w:t>
      </w:r>
      <w:r>
        <w:rPr>
          <w:rFonts w:ascii="Segoe UI" w:hAnsi="Segoe UI"/>
          <w:color w:val="545454"/>
          <w:sz w:val="16"/>
        </w:rPr>
        <w:t>business</w:t>
      </w:r>
      <w:r>
        <w:rPr>
          <w:rFonts w:ascii="Segoe UI" w:hAnsi="Segoe UI"/>
          <w:color w:val="545454"/>
          <w:spacing w:val="-3"/>
          <w:sz w:val="16"/>
        </w:rPr>
        <w:t> </w:t>
      </w:r>
      <w:r>
        <w:rPr>
          <w:rFonts w:ascii="Segoe UI" w:hAnsi="Segoe UI"/>
          <w:color w:val="545454"/>
          <w:sz w:val="16"/>
        </w:rPr>
        <w:t>performance',</w:t>
      </w:r>
    </w:p>
    <w:p>
      <w:pPr>
        <w:spacing w:line="208" w:lineRule="exact" w:before="0"/>
        <w:ind w:left="120" w:right="0" w:firstLine="0"/>
        <w:jc w:val="left"/>
        <w:rPr>
          <w:rFonts w:ascii="Segoe UI"/>
          <w:sz w:val="16"/>
        </w:rPr>
      </w:pPr>
      <w:r>
        <w:rPr>
          <w:rFonts w:ascii="Segoe UI"/>
          <w:color w:val="545454"/>
          <w:sz w:val="16"/>
        </w:rPr>
        <w:t>National Centre for Women and Information Technology</w:t>
      </w:r>
    </w:p>
    <w:p>
      <w:pPr>
        <w:spacing w:before="0"/>
        <w:ind w:left="120" w:right="390" w:firstLine="0"/>
        <w:jc w:val="left"/>
        <w:rPr>
          <w:rFonts w:ascii="Segoe UI" w:hAnsi="Segoe UI"/>
          <w:sz w:val="16"/>
        </w:rPr>
      </w:pPr>
      <w:r>
        <w:rPr/>
        <w:pict>
          <v:line style="position:absolute;mso-position-horizontal-relative:page;mso-position-vertical-relative:paragraph;z-index:-252083200" from="374.709991pt,52.072819pt" to="518.729991pt,52.072819pt" stroked="true" strokeweight=".47998pt" strokecolor="#247ca7">
            <v:stroke dashstyle="solid"/>
            <w10:wrap type="none"/>
          </v:line>
        </w:pict>
      </w:r>
      <w:r>
        <w:rPr>
          <w:rFonts w:ascii="Segoe UI" w:hAnsi="Segoe UI"/>
          <w:color w:val="545454"/>
          <w:sz w:val="16"/>
        </w:rPr>
        <w:t>(2014), </w:t>
      </w:r>
      <w:hyperlink r:id="rId25">
        <w:r>
          <w:rPr>
            <w:rFonts w:ascii="Segoe UI" w:hAnsi="Segoe UI"/>
            <w:color w:val="247CA7"/>
            <w:sz w:val="16"/>
            <w:u w:val="single" w:color="247CA7"/>
          </w:rPr>
          <w:t>https://www.ncwit.org/sites/default/files/resources/impactgenderdiversitytechbusinessperformance_print.pdf</w:t>
        </w:r>
        <w:r>
          <w:rPr>
            <w:rFonts w:ascii="Segoe UI" w:hAnsi="Segoe UI"/>
            <w:color w:val="545454"/>
            <w:sz w:val="16"/>
          </w:rPr>
          <w:t>, </w:t>
        </w:r>
      </w:hyperlink>
      <w:r>
        <w:rPr>
          <w:rFonts w:ascii="Segoe UI" w:hAnsi="Segoe UI"/>
          <w:color w:val="545454"/>
          <w:sz w:val="16"/>
        </w:rPr>
        <w:t>accessed 10 May 2016, 'Is there a payoff from top-team diversity?', McKinsey and Company (2012), </w:t>
      </w:r>
      <w:hyperlink r:id="rId26">
        <w:r>
          <w:rPr>
            <w:rFonts w:ascii="Segoe UI" w:hAnsi="Segoe UI"/>
            <w:color w:val="247CA7"/>
            <w:sz w:val="16"/>
            <w:u w:val="single" w:color="247CA7"/>
          </w:rPr>
          <w:t>http://www.mckinsey.com/business-</w:t>
        </w:r>
      </w:hyperlink>
      <w:r>
        <w:rPr>
          <w:rFonts w:ascii="Segoe UI" w:hAnsi="Segoe UI"/>
          <w:color w:val="247CA7"/>
          <w:sz w:val="16"/>
        </w:rPr>
        <w:t> </w:t>
      </w:r>
      <w:hyperlink r:id="rId26">
        <w:r>
          <w:rPr>
            <w:rFonts w:ascii="Segoe UI" w:hAnsi="Segoe UI"/>
            <w:color w:val="247CA7"/>
            <w:sz w:val="16"/>
            <w:u w:val="single" w:color="247CA7"/>
          </w:rPr>
          <w:t>functions/organization/our-insights/is-there-a-payoff-from-top-team-diversity</w:t>
        </w:r>
        <w:r>
          <w:rPr>
            <w:rFonts w:ascii="Segoe UI" w:hAnsi="Segoe UI"/>
            <w:color w:val="545454"/>
            <w:sz w:val="16"/>
          </w:rPr>
          <w:t>, </w:t>
        </w:r>
      </w:hyperlink>
      <w:r>
        <w:rPr>
          <w:rFonts w:ascii="Segoe UI" w:hAnsi="Segoe UI"/>
          <w:color w:val="545454"/>
          <w:sz w:val="16"/>
        </w:rPr>
        <w:t>accessed 10 May 2016, 'ASX 500 – Women Leaders, Research Notes' (page 12), Reibey Institute (2011) </w:t>
      </w:r>
      <w:hyperlink r:id="rId27">
        <w:r>
          <w:rPr>
            <w:rFonts w:ascii="Segoe UI" w:hAnsi="Segoe UI"/>
            <w:color w:val="247CA7"/>
            <w:sz w:val="16"/>
            <w:u w:val="single" w:color="247CA7"/>
          </w:rPr>
          <w:t>http://www.reibeyinstitute.org.au/wp-</w:t>
        </w:r>
      </w:hyperlink>
      <w:r>
        <w:rPr>
          <w:rFonts w:ascii="Segoe UI" w:hAnsi="Segoe UI"/>
          <w:color w:val="247CA7"/>
          <w:sz w:val="16"/>
        </w:rPr>
        <w:t> </w:t>
      </w:r>
      <w:hyperlink r:id="rId27">
        <w:r>
          <w:rPr>
            <w:rFonts w:ascii="Segoe UI" w:hAnsi="Segoe UI"/>
            <w:color w:val="247CA7"/>
            <w:sz w:val="16"/>
            <w:u w:val="single" w:color="247CA7"/>
          </w:rPr>
          <w:t>content/uploads/2011/10/ASX500_Women-Leaders-2011.pdf</w:t>
        </w:r>
        <w:r>
          <w:rPr>
            <w:rFonts w:ascii="Segoe UI" w:hAnsi="Segoe UI"/>
            <w:color w:val="545454"/>
            <w:sz w:val="16"/>
          </w:rPr>
          <w:t>, </w:t>
        </w:r>
      </w:hyperlink>
      <w:r>
        <w:rPr>
          <w:rFonts w:ascii="Segoe UI" w:hAnsi="Segoe UI"/>
          <w:color w:val="545454"/>
          <w:sz w:val="16"/>
        </w:rPr>
        <w:t>accessed 10 May 2016, </w:t>
      </w:r>
      <w:hyperlink r:id="rId23">
        <w:r>
          <w:rPr>
            <w:rFonts w:ascii="Segoe UI" w:hAnsi="Segoe UI"/>
            <w:color w:val="247CA7"/>
            <w:sz w:val="16"/>
          </w:rPr>
          <w:t>'The Business Case for Gender Equality’ –</w:t>
        </w:r>
      </w:hyperlink>
      <w:r>
        <w:rPr>
          <w:rFonts w:ascii="Segoe UI" w:hAnsi="Segoe UI"/>
          <w:color w:val="247CA7"/>
          <w:sz w:val="16"/>
        </w:rPr>
        <w:t> </w:t>
      </w:r>
      <w:hyperlink r:id="rId23">
        <w:r>
          <w:rPr>
            <w:rFonts w:ascii="Segoe UI" w:hAnsi="Segoe UI"/>
            <w:color w:val="247CA7"/>
            <w:sz w:val="16"/>
            <w:u w:val="single" w:color="247CA7"/>
          </w:rPr>
          <w:t>The Workplace Gender Equality Agency</w:t>
        </w:r>
        <w:r>
          <w:rPr>
            <w:rFonts w:ascii="Segoe UI" w:hAnsi="Segoe UI"/>
            <w:color w:val="247CA7"/>
            <w:sz w:val="16"/>
          </w:rPr>
          <w:t> </w:t>
        </w:r>
      </w:hyperlink>
      <w:r>
        <w:rPr>
          <w:rFonts w:ascii="Segoe UI" w:hAnsi="Segoe UI"/>
          <w:color w:val="545454"/>
          <w:sz w:val="16"/>
        </w:rPr>
        <w:t>viewed 18 September 2018</w:t>
      </w:r>
    </w:p>
    <w:sectPr>
      <w:pgSz w:w="11910" w:h="16840"/>
      <w:pgMar w:header="0" w:footer="995" w:top="1320" w:bottom="1180" w:left="13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egoe UI">
    <w:altName w:val="Segoe U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092416" from="70.584pt,778.416016pt" to="524.854pt,778.416016pt" stroked="true" strokeweight=".47998pt" strokecolor="#d9d9d9">
          <v:stroke dashstyle="solid"/>
          <w10:wrap type="none"/>
        </v:line>
      </w:pict>
    </w:r>
    <w:r>
      <w:rPr/>
      <w:pict>
        <v:shapetype id="_x0000_t202" o:spt="202" coordsize="21600,21600" path="m,l,21600r21600,l21600,xe">
          <v:stroke joinstyle="miter"/>
          <v:path gradientshapeok="t" o:connecttype="rect"/>
        </v:shapetype>
        <v:shape style="position:absolute;margin-left:471.220001pt;margin-top:780.776001pt;width:50.3pt;height:13.05pt;mso-position-horizontal-relative:page;mso-position-vertical-relative:page;z-index:-252091392" type="#_x0000_t202" filled="false" stroked="false">
          <v:textbox inset="0,0,0,0">
            <w:txbxContent>
              <w:p>
                <w:pPr>
                  <w:pStyle w:val="BodyText"/>
                  <w:spacing w:line="245" w:lineRule="exact"/>
                  <w:ind w:left="60"/>
                  <w:rPr>
                    <w:rFonts w:ascii="Calibri"/>
                  </w:rPr>
                </w:pPr>
                <w:r>
                  <w:rPr/>
                  <w:fldChar w:fldCharType="begin"/>
                </w:r>
                <w:r>
                  <w:rPr>
                    <w:rFonts w:ascii="Calibri"/>
                  </w:rPr>
                  <w:instrText> PAGE </w:instrText>
                </w:r>
                <w:r>
                  <w:rPr/>
                  <w:fldChar w:fldCharType="separate"/>
                </w:r>
                <w:r>
                  <w:rPr/>
                  <w:t>1</w:t>
                </w:r>
                <w:r>
                  <w:rPr/>
                  <w:fldChar w:fldCharType="end"/>
                </w:r>
                <w:r>
                  <w:rPr>
                    <w:rFonts w:ascii="Calibri"/>
                  </w:rPr>
                  <w:t> | </w:t>
                </w:r>
                <w:r>
                  <w:rPr>
                    <w:rFonts w:ascii="Calibri"/>
                    <w:color w:val="7E7E7E"/>
                  </w:rPr>
                  <w:t>P a g 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23040">
          <wp:simplePos x="0" y="0"/>
          <wp:positionH relativeFrom="page">
            <wp:posOffset>0</wp:posOffset>
          </wp:positionH>
          <wp:positionV relativeFrom="page">
            <wp:posOffset>0</wp:posOffset>
          </wp:positionV>
          <wp:extent cx="7552944" cy="71246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7552944" cy="71246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30" w:hanging="111"/>
        <w:jc w:val="left"/>
      </w:pPr>
      <w:rPr>
        <w:rFonts w:hint="default"/>
        <w:w w:val="99"/>
        <w:position w:val="7"/>
        <w:lang w:val="en-au" w:eastAsia="en-au" w:bidi="en-au"/>
      </w:rPr>
    </w:lvl>
    <w:lvl w:ilvl="1">
      <w:start w:val="0"/>
      <w:numFmt w:val="bullet"/>
      <w:lvlText w:val="•"/>
      <w:lvlJc w:val="left"/>
      <w:pPr>
        <w:ind w:left="1160" w:hanging="111"/>
      </w:pPr>
      <w:rPr>
        <w:rFonts w:hint="default"/>
        <w:lang w:val="en-au" w:eastAsia="en-au" w:bidi="en-au"/>
      </w:rPr>
    </w:lvl>
    <w:lvl w:ilvl="2">
      <w:start w:val="0"/>
      <w:numFmt w:val="bullet"/>
      <w:lvlText w:val="•"/>
      <w:lvlJc w:val="left"/>
      <w:pPr>
        <w:ind w:left="2081" w:hanging="111"/>
      </w:pPr>
      <w:rPr>
        <w:rFonts w:hint="default"/>
        <w:lang w:val="en-au" w:eastAsia="en-au" w:bidi="en-au"/>
      </w:rPr>
    </w:lvl>
    <w:lvl w:ilvl="3">
      <w:start w:val="0"/>
      <w:numFmt w:val="bullet"/>
      <w:lvlText w:val="•"/>
      <w:lvlJc w:val="left"/>
      <w:pPr>
        <w:ind w:left="3001" w:hanging="111"/>
      </w:pPr>
      <w:rPr>
        <w:rFonts w:hint="default"/>
        <w:lang w:val="en-au" w:eastAsia="en-au" w:bidi="en-au"/>
      </w:rPr>
    </w:lvl>
    <w:lvl w:ilvl="4">
      <w:start w:val="0"/>
      <w:numFmt w:val="bullet"/>
      <w:lvlText w:val="•"/>
      <w:lvlJc w:val="left"/>
      <w:pPr>
        <w:ind w:left="3922" w:hanging="111"/>
      </w:pPr>
      <w:rPr>
        <w:rFonts w:hint="default"/>
        <w:lang w:val="en-au" w:eastAsia="en-au" w:bidi="en-au"/>
      </w:rPr>
    </w:lvl>
    <w:lvl w:ilvl="5">
      <w:start w:val="0"/>
      <w:numFmt w:val="bullet"/>
      <w:lvlText w:val="•"/>
      <w:lvlJc w:val="left"/>
      <w:pPr>
        <w:ind w:left="4843" w:hanging="111"/>
      </w:pPr>
      <w:rPr>
        <w:rFonts w:hint="default"/>
        <w:lang w:val="en-au" w:eastAsia="en-au" w:bidi="en-au"/>
      </w:rPr>
    </w:lvl>
    <w:lvl w:ilvl="6">
      <w:start w:val="0"/>
      <w:numFmt w:val="bullet"/>
      <w:lvlText w:val="•"/>
      <w:lvlJc w:val="left"/>
      <w:pPr>
        <w:ind w:left="5763" w:hanging="111"/>
      </w:pPr>
      <w:rPr>
        <w:rFonts w:hint="default"/>
        <w:lang w:val="en-au" w:eastAsia="en-au" w:bidi="en-au"/>
      </w:rPr>
    </w:lvl>
    <w:lvl w:ilvl="7">
      <w:start w:val="0"/>
      <w:numFmt w:val="bullet"/>
      <w:lvlText w:val="•"/>
      <w:lvlJc w:val="left"/>
      <w:pPr>
        <w:ind w:left="6684" w:hanging="111"/>
      </w:pPr>
      <w:rPr>
        <w:rFonts w:hint="default"/>
        <w:lang w:val="en-au" w:eastAsia="en-au" w:bidi="en-au"/>
      </w:rPr>
    </w:lvl>
    <w:lvl w:ilvl="8">
      <w:start w:val="0"/>
      <w:numFmt w:val="bullet"/>
      <w:lvlText w:val="•"/>
      <w:lvlJc w:val="left"/>
      <w:pPr>
        <w:ind w:left="7605" w:hanging="111"/>
      </w:pPr>
      <w:rPr>
        <w:rFonts w:hint="default"/>
        <w:lang w:val="en-au" w:eastAsia="en-au" w:bidi="en-au"/>
      </w:rPr>
    </w:lvl>
  </w:abstractNum>
  <w:abstractNum w:abstractNumId="6">
    <w:multiLevelType w:val="hybridMultilevel"/>
    <w:lvl w:ilvl="0">
      <w:start w:val="0"/>
      <w:numFmt w:val="bullet"/>
      <w:lvlText w:val=""/>
      <w:lvlJc w:val="left"/>
      <w:pPr>
        <w:ind w:left="518" w:hanging="360"/>
      </w:pPr>
      <w:rPr>
        <w:rFonts w:hint="default"/>
        <w:w w:val="100"/>
        <w:lang w:val="en-au" w:eastAsia="en-au" w:bidi="en-au"/>
      </w:rPr>
    </w:lvl>
    <w:lvl w:ilvl="1">
      <w:start w:val="0"/>
      <w:numFmt w:val="bullet"/>
      <w:lvlText w:val="•"/>
      <w:lvlJc w:val="left"/>
      <w:pPr>
        <w:ind w:left="992" w:hanging="360"/>
      </w:pPr>
      <w:rPr>
        <w:rFonts w:hint="default"/>
        <w:lang w:val="en-au" w:eastAsia="en-au" w:bidi="en-au"/>
      </w:rPr>
    </w:lvl>
    <w:lvl w:ilvl="2">
      <w:start w:val="0"/>
      <w:numFmt w:val="bullet"/>
      <w:lvlText w:val="•"/>
      <w:lvlJc w:val="left"/>
      <w:pPr>
        <w:ind w:left="1464" w:hanging="360"/>
      </w:pPr>
      <w:rPr>
        <w:rFonts w:hint="default"/>
        <w:lang w:val="en-au" w:eastAsia="en-au" w:bidi="en-au"/>
      </w:rPr>
    </w:lvl>
    <w:lvl w:ilvl="3">
      <w:start w:val="0"/>
      <w:numFmt w:val="bullet"/>
      <w:lvlText w:val="•"/>
      <w:lvlJc w:val="left"/>
      <w:pPr>
        <w:ind w:left="1936" w:hanging="360"/>
      </w:pPr>
      <w:rPr>
        <w:rFonts w:hint="default"/>
        <w:lang w:val="en-au" w:eastAsia="en-au" w:bidi="en-au"/>
      </w:rPr>
    </w:lvl>
    <w:lvl w:ilvl="4">
      <w:start w:val="0"/>
      <w:numFmt w:val="bullet"/>
      <w:lvlText w:val="•"/>
      <w:lvlJc w:val="left"/>
      <w:pPr>
        <w:ind w:left="2408" w:hanging="360"/>
      </w:pPr>
      <w:rPr>
        <w:rFonts w:hint="default"/>
        <w:lang w:val="en-au" w:eastAsia="en-au" w:bidi="en-au"/>
      </w:rPr>
    </w:lvl>
    <w:lvl w:ilvl="5">
      <w:start w:val="0"/>
      <w:numFmt w:val="bullet"/>
      <w:lvlText w:val="•"/>
      <w:lvlJc w:val="left"/>
      <w:pPr>
        <w:ind w:left="2880" w:hanging="360"/>
      </w:pPr>
      <w:rPr>
        <w:rFonts w:hint="default"/>
        <w:lang w:val="en-au" w:eastAsia="en-au" w:bidi="en-au"/>
      </w:rPr>
    </w:lvl>
    <w:lvl w:ilvl="6">
      <w:start w:val="0"/>
      <w:numFmt w:val="bullet"/>
      <w:lvlText w:val="•"/>
      <w:lvlJc w:val="left"/>
      <w:pPr>
        <w:ind w:left="3352" w:hanging="360"/>
      </w:pPr>
      <w:rPr>
        <w:rFonts w:hint="default"/>
        <w:lang w:val="en-au" w:eastAsia="en-au" w:bidi="en-au"/>
      </w:rPr>
    </w:lvl>
    <w:lvl w:ilvl="7">
      <w:start w:val="0"/>
      <w:numFmt w:val="bullet"/>
      <w:lvlText w:val="•"/>
      <w:lvlJc w:val="left"/>
      <w:pPr>
        <w:ind w:left="3824" w:hanging="360"/>
      </w:pPr>
      <w:rPr>
        <w:rFonts w:hint="default"/>
        <w:lang w:val="en-au" w:eastAsia="en-au" w:bidi="en-au"/>
      </w:rPr>
    </w:lvl>
    <w:lvl w:ilvl="8">
      <w:start w:val="0"/>
      <w:numFmt w:val="bullet"/>
      <w:lvlText w:val="•"/>
      <w:lvlJc w:val="left"/>
      <w:pPr>
        <w:ind w:left="4296" w:hanging="360"/>
      </w:pPr>
      <w:rPr>
        <w:rFonts w:hint="default"/>
        <w:lang w:val="en-au" w:eastAsia="en-au" w:bidi="en-au"/>
      </w:rPr>
    </w:lvl>
  </w:abstractNum>
  <w:abstractNum w:abstractNumId="5">
    <w:multiLevelType w:val="hybridMultilevel"/>
    <w:lvl w:ilvl="0">
      <w:start w:val="0"/>
      <w:numFmt w:val="bullet"/>
      <w:lvlText w:val=""/>
      <w:lvlJc w:val="left"/>
      <w:pPr>
        <w:ind w:left="518" w:hanging="360"/>
      </w:pPr>
      <w:rPr>
        <w:rFonts w:hint="default"/>
        <w:w w:val="100"/>
        <w:lang w:val="en-au" w:eastAsia="en-au" w:bidi="en-au"/>
      </w:rPr>
    </w:lvl>
    <w:lvl w:ilvl="1">
      <w:start w:val="0"/>
      <w:numFmt w:val="bullet"/>
      <w:lvlText w:val="•"/>
      <w:lvlJc w:val="left"/>
      <w:pPr>
        <w:ind w:left="992" w:hanging="360"/>
      </w:pPr>
      <w:rPr>
        <w:rFonts w:hint="default"/>
        <w:lang w:val="en-au" w:eastAsia="en-au" w:bidi="en-au"/>
      </w:rPr>
    </w:lvl>
    <w:lvl w:ilvl="2">
      <w:start w:val="0"/>
      <w:numFmt w:val="bullet"/>
      <w:lvlText w:val="•"/>
      <w:lvlJc w:val="left"/>
      <w:pPr>
        <w:ind w:left="1464" w:hanging="360"/>
      </w:pPr>
      <w:rPr>
        <w:rFonts w:hint="default"/>
        <w:lang w:val="en-au" w:eastAsia="en-au" w:bidi="en-au"/>
      </w:rPr>
    </w:lvl>
    <w:lvl w:ilvl="3">
      <w:start w:val="0"/>
      <w:numFmt w:val="bullet"/>
      <w:lvlText w:val="•"/>
      <w:lvlJc w:val="left"/>
      <w:pPr>
        <w:ind w:left="1936" w:hanging="360"/>
      </w:pPr>
      <w:rPr>
        <w:rFonts w:hint="default"/>
        <w:lang w:val="en-au" w:eastAsia="en-au" w:bidi="en-au"/>
      </w:rPr>
    </w:lvl>
    <w:lvl w:ilvl="4">
      <w:start w:val="0"/>
      <w:numFmt w:val="bullet"/>
      <w:lvlText w:val="•"/>
      <w:lvlJc w:val="left"/>
      <w:pPr>
        <w:ind w:left="2408" w:hanging="360"/>
      </w:pPr>
      <w:rPr>
        <w:rFonts w:hint="default"/>
        <w:lang w:val="en-au" w:eastAsia="en-au" w:bidi="en-au"/>
      </w:rPr>
    </w:lvl>
    <w:lvl w:ilvl="5">
      <w:start w:val="0"/>
      <w:numFmt w:val="bullet"/>
      <w:lvlText w:val="•"/>
      <w:lvlJc w:val="left"/>
      <w:pPr>
        <w:ind w:left="2880" w:hanging="360"/>
      </w:pPr>
      <w:rPr>
        <w:rFonts w:hint="default"/>
        <w:lang w:val="en-au" w:eastAsia="en-au" w:bidi="en-au"/>
      </w:rPr>
    </w:lvl>
    <w:lvl w:ilvl="6">
      <w:start w:val="0"/>
      <w:numFmt w:val="bullet"/>
      <w:lvlText w:val="•"/>
      <w:lvlJc w:val="left"/>
      <w:pPr>
        <w:ind w:left="3352" w:hanging="360"/>
      </w:pPr>
      <w:rPr>
        <w:rFonts w:hint="default"/>
        <w:lang w:val="en-au" w:eastAsia="en-au" w:bidi="en-au"/>
      </w:rPr>
    </w:lvl>
    <w:lvl w:ilvl="7">
      <w:start w:val="0"/>
      <w:numFmt w:val="bullet"/>
      <w:lvlText w:val="•"/>
      <w:lvlJc w:val="left"/>
      <w:pPr>
        <w:ind w:left="3824" w:hanging="360"/>
      </w:pPr>
      <w:rPr>
        <w:rFonts w:hint="default"/>
        <w:lang w:val="en-au" w:eastAsia="en-au" w:bidi="en-au"/>
      </w:rPr>
    </w:lvl>
    <w:lvl w:ilvl="8">
      <w:start w:val="0"/>
      <w:numFmt w:val="bullet"/>
      <w:lvlText w:val="•"/>
      <w:lvlJc w:val="left"/>
      <w:pPr>
        <w:ind w:left="4296" w:hanging="360"/>
      </w:pPr>
      <w:rPr>
        <w:rFonts w:hint="default"/>
        <w:lang w:val="en-au" w:eastAsia="en-au" w:bidi="en-au"/>
      </w:rPr>
    </w:lvl>
  </w:abstractNum>
  <w:abstractNum w:abstractNumId="4">
    <w:multiLevelType w:val="hybridMultilevel"/>
    <w:lvl w:ilvl="0">
      <w:start w:val="0"/>
      <w:numFmt w:val="bullet"/>
      <w:lvlText w:val=""/>
      <w:lvlJc w:val="left"/>
      <w:pPr>
        <w:ind w:left="518" w:hanging="360"/>
      </w:pPr>
      <w:rPr>
        <w:rFonts w:hint="default" w:ascii="Symbol" w:hAnsi="Symbol" w:eastAsia="Symbol" w:cs="Symbol"/>
        <w:color w:val="6F2F9F"/>
        <w:w w:val="100"/>
        <w:sz w:val="22"/>
        <w:szCs w:val="22"/>
        <w:lang w:val="en-au" w:eastAsia="en-au" w:bidi="en-au"/>
      </w:rPr>
    </w:lvl>
    <w:lvl w:ilvl="1">
      <w:start w:val="0"/>
      <w:numFmt w:val="bullet"/>
      <w:lvlText w:val="•"/>
      <w:lvlJc w:val="left"/>
      <w:pPr>
        <w:ind w:left="992" w:hanging="360"/>
      </w:pPr>
      <w:rPr>
        <w:rFonts w:hint="default"/>
        <w:lang w:val="en-au" w:eastAsia="en-au" w:bidi="en-au"/>
      </w:rPr>
    </w:lvl>
    <w:lvl w:ilvl="2">
      <w:start w:val="0"/>
      <w:numFmt w:val="bullet"/>
      <w:lvlText w:val="•"/>
      <w:lvlJc w:val="left"/>
      <w:pPr>
        <w:ind w:left="1464" w:hanging="360"/>
      </w:pPr>
      <w:rPr>
        <w:rFonts w:hint="default"/>
        <w:lang w:val="en-au" w:eastAsia="en-au" w:bidi="en-au"/>
      </w:rPr>
    </w:lvl>
    <w:lvl w:ilvl="3">
      <w:start w:val="0"/>
      <w:numFmt w:val="bullet"/>
      <w:lvlText w:val="•"/>
      <w:lvlJc w:val="left"/>
      <w:pPr>
        <w:ind w:left="1936" w:hanging="360"/>
      </w:pPr>
      <w:rPr>
        <w:rFonts w:hint="default"/>
        <w:lang w:val="en-au" w:eastAsia="en-au" w:bidi="en-au"/>
      </w:rPr>
    </w:lvl>
    <w:lvl w:ilvl="4">
      <w:start w:val="0"/>
      <w:numFmt w:val="bullet"/>
      <w:lvlText w:val="•"/>
      <w:lvlJc w:val="left"/>
      <w:pPr>
        <w:ind w:left="2408" w:hanging="360"/>
      </w:pPr>
      <w:rPr>
        <w:rFonts w:hint="default"/>
        <w:lang w:val="en-au" w:eastAsia="en-au" w:bidi="en-au"/>
      </w:rPr>
    </w:lvl>
    <w:lvl w:ilvl="5">
      <w:start w:val="0"/>
      <w:numFmt w:val="bullet"/>
      <w:lvlText w:val="•"/>
      <w:lvlJc w:val="left"/>
      <w:pPr>
        <w:ind w:left="2880" w:hanging="360"/>
      </w:pPr>
      <w:rPr>
        <w:rFonts w:hint="default"/>
        <w:lang w:val="en-au" w:eastAsia="en-au" w:bidi="en-au"/>
      </w:rPr>
    </w:lvl>
    <w:lvl w:ilvl="6">
      <w:start w:val="0"/>
      <w:numFmt w:val="bullet"/>
      <w:lvlText w:val="•"/>
      <w:lvlJc w:val="left"/>
      <w:pPr>
        <w:ind w:left="3352" w:hanging="360"/>
      </w:pPr>
      <w:rPr>
        <w:rFonts w:hint="default"/>
        <w:lang w:val="en-au" w:eastAsia="en-au" w:bidi="en-au"/>
      </w:rPr>
    </w:lvl>
    <w:lvl w:ilvl="7">
      <w:start w:val="0"/>
      <w:numFmt w:val="bullet"/>
      <w:lvlText w:val="•"/>
      <w:lvlJc w:val="left"/>
      <w:pPr>
        <w:ind w:left="3824" w:hanging="360"/>
      </w:pPr>
      <w:rPr>
        <w:rFonts w:hint="default"/>
        <w:lang w:val="en-au" w:eastAsia="en-au" w:bidi="en-au"/>
      </w:rPr>
    </w:lvl>
    <w:lvl w:ilvl="8">
      <w:start w:val="0"/>
      <w:numFmt w:val="bullet"/>
      <w:lvlText w:val="•"/>
      <w:lvlJc w:val="left"/>
      <w:pPr>
        <w:ind w:left="4296" w:hanging="360"/>
      </w:pPr>
      <w:rPr>
        <w:rFonts w:hint="default"/>
        <w:lang w:val="en-au" w:eastAsia="en-au" w:bidi="en-au"/>
      </w:rPr>
    </w:lvl>
  </w:abstractNum>
  <w:abstractNum w:abstractNumId="3">
    <w:multiLevelType w:val="hybridMultilevel"/>
    <w:lvl w:ilvl="0">
      <w:start w:val="0"/>
      <w:numFmt w:val="bullet"/>
      <w:lvlText w:val="-"/>
      <w:lvlJc w:val="left"/>
      <w:pPr>
        <w:ind w:left="763" w:hanging="360"/>
      </w:pPr>
      <w:rPr>
        <w:rFonts w:hint="default"/>
        <w:w w:val="100"/>
        <w:lang w:val="en-au" w:eastAsia="en-au" w:bidi="en-au"/>
      </w:rPr>
    </w:lvl>
    <w:lvl w:ilvl="1">
      <w:start w:val="0"/>
      <w:numFmt w:val="bullet"/>
      <w:lvlText w:val="•"/>
      <w:lvlJc w:val="left"/>
      <w:pPr>
        <w:ind w:left="1628" w:hanging="360"/>
      </w:pPr>
      <w:rPr>
        <w:rFonts w:hint="default"/>
        <w:lang w:val="en-au" w:eastAsia="en-au" w:bidi="en-au"/>
      </w:rPr>
    </w:lvl>
    <w:lvl w:ilvl="2">
      <w:start w:val="0"/>
      <w:numFmt w:val="bullet"/>
      <w:lvlText w:val="•"/>
      <w:lvlJc w:val="left"/>
      <w:pPr>
        <w:ind w:left="2497" w:hanging="360"/>
      </w:pPr>
      <w:rPr>
        <w:rFonts w:hint="default"/>
        <w:lang w:val="en-au" w:eastAsia="en-au" w:bidi="en-au"/>
      </w:rPr>
    </w:lvl>
    <w:lvl w:ilvl="3">
      <w:start w:val="0"/>
      <w:numFmt w:val="bullet"/>
      <w:lvlText w:val="•"/>
      <w:lvlJc w:val="left"/>
      <w:pPr>
        <w:ind w:left="3365" w:hanging="360"/>
      </w:pPr>
      <w:rPr>
        <w:rFonts w:hint="default"/>
        <w:lang w:val="en-au" w:eastAsia="en-au" w:bidi="en-au"/>
      </w:rPr>
    </w:lvl>
    <w:lvl w:ilvl="4">
      <w:start w:val="0"/>
      <w:numFmt w:val="bullet"/>
      <w:lvlText w:val="•"/>
      <w:lvlJc w:val="left"/>
      <w:pPr>
        <w:ind w:left="4234" w:hanging="360"/>
      </w:pPr>
      <w:rPr>
        <w:rFonts w:hint="default"/>
        <w:lang w:val="en-au" w:eastAsia="en-au" w:bidi="en-au"/>
      </w:rPr>
    </w:lvl>
    <w:lvl w:ilvl="5">
      <w:start w:val="0"/>
      <w:numFmt w:val="bullet"/>
      <w:lvlText w:val="•"/>
      <w:lvlJc w:val="left"/>
      <w:pPr>
        <w:ind w:left="5103" w:hanging="360"/>
      </w:pPr>
      <w:rPr>
        <w:rFonts w:hint="default"/>
        <w:lang w:val="en-au" w:eastAsia="en-au" w:bidi="en-au"/>
      </w:rPr>
    </w:lvl>
    <w:lvl w:ilvl="6">
      <w:start w:val="0"/>
      <w:numFmt w:val="bullet"/>
      <w:lvlText w:val="•"/>
      <w:lvlJc w:val="left"/>
      <w:pPr>
        <w:ind w:left="5971" w:hanging="360"/>
      </w:pPr>
      <w:rPr>
        <w:rFonts w:hint="default"/>
        <w:lang w:val="en-au" w:eastAsia="en-au" w:bidi="en-au"/>
      </w:rPr>
    </w:lvl>
    <w:lvl w:ilvl="7">
      <w:start w:val="0"/>
      <w:numFmt w:val="bullet"/>
      <w:lvlText w:val="•"/>
      <w:lvlJc w:val="left"/>
      <w:pPr>
        <w:ind w:left="6840" w:hanging="360"/>
      </w:pPr>
      <w:rPr>
        <w:rFonts w:hint="default"/>
        <w:lang w:val="en-au" w:eastAsia="en-au" w:bidi="en-au"/>
      </w:rPr>
    </w:lvl>
    <w:lvl w:ilvl="8">
      <w:start w:val="0"/>
      <w:numFmt w:val="bullet"/>
      <w:lvlText w:val="•"/>
      <w:lvlJc w:val="left"/>
      <w:pPr>
        <w:ind w:left="7709" w:hanging="360"/>
      </w:pPr>
      <w:rPr>
        <w:rFonts w:hint="default"/>
        <w:lang w:val="en-au" w:eastAsia="en-au" w:bidi="en-au"/>
      </w:rPr>
    </w:lvl>
  </w:abstractNum>
  <w:abstractNum w:abstractNumId="2">
    <w:multiLevelType w:val="hybridMultilevel"/>
    <w:lvl w:ilvl="0">
      <w:start w:val="1"/>
      <w:numFmt w:val="decimal"/>
      <w:lvlText w:val="%1."/>
      <w:lvlJc w:val="left"/>
      <w:pPr>
        <w:ind w:left="840" w:hanging="360"/>
        <w:jc w:val="left"/>
      </w:pPr>
      <w:rPr>
        <w:rFonts w:hint="default" w:ascii="Arial" w:hAnsi="Arial" w:eastAsia="Arial" w:cs="Arial"/>
        <w:spacing w:val="-1"/>
        <w:w w:val="100"/>
        <w:sz w:val="22"/>
        <w:szCs w:val="22"/>
        <w:lang w:val="en-au" w:eastAsia="en-au" w:bidi="en-au"/>
      </w:rPr>
    </w:lvl>
    <w:lvl w:ilvl="1">
      <w:start w:val="0"/>
      <w:numFmt w:val="bullet"/>
      <w:lvlText w:val="•"/>
      <w:lvlJc w:val="left"/>
      <w:pPr>
        <w:ind w:left="1700" w:hanging="360"/>
      </w:pPr>
      <w:rPr>
        <w:rFonts w:hint="default"/>
        <w:lang w:val="en-au" w:eastAsia="en-au" w:bidi="en-au"/>
      </w:rPr>
    </w:lvl>
    <w:lvl w:ilvl="2">
      <w:start w:val="0"/>
      <w:numFmt w:val="bullet"/>
      <w:lvlText w:val="•"/>
      <w:lvlJc w:val="left"/>
      <w:pPr>
        <w:ind w:left="2561" w:hanging="360"/>
      </w:pPr>
      <w:rPr>
        <w:rFonts w:hint="default"/>
        <w:lang w:val="en-au" w:eastAsia="en-au" w:bidi="en-au"/>
      </w:rPr>
    </w:lvl>
    <w:lvl w:ilvl="3">
      <w:start w:val="0"/>
      <w:numFmt w:val="bullet"/>
      <w:lvlText w:val="•"/>
      <w:lvlJc w:val="left"/>
      <w:pPr>
        <w:ind w:left="3421" w:hanging="360"/>
      </w:pPr>
      <w:rPr>
        <w:rFonts w:hint="default"/>
        <w:lang w:val="en-au" w:eastAsia="en-au" w:bidi="en-au"/>
      </w:rPr>
    </w:lvl>
    <w:lvl w:ilvl="4">
      <w:start w:val="0"/>
      <w:numFmt w:val="bullet"/>
      <w:lvlText w:val="•"/>
      <w:lvlJc w:val="left"/>
      <w:pPr>
        <w:ind w:left="4282" w:hanging="360"/>
      </w:pPr>
      <w:rPr>
        <w:rFonts w:hint="default"/>
        <w:lang w:val="en-au" w:eastAsia="en-au" w:bidi="en-au"/>
      </w:rPr>
    </w:lvl>
    <w:lvl w:ilvl="5">
      <w:start w:val="0"/>
      <w:numFmt w:val="bullet"/>
      <w:lvlText w:val="•"/>
      <w:lvlJc w:val="left"/>
      <w:pPr>
        <w:ind w:left="5143" w:hanging="360"/>
      </w:pPr>
      <w:rPr>
        <w:rFonts w:hint="default"/>
        <w:lang w:val="en-au" w:eastAsia="en-au" w:bidi="en-au"/>
      </w:rPr>
    </w:lvl>
    <w:lvl w:ilvl="6">
      <w:start w:val="0"/>
      <w:numFmt w:val="bullet"/>
      <w:lvlText w:val="•"/>
      <w:lvlJc w:val="left"/>
      <w:pPr>
        <w:ind w:left="6003" w:hanging="360"/>
      </w:pPr>
      <w:rPr>
        <w:rFonts w:hint="default"/>
        <w:lang w:val="en-au" w:eastAsia="en-au" w:bidi="en-au"/>
      </w:rPr>
    </w:lvl>
    <w:lvl w:ilvl="7">
      <w:start w:val="0"/>
      <w:numFmt w:val="bullet"/>
      <w:lvlText w:val="•"/>
      <w:lvlJc w:val="left"/>
      <w:pPr>
        <w:ind w:left="6864" w:hanging="360"/>
      </w:pPr>
      <w:rPr>
        <w:rFonts w:hint="default"/>
        <w:lang w:val="en-au" w:eastAsia="en-au" w:bidi="en-au"/>
      </w:rPr>
    </w:lvl>
    <w:lvl w:ilvl="8">
      <w:start w:val="0"/>
      <w:numFmt w:val="bullet"/>
      <w:lvlText w:val="•"/>
      <w:lvlJc w:val="left"/>
      <w:pPr>
        <w:ind w:left="7725" w:hanging="360"/>
      </w:pPr>
      <w:rPr>
        <w:rFonts w:hint="default"/>
        <w:lang w:val="en-au" w:eastAsia="en-au" w:bidi="en-au"/>
      </w:rPr>
    </w:lvl>
  </w:abstractNum>
  <w:abstractNum w:abstractNumId="1">
    <w:multiLevelType w:val="hybridMultilevel"/>
    <w:lvl w:ilvl="0">
      <w:start w:val="0"/>
      <w:numFmt w:val="bullet"/>
      <w:lvlText w:val="-"/>
      <w:lvlJc w:val="left"/>
      <w:pPr>
        <w:ind w:left="840" w:hanging="360"/>
      </w:pPr>
      <w:rPr>
        <w:rFonts w:hint="default"/>
        <w:w w:val="100"/>
        <w:lang w:val="en-au" w:eastAsia="en-au" w:bidi="en-au"/>
      </w:rPr>
    </w:lvl>
    <w:lvl w:ilvl="1">
      <w:start w:val="0"/>
      <w:numFmt w:val="bullet"/>
      <w:lvlText w:val="•"/>
      <w:lvlJc w:val="left"/>
      <w:pPr>
        <w:ind w:left="1700" w:hanging="360"/>
      </w:pPr>
      <w:rPr>
        <w:rFonts w:hint="default"/>
        <w:lang w:val="en-au" w:eastAsia="en-au" w:bidi="en-au"/>
      </w:rPr>
    </w:lvl>
    <w:lvl w:ilvl="2">
      <w:start w:val="0"/>
      <w:numFmt w:val="bullet"/>
      <w:lvlText w:val="•"/>
      <w:lvlJc w:val="left"/>
      <w:pPr>
        <w:ind w:left="2561" w:hanging="360"/>
      </w:pPr>
      <w:rPr>
        <w:rFonts w:hint="default"/>
        <w:lang w:val="en-au" w:eastAsia="en-au" w:bidi="en-au"/>
      </w:rPr>
    </w:lvl>
    <w:lvl w:ilvl="3">
      <w:start w:val="0"/>
      <w:numFmt w:val="bullet"/>
      <w:lvlText w:val="•"/>
      <w:lvlJc w:val="left"/>
      <w:pPr>
        <w:ind w:left="3421" w:hanging="360"/>
      </w:pPr>
      <w:rPr>
        <w:rFonts w:hint="default"/>
        <w:lang w:val="en-au" w:eastAsia="en-au" w:bidi="en-au"/>
      </w:rPr>
    </w:lvl>
    <w:lvl w:ilvl="4">
      <w:start w:val="0"/>
      <w:numFmt w:val="bullet"/>
      <w:lvlText w:val="•"/>
      <w:lvlJc w:val="left"/>
      <w:pPr>
        <w:ind w:left="4282" w:hanging="360"/>
      </w:pPr>
      <w:rPr>
        <w:rFonts w:hint="default"/>
        <w:lang w:val="en-au" w:eastAsia="en-au" w:bidi="en-au"/>
      </w:rPr>
    </w:lvl>
    <w:lvl w:ilvl="5">
      <w:start w:val="0"/>
      <w:numFmt w:val="bullet"/>
      <w:lvlText w:val="•"/>
      <w:lvlJc w:val="left"/>
      <w:pPr>
        <w:ind w:left="5143" w:hanging="360"/>
      </w:pPr>
      <w:rPr>
        <w:rFonts w:hint="default"/>
        <w:lang w:val="en-au" w:eastAsia="en-au" w:bidi="en-au"/>
      </w:rPr>
    </w:lvl>
    <w:lvl w:ilvl="6">
      <w:start w:val="0"/>
      <w:numFmt w:val="bullet"/>
      <w:lvlText w:val="•"/>
      <w:lvlJc w:val="left"/>
      <w:pPr>
        <w:ind w:left="6003" w:hanging="360"/>
      </w:pPr>
      <w:rPr>
        <w:rFonts w:hint="default"/>
        <w:lang w:val="en-au" w:eastAsia="en-au" w:bidi="en-au"/>
      </w:rPr>
    </w:lvl>
    <w:lvl w:ilvl="7">
      <w:start w:val="0"/>
      <w:numFmt w:val="bullet"/>
      <w:lvlText w:val="•"/>
      <w:lvlJc w:val="left"/>
      <w:pPr>
        <w:ind w:left="6864" w:hanging="360"/>
      </w:pPr>
      <w:rPr>
        <w:rFonts w:hint="default"/>
        <w:lang w:val="en-au" w:eastAsia="en-au" w:bidi="en-au"/>
      </w:rPr>
    </w:lvl>
    <w:lvl w:ilvl="8">
      <w:start w:val="0"/>
      <w:numFmt w:val="bullet"/>
      <w:lvlText w:val="•"/>
      <w:lvlJc w:val="left"/>
      <w:pPr>
        <w:ind w:left="7725" w:hanging="360"/>
      </w:pPr>
      <w:rPr>
        <w:rFonts w:hint="default"/>
        <w:lang w:val="en-au" w:eastAsia="en-au" w:bidi="en-au"/>
      </w:rPr>
    </w:lvl>
  </w:abstractNum>
  <w:abstractNum w:abstractNumId="0">
    <w:multiLevelType w:val="hybridMultilevel"/>
    <w:lvl w:ilvl="0">
      <w:start w:val="0"/>
      <w:numFmt w:val="bullet"/>
      <w:lvlText w:val="o"/>
      <w:lvlJc w:val="left"/>
      <w:pPr>
        <w:ind w:left="480" w:hanging="360"/>
      </w:pPr>
      <w:rPr>
        <w:rFonts w:hint="default" w:ascii="Courier New" w:hAnsi="Courier New" w:eastAsia="Courier New" w:cs="Courier New"/>
        <w:color w:val="333399"/>
        <w:w w:val="100"/>
        <w:sz w:val="16"/>
        <w:szCs w:val="16"/>
        <w:lang w:val="en-au" w:eastAsia="en-au" w:bidi="en-au"/>
      </w:rPr>
    </w:lvl>
    <w:lvl w:ilvl="1">
      <w:start w:val="0"/>
      <w:numFmt w:val="bullet"/>
      <w:lvlText w:val="•"/>
      <w:lvlJc w:val="left"/>
      <w:pPr>
        <w:ind w:left="1376" w:hanging="360"/>
      </w:pPr>
      <w:rPr>
        <w:rFonts w:hint="default"/>
        <w:lang w:val="en-au" w:eastAsia="en-au" w:bidi="en-au"/>
      </w:rPr>
    </w:lvl>
    <w:lvl w:ilvl="2">
      <w:start w:val="0"/>
      <w:numFmt w:val="bullet"/>
      <w:lvlText w:val="•"/>
      <w:lvlJc w:val="left"/>
      <w:pPr>
        <w:ind w:left="2273" w:hanging="360"/>
      </w:pPr>
      <w:rPr>
        <w:rFonts w:hint="default"/>
        <w:lang w:val="en-au" w:eastAsia="en-au" w:bidi="en-au"/>
      </w:rPr>
    </w:lvl>
    <w:lvl w:ilvl="3">
      <w:start w:val="0"/>
      <w:numFmt w:val="bullet"/>
      <w:lvlText w:val="•"/>
      <w:lvlJc w:val="left"/>
      <w:pPr>
        <w:ind w:left="3169" w:hanging="360"/>
      </w:pPr>
      <w:rPr>
        <w:rFonts w:hint="default"/>
        <w:lang w:val="en-au" w:eastAsia="en-au" w:bidi="en-au"/>
      </w:rPr>
    </w:lvl>
    <w:lvl w:ilvl="4">
      <w:start w:val="0"/>
      <w:numFmt w:val="bullet"/>
      <w:lvlText w:val="•"/>
      <w:lvlJc w:val="left"/>
      <w:pPr>
        <w:ind w:left="4066" w:hanging="360"/>
      </w:pPr>
      <w:rPr>
        <w:rFonts w:hint="default"/>
        <w:lang w:val="en-au" w:eastAsia="en-au" w:bidi="en-au"/>
      </w:rPr>
    </w:lvl>
    <w:lvl w:ilvl="5">
      <w:start w:val="0"/>
      <w:numFmt w:val="bullet"/>
      <w:lvlText w:val="•"/>
      <w:lvlJc w:val="left"/>
      <w:pPr>
        <w:ind w:left="4963" w:hanging="360"/>
      </w:pPr>
      <w:rPr>
        <w:rFonts w:hint="default"/>
        <w:lang w:val="en-au" w:eastAsia="en-au" w:bidi="en-au"/>
      </w:rPr>
    </w:lvl>
    <w:lvl w:ilvl="6">
      <w:start w:val="0"/>
      <w:numFmt w:val="bullet"/>
      <w:lvlText w:val="•"/>
      <w:lvlJc w:val="left"/>
      <w:pPr>
        <w:ind w:left="5859" w:hanging="360"/>
      </w:pPr>
      <w:rPr>
        <w:rFonts w:hint="default"/>
        <w:lang w:val="en-au" w:eastAsia="en-au" w:bidi="en-au"/>
      </w:rPr>
    </w:lvl>
    <w:lvl w:ilvl="7">
      <w:start w:val="0"/>
      <w:numFmt w:val="bullet"/>
      <w:lvlText w:val="•"/>
      <w:lvlJc w:val="left"/>
      <w:pPr>
        <w:ind w:left="6756" w:hanging="360"/>
      </w:pPr>
      <w:rPr>
        <w:rFonts w:hint="default"/>
        <w:lang w:val="en-au" w:eastAsia="en-au" w:bidi="en-au"/>
      </w:rPr>
    </w:lvl>
    <w:lvl w:ilvl="8">
      <w:start w:val="0"/>
      <w:numFmt w:val="bullet"/>
      <w:lvlText w:val="•"/>
      <w:lvlJc w:val="left"/>
      <w:pPr>
        <w:ind w:left="7653" w:hanging="360"/>
      </w:pPr>
      <w:rPr>
        <w:rFonts w:hint="default"/>
        <w:lang w:val="en-au" w:eastAsia="en-au" w:bidi="en-au"/>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rPr>
      <w:rFonts w:ascii="Arial" w:hAnsi="Arial" w:eastAsia="Arial" w:cs="Arial"/>
      <w:sz w:val="22"/>
      <w:szCs w:val="22"/>
      <w:lang w:val="en-au" w:eastAsia="en-au" w:bidi="en-au"/>
    </w:rPr>
  </w:style>
  <w:style w:styleId="Heading1" w:type="paragraph">
    <w:name w:val="Heading 1"/>
    <w:basedOn w:val="Normal"/>
    <w:uiPriority w:val="1"/>
    <w:qFormat/>
    <w:pPr>
      <w:spacing w:before="1"/>
      <w:ind w:left="120"/>
      <w:outlineLvl w:val="1"/>
    </w:pPr>
    <w:rPr>
      <w:rFonts w:ascii="Arial" w:hAnsi="Arial" w:eastAsia="Arial" w:cs="Arial"/>
      <w:b/>
      <w:bCs/>
      <w:sz w:val="32"/>
      <w:szCs w:val="32"/>
      <w:lang w:val="en-au" w:eastAsia="en-au" w:bidi="en-au"/>
    </w:rPr>
  </w:style>
  <w:style w:styleId="Heading2" w:type="paragraph">
    <w:name w:val="Heading 2"/>
    <w:basedOn w:val="Normal"/>
    <w:uiPriority w:val="1"/>
    <w:qFormat/>
    <w:pPr>
      <w:spacing w:before="91"/>
      <w:ind w:left="120"/>
      <w:outlineLvl w:val="2"/>
    </w:pPr>
    <w:rPr>
      <w:rFonts w:ascii="Arial" w:hAnsi="Arial" w:eastAsia="Arial" w:cs="Arial"/>
      <w:b/>
      <w:bCs/>
      <w:sz w:val="26"/>
      <w:szCs w:val="26"/>
      <w:lang w:val="en-au" w:eastAsia="en-au" w:bidi="en-au"/>
    </w:rPr>
  </w:style>
  <w:style w:styleId="ListParagraph" w:type="paragraph">
    <w:name w:val="List Paragraph"/>
    <w:basedOn w:val="Normal"/>
    <w:uiPriority w:val="1"/>
    <w:qFormat/>
    <w:pPr>
      <w:ind w:left="763" w:hanging="360"/>
    </w:pPr>
    <w:rPr>
      <w:rFonts w:ascii="Arial" w:hAnsi="Arial" w:eastAsia="Arial" w:cs="Arial"/>
      <w:lang w:val="en-au" w:eastAsia="en-au" w:bidi="en-au"/>
    </w:rPr>
  </w:style>
  <w:style w:styleId="TableParagraph" w:type="paragraph">
    <w:name w:val="Table Paragraph"/>
    <w:basedOn w:val="Normal"/>
    <w:uiPriority w:val="1"/>
    <w:qFormat/>
    <w:pPr>
      <w:ind w:left="108"/>
    </w:pPr>
    <w:rPr>
      <w:rFonts w:ascii="Arial" w:hAnsi="Arial" w:eastAsia="Arial" w:cs="Arial"/>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women@qld.gov.au" TargetMode="External"/><Relationship Id="rId9" Type="http://schemas.openxmlformats.org/officeDocument/2006/relationships/hyperlink" Target="https://www.google.com.au/url?sa=t&amp;rct=j&amp;q&amp;esrc=s&amp;source=web&amp;cd=2&amp;cad=rja&amp;uact=8&amp;ved=0ahUKEwjFr7rZl_zYAhUETrwKHZzzDOoQFgguMAE&amp;url=https%3A%2F%2Fwww.communities.qld.gov.au%2Fresources%2Fcommunityservices%2Fwomen%2Fqueensland-womens-strategy.pdf&amp;usg=AOvVaw3N9yNncX-pI5GLFGBWFu3I" TargetMode="External"/><Relationship Id="rId10" Type="http://schemas.openxmlformats.org/officeDocument/2006/relationships/hyperlink" Target="https://www.forgov.qld.gov.au/sites/default/files/specific-purpose-planning-requirements.pdf" TargetMode="External"/><Relationship Id="rId11" Type="http://schemas.openxmlformats.org/officeDocument/2006/relationships/hyperlink" Target="http://www.premiers.qld.gov.au/publications/categories/guides/perf-manage-framework.aspx" TargetMode="External"/><Relationship Id="rId12" Type="http://schemas.openxmlformats.org/officeDocument/2006/relationships/hyperlink" Target="https://www.communities.qld.gov.au/communityservices/women/about-office-women/gender-analysis" TargetMode="External"/><Relationship Id="rId13" Type="http://schemas.openxmlformats.org/officeDocument/2006/relationships/hyperlink" Target="https://www.communities.qld.gov.au/resources/campaign/womens-strategy/report-card-all.pdf" TargetMode="External"/><Relationship Id="rId14" Type="http://schemas.openxmlformats.org/officeDocument/2006/relationships/hyperlink" Target="https://www.communities.qld.gov.au/communityservices/women/about-office-women/gender-analysis/gender-analysis-toolkit-resource" TargetMode="External"/><Relationship Id="rId15" Type="http://schemas.openxmlformats.org/officeDocument/2006/relationships/hyperlink" Target="https://www.wgea.gov.au/lead/building-gender-equality-strategy" TargetMode="External"/><Relationship Id="rId16" Type="http://schemas.openxmlformats.org/officeDocument/2006/relationships/hyperlink" Target="https://www.asx.com.au/regulation/corporate-governance-council/resources.htm" TargetMode="External"/><Relationship Id="rId17" Type="http://schemas.openxmlformats.org/officeDocument/2006/relationships/hyperlink" Target="https://www.forgov.qld.gov.au/working-queensland-survey" TargetMode="External"/><Relationship Id="rId18" Type="http://schemas.openxmlformats.org/officeDocument/2006/relationships/hyperlink" Target="https://www.forgov.qld.gov.au/inclusion-and-diversity-commitment" TargetMode="External"/><Relationship Id="rId19" Type="http://schemas.openxmlformats.org/officeDocument/2006/relationships/hyperlink" Target="http://scholar.google.com.au/scholar_url?url=https%3A%2F%2Fbooks.google.com.au%2Fbooks%3Fhl%3Den%26lr%3D%26id%3DOp51AwAAQBAJ%26oi%3Dfnd%26pg%3DPR5%26dq%3Dcommunicating%2Bgender%2Bequality%26ots%3DCG2dqqh475%26sig%3DiY9jIK32W4LVuqojn7CGv0JD9yI&amp;hl=en&amp;sa=T&amp;ct=res&amp;cd=3&amp;ei=y0ZxWuyFO4rWjgS0_aHYBQ&amp;scisig=AAGBfm3mtwr72WY1AZ0P3R1GBF1H6Z189A&amp;nossl=1&amp;ws=1003x759" TargetMode="External"/><Relationship Id="rId20" Type="http://schemas.openxmlformats.org/officeDocument/2006/relationships/hyperlink" Target="https://www.dca.org.au/research/project/wordsatwork-building-inclusion-through-power-language" TargetMode="External"/><Relationship Id="rId21" Type="http://schemas.openxmlformats.org/officeDocument/2006/relationships/hyperlink" Target="https://www.wgea.gov.au/lead/setting-gender-targets" TargetMode="External"/><Relationship Id="rId22" Type="http://schemas.openxmlformats.org/officeDocument/2006/relationships/hyperlink" Target="http://www.un.org/womenwatch/osagi/conceptsandefinitions.htm" TargetMode="External"/><Relationship Id="rId23" Type="http://schemas.openxmlformats.org/officeDocument/2006/relationships/hyperlink" Target="https://www.wgea.gov.au/sites/default/files/wgea-business-case-for-gender-equality.pdf" TargetMode="External"/><Relationship Id="rId24" Type="http://schemas.openxmlformats.org/officeDocument/2006/relationships/hyperlink" Target="https://www.humanrights.gov.au/publications/supporting-working-parents-pregnancy-and-return-work-national-review-report/chapter-1" TargetMode="External"/><Relationship Id="rId25" Type="http://schemas.openxmlformats.org/officeDocument/2006/relationships/hyperlink" Target="https://www.ncwit.org/sites/default/files/resources/impactgenderdiversitytechbusinessperformance_print.pdf" TargetMode="External"/><Relationship Id="rId26" Type="http://schemas.openxmlformats.org/officeDocument/2006/relationships/hyperlink" Target="http://www.mckinsey.com/business-functions/organization/our-insights/is-there-a-payoff-from-top-team-diversity" TargetMode="External"/><Relationship Id="rId27" Type="http://schemas.openxmlformats.org/officeDocument/2006/relationships/hyperlink" Target="http://www.reibeyinstitute.org.au/wp-content/uploads/2011/10/ASX500_Women-Leaders-2011.pdf" TargetMode="External"/><Relationship Id="rId2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Government</dc:creator>
  <cp:keywords>Gender equality; action plan;</cp:keywords>
  <dc:subject>Gender equality</dc:subject>
  <dc:title>Developing a gender equality action plan</dc:title>
  <dcterms:created xsi:type="dcterms:W3CDTF">2020-08-24T23:55:39Z</dcterms:created>
  <dcterms:modified xsi:type="dcterms:W3CDTF">2020-08-24T23:55:39Z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Microsoft® Word 2013</vt:lpwstr>
  </property>
  <property fmtid="{D5CDD505-2E9C-101B-9397-08002B2CF9AE}" pid="4" name="LastSaved">
    <vt:filetime>2020-08-24T00:00:00Z</vt:filetime>
  </property>
</Properties>
</file>