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35C" w:rsidRDefault="00210DEB" w:rsidP="00210DEB">
      <w:pPr>
        <w:pStyle w:val="Heading1"/>
      </w:pPr>
      <w:r>
        <w:t>Queensland says: not now, not ever</w:t>
      </w:r>
      <w:r w:rsidR="00F53703">
        <w:t>, together</w:t>
      </w:r>
    </w:p>
    <w:p w:rsidR="00210DEB" w:rsidRDefault="00210DEB" w:rsidP="00210DEB"/>
    <w:p w:rsidR="00F53703" w:rsidRDefault="00F53703" w:rsidP="00F53703">
      <w:pPr>
        <w:pStyle w:val="Heading2"/>
      </w:pPr>
      <w:r>
        <w:t xml:space="preserve">Year 5 highlights card </w:t>
      </w:r>
    </w:p>
    <w:p w:rsidR="00F53703" w:rsidRDefault="00F53703" w:rsidP="00F53703">
      <w:pPr>
        <w:pStyle w:val="Heading2"/>
      </w:pPr>
      <w:r>
        <w:t>2019-2020</w:t>
      </w:r>
    </w:p>
    <w:p w:rsidR="00F53703" w:rsidRPr="00F53703" w:rsidRDefault="00F53703" w:rsidP="00F53703"/>
    <w:p w:rsidR="00F53703" w:rsidRPr="00F53703" w:rsidRDefault="00F53703" w:rsidP="00F53703">
      <w:pPr>
        <w:pStyle w:val="Heading5"/>
      </w:pPr>
      <w:r>
        <w:t>Domestic and Family Violence Prevention Strategy 2016–2026</w:t>
      </w:r>
    </w:p>
    <w:p w:rsidR="00210DEB" w:rsidRDefault="00210DEB" w:rsidP="00210DEB"/>
    <w:p w:rsidR="00210DEB" w:rsidRDefault="00210DEB" w:rsidP="00210DEB">
      <w:pPr>
        <w:pStyle w:val="Heading5"/>
      </w:pPr>
      <w:r>
        <w:t>Queenslanders take a zero tolerance approach to domestic and family violence</w:t>
      </w:r>
    </w:p>
    <w:p w:rsidR="00210DEB" w:rsidRDefault="00210DEB" w:rsidP="00210DEB">
      <w:r w:rsidRPr="00AE2963">
        <w:rPr>
          <w:b/>
        </w:rPr>
        <w:t>99%</w:t>
      </w:r>
      <w:r>
        <w:t xml:space="preserve"> of Queenslanders recognise trying to scare or control a partner by threatening to hurt other family members as domestic and family violence </w:t>
      </w:r>
    </w:p>
    <w:p w:rsidR="00210DEB" w:rsidRDefault="00616E76" w:rsidP="00210DEB">
      <w:r>
        <w:rPr>
          <w:b/>
        </w:rPr>
        <w:t>97</w:t>
      </w:r>
      <w:r w:rsidR="00210DEB" w:rsidRPr="00AE2963">
        <w:rPr>
          <w:b/>
        </w:rPr>
        <w:t>%</w:t>
      </w:r>
      <w:r w:rsidR="00210DEB">
        <w:t xml:space="preserve"> of Queenslanders recognise trying to control a partner by denying them access to money as domestic and family violence</w:t>
      </w:r>
    </w:p>
    <w:p w:rsidR="002A272B" w:rsidRDefault="002A272B" w:rsidP="002A272B">
      <w:pPr>
        <w:pStyle w:val="Heading5"/>
      </w:pPr>
      <w:r w:rsidRPr="00744A1D">
        <w:t>Perpetrators stop using violence and are held to account</w:t>
      </w:r>
    </w:p>
    <w:p w:rsidR="002A272B" w:rsidRDefault="002A272B" w:rsidP="002A272B">
      <w:pPr>
        <w:rPr>
          <w:rFonts w:cstheme="minorHAnsi"/>
        </w:rPr>
      </w:pPr>
      <w:r w:rsidRPr="002A272B">
        <w:rPr>
          <w:rFonts w:cstheme="minorHAnsi"/>
          <w:b/>
          <w:bCs/>
        </w:rPr>
        <w:t>Perpetrator programs are being</w:t>
      </w:r>
      <w:r>
        <w:rPr>
          <w:rFonts w:cstheme="minorHAnsi"/>
          <w:b/>
          <w:bCs/>
        </w:rPr>
        <w:t xml:space="preserve"> </w:t>
      </w:r>
      <w:r w:rsidRPr="002A272B">
        <w:rPr>
          <w:rFonts w:cstheme="minorHAnsi"/>
          <w:b/>
          <w:bCs/>
        </w:rPr>
        <w:t xml:space="preserve">provided across the state </w:t>
      </w:r>
      <w:r w:rsidRPr="002A272B">
        <w:rPr>
          <w:rFonts w:cstheme="minorHAnsi"/>
        </w:rPr>
        <w:t>to support</w:t>
      </w:r>
      <w:r>
        <w:rPr>
          <w:rFonts w:cstheme="minorHAnsi"/>
        </w:rPr>
        <w:t xml:space="preserve"> </w:t>
      </w:r>
      <w:r w:rsidRPr="002A272B">
        <w:rPr>
          <w:rFonts w:cstheme="minorHAnsi"/>
        </w:rPr>
        <w:t>behaviour change and prevent future</w:t>
      </w:r>
      <w:r>
        <w:rPr>
          <w:rFonts w:cstheme="minorHAnsi"/>
        </w:rPr>
        <w:t xml:space="preserve"> </w:t>
      </w:r>
      <w:r w:rsidRPr="002A272B">
        <w:rPr>
          <w:rFonts w:cstheme="minorHAnsi"/>
        </w:rPr>
        <w:t>use of domestic and family violence.</w:t>
      </w:r>
    </w:p>
    <w:p w:rsidR="002A272B" w:rsidRPr="002A272B" w:rsidRDefault="002A272B" w:rsidP="002A272B">
      <w:r w:rsidRPr="002A272B">
        <w:rPr>
          <w:b/>
          <w:bCs/>
        </w:rPr>
        <w:t>134 Community-based perpetrator</w:t>
      </w:r>
      <w:r>
        <w:rPr>
          <w:b/>
          <w:bCs/>
        </w:rPr>
        <w:t xml:space="preserve"> </w:t>
      </w:r>
      <w:r w:rsidRPr="002A272B">
        <w:rPr>
          <w:b/>
          <w:bCs/>
        </w:rPr>
        <w:t xml:space="preserve">behaviour change programs </w:t>
      </w:r>
      <w:r w:rsidRPr="002A272B">
        <w:t>were</w:t>
      </w:r>
      <w:r>
        <w:t xml:space="preserve"> </w:t>
      </w:r>
      <w:r w:rsidRPr="002A272B">
        <w:t>supported by the Queensland</w:t>
      </w:r>
      <w:r>
        <w:t xml:space="preserve"> </w:t>
      </w:r>
      <w:r w:rsidRPr="002A272B">
        <w:t>Government in 2019–20. In addition,</w:t>
      </w:r>
      <w:r>
        <w:t xml:space="preserve"> </w:t>
      </w:r>
      <w:r w:rsidRPr="002A272B">
        <w:t>Queensland Corrective Services</w:t>
      </w:r>
      <w:r>
        <w:t xml:space="preserve"> </w:t>
      </w:r>
      <w:r w:rsidRPr="002A272B">
        <w:t>launched an in-custody pilot perpetrator</w:t>
      </w:r>
      <w:r>
        <w:t xml:space="preserve"> </w:t>
      </w:r>
      <w:r w:rsidRPr="002A272B">
        <w:t>behaviour change program in three</w:t>
      </w:r>
      <w:r>
        <w:t xml:space="preserve"> </w:t>
      </w:r>
      <w:r w:rsidRPr="002A272B">
        <w:t>locations in 2019–20.</w:t>
      </w:r>
    </w:p>
    <w:p w:rsidR="002A272B" w:rsidRDefault="002A272B" w:rsidP="002A272B">
      <w:r w:rsidRPr="002A272B">
        <w:rPr>
          <w:b/>
          <w:bCs/>
        </w:rPr>
        <w:t>432 perpetrators were referred to</w:t>
      </w:r>
      <w:r>
        <w:rPr>
          <w:b/>
          <w:bCs/>
        </w:rPr>
        <w:t xml:space="preserve"> </w:t>
      </w:r>
      <w:r w:rsidRPr="002A272B">
        <w:rPr>
          <w:b/>
          <w:bCs/>
        </w:rPr>
        <w:t>Men’s Domestic Violence Education</w:t>
      </w:r>
      <w:r>
        <w:rPr>
          <w:b/>
          <w:bCs/>
        </w:rPr>
        <w:t xml:space="preserve"> </w:t>
      </w:r>
      <w:r w:rsidRPr="002A272B">
        <w:rPr>
          <w:b/>
          <w:bCs/>
        </w:rPr>
        <w:t xml:space="preserve">Intervention Program </w:t>
      </w:r>
      <w:r w:rsidRPr="002A272B">
        <w:t>in Southport</w:t>
      </w:r>
      <w:r>
        <w:t xml:space="preserve"> </w:t>
      </w:r>
      <w:r w:rsidRPr="002A272B">
        <w:t>and Logan in 2019–20.</w:t>
      </w:r>
    </w:p>
    <w:p w:rsidR="00210DEB" w:rsidRDefault="00210DEB" w:rsidP="00210DEB">
      <w:pPr>
        <w:pStyle w:val="Heading5"/>
      </w:pPr>
      <w:r>
        <w:t>Victims and their families are safe and supported</w:t>
      </w:r>
    </w:p>
    <w:p w:rsidR="002A272B" w:rsidRPr="002A272B" w:rsidRDefault="002A272B" w:rsidP="002A272B">
      <w:r w:rsidRPr="002A272B">
        <w:rPr>
          <w:b/>
          <w:bCs/>
        </w:rPr>
        <w:t xml:space="preserve">89% </w:t>
      </w:r>
      <w:r w:rsidRPr="002A272B">
        <w:t>of referrals for government-funded</w:t>
      </w:r>
      <w:r>
        <w:t xml:space="preserve"> </w:t>
      </w:r>
      <w:r w:rsidRPr="002A272B">
        <w:t xml:space="preserve">crisis accommodation </w:t>
      </w:r>
      <w:r w:rsidRPr="002A272B">
        <w:rPr>
          <w:b/>
          <w:bCs/>
        </w:rPr>
        <w:t>completed within</w:t>
      </w:r>
      <w:r>
        <w:rPr>
          <w:b/>
          <w:bCs/>
        </w:rPr>
        <w:t xml:space="preserve"> </w:t>
      </w:r>
      <w:r w:rsidRPr="002A272B">
        <w:rPr>
          <w:b/>
          <w:bCs/>
        </w:rPr>
        <w:t>48 hours</w:t>
      </w:r>
      <w:r w:rsidRPr="002A272B">
        <w:t>.</w:t>
      </w:r>
    </w:p>
    <w:p w:rsidR="00210DEB" w:rsidRDefault="002A272B" w:rsidP="002A272B">
      <w:r w:rsidRPr="002A272B">
        <w:t>Calls to domestic and family violence</w:t>
      </w:r>
      <w:r>
        <w:t xml:space="preserve"> </w:t>
      </w:r>
      <w:r w:rsidRPr="002A272B">
        <w:t>women’s and men’s lines increased</w:t>
      </w:r>
      <w:r>
        <w:t xml:space="preserve"> </w:t>
      </w:r>
      <w:r w:rsidRPr="002A272B">
        <w:t>to 128,829 from 84,221 in 2018–19,</w:t>
      </w:r>
      <w:r>
        <w:t xml:space="preserve"> </w:t>
      </w:r>
      <w:r w:rsidRPr="002A272B">
        <w:t xml:space="preserve">an </w:t>
      </w:r>
      <w:r w:rsidRPr="002A272B">
        <w:rPr>
          <w:b/>
          <w:bCs/>
        </w:rPr>
        <w:t>increase of more than 50%.</w:t>
      </w:r>
    </w:p>
    <w:p w:rsidR="002A272B" w:rsidRPr="002A272B" w:rsidRDefault="002A272B" w:rsidP="002A272B">
      <w:pPr>
        <w:pStyle w:val="Heading5"/>
        <w:rPr>
          <w:rFonts w:asciiTheme="minorHAnsi" w:hAnsiTheme="minorHAnsi" w:cstheme="minorHAnsi"/>
        </w:rPr>
      </w:pPr>
      <w:r w:rsidRPr="002A272B">
        <w:rPr>
          <w:rFonts w:asciiTheme="minorHAnsi" w:hAnsiTheme="minorHAnsi" w:cstheme="minorHAnsi"/>
        </w:rPr>
        <w:t xml:space="preserve">The justice system </w:t>
      </w:r>
      <w:r w:rsidRPr="002A272B">
        <w:rPr>
          <w:rFonts w:asciiTheme="minorHAnsi" w:hAnsiTheme="minorHAnsi" w:cstheme="minorHAnsi"/>
          <w:b/>
          <w:bCs/>
        </w:rPr>
        <w:t xml:space="preserve">deals effectively </w:t>
      </w:r>
      <w:r w:rsidRPr="002A272B">
        <w:rPr>
          <w:rFonts w:asciiTheme="minorHAnsi" w:hAnsiTheme="minorHAnsi" w:cstheme="minorHAnsi"/>
        </w:rPr>
        <w:t xml:space="preserve">with domestic and family violence </w:t>
      </w:r>
    </w:p>
    <w:p w:rsidR="002A272B" w:rsidRDefault="002A272B" w:rsidP="002A272B">
      <w:r w:rsidRPr="002A272B">
        <w:rPr>
          <w:rFonts w:cstheme="minorHAnsi"/>
        </w:rPr>
        <w:t>Time from filing application to making</w:t>
      </w:r>
      <w:r w:rsidRPr="002A272B">
        <w:rPr>
          <w:rFonts w:cstheme="minorHAnsi"/>
        </w:rPr>
        <w:t xml:space="preserve"> </w:t>
      </w:r>
      <w:r w:rsidRPr="002A272B">
        <w:rPr>
          <w:rFonts w:cstheme="minorHAnsi"/>
        </w:rPr>
        <w:t>a temporary protection order has</w:t>
      </w:r>
      <w:r w:rsidRPr="002A272B">
        <w:rPr>
          <w:rFonts w:cstheme="minorHAnsi"/>
        </w:rPr>
        <w:t xml:space="preserve"> </w:t>
      </w:r>
      <w:r w:rsidRPr="002A272B">
        <w:rPr>
          <w:rFonts w:cstheme="minorHAnsi"/>
          <w:b/>
          <w:bCs/>
        </w:rPr>
        <w:t>decreased to an average of 5.2 days</w:t>
      </w:r>
      <w:r w:rsidRPr="002A272B">
        <w:rPr>
          <w:rFonts w:cstheme="minorHAnsi"/>
        </w:rPr>
        <w:t>,</w:t>
      </w:r>
      <w:r w:rsidRPr="002A272B">
        <w:rPr>
          <w:rFonts w:cstheme="minorHAnsi"/>
        </w:rPr>
        <w:t xml:space="preserve"> </w:t>
      </w:r>
      <w:r w:rsidRPr="002A272B">
        <w:rPr>
          <w:rFonts w:cstheme="minorHAnsi"/>
        </w:rPr>
        <w:t>from 5.8 days in 2018–19. Time from</w:t>
      </w:r>
      <w:r w:rsidRPr="002A272B">
        <w:rPr>
          <w:rFonts w:cstheme="minorHAnsi"/>
        </w:rPr>
        <w:t xml:space="preserve"> </w:t>
      </w:r>
      <w:r w:rsidRPr="002A272B">
        <w:rPr>
          <w:rFonts w:cstheme="minorHAnsi"/>
        </w:rPr>
        <w:t>filing application to making a temporary</w:t>
      </w:r>
      <w:r w:rsidRPr="002A272B">
        <w:rPr>
          <w:rFonts w:cstheme="minorHAnsi"/>
        </w:rPr>
        <w:t xml:space="preserve"> </w:t>
      </w:r>
      <w:r w:rsidRPr="002A272B">
        <w:rPr>
          <w:rFonts w:cstheme="minorHAnsi"/>
        </w:rPr>
        <w:t>protection order for applications</w:t>
      </w:r>
      <w:r w:rsidRPr="002A272B">
        <w:rPr>
          <w:rFonts w:cstheme="minorHAnsi"/>
        </w:rPr>
        <w:t xml:space="preserve"> </w:t>
      </w:r>
      <w:r w:rsidRPr="002A272B">
        <w:rPr>
          <w:rFonts w:cstheme="minorHAnsi"/>
        </w:rPr>
        <w:t>involving people who have identified as</w:t>
      </w:r>
      <w:r w:rsidRPr="002A272B">
        <w:rPr>
          <w:rFonts w:cstheme="minorHAnsi"/>
        </w:rPr>
        <w:t xml:space="preserve"> </w:t>
      </w:r>
      <w:r w:rsidRPr="002A272B">
        <w:rPr>
          <w:rFonts w:cstheme="minorHAnsi"/>
        </w:rPr>
        <w:t>Aboriginal and/or Torres Strait Islander</w:t>
      </w:r>
      <w:r w:rsidRPr="002A272B">
        <w:rPr>
          <w:rFonts w:cstheme="minorHAnsi"/>
        </w:rPr>
        <w:t xml:space="preserve"> </w:t>
      </w:r>
      <w:r w:rsidRPr="002A272B">
        <w:rPr>
          <w:rFonts w:cstheme="minorHAnsi"/>
        </w:rPr>
        <w:t xml:space="preserve">has also </w:t>
      </w:r>
      <w:r w:rsidRPr="002A272B">
        <w:rPr>
          <w:rFonts w:cstheme="minorHAnsi"/>
          <w:b/>
          <w:bCs/>
        </w:rPr>
        <w:t>decreased to an average of</w:t>
      </w:r>
      <w:r>
        <w:rPr>
          <w:rFonts w:cstheme="minorHAnsi"/>
          <w:b/>
          <w:bCs/>
        </w:rPr>
        <w:t xml:space="preserve"> </w:t>
      </w:r>
      <w:r w:rsidRPr="002A272B">
        <w:rPr>
          <w:rFonts w:cstheme="minorHAnsi"/>
          <w:b/>
          <w:bCs/>
        </w:rPr>
        <w:t>5.5 days</w:t>
      </w:r>
      <w:r w:rsidRPr="002A272B">
        <w:rPr>
          <w:rFonts w:cstheme="minorHAnsi"/>
        </w:rPr>
        <w:t>, from 5.8 days in 2018–19.</w:t>
      </w:r>
    </w:p>
    <w:p w:rsidR="002A272B" w:rsidRDefault="002A272B" w:rsidP="002A272B">
      <w:pPr>
        <w:pStyle w:val="Heading5"/>
      </w:pPr>
      <w:r>
        <w:t>Queensland workplaces and workforce challenge attitudes contributing to violence and effectively support workers</w:t>
      </w:r>
    </w:p>
    <w:p w:rsidR="002A272B" w:rsidRDefault="002A272B" w:rsidP="002A272B">
      <w:r w:rsidRPr="00AE2963">
        <w:rPr>
          <w:b/>
        </w:rPr>
        <w:t>100%</w:t>
      </w:r>
      <w:r>
        <w:t xml:space="preserve"> of Queensland Government departments </w:t>
      </w:r>
      <w:r>
        <w:t xml:space="preserve">remain </w:t>
      </w:r>
      <w:r>
        <w:t>White Ribbon accredited</w:t>
      </w:r>
      <w:r>
        <w:t xml:space="preserve"> in 2019-20.</w:t>
      </w:r>
    </w:p>
    <w:p w:rsidR="002A272B" w:rsidRDefault="002A272B" w:rsidP="002A272B">
      <w:pPr>
        <w:rPr>
          <w:rFonts w:cstheme="minorHAnsi"/>
        </w:rPr>
      </w:pPr>
      <w:r w:rsidRPr="002A272B">
        <w:rPr>
          <w:rFonts w:cstheme="minorHAnsi"/>
        </w:rPr>
        <w:t xml:space="preserve">In 2020, </w:t>
      </w:r>
      <w:r w:rsidRPr="002A272B">
        <w:rPr>
          <w:rFonts w:cstheme="minorHAnsi"/>
          <w:b/>
          <w:bCs/>
        </w:rPr>
        <w:t xml:space="preserve">43% </w:t>
      </w:r>
      <w:r w:rsidRPr="002A272B">
        <w:rPr>
          <w:rFonts w:cstheme="minorHAnsi"/>
        </w:rPr>
        <w:t>of Queenslanders reported</w:t>
      </w:r>
      <w:r>
        <w:rPr>
          <w:rFonts w:cstheme="minorHAnsi"/>
        </w:rPr>
        <w:t xml:space="preserve"> </w:t>
      </w:r>
      <w:r w:rsidRPr="002A272B">
        <w:rPr>
          <w:rFonts w:cstheme="minorHAnsi"/>
        </w:rPr>
        <w:t>their workplace had engaged in domestic</w:t>
      </w:r>
      <w:r>
        <w:rPr>
          <w:rFonts w:cstheme="minorHAnsi"/>
        </w:rPr>
        <w:t xml:space="preserve"> </w:t>
      </w:r>
      <w:r w:rsidRPr="002A272B">
        <w:rPr>
          <w:rFonts w:cstheme="minorHAnsi"/>
        </w:rPr>
        <w:t>and family violence prevention initiatives</w:t>
      </w:r>
      <w:r>
        <w:rPr>
          <w:rFonts w:cstheme="minorHAnsi"/>
        </w:rPr>
        <w:t xml:space="preserve"> </w:t>
      </w:r>
      <w:r w:rsidRPr="002A272B">
        <w:rPr>
          <w:rFonts w:cstheme="minorHAnsi"/>
        </w:rPr>
        <w:t>in the last 12 months (compared to</w:t>
      </w:r>
      <w:r>
        <w:rPr>
          <w:rFonts w:cstheme="minorHAnsi"/>
        </w:rPr>
        <w:t xml:space="preserve"> </w:t>
      </w:r>
      <w:r w:rsidRPr="002A272B">
        <w:rPr>
          <w:rFonts w:cstheme="minorHAnsi"/>
        </w:rPr>
        <w:t>40% in 2019).</w:t>
      </w:r>
    </w:p>
    <w:p w:rsidR="002A272B" w:rsidRPr="002A272B" w:rsidRDefault="002A272B" w:rsidP="002A272B">
      <w:pPr>
        <w:pStyle w:val="Heading5"/>
        <w:rPr>
          <w:rFonts w:asciiTheme="minorHAnsi" w:hAnsiTheme="minorHAnsi" w:cstheme="minorHAnsi"/>
          <w:b/>
          <w:bCs/>
        </w:rPr>
      </w:pPr>
      <w:r w:rsidRPr="002A272B">
        <w:rPr>
          <w:rFonts w:asciiTheme="minorHAnsi" w:hAnsiTheme="minorHAnsi" w:cstheme="minorHAnsi"/>
        </w:rPr>
        <w:t xml:space="preserve">Respectful relationships and </w:t>
      </w:r>
      <w:r w:rsidRPr="002A272B">
        <w:rPr>
          <w:rFonts w:asciiTheme="minorHAnsi" w:hAnsiTheme="minorHAnsi" w:cstheme="minorHAnsi"/>
          <w:b/>
          <w:bCs/>
        </w:rPr>
        <w:t>non</w:t>
      </w:r>
      <w:r w:rsidRPr="002A272B">
        <w:rPr>
          <w:rFonts w:asciiTheme="minorHAnsi" w:hAnsiTheme="minorHAnsi" w:cstheme="minorHAnsi"/>
          <w:b/>
          <w:bCs/>
        </w:rPr>
        <w:noBreakHyphen/>
        <w:t xml:space="preserve">violent behaviour </w:t>
      </w:r>
      <w:r w:rsidRPr="002A272B">
        <w:rPr>
          <w:rFonts w:asciiTheme="minorHAnsi" w:hAnsiTheme="minorHAnsi" w:cstheme="minorHAnsi"/>
        </w:rPr>
        <w:t xml:space="preserve">are embedded in our </w:t>
      </w:r>
      <w:r w:rsidRPr="002A272B">
        <w:rPr>
          <w:rFonts w:asciiTheme="minorHAnsi" w:hAnsiTheme="minorHAnsi" w:cstheme="minorHAnsi"/>
          <w:b/>
          <w:bCs/>
        </w:rPr>
        <w:t>community</w:t>
      </w:r>
    </w:p>
    <w:p w:rsidR="002A272B" w:rsidRPr="002A272B" w:rsidRDefault="002A272B" w:rsidP="002A272B">
      <w:pPr>
        <w:rPr>
          <w:rFonts w:cstheme="minorHAnsi"/>
        </w:rPr>
      </w:pPr>
      <w:r w:rsidRPr="002A272B">
        <w:rPr>
          <w:rFonts w:cstheme="minorHAnsi"/>
        </w:rPr>
        <w:t>In 2019–20, the Queensland</w:t>
      </w:r>
      <w:r>
        <w:rPr>
          <w:rFonts w:cstheme="minorHAnsi"/>
        </w:rPr>
        <w:t xml:space="preserve"> </w:t>
      </w:r>
      <w:r w:rsidRPr="002A272B">
        <w:rPr>
          <w:rFonts w:cstheme="minorHAnsi"/>
        </w:rPr>
        <w:t>Government strengthened its</w:t>
      </w:r>
      <w:r>
        <w:rPr>
          <w:rFonts w:cstheme="minorHAnsi"/>
        </w:rPr>
        <w:t xml:space="preserve"> </w:t>
      </w:r>
      <w:r w:rsidRPr="002A272B">
        <w:rPr>
          <w:rFonts w:cstheme="minorHAnsi"/>
        </w:rPr>
        <w:t>commitment to preventing domestic,</w:t>
      </w:r>
      <w:r>
        <w:rPr>
          <w:rFonts w:cstheme="minorHAnsi"/>
        </w:rPr>
        <w:t xml:space="preserve"> </w:t>
      </w:r>
      <w:r w:rsidRPr="002A272B">
        <w:rPr>
          <w:rFonts w:cstheme="minorHAnsi"/>
        </w:rPr>
        <w:t>family and sexual violence by including</w:t>
      </w:r>
      <w:r>
        <w:rPr>
          <w:rFonts w:cstheme="minorHAnsi"/>
        </w:rPr>
        <w:t xml:space="preserve"> </w:t>
      </w:r>
      <w:r w:rsidRPr="002A272B">
        <w:rPr>
          <w:rFonts w:cstheme="minorHAnsi"/>
        </w:rPr>
        <w:t xml:space="preserve">actions to </w:t>
      </w:r>
      <w:r w:rsidRPr="002A272B">
        <w:rPr>
          <w:rFonts w:cstheme="minorHAnsi"/>
          <w:b/>
          <w:bCs/>
        </w:rPr>
        <w:t>enhance respectful</w:t>
      </w:r>
      <w:r>
        <w:rPr>
          <w:rFonts w:cstheme="minorHAnsi"/>
          <w:b/>
          <w:bCs/>
        </w:rPr>
        <w:t xml:space="preserve"> </w:t>
      </w:r>
      <w:r w:rsidRPr="002A272B">
        <w:rPr>
          <w:rFonts w:cstheme="minorHAnsi"/>
          <w:b/>
          <w:bCs/>
        </w:rPr>
        <w:t xml:space="preserve">relationships education </w:t>
      </w:r>
      <w:r w:rsidRPr="002A272B">
        <w:rPr>
          <w:rFonts w:cstheme="minorHAnsi"/>
        </w:rPr>
        <w:t xml:space="preserve">in </w:t>
      </w:r>
      <w:r w:rsidRPr="002A272B">
        <w:rPr>
          <w:rFonts w:cstheme="minorHAnsi"/>
          <w:i/>
          <w:iCs/>
        </w:rPr>
        <w:t>Prevent.</w:t>
      </w:r>
      <w:r>
        <w:rPr>
          <w:rFonts w:cstheme="minorHAnsi"/>
          <w:i/>
          <w:iCs/>
        </w:rPr>
        <w:t xml:space="preserve"> </w:t>
      </w:r>
      <w:r w:rsidRPr="002A272B">
        <w:rPr>
          <w:rFonts w:cstheme="minorHAnsi"/>
          <w:i/>
          <w:iCs/>
        </w:rPr>
        <w:t>Support. Believe. Queensland’s</w:t>
      </w:r>
      <w:r>
        <w:rPr>
          <w:rFonts w:cstheme="minorHAnsi"/>
          <w:i/>
          <w:iCs/>
        </w:rPr>
        <w:t xml:space="preserve"> </w:t>
      </w:r>
      <w:r w:rsidRPr="002A272B">
        <w:rPr>
          <w:rFonts w:cstheme="minorHAnsi"/>
          <w:i/>
          <w:iCs/>
        </w:rPr>
        <w:t>Framework to address Sexual Violence</w:t>
      </w:r>
      <w:r w:rsidRPr="002A272B">
        <w:rPr>
          <w:rFonts w:cstheme="minorHAnsi"/>
        </w:rPr>
        <w:t>.</w:t>
      </w:r>
    </w:p>
    <w:p w:rsidR="002A272B" w:rsidRDefault="002A272B" w:rsidP="002A272B">
      <w:pPr>
        <w:rPr>
          <w:rFonts w:cstheme="minorHAnsi"/>
        </w:rPr>
      </w:pPr>
      <w:r w:rsidRPr="002A272B">
        <w:rPr>
          <w:rFonts w:cstheme="minorHAnsi"/>
        </w:rPr>
        <w:t xml:space="preserve">In 2020, </w:t>
      </w:r>
      <w:r w:rsidRPr="002A272B">
        <w:rPr>
          <w:rFonts w:cstheme="minorHAnsi"/>
          <w:b/>
          <w:bCs/>
        </w:rPr>
        <w:t xml:space="preserve">97% </w:t>
      </w:r>
      <w:r w:rsidRPr="002A272B">
        <w:rPr>
          <w:rFonts w:cstheme="minorHAnsi"/>
        </w:rPr>
        <w:t>of Queenslanders</w:t>
      </w:r>
      <w:r>
        <w:rPr>
          <w:rFonts w:cstheme="minorHAnsi"/>
        </w:rPr>
        <w:t xml:space="preserve"> </w:t>
      </w:r>
      <w:r w:rsidRPr="002A272B">
        <w:rPr>
          <w:rFonts w:cstheme="minorHAnsi"/>
        </w:rPr>
        <w:t>agreed teaching children about</w:t>
      </w:r>
      <w:r>
        <w:rPr>
          <w:rFonts w:cstheme="minorHAnsi"/>
        </w:rPr>
        <w:t xml:space="preserve"> </w:t>
      </w:r>
      <w:r w:rsidRPr="002A272B">
        <w:rPr>
          <w:rFonts w:cstheme="minorHAnsi"/>
        </w:rPr>
        <w:t>respectful attitudes and behaviours in</w:t>
      </w:r>
      <w:r>
        <w:rPr>
          <w:rFonts w:cstheme="minorHAnsi"/>
        </w:rPr>
        <w:t xml:space="preserve"> </w:t>
      </w:r>
      <w:r w:rsidRPr="002A272B">
        <w:rPr>
          <w:rFonts w:cstheme="minorHAnsi"/>
        </w:rPr>
        <w:t>relationships will help reduce domestic</w:t>
      </w:r>
      <w:r>
        <w:rPr>
          <w:rFonts w:cstheme="minorHAnsi"/>
        </w:rPr>
        <w:t xml:space="preserve"> </w:t>
      </w:r>
      <w:r w:rsidRPr="002A272B">
        <w:rPr>
          <w:rFonts w:cstheme="minorHAnsi"/>
        </w:rPr>
        <w:t>and family violence in the future.</w:t>
      </w:r>
    </w:p>
    <w:p w:rsidR="00210DEB" w:rsidRDefault="00210DEB" w:rsidP="00210DEB">
      <w:pPr>
        <w:pStyle w:val="Heading5"/>
      </w:pPr>
      <w:r>
        <w:lastRenderedPageBreak/>
        <w:t>Queensland community, business, religious, sporting and all government leaders are taking action and working together</w:t>
      </w:r>
    </w:p>
    <w:p w:rsidR="002A272B" w:rsidRDefault="002A272B" w:rsidP="002A272B">
      <w:r w:rsidRPr="002A272B">
        <w:rPr>
          <w:b/>
          <w:bCs/>
        </w:rPr>
        <w:t xml:space="preserve">33 grants </w:t>
      </w:r>
      <w:r w:rsidRPr="002A272B">
        <w:t>were awarded for community</w:t>
      </w:r>
      <w:r>
        <w:t xml:space="preserve"> </w:t>
      </w:r>
      <w:r w:rsidRPr="002A272B">
        <w:t>events raising awareness of domestic</w:t>
      </w:r>
      <w:r>
        <w:t xml:space="preserve"> </w:t>
      </w:r>
      <w:r w:rsidRPr="002A272B">
        <w:t>and family violence in their communities,</w:t>
      </w:r>
      <w:r>
        <w:t xml:space="preserve"> </w:t>
      </w:r>
      <w:r w:rsidRPr="002A272B">
        <w:t>valued at an average of $4545 each.</w:t>
      </w:r>
      <w:r>
        <w:t xml:space="preserve"> </w:t>
      </w:r>
    </w:p>
    <w:p w:rsidR="00744A1D" w:rsidRPr="00744A1D" w:rsidRDefault="002A272B" w:rsidP="002A272B">
      <w:r w:rsidRPr="002A272B">
        <w:t xml:space="preserve">On 6 May 2020, the </w:t>
      </w:r>
      <w:r w:rsidRPr="002A272B">
        <w:rPr>
          <w:b/>
          <w:bCs/>
        </w:rPr>
        <w:t>Queensland</w:t>
      </w:r>
      <w:r>
        <w:rPr>
          <w:b/>
          <w:bCs/>
        </w:rPr>
        <w:t xml:space="preserve"> </w:t>
      </w:r>
      <w:r w:rsidRPr="002A272B">
        <w:rPr>
          <w:b/>
          <w:bCs/>
        </w:rPr>
        <w:t>Government hosted Australia’s first</w:t>
      </w:r>
      <w:r>
        <w:rPr>
          <w:b/>
          <w:bCs/>
        </w:rPr>
        <w:t xml:space="preserve"> </w:t>
      </w:r>
      <w:r w:rsidRPr="002A272B">
        <w:rPr>
          <w:b/>
          <w:bCs/>
        </w:rPr>
        <w:t>Domestic and Family Violence COVID-19</w:t>
      </w:r>
      <w:r>
        <w:rPr>
          <w:b/>
          <w:bCs/>
        </w:rPr>
        <w:t xml:space="preserve"> </w:t>
      </w:r>
      <w:r w:rsidRPr="002A272B">
        <w:rPr>
          <w:b/>
          <w:bCs/>
        </w:rPr>
        <w:t xml:space="preserve">Virtual Summit </w:t>
      </w:r>
      <w:r w:rsidRPr="002A272B">
        <w:t>bringing together more</w:t>
      </w:r>
      <w:r>
        <w:t xml:space="preserve"> </w:t>
      </w:r>
      <w:r w:rsidRPr="002A272B">
        <w:t>than 120 stakeholders to share ideas</w:t>
      </w:r>
      <w:r>
        <w:t xml:space="preserve"> </w:t>
      </w:r>
      <w:r w:rsidRPr="002A272B">
        <w:t>on how to support people experiencing</w:t>
      </w:r>
      <w:r>
        <w:t xml:space="preserve"> </w:t>
      </w:r>
      <w:r w:rsidRPr="002A272B">
        <w:t>domestic and family violence through the</w:t>
      </w:r>
      <w:r>
        <w:t xml:space="preserve"> </w:t>
      </w:r>
      <w:r w:rsidRPr="002A272B">
        <w:t>COVID-19 pandemic.</w:t>
      </w:r>
    </w:p>
    <w:p w:rsidR="00AA2CB5" w:rsidRPr="00AA2CB5" w:rsidRDefault="00AA2CB5" w:rsidP="00AA2CB5">
      <w:pPr>
        <w:autoSpaceDE w:val="0"/>
        <w:autoSpaceDN w:val="0"/>
        <w:adjustRightInd w:val="0"/>
        <w:spacing w:after="0" w:line="240" w:lineRule="auto"/>
        <w:rPr>
          <w:rFonts w:ascii="ORIKZ Z+ Meta Cond Normal" w:hAnsi="ORIKZ Z+ Meta Cond Normal" w:cs="ORIKZ Z+ Meta Cond Normal"/>
          <w:color w:val="000000"/>
          <w:sz w:val="24"/>
          <w:szCs w:val="24"/>
        </w:rPr>
      </w:pPr>
    </w:p>
    <w:p w:rsidR="00F36E83" w:rsidRPr="00F36E83" w:rsidRDefault="00F36E83" w:rsidP="00F36E83">
      <w:pPr>
        <w:rPr>
          <w:rFonts w:cstheme="minorHAnsi"/>
        </w:rPr>
      </w:pPr>
      <w:r w:rsidRPr="00F36E83">
        <w:rPr>
          <w:rFonts w:cstheme="minorHAnsi"/>
        </w:rPr>
        <w:t xml:space="preserve">Following the release of the </w:t>
      </w:r>
      <w:r w:rsidRPr="00F36E83">
        <w:rPr>
          <w:rFonts w:cstheme="minorHAnsi"/>
          <w:b/>
          <w:bCs/>
        </w:rPr>
        <w:t>Not Now, Not Ever:</w:t>
      </w:r>
      <w:r w:rsidRPr="00F36E83">
        <w:rPr>
          <w:rFonts w:cstheme="minorHAnsi"/>
          <w:b/>
          <w:bCs/>
        </w:rPr>
        <w:t xml:space="preserve"> </w:t>
      </w:r>
      <w:r w:rsidRPr="00F36E83">
        <w:rPr>
          <w:rFonts w:cstheme="minorHAnsi"/>
          <w:b/>
          <w:bCs/>
        </w:rPr>
        <w:t>Putting an End to Domestic and Family Violence in</w:t>
      </w:r>
      <w:r w:rsidRPr="00F36E83">
        <w:rPr>
          <w:rFonts w:cstheme="minorHAnsi"/>
          <w:b/>
          <w:bCs/>
        </w:rPr>
        <w:t xml:space="preserve"> </w:t>
      </w:r>
      <w:r w:rsidRPr="00F36E83">
        <w:rPr>
          <w:rFonts w:cstheme="minorHAnsi"/>
          <w:b/>
          <w:bCs/>
        </w:rPr>
        <w:t xml:space="preserve">Queensland </w:t>
      </w:r>
      <w:r w:rsidRPr="00F36E83">
        <w:rPr>
          <w:rFonts w:cstheme="minorHAnsi"/>
        </w:rPr>
        <w:t>report in 2015, Queenslanders have taken</w:t>
      </w:r>
      <w:r w:rsidRPr="00F36E83">
        <w:rPr>
          <w:rFonts w:cstheme="minorHAnsi"/>
        </w:rPr>
        <w:t xml:space="preserve"> </w:t>
      </w:r>
      <w:r w:rsidRPr="00F36E83">
        <w:rPr>
          <w:rFonts w:cstheme="minorHAnsi"/>
        </w:rPr>
        <w:t>up the challenge to end domestic and family violence.</w:t>
      </w:r>
      <w:r w:rsidRPr="00F36E83">
        <w:rPr>
          <w:rFonts w:cstheme="minorHAnsi"/>
        </w:rPr>
        <w:t xml:space="preserve"> </w:t>
      </w:r>
    </w:p>
    <w:p w:rsidR="00F36E83" w:rsidRPr="00F36E83" w:rsidRDefault="00F36E83" w:rsidP="00F36E83">
      <w:pPr>
        <w:rPr>
          <w:rFonts w:cstheme="minorHAnsi"/>
        </w:rPr>
      </w:pPr>
      <w:r w:rsidRPr="00F36E83">
        <w:rPr>
          <w:rFonts w:cstheme="minorHAnsi"/>
        </w:rPr>
        <w:t>The Queensland Government is committed to leading</w:t>
      </w:r>
      <w:r w:rsidRPr="00F36E83">
        <w:rPr>
          <w:rFonts w:cstheme="minorHAnsi"/>
        </w:rPr>
        <w:t xml:space="preserve"> </w:t>
      </w:r>
      <w:r w:rsidRPr="00F36E83">
        <w:rPr>
          <w:rFonts w:cstheme="minorHAnsi"/>
        </w:rPr>
        <w:t>the significant reform required to achieve the vision of</w:t>
      </w:r>
      <w:r w:rsidRPr="00F36E83">
        <w:rPr>
          <w:rFonts w:cstheme="minorHAnsi"/>
        </w:rPr>
        <w:t xml:space="preserve"> </w:t>
      </w:r>
      <w:r w:rsidRPr="00F36E83">
        <w:rPr>
          <w:rFonts w:cstheme="minorHAnsi"/>
        </w:rPr>
        <w:t xml:space="preserve">the </w:t>
      </w:r>
      <w:r w:rsidRPr="00F36E83">
        <w:rPr>
          <w:rFonts w:cstheme="minorHAnsi"/>
          <w:b/>
          <w:bCs/>
        </w:rPr>
        <w:t xml:space="preserve">Not Now, Not Ever </w:t>
      </w:r>
      <w:r w:rsidRPr="00F36E83">
        <w:rPr>
          <w:rFonts w:cstheme="minorHAnsi"/>
        </w:rPr>
        <w:t>report —a Queensland free from</w:t>
      </w:r>
      <w:r w:rsidRPr="00F36E83">
        <w:rPr>
          <w:rFonts w:cstheme="minorHAnsi"/>
        </w:rPr>
        <w:t xml:space="preserve"> </w:t>
      </w:r>
      <w:r w:rsidRPr="00F36E83">
        <w:rPr>
          <w:rFonts w:cstheme="minorHAnsi"/>
        </w:rPr>
        <w:t>domestic and family violence.</w:t>
      </w:r>
    </w:p>
    <w:p w:rsidR="00F36E83" w:rsidRPr="00F36E83" w:rsidRDefault="00F36E83" w:rsidP="00F36E83">
      <w:pPr>
        <w:rPr>
          <w:rFonts w:cstheme="minorHAnsi"/>
        </w:rPr>
      </w:pPr>
      <w:r w:rsidRPr="00F36E83">
        <w:rPr>
          <w:rFonts w:cstheme="minorHAnsi"/>
        </w:rPr>
        <w:t xml:space="preserve">A positive plan of action is outlined in the </w:t>
      </w:r>
      <w:r w:rsidRPr="00F36E83">
        <w:rPr>
          <w:rFonts w:cstheme="minorHAnsi"/>
          <w:b/>
          <w:bCs/>
        </w:rPr>
        <w:t>Domestic</w:t>
      </w:r>
      <w:r w:rsidRPr="00F36E83">
        <w:rPr>
          <w:rFonts w:cstheme="minorHAnsi"/>
          <w:b/>
          <w:bCs/>
        </w:rPr>
        <w:t xml:space="preserve"> </w:t>
      </w:r>
      <w:r w:rsidRPr="00F36E83">
        <w:rPr>
          <w:rFonts w:cstheme="minorHAnsi"/>
          <w:b/>
          <w:bCs/>
        </w:rPr>
        <w:t>and Family Violence Prevention Strategy 2016–2026</w:t>
      </w:r>
      <w:r w:rsidRPr="00F36E83">
        <w:rPr>
          <w:rFonts w:cstheme="minorHAnsi"/>
          <w:b/>
          <w:bCs/>
        </w:rPr>
        <w:t xml:space="preserve"> </w:t>
      </w:r>
      <w:r w:rsidRPr="00F36E83">
        <w:rPr>
          <w:rFonts w:cstheme="minorHAnsi"/>
        </w:rPr>
        <w:t>with a strong focus on prevention – stopping the</w:t>
      </w:r>
      <w:r w:rsidRPr="00F36E83">
        <w:rPr>
          <w:rFonts w:cstheme="minorHAnsi"/>
        </w:rPr>
        <w:t xml:space="preserve"> </w:t>
      </w:r>
      <w:r w:rsidRPr="00F36E83">
        <w:rPr>
          <w:rFonts w:cstheme="minorHAnsi"/>
        </w:rPr>
        <w:t>violence before it happens – and supporting people</w:t>
      </w:r>
      <w:r w:rsidRPr="00F36E83">
        <w:rPr>
          <w:rFonts w:cstheme="minorHAnsi"/>
        </w:rPr>
        <w:t xml:space="preserve"> </w:t>
      </w:r>
      <w:r w:rsidRPr="00F36E83">
        <w:rPr>
          <w:rFonts w:cstheme="minorHAnsi"/>
        </w:rPr>
        <w:t>to be safe.</w:t>
      </w:r>
    </w:p>
    <w:p w:rsidR="00F36E83" w:rsidRPr="00F36E83" w:rsidRDefault="00F36E83" w:rsidP="00F36E83">
      <w:pPr>
        <w:rPr>
          <w:rFonts w:cstheme="minorHAnsi"/>
        </w:rPr>
      </w:pPr>
      <w:r w:rsidRPr="00F36E83">
        <w:rPr>
          <w:rFonts w:cstheme="minorHAnsi"/>
        </w:rPr>
        <w:t>This program of change is supported with a record</w:t>
      </w:r>
      <w:r w:rsidRPr="00F36E83">
        <w:rPr>
          <w:rFonts w:cstheme="minorHAnsi"/>
        </w:rPr>
        <w:t xml:space="preserve"> </w:t>
      </w:r>
      <w:r w:rsidRPr="00F36E83">
        <w:rPr>
          <w:rFonts w:cstheme="minorHAnsi"/>
        </w:rPr>
        <w:t>investment by the Queensland Government of</w:t>
      </w:r>
      <w:r w:rsidRPr="00F36E83">
        <w:rPr>
          <w:rFonts w:cstheme="minorHAnsi"/>
        </w:rPr>
        <w:t xml:space="preserve"> </w:t>
      </w:r>
      <w:r w:rsidRPr="00F36E83">
        <w:rPr>
          <w:rFonts w:cstheme="minorHAnsi"/>
          <w:b/>
          <w:bCs/>
        </w:rPr>
        <w:t xml:space="preserve">$554.75 million </w:t>
      </w:r>
      <w:r w:rsidRPr="00F36E83">
        <w:rPr>
          <w:rFonts w:cstheme="minorHAnsi"/>
        </w:rPr>
        <w:t>for domestic and family violence</w:t>
      </w:r>
      <w:r w:rsidRPr="00F36E83">
        <w:rPr>
          <w:rFonts w:cstheme="minorHAnsi"/>
        </w:rPr>
        <w:t xml:space="preserve"> </w:t>
      </w:r>
      <w:r w:rsidRPr="00F36E83">
        <w:rPr>
          <w:rFonts w:cstheme="minorHAnsi"/>
        </w:rPr>
        <w:t>services from 2015–16 to 2018–19. The strategy</w:t>
      </w:r>
      <w:r w:rsidRPr="00F36E83">
        <w:rPr>
          <w:rFonts w:cstheme="minorHAnsi"/>
        </w:rPr>
        <w:t xml:space="preserve"> </w:t>
      </w:r>
      <w:r w:rsidRPr="00F36E83">
        <w:rPr>
          <w:rFonts w:cstheme="minorHAnsi"/>
        </w:rPr>
        <w:t>provides a framew</w:t>
      </w:r>
      <w:r w:rsidRPr="00F36E83">
        <w:rPr>
          <w:rFonts w:cstheme="minorHAnsi"/>
        </w:rPr>
        <w:t xml:space="preserve">ork for action through a series </w:t>
      </w:r>
      <w:r w:rsidRPr="00F36E83">
        <w:rPr>
          <w:rFonts w:cstheme="minorHAnsi"/>
        </w:rPr>
        <w:t>of action plans to achieve our vision.</w:t>
      </w:r>
    </w:p>
    <w:p w:rsidR="00F36E83" w:rsidRPr="00F36E83" w:rsidRDefault="00F36E83" w:rsidP="00F36E83">
      <w:pPr>
        <w:rPr>
          <w:rFonts w:cstheme="minorHAnsi"/>
        </w:rPr>
      </w:pPr>
      <w:r w:rsidRPr="00F36E83">
        <w:rPr>
          <w:rFonts w:cstheme="minorHAnsi"/>
        </w:rPr>
        <w:t xml:space="preserve">The </w:t>
      </w:r>
      <w:r w:rsidRPr="00F36E83">
        <w:rPr>
          <w:rFonts w:cstheme="minorHAnsi"/>
          <w:b/>
          <w:bCs/>
        </w:rPr>
        <w:t xml:space="preserve">First Action Plan </w:t>
      </w:r>
      <w:r w:rsidRPr="00F36E83">
        <w:rPr>
          <w:rFonts w:cstheme="minorHAnsi"/>
        </w:rPr>
        <w:t>established the foundations</w:t>
      </w:r>
      <w:r w:rsidRPr="00F36E83">
        <w:rPr>
          <w:rFonts w:cstheme="minorHAnsi"/>
        </w:rPr>
        <w:t xml:space="preserve"> </w:t>
      </w:r>
      <w:r w:rsidRPr="00F36E83">
        <w:rPr>
          <w:rFonts w:cstheme="minorHAnsi"/>
        </w:rPr>
        <w:t>of reform success and began transformational changes</w:t>
      </w:r>
      <w:r w:rsidRPr="00F36E83">
        <w:rPr>
          <w:rFonts w:cstheme="minorHAnsi"/>
        </w:rPr>
        <w:t xml:space="preserve"> </w:t>
      </w:r>
      <w:r w:rsidRPr="00F36E83">
        <w:rPr>
          <w:rFonts w:cstheme="minorHAnsi"/>
        </w:rPr>
        <w:t>in the way the government and community work</w:t>
      </w:r>
      <w:r w:rsidRPr="00F36E83">
        <w:rPr>
          <w:rFonts w:cstheme="minorHAnsi"/>
        </w:rPr>
        <w:t xml:space="preserve"> </w:t>
      </w:r>
      <w:r w:rsidRPr="00F36E83">
        <w:rPr>
          <w:rFonts w:cstheme="minorHAnsi"/>
        </w:rPr>
        <w:t>together.</w:t>
      </w:r>
    </w:p>
    <w:p w:rsidR="00F36E83" w:rsidRPr="00F36E83" w:rsidRDefault="00F36E83" w:rsidP="00F36E83">
      <w:pPr>
        <w:rPr>
          <w:rFonts w:cstheme="minorHAnsi"/>
        </w:rPr>
      </w:pPr>
      <w:r w:rsidRPr="00F36E83">
        <w:rPr>
          <w:rFonts w:cstheme="minorHAnsi"/>
        </w:rPr>
        <w:t xml:space="preserve">The </w:t>
      </w:r>
      <w:r w:rsidRPr="00F36E83">
        <w:rPr>
          <w:rFonts w:cstheme="minorHAnsi"/>
          <w:b/>
          <w:bCs/>
        </w:rPr>
        <w:t xml:space="preserve">Second Action Plan </w:t>
      </w:r>
      <w:r w:rsidRPr="00F36E83">
        <w:rPr>
          <w:rFonts w:cstheme="minorHAnsi"/>
        </w:rPr>
        <w:t>saw continued efforts</w:t>
      </w:r>
      <w:r w:rsidRPr="00F36E83">
        <w:rPr>
          <w:rFonts w:cstheme="minorHAnsi"/>
        </w:rPr>
        <w:t xml:space="preserve"> </w:t>
      </w:r>
      <w:r w:rsidRPr="00F36E83">
        <w:rPr>
          <w:rFonts w:cstheme="minorHAnsi"/>
        </w:rPr>
        <w:t>to make meaningful change. Successful programs</w:t>
      </w:r>
      <w:r w:rsidRPr="00F36E83">
        <w:rPr>
          <w:rFonts w:cstheme="minorHAnsi"/>
        </w:rPr>
        <w:t xml:space="preserve"> </w:t>
      </w:r>
      <w:r w:rsidRPr="00F36E83">
        <w:rPr>
          <w:rFonts w:cstheme="minorHAnsi"/>
        </w:rPr>
        <w:t>were expanded to have greater effect under each of</w:t>
      </w:r>
      <w:r w:rsidRPr="00F36E83">
        <w:rPr>
          <w:rFonts w:cstheme="minorHAnsi"/>
        </w:rPr>
        <w:t xml:space="preserve"> </w:t>
      </w:r>
      <w:r w:rsidRPr="00F36E83">
        <w:rPr>
          <w:rFonts w:cstheme="minorHAnsi"/>
        </w:rPr>
        <w:t xml:space="preserve">the three </w:t>
      </w:r>
      <w:r w:rsidRPr="00F36E83">
        <w:rPr>
          <w:rFonts w:cstheme="minorHAnsi"/>
          <w:b/>
          <w:bCs/>
        </w:rPr>
        <w:t xml:space="preserve">foundational elements </w:t>
      </w:r>
      <w:r w:rsidRPr="00F36E83">
        <w:rPr>
          <w:rFonts w:cstheme="minorHAnsi"/>
        </w:rPr>
        <w:t xml:space="preserve">of the reform program. </w:t>
      </w:r>
    </w:p>
    <w:p w:rsidR="00F36E83" w:rsidRPr="00F36E83" w:rsidRDefault="00F36E83" w:rsidP="00F36E83">
      <w:pPr>
        <w:rPr>
          <w:rFonts w:cstheme="minorHAnsi"/>
        </w:rPr>
      </w:pPr>
      <w:r w:rsidRPr="00F36E83">
        <w:rPr>
          <w:rFonts w:cstheme="minorHAnsi"/>
        </w:rPr>
        <w:t>An independent structured review of the Second</w:t>
      </w:r>
      <w:r w:rsidRPr="00F36E83">
        <w:rPr>
          <w:rFonts w:cstheme="minorHAnsi"/>
        </w:rPr>
        <w:t xml:space="preserve"> </w:t>
      </w:r>
      <w:r w:rsidRPr="00F36E83">
        <w:rPr>
          <w:rFonts w:cstheme="minorHAnsi"/>
        </w:rPr>
        <w:t>Action Plan found that good progress had been made</w:t>
      </w:r>
      <w:r w:rsidRPr="00F36E83">
        <w:rPr>
          <w:rFonts w:cstheme="minorHAnsi"/>
        </w:rPr>
        <w:t xml:space="preserve"> </w:t>
      </w:r>
      <w:r w:rsidRPr="00F36E83">
        <w:rPr>
          <w:rFonts w:cstheme="minorHAnsi"/>
        </w:rPr>
        <w:t>in implementing the reforms, driven in part by strong</w:t>
      </w:r>
      <w:r w:rsidRPr="00F36E83">
        <w:rPr>
          <w:rFonts w:cstheme="minorHAnsi"/>
        </w:rPr>
        <w:t xml:space="preserve"> </w:t>
      </w:r>
      <w:r w:rsidRPr="00F36E83">
        <w:rPr>
          <w:rFonts w:cstheme="minorHAnsi"/>
        </w:rPr>
        <w:t>leadership, collaboration and innovation. It found that</w:t>
      </w:r>
      <w:r w:rsidRPr="00F36E83">
        <w:rPr>
          <w:rFonts w:cstheme="minorHAnsi"/>
        </w:rPr>
        <w:t xml:space="preserve"> </w:t>
      </w:r>
      <w:r w:rsidRPr="00F36E83">
        <w:rPr>
          <w:rFonts w:cstheme="minorHAnsi"/>
        </w:rPr>
        <w:t>while it was too early to see the long-term outcomes</w:t>
      </w:r>
      <w:r w:rsidRPr="00F36E83">
        <w:rPr>
          <w:rFonts w:cstheme="minorHAnsi"/>
        </w:rPr>
        <w:t xml:space="preserve"> </w:t>
      </w:r>
      <w:r w:rsidRPr="00F36E83">
        <w:rPr>
          <w:rFonts w:cstheme="minorHAnsi"/>
        </w:rPr>
        <w:t>sought from the Strategy, there was evidence that</w:t>
      </w:r>
      <w:r w:rsidRPr="00F36E83">
        <w:rPr>
          <w:rFonts w:cstheme="minorHAnsi"/>
        </w:rPr>
        <w:t xml:space="preserve"> </w:t>
      </w:r>
      <w:r w:rsidRPr="00F36E83">
        <w:rPr>
          <w:rFonts w:cstheme="minorHAnsi"/>
        </w:rPr>
        <w:t>Queensland was on track to achieving its objectives.</w:t>
      </w:r>
    </w:p>
    <w:p w:rsidR="00F36E83" w:rsidRPr="00F36E83" w:rsidRDefault="00F36E83" w:rsidP="00F36E83">
      <w:pPr>
        <w:rPr>
          <w:rFonts w:cstheme="minorHAnsi"/>
        </w:rPr>
      </w:pPr>
      <w:r w:rsidRPr="00F36E83">
        <w:rPr>
          <w:rFonts w:cstheme="minorHAnsi"/>
        </w:rPr>
        <w:t xml:space="preserve">Now in the fifth year of the reform program and the second year of the </w:t>
      </w:r>
      <w:r w:rsidRPr="00F36E83">
        <w:rPr>
          <w:rFonts w:cstheme="minorHAnsi"/>
          <w:b/>
          <w:bCs/>
        </w:rPr>
        <w:t xml:space="preserve">Third Action Plan </w:t>
      </w:r>
      <w:r w:rsidRPr="00F36E83">
        <w:rPr>
          <w:rFonts w:cstheme="minorHAnsi"/>
        </w:rPr>
        <w:t>we are focusing on action to address domestic and family violence, further embedding cultural change and system reform and encouraging more community ownership of Queensland’s reforms.</w:t>
      </w:r>
    </w:p>
    <w:p w:rsidR="00F36E83" w:rsidRPr="00F36E83" w:rsidRDefault="00F36E83" w:rsidP="00F36E83">
      <w:pPr>
        <w:rPr>
          <w:rFonts w:cstheme="minorHAnsi"/>
        </w:rPr>
      </w:pPr>
      <w:r w:rsidRPr="00F36E83">
        <w:rPr>
          <w:rFonts w:cstheme="minorHAnsi"/>
          <w:b/>
          <w:bCs/>
        </w:rPr>
        <w:t xml:space="preserve">Of the 46 actions within the Third Action Plan, five have been delivered, and 33 are on track </w:t>
      </w:r>
      <w:r w:rsidRPr="00F36E83">
        <w:rPr>
          <w:rFonts w:cstheme="minorHAnsi"/>
        </w:rPr>
        <w:t>(as at 30 June 2020). Eight actions have experienced minor issues due to the impacts of COVID-19. Notwithstanding the challenges currently being experienced due to COVID-19 the Queensland Government remains committed to creating a Queensland free from domestic and family violence.</w:t>
      </w:r>
    </w:p>
    <w:p w:rsidR="00AA2CB5" w:rsidRPr="00AA2CB5" w:rsidRDefault="00AA2CB5" w:rsidP="00AA2CB5">
      <w:pPr>
        <w:pStyle w:val="Heading4"/>
      </w:pPr>
      <w:r w:rsidRPr="00AA2CB5">
        <w:t xml:space="preserve">Our core measures of success </w:t>
      </w:r>
    </w:p>
    <w:p w:rsidR="00AA2CB5" w:rsidRPr="00AA2CB5" w:rsidRDefault="00AA2CB5" w:rsidP="00AA2CB5">
      <w:pPr>
        <w:autoSpaceDE w:val="0"/>
        <w:autoSpaceDN w:val="0"/>
        <w:adjustRightInd w:val="0"/>
        <w:spacing w:after="0" w:line="240" w:lineRule="auto"/>
        <w:rPr>
          <w:rFonts w:ascii="ORIKZ Z+ Meta Bold LF" w:hAnsi="ORIKZ Z+ Meta Bold LF" w:cs="ORIKZ Z+ Meta Bold LF"/>
          <w:color w:val="000000"/>
          <w:sz w:val="24"/>
          <w:szCs w:val="24"/>
        </w:rPr>
      </w:pPr>
    </w:p>
    <w:p w:rsidR="00F36E83" w:rsidRPr="00F36E83" w:rsidRDefault="00F36E83" w:rsidP="00F36E83">
      <w:r w:rsidRPr="00F36E83">
        <w:t xml:space="preserve">Community </w:t>
      </w:r>
      <w:r w:rsidRPr="00F36E83">
        <w:rPr>
          <w:b/>
          <w:bCs/>
        </w:rPr>
        <w:t>confidence to report domestic and</w:t>
      </w:r>
      <w:r>
        <w:rPr>
          <w:b/>
          <w:bCs/>
        </w:rPr>
        <w:t xml:space="preserve"> </w:t>
      </w:r>
      <w:r w:rsidRPr="00F36E83">
        <w:rPr>
          <w:b/>
          <w:bCs/>
        </w:rPr>
        <w:t xml:space="preserve">family violence </w:t>
      </w:r>
      <w:r w:rsidRPr="00F36E83">
        <w:t>incidents to the Queensland</w:t>
      </w:r>
      <w:r>
        <w:t xml:space="preserve"> </w:t>
      </w:r>
      <w:r w:rsidRPr="00F36E83">
        <w:t>Police Service (QPS) has grown, with:</w:t>
      </w:r>
    </w:p>
    <w:p w:rsidR="00F36E83" w:rsidRPr="00F36E83" w:rsidRDefault="00F36E83" w:rsidP="00CE48A7">
      <w:pPr>
        <w:pStyle w:val="ListParagraph"/>
        <w:numPr>
          <w:ilvl w:val="0"/>
          <w:numId w:val="1"/>
        </w:numPr>
      </w:pPr>
      <w:r w:rsidRPr="00F36E83">
        <w:t>78% of Queenslanders reporting they would</w:t>
      </w:r>
      <w:r>
        <w:t xml:space="preserve"> </w:t>
      </w:r>
      <w:r w:rsidRPr="00F36E83">
        <w:t>call the police if they saw or were aware of</w:t>
      </w:r>
      <w:r>
        <w:t xml:space="preserve"> </w:t>
      </w:r>
      <w:r w:rsidRPr="00F36E83">
        <w:t>physical domestic and family violence involving</w:t>
      </w:r>
      <w:r>
        <w:t xml:space="preserve"> </w:t>
      </w:r>
      <w:r w:rsidRPr="00F36E83">
        <w:t>a neighbour (significant increase in 2020</w:t>
      </w:r>
      <w:r>
        <w:t xml:space="preserve"> </w:t>
      </w:r>
      <w:r w:rsidRPr="00F36E83">
        <w:t>compared to 72% in 2019)</w:t>
      </w:r>
    </w:p>
    <w:p w:rsidR="00F36E83" w:rsidRPr="00F36E83" w:rsidRDefault="00F36E83" w:rsidP="00CE48A7">
      <w:pPr>
        <w:pStyle w:val="ListParagraph"/>
        <w:numPr>
          <w:ilvl w:val="0"/>
          <w:numId w:val="1"/>
        </w:numPr>
      </w:pPr>
      <w:r w:rsidRPr="00F36E83">
        <w:t>QPS attending 8.7% more matters than</w:t>
      </w:r>
      <w:r>
        <w:t xml:space="preserve"> </w:t>
      </w:r>
      <w:r w:rsidRPr="00F36E83">
        <w:t>last year.1</w:t>
      </w:r>
    </w:p>
    <w:p w:rsidR="00F36E83" w:rsidRPr="00F36E83" w:rsidRDefault="00F36E83" w:rsidP="00F36E83">
      <w:r w:rsidRPr="00F36E83">
        <w:t xml:space="preserve">In 2020, up to </w:t>
      </w:r>
      <w:r w:rsidRPr="00F36E83">
        <w:rPr>
          <w:b/>
          <w:bCs/>
        </w:rPr>
        <w:t xml:space="preserve">98.9% </w:t>
      </w:r>
      <w:r w:rsidRPr="00F36E83">
        <w:t>of Queenslanders view</w:t>
      </w:r>
      <w:r>
        <w:t xml:space="preserve"> </w:t>
      </w:r>
      <w:r w:rsidRPr="00F36E83">
        <w:rPr>
          <w:b/>
          <w:bCs/>
        </w:rPr>
        <w:t>domestic and family violence as serious</w:t>
      </w:r>
      <w:r>
        <w:rPr>
          <w:b/>
          <w:bCs/>
        </w:rPr>
        <w:t xml:space="preserve"> </w:t>
      </w:r>
      <w:r w:rsidRPr="00F36E83">
        <w:t>(both physical and non-physical forms).2</w:t>
      </w:r>
    </w:p>
    <w:p w:rsidR="003F237C" w:rsidRPr="003F237C" w:rsidRDefault="00F36E83" w:rsidP="003F237C">
      <w:pPr>
        <w:rPr>
          <w:rStyle w:val="Heading3Char"/>
        </w:rPr>
      </w:pPr>
      <w:r w:rsidRPr="00F36E83">
        <w:lastRenderedPageBreak/>
        <w:t xml:space="preserve">In 2020, 95.1% of Queenslanders </w:t>
      </w:r>
      <w:r w:rsidRPr="00F36E83">
        <w:rPr>
          <w:b/>
          <w:bCs/>
        </w:rPr>
        <w:t>felt safe</w:t>
      </w:r>
      <w:r>
        <w:rPr>
          <w:b/>
          <w:bCs/>
        </w:rPr>
        <w:t xml:space="preserve"> </w:t>
      </w:r>
      <w:r w:rsidRPr="00F36E83">
        <w:rPr>
          <w:b/>
          <w:bCs/>
        </w:rPr>
        <w:t>from domestic and family violence</w:t>
      </w:r>
      <w:r w:rsidRPr="00F36E83">
        <w:t>, while</w:t>
      </w:r>
      <w:r>
        <w:t xml:space="preserve"> </w:t>
      </w:r>
      <w:r w:rsidRPr="00F36E83">
        <w:t>this is encouraging, a significant number</w:t>
      </w:r>
      <w:r>
        <w:t xml:space="preserve"> </w:t>
      </w:r>
      <w:r w:rsidRPr="00F36E83">
        <w:t>of Queenslanders feel unsafe and we need</w:t>
      </w:r>
      <w:r w:rsidR="003F237C">
        <w:t xml:space="preserve"> </w:t>
      </w:r>
      <w:r w:rsidRPr="00F36E83">
        <w:t>to continue our efforts.3</w:t>
      </w:r>
      <w:r>
        <w:br w:type="page"/>
      </w:r>
      <w:r w:rsidR="003F237C" w:rsidRPr="003F237C">
        <w:rPr>
          <w:rStyle w:val="Heading3Char"/>
        </w:rPr>
        <w:lastRenderedPageBreak/>
        <w:t>Impacts of COVID-19</w:t>
      </w:r>
    </w:p>
    <w:p w:rsidR="003F237C" w:rsidRDefault="003F237C" w:rsidP="003F237C">
      <w:r>
        <w:t>COVID-19 has created a set of challenges for people experiencing domestic and family violence that are far over and above those that they already face, not the least of which are the effects of being in social isolation with perpetrators at home, against a backdrop of possible loss of employment, financial pressures and general anxiety about the future.</w:t>
      </w:r>
    </w:p>
    <w:p w:rsidR="003F237C" w:rsidRDefault="003F237C" w:rsidP="003F237C">
      <w:r>
        <w:t>The Queensland Government responded with an immediate injection of funds to help service providers address a spike in demand and a</w:t>
      </w:r>
      <w:r>
        <w:t xml:space="preserve"> continued need to provide </w:t>
      </w:r>
      <w:r>
        <w:t>critical  support  during and after the pandemic. The Queensland Government allocated $7.5 million to help manage the increase</w:t>
      </w:r>
      <w:r>
        <w:t xml:space="preserve"> </w:t>
      </w:r>
      <w:r>
        <w:t>in demand for domestic and family violence services arising from the COVID-19 pandemic. The Queensland Government response package complements the Federal Government’s $130 million funding package for states and territories for COVID-19 domestic and family violence responses.</w:t>
      </w:r>
    </w:p>
    <w:p w:rsidR="003F237C" w:rsidRDefault="003F237C" w:rsidP="003F237C">
      <w:r>
        <w:t>On 6 May 2020, the Queensland Government hosted Australia’s first Domestic and Family Violence COVID-19 Virtual Summit, bringing together more than 120 key sector, community and</w:t>
      </w:r>
      <w:r>
        <w:t xml:space="preserve"> </w:t>
      </w:r>
      <w:r>
        <w:t>corporate stakeholders, as well as key government agency representatives to share ideas on how to  support people experiencing domestic and family violence through the COVID-19 pandemic. In its virtual format, the Summit was the first of its kind in Australia and wa</w:t>
      </w:r>
      <w:r>
        <w:t xml:space="preserve">s a cornerstone of Domestic and </w:t>
      </w:r>
      <w:r>
        <w:t>Family Violence Prevention Month.</w:t>
      </w:r>
    </w:p>
    <w:p w:rsidR="003F237C" w:rsidRDefault="003F237C" w:rsidP="003F237C">
      <w:r>
        <w:t>In response to COVID-19 and the Summit, the Queensland Government and community partners have</w:t>
      </w:r>
      <w:r>
        <w:t xml:space="preserve"> </w:t>
      </w:r>
      <w:r>
        <w:t>undertaken a range of measures to increase protections for victims of violence, including:</w:t>
      </w:r>
    </w:p>
    <w:p w:rsidR="003F237C" w:rsidRDefault="003F237C" w:rsidP="00CE48A7">
      <w:pPr>
        <w:pStyle w:val="ListParagraph"/>
        <w:numPr>
          <w:ilvl w:val="0"/>
          <w:numId w:val="1"/>
        </w:numPr>
      </w:pPr>
      <w:r>
        <w:t>working with the Real Estate Institute of Queensland to increase access to affordable housing for</w:t>
      </w:r>
      <w:r>
        <w:t xml:space="preserve"> </w:t>
      </w:r>
      <w:r>
        <w:t>survivors of domestic and family violence</w:t>
      </w:r>
    </w:p>
    <w:p w:rsidR="003F237C" w:rsidRDefault="003F237C" w:rsidP="00CE48A7">
      <w:pPr>
        <w:pStyle w:val="ListParagraph"/>
        <w:numPr>
          <w:ilvl w:val="0"/>
          <w:numId w:val="1"/>
        </w:numPr>
      </w:pPr>
      <w:r>
        <w:t>working in partnership with Telstra to design a new digital platform to empower bystanders to recognise the signs of domestic and family violence and safely provide support</w:t>
      </w:r>
    </w:p>
    <w:p w:rsidR="003F237C" w:rsidRDefault="003F237C" w:rsidP="00CE48A7">
      <w:pPr>
        <w:pStyle w:val="ListParagraph"/>
        <w:numPr>
          <w:ilvl w:val="0"/>
          <w:numId w:val="1"/>
        </w:numPr>
      </w:pPr>
      <w:r>
        <w:t>developing a number of resources to support health workers and clinic</w:t>
      </w:r>
      <w:r>
        <w:t xml:space="preserve">ians to understand and respond </w:t>
      </w:r>
      <w:r>
        <w:t>to increased domestic and family violence risk during COVID-19</w:t>
      </w:r>
    </w:p>
    <w:p w:rsidR="003F237C" w:rsidRDefault="003F237C" w:rsidP="00CE48A7">
      <w:pPr>
        <w:pStyle w:val="ListParagraph"/>
        <w:numPr>
          <w:ilvl w:val="0"/>
          <w:numId w:val="1"/>
        </w:numPr>
      </w:pPr>
      <w:r>
        <w:t>enabling effective implementation of social distancing measures in Queensland courts through various measures</w:t>
      </w:r>
    </w:p>
    <w:p w:rsidR="003F237C" w:rsidRDefault="003F237C" w:rsidP="00CE48A7">
      <w:pPr>
        <w:pStyle w:val="ListParagraph"/>
        <w:numPr>
          <w:ilvl w:val="0"/>
          <w:numId w:val="1"/>
        </w:numPr>
      </w:pPr>
      <w:r>
        <w:t>implementing alternative service delivery arrangements to support offenders to meet community-based order conditions and rehabilitation</w:t>
      </w:r>
    </w:p>
    <w:p w:rsidR="003F237C" w:rsidRDefault="003F237C" w:rsidP="00CE48A7">
      <w:pPr>
        <w:pStyle w:val="ListParagraph"/>
        <w:numPr>
          <w:ilvl w:val="0"/>
          <w:numId w:val="1"/>
        </w:numPr>
      </w:pPr>
      <w:r>
        <w:t>enhancing the police response to domestic and family violence to respond to the challenges posed by COVID-19, including by:</w:t>
      </w:r>
    </w:p>
    <w:p w:rsidR="003F237C" w:rsidRDefault="003F237C" w:rsidP="00CE48A7">
      <w:pPr>
        <w:pStyle w:val="ListParagraph"/>
        <w:numPr>
          <w:ilvl w:val="0"/>
          <w:numId w:val="2"/>
        </w:numPr>
      </w:pPr>
      <w:r>
        <w:t>developing an online portal on the QPS website  to enable victims of domestic and family violence to report incidents of domestic and family violence and request police attendance, as well  as extending capabilities to register to contact police by SMS to high risk victims of domestic  and family violence</w:t>
      </w:r>
    </w:p>
    <w:p w:rsidR="003F237C" w:rsidRDefault="003F237C" w:rsidP="00CE48A7">
      <w:pPr>
        <w:pStyle w:val="ListParagraph"/>
        <w:numPr>
          <w:ilvl w:val="0"/>
          <w:numId w:val="2"/>
        </w:numPr>
      </w:pPr>
      <w:r>
        <w:t>conducting weekly statewide and regional analysis of domestic and family violence trends, referrals and calls for service, to help inform local responses to domestic and family violence</w:t>
      </w:r>
    </w:p>
    <w:p w:rsidR="003F237C" w:rsidRDefault="003F237C" w:rsidP="00CE48A7">
      <w:pPr>
        <w:pStyle w:val="ListParagraph"/>
        <w:numPr>
          <w:ilvl w:val="0"/>
          <w:numId w:val="2"/>
        </w:numPr>
      </w:pPr>
      <w:r>
        <w:t>working  with  partner  agencies  and  services to explore options focused on the safety of victims and protecting the most vulnerable during COVID-19, including supporting people experiencing homelessness, and</w:t>
      </w:r>
    </w:p>
    <w:p w:rsidR="00F36E83" w:rsidRPr="00580A95" w:rsidRDefault="003F237C" w:rsidP="00CE48A7">
      <w:pPr>
        <w:pStyle w:val="ListParagraph"/>
        <w:numPr>
          <w:ilvl w:val="0"/>
          <w:numId w:val="2"/>
        </w:numPr>
        <w:rPr>
          <w:rFonts w:asciiTheme="majorHAnsi" w:eastAsiaTheme="majorEastAsia" w:hAnsiTheme="majorHAnsi" w:cstheme="majorBidi"/>
          <w:color w:val="2E74B5" w:themeColor="accent1" w:themeShade="BF"/>
          <w:sz w:val="26"/>
          <w:szCs w:val="26"/>
        </w:rPr>
      </w:pPr>
      <w:r>
        <w:t>leveraging QPS’s law enforcement network to exchange real-time information across jurisdictions to inform decision-making on</w:t>
      </w:r>
      <w:r>
        <w:t xml:space="preserve"> </w:t>
      </w:r>
      <w:r>
        <w:t>appropriate policing responses during COVID-19.</w:t>
      </w:r>
    </w:p>
    <w:p w:rsidR="00580A95" w:rsidRDefault="00580A95">
      <w:r>
        <w:br w:type="page"/>
      </w:r>
    </w:p>
    <w:p w:rsidR="00580A95" w:rsidRPr="001665AA" w:rsidRDefault="00580A95" w:rsidP="001665AA">
      <w:pPr>
        <w:pStyle w:val="Heading2"/>
        <w:rPr>
          <w:rFonts w:asciiTheme="minorHAnsi" w:eastAsia="Times New Roman" w:hAnsiTheme="minorHAnsi" w:cstheme="minorHAnsi"/>
          <w:lang w:val="en-GB"/>
        </w:rPr>
      </w:pPr>
      <w:r w:rsidRPr="001665AA">
        <w:rPr>
          <w:rFonts w:asciiTheme="minorHAnsi" w:eastAsia="Times New Roman" w:hAnsiTheme="minorHAnsi" w:cstheme="minorHAnsi"/>
          <w:lang w:val="en-GB"/>
        </w:rPr>
        <w:lastRenderedPageBreak/>
        <w:t>Our key indicators</w:t>
      </w:r>
    </w:p>
    <w:p w:rsidR="00580A95" w:rsidRPr="001665AA" w:rsidRDefault="00580A95" w:rsidP="001665AA">
      <w:pPr>
        <w:rPr>
          <w:rFonts w:cstheme="minorHAnsi"/>
          <w:lang w:val="en-GB"/>
        </w:rPr>
      </w:pPr>
      <w:r w:rsidRPr="001665AA">
        <w:rPr>
          <w:rFonts w:cstheme="minorHAnsi"/>
          <w:lang w:val="en-GB"/>
        </w:rPr>
        <w:t>Data has been collected, where possible, against a set of indicators in the evaluation framework for the Domestic and Family Violence Prevention Strategy. Some of these indicators are set out below.</w:t>
      </w:r>
    </w:p>
    <w:p w:rsidR="00580A95" w:rsidRPr="00580A95" w:rsidRDefault="00580A95" w:rsidP="001665AA">
      <w:pPr>
        <w:rPr>
          <w:rFonts w:eastAsia="Times New Roman" w:cstheme="minorHAnsi"/>
          <w:sz w:val="20"/>
          <w:szCs w:val="21"/>
          <w:lang w:val="en-GB"/>
        </w:rPr>
      </w:pPr>
      <w:r w:rsidRPr="001665AA">
        <w:rPr>
          <w:rFonts w:cstheme="minorHAnsi"/>
          <w:lang w:val="en-GB"/>
        </w:rPr>
        <w:t>2019–20 is the first year of reporting under the revised indicator matrix for the evaluation framework and this combined with impacts on data availability due to COVID-19 has resulted in data trends being unavailable.</w:t>
      </w:r>
    </w:p>
    <w:tbl>
      <w:tblPr>
        <w:tblStyle w:val="TableGrid"/>
        <w:tblW w:w="0" w:type="auto"/>
        <w:tblLayout w:type="fixed"/>
        <w:tblLook w:val="01E0" w:firstRow="1" w:lastRow="1" w:firstColumn="1" w:lastColumn="1" w:noHBand="0" w:noVBand="0"/>
      </w:tblPr>
      <w:tblGrid>
        <w:gridCol w:w="4131"/>
        <w:gridCol w:w="44"/>
        <w:gridCol w:w="6555"/>
        <w:gridCol w:w="42"/>
      </w:tblGrid>
      <w:tr w:rsidR="00580A95" w:rsidRPr="00580A95" w:rsidTr="009A2D24">
        <w:trPr>
          <w:trHeight w:val="352"/>
        </w:trPr>
        <w:tc>
          <w:tcPr>
            <w:tcW w:w="10772" w:type="dxa"/>
            <w:gridSpan w:val="4"/>
          </w:tcPr>
          <w:p w:rsidR="00580A95" w:rsidRPr="001665AA" w:rsidRDefault="00580A95" w:rsidP="001665AA">
            <w:pPr>
              <w:pStyle w:val="Heading4"/>
              <w:rPr>
                <w:rFonts w:eastAsia="Times New Roman"/>
                <w:lang w:val="en-GB"/>
              </w:rPr>
            </w:pPr>
            <w:r w:rsidRPr="001665AA">
              <w:rPr>
                <w:rFonts w:eastAsia="Times New Roman"/>
                <w:lang w:val="en-GB"/>
              </w:rPr>
              <w:t>Queenslanders take a zero tolerance approach to domestic and family violence</w:t>
            </w:r>
          </w:p>
        </w:tc>
      </w:tr>
      <w:tr w:rsidR="00580A95" w:rsidRPr="00580A95" w:rsidTr="009A2D24">
        <w:trPr>
          <w:trHeight w:val="2558"/>
        </w:trPr>
        <w:tc>
          <w:tcPr>
            <w:tcW w:w="4175"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An increased proportion of Queenslanders are aware of the behaviours that constitute domestic and family violence</w:t>
            </w:r>
            <w:r w:rsidRPr="00422032">
              <w:rPr>
                <w:rFonts w:cstheme="minorHAnsi"/>
                <w:sz w:val="16"/>
                <w:szCs w:val="16"/>
                <w:lang w:val="en-GB"/>
              </w:rPr>
              <w:t xml:space="preserve"> </w:t>
            </w:r>
            <w:r w:rsidRPr="00422032">
              <w:rPr>
                <w:rFonts w:cstheme="minorHAnsi"/>
                <w:position w:val="4"/>
                <w:sz w:val="16"/>
                <w:szCs w:val="16"/>
                <w:lang w:val="en-GB"/>
              </w:rPr>
              <w:t>4</w:t>
            </w:r>
          </w:p>
        </w:tc>
        <w:tc>
          <w:tcPr>
            <w:tcW w:w="6597" w:type="dxa"/>
            <w:gridSpan w:val="2"/>
          </w:tcPr>
          <w:p w:rsidR="00580A95" w:rsidRPr="001665AA" w:rsidRDefault="00580A95" w:rsidP="00CE48A7">
            <w:pPr>
              <w:pStyle w:val="ListParagraph"/>
              <w:numPr>
                <w:ilvl w:val="0"/>
                <w:numId w:val="3"/>
              </w:numPr>
              <w:spacing w:line="259" w:lineRule="auto"/>
              <w:ind w:left="390"/>
              <w:rPr>
                <w:rFonts w:cstheme="minorHAnsi"/>
                <w:sz w:val="20"/>
                <w:szCs w:val="20"/>
                <w:lang w:val="en-GB"/>
              </w:rPr>
            </w:pPr>
            <w:r w:rsidRPr="001665AA">
              <w:rPr>
                <w:rFonts w:cstheme="minorHAnsi"/>
                <w:spacing w:val="-3"/>
                <w:sz w:val="20"/>
                <w:szCs w:val="20"/>
                <w:lang w:val="en-GB"/>
              </w:rPr>
              <w:t xml:space="preserve">99.3% </w:t>
            </w:r>
            <w:r w:rsidRPr="001665AA">
              <w:rPr>
                <w:rFonts w:cstheme="minorHAnsi"/>
                <w:sz w:val="20"/>
                <w:szCs w:val="20"/>
                <w:lang w:val="en-GB"/>
              </w:rPr>
              <w:t xml:space="preserve">of Queenslanders recognise </w:t>
            </w:r>
            <w:r w:rsidRPr="001665AA">
              <w:rPr>
                <w:rFonts w:cstheme="minorHAnsi"/>
                <w:spacing w:val="2"/>
                <w:sz w:val="20"/>
                <w:szCs w:val="20"/>
                <w:lang w:val="en-GB"/>
              </w:rPr>
              <w:t xml:space="preserve">trying </w:t>
            </w:r>
            <w:r w:rsidRPr="001665AA">
              <w:rPr>
                <w:rFonts w:cstheme="minorHAnsi"/>
                <w:sz w:val="20"/>
                <w:szCs w:val="20"/>
                <w:lang w:val="en-GB"/>
              </w:rPr>
              <w:t xml:space="preserve">to scare or control a partner by threatening to </w:t>
            </w:r>
            <w:r w:rsidRPr="001665AA">
              <w:rPr>
                <w:rFonts w:cstheme="minorHAnsi"/>
                <w:spacing w:val="2"/>
                <w:sz w:val="20"/>
                <w:szCs w:val="20"/>
                <w:lang w:val="en-GB"/>
              </w:rPr>
              <w:t xml:space="preserve">hurt </w:t>
            </w:r>
            <w:r w:rsidRPr="001665AA">
              <w:rPr>
                <w:rFonts w:cstheme="minorHAnsi"/>
                <w:sz w:val="20"/>
                <w:szCs w:val="20"/>
                <w:lang w:val="en-GB"/>
              </w:rPr>
              <w:t xml:space="preserve">other family members as domestic and family violence (compared to </w:t>
            </w:r>
            <w:r w:rsidRPr="001665AA">
              <w:rPr>
                <w:rFonts w:cstheme="minorHAnsi"/>
                <w:spacing w:val="-3"/>
                <w:sz w:val="20"/>
                <w:szCs w:val="20"/>
                <w:lang w:val="en-GB"/>
              </w:rPr>
              <w:t xml:space="preserve">99.3% </w:t>
            </w:r>
            <w:r w:rsidRPr="001665AA">
              <w:rPr>
                <w:rFonts w:cstheme="minorHAnsi"/>
                <w:sz w:val="20"/>
                <w:szCs w:val="20"/>
                <w:lang w:val="en-GB"/>
              </w:rPr>
              <w:t>of Queenslanders in 2019, 99.2% of Queenslanders in 2018 and 99.5% of Queenslanders in</w:t>
            </w:r>
            <w:r w:rsidRPr="001665AA">
              <w:rPr>
                <w:rFonts w:cstheme="minorHAnsi"/>
                <w:spacing w:val="-11"/>
                <w:sz w:val="20"/>
                <w:szCs w:val="20"/>
                <w:lang w:val="en-GB"/>
              </w:rPr>
              <w:t xml:space="preserve"> </w:t>
            </w:r>
            <w:r w:rsidRPr="001665AA">
              <w:rPr>
                <w:rFonts w:cstheme="minorHAnsi"/>
                <w:sz w:val="20"/>
                <w:szCs w:val="20"/>
                <w:lang w:val="en-GB"/>
              </w:rPr>
              <w:t>2017)</w:t>
            </w:r>
          </w:p>
          <w:p w:rsidR="00580A95" w:rsidRPr="001665AA" w:rsidRDefault="00580A95" w:rsidP="00CE48A7">
            <w:pPr>
              <w:pStyle w:val="ListParagraph"/>
              <w:numPr>
                <w:ilvl w:val="0"/>
                <w:numId w:val="3"/>
              </w:numPr>
              <w:spacing w:line="259" w:lineRule="auto"/>
              <w:ind w:left="390"/>
              <w:rPr>
                <w:rFonts w:cstheme="minorHAnsi"/>
                <w:sz w:val="20"/>
                <w:szCs w:val="20"/>
                <w:lang w:val="en-GB"/>
              </w:rPr>
            </w:pPr>
            <w:r w:rsidRPr="001665AA">
              <w:rPr>
                <w:rFonts w:cstheme="minorHAnsi"/>
                <w:spacing w:val="2"/>
                <w:sz w:val="20"/>
                <w:szCs w:val="20"/>
                <w:lang w:val="en-GB"/>
              </w:rPr>
              <w:t xml:space="preserve">97% </w:t>
            </w:r>
            <w:r w:rsidRPr="001665AA">
              <w:rPr>
                <w:rFonts w:cstheme="minorHAnsi"/>
                <w:sz w:val="20"/>
                <w:szCs w:val="20"/>
                <w:lang w:val="en-GB"/>
              </w:rPr>
              <w:t xml:space="preserve">of Queenslanders recognise </w:t>
            </w:r>
            <w:r w:rsidRPr="001665AA">
              <w:rPr>
                <w:rFonts w:cstheme="minorHAnsi"/>
                <w:spacing w:val="2"/>
                <w:sz w:val="20"/>
                <w:szCs w:val="20"/>
                <w:lang w:val="en-GB"/>
              </w:rPr>
              <w:t xml:space="preserve">trying </w:t>
            </w:r>
            <w:r w:rsidRPr="001665AA">
              <w:rPr>
                <w:rFonts w:cstheme="minorHAnsi"/>
                <w:sz w:val="20"/>
                <w:szCs w:val="20"/>
                <w:lang w:val="en-GB"/>
              </w:rPr>
              <w:t>to control a partner by denying them access to money as domestic and family violence (compared to 94% of Queenslanders in 2019, 92.9% of Queenslanders in 2018 and 94.1% of Queenslanders in</w:t>
            </w:r>
            <w:r w:rsidRPr="001665AA">
              <w:rPr>
                <w:rFonts w:cstheme="minorHAnsi"/>
                <w:spacing w:val="-5"/>
                <w:sz w:val="20"/>
                <w:szCs w:val="20"/>
                <w:lang w:val="en-GB"/>
              </w:rPr>
              <w:t xml:space="preserve"> </w:t>
            </w:r>
            <w:r w:rsidRPr="001665AA">
              <w:rPr>
                <w:rFonts w:cstheme="minorHAnsi"/>
                <w:sz w:val="20"/>
                <w:szCs w:val="20"/>
                <w:lang w:val="en-GB"/>
              </w:rPr>
              <w:t>2017)</w:t>
            </w:r>
          </w:p>
          <w:p w:rsidR="00580A95" w:rsidRPr="001665AA" w:rsidRDefault="00580A95" w:rsidP="00CE48A7">
            <w:pPr>
              <w:pStyle w:val="ListParagraph"/>
              <w:numPr>
                <w:ilvl w:val="0"/>
                <w:numId w:val="4"/>
              </w:numPr>
              <w:spacing w:line="259" w:lineRule="auto"/>
              <w:rPr>
                <w:rFonts w:cstheme="minorHAnsi"/>
                <w:sz w:val="20"/>
                <w:szCs w:val="20"/>
                <w:lang w:val="en-GB"/>
              </w:rPr>
            </w:pPr>
            <w:r w:rsidRPr="001665AA">
              <w:rPr>
                <w:rFonts w:cstheme="minorHAnsi"/>
                <w:sz w:val="20"/>
                <w:szCs w:val="20"/>
                <w:lang w:val="en-GB"/>
              </w:rPr>
              <w:t xml:space="preserve">In 2020, Queenslanders were significantly more likely to think this was always  a </w:t>
            </w:r>
            <w:r w:rsidRPr="001665AA">
              <w:rPr>
                <w:rFonts w:cstheme="minorHAnsi"/>
                <w:spacing w:val="2"/>
                <w:sz w:val="20"/>
                <w:szCs w:val="20"/>
                <w:lang w:val="en-GB"/>
              </w:rPr>
              <w:t xml:space="preserve">form </w:t>
            </w:r>
            <w:r w:rsidRPr="001665AA">
              <w:rPr>
                <w:rFonts w:cstheme="minorHAnsi"/>
                <w:sz w:val="20"/>
                <w:szCs w:val="20"/>
                <w:lang w:val="en-GB"/>
              </w:rPr>
              <w:t xml:space="preserve">of domestic and family violence (65.7% compared to 57.4% in 2019) and as </w:t>
            </w:r>
            <w:r w:rsidRPr="001665AA">
              <w:rPr>
                <w:rFonts w:cstheme="minorHAnsi"/>
                <w:spacing w:val="3"/>
                <w:sz w:val="20"/>
                <w:szCs w:val="20"/>
                <w:lang w:val="en-GB"/>
              </w:rPr>
              <w:t xml:space="preserve">very </w:t>
            </w:r>
            <w:r w:rsidRPr="001665AA">
              <w:rPr>
                <w:rFonts w:cstheme="minorHAnsi"/>
                <w:sz w:val="20"/>
                <w:szCs w:val="20"/>
                <w:lang w:val="en-GB"/>
              </w:rPr>
              <w:t>or quite serious (94.1% compared to 89.0% in</w:t>
            </w:r>
            <w:r w:rsidRPr="001665AA">
              <w:rPr>
                <w:rFonts w:cstheme="minorHAnsi"/>
                <w:spacing w:val="4"/>
                <w:sz w:val="20"/>
                <w:szCs w:val="20"/>
                <w:lang w:val="en-GB"/>
              </w:rPr>
              <w:t xml:space="preserve"> </w:t>
            </w:r>
            <w:r w:rsidRPr="001665AA">
              <w:rPr>
                <w:rFonts w:cstheme="minorHAnsi"/>
                <w:sz w:val="20"/>
                <w:szCs w:val="20"/>
                <w:lang w:val="en-GB"/>
              </w:rPr>
              <w:t>2019)</w:t>
            </w:r>
          </w:p>
        </w:tc>
      </w:tr>
      <w:tr w:rsidR="00580A95" w:rsidRPr="00580A95" w:rsidTr="009A2D24">
        <w:trPr>
          <w:trHeight w:val="352"/>
        </w:trPr>
        <w:tc>
          <w:tcPr>
            <w:tcW w:w="10772" w:type="dxa"/>
            <w:gridSpan w:val="4"/>
          </w:tcPr>
          <w:p w:rsidR="00580A95" w:rsidRPr="001665AA" w:rsidRDefault="00580A95" w:rsidP="001665AA">
            <w:pPr>
              <w:pStyle w:val="Heading4"/>
              <w:rPr>
                <w:rFonts w:eastAsia="Times New Roman"/>
                <w:lang w:val="en-GB"/>
              </w:rPr>
            </w:pPr>
            <w:r w:rsidRPr="001665AA">
              <w:rPr>
                <w:rFonts w:eastAsia="Times New Roman"/>
                <w:lang w:val="en-GB"/>
              </w:rPr>
              <w:t>Respectful relationships and non-violent behaviour are embedded in our community</w:t>
            </w:r>
          </w:p>
        </w:tc>
      </w:tr>
      <w:tr w:rsidR="00580A95" w:rsidRPr="00580A95" w:rsidTr="009A2D24">
        <w:trPr>
          <w:trHeight w:val="974"/>
        </w:trPr>
        <w:tc>
          <w:tcPr>
            <w:tcW w:w="4175"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Schools embed respectful relationships and gender equality within their school community</w:t>
            </w:r>
          </w:p>
        </w:tc>
        <w:tc>
          <w:tcPr>
            <w:tcW w:w="6597" w:type="dxa"/>
            <w:gridSpan w:val="2"/>
          </w:tcPr>
          <w:p w:rsidR="00580A95" w:rsidRPr="001665AA" w:rsidRDefault="00580A95" w:rsidP="008C6A01">
            <w:pPr>
              <w:spacing w:line="259" w:lineRule="auto"/>
              <w:rPr>
                <w:rFonts w:cstheme="minorHAnsi"/>
                <w:i/>
                <w:sz w:val="20"/>
                <w:szCs w:val="20"/>
                <w:lang w:val="en-GB"/>
              </w:rPr>
            </w:pPr>
            <w:r w:rsidRPr="001665AA">
              <w:rPr>
                <w:rFonts w:cstheme="minorHAnsi"/>
                <w:sz w:val="20"/>
                <w:szCs w:val="20"/>
                <w:lang w:val="en-GB"/>
              </w:rPr>
              <w:t xml:space="preserve">In 2019–20 the Queensland Government strengthened its commitment to preventing domestic, family and sexual violence by including actions to enhance respectful relationships education in </w:t>
            </w:r>
            <w:r w:rsidRPr="001665AA">
              <w:rPr>
                <w:rFonts w:cstheme="minorHAnsi"/>
                <w:i/>
                <w:sz w:val="20"/>
                <w:szCs w:val="20"/>
                <w:lang w:val="en-GB"/>
              </w:rPr>
              <w:t>Prevent. Support. Believe. Queensland’s Framework to address Sexual Violence</w:t>
            </w:r>
          </w:p>
        </w:tc>
      </w:tr>
      <w:tr w:rsidR="00580A95" w:rsidRPr="00580A95" w:rsidTr="009A2D24">
        <w:trPr>
          <w:trHeight w:val="764"/>
        </w:trPr>
        <w:tc>
          <w:tcPr>
            <w:tcW w:w="4175"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Queensland community believes it is important to educate children and young people about respectful relationships</w:t>
            </w:r>
          </w:p>
        </w:tc>
        <w:tc>
          <w:tcPr>
            <w:tcW w:w="6597"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In 2020, 97% of Queenslanders agreed teaching children about respectful attitudes and behaviours in relationships will help reduce domestic and family violence in the future</w:t>
            </w:r>
          </w:p>
        </w:tc>
      </w:tr>
      <w:tr w:rsidR="00580A95" w:rsidRPr="00580A95" w:rsidTr="009A2D24">
        <w:trPr>
          <w:trHeight w:val="1241"/>
        </w:trPr>
        <w:tc>
          <w:tcPr>
            <w:tcW w:w="4175"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The broader community challenges traditional gender stereotypes and roles, and values gender equality</w:t>
            </w:r>
          </w:p>
        </w:tc>
        <w:tc>
          <w:tcPr>
            <w:tcW w:w="6597" w:type="dxa"/>
            <w:gridSpan w:val="2"/>
          </w:tcPr>
          <w:p w:rsidR="00580A95" w:rsidRPr="001665AA" w:rsidRDefault="00580A95" w:rsidP="00CE48A7">
            <w:pPr>
              <w:pStyle w:val="ListParagraph"/>
              <w:numPr>
                <w:ilvl w:val="0"/>
                <w:numId w:val="5"/>
              </w:numPr>
              <w:spacing w:line="259" w:lineRule="auto"/>
              <w:ind w:left="390"/>
              <w:rPr>
                <w:rFonts w:cstheme="minorHAnsi"/>
                <w:sz w:val="20"/>
                <w:szCs w:val="20"/>
                <w:lang w:val="en-GB"/>
              </w:rPr>
            </w:pPr>
            <w:r w:rsidRPr="001665AA">
              <w:rPr>
                <w:rFonts w:cstheme="minorHAnsi"/>
                <w:sz w:val="20"/>
                <w:szCs w:val="20"/>
                <w:lang w:val="en-GB"/>
              </w:rPr>
              <w:t>83% of Queenslanders agree that when one partner in a domestic relationship believes themself to be superior to their partner because of their gender, domestic and family violence is more likely to</w:t>
            </w:r>
            <w:r w:rsidRPr="001665AA">
              <w:rPr>
                <w:rFonts w:cstheme="minorHAnsi"/>
                <w:spacing w:val="-14"/>
                <w:sz w:val="20"/>
                <w:szCs w:val="20"/>
                <w:lang w:val="en-GB"/>
              </w:rPr>
              <w:t xml:space="preserve"> </w:t>
            </w:r>
            <w:r w:rsidRPr="001665AA">
              <w:rPr>
                <w:rFonts w:cstheme="minorHAnsi"/>
                <w:sz w:val="20"/>
                <w:szCs w:val="20"/>
                <w:lang w:val="en-GB"/>
              </w:rPr>
              <w:t>occur</w:t>
            </w:r>
          </w:p>
          <w:p w:rsidR="00580A95" w:rsidRPr="001665AA" w:rsidRDefault="00580A95" w:rsidP="00CE48A7">
            <w:pPr>
              <w:pStyle w:val="ListParagraph"/>
              <w:numPr>
                <w:ilvl w:val="0"/>
                <w:numId w:val="5"/>
              </w:numPr>
              <w:spacing w:line="259" w:lineRule="auto"/>
              <w:ind w:left="390"/>
              <w:rPr>
                <w:rFonts w:cstheme="minorHAnsi"/>
                <w:sz w:val="20"/>
                <w:szCs w:val="20"/>
                <w:lang w:val="en-GB"/>
              </w:rPr>
            </w:pPr>
            <w:r w:rsidRPr="001665AA">
              <w:rPr>
                <w:rFonts w:cstheme="minorHAnsi"/>
                <w:spacing w:val="-5"/>
                <w:sz w:val="20"/>
                <w:szCs w:val="20"/>
                <w:lang w:val="en-GB"/>
              </w:rPr>
              <w:t xml:space="preserve">67.5% </w:t>
            </w:r>
            <w:r w:rsidRPr="001665AA">
              <w:rPr>
                <w:rFonts w:cstheme="minorHAnsi"/>
                <w:sz w:val="20"/>
                <w:szCs w:val="20"/>
                <w:lang w:val="en-GB"/>
              </w:rPr>
              <w:t>of Queenslanders agree that reducing gender inequality in society will help to reduce domestic and family violence in</w:t>
            </w:r>
            <w:r w:rsidRPr="001665AA">
              <w:rPr>
                <w:rFonts w:cstheme="minorHAnsi"/>
                <w:spacing w:val="-13"/>
                <w:sz w:val="20"/>
                <w:szCs w:val="20"/>
                <w:lang w:val="en-GB"/>
              </w:rPr>
              <w:t xml:space="preserve"> </w:t>
            </w:r>
            <w:r w:rsidRPr="001665AA">
              <w:rPr>
                <w:rFonts w:cstheme="minorHAnsi"/>
                <w:sz w:val="20"/>
                <w:szCs w:val="20"/>
                <w:lang w:val="en-GB"/>
              </w:rPr>
              <w:t>Australia</w:t>
            </w:r>
          </w:p>
        </w:tc>
      </w:tr>
      <w:tr w:rsidR="00580A95" w:rsidRPr="00580A95" w:rsidTr="009A2D24">
        <w:trPr>
          <w:trHeight w:val="352"/>
        </w:trPr>
        <w:tc>
          <w:tcPr>
            <w:tcW w:w="10772" w:type="dxa"/>
            <w:gridSpan w:val="4"/>
          </w:tcPr>
          <w:p w:rsidR="00580A95" w:rsidRPr="001665AA" w:rsidRDefault="00580A95" w:rsidP="001665AA">
            <w:pPr>
              <w:pStyle w:val="Heading4"/>
              <w:rPr>
                <w:rFonts w:eastAsia="Times New Roman"/>
                <w:lang w:val="en-GB"/>
              </w:rPr>
            </w:pPr>
            <w:r w:rsidRPr="001665AA">
              <w:rPr>
                <w:rFonts w:eastAsia="Times New Roman"/>
                <w:lang w:val="en-GB"/>
              </w:rPr>
              <w:t>Queensland community, business, religious, sporting and all government leaders are taking action and working together</w:t>
            </w:r>
          </w:p>
        </w:tc>
      </w:tr>
      <w:tr w:rsidR="00580A95" w:rsidRPr="00580A95" w:rsidTr="009A2D24">
        <w:trPr>
          <w:trHeight w:val="764"/>
        </w:trPr>
        <w:tc>
          <w:tcPr>
            <w:tcW w:w="4175"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An increased proportion of Queenslanders report involvement in community initiatives related to domestic and family violence</w:t>
            </w:r>
          </w:p>
        </w:tc>
        <w:tc>
          <w:tcPr>
            <w:tcW w:w="6597" w:type="dxa"/>
            <w:gridSpan w:val="2"/>
          </w:tcPr>
          <w:p w:rsidR="00580A95" w:rsidRPr="001665AA" w:rsidRDefault="00580A95" w:rsidP="00CE48A7">
            <w:pPr>
              <w:pStyle w:val="ListParagraph"/>
              <w:numPr>
                <w:ilvl w:val="0"/>
                <w:numId w:val="6"/>
              </w:numPr>
              <w:spacing w:line="259" w:lineRule="auto"/>
              <w:ind w:left="390"/>
              <w:rPr>
                <w:rFonts w:cstheme="minorHAnsi"/>
                <w:sz w:val="20"/>
                <w:szCs w:val="20"/>
                <w:lang w:val="en-GB"/>
              </w:rPr>
            </w:pPr>
            <w:r w:rsidRPr="001665AA">
              <w:rPr>
                <w:rFonts w:cstheme="minorHAnsi"/>
                <w:spacing w:val="-4"/>
                <w:sz w:val="20"/>
                <w:szCs w:val="20"/>
                <w:lang w:val="en-GB"/>
              </w:rPr>
              <w:t xml:space="preserve">7.5% </w:t>
            </w:r>
            <w:r w:rsidRPr="001665AA">
              <w:rPr>
                <w:rFonts w:cstheme="minorHAnsi"/>
                <w:sz w:val="20"/>
                <w:szCs w:val="20"/>
                <w:lang w:val="en-GB"/>
              </w:rPr>
              <w:t xml:space="preserve">of Queenslanders reported they were involved in domestic and family violence initiatives in their community (compared to </w:t>
            </w:r>
            <w:r w:rsidRPr="001665AA">
              <w:rPr>
                <w:rFonts w:cstheme="minorHAnsi"/>
                <w:spacing w:val="-5"/>
                <w:sz w:val="20"/>
                <w:szCs w:val="20"/>
                <w:lang w:val="en-GB"/>
              </w:rPr>
              <w:t xml:space="preserve">7.9% </w:t>
            </w:r>
            <w:r w:rsidRPr="001665AA">
              <w:rPr>
                <w:rFonts w:cstheme="minorHAnsi"/>
                <w:sz w:val="20"/>
                <w:szCs w:val="20"/>
                <w:lang w:val="en-GB"/>
              </w:rPr>
              <w:t>in</w:t>
            </w:r>
            <w:r w:rsidRPr="001665AA">
              <w:rPr>
                <w:rFonts w:cstheme="minorHAnsi"/>
                <w:spacing w:val="-12"/>
                <w:sz w:val="20"/>
                <w:szCs w:val="20"/>
                <w:lang w:val="en-GB"/>
              </w:rPr>
              <w:t xml:space="preserve"> </w:t>
            </w:r>
            <w:r w:rsidRPr="001665AA">
              <w:rPr>
                <w:rFonts w:cstheme="minorHAnsi"/>
                <w:sz w:val="20"/>
                <w:szCs w:val="20"/>
                <w:lang w:val="en-GB"/>
              </w:rPr>
              <w:t>2019)</w:t>
            </w:r>
          </w:p>
        </w:tc>
      </w:tr>
      <w:tr w:rsidR="00580A95" w:rsidRPr="00580A95" w:rsidTr="009A2D24">
        <w:trPr>
          <w:trHeight w:val="2348"/>
        </w:trPr>
        <w:tc>
          <w:tcPr>
            <w:tcW w:w="4175"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Changes in the scope (i.e., objectives) and scale of community-led initiatives during Domestic and Family Violence Prevention Month</w:t>
            </w:r>
          </w:p>
        </w:tc>
        <w:tc>
          <w:tcPr>
            <w:tcW w:w="6597" w:type="dxa"/>
            <w:gridSpan w:val="2"/>
          </w:tcPr>
          <w:p w:rsidR="00580A95" w:rsidRPr="001665AA" w:rsidRDefault="00580A95" w:rsidP="00CE48A7">
            <w:pPr>
              <w:pStyle w:val="ListParagraph"/>
              <w:numPr>
                <w:ilvl w:val="0"/>
                <w:numId w:val="6"/>
              </w:numPr>
              <w:spacing w:line="259" w:lineRule="auto"/>
              <w:ind w:left="390"/>
              <w:rPr>
                <w:rFonts w:cstheme="minorHAnsi"/>
                <w:sz w:val="20"/>
                <w:szCs w:val="20"/>
                <w:lang w:val="en-GB"/>
              </w:rPr>
            </w:pPr>
            <w:r w:rsidRPr="001665AA">
              <w:rPr>
                <w:rFonts w:cstheme="minorHAnsi"/>
                <w:sz w:val="20"/>
                <w:szCs w:val="20"/>
                <w:lang w:val="en-GB"/>
              </w:rPr>
              <w:t>Seven registered events for Domestic and Family Violence Prevention Month in May 2020, decreasing from 56 in 2019. The decrease is attributable to COVID-19 impacts that were occurring in the lead up to and during Domestic and Family Violence Prevention</w:t>
            </w:r>
            <w:r w:rsidRPr="001665AA">
              <w:rPr>
                <w:rFonts w:cstheme="minorHAnsi"/>
                <w:spacing w:val="-4"/>
                <w:sz w:val="20"/>
                <w:szCs w:val="20"/>
                <w:lang w:val="en-GB"/>
              </w:rPr>
              <w:t xml:space="preserve"> </w:t>
            </w:r>
            <w:r w:rsidRPr="001665AA">
              <w:rPr>
                <w:rFonts w:cstheme="minorHAnsi"/>
                <w:sz w:val="20"/>
                <w:szCs w:val="20"/>
                <w:lang w:val="en-GB"/>
              </w:rPr>
              <w:t>Month</w:t>
            </w:r>
          </w:p>
          <w:p w:rsidR="00580A95" w:rsidRPr="001665AA" w:rsidRDefault="00580A95" w:rsidP="00CE48A7">
            <w:pPr>
              <w:pStyle w:val="ListParagraph"/>
              <w:numPr>
                <w:ilvl w:val="0"/>
                <w:numId w:val="6"/>
              </w:numPr>
              <w:spacing w:line="259" w:lineRule="auto"/>
              <w:ind w:left="390"/>
              <w:rPr>
                <w:rFonts w:cstheme="minorHAnsi"/>
                <w:sz w:val="20"/>
                <w:szCs w:val="20"/>
                <w:lang w:val="en-GB"/>
              </w:rPr>
            </w:pPr>
            <w:r w:rsidRPr="001665AA">
              <w:rPr>
                <w:rFonts w:cstheme="minorHAnsi"/>
                <w:sz w:val="20"/>
                <w:szCs w:val="20"/>
                <w:lang w:val="en-GB"/>
              </w:rPr>
              <w:t>33 grants were awarded for community events raising awareness of domestic and family violence in their communities, valued at an average of $4545</w:t>
            </w:r>
            <w:r w:rsidRPr="001665AA">
              <w:rPr>
                <w:rFonts w:cstheme="minorHAnsi"/>
                <w:spacing w:val="-18"/>
                <w:sz w:val="20"/>
                <w:szCs w:val="20"/>
                <w:lang w:val="en-GB"/>
              </w:rPr>
              <w:t xml:space="preserve"> </w:t>
            </w:r>
            <w:r w:rsidRPr="001665AA">
              <w:rPr>
                <w:rFonts w:cstheme="minorHAnsi"/>
                <w:sz w:val="20"/>
                <w:szCs w:val="20"/>
                <w:lang w:val="en-GB"/>
              </w:rPr>
              <w:t>each</w:t>
            </w:r>
          </w:p>
          <w:p w:rsidR="00580A95" w:rsidRPr="001665AA" w:rsidRDefault="00580A95" w:rsidP="00CE48A7">
            <w:pPr>
              <w:pStyle w:val="ListParagraph"/>
              <w:numPr>
                <w:ilvl w:val="0"/>
                <w:numId w:val="6"/>
              </w:numPr>
              <w:spacing w:line="259" w:lineRule="auto"/>
              <w:ind w:left="390"/>
              <w:rPr>
                <w:rFonts w:cstheme="minorHAnsi"/>
                <w:sz w:val="20"/>
                <w:szCs w:val="20"/>
                <w:lang w:val="en-GB"/>
              </w:rPr>
            </w:pPr>
            <w:r w:rsidRPr="001665AA">
              <w:rPr>
                <w:rFonts w:cstheme="minorHAnsi"/>
                <w:sz w:val="20"/>
                <w:szCs w:val="20"/>
                <w:lang w:val="en-GB"/>
              </w:rPr>
              <w:t>On 6 May 2020, the Queensland Government hosted Australia’s first Domestic and Family Violence COVID-19 Virtual Summit bringing together over 120 stakeholders to share ideas on how to support people experiencing domestic and family violence through the COVID-19</w:t>
            </w:r>
            <w:r w:rsidRPr="001665AA">
              <w:rPr>
                <w:rFonts w:cstheme="minorHAnsi"/>
                <w:spacing w:val="-8"/>
                <w:sz w:val="20"/>
                <w:szCs w:val="20"/>
                <w:lang w:val="en-GB"/>
              </w:rPr>
              <w:t xml:space="preserve"> </w:t>
            </w:r>
            <w:r w:rsidRPr="001665AA">
              <w:rPr>
                <w:rFonts w:cstheme="minorHAnsi"/>
                <w:sz w:val="20"/>
                <w:szCs w:val="20"/>
                <w:lang w:val="en-GB"/>
              </w:rPr>
              <w:t>pandemic</w:t>
            </w:r>
          </w:p>
        </w:tc>
      </w:tr>
      <w:tr w:rsidR="00580A95" w:rsidRPr="00580A95" w:rsidTr="009A2D24">
        <w:trPr>
          <w:trHeight w:val="974"/>
        </w:trPr>
        <w:tc>
          <w:tcPr>
            <w:tcW w:w="4175"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Increased number of community, faith-based, and sporting organisations that report delivering domestic and family violence initiatives (i.e., leadership, awareness raising, fundraising, etc.)</w:t>
            </w:r>
          </w:p>
        </w:tc>
        <w:tc>
          <w:tcPr>
            <w:tcW w:w="6597" w:type="dxa"/>
            <w:gridSpan w:val="2"/>
          </w:tcPr>
          <w:p w:rsidR="00580A95" w:rsidRPr="001665AA" w:rsidRDefault="00580A95" w:rsidP="00CE48A7">
            <w:pPr>
              <w:pStyle w:val="ListParagraph"/>
              <w:numPr>
                <w:ilvl w:val="0"/>
                <w:numId w:val="6"/>
              </w:numPr>
              <w:spacing w:line="259" w:lineRule="auto"/>
              <w:ind w:left="390"/>
              <w:rPr>
                <w:rFonts w:cstheme="minorHAnsi"/>
                <w:sz w:val="20"/>
                <w:szCs w:val="20"/>
                <w:lang w:val="en-GB"/>
              </w:rPr>
            </w:pPr>
            <w:r w:rsidRPr="001665AA">
              <w:rPr>
                <w:rFonts w:cstheme="minorHAnsi"/>
                <w:sz w:val="20"/>
                <w:szCs w:val="20"/>
                <w:lang w:val="en-GB"/>
              </w:rPr>
              <w:t xml:space="preserve">24 organisations have taken the pledge to work towards a Queensland where everyone is equal and </w:t>
            </w:r>
            <w:r w:rsidRPr="001665AA">
              <w:rPr>
                <w:rFonts w:cstheme="minorHAnsi"/>
                <w:spacing w:val="2"/>
                <w:sz w:val="20"/>
                <w:szCs w:val="20"/>
                <w:lang w:val="en-GB"/>
              </w:rPr>
              <w:t xml:space="preserve">free </w:t>
            </w:r>
            <w:r w:rsidRPr="001665AA">
              <w:rPr>
                <w:rFonts w:cstheme="minorHAnsi"/>
                <w:sz w:val="20"/>
                <w:szCs w:val="20"/>
                <w:lang w:val="en-GB"/>
              </w:rPr>
              <w:t>from violence as a demonstration of their commitment to preventing domestic and family</w:t>
            </w:r>
            <w:r w:rsidRPr="001665AA">
              <w:rPr>
                <w:rFonts w:cstheme="minorHAnsi"/>
                <w:spacing w:val="-10"/>
                <w:sz w:val="20"/>
                <w:szCs w:val="20"/>
                <w:lang w:val="en-GB"/>
              </w:rPr>
              <w:t xml:space="preserve"> </w:t>
            </w:r>
            <w:r w:rsidRPr="001665AA">
              <w:rPr>
                <w:rFonts w:cstheme="minorHAnsi"/>
                <w:sz w:val="20"/>
                <w:szCs w:val="20"/>
                <w:lang w:val="en-GB"/>
              </w:rPr>
              <w:t>violence</w:t>
            </w:r>
          </w:p>
        </w:tc>
      </w:tr>
      <w:tr w:rsidR="00580A95" w:rsidRPr="00580A95" w:rsidTr="009A2D24">
        <w:trPr>
          <w:trHeight w:val="1928"/>
        </w:trPr>
        <w:tc>
          <w:tcPr>
            <w:tcW w:w="4175"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lastRenderedPageBreak/>
              <w:t>Increased number of local governments participating in domestic and family</w:t>
            </w:r>
          </w:p>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violence workplace cultural change programs, including external accreditation, local government domestic and family violence policies, and value of local community grants provided for domestic and family violence prevention initiatives</w:t>
            </w:r>
          </w:p>
        </w:tc>
        <w:tc>
          <w:tcPr>
            <w:tcW w:w="6597" w:type="dxa"/>
            <w:gridSpan w:val="2"/>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In 2019–20 the Local Government Association of Queensland (LGAQ) has commenced a project to empower councils to be leaders within their communities in the prevention and response to domestic and family violence. As part of the project:</w:t>
            </w:r>
          </w:p>
          <w:p w:rsidR="00580A95" w:rsidRPr="001665AA" w:rsidRDefault="00580A95" w:rsidP="00CE48A7">
            <w:pPr>
              <w:pStyle w:val="ListParagraph"/>
              <w:numPr>
                <w:ilvl w:val="0"/>
                <w:numId w:val="7"/>
              </w:numPr>
              <w:spacing w:line="259" w:lineRule="auto"/>
              <w:rPr>
                <w:rFonts w:cstheme="minorHAnsi"/>
                <w:sz w:val="20"/>
                <w:szCs w:val="20"/>
                <w:lang w:val="en-GB"/>
              </w:rPr>
            </w:pPr>
            <w:r w:rsidRPr="001665AA">
              <w:rPr>
                <w:rFonts w:cstheme="minorHAnsi"/>
                <w:sz w:val="20"/>
                <w:szCs w:val="20"/>
                <w:lang w:val="en-GB"/>
              </w:rPr>
              <w:t>LGAQ has employed a specific Domestic and Family Violence Project Officer to assist in raising awareness and taking action on domestic and family violence within Local</w:t>
            </w:r>
            <w:r w:rsidRPr="001665AA">
              <w:rPr>
                <w:rFonts w:cstheme="minorHAnsi"/>
                <w:spacing w:val="-4"/>
                <w:sz w:val="20"/>
                <w:szCs w:val="20"/>
                <w:lang w:val="en-GB"/>
              </w:rPr>
              <w:t xml:space="preserve"> </w:t>
            </w:r>
            <w:r w:rsidRPr="001665AA">
              <w:rPr>
                <w:rFonts w:cstheme="minorHAnsi"/>
                <w:sz w:val="20"/>
                <w:szCs w:val="20"/>
                <w:lang w:val="en-GB"/>
              </w:rPr>
              <w:t>Government</w:t>
            </w:r>
          </w:p>
          <w:p w:rsidR="00580A95" w:rsidRPr="001665AA" w:rsidRDefault="00580A95" w:rsidP="00CE48A7">
            <w:pPr>
              <w:pStyle w:val="ListParagraph"/>
              <w:numPr>
                <w:ilvl w:val="0"/>
                <w:numId w:val="7"/>
              </w:numPr>
              <w:spacing w:line="259" w:lineRule="auto"/>
              <w:rPr>
                <w:rFonts w:cstheme="minorHAnsi"/>
                <w:sz w:val="20"/>
                <w:szCs w:val="20"/>
                <w:lang w:val="en-GB"/>
              </w:rPr>
            </w:pPr>
            <w:r w:rsidRPr="001665AA">
              <w:rPr>
                <w:rFonts w:cstheme="minorHAnsi"/>
                <w:sz w:val="20"/>
                <w:szCs w:val="20"/>
                <w:lang w:val="en-GB"/>
              </w:rPr>
              <w:t xml:space="preserve">LGAQ has produced a dedicated web page of resources, guides, and information on Domestic and Family Violence for use by all </w:t>
            </w:r>
            <w:r w:rsidRPr="001665AA">
              <w:rPr>
                <w:rFonts w:cstheme="minorHAnsi"/>
                <w:spacing w:val="2"/>
                <w:sz w:val="20"/>
                <w:szCs w:val="20"/>
                <w:lang w:val="en-GB"/>
              </w:rPr>
              <w:t xml:space="preserve">77 </w:t>
            </w:r>
            <w:r w:rsidRPr="001665AA">
              <w:rPr>
                <w:rFonts w:cstheme="minorHAnsi"/>
                <w:sz w:val="20"/>
                <w:szCs w:val="20"/>
                <w:lang w:val="en-GB"/>
              </w:rPr>
              <w:t>Queensland</w:t>
            </w:r>
            <w:r w:rsidRPr="001665AA">
              <w:rPr>
                <w:rFonts w:cstheme="minorHAnsi"/>
                <w:spacing w:val="-18"/>
                <w:sz w:val="20"/>
                <w:szCs w:val="20"/>
                <w:lang w:val="en-GB"/>
              </w:rPr>
              <w:t xml:space="preserve"> </w:t>
            </w:r>
            <w:r w:rsidRPr="001665AA">
              <w:rPr>
                <w:rFonts w:cstheme="minorHAnsi"/>
                <w:sz w:val="20"/>
                <w:szCs w:val="20"/>
                <w:lang w:val="en-GB"/>
              </w:rPr>
              <w:t>councils</w:t>
            </w:r>
          </w:p>
        </w:tc>
      </w:tr>
      <w:tr w:rsidR="00580A95" w:rsidRPr="001665AA" w:rsidTr="009A2D24">
        <w:trPr>
          <w:trHeight w:val="352"/>
        </w:trPr>
        <w:tc>
          <w:tcPr>
            <w:tcW w:w="10772" w:type="dxa"/>
            <w:gridSpan w:val="4"/>
          </w:tcPr>
          <w:p w:rsidR="00580A95" w:rsidRPr="001665AA" w:rsidRDefault="00580A95" w:rsidP="001665AA">
            <w:pPr>
              <w:pStyle w:val="Heading4"/>
              <w:rPr>
                <w:rFonts w:eastAsia="Times New Roman"/>
                <w:lang w:val="en-GB"/>
              </w:rPr>
            </w:pPr>
            <w:r w:rsidRPr="001665AA">
              <w:rPr>
                <w:rFonts w:eastAsia="Times New Roman"/>
                <w:lang w:val="en-GB"/>
              </w:rPr>
              <w:t>Queensland workplaces and workforce challenge attitudes contributing to violence and effectively support workers</w:t>
            </w:r>
          </w:p>
        </w:tc>
      </w:tr>
      <w:tr w:rsidR="00580A95" w:rsidRPr="001665AA" w:rsidTr="009A2D24">
        <w:trPr>
          <w:trHeight w:val="764"/>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All Director-General Performance Agreements demonstrate a visible commitment to domestic and family violence prevention</w:t>
            </w:r>
            <w:bookmarkStart w:id="0" w:name="_GoBack"/>
            <w:bookmarkEnd w:id="0"/>
          </w:p>
        </w:tc>
        <w:tc>
          <w:tcPr>
            <w:tcW w:w="6641" w:type="dxa"/>
            <w:gridSpan w:val="3"/>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In 2019–20 100% of Director-General Performance Agreements demonstrate a visible commitment to domestic and family violence prevention as part of the broader work for safe, respectful and inclusive workplaces</w:t>
            </w:r>
          </w:p>
        </w:tc>
      </w:tr>
      <w:tr w:rsidR="00580A95" w:rsidRPr="001665AA" w:rsidTr="009A2D24">
        <w:trPr>
          <w:trHeight w:val="764"/>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All Queensland Government departments participate in a domestic and family violence workplace cultural change program</w:t>
            </w:r>
          </w:p>
        </w:tc>
        <w:tc>
          <w:tcPr>
            <w:tcW w:w="6641" w:type="dxa"/>
            <w:gridSpan w:val="3"/>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100% of Queensland Government departments remain White Ribbon accredited in 2019–20</w:t>
            </w:r>
          </w:p>
        </w:tc>
      </w:tr>
      <w:tr w:rsidR="001665AA" w:rsidRPr="001665AA" w:rsidTr="004F0D22">
        <w:trPr>
          <w:trHeight w:val="1316"/>
        </w:trPr>
        <w:tc>
          <w:tcPr>
            <w:tcW w:w="4131" w:type="dxa"/>
          </w:tcPr>
          <w:p w:rsidR="001665AA" w:rsidRPr="001665AA" w:rsidRDefault="001665AA" w:rsidP="008C6A01">
            <w:pPr>
              <w:spacing w:line="259" w:lineRule="auto"/>
              <w:rPr>
                <w:rFonts w:cstheme="minorHAnsi"/>
                <w:sz w:val="20"/>
                <w:szCs w:val="20"/>
                <w:lang w:val="en-GB"/>
              </w:rPr>
            </w:pPr>
            <w:r w:rsidRPr="001665AA">
              <w:rPr>
                <w:rFonts w:cstheme="minorHAnsi"/>
                <w:sz w:val="20"/>
                <w:szCs w:val="20"/>
                <w:lang w:val="en-GB"/>
              </w:rPr>
              <w:t>Workplaces engage in any domestic and family</w:t>
            </w:r>
          </w:p>
          <w:p w:rsidR="001665AA" w:rsidRPr="001665AA" w:rsidRDefault="001665AA" w:rsidP="008C6A01">
            <w:pPr>
              <w:spacing w:line="259" w:lineRule="auto"/>
              <w:rPr>
                <w:rFonts w:cstheme="minorHAnsi"/>
                <w:sz w:val="20"/>
                <w:szCs w:val="20"/>
                <w:lang w:val="en-GB"/>
              </w:rPr>
            </w:pPr>
            <w:r w:rsidRPr="001665AA">
              <w:rPr>
                <w:rFonts w:cstheme="minorHAnsi"/>
                <w:sz w:val="20"/>
                <w:szCs w:val="20"/>
                <w:lang w:val="en-GB"/>
              </w:rPr>
              <w:t>violence initiatives (i.e. employee support</w:t>
            </w:r>
          </w:p>
          <w:p w:rsidR="001665AA" w:rsidRPr="001665AA" w:rsidRDefault="001665AA" w:rsidP="008C6A01">
            <w:pPr>
              <w:spacing w:line="259" w:lineRule="auto"/>
              <w:rPr>
                <w:rFonts w:cstheme="minorHAnsi"/>
                <w:sz w:val="20"/>
                <w:szCs w:val="20"/>
                <w:lang w:val="en-GB"/>
              </w:rPr>
            </w:pPr>
            <w:r w:rsidRPr="001665AA">
              <w:rPr>
                <w:rFonts w:cstheme="minorHAnsi"/>
                <w:sz w:val="20"/>
                <w:szCs w:val="20"/>
                <w:lang w:val="en-GB"/>
              </w:rPr>
              <w:t>programs, leadership, awareness raising,</w:t>
            </w:r>
          </w:p>
          <w:p w:rsidR="001665AA" w:rsidRPr="001665AA" w:rsidRDefault="001665AA" w:rsidP="008C6A01">
            <w:pPr>
              <w:spacing w:line="259" w:lineRule="auto"/>
              <w:rPr>
                <w:rFonts w:cstheme="minorHAnsi"/>
                <w:sz w:val="20"/>
                <w:szCs w:val="20"/>
                <w:lang w:val="en-GB"/>
              </w:rPr>
            </w:pPr>
            <w:r w:rsidRPr="001665AA">
              <w:rPr>
                <w:rFonts w:cstheme="minorHAnsi"/>
                <w:sz w:val="20"/>
                <w:szCs w:val="20"/>
                <w:lang w:val="en-GB"/>
              </w:rPr>
              <w:t>fundraising, etc.)</w:t>
            </w:r>
          </w:p>
        </w:tc>
        <w:tc>
          <w:tcPr>
            <w:tcW w:w="6641" w:type="dxa"/>
            <w:gridSpan w:val="3"/>
          </w:tcPr>
          <w:p w:rsidR="001665AA" w:rsidRPr="001665AA" w:rsidRDefault="001665AA" w:rsidP="008C6A01">
            <w:pPr>
              <w:spacing w:line="259" w:lineRule="auto"/>
              <w:rPr>
                <w:rFonts w:cstheme="minorHAnsi"/>
                <w:sz w:val="20"/>
                <w:szCs w:val="20"/>
                <w:lang w:val="en-GB"/>
              </w:rPr>
            </w:pPr>
            <w:r w:rsidRPr="001665AA">
              <w:rPr>
                <w:rFonts w:cstheme="minorHAnsi"/>
                <w:sz w:val="20"/>
                <w:szCs w:val="20"/>
                <w:lang w:val="en-GB"/>
              </w:rPr>
              <w:t>43.4% of employed Queenslanders were in a workplace that had engaged in</w:t>
            </w:r>
          </w:p>
          <w:p w:rsidR="001665AA" w:rsidRPr="001665AA" w:rsidRDefault="001665AA" w:rsidP="008C6A01">
            <w:pPr>
              <w:spacing w:line="259" w:lineRule="auto"/>
              <w:rPr>
                <w:rFonts w:cstheme="minorHAnsi"/>
                <w:sz w:val="20"/>
                <w:szCs w:val="20"/>
                <w:lang w:val="en-GB"/>
              </w:rPr>
            </w:pPr>
            <w:r w:rsidRPr="001665AA">
              <w:rPr>
                <w:rFonts w:cstheme="minorHAnsi"/>
                <w:sz w:val="20"/>
                <w:szCs w:val="20"/>
                <w:lang w:val="en-GB"/>
              </w:rPr>
              <w:t>domestic and family violence initiatives in the last 12 months (compared to 40.4% in</w:t>
            </w:r>
            <w:r>
              <w:rPr>
                <w:rFonts w:cstheme="minorHAnsi"/>
                <w:sz w:val="20"/>
                <w:szCs w:val="20"/>
                <w:lang w:val="en-GB"/>
              </w:rPr>
              <w:t xml:space="preserve"> </w:t>
            </w:r>
            <w:r w:rsidRPr="001665AA">
              <w:rPr>
                <w:rFonts w:cstheme="minorHAnsi"/>
                <w:sz w:val="20"/>
                <w:szCs w:val="20"/>
                <w:lang w:val="en-GB"/>
              </w:rPr>
              <w:t>2019, 36.4% in 2018 and 33.7% in 2017)</w:t>
            </w:r>
          </w:p>
        </w:tc>
      </w:tr>
      <w:tr w:rsidR="00580A95" w:rsidRPr="001665AA" w:rsidTr="009A2D24">
        <w:trPr>
          <w:trHeight w:val="764"/>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 xml:space="preserve">Increased awareness among Queensland Government employees of domestic and family violence workplace support policy </w:t>
            </w:r>
            <w:r w:rsidRPr="001665AA">
              <w:rPr>
                <w:rFonts w:cstheme="minorHAnsi"/>
                <w:position w:val="4"/>
                <w:sz w:val="20"/>
                <w:szCs w:val="20"/>
                <w:lang w:val="en-GB"/>
              </w:rPr>
              <w:t>5</w:t>
            </w:r>
          </w:p>
        </w:tc>
        <w:tc>
          <w:tcPr>
            <w:tcW w:w="6641" w:type="dxa"/>
            <w:gridSpan w:val="3"/>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80% of public sector employees reported being aware of policies in their workplace designed to support employees affected by domestic and family violence (compared to 80% in 2018–19, 76% in 2017–18 and 69% in 2016–17)</w:t>
            </w:r>
          </w:p>
        </w:tc>
      </w:tr>
      <w:tr w:rsidR="00580A95" w:rsidRPr="001665AA" w:rsidTr="009A2D24">
        <w:trPr>
          <w:trHeight w:val="974"/>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 xml:space="preserve">Increased confidence among Queensland Government employees in responding appropriately to a colleague or employee affected by domestic and family violence </w:t>
            </w:r>
            <w:r w:rsidRPr="008C6A01">
              <w:rPr>
                <w:rFonts w:cstheme="minorHAnsi"/>
                <w:position w:val="4"/>
                <w:sz w:val="15"/>
                <w:szCs w:val="15"/>
                <w:lang w:val="en-GB"/>
              </w:rPr>
              <w:t>5</w:t>
            </w:r>
          </w:p>
        </w:tc>
        <w:tc>
          <w:tcPr>
            <w:tcW w:w="6641" w:type="dxa"/>
            <w:gridSpan w:val="3"/>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77% of public sector employees reported they were confident in their ability to respond appropriately to a colleague or employee affected by domestic and family violence (compared to 75% in 2018–19, 74% in 2017–18 and 70% in 2016–17)</w:t>
            </w:r>
          </w:p>
        </w:tc>
      </w:tr>
      <w:tr w:rsidR="00580A95" w:rsidRPr="001665AA" w:rsidTr="009A2D24">
        <w:trPr>
          <w:trHeight w:val="352"/>
        </w:trPr>
        <w:tc>
          <w:tcPr>
            <w:tcW w:w="10772" w:type="dxa"/>
            <w:gridSpan w:val="4"/>
          </w:tcPr>
          <w:p w:rsidR="00580A95" w:rsidRPr="001665AA" w:rsidRDefault="00580A95" w:rsidP="001665AA">
            <w:pPr>
              <w:pStyle w:val="Heading4"/>
              <w:rPr>
                <w:rFonts w:eastAsia="Times New Roman"/>
                <w:lang w:val="en-GB"/>
              </w:rPr>
            </w:pPr>
            <w:r w:rsidRPr="001665AA">
              <w:rPr>
                <w:rFonts w:eastAsia="Times New Roman"/>
                <w:lang w:val="en-GB"/>
              </w:rPr>
              <w:t>Victims and their families are safe and supported</w:t>
            </w:r>
          </w:p>
        </w:tc>
      </w:tr>
      <w:tr w:rsidR="00580A95" w:rsidRPr="001665AA" w:rsidTr="009A2D24">
        <w:trPr>
          <w:trHeight w:val="3415"/>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 xml:space="preserve">Number of people whose housing needs are met </w:t>
            </w:r>
            <w:r w:rsidRPr="008C6A01">
              <w:rPr>
                <w:rFonts w:cstheme="minorHAnsi"/>
                <w:position w:val="4"/>
                <w:sz w:val="15"/>
                <w:szCs w:val="15"/>
                <w:lang w:val="en-GB"/>
              </w:rPr>
              <w:t>6</w:t>
            </w:r>
          </w:p>
        </w:tc>
        <w:tc>
          <w:tcPr>
            <w:tcW w:w="6641" w:type="dxa"/>
            <w:gridSpan w:val="3"/>
          </w:tcPr>
          <w:p w:rsidR="00580A95" w:rsidRPr="001665AA" w:rsidRDefault="00580A95" w:rsidP="00CE48A7">
            <w:pPr>
              <w:pStyle w:val="ListParagraph"/>
              <w:numPr>
                <w:ilvl w:val="0"/>
                <w:numId w:val="8"/>
              </w:numPr>
              <w:spacing w:line="259" w:lineRule="auto"/>
              <w:ind w:left="434"/>
              <w:rPr>
                <w:rFonts w:cstheme="minorHAnsi"/>
                <w:sz w:val="20"/>
                <w:szCs w:val="20"/>
                <w:lang w:val="en-GB"/>
              </w:rPr>
            </w:pPr>
            <w:r w:rsidRPr="001665AA">
              <w:rPr>
                <w:rFonts w:cstheme="minorHAnsi"/>
                <w:sz w:val="20"/>
                <w:szCs w:val="20"/>
                <w:lang w:val="en-GB"/>
              </w:rPr>
              <w:t>6566 households experiencing domestic and family violence were provided with a Bond Loan/Rental Grant/RentConnect Advisory</w:t>
            </w:r>
            <w:r w:rsidRPr="001665AA">
              <w:rPr>
                <w:rFonts w:cstheme="minorHAnsi"/>
                <w:spacing w:val="-7"/>
                <w:sz w:val="20"/>
                <w:szCs w:val="20"/>
                <w:lang w:val="en-GB"/>
              </w:rPr>
              <w:t xml:space="preserve"> </w:t>
            </w:r>
            <w:r w:rsidRPr="001665AA">
              <w:rPr>
                <w:rFonts w:cstheme="minorHAnsi"/>
                <w:sz w:val="20"/>
                <w:szCs w:val="20"/>
                <w:lang w:val="en-GB"/>
              </w:rPr>
              <w:t>Service</w:t>
            </w:r>
          </w:p>
          <w:p w:rsidR="00580A95" w:rsidRPr="001665AA" w:rsidRDefault="00580A95" w:rsidP="00CE48A7">
            <w:pPr>
              <w:pStyle w:val="ListParagraph"/>
              <w:numPr>
                <w:ilvl w:val="0"/>
                <w:numId w:val="9"/>
              </w:numPr>
              <w:spacing w:line="259" w:lineRule="auto"/>
              <w:rPr>
                <w:rFonts w:cstheme="minorHAnsi"/>
                <w:sz w:val="20"/>
                <w:szCs w:val="20"/>
                <w:lang w:val="en-GB"/>
              </w:rPr>
            </w:pPr>
            <w:r w:rsidRPr="001665AA">
              <w:rPr>
                <w:rFonts w:cstheme="minorHAnsi"/>
                <w:sz w:val="20"/>
                <w:szCs w:val="20"/>
                <w:lang w:val="en-GB"/>
              </w:rPr>
              <w:t>16% of Bond Loan/Rental Grant/RentConnect Advisory Services were provided to households with one or more members who identified as Aboriginal and/or Torres Strait Islander</w:t>
            </w:r>
          </w:p>
          <w:p w:rsidR="00580A95" w:rsidRPr="001665AA" w:rsidRDefault="00580A95" w:rsidP="00CE48A7">
            <w:pPr>
              <w:pStyle w:val="ListParagraph"/>
              <w:numPr>
                <w:ilvl w:val="0"/>
                <w:numId w:val="10"/>
              </w:numPr>
              <w:spacing w:line="259" w:lineRule="auto"/>
              <w:ind w:left="434" w:hanging="283"/>
              <w:rPr>
                <w:rFonts w:cstheme="minorHAnsi"/>
                <w:sz w:val="20"/>
                <w:szCs w:val="20"/>
                <w:lang w:val="en-GB"/>
              </w:rPr>
            </w:pPr>
            <w:r w:rsidRPr="001665AA">
              <w:rPr>
                <w:rFonts w:cstheme="minorHAnsi"/>
                <w:sz w:val="20"/>
                <w:szCs w:val="20"/>
                <w:lang w:val="en-GB"/>
              </w:rPr>
              <w:t>283 households experiencing domestic and family violence had their social housing tenancies transferred to government managed social rental</w:t>
            </w:r>
            <w:r w:rsidRPr="001665AA">
              <w:rPr>
                <w:rFonts w:cstheme="minorHAnsi"/>
                <w:spacing w:val="12"/>
                <w:sz w:val="20"/>
                <w:szCs w:val="20"/>
                <w:lang w:val="en-GB"/>
              </w:rPr>
              <w:t xml:space="preserve"> </w:t>
            </w:r>
            <w:r w:rsidRPr="001665AA">
              <w:rPr>
                <w:rFonts w:cstheme="minorHAnsi"/>
                <w:sz w:val="20"/>
                <w:szCs w:val="20"/>
                <w:lang w:val="en-GB"/>
              </w:rPr>
              <w:t>housing</w:t>
            </w:r>
          </w:p>
          <w:p w:rsidR="00580A95" w:rsidRPr="001665AA" w:rsidRDefault="00580A95" w:rsidP="00CE48A7">
            <w:pPr>
              <w:pStyle w:val="ListParagraph"/>
              <w:numPr>
                <w:ilvl w:val="0"/>
                <w:numId w:val="10"/>
              </w:numPr>
              <w:spacing w:line="259" w:lineRule="auto"/>
              <w:ind w:left="434" w:hanging="283"/>
              <w:rPr>
                <w:rFonts w:cstheme="minorHAnsi"/>
                <w:sz w:val="20"/>
                <w:szCs w:val="20"/>
                <w:lang w:val="en-GB"/>
              </w:rPr>
            </w:pPr>
            <w:r w:rsidRPr="001665AA">
              <w:rPr>
                <w:rFonts w:cstheme="minorHAnsi"/>
                <w:sz w:val="20"/>
                <w:szCs w:val="20"/>
                <w:lang w:val="en-GB"/>
              </w:rPr>
              <w:t>1135 households experiencing domestic and family violence were allocated social rental</w:t>
            </w:r>
            <w:r w:rsidRPr="001665AA">
              <w:rPr>
                <w:rFonts w:cstheme="minorHAnsi"/>
                <w:spacing w:val="-2"/>
                <w:sz w:val="20"/>
                <w:szCs w:val="20"/>
                <w:lang w:val="en-GB"/>
              </w:rPr>
              <w:t xml:space="preserve"> </w:t>
            </w:r>
            <w:r w:rsidRPr="001665AA">
              <w:rPr>
                <w:rFonts w:cstheme="minorHAnsi"/>
                <w:sz w:val="20"/>
                <w:szCs w:val="20"/>
                <w:lang w:val="en-GB"/>
              </w:rPr>
              <w:t>housing</w:t>
            </w:r>
          </w:p>
          <w:p w:rsidR="00580A95" w:rsidRPr="001665AA" w:rsidRDefault="00580A95" w:rsidP="00CE48A7">
            <w:pPr>
              <w:pStyle w:val="ListParagraph"/>
              <w:numPr>
                <w:ilvl w:val="0"/>
                <w:numId w:val="11"/>
              </w:numPr>
              <w:spacing w:line="259" w:lineRule="auto"/>
              <w:rPr>
                <w:rFonts w:cstheme="minorHAnsi"/>
                <w:sz w:val="20"/>
                <w:szCs w:val="20"/>
                <w:lang w:val="en-GB"/>
              </w:rPr>
            </w:pPr>
            <w:r w:rsidRPr="001665AA">
              <w:rPr>
                <w:rFonts w:cstheme="minorHAnsi"/>
                <w:sz w:val="20"/>
                <w:szCs w:val="20"/>
                <w:lang w:val="en-GB"/>
              </w:rPr>
              <w:t>43% of these households had one or more members who identified as Aboriginal and/or Torres Strait Islander</w:t>
            </w:r>
          </w:p>
          <w:p w:rsidR="00580A95" w:rsidRPr="001665AA" w:rsidRDefault="00580A95" w:rsidP="00CE48A7">
            <w:pPr>
              <w:pStyle w:val="ListParagraph"/>
              <w:numPr>
                <w:ilvl w:val="0"/>
                <w:numId w:val="10"/>
              </w:numPr>
              <w:spacing w:line="259" w:lineRule="auto"/>
              <w:ind w:left="434" w:hanging="283"/>
              <w:rPr>
                <w:rFonts w:cstheme="minorHAnsi"/>
                <w:sz w:val="20"/>
                <w:szCs w:val="20"/>
                <w:lang w:val="en-GB"/>
              </w:rPr>
            </w:pPr>
            <w:r w:rsidRPr="001665AA">
              <w:rPr>
                <w:rFonts w:cstheme="minorHAnsi"/>
                <w:sz w:val="20"/>
                <w:szCs w:val="20"/>
                <w:lang w:val="en-GB"/>
              </w:rPr>
              <w:t>7650 specialist homelessness services clients experiencing domestic and family violence exited those services to sustainable</w:t>
            </w:r>
            <w:r w:rsidRPr="001665AA">
              <w:rPr>
                <w:rFonts w:cstheme="minorHAnsi"/>
                <w:spacing w:val="-10"/>
                <w:sz w:val="20"/>
                <w:szCs w:val="20"/>
                <w:lang w:val="en-GB"/>
              </w:rPr>
              <w:t xml:space="preserve"> </w:t>
            </w:r>
            <w:r w:rsidRPr="001665AA">
              <w:rPr>
                <w:rFonts w:cstheme="minorHAnsi"/>
                <w:sz w:val="20"/>
                <w:szCs w:val="20"/>
                <w:lang w:val="en-GB"/>
              </w:rPr>
              <w:t>housing</w:t>
            </w:r>
          </w:p>
          <w:p w:rsidR="00580A95" w:rsidRPr="001665AA" w:rsidRDefault="00580A95" w:rsidP="00CE48A7">
            <w:pPr>
              <w:pStyle w:val="ListParagraph"/>
              <w:numPr>
                <w:ilvl w:val="0"/>
                <w:numId w:val="11"/>
              </w:numPr>
              <w:spacing w:line="259" w:lineRule="auto"/>
              <w:rPr>
                <w:rFonts w:cstheme="minorHAnsi"/>
                <w:sz w:val="20"/>
                <w:szCs w:val="20"/>
                <w:lang w:val="en-GB"/>
              </w:rPr>
            </w:pPr>
            <w:r w:rsidRPr="001665AA">
              <w:rPr>
                <w:rFonts w:cstheme="minorHAnsi"/>
                <w:sz w:val="20"/>
                <w:szCs w:val="20"/>
                <w:lang w:val="en-GB"/>
              </w:rPr>
              <w:t>37% of these clients identified as Aboriginal and/or Torres Strait Islander</w:t>
            </w:r>
          </w:p>
        </w:tc>
      </w:tr>
      <w:tr w:rsidR="00580A95" w:rsidRPr="001665AA" w:rsidTr="008C6A01">
        <w:trPr>
          <w:trHeight w:val="971"/>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Increased number of victims supported to access training programs and job opportunities</w:t>
            </w:r>
          </w:p>
        </w:tc>
        <w:tc>
          <w:tcPr>
            <w:tcW w:w="6641" w:type="dxa"/>
            <w:gridSpan w:val="3"/>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Government and community organisations are increasingly working together to support victim/survivors of domestic and family violence to gain skills and regain their independence, for example:</w:t>
            </w:r>
          </w:p>
          <w:p w:rsidR="00580A95" w:rsidRPr="00B96FA1" w:rsidRDefault="00580A95" w:rsidP="00CE48A7">
            <w:pPr>
              <w:pStyle w:val="ListParagraph"/>
              <w:numPr>
                <w:ilvl w:val="0"/>
                <w:numId w:val="12"/>
              </w:numPr>
              <w:spacing w:line="259" w:lineRule="auto"/>
              <w:ind w:left="434"/>
              <w:rPr>
                <w:rFonts w:cstheme="minorHAnsi"/>
                <w:sz w:val="20"/>
                <w:szCs w:val="20"/>
                <w:lang w:val="en-GB"/>
              </w:rPr>
            </w:pPr>
            <w:r w:rsidRPr="00B96FA1">
              <w:rPr>
                <w:rFonts w:cstheme="minorHAnsi"/>
                <w:sz w:val="20"/>
                <w:szCs w:val="20"/>
                <w:lang w:val="en-GB"/>
              </w:rPr>
              <w:t>Active Opportunities Inc. delivered a government-funded Community Work Skills project to assist 48 people with disability, 12 of whom gained</w:t>
            </w:r>
            <w:r w:rsidRPr="00B96FA1">
              <w:rPr>
                <w:rFonts w:cstheme="minorHAnsi"/>
                <w:spacing w:val="-6"/>
                <w:sz w:val="20"/>
                <w:szCs w:val="20"/>
                <w:lang w:val="en-GB"/>
              </w:rPr>
              <w:t xml:space="preserve"> </w:t>
            </w:r>
            <w:r w:rsidRPr="00B96FA1">
              <w:rPr>
                <w:rFonts w:cstheme="minorHAnsi"/>
                <w:sz w:val="20"/>
                <w:szCs w:val="20"/>
                <w:lang w:val="en-GB"/>
              </w:rPr>
              <w:t>employment</w:t>
            </w:r>
          </w:p>
          <w:p w:rsidR="00580A95" w:rsidRPr="00B96FA1" w:rsidRDefault="00580A95" w:rsidP="00CE48A7">
            <w:pPr>
              <w:pStyle w:val="ListParagraph"/>
              <w:numPr>
                <w:ilvl w:val="0"/>
                <w:numId w:val="12"/>
              </w:numPr>
              <w:spacing w:line="259" w:lineRule="auto"/>
              <w:ind w:left="434"/>
              <w:rPr>
                <w:rFonts w:cstheme="minorHAnsi"/>
                <w:sz w:val="20"/>
                <w:szCs w:val="20"/>
                <w:lang w:val="en-GB"/>
              </w:rPr>
            </w:pPr>
            <w:r w:rsidRPr="00B96FA1">
              <w:rPr>
                <w:rFonts w:cstheme="minorHAnsi"/>
                <w:sz w:val="20"/>
                <w:szCs w:val="20"/>
                <w:lang w:val="en-GB"/>
              </w:rPr>
              <w:t>Cowboys Rugby League Football Club delivered a government-funded Community Work Skills project that assisted 60 disadvantaged job seekers to gain skills and experience to gain employment, 29 of whom gained</w:t>
            </w:r>
            <w:r w:rsidRPr="00B96FA1">
              <w:rPr>
                <w:rFonts w:cstheme="minorHAnsi"/>
                <w:spacing w:val="-10"/>
                <w:sz w:val="20"/>
                <w:szCs w:val="20"/>
                <w:lang w:val="en-GB"/>
              </w:rPr>
              <w:t xml:space="preserve"> </w:t>
            </w:r>
            <w:r w:rsidRPr="00B96FA1">
              <w:rPr>
                <w:rFonts w:cstheme="minorHAnsi"/>
                <w:sz w:val="20"/>
                <w:szCs w:val="20"/>
                <w:lang w:val="en-GB"/>
              </w:rPr>
              <w:t>employment</w:t>
            </w:r>
          </w:p>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lastRenderedPageBreak/>
              <w:t>Some of the people supported in these projects were identified as having experienced domestic and family violence in their lives which contributed to trauma and social disadvantage</w:t>
            </w:r>
          </w:p>
        </w:tc>
      </w:tr>
      <w:tr w:rsidR="00580A95" w:rsidRPr="001665AA" w:rsidTr="009A2D24">
        <w:trPr>
          <w:trHeight w:val="764"/>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lastRenderedPageBreak/>
              <w:t>Number of multiagency safety plans closed after actions finalised across</w:t>
            </w:r>
          </w:p>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High Risk Team sites</w:t>
            </w:r>
          </w:p>
        </w:tc>
        <w:tc>
          <w:tcPr>
            <w:tcW w:w="6641" w:type="dxa"/>
            <w:gridSpan w:val="3"/>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1327 people in 2019–20 had their needs met by collaborative response teams from different agencies and providers working together (compared with 1094 in 2018–19 and 555 in 2017–18)</w:t>
            </w:r>
          </w:p>
        </w:tc>
      </w:tr>
      <w:tr w:rsidR="00580A95" w:rsidRPr="001665AA" w:rsidTr="009A2D24">
        <w:trPr>
          <w:trHeight w:val="554"/>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Number of referrals accepted across High Risk Team sites</w:t>
            </w:r>
          </w:p>
        </w:tc>
        <w:tc>
          <w:tcPr>
            <w:tcW w:w="6641" w:type="dxa"/>
            <w:gridSpan w:val="3"/>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1457 referrals in 2019–20</w:t>
            </w:r>
          </w:p>
        </w:tc>
      </w:tr>
      <w:tr w:rsidR="00580A95" w:rsidRPr="001665AA" w:rsidTr="009A2D24">
        <w:trPr>
          <w:trHeight w:val="1031"/>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Calls for domestic and family violence support/ advice/help to women’s and men’s lines</w:t>
            </w:r>
          </w:p>
        </w:tc>
        <w:tc>
          <w:tcPr>
            <w:tcW w:w="6641" w:type="dxa"/>
            <w:gridSpan w:val="3"/>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128,829 calls in 2019–20 (compared with 84,221 calls in 2018–19, 93,411 in</w:t>
            </w:r>
          </w:p>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2017–18 and 108,542 calls in 2015–16)</w:t>
            </w:r>
          </w:p>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24,382 first-time callers receiving support (compared with 29,923 in 2018–19, 29,459 in 2017–18 and 23,699 in 2016–17)</w:t>
            </w:r>
          </w:p>
        </w:tc>
      </w:tr>
      <w:tr w:rsidR="00580A95" w:rsidRPr="001665AA" w:rsidTr="009A2D24">
        <w:trPr>
          <w:trHeight w:val="764"/>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Number of people experiencing domestic and family violence with cases closed/finalised as a result of the majority of identified needs being met</w:t>
            </w:r>
          </w:p>
        </w:tc>
        <w:tc>
          <w:tcPr>
            <w:tcW w:w="6641" w:type="dxa"/>
            <w:gridSpan w:val="3"/>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24,442 people with cases closed/finalised in 2019–20</w:t>
            </w:r>
          </w:p>
        </w:tc>
      </w:tr>
      <w:tr w:rsidR="00580A95" w:rsidRPr="001665AA" w:rsidTr="009A2D24">
        <w:trPr>
          <w:trHeight w:val="974"/>
        </w:trPr>
        <w:tc>
          <w:tcPr>
            <w:tcW w:w="4131" w:type="dxa"/>
          </w:tcPr>
          <w:p w:rsidR="00580A95" w:rsidRPr="001665AA" w:rsidRDefault="00580A95" w:rsidP="008C6A01">
            <w:pPr>
              <w:spacing w:line="259" w:lineRule="auto"/>
              <w:rPr>
                <w:rFonts w:cstheme="minorHAnsi"/>
                <w:sz w:val="20"/>
                <w:szCs w:val="20"/>
                <w:lang w:val="en-GB"/>
              </w:rPr>
            </w:pPr>
            <w:r w:rsidRPr="001665AA">
              <w:rPr>
                <w:rFonts w:cstheme="minorHAnsi"/>
                <w:sz w:val="20"/>
                <w:szCs w:val="20"/>
                <w:lang w:val="en-GB"/>
              </w:rPr>
              <w:t>Total number of referral reports on occurrences with a domestic and family violence offence for at- risk individuals to support services</w:t>
            </w:r>
          </w:p>
        </w:tc>
        <w:tc>
          <w:tcPr>
            <w:tcW w:w="6641" w:type="dxa"/>
            <w:gridSpan w:val="3"/>
          </w:tcPr>
          <w:p w:rsidR="00DA1273" w:rsidRPr="001665AA" w:rsidRDefault="00580A95" w:rsidP="008C6A01">
            <w:pPr>
              <w:spacing w:line="259" w:lineRule="auto"/>
              <w:rPr>
                <w:rFonts w:cstheme="minorHAnsi"/>
                <w:sz w:val="20"/>
                <w:szCs w:val="20"/>
                <w:lang w:val="en-GB"/>
              </w:rPr>
            </w:pPr>
            <w:r w:rsidRPr="001665AA">
              <w:rPr>
                <w:rFonts w:cstheme="minorHAnsi"/>
                <w:sz w:val="20"/>
                <w:szCs w:val="20"/>
                <w:lang w:val="en-GB"/>
              </w:rPr>
              <w:t xml:space="preserve">In 2019–20 there were 83,218 referral </w:t>
            </w:r>
            <w:r w:rsidRPr="001665AA">
              <w:rPr>
                <w:rFonts w:cstheme="minorHAnsi"/>
                <w:spacing w:val="2"/>
                <w:sz w:val="20"/>
                <w:szCs w:val="20"/>
                <w:lang w:val="en-GB"/>
              </w:rPr>
              <w:t xml:space="preserve">reports </w:t>
            </w:r>
            <w:r w:rsidRPr="001665AA">
              <w:rPr>
                <w:rFonts w:cstheme="minorHAnsi"/>
                <w:sz w:val="20"/>
                <w:szCs w:val="20"/>
                <w:lang w:val="en-GB"/>
              </w:rPr>
              <w:t>submitted for at-risk individuals  to support services such as domestic and family violence (support for aggrieved and respondents), parenting, victims assist, aged support, homelessness and mental</w:t>
            </w:r>
            <w:r w:rsidRPr="001665AA">
              <w:rPr>
                <w:rFonts w:cstheme="minorHAnsi"/>
                <w:spacing w:val="-2"/>
                <w:sz w:val="20"/>
                <w:szCs w:val="20"/>
                <w:lang w:val="en-GB"/>
              </w:rPr>
              <w:t xml:space="preserve"> </w:t>
            </w:r>
            <w:r w:rsidRPr="001665AA">
              <w:rPr>
                <w:rFonts w:cstheme="minorHAnsi"/>
                <w:sz w:val="20"/>
                <w:szCs w:val="20"/>
                <w:lang w:val="en-GB"/>
              </w:rPr>
              <w:t>health</w:t>
            </w:r>
          </w:p>
        </w:tc>
      </w:tr>
      <w:tr w:rsidR="00DA1273" w:rsidRPr="00DA1273" w:rsidTr="00DA1273">
        <w:tblPrEx>
          <w:tblLook w:val="04A0" w:firstRow="1" w:lastRow="0" w:firstColumn="1" w:lastColumn="0" w:noHBand="0" w:noVBand="1"/>
        </w:tblPrEx>
        <w:trPr>
          <w:gridAfter w:val="1"/>
          <w:wAfter w:w="42" w:type="dxa"/>
          <w:trHeight w:val="764"/>
        </w:trPr>
        <w:tc>
          <w:tcPr>
            <w:tcW w:w="4131" w:type="dxa"/>
          </w:tcPr>
          <w:p w:rsidR="00DA1273" w:rsidRPr="00DA1273" w:rsidRDefault="00DA1273" w:rsidP="008C6A01">
            <w:pPr>
              <w:spacing w:line="259" w:lineRule="auto"/>
              <w:rPr>
                <w:sz w:val="20"/>
                <w:szCs w:val="20"/>
                <w:lang w:val="en-GB"/>
              </w:rPr>
            </w:pPr>
            <w:r w:rsidRPr="00DA1273">
              <w:rPr>
                <w:sz w:val="20"/>
                <w:szCs w:val="20"/>
                <w:lang w:val="en-GB"/>
              </w:rPr>
              <w:t>Number of children exposed to domestic and family violence with cases closed/finalised as a result of the majority of identified needs being met</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1961 children experiencing or at risk of experiencing domestic and family violence with cases closed/finalised in 2019–20</w:t>
            </w:r>
          </w:p>
        </w:tc>
      </w:tr>
      <w:tr w:rsidR="00DA1273" w:rsidRPr="00DA1273" w:rsidTr="00DA1273">
        <w:tblPrEx>
          <w:tblLook w:val="04A0" w:firstRow="1" w:lastRow="0" w:firstColumn="1" w:lastColumn="0" w:noHBand="0" w:noVBand="1"/>
        </w:tblPrEx>
        <w:trPr>
          <w:gridAfter w:val="1"/>
          <w:wAfter w:w="42" w:type="dxa"/>
          <w:trHeight w:val="821"/>
        </w:trPr>
        <w:tc>
          <w:tcPr>
            <w:tcW w:w="4131" w:type="dxa"/>
          </w:tcPr>
          <w:p w:rsidR="00DA1273" w:rsidRPr="00DA1273" w:rsidRDefault="00DA1273" w:rsidP="008C6A01">
            <w:pPr>
              <w:spacing w:line="259" w:lineRule="auto"/>
              <w:rPr>
                <w:sz w:val="20"/>
                <w:szCs w:val="20"/>
                <w:lang w:val="en-GB"/>
              </w:rPr>
            </w:pPr>
            <w:r w:rsidRPr="00DA1273">
              <w:rPr>
                <w:sz w:val="20"/>
                <w:szCs w:val="20"/>
                <w:lang w:val="en-GB"/>
              </w:rPr>
              <w:t>Number of people supported to access crisis accommodation</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7245 clients assisted by specialist homelessness services funded to target women and children escaping domestic and family violence</w:t>
            </w:r>
          </w:p>
          <w:p w:rsidR="00DA1273" w:rsidRPr="00422032" w:rsidRDefault="00DA1273" w:rsidP="00CE48A7">
            <w:pPr>
              <w:pStyle w:val="ListParagraph"/>
              <w:numPr>
                <w:ilvl w:val="0"/>
                <w:numId w:val="13"/>
              </w:numPr>
              <w:spacing w:line="259" w:lineRule="auto"/>
              <w:ind w:left="434" w:hanging="425"/>
              <w:rPr>
                <w:sz w:val="20"/>
                <w:szCs w:val="20"/>
                <w:lang w:val="en-GB"/>
              </w:rPr>
            </w:pPr>
            <w:r w:rsidRPr="00422032">
              <w:rPr>
                <w:sz w:val="20"/>
                <w:szCs w:val="20"/>
                <w:lang w:val="en-GB"/>
              </w:rPr>
              <w:t xml:space="preserve">43% of these clients identified as Aboriginal </w:t>
            </w:r>
            <w:r w:rsidRPr="00422032">
              <w:rPr>
                <w:spacing w:val="-2"/>
                <w:sz w:val="20"/>
                <w:szCs w:val="20"/>
                <w:lang w:val="en-GB"/>
              </w:rPr>
              <w:t xml:space="preserve">and/or </w:t>
            </w:r>
            <w:r w:rsidRPr="00422032">
              <w:rPr>
                <w:sz w:val="20"/>
                <w:szCs w:val="20"/>
                <w:lang w:val="en-GB"/>
              </w:rPr>
              <w:t>Torres Strait</w:t>
            </w:r>
            <w:r w:rsidRPr="00422032">
              <w:rPr>
                <w:spacing w:val="-10"/>
                <w:sz w:val="20"/>
                <w:szCs w:val="20"/>
                <w:lang w:val="en-GB"/>
              </w:rPr>
              <w:t xml:space="preserve"> </w:t>
            </w:r>
            <w:r w:rsidRPr="00422032">
              <w:rPr>
                <w:sz w:val="20"/>
                <w:szCs w:val="20"/>
                <w:lang w:val="en-GB"/>
              </w:rPr>
              <w:t>Islander</w:t>
            </w:r>
          </w:p>
        </w:tc>
      </w:tr>
      <w:tr w:rsidR="00DA1273" w:rsidRPr="00DA1273" w:rsidTr="00DA1273">
        <w:tblPrEx>
          <w:tblLook w:val="04A0" w:firstRow="1" w:lastRow="0" w:firstColumn="1" w:lastColumn="0" w:noHBand="0" w:noVBand="1"/>
        </w:tblPrEx>
        <w:trPr>
          <w:gridAfter w:val="1"/>
          <w:wAfter w:w="42" w:type="dxa"/>
          <w:trHeight w:val="554"/>
        </w:trPr>
        <w:tc>
          <w:tcPr>
            <w:tcW w:w="4131" w:type="dxa"/>
          </w:tcPr>
          <w:p w:rsidR="00DA1273" w:rsidRPr="00DA1273" w:rsidRDefault="00DA1273" w:rsidP="008C6A01">
            <w:pPr>
              <w:spacing w:line="259" w:lineRule="auto"/>
              <w:rPr>
                <w:sz w:val="20"/>
                <w:szCs w:val="20"/>
                <w:lang w:val="en-GB"/>
              </w:rPr>
            </w:pPr>
            <w:r w:rsidRPr="00DA1273">
              <w:rPr>
                <w:sz w:val="20"/>
                <w:szCs w:val="20"/>
                <w:lang w:val="en-GB"/>
              </w:rPr>
              <w:t>Victims are supported to access crisis accommodation in a timely way</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89.21% of referrals for government-funded crisis accommodation completed within 48 hours</w:t>
            </w:r>
          </w:p>
        </w:tc>
      </w:tr>
      <w:tr w:rsidR="00DA1273" w:rsidRPr="00DA1273" w:rsidTr="00DA1273">
        <w:tblPrEx>
          <w:tblLook w:val="04A0" w:firstRow="1" w:lastRow="0" w:firstColumn="1" w:lastColumn="0" w:noHBand="0" w:noVBand="1"/>
        </w:tblPrEx>
        <w:trPr>
          <w:gridAfter w:val="1"/>
          <w:wAfter w:w="42" w:type="dxa"/>
          <w:trHeight w:val="1031"/>
        </w:trPr>
        <w:tc>
          <w:tcPr>
            <w:tcW w:w="4131" w:type="dxa"/>
          </w:tcPr>
          <w:p w:rsidR="00DA1273" w:rsidRPr="00DA1273" w:rsidRDefault="00DA1273" w:rsidP="008C6A01">
            <w:pPr>
              <w:spacing w:line="259" w:lineRule="auto"/>
              <w:rPr>
                <w:sz w:val="20"/>
                <w:szCs w:val="20"/>
                <w:lang w:val="en-GB"/>
              </w:rPr>
            </w:pPr>
            <w:r w:rsidRPr="00DA1273">
              <w:rPr>
                <w:sz w:val="20"/>
                <w:szCs w:val="20"/>
                <w:lang w:val="en-GB"/>
              </w:rPr>
              <w:t>Increased number of victims and perpetrators receiving advice from specialist domestic and family violence duty lawyers</w:t>
            </w:r>
          </w:p>
        </w:tc>
        <w:tc>
          <w:tcPr>
            <w:tcW w:w="6599" w:type="dxa"/>
            <w:gridSpan w:val="2"/>
          </w:tcPr>
          <w:p w:rsidR="00DA1273" w:rsidRPr="00422032" w:rsidRDefault="00DA1273" w:rsidP="00CE48A7">
            <w:pPr>
              <w:pStyle w:val="ListParagraph"/>
              <w:numPr>
                <w:ilvl w:val="0"/>
                <w:numId w:val="13"/>
              </w:numPr>
              <w:spacing w:line="259" w:lineRule="auto"/>
              <w:ind w:left="434"/>
              <w:rPr>
                <w:sz w:val="20"/>
                <w:szCs w:val="20"/>
                <w:lang w:val="en-GB"/>
              </w:rPr>
            </w:pPr>
            <w:r w:rsidRPr="00422032">
              <w:rPr>
                <w:sz w:val="20"/>
                <w:szCs w:val="20"/>
                <w:lang w:val="en-GB"/>
              </w:rPr>
              <w:t>In 2019–20 10,311 aggrieved persons received advice from a domestic and family violence duty lawyer (compared with 11,296 in 2018–19, 8790 in</w:t>
            </w:r>
            <w:r w:rsidRPr="00422032">
              <w:rPr>
                <w:spacing w:val="-10"/>
                <w:sz w:val="20"/>
                <w:szCs w:val="20"/>
                <w:lang w:val="en-GB"/>
              </w:rPr>
              <w:t xml:space="preserve"> </w:t>
            </w:r>
            <w:r w:rsidRPr="00422032">
              <w:rPr>
                <w:sz w:val="20"/>
                <w:szCs w:val="20"/>
                <w:lang w:val="en-GB"/>
              </w:rPr>
              <w:t>2017–18)</w:t>
            </w:r>
          </w:p>
          <w:p w:rsidR="00DA1273" w:rsidRPr="00422032" w:rsidRDefault="00DA1273" w:rsidP="00CE48A7">
            <w:pPr>
              <w:pStyle w:val="ListParagraph"/>
              <w:numPr>
                <w:ilvl w:val="0"/>
                <w:numId w:val="13"/>
              </w:numPr>
              <w:spacing w:line="259" w:lineRule="auto"/>
              <w:ind w:left="434"/>
              <w:rPr>
                <w:sz w:val="20"/>
                <w:szCs w:val="20"/>
                <w:lang w:val="en-GB"/>
              </w:rPr>
            </w:pPr>
            <w:r w:rsidRPr="00422032">
              <w:rPr>
                <w:sz w:val="20"/>
                <w:szCs w:val="20"/>
                <w:lang w:val="en-GB"/>
              </w:rPr>
              <w:t>In 2019–20 11,499 respondent persons received advice from a domestic and family violence duty lawyer (compared with 12,756 in 2018–19, 11,047 in</w:t>
            </w:r>
            <w:r w:rsidRPr="00422032">
              <w:rPr>
                <w:spacing w:val="-2"/>
                <w:sz w:val="20"/>
                <w:szCs w:val="20"/>
                <w:lang w:val="en-GB"/>
              </w:rPr>
              <w:t xml:space="preserve"> </w:t>
            </w:r>
            <w:r w:rsidRPr="00422032">
              <w:rPr>
                <w:sz w:val="20"/>
                <w:szCs w:val="20"/>
                <w:lang w:val="en-GB"/>
              </w:rPr>
              <w:t>2017–18)</w:t>
            </w:r>
          </w:p>
        </w:tc>
      </w:tr>
      <w:tr w:rsidR="00DA1273" w:rsidRPr="00DA1273" w:rsidTr="00DA1273">
        <w:tblPrEx>
          <w:tblLook w:val="04A0" w:firstRow="1" w:lastRow="0" w:firstColumn="1" w:lastColumn="0" w:noHBand="0" w:noVBand="1"/>
        </w:tblPrEx>
        <w:trPr>
          <w:gridAfter w:val="1"/>
          <w:wAfter w:w="42" w:type="dxa"/>
          <w:trHeight w:val="764"/>
        </w:trPr>
        <w:tc>
          <w:tcPr>
            <w:tcW w:w="4131" w:type="dxa"/>
          </w:tcPr>
          <w:p w:rsidR="00DA1273" w:rsidRPr="00DA1273" w:rsidRDefault="00DA1273" w:rsidP="008C6A01">
            <w:pPr>
              <w:spacing w:line="259" w:lineRule="auto"/>
              <w:rPr>
                <w:sz w:val="20"/>
                <w:szCs w:val="20"/>
                <w:lang w:val="en-GB"/>
              </w:rPr>
            </w:pPr>
            <w:r w:rsidRPr="00DA1273">
              <w:rPr>
                <w:sz w:val="20"/>
                <w:szCs w:val="20"/>
                <w:lang w:val="en-GB"/>
              </w:rPr>
              <w:t>Number of domestic violence counselling clients who have been provided with brokerage for safety upgrades to the homes of victims</w:t>
            </w:r>
          </w:p>
        </w:tc>
        <w:tc>
          <w:tcPr>
            <w:tcW w:w="6599" w:type="dxa"/>
            <w:gridSpan w:val="2"/>
          </w:tcPr>
          <w:p w:rsidR="00DA1273" w:rsidRPr="00422032" w:rsidRDefault="00DA1273" w:rsidP="00CE48A7">
            <w:pPr>
              <w:pStyle w:val="ListParagraph"/>
              <w:numPr>
                <w:ilvl w:val="0"/>
                <w:numId w:val="14"/>
              </w:numPr>
              <w:spacing w:line="259" w:lineRule="auto"/>
              <w:ind w:left="434" w:hanging="425"/>
              <w:rPr>
                <w:sz w:val="20"/>
                <w:szCs w:val="20"/>
                <w:lang w:val="en-GB"/>
              </w:rPr>
            </w:pPr>
            <w:r w:rsidRPr="00422032">
              <w:rPr>
                <w:sz w:val="20"/>
                <w:szCs w:val="20"/>
                <w:lang w:val="en-GB"/>
              </w:rPr>
              <w:t>1602</w:t>
            </w:r>
            <w:r w:rsidRPr="00422032">
              <w:rPr>
                <w:spacing w:val="-12"/>
                <w:sz w:val="20"/>
                <w:szCs w:val="20"/>
                <w:lang w:val="en-GB"/>
              </w:rPr>
              <w:t xml:space="preserve"> </w:t>
            </w:r>
            <w:r w:rsidRPr="00422032">
              <w:rPr>
                <w:sz w:val="20"/>
                <w:szCs w:val="20"/>
                <w:lang w:val="en-GB"/>
              </w:rPr>
              <w:t>people</w:t>
            </w:r>
            <w:r w:rsidRPr="00422032">
              <w:rPr>
                <w:spacing w:val="-11"/>
                <w:sz w:val="20"/>
                <w:szCs w:val="20"/>
                <w:lang w:val="en-GB"/>
              </w:rPr>
              <w:t xml:space="preserve"> </w:t>
            </w:r>
            <w:r w:rsidRPr="00422032">
              <w:rPr>
                <w:sz w:val="20"/>
                <w:szCs w:val="20"/>
                <w:lang w:val="en-GB"/>
              </w:rPr>
              <w:t>experiencing</w:t>
            </w:r>
            <w:r w:rsidRPr="00422032">
              <w:rPr>
                <w:spacing w:val="-11"/>
                <w:sz w:val="20"/>
                <w:szCs w:val="20"/>
                <w:lang w:val="en-GB"/>
              </w:rPr>
              <w:t xml:space="preserve"> </w:t>
            </w:r>
            <w:r w:rsidRPr="00422032">
              <w:rPr>
                <w:sz w:val="20"/>
                <w:szCs w:val="20"/>
                <w:lang w:val="en-GB"/>
              </w:rPr>
              <w:t>domestic</w:t>
            </w:r>
            <w:r w:rsidRPr="00422032">
              <w:rPr>
                <w:spacing w:val="-11"/>
                <w:sz w:val="20"/>
                <w:szCs w:val="20"/>
                <w:lang w:val="en-GB"/>
              </w:rPr>
              <w:t xml:space="preserve"> </w:t>
            </w:r>
            <w:r w:rsidRPr="00422032">
              <w:rPr>
                <w:sz w:val="20"/>
                <w:szCs w:val="20"/>
                <w:lang w:val="en-GB"/>
              </w:rPr>
              <w:t>and</w:t>
            </w:r>
            <w:r w:rsidRPr="00422032">
              <w:rPr>
                <w:spacing w:val="-11"/>
                <w:sz w:val="20"/>
                <w:szCs w:val="20"/>
                <w:lang w:val="en-GB"/>
              </w:rPr>
              <w:t xml:space="preserve"> </w:t>
            </w:r>
            <w:r w:rsidRPr="00422032">
              <w:rPr>
                <w:sz w:val="20"/>
                <w:szCs w:val="20"/>
                <w:lang w:val="en-GB"/>
              </w:rPr>
              <w:t>family</w:t>
            </w:r>
            <w:r w:rsidRPr="00422032">
              <w:rPr>
                <w:spacing w:val="-12"/>
                <w:sz w:val="20"/>
                <w:szCs w:val="20"/>
                <w:lang w:val="en-GB"/>
              </w:rPr>
              <w:t xml:space="preserve"> </w:t>
            </w:r>
            <w:r w:rsidRPr="00422032">
              <w:rPr>
                <w:sz w:val="20"/>
                <w:szCs w:val="20"/>
                <w:lang w:val="en-GB"/>
              </w:rPr>
              <w:t>violence</w:t>
            </w:r>
            <w:r w:rsidRPr="00422032">
              <w:rPr>
                <w:spacing w:val="-11"/>
                <w:sz w:val="20"/>
                <w:szCs w:val="20"/>
                <w:lang w:val="en-GB"/>
              </w:rPr>
              <w:t xml:space="preserve"> </w:t>
            </w:r>
            <w:r w:rsidRPr="00422032">
              <w:rPr>
                <w:sz w:val="20"/>
                <w:szCs w:val="20"/>
                <w:lang w:val="en-GB"/>
              </w:rPr>
              <w:t>were</w:t>
            </w:r>
            <w:r w:rsidRPr="00422032">
              <w:rPr>
                <w:spacing w:val="-11"/>
                <w:sz w:val="20"/>
                <w:szCs w:val="20"/>
                <w:lang w:val="en-GB"/>
              </w:rPr>
              <w:t xml:space="preserve"> </w:t>
            </w:r>
            <w:r w:rsidRPr="00422032">
              <w:rPr>
                <w:sz w:val="20"/>
                <w:szCs w:val="20"/>
                <w:lang w:val="en-GB"/>
              </w:rPr>
              <w:t>provided</w:t>
            </w:r>
            <w:r w:rsidRPr="00422032">
              <w:rPr>
                <w:spacing w:val="-11"/>
                <w:sz w:val="20"/>
                <w:szCs w:val="20"/>
                <w:lang w:val="en-GB"/>
              </w:rPr>
              <w:t xml:space="preserve"> </w:t>
            </w:r>
            <w:r w:rsidRPr="00422032">
              <w:rPr>
                <w:sz w:val="20"/>
                <w:szCs w:val="20"/>
                <w:lang w:val="en-GB"/>
              </w:rPr>
              <w:t>with brokerage</w:t>
            </w:r>
            <w:r w:rsidRPr="00422032">
              <w:rPr>
                <w:spacing w:val="-7"/>
                <w:sz w:val="20"/>
                <w:szCs w:val="20"/>
                <w:lang w:val="en-GB"/>
              </w:rPr>
              <w:t xml:space="preserve"> </w:t>
            </w:r>
            <w:r w:rsidRPr="00422032">
              <w:rPr>
                <w:sz w:val="20"/>
                <w:szCs w:val="20"/>
                <w:lang w:val="en-GB"/>
              </w:rPr>
              <w:t>for</w:t>
            </w:r>
            <w:r w:rsidRPr="00422032">
              <w:rPr>
                <w:spacing w:val="-6"/>
                <w:sz w:val="20"/>
                <w:szCs w:val="20"/>
                <w:lang w:val="en-GB"/>
              </w:rPr>
              <w:t xml:space="preserve"> </w:t>
            </w:r>
            <w:r w:rsidRPr="00422032">
              <w:rPr>
                <w:sz w:val="20"/>
                <w:szCs w:val="20"/>
                <w:lang w:val="en-GB"/>
              </w:rPr>
              <w:t>safety</w:t>
            </w:r>
            <w:r w:rsidRPr="00422032">
              <w:rPr>
                <w:spacing w:val="-6"/>
                <w:sz w:val="20"/>
                <w:szCs w:val="20"/>
                <w:lang w:val="en-GB"/>
              </w:rPr>
              <w:t xml:space="preserve"> </w:t>
            </w:r>
            <w:r w:rsidRPr="00422032">
              <w:rPr>
                <w:sz w:val="20"/>
                <w:szCs w:val="20"/>
                <w:lang w:val="en-GB"/>
              </w:rPr>
              <w:t>upgrades</w:t>
            </w:r>
            <w:r w:rsidRPr="00422032">
              <w:rPr>
                <w:spacing w:val="-6"/>
                <w:sz w:val="20"/>
                <w:szCs w:val="20"/>
                <w:lang w:val="en-GB"/>
              </w:rPr>
              <w:t xml:space="preserve"> </w:t>
            </w:r>
            <w:r w:rsidRPr="00422032">
              <w:rPr>
                <w:sz w:val="20"/>
                <w:szCs w:val="20"/>
                <w:lang w:val="en-GB"/>
              </w:rPr>
              <w:t>in</w:t>
            </w:r>
            <w:r w:rsidRPr="00422032">
              <w:rPr>
                <w:spacing w:val="-7"/>
                <w:sz w:val="20"/>
                <w:szCs w:val="20"/>
                <w:lang w:val="en-GB"/>
              </w:rPr>
              <w:t xml:space="preserve"> </w:t>
            </w:r>
            <w:r w:rsidRPr="00422032">
              <w:rPr>
                <w:sz w:val="20"/>
                <w:szCs w:val="20"/>
                <w:lang w:val="en-GB"/>
              </w:rPr>
              <w:t>2019–20</w:t>
            </w:r>
          </w:p>
        </w:tc>
      </w:tr>
      <w:tr w:rsidR="00DA1273" w:rsidRPr="00DA1273" w:rsidTr="00422032">
        <w:tblPrEx>
          <w:tblLook w:val="04A0" w:firstRow="1" w:lastRow="0" w:firstColumn="1" w:lastColumn="0" w:noHBand="0" w:noVBand="1"/>
        </w:tblPrEx>
        <w:trPr>
          <w:trHeight w:val="352"/>
        </w:trPr>
        <w:tc>
          <w:tcPr>
            <w:tcW w:w="10772" w:type="dxa"/>
            <w:gridSpan w:val="4"/>
          </w:tcPr>
          <w:p w:rsidR="00DA1273" w:rsidRPr="00DA1273" w:rsidRDefault="00DA1273" w:rsidP="008C6A01">
            <w:pPr>
              <w:pStyle w:val="Heading4"/>
              <w:rPr>
                <w:rFonts w:eastAsia="Times New Roman"/>
                <w:lang w:val="en-GB"/>
              </w:rPr>
            </w:pPr>
            <w:r w:rsidRPr="00DA1273">
              <w:rPr>
                <w:rFonts w:eastAsia="Times New Roman"/>
                <w:lang w:val="en-GB"/>
              </w:rPr>
              <w:t>Perpetrators stop using violence and are held to account</w:t>
            </w:r>
          </w:p>
        </w:tc>
      </w:tr>
      <w:tr w:rsidR="00DA1273" w:rsidRPr="00DA1273" w:rsidTr="00DA1273">
        <w:tblPrEx>
          <w:tblLook w:val="04A0" w:firstRow="1" w:lastRow="0" w:firstColumn="1" w:lastColumn="0" w:noHBand="0" w:noVBand="1"/>
        </w:tblPrEx>
        <w:trPr>
          <w:gridAfter w:val="1"/>
          <w:wAfter w:w="42" w:type="dxa"/>
          <w:trHeight w:val="764"/>
        </w:trPr>
        <w:tc>
          <w:tcPr>
            <w:tcW w:w="4131" w:type="dxa"/>
          </w:tcPr>
          <w:p w:rsidR="00DA1273" w:rsidRPr="00DA1273" w:rsidRDefault="00DA1273" w:rsidP="008C6A01">
            <w:pPr>
              <w:spacing w:line="259" w:lineRule="auto"/>
              <w:rPr>
                <w:sz w:val="20"/>
                <w:szCs w:val="20"/>
                <w:lang w:val="en-GB"/>
              </w:rPr>
            </w:pPr>
            <w:r w:rsidRPr="00DA1273">
              <w:rPr>
                <w:sz w:val="20"/>
                <w:szCs w:val="20"/>
                <w:lang w:val="en-GB"/>
              </w:rPr>
              <w:t>Increased number of perpetrators that have been assessed by NGOs as having reduced their use</w:t>
            </w:r>
          </w:p>
          <w:p w:rsidR="00DA1273" w:rsidRPr="00DA1273" w:rsidRDefault="00DA1273" w:rsidP="008C6A01">
            <w:pPr>
              <w:spacing w:line="259" w:lineRule="auto"/>
              <w:rPr>
                <w:sz w:val="20"/>
                <w:szCs w:val="20"/>
                <w:lang w:val="en-GB"/>
              </w:rPr>
            </w:pPr>
            <w:r w:rsidRPr="00DA1273">
              <w:rPr>
                <w:sz w:val="20"/>
                <w:szCs w:val="20"/>
                <w:lang w:val="en-GB"/>
              </w:rPr>
              <w:t>of domestic and family violence</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2998 service users that have been assessed by NGOs as having reduced their use of domestic and family violence in 2019–20</w:t>
            </w:r>
          </w:p>
        </w:tc>
      </w:tr>
      <w:tr w:rsidR="00DA1273" w:rsidRPr="00DA1273" w:rsidTr="00DA1273">
        <w:tblPrEx>
          <w:tblLook w:val="04A0" w:firstRow="1" w:lastRow="0" w:firstColumn="1" w:lastColumn="0" w:noHBand="0" w:noVBand="1"/>
        </w:tblPrEx>
        <w:trPr>
          <w:gridAfter w:val="1"/>
          <w:wAfter w:w="42" w:type="dxa"/>
          <w:trHeight w:val="554"/>
        </w:trPr>
        <w:tc>
          <w:tcPr>
            <w:tcW w:w="4131" w:type="dxa"/>
          </w:tcPr>
          <w:p w:rsidR="00DA1273" w:rsidRPr="00DA1273" w:rsidRDefault="00DA1273" w:rsidP="008C6A01">
            <w:pPr>
              <w:spacing w:line="259" w:lineRule="auto"/>
              <w:rPr>
                <w:sz w:val="20"/>
                <w:szCs w:val="20"/>
                <w:lang w:val="en-GB"/>
              </w:rPr>
            </w:pPr>
            <w:r w:rsidRPr="00DA1273">
              <w:rPr>
                <w:sz w:val="20"/>
                <w:szCs w:val="20"/>
                <w:lang w:val="en-GB"/>
              </w:rPr>
              <w:t>Number of perpetrators who voluntarily access perpetrator programs or related services</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11,594 perpetrators voluntarily accessed a program during 2019–20</w:t>
            </w:r>
          </w:p>
        </w:tc>
      </w:tr>
      <w:tr w:rsidR="00DA1273" w:rsidRPr="00DA1273" w:rsidTr="00DA1273">
        <w:tblPrEx>
          <w:tblLook w:val="04A0" w:firstRow="1" w:lastRow="0" w:firstColumn="1" w:lastColumn="0" w:noHBand="0" w:noVBand="1"/>
        </w:tblPrEx>
        <w:trPr>
          <w:gridAfter w:val="1"/>
          <w:wAfter w:w="42" w:type="dxa"/>
          <w:trHeight w:val="974"/>
        </w:trPr>
        <w:tc>
          <w:tcPr>
            <w:tcW w:w="4131" w:type="dxa"/>
          </w:tcPr>
          <w:p w:rsidR="00DA1273" w:rsidRPr="00DA1273" w:rsidRDefault="00DA1273" w:rsidP="008C6A01">
            <w:pPr>
              <w:spacing w:line="259" w:lineRule="auto"/>
              <w:rPr>
                <w:sz w:val="20"/>
                <w:szCs w:val="20"/>
                <w:lang w:val="en-GB"/>
              </w:rPr>
            </w:pPr>
            <w:r w:rsidRPr="00DA1273">
              <w:rPr>
                <w:sz w:val="20"/>
                <w:szCs w:val="20"/>
                <w:lang w:val="en-GB"/>
              </w:rPr>
              <w:t>Availability of behaviour change programs in locations across Queensland</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134 community-based perpetrator behaviour change programs were supported by the Queensland Government in 2019–20. In addition, Queensland Corrective Services launched an in-custody pilot perpetrator behaviour change program in three locations in 2019–20</w:t>
            </w:r>
          </w:p>
        </w:tc>
      </w:tr>
      <w:tr w:rsidR="00DA1273" w:rsidRPr="00DA1273" w:rsidTr="00DA1273">
        <w:tblPrEx>
          <w:tblLook w:val="04A0" w:firstRow="1" w:lastRow="0" w:firstColumn="1" w:lastColumn="0" w:noHBand="0" w:noVBand="1"/>
        </w:tblPrEx>
        <w:trPr>
          <w:gridAfter w:val="1"/>
          <w:wAfter w:w="42" w:type="dxa"/>
          <w:trHeight w:val="764"/>
        </w:trPr>
        <w:tc>
          <w:tcPr>
            <w:tcW w:w="4131" w:type="dxa"/>
          </w:tcPr>
          <w:p w:rsidR="00DA1273" w:rsidRPr="00DA1273" w:rsidRDefault="00DA1273" w:rsidP="008C6A01">
            <w:pPr>
              <w:spacing w:line="259" w:lineRule="auto"/>
              <w:rPr>
                <w:sz w:val="20"/>
                <w:szCs w:val="20"/>
                <w:lang w:val="en-GB"/>
              </w:rPr>
            </w:pPr>
            <w:r w:rsidRPr="00DA1273">
              <w:rPr>
                <w:sz w:val="20"/>
                <w:szCs w:val="20"/>
                <w:lang w:val="en-GB"/>
              </w:rPr>
              <w:t>Number of perpetrators who were referred to a community behaviour change program in Southport and Logan</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432 perpetrators were referred to Men's Domestic Violence Education Intervention Program in Southport and Logan in 2019–20</w:t>
            </w:r>
          </w:p>
        </w:tc>
      </w:tr>
      <w:tr w:rsidR="00DA1273" w:rsidRPr="00DA1273" w:rsidTr="008C6A01">
        <w:tblPrEx>
          <w:tblLook w:val="04A0" w:firstRow="1" w:lastRow="0" w:firstColumn="1" w:lastColumn="0" w:noHBand="0" w:noVBand="1"/>
        </w:tblPrEx>
        <w:trPr>
          <w:trHeight w:val="352"/>
        </w:trPr>
        <w:tc>
          <w:tcPr>
            <w:tcW w:w="10772" w:type="dxa"/>
            <w:gridSpan w:val="4"/>
          </w:tcPr>
          <w:p w:rsidR="00DA1273" w:rsidRPr="00DA1273" w:rsidRDefault="00DA1273" w:rsidP="008C6A01">
            <w:pPr>
              <w:pStyle w:val="Heading4"/>
              <w:rPr>
                <w:rFonts w:eastAsia="Times New Roman"/>
                <w:lang w:val="en-GB"/>
              </w:rPr>
            </w:pPr>
            <w:r w:rsidRPr="00DA1273">
              <w:rPr>
                <w:rFonts w:eastAsia="Times New Roman"/>
                <w:lang w:val="en-GB"/>
              </w:rPr>
              <w:lastRenderedPageBreak/>
              <w:t>The justice system deals effectively with domestic and family violence</w:t>
            </w:r>
          </w:p>
        </w:tc>
      </w:tr>
      <w:tr w:rsidR="00DA1273" w:rsidRPr="00DA1273" w:rsidTr="00DA1273">
        <w:tblPrEx>
          <w:tblLook w:val="04A0" w:firstRow="1" w:lastRow="0" w:firstColumn="1" w:lastColumn="0" w:noHBand="0" w:noVBand="1"/>
        </w:tblPrEx>
        <w:trPr>
          <w:gridAfter w:val="1"/>
          <w:wAfter w:w="42" w:type="dxa"/>
          <w:trHeight w:val="554"/>
        </w:trPr>
        <w:tc>
          <w:tcPr>
            <w:tcW w:w="4131" w:type="dxa"/>
          </w:tcPr>
          <w:p w:rsidR="00DA1273" w:rsidRPr="00DA1273" w:rsidRDefault="00DA1273" w:rsidP="008C6A01">
            <w:pPr>
              <w:spacing w:line="259" w:lineRule="auto"/>
              <w:rPr>
                <w:sz w:val="20"/>
                <w:szCs w:val="20"/>
                <w:lang w:val="en-GB"/>
              </w:rPr>
            </w:pPr>
            <w:r w:rsidRPr="00DA1273">
              <w:rPr>
                <w:sz w:val="20"/>
                <w:szCs w:val="20"/>
                <w:lang w:val="en-GB"/>
              </w:rPr>
              <w:t>Percentage of applications for protection orders finalised within six months of being lodged</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93.5% of applications were finalised within six months in 2019–20</w:t>
            </w:r>
          </w:p>
        </w:tc>
      </w:tr>
      <w:tr w:rsidR="00DA1273" w:rsidRPr="00DA1273" w:rsidTr="00DA1273">
        <w:tblPrEx>
          <w:tblLook w:val="04A0" w:firstRow="1" w:lastRow="0" w:firstColumn="1" w:lastColumn="0" w:noHBand="0" w:noVBand="1"/>
        </w:tblPrEx>
        <w:trPr>
          <w:gridAfter w:val="1"/>
          <w:wAfter w:w="42" w:type="dxa"/>
          <w:trHeight w:val="1718"/>
        </w:trPr>
        <w:tc>
          <w:tcPr>
            <w:tcW w:w="4131" w:type="dxa"/>
          </w:tcPr>
          <w:p w:rsidR="00DA1273" w:rsidRPr="00DA1273" w:rsidRDefault="00DA1273" w:rsidP="008C6A01">
            <w:pPr>
              <w:spacing w:line="259" w:lineRule="auto"/>
              <w:rPr>
                <w:sz w:val="20"/>
                <w:szCs w:val="20"/>
                <w:lang w:val="en-GB"/>
              </w:rPr>
            </w:pPr>
            <w:r w:rsidRPr="00DA1273">
              <w:rPr>
                <w:sz w:val="20"/>
                <w:szCs w:val="20"/>
                <w:lang w:val="en-GB"/>
              </w:rPr>
              <w:t>Participation by magistrates, solicitors and court staff in training on domestic and family violence and how to respond</w:t>
            </w:r>
          </w:p>
        </w:tc>
        <w:tc>
          <w:tcPr>
            <w:tcW w:w="6599" w:type="dxa"/>
            <w:gridSpan w:val="2"/>
          </w:tcPr>
          <w:p w:rsidR="00DA1273" w:rsidRPr="00422032" w:rsidRDefault="00DA1273" w:rsidP="00CE48A7">
            <w:pPr>
              <w:pStyle w:val="ListParagraph"/>
              <w:numPr>
                <w:ilvl w:val="0"/>
                <w:numId w:val="14"/>
              </w:numPr>
              <w:spacing w:line="259" w:lineRule="auto"/>
              <w:ind w:left="434"/>
              <w:rPr>
                <w:sz w:val="20"/>
                <w:szCs w:val="20"/>
                <w:lang w:val="en-GB"/>
              </w:rPr>
            </w:pPr>
            <w:r w:rsidRPr="00422032">
              <w:rPr>
                <w:sz w:val="20"/>
                <w:szCs w:val="20"/>
                <w:lang w:val="en-GB"/>
              </w:rPr>
              <w:t>In 2019–20 92% of magistrates participated in training on domestic and family violence</w:t>
            </w:r>
            <w:r w:rsidRPr="00422032">
              <w:rPr>
                <w:spacing w:val="-7"/>
                <w:sz w:val="20"/>
                <w:szCs w:val="20"/>
                <w:lang w:val="en-GB"/>
              </w:rPr>
              <w:t xml:space="preserve"> </w:t>
            </w:r>
            <w:r w:rsidRPr="00422032">
              <w:rPr>
                <w:sz w:val="20"/>
                <w:szCs w:val="20"/>
                <w:lang w:val="en-GB"/>
              </w:rPr>
              <w:t>and</w:t>
            </w:r>
            <w:r w:rsidRPr="00422032">
              <w:rPr>
                <w:spacing w:val="-7"/>
                <w:sz w:val="20"/>
                <w:szCs w:val="20"/>
                <w:lang w:val="en-GB"/>
              </w:rPr>
              <w:t xml:space="preserve"> </w:t>
            </w:r>
            <w:r w:rsidRPr="00422032">
              <w:rPr>
                <w:sz w:val="20"/>
                <w:szCs w:val="20"/>
                <w:lang w:val="en-GB"/>
              </w:rPr>
              <w:t>how</w:t>
            </w:r>
            <w:r w:rsidRPr="00422032">
              <w:rPr>
                <w:spacing w:val="-6"/>
                <w:sz w:val="20"/>
                <w:szCs w:val="20"/>
                <w:lang w:val="en-GB"/>
              </w:rPr>
              <w:t xml:space="preserve"> </w:t>
            </w:r>
            <w:r w:rsidRPr="00422032">
              <w:rPr>
                <w:sz w:val="20"/>
                <w:szCs w:val="20"/>
                <w:lang w:val="en-GB"/>
              </w:rPr>
              <w:t>to</w:t>
            </w:r>
            <w:r w:rsidRPr="00422032">
              <w:rPr>
                <w:spacing w:val="-7"/>
                <w:sz w:val="20"/>
                <w:szCs w:val="20"/>
                <w:lang w:val="en-GB"/>
              </w:rPr>
              <w:t xml:space="preserve"> </w:t>
            </w:r>
            <w:r w:rsidRPr="00422032">
              <w:rPr>
                <w:sz w:val="20"/>
                <w:szCs w:val="20"/>
                <w:lang w:val="en-GB"/>
              </w:rPr>
              <w:t>respond</w:t>
            </w:r>
            <w:r w:rsidRPr="00422032">
              <w:rPr>
                <w:spacing w:val="-7"/>
                <w:sz w:val="20"/>
                <w:szCs w:val="20"/>
                <w:lang w:val="en-GB"/>
              </w:rPr>
              <w:t xml:space="preserve"> </w:t>
            </w:r>
            <w:r w:rsidRPr="00422032">
              <w:rPr>
                <w:sz w:val="20"/>
                <w:szCs w:val="20"/>
                <w:lang w:val="en-GB"/>
              </w:rPr>
              <w:t>(compared</w:t>
            </w:r>
            <w:r w:rsidRPr="00422032">
              <w:rPr>
                <w:spacing w:val="-6"/>
                <w:sz w:val="20"/>
                <w:szCs w:val="20"/>
                <w:lang w:val="en-GB"/>
              </w:rPr>
              <w:t xml:space="preserve"> </w:t>
            </w:r>
            <w:r w:rsidRPr="00422032">
              <w:rPr>
                <w:sz w:val="20"/>
                <w:szCs w:val="20"/>
                <w:lang w:val="en-GB"/>
              </w:rPr>
              <w:t>with</w:t>
            </w:r>
            <w:r w:rsidRPr="00422032">
              <w:rPr>
                <w:spacing w:val="-7"/>
                <w:sz w:val="20"/>
                <w:szCs w:val="20"/>
                <w:lang w:val="en-GB"/>
              </w:rPr>
              <w:t xml:space="preserve"> </w:t>
            </w:r>
            <w:r w:rsidRPr="00422032">
              <w:rPr>
                <w:sz w:val="20"/>
                <w:szCs w:val="20"/>
                <w:lang w:val="en-GB"/>
              </w:rPr>
              <w:t>98%</w:t>
            </w:r>
            <w:r w:rsidRPr="00422032">
              <w:rPr>
                <w:spacing w:val="-7"/>
                <w:sz w:val="20"/>
                <w:szCs w:val="20"/>
                <w:lang w:val="en-GB"/>
              </w:rPr>
              <w:t xml:space="preserve"> </w:t>
            </w:r>
            <w:r w:rsidRPr="00422032">
              <w:rPr>
                <w:sz w:val="20"/>
                <w:szCs w:val="20"/>
                <w:lang w:val="en-GB"/>
              </w:rPr>
              <w:t>in</w:t>
            </w:r>
            <w:r w:rsidRPr="00422032">
              <w:rPr>
                <w:spacing w:val="-6"/>
                <w:sz w:val="20"/>
                <w:szCs w:val="20"/>
                <w:lang w:val="en-GB"/>
              </w:rPr>
              <w:t xml:space="preserve"> </w:t>
            </w:r>
            <w:r w:rsidRPr="00422032">
              <w:rPr>
                <w:sz w:val="20"/>
                <w:szCs w:val="20"/>
                <w:lang w:val="en-GB"/>
              </w:rPr>
              <w:t>2018–19</w:t>
            </w:r>
            <w:r w:rsidRPr="00422032">
              <w:rPr>
                <w:spacing w:val="-7"/>
                <w:sz w:val="20"/>
                <w:szCs w:val="20"/>
                <w:lang w:val="en-GB"/>
              </w:rPr>
              <w:t xml:space="preserve"> </w:t>
            </w:r>
            <w:r w:rsidRPr="00422032">
              <w:rPr>
                <w:sz w:val="20"/>
                <w:szCs w:val="20"/>
                <w:lang w:val="en-GB"/>
              </w:rPr>
              <w:t>and</w:t>
            </w:r>
            <w:r w:rsidRPr="00422032">
              <w:rPr>
                <w:spacing w:val="-6"/>
                <w:sz w:val="20"/>
                <w:szCs w:val="20"/>
                <w:lang w:val="en-GB"/>
              </w:rPr>
              <w:t xml:space="preserve"> </w:t>
            </w:r>
            <w:r w:rsidRPr="00422032">
              <w:rPr>
                <w:sz w:val="20"/>
                <w:szCs w:val="20"/>
                <w:lang w:val="en-GB"/>
              </w:rPr>
              <w:t>90%</w:t>
            </w:r>
            <w:r w:rsidRPr="00422032">
              <w:rPr>
                <w:spacing w:val="-7"/>
                <w:sz w:val="20"/>
                <w:szCs w:val="20"/>
                <w:lang w:val="en-GB"/>
              </w:rPr>
              <w:t xml:space="preserve"> </w:t>
            </w:r>
            <w:r w:rsidRPr="00422032">
              <w:rPr>
                <w:sz w:val="20"/>
                <w:szCs w:val="20"/>
                <w:lang w:val="en-GB"/>
              </w:rPr>
              <w:t>in</w:t>
            </w:r>
            <w:r w:rsidRPr="00422032">
              <w:rPr>
                <w:spacing w:val="-7"/>
                <w:sz w:val="20"/>
                <w:szCs w:val="20"/>
                <w:lang w:val="en-GB"/>
              </w:rPr>
              <w:t xml:space="preserve"> </w:t>
            </w:r>
            <w:r w:rsidRPr="00422032">
              <w:rPr>
                <w:sz w:val="20"/>
                <w:szCs w:val="20"/>
                <w:lang w:val="en-GB"/>
              </w:rPr>
              <w:t>2017–18)</w:t>
            </w:r>
          </w:p>
          <w:p w:rsidR="00DA1273" w:rsidRPr="00422032" w:rsidRDefault="00DA1273" w:rsidP="00CE48A7">
            <w:pPr>
              <w:pStyle w:val="ListParagraph"/>
              <w:numPr>
                <w:ilvl w:val="0"/>
                <w:numId w:val="14"/>
              </w:numPr>
              <w:spacing w:line="259" w:lineRule="auto"/>
              <w:ind w:left="434"/>
              <w:rPr>
                <w:sz w:val="20"/>
                <w:szCs w:val="20"/>
                <w:lang w:val="en-GB"/>
              </w:rPr>
            </w:pPr>
            <w:r w:rsidRPr="00422032">
              <w:rPr>
                <w:sz w:val="20"/>
                <w:szCs w:val="20"/>
                <w:lang w:val="en-GB"/>
              </w:rPr>
              <w:t xml:space="preserve">In 2019–20 350 </w:t>
            </w:r>
            <w:r w:rsidRPr="00422032">
              <w:rPr>
                <w:spacing w:val="2"/>
                <w:sz w:val="20"/>
                <w:szCs w:val="20"/>
                <w:lang w:val="en-GB"/>
              </w:rPr>
              <w:t xml:space="preserve">Court Registry </w:t>
            </w:r>
            <w:r w:rsidRPr="00422032">
              <w:rPr>
                <w:sz w:val="20"/>
                <w:szCs w:val="20"/>
                <w:lang w:val="en-GB"/>
              </w:rPr>
              <w:t>staff participated in training on domestic and family violence and how to respond (compared with 396 in 2018–19 and 796 in</w:t>
            </w:r>
            <w:r w:rsidRPr="00422032">
              <w:rPr>
                <w:spacing w:val="-3"/>
                <w:sz w:val="20"/>
                <w:szCs w:val="20"/>
                <w:lang w:val="en-GB"/>
              </w:rPr>
              <w:t xml:space="preserve"> </w:t>
            </w:r>
            <w:r w:rsidRPr="00422032">
              <w:rPr>
                <w:sz w:val="20"/>
                <w:szCs w:val="20"/>
                <w:lang w:val="en-GB"/>
              </w:rPr>
              <w:t>2017–18)</w:t>
            </w:r>
          </w:p>
          <w:p w:rsidR="00DA1273" w:rsidRPr="00422032" w:rsidRDefault="00DA1273" w:rsidP="00CE48A7">
            <w:pPr>
              <w:pStyle w:val="ListParagraph"/>
              <w:numPr>
                <w:ilvl w:val="0"/>
                <w:numId w:val="14"/>
              </w:numPr>
              <w:spacing w:line="259" w:lineRule="auto"/>
              <w:ind w:left="434"/>
              <w:rPr>
                <w:sz w:val="20"/>
                <w:szCs w:val="20"/>
                <w:lang w:val="en-GB"/>
              </w:rPr>
            </w:pPr>
            <w:r w:rsidRPr="00422032">
              <w:rPr>
                <w:sz w:val="20"/>
                <w:szCs w:val="20"/>
                <w:lang w:val="en-GB"/>
              </w:rPr>
              <w:t>In 2019–20 68 duty lawyers participated in training on domestic and family violence and how to respond (compared with 37 in 2017–18 and 80 in</w:t>
            </w:r>
            <w:r w:rsidRPr="00422032">
              <w:rPr>
                <w:spacing w:val="-21"/>
                <w:sz w:val="20"/>
                <w:szCs w:val="20"/>
                <w:lang w:val="en-GB"/>
              </w:rPr>
              <w:t xml:space="preserve"> </w:t>
            </w:r>
            <w:r w:rsidRPr="00422032">
              <w:rPr>
                <w:sz w:val="20"/>
                <w:szCs w:val="20"/>
                <w:lang w:val="en-GB"/>
              </w:rPr>
              <w:t>2016–17)</w:t>
            </w:r>
          </w:p>
        </w:tc>
      </w:tr>
      <w:tr w:rsidR="00DA1273" w:rsidRPr="00DA1273" w:rsidTr="00DA1273">
        <w:tblPrEx>
          <w:tblLook w:val="04A0" w:firstRow="1" w:lastRow="0" w:firstColumn="1" w:lastColumn="0" w:noHBand="0" w:noVBand="1"/>
        </w:tblPrEx>
        <w:trPr>
          <w:gridAfter w:val="1"/>
          <w:wAfter w:w="42" w:type="dxa"/>
          <w:trHeight w:val="764"/>
        </w:trPr>
        <w:tc>
          <w:tcPr>
            <w:tcW w:w="4131" w:type="dxa"/>
          </w:tcPr>
          <w:p w:rsidR="00DA1273" w:rsidRPr="00DA1273" w:rsidRDefault="00DA1273" w:rsidP="008C6A01">
            <w:pPr>
              <w:spacing w:line="259" w:lineRule="auto"/>
              <w:rPr>
                <w:sz w:val="20"/>
                <w:szCs w:val="20"/>
                <w:lang w:val="en-GB"/>
              </w:rPr>
            </w:pPr>
            <w:r w:rsidRPr="00DA1273">
              <w:rPr>
                <w:sz w:val="20"/>
                <w:szCs w:val="20"/>
                <w:lang w:val="en-GB"/>
              </w:rPr>
              <w:t>Total number of hours domestic and family violence duty lawyers are available to clients at court</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Domestic and family violence duty lawyers were available to aggrieved and respondent persons at court for a total of 22,592 in 2019–20 (a baseline measure for future comparisons)</w:t>
            </w:r>
          </w:p>
        </w:tc>
      </w:tr>
      <w:tr w:rsidR="00DA1273" w:rsidRPr="00DA1273" w:rsidTr="00DA1273">
        <w:tblPrEx>
          <w:tblLook w:val="04A0" w:firstRow="1" w:lastRow="0" w:firstColumn="1" w:lastColumn="0" w:noHBand="0" w:noVBand="1"/>
        </w:tblPrEx>
        <w:trPr>
          <w:gridAfter w:val="1"/>
          <w:wAfter w:w="42" w:type="dxa"/>
          <w:trHeight w:val="554"/>
        </w:trPr>
        <w:tc>
          <w:tcPr>
            <w:tcW w:w="4131" w:type="dxa"/>
          </w:tcPr>
          <w:p w:rsidR="00DA1273" w:rsidRPr="00DA1273" w:rsidRDefault="00DA1273" w:rsidP="008C6A01">
            <w:pPr>
              <w:spacing w:line="259" w:lineRule="auto"/>
              <w:rPr>
                <w:sz w:val="20"/>
                <w:szCs w:val="20"/>
                <w:lang w:val="en-GB"/>
              </w:rPr>
            </w:pPr>
            <w:r w:rsidRPr="00DA1273">
              <w:rPr>
                <w:sz w:val="20"/>
                <w:szCs w:val="20"/>
                <w:lang w:val="en-GB"/>
              </w:rPr>
              <w:t>Number of intervention orders made</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560 intervention orders made in 2019–20 (compared with 1048 in 2018–19 and 1065 in 2017–18). The decrease may be attributable to COVID-19 impacts</w:t>
            </w:r>
          </w:p>
        </w:tc>
      </w:tr>
      <w:tr w:rsidR="00DA1273" w:rsidRPr="00DA1273" w:rsidTr="00DA1273">
        <w:tblPrEx>
          <w:tblLook w:val="04A0" w:firstRow="1" w:lastRow="0" w:firstColumn="1" w:lastColumn="0" w:noHBand="0" w:noVBand="1"/>
        </w:tblPrEx>
        <w:trPr>
          <w:gridAfter w:val="1"/>
          <w:wAfter w:w="42" w:type="dxa"/>
          <w:trHeight w:val="764"/>
        </w:trPr>
        <w:tc>
          <w:tcPr>
            <w:tcW w:w="4131" w:type="dxa"/>
          </w:tcPr>
          <w:p w:rsidR="00DA1273" w:rsidRPr="00DA1273" w:rsidRDefault="00DA1273" w:rsidP="008C6A01">
            <w:pPr>
              <w:spacing w:line="259" w:lineRule="auto"/>
              <w:rPr>
                <w:sz w:val="20"/>
                <w:szCs w:val="20"/>
                <w:lang w:val="en-GB"/>
              </w:rPr>
            </w:pPr>
            <w:r w:rsidRPr="00DA1273">
              <w:rPr>
                <w:sz w:val="20"/>
                <w:szCs w:val="20"/>
                <w:lang w:val="en-GB"/>
              </w:rPr>
              <w:t>Total number of local authority meetings or other community meetings that discuss domestic</w:t>
            </w:r>
          </w:p>
          <w:p w:rsidR="00DA1273" w:rsidRPr="00DA1273" w:rsidRDefault="00DA1273" w:rsidP="008C6A01">
            <w:pPr>
              <w:spacing w:line="259" w:lineRule="auto"/>
              <w:rPr>
                <w:sz w:val="20"/>
                <w:szCs w:val="20"/>
                <w:lang w:val="en-GB"/>
              </w:rPr>
            </w:pPr>
            <w:r w:rsidRPr="00DA1273">
              <w:rPr>
                <w:sz w:val="20"/>
                <w:szCs w:val="20"/>
                <w:lang w:val="en-GB"/>
              </w:rPr>
              <w:t>and family violence matters</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289 Local Authority meetings attended by Community Justice Group Domestic and Family Violence Coordinators in 2019–20 (compared with 115 in 2018–19 and 132 in 2017–18)</w:t>
            </w:r>
          </w:p>
        </w:tc>
      </w:tr>
      <w:tr w:rsidR="00DA1273" w:rsidRPr="00DA1273" w:rsidTr="00DA1273">
        <w:tblPrEx>
          <w:tblLook w:val="04A0" w:firstRow="1" w:lastRow="0" w:firstColumn="1" w:lastColumn="0" w:noHBand="0" w:noVBand="1"/>
        </w:tblPrEx>
        <w:trPr>
          <w:gridAfter w:val="1"/>
          <w:wAfter w:w="42" w:type="dxa"/>
          <w:trHeight w:val="1031"/>
        </w:trPr>
        <w:tc>
          <w:tcPr>
            <w:tcW w:w="4131" w:type="dxa"/>
          </w:tcPr>
          <w:p w:rsidR="00DA1273" w:rsidRPr="00DA1273" w:rsidRDefault="00DA1273" w:rsidP="008C6A01">
            <w:pPr>
              <w:spacing w:line="259" w:lineRule="auto"/>
              <w:rPr>
                <w:sz w:val="20"/>
                <w:szCs w:val="20"/>
                <w:lang w:val="en-GB"/>
              </w:rPr>
            </w:pPr>
            <w:r w:rsidRPr="00DA1273">
              <w:rPr>
                <w:sz w:val="20"/>
                <w:szCs w:val="20"/>
                <w:lang w:val="en-GB"/>
              </w:rPr>
              <w:t>Increased number of perpetrators, victims and families assisted by the Community Justice Groups</w:t>
            </w:r>
          </w:p>
        </w:tc>
        <w:tc>
          <w:tcPr>
            <w:tcW w:w="6599" w:type="dxa"/>
            <w:gridSpan w:val="2"/>
          </w:tcPr>
          <w:p w:rsidR="00DA1273" w:rsidRPr="00422032" w:rsidRDefault="00DA1273" w:rsidP="00CE48A7">
            <w:pPr>
              <w:pStyle w:val="ListParagraph"/>
              <w:numPr>
                <w:ilvl w:val="0"/>
                <w:numId w:val="15"/>
              </w:numPr>
              <w:spacing w:line="259" w:lineRule="auto"/>
              <w:ind w:left="434"/>
              <w:rPr>
                <w:sz w:val="20"/>
                <w:szCs w:val="20"/>
                <w:lang w:val="en-GB"/>
              </w:rPr>
            </w:pPr>
            <w:r w:rsidRPr="00422032">
              <w:rPr>
                <w:sz w:val="20"/>
                <w:szCs w:val="20"/>
                <w:lang w:val="en-GB"/>
              </w:rPr>
              <w:t>4867 people supported through referrals and community support, including 2757 victims</w:t>
            </w:r>
            <w:r w:rsidRPr="00422032">
              <w:rPr>
                <w:spacing w:val="-8"/>
                <w:sz w:val="20"/>
                <w:szCs w:val="20"/>
                <w:lang w:val="en-GB"/>
              </w:rPr>
              <w:t xml:space="preserve"> </w:t>
            </w:r>
            <w:r w:rsidRPr="00422032">
              <w:rPr>
                <w:sz w:val="20"/>
                <w:szCs w:val="20"/>
                <w:lang w:val="en-GB"/>
              </w:rPr>
              <w:t>and</w:t>
            </w:r>
            <w:r w:rsidRPr="00422032">
              <w:rPr>
                <w:spacing w:val="-7"/>
                <w:sz w:val="20"/>
                <w:szCs w:val="20"/>
                <w:lang w:val="en-GB"/>
              </w:rPr>
              <w:t xml:space="preserve"> </w:t>
            </w:r>
            <w:r w:rsidRPr="00422032">
              <w:rPr>
                <w:sz w:val="20"/>
                <w:szCs w:val="20"/>
                <w:lang w:val="en-GB"/>
              </w:rPr>
              <w:t>2110</w:t>
            </w:r>
            <w:r w:rsidRPr="00422032">
              <w:rPr>
                <w:spacing w:val="-7"/>
                <w:sz w:val="20"/>
                <w:szCs w:val="20"/>
                <w:lang w:val="en-GB"/>
              </w:rPr>
              <w:t xml:space="preserve"> </w:t>
            </w:r>
            <w:r w:rsidRPr="00422032">
              <w:rPr>
                <w:sz w:val="20"/>
                <w:szCs w:val="20"/>
                <w:lang w:val="en-GB"/>
              </w:rPr>
              <w:t>offenders</w:t>
            </w:r>
            <w:r w:rsidRPr="00422032">
              <w:rPr>
                <w:spacing w:val="-7"/>
                <w:sz w:val="20"/>
                <w:szCs w:val="20"/>
                <w:lang w:val="en-GB"/>
              </w:rPr>
              <w:t xml:space="preserve"> </w:t>
            </w:r>
            <w:r w:rsidRPr="00422032">
              <w:rPr>
                <w:sz w:val="20"/>
                <w:szCs w:val="20"/>
                <w:lang w:val="en-GB"/>
              </w:rPr>
              <w:t>(compared</w:t>
            </w:r>
            <w:r w:rsidRPr="00422032">
              <w:rPr>
                <w:spacing w:val="-7"/>
                <w:sz w:val="20"/>
                <w:szCs w:val="20"/>
                <w:lang w:val="en-GB"/>
              </w:rPr>
              <w:t xml:space="preserve"> </w:t>
            </w:r>
            <w:r w:rsidRPr="00422032">
              <w:rPr>
                <w:sz w:val="20"/>
                <w:szCs w:val="20"/>
                <w:lang w:val="en-GB"/>
              </w:rPr>
              <w:t>with</w:t>
            </w:r>
            <w:r w:rsidRPr="00422032">
              <w:rPr>
                <w:spacing w:val="-7"/>
                <w:sz w:val="20"/>
                <w:szCs w:val="20"/>
                <w:lang w:val="en-GB"/>
              </w:rPr>
              <w:t xml:space="preserve"> </w:t>
            </w:r>
            <w:r w:rsidRPr="00422032">
              <w:rPr>
                <w:sz w:val="20"/>
                <w:szCs w:val="20"/>
                <w:lang w:val="en-GB"/>
              </w:rPr>
              <w:t>2680</w:t>
            </w:r>
            <w:r w:rsidRPr="00422032">
              <w:rPr>
                <w:spacing w:val="-7"/>
                <w:sz w:val="20"/>
                <w:szCs w:val="20"/>
                <w:lang w:val="en-GB"/>
              </w:rPr>
              <w:t xml:space="preserve"> </w:t>
            </w:r>
            <w:r w:rsidRPr="00422032">
              <w:rPr>
                <w:sz w:val="20"/>
                <w:szCs w:val="20"/>
                <w:lang w:val="en-GB"/>
              </w:rPr>
              <w:t>in</w:t>
            </w:r>
            <w:r w:rsidRPr="00422032">
              <w:rPr>
                <w:spacing w:val="-8"/>
                <w:sz w:val="20"/>
                <w:szCs w:val="20"/>
                <w:lang w:val="en-GB"/>
              </w:rPr>
              <w:t xml:space="preserve"> </w:t>
            </w:r>
            <w:r w:rsidRPr="00422032">
              <w:rPr>
                <w:sz w:val="20"/>
                <w:szCs w:val="20"/>
                <w:lang w:val="en-GB"/>
              </w:rPr>
              <w:t>2018—19</w:t>
            </w:r>
            <w:r w:rsidRPr="00422032">
              <w:rPr>
                <w:spacing w:val="-7"/>
                <w:sz w:val="20"/>
                <w:szCs w:val="20"/>
                <w:lang w:val="en-GB"/>
              </w:rPr>
              <w:t xml:space="preserve"> </w:t>
            </w:r>
            <w:r w:rsidRPr="00422032">
              <w:rPr>
                <w:sz w:val="20"/>
                <w:szCs w:val="20"/>
                <w:lang w:val="en-GB"/>
              </w:rPr>
              <w:t>and</w:t>
            </w:r>
            <w:r w:rsidRPr="00422032">
              <w:rPr>
                <w:spacing w:val="-7"/>
                <w:sz w:val="20"/>
                <w:szCs w:val="20"/>
                <w:lang w:val="en-GB"/>
              </w:rPr>
              <w:t xml:space="preserve"> </w:t>
            </w:r>
            <w:r w:rsidRPr="00422032">
              <w:rPr>
                <w:sz w:val="20"/>
                <w:szCs w:val="20"/>
                <w:lang w:val="en-GB"/>
              </w:rPr>
              <w:t>1687</w:t>
            </w:r>
            <w:r w:rsidRPr="00422032">
              <w:rPr>
                <w:spacing w:val="-7"/>
                <w:sz w:val="20"/>
                <w:szCs w:val="20"/>
                <w:lang w:val="en-GB"/>
              </w:rPr>
              <w:t xml:space="preserve"> </w:t>
            </w:r>
            <w:r w:rsidRPr="00422032">
              <w:rPr>
                <w:sz w:val="20"/>
                <w:szCs w:val="20"/>
                <w:lang w:val="en-GB"/>
              </w:rPr>
              <w:t>in</w:t>
            </w:r>
            <w:r w:rsidRPr="00422032">
              <w:rPr>
                <w:spacing w:val="-7"/>
                <w:sz w:val="20"/>
                <w:szCs w:val="20"/>
                <w:lang w:val="en-GB"/>
              </w:rPr>
              <w:t xml:space="preserve"> </w:t>
            </w:r>
            <w:r w:rsidRPr="00422032">
              <w:rPr>
                <w:sz w:val="20"/>
                <w:szCs w:val="20"/>
                <w:lang w:val="en-GB"/>
              </w:rPr>
              <w:t>2017–18)</w:t>
            </w:r>
          </w:p>
          <w:p w:rsidR="00DA1273" w:rsidRPr="00422032" w:rsidRDefault="00DA1273" w:rsidP="00CE48A7">
            <w:pPr>
              <w:pStyle w:val="ListParagraph"/>
              <w:numPr>
                <w:ilvl w:val="0"/>
                <w:numId w:val="15"/>
              </w:numPr>
              <w:spacing w:line="259" w:lineRule="auto"/>
              <w:ind w:left="434"/>
              <w:rPr>
                <w:sz w:val="20"/>
                <w:szCs w:val="20"/>
                <w:lang w:val="en-GB"/>
              </w:rPr>
            </w:pPr>
            <w:r w:rsidRPr="00422032">
              <w:rPr>
                <w:sz w:val="20"/>
                <w:szCs w:val="20"/>
                <w:lang w:val="en-GB"/>
              </w:rPr>
              <w:t>2003 people supported through the court process (including 601 victims and 1402</w:t>
            </w:r>
            <w:r w:rsidRPr="00422032">
              <w:rPr>
                <w:spacing w:val="-2"/>
                <w:sz w:val="20"/>
                <w:szCs w:val="20"/>
                <w:lang w:val="en-GB"/>
              </w:rPr>
              <w:t xml:space="preserve"> </w:t>
            </w:r>
            <w:r w:rsidRPr="00422032">
              <w:rPr>
                <w:sz w:val="20"/>
                <w:szCs w:val="20"/>
                <w:lang w:val="en-GB"/>
              </w:rPr>
              <w:t>offenders)</w:t>
            </w:r>
          </w:p>
        </w:tc>
      </w:tr>
      <w:tr w:rsidR="00DA1273" w:rsidRPr="00DA1273" w:rsidTr="00DA1273">
        <w:tblPrEx>
          <w:tblLook w:val="04A0" w:firstRow="1" w:lastRow="0" w:firstColumn="1" w:lastColumn="0" w:noHBand="0" w:noVBand="1"/>
        </w:tblPrEx>
        <w:trPr>
          <w:gridAfter w:val="1"/>
          <w:wAfter w:w="42" w:type="dxa"/>
          <w:trHeight w:val="1451"/>
        </w:trPr>
        <w:tc>
          <w:tcPr>
            <w:tcW w:w="4131" w:type="dxa"/>
          </w:tcPr>
          <w:p w:rsidR="00DA1273" w:rsidRPr="00DA1273" w:rsidRDefault="00DA1273" w:rsidP="008C6A01">
            <w:pPr>
              <w:spacing w:line="259" w:lineRule="auto"/>
              <w:rPr>
                <w:sz w:val="20"/>
                <w:szCs w:val="20"/>
                <w:lang w:val="en-GB"/>
              </w:rPr>
            </w:pPr>
            <w:r w:rsidRPr="00DA1273">
              <w:rPr>
                <w:sz w:val="20"/>
                <w:szCs w:val="20"/>
                <w:lang w:val="en-GB"/>
              </w:rPr>
              <w:t>Number of domestic and family violence specific professional development/training opportunities attended by Domestic and Family Violence Coordinators</w:t>
            </w:r>
          </w:p>
        </w:tc>
        <w:tc>
          <w:tcPr>
            <w:tcW w:w="6599" w:type="dxa"/>
            <w:gridSpan w:val="2"/>
          </w:tcPr>
          <w:p w:rsidR="00DA1273" w:rsidRPr="00422032" w:rsidRDefault="00DA1273" w:rsidP="00CE48A7">
            <w:pPr>
              <w:pStyle w:val="ListParagraph"/>
              <w:numPr>
                <w:ilvl w:val="0"/>
                <w:numId w:val="16"/>
              </w:numPr>
              <w:spacing w:line="259" w:lineRule="auto"/>
              <w:ind w:left="434" w:hanging="283"/>
              <w:rPr>
                <w:sz w:val="20"/>
                <w:szCs w:val="20"/>
                <w:lang w:val="en-GB"/>
              </w:rPr>
            </w:pPr>
            <w:r w:rsidRPr="00422032">
              <w:rPr>
                <w:sz w:val="20"/>
                <w:szCs w:val="20"/>
                <w:lang w:val="en-GB"/>
              </w:rPr>
              <w:t>47 specific domestic and family violence professional development/training opportunities attended by Community Justice Group Domestic and Family Violence</w:t>
            </w:r>
            <w:r w:rsidRPr="00422032">
              <w:rPr>
                <w:spacing w:val="-2"/>
                <w:sz w:val="20"/>
                <w:szCs w:val="20"/>
                <w:lang w:val="en-GB"/>
              </w:rPr>
              <w:t xml:space="preserve"> </w:t>
            </w:r>
            <w:r w:rsidRPr="00422032">
              <w:rPr>
                <w:sz w:val="20"/>
                <w:szCs w:val="20"/>
                <w:lang w:val="en-GB"/>
              </w:rPr>
              <w:t>Coordinators</w:t>
            </w:r>
          </w:p>
          <w:p w:rsidR="00DA1273" w:rsidRPr="00422032" w:rsidRDefault="00DA1273" w:rsidP="00CE48A7">
            <w:pPr>
              <w:pStyle w:val="ListParagraph"/>
              <w:numPr>
                <w:ilvl w:val="0"/>
                <w:numId w:val="16"/>
              </w:numPr>
              <w:spacing w:line="259" w:lineRule="auto"/>
              <w:ind w:left="434" w:hanging="283"/>
              <w:rPr>
                <w:sz w:val="20"/>
                <w:szCs w:val="20"/>
                <w:lang w:val="en-GB"/>
              </w:rPr>
            </w:pPr>
            <w:r w:rsidRPr="00422032">
              <w:rPr>
                <w:sz w:val="20"/>
                <w:szCs w:val="20"/>
                <w:lang w:val="en-GB"/>
              </w:rPr>
              <w:t>83% of Community Justice Group Domestic and Family Violence Coordinators attended domestic and family violence specific professional development/ training</w:t>
            </w:r>
            <w:r w:rsidRPr="00422032">
              <w:rPr>
                <w:spacing w:val="-2"/>
                <w:sz w:val="20"/>
                <w:szCs w:val="20"/>
                <w:lang w:val="en-GB"/>
              </w:rPr>
              <w:t xml:space="preserve"> </w:t>
            </w:r>
            <w:r w:rsidRPr="00422032">
              <w:rPr>
                <w:sz w:val="20"/>
                <w:szCs w:val="20"/>
                <w:lang w:val="en-GB"/>
              </w:rPr>
              <w:t>opportunities</w:t>
            </w:r>
          </w:p>
        </w:tc>
      </w:tr>
      <w:tr w:rsidR="00DA1273" w:rsidRPr="00DA1273" w:rsidTr="00DA1273">
        <w:tblPrEx>
          <w:tblLook w:val="04A0" w:firstRow="1" w:lastRow="0" w:firstColumn="1" w:lastColumn="0" w:noHBand="0" w:noVBand="1"/>
        </w:tblPrEx>
        <w:trPr>
          <w:gridAfter w:val="1"/>
          <w:wAfter w:w="42" w:type="dxa"/>
          <w:trHeight w:val="1184"/>
        </w:trPr>
        <w:tc>
          <w:tcPr>
            <w:tcW w:w="4131" w:type="dxa"/>
          </w:tcPr>
          <w:p w:rsidR="00DA1273" w:rsidRPr="00DA1273" w:rsidRDefault="00DA1273" w:rsidP="008C6A01">
            <w:pPr>
              <w:spacing w:line="259" w:lineRule="auto"/>
              <w:rPr>
                <w:sz w:val="20"/>
                <w:szCs w:val="20"/>
                <w:lang w:val="en-GB"/>
              </w:rPr>
            </w:pPr>
            <w:r w:rsidRPr="00DA1273">
              <w:rPr>
                <w:sz w:val="20"/>
                <w:szCs w:val="20"/>
                <w:lang w:val="en-GB"/>
              </w:rPr>
              <w:t>Time (in days) for considering a temporary protection order resulting from an application, Queensland wide</w:t>
            </w:r>
          </w:p>
        </w:tc>
        <w:tc>
          <w:tcPr>
            <w:tcW w:w="6599" w:type="dxa"/>
            <w:gridSpan w:val="2"/>
          </w:tcPr>
          <w:p w:rsidR="00DA1273" w:rsidRPr="00DA1273" w:rsidRDefault="00DA1273" w:rsidP="008C6A01">
            <w:pPr>
              <w:spacing w:line="259" w:lineRule="auto"/>
              <w:rPr>
                <w:sz w:val="20"/>
                <w:szCs w:val="20"/>
                <w:lang w:val="en-GB"/>
              </w:rPr>
            </w:pPr>
            <w:r w:rsidRPr="00DA1273">
              <w:rPr>
                <w:sz w:val="20"/>
                <w:szCs w:val="20"/>
                <w:lang w:val="en-GB"/>
              </w:rPr>
              <w:t>Time from filing application to making a temporary protection order has decreased to an average of 5.2 days, from 5.8 days in 2018–19. Time from filing application to making a temporary protection order for applications involving people who have identified as Aboriginal and/or Torres Strait Islander has also decreased to an average of 5.5 days, from 5.8 days in 2018–19</w:t>
            </w:r>
          </w:p>
        </w:tc>
      </w:tr>
    </w:tbl>
    <w:p w:rsidR="00DA1273" w:rsidRDefault="00DA1273" w:rsidP="00DA1273">
      <w:pPr>
        <w:widowControl w:val="0"/>
        <w:autoSpaceDE w:val="0"/>
        <w:autoSpaceDN w:val="0"/>
        <w:spacing w:before="116" w:after="0" w:line="204" w:lineRule="auto"/>
        <w:ind w:right="2637"/>
        <w:rPr>
          <w:rFonts w:eastAsia="Times New Roman" w:cstheme="minorHAnsi"/>
          <w:sz w:val="15"/>
          <w:szCs w:val="15"/>
          <w:lang w:val="en-GB"/>
        </w:rPr>
      </w:pPr>
    </w:p>
    <w:p w:rsidR="00DA1273" w:rsidRPr="00DA1273" w:rsidRDefault="00DA1273" w:rsidP="00CE48A7">
      <w:pPr>
        <w:widowControl w:val="0"/>
        <w:numPr>
          <w:ilvl w:val="0"/>
          <w:numId w:val="17"/>
        </w:numPr>
        <w:autoSpaceDE w:val="0"/>
        <w:autoSpaceDN w:val="0"/>
        <w:spacing w:before="116" w:after="0" w:line="204" w:lineRule="auto"/>
        <w:ind w:left="426" w:right="2637" w:hanging="426"/>
        <w:rPr>
          <w:rFonts w:eastAsia="Times New Roman" w:cstheme="minorHAnsi"/>
          <w:sz w:val="15"/>
          <w:szCs w:val="15"/>
          <w:lang w:val="en-GB"/>
        </w:rPr>
      </w:pPr>
      <w:r w:rsidRPr="00580A95">
        <w:rPr>
          <w:rFonts w:eastAsia="Times New Roman" w:cstheme="minorHAnsi"/>
          <w:sz w:val="15"/>
          <w:szCs w:val="15"/>
          <w:lang w:val="en-GB"/>
        </w:rPr>
        <w:t>This indicator reports the lowest and highest proportion of Queenslanders who believe one of five behaviours constitute domestic and family violence. Source: Queensland Social Survey 2020.</w:t>
      </w:r>
    </w:p>
    <w:p w:rsidR="00580A95" w:rsidRPr="00580A95" w:rsidRDefault="00580A95" w:rsidP="00CE48A7">
      <w:pPr>
        <w:widowControl w:val="0"/>
        <w:numPr>
          <w:ilvl w:val="0"/>
          <w:numId w:val="17"/>
        </w:numPr>
        <w:tabs>
          <w:tab w:val="left" w:pos="562"/>
        </w:tabs>
        <w:autoSpaceDE w:val="0"/>
        <w:autoSpaceDN w:val="0"/>
        <w:spacing w:before="102" w:after="0" w:line="221" w:lineRule="exact"/>
        <w:ind w:left="426" w:hanging="426"/>
        <w:rPr>
          <w:rFonts w:eastAsia="Times New Roman" w:cstheme="minorHAnsi"/>
          <w:sz w:val="15"/>
          <w:szCs w:val="15"/>
          <w:lang w:val="en-GB"/>
        </w:rPr>
      </w:pPr>
      <w:r w:rsidRPr="00580A95">
        <w:rPr>
          <w:rFonts w:eastAsia="Times New Roman" w:cstheme="minorHAnsi"/>
          <w:sz w:val="15"/>
          <w:szCs w:val="15"/>
          <w:lang w:val="en-GB"/>
        </w:rPr>
        <w:t>The</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2016–17</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to</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2018–19</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percentages</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reported</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here</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differ</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from</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the</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figures</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previously</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reported</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due</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to</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a</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change</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in</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methodology</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to</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ensure</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consistent</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reporting</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over</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the</w:t>
      </w:r>
      <w:r w:rsidRPr="00580A95">
        <w:rPr>
          <w:rFonts w:eastAsia="Times New Roman" w:cstheme="minorHAnsi"/>
          <w:spacing w:val="2"/>
          <w:sz w:val="15"/>
          <w:szCs w:val="15"/>
          <w:lang w:val="en-GB"/>
        </w:rPr>
        <w:t xml:space="preserve"> </w:t>
      </w:r>
      <w:r w:rsidRPr="00580A95">
        <w:rPr>
          <w:rFonts w:eastAsia="Times New Roman" w:cstheme="minorHAnsi"/>
          <w:sz w:val="15"/>
          <w:szCs w:val="15"/>
          <w:lang w:val="en-GB"/>
        </w:rPr>
        <w:t>period.</w:t>
      </w:r>
    </w:p>
    <w:p w:rsidR="00580A95" w:rsidRPr="00580A95" w:rsidRDefault="00580A95" w:rsidP="00CE48A7">
      <w:pPr>
        <w:widowControl w:val="0"/>
        <w:numPr>
          <w:ilvl w:val="0"/>
          <w:numId w:val="17"/>
        </w:numPr>
        <w:autoSpaceDE w:val="0"/>
        <w:autoSpaceDN w:val="0"/>
        <w:spacing w:after="0" w:line="221" w:lineRule="exact"/>
        <w:ind w:left="426" w:hanging="426"/>
        <w:rPr>
          <w:rFonts w:eastAsia="Times New Roman" w:cstheme="minorHAnsi"/>
          <w:sz w:val="15"/>
          <w:szCs w:val="15"/>
          <w:lang w:val="en-GB"/>
        </w:rPr>
      </w:pPr>
      <w:r w:rsidRPr="00580A95">
        <w:rPr>
          <w:rFonts w:eastAsia="Times New Roman" w:cstheme="minorHAnsi"/>
          <w:sz w:val="15"/>
          <w:szCs w:val="15"/>
          <w:lang w:val="en-GB"/>
        </w:rPr>
        <w:t>Some households may have been housed more than once during the reporting</w:t>
      </w:r>
      <w:r w:rsidRPr="00580A95">
        <w:rPr>
          <w:rFonts w:eastAsia="Times New Roman" w:cstheme="minorHAnsi"/>
          <w:spacing w:val="1"/>
          <w:sz w:val="15"/>
          <w:szCs w:val="15"/>
          <w:lang w:val="en-GB"/>
        </w:rPr>
        <w:t xml:space="preserve"> </w:t>
      </w:r>
      <w:r w:rsidRPr="00580A95">
        <w:rPr>
          <w:rFonts w:eastAsia="Times New Roman" w:cstheme="minorHAnsi"/>
          <w:sz w:val="15"/>
          <w:szCs w:val="15"/>
          <w:lang w:val="en-GB"/>
        </w:rPr>
        <w:t>period.</w:t>
      </w:r>
    </w:p>
    <w:p w:rsidR="00580A95" w:rsidRPr="008C6A01" w:rsidRDefault="00422032" w:rsidP="00CE48A7">
      <w:pPr>
        <w:pStyle w:val="ListParagraph"/>
        <w:widowControl w:val="0"/>
        <w:numPr>
          <w:ilvl w:val="0"/>
          <w:numId w:val="17"/>
        </w:numPr>
        <w:autoSpaceDE w:val="0"/>
        <w:autoSpaceDN w:val="0"/>
        <w:spacing w:before="109" w:after="0" w:line="240" w:lineRule="auto"/>
        <w:ind w:left="426" w:hanging="426"/>
        <w:rPr>
          <w:rFonts w:eastAsia="Times New Roman" w:cstheme="minorHAnsi"/>
          <w:sz w:val="15"/>
          <w:szCs w:val="15"/>
          <w:lang w:val="en-GB"/>
        </w:rPr>
      </w:pPr>
      <w:r w:rsidRPr="008C6A01">
        <w:rPr>
          <w:rFonts w:eastAsia="Times New Roman" w:cstheme="minorHAnsi"/>
          <w:sz w:val="15"/>
          <w:szCs w:val="15"/>
          <w:lang w:val="en-GB"/>
        </w:rPr>
        <w:t>This indicator reports the lowest and highest proportion of Queenslanders who believe one of five behaviours constitute domestic and family violence. Source: Queensland Social Survey 2020.</w:t>
      </w:r>
    </w:p>
    <w:p w:rsidR="008C6A01" w:rsidRPr="008C6A01" w:rsidRDefault="00422032" w:rsidP="00CE48A7">
      <w:pPr>
        <w:pStyle w:val="ListParagraph"/>
        <w:widowControl w:val="0"/>
        <w:numPr>
          <w:ilvl w:val="0"/>
          <w:numId w:val="17"/>
        </w:numPr>
        <w:autoSpaceDE w:val="0"/>
        <w:autoSpaceDN w:val="0"/>
        <w:spacing w:before="109" w:after="0" w:line="240" w:lineRule="auto"/>
        <w:ind w:left="426" w:hanging="426"/>
        <w:rPr>
          <w:rFonts w:eastAsiaTheme="majorEastAsia" w:cstheme="minorHAnsi"/>
          <w:sz w:val="15"/>
          <w:szCs w:val="15"/>
        </w:rPr>
      </w:pPr>
      <w:r w:rsidRPr="008C6A01">
        <w:rPr>
          <w:rFonts w:eastAsia="Times New Roman" w:cstheme="minorHAnsi"/>
          <w:sz w:val="15"/>
          <w:szCs w:val="15"/>
          <w:lang w:val="en-GB"/>
        </w:rPr>
        <w:t>The 2016–17 to 2018–19 percentages reported here differ from the figures previously reported due to a change in methodology to ensure consistent reporting over the period.</w:t>
      </w:r>
    </w:p>
    <w:p w:rsidR="00580A95" w:rsidRPr="008C6A01" w:rsidRDefault="008C6A01" w:rsidP="00CE48A7">
      <w:pPr>
        <w:pStyle w:val="ListParagraph"/>
        <w:widowControl w:val="0"/>
        <w:numPr>
          <w:ilvl w:val="0"/>
          <w:numId w:val="17"/>
        </w:numPr>
        <w:autoSpaceDE w:val="0"/>
        <w:autoSpaceDN w:val="0"/>
        <w:spacing w:before="109" w:after="0" w:line="240" w:lineRule="auto"/>
        <w:ind w:left="426" w:hanging="426"/>
        <w:rPr>
          <w:rFonts w:eastAsiaTheme="majorEastAsia" w:cstheme="minorHAnsi"/>
          <w:sz w:val="15"/>
          <w:szCs w:val="15"/>
        </w:rPr>
      </w:pPr>
      <w:r w:rsidRPr="008C6A01">
        <w:rPr>
          <w:rFonts w:eastAsia="Times New Roman" w:cstheme="minorHAnsi"/>
          <w:sz w:val="15"/>
          <w:szCs w:val="15"/>
          <w:lang w:val="en-GB"/>
        </w:rPr>
        <w:t>6.</w:t>
      </w:r>
      <w:r w:rsidR="00422032" w:rsidRPr="008C6A01">
        <w:rPr>
          <w:rFonts w:eastAsia="Times New Roman" w:cstheme="minorHAnsi"/>
          <w:sz w:val="15"/>
          <w:szCs w:val="15"/>
          <w:lang w:val="en-GB"/>
        </w:rPr>
        <w:t>Some households may have been housed more than once during the reporting period.</w:t>
      </w:r>
      <w:r w:rsidRPr="008C6A01">
        <w:rPr>
          <w:rFonts w:eastAsiaTheme="majorEastAsia" w:cstheme="minorHAnsi"/>
          <w:sz w:val="15"/>
          <w:szCs w:val="15"/>
        </w:rPr>
        <w:t xml:space="preserve"> </w:t>
      </w:r>
    </w:p>
    <w:sectPr w:rsidR="00580A95" w:rsidRPr="008C6A01" w:rsidSect="008C6A01">
      <w:pgSz w:w="11906" w:h="16838"/>
      <w:pgMar w:top="851" w:right="144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RIKZ Z+ Meta Cond Book LF">
    <w:altName w:val="Meta Cond Book LF"/>
    <w:panose1 w:val="00000000000000000000"/>
    <w:charset w:val="00"/>
    <w:family w:val="roman"/>
    <w:notTrueType/>
    <w:pitch w:val="default"/>
    <w:sig w:usb0="00000003" w:usb1="00000000" w:usb2="00000000" w:usb3="00000000" w:csb0="00000001" w:csb1="00000000"/>
  </w:font>
  <w:font w:name="ORIKZ Z+ Meta Normal LF">
    <w:altName w:val="Meta Normal LF"/>
    <w:panose1 w:val="00000000000000000000"/>
    <w:charset w:val="00"/>
    <w:family w:val="roman"/>
    <w:notTrueType/>
    <w:pitch w:val="default"/>
    <w:sig w:usb0="00000003" w:usb1="00000000" w:usb2="00000000" w:usb3="00000000" w:csb0="00000001" w:csb1="00000000"/>
  </w:font>
  <w:font w:name="ORIKZ Z+ Meta Bold LF">
    <w:altName w:val="Meta Bold LF"/>
    <w:panose1 w:val="00000000000000000000"/>
    <w:charset w:val="00"/>
    <w:family w:val="roman"/>
    <w:notTrueType/>
    <w:pitch w:val="default"/>
    <w:sig w:usb0="00000003" w:usb1="00000000" w:usb2="00000000" w:usb3="00000000" w:csb0="00000001" w:csb1="00000000"/>
  </w:font>
  <w:font w:name="MetaPro-Norm">
    <w:altName w:val="Calibri"/>
    <w:panose1 w:val="00000000000000000000"/>
    <w:charset w:val="00"/>
    <w:family w:val="swiss"/>
    <w:notTrueType/>
    <w:pitch w:val="default"/>
    <w:sig w:usb0="00000003" w:usb1="00000000" w:usb2="00000000" w:usb3="00000000" w:csb0="00000001" w:csb1="00000000"/>
  </w:font>
  <w:font w:name="ORIKZ Z+ Meta Cond Normal">
    <w:altName w:val="Meta Cond Norm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65C"/>
    <w:multiLevelType w:val="hybridMultilevel"/>
    <w:tmpl w:val="12C2E9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C21270"/>
    <w:multiLevelType w:val="hybridMultilevel"/>
    <w:tmpl w:val="16CCF7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B583674"/>
    <w:multiLevelType w:val="hybridMultilevel"/>
    <w:tmpl w:val="A138691C"/>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073C7E"/>
    <w:multiLevelType w:val="hybridMultilevel"/>
    <w:tmpl w:val="EE06DB48"/>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643D89"/>
    <w:multiLevelType w:val="hybridMultilevel"/>
    <w:tmpl w:val="EFD43142"/>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DD40DB"/>
    <w:multiLevelType w:val="hybridMultilevel"/>
    <w:tmpl w:val="DD56DC30"/>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A4120D"/>
    <w:multiLevelType w:val="hybridMultilevel"/>
    <w:tmpl w:val="541C443C"/>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28591B"/>
    <w:multiLevelType w:val="hybridMultilevel"/>
    <w:tmpl w:val="6978844C"/>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993EA4"/>
    <w:multiLevelType w:val="hybridMultilevel"/>
    <w:tmpl w:val="B108F960"/>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2A488E"/>
    <w:multiLevelType w:val="hybridMultilevel"/>
    <w:tmpl w:val="89C4A31A"/>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240126"/>
    <w:multiLevelType w:val="hybridMultilevel"/>
    <w:tmpl w:val="6A6AC0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064DCE"/>
    <w:multiLevelType w:val="hybridMultilevel"/>
    <w:tmpl w:val="2CD8AF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FA0EAD"/>
    <w:multiLevelType w:val="hybridMultilevel"/>
    <w:tmpl w:val="F596FE48"/>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970D1B"/>
    <w:multiLevelType w:val="hybridMultilevel"/>
    <w:tmpl w:val="FB12AF40"/>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763095"/>
    <w:multiLevelType w:val="hybridMultilevel"/>
    <w:tmpl w:val="FF3C452A"/>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C2B69CE"/>
    <w:multiLevelType w:val="hybridMultilevel"/>
    <w:tmpl w:val="BFC8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FE752AA"/>
    <w:multiLevelType w:val="hybridMultilevel"/>
    <w:tmpl w:val="152468C0"/>
    <w:lvl w:ilvl="0" w:tplc="93B061F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4"/>
  </w:num>
  <w:num w:numId="6">
    <w:abstractNumId w:val="3"/>
  </w:num>
  <w:num w:numId="7">
    <w:abstractNumId w:val="8"/>
  </w:num>
  <w:num w:numId="8">
    <w:abstractNumId w:val="16"/>
  </w:num>
  <w:num w:numId="9">
    <w:abstractNumId w:val="11"/>
  </w:num>
  <w:num w:numId="10">
    <w:abstractNumId w:val="14"/>
  </w:num>
  <w:num w:numId="11">
    <w:abstractNumId w:val="10"/>
  </w:num>
  <w:num w:numId="12">
    <w:abstractNumId w:val="7"/>
  </w:num>
  <w:num w:numId="13">
    <w:abstractNumId w:val="13"/>
  </w:num>
  <w:num w:numId="14">
    <w:abstractNumId w:val="5"/>
  </w:num>
  <w:num w:numId="15">
    <w:abstractNumId w:val="9"/>
  </w:num>
  <w:num w:numId="16">
    <w:abstractNumId w:val="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EB"/>
    <w:rsid w:val="001665AA"/>
    <w:rsid w:val="001D13F4"/>
    <w:rsid w:val="00210DEB"/>
    <w:rsid w:val="00244E10"/>
    <w:rsid w:val="002A272B"/>
    <w:rsid w:val="0030635C"/>
    <w:rsid w:val="003F237C"/>
    <w:rsid w:val="00422032"/>
    <w:rsid w:val="00580A95"/>
    <w:rsid w:val="00616E76"/>
    <w:rsid w:val="00687B50"/>
    <w:rsid w:val="00744A1D"/>
    <w:rsid w:val="0086296A"/>
    <w:rsid w:val="008C6A01"/>
    <w:rsid w:val="009C0018"/>
    <w:rsid w:val="00AA2CB5"/>
    <w:rsid w:val="00AE2963"/>
    <w:rsid w:val="00B96FA1"/>
    <w:rsid w:val="00CE48A7"/>
    <w:rsid w:val="00D868E8"/>
    <w:rsid w:val="00DA1273"/>
    <w:rsid w:val="00DF6F39"/>
    <w:rsid w:val="00F36E83"/>
    <w:rsid w:val="00F53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FDE2F-1559-4222-827E-5045685F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0D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0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0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0D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10D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10DE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D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0D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0D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10D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10D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10DEB"/>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210DEB"/>
    <w:pPr>
      <w:ind w:left="720"/>
      <w:contextualSpacing/>
    </w:pPr>
  </w:style>
  <w:style w:type="paragraph" w:customStyle="1" w:styleId="Default">
    <w:name w:val="Default"/>
    <w:rsid w:val="00AE2963"/>
    <w:pPr>
      <w:autoSpaceDE w:val="0"/>
      <w:autoSpaceDN w:val="0"/>
      <w:adjustRightInd w:val="0"/>
      <w:spacing w:after="0" w:line="240" w:lineRule="auto"/>
    </w:pPr>
    <w:rPr>
      <w:rFonts w:ascii="ORIKZ Z+ Meta Cond Book LF" w:hAnsi="ORIKZ Z+ Meta Cond Book LF" w:cs="ORIKZ Z+ Meta Cond Book LF"/>
      <w:color w:val="000000"/>
      <w:sz w:val="24"/>
      <w:szCs w:val="24"/>
    </w:rPr>
  </w:style>
  <w:style w:type="paragraph" w:customStyle="1" w:styleId="Pa2">
    <w:name w:val="Pa2"/>
    <w:basedOn w:val="Default"/>
    <w:next w:val="Default"/>
    <w:uiPriority w:val="99"/>
    <w:rsid w:val="00AE2963"/>
    <w:pPr>
      <w:spacing w:line="221" w:lineRule="atLeast"/>
    </w:pPr>
    <w:rPr>
      <w:rFonts w:cstheme="minorBidi"/>
      <w:color w:val="auto"/>
    </w:rPr>
  </w:style>
  <w:style w:type="paragraph" w:customStyle="1" w:styleId="Pa9">
    <w:name w:val="Pa9"/>
    <w:basedOn w:val="Default"/>
    <w:next w:val="Default"/>
    <w:uiPriority w:val="99"/>
    <w:rsid w:val="00AA2CB5"/>
    <w:pPr>
      <w:spacing w:line="201" w:lineRule="atLeast"/>
    </w:pPr>
    <w:rPr>
      <w:rFonts w:ascii="ORIKZ Z+ Meta Normal LF" w:hAnsi="ORIKZ Z+ Meta Normal LF" w:cstheme="minorBidi"/>
      <w:color w:val="auto"/>
    </w:rPr>
  </w:style>
  <w:style w:type="paragraph" w:customStyle="1" w:styleId="Pa13">
    <w:name w:val="Pa13"/>
    <w:basedOn w:val="Default"/>
    <w:next w:val="Default"/>
    <w:uiPriority w:val="99"/>
    <w:rsid w:val="00AA2CB5"/>
    <w:pPr>
      <w:spacing w:line="151" w:lineRule="atLeast"/>
    </w:pPr>
    <w:rPr>
      <w:rFonts w:cstheme="minorBidi"/>
      <w:color w:val="auto"/>
    </w:rPr>
  </w:style>
  <w:style w:type="paragraph" w:customStyle="1" w:styleId="Pa15">
    <w:name w:val="Pa15"/>
    <w:basedOn w:val="Default"/>
    <w:next w:val="Default"/>
    <w:uiPriority w:val="99"/>
    <w:rsid w:val="00AA2CB5"/>
    <w:pPr>
      <w:spacing w:line="161" w:lineRule="atLeast"/>
    </w:pPr>
    <w:rPr>
      <w:rFonts w:ascii="ORIKZ Z+ Meta Bold LF" w:hAnsi="ORIKZ Z+ Meta Bold LF" w:cstheme="minorBidi"/>
      <w:color w:val="auto"/>
    </w:rPr>
  </w:style>
  <w:style w:type="character" w:customStyle="1" w:styleId="A12">
    <w:name w:val="A12"/>
    <w:uiPriority w:val="99"/>
    <w:rsid w:val="00AA2CB5"/>
    <w:rPr>
      <w:rFonts w:cs="ORIKZ Z+ Meta Bold LF"/>
      <w:b/>
      <w:bCs/>
      <w:color w:val="000000"/>
      <w:sz w:val="9"/>
      <w:szCs w:val="9"/>
    </w:rPr>
  </w:style>
  <w:style w:type="paragraph" w:customStyle="1" w:styleId="Pa17">
    <w:name w:val="Pa17"/>
    <w:basedOn w:val="Default"/>
    <w:next w:val="Default"/>
    <w:uiPriority w:val="99"/>
    <w:rsid w:val="00AA2CB5"/>
    <w:pPr>
      <w:spacing w:line="161" w:lineRule="atLeast"/>
    </w:pPr>
    <w:rPr>
      <w:rFonts w:ascii="ORIKZ Z+ Meta Bold LF" w:hAnsi="ORIKZ Z+ Meta Bold LF" w:cstheme="minorBidi"/>
      <w:color w:val="auto"/>
    </w:rPr>
  </w:style>
  <w:style w:type="character" w:customStyle="1" w:styleId="A14">
    <w:name w:val="A14"/>
    <w:uiPriority w:val="99"/>
    <w:rsid w:val="00AA2CB5"/>
    <w:rPr>
      <w:rFonts w:cs="ORIKZ Z+ Meta Bold LF"/>
      <w:b/>
      <w:bCs/>
      <w:color w:val="000000"/>
      <w:sz w:val="10"/>
      <w:szCs w:val="10"/>
    </w:rPr>
  </w:style>
  <w:style w:type="paragraph" w:customStyle="1" w:styleId="Pa19">
    <w:name w:val="Pa19"/>
    <w:basedOn w:val="Default"/>
    <w:next w:val="Default"/>
    <w:uiPriority w:val="99"/>
    <w:rsid w:val="00AA2CB5"/>
    <w:pPr>
      <w:spacing w:line="171" w:lineRule="atLeast"/>
    </w:pPr>
    <w:rPr>
      <w:rFonts w:ascii="ORIKZ Z+ Meta Bold LF" w:hAnsi="ORIKZ Z+ Meta Bold LF" w:cstheme="minorBidi"/>
      <w:color w:val="auto"/>
    </w:rPr>
  </w:style>
  <w:style w:type="paragraph" w:customStyle="1" w:styleId="Pa5">
    <w:name w:val="Pa5"/>
    <w:basedOn w:val="Default"/>
    <w:next w:val="Default"/>
    <w:uiPriority w:val="99"/>
    <w:rsid w:val="00AA2CB5"/>
    <w:pPr>
      <w:spacing w:line="151" w:lineRule="atLeast"/>
    </w:pPr>
    <w:rPr>
      <w:rFonts w:ascii="ORIKZ Z+ Meta Bold LF" w:hAnsi="ORIKZ Z+ Meta Bold LF" w:cstheme="minorBidi"/>
      <w:color w:val="auto"/>
    </w:rPr>
  </w:style>
  <w:style w:type="character" w:customStyle="1" w:styleId="A3">
    <w:name w:val="A3"/>
    <w:uiPriority w:val="99"/>
    <w:rsid w:val="00AA2CB5"/>
    <w:rPr>
      <w:rFonts w:ascii="ORIKZ Z+ Meta Cond Book LF" w:hAnsi="ORIKZ Z+ Meta Cond Book LF" w:cs="ORIKZ Z+ Meta Cond Book LF"/>
      <w:color w:val="000000"/>
      <w:sz w:val="15"/>
      <w:szCs w:val="15"/>
    </w:rPr>
  </w:style>
  <w:style w:type="paragraph" w:customStyle="1" w:styleId="Pa23">
    <w:name w:val="Pa23"/>
    <w:basedOn w:val="Default"/>
    <w:next w:val="Default"/>
    <w:uiPriority w:val="99"/>
    <w:rsid w:val="00AA2CB5"/>
    <w:pPr>
      <w:spacing w:line="151" w:lineRule="atLeast"/>
    </w:pPr>
    <w:rPr>
      <w:rFonts w:ascii="ORIKZ Z+ Meta Bold LF" w:hAnsi="ORIKZ Z+ Meta Bold LF" w:cstheme="minorBidi"/>
      <w:color w:val="auto"/>
    </w:rPr>
  </w:style>
  <w:style w:type="table" w:styleId="TableGrid">
    <w:name w:val="Table Grid"/>
    <w:basedOn w:val="TableNormal"/>
    <w:uiPriority w:val="39"/>
    <w:rsid w:val="00DF6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80A95"/>
    <w:pPr>
      <w:widowControl w:val="0"/>
      <w:autoSpaceDE w:val="0"/>
      <w:autoSpaceDN w:val="0"/>
      <w:spacing w:after="0" w:line="240" w:lineRule="auto"/>
    </w:pPr>
    <w:rPr>
      <w:rFonts w:ascii="MetaPro-Norm" w:eastAsia="Times New Roman" w:hAnsi="MetaPro-Norm" w:cs="MetaPro-Norm"/>
      <w:sz w:val="21"/>
      <w:szCs w:val="21"/>
      <w:lang w:val="en-GB"/>
    </w:rPr>
  </w:style>
  <w:style w:type="character" w:customStyle="1" w:styleId="BodyTextChar">
    <w:name w:val="Body Text Char"/>
    <w:basedOn w:val="DefaultParagraphFont"/>
    <w:link w:val="BodyText"/>
    <w:uiPriority w:val="1"/>
    <w:rsid w:val="00580A95"/>
    <w:rPr>
      <w:rFonts w:ascii="MetaPro-Norm" w:eastAsia="Times New Roman" w:hAnsi="MetaPro-Norm" w:cs="MetaPro-Norm"/>
      <w:sz w:val="21"/>
      <w:szCs w:val="21"/>
      <w:lang w:val="en-GB"/>
    </w:rPr>
  </w:style>
  <w:style w:type="paragraph" w:customStyle="1" w:styleId="TableParagraph">
    <w:name w:val="Table Paragraph"/>
    <w:basedOn w:val="Normal"/>
    <w:uiPriority w:val="1"/>
    <w:qFormat/>
    <w:rsid w:val="00580A95"/>
    <w:pPr>
      <w:widowControl w:val="0"/>
      <w:autoSpaceDE w:val="0"/>
      <w:autoSpaceDN w:val="0"/>
      <w:spacing w:before="75" w:after="0" w:line="240" w:lineRule="auto"/>
      <w:ind w:left="170"/>
    </w:pPr>
    <w:rPr>
      <w:rFonts w:ascii="MetaPro-Norm" w:eastAsia="Times New Roman" w:hAnsi="MetaPro-Norm" w:cs="MetaPro-Norm"/>
      <w:lang w:val="en-GB"/>
    </w:rPr>
  </w:style>
  <w:style w:type="table" w:customStyle="1" w:styleId="TableGrid1">
    <w:name w:val="Table Grid1"/>
    <w:basedOn w:val="TableNormal"/>
    <w:next w:val="TableGrid"/>
    <w:uiPriority w:val="39"/>
    <w:rsid w:val="00DA1273"/>
    <w:pPr>
      <w:widowControl w:val="0"/>
      <w:autoSpaceDE w:val="0"/>
      <w:autoSpaceDN w:val="0"/>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B25C-4288-408C-8450-D3427122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2020-11-20T00:23:00Z</dcterms:created>
  <dc:creator>Queensland Government</dc:creator>
  <cp:keywords>domestic violence, domestic and family violence, domestic violence queensland, end dfv, not now not ever</cp:keywords>
  <cp:lastModifiedBy>Colleen Turner</cp:lastModifiedBy>
  <dcterms:modified xsi:type="dcterms:W3CDTF">2020-11-20T01:17:00Z</dcterms:modified>
  <cp:revision>9</cp:revision>
  <dc:subject>Queensland says: not now, not ever, together Year 5 highlights card 2019-2020 </dc:subject>
  <dc:title>Queensland says: not now, not ever, together Year 5 highlights card  </dc:title>
</cp:coreProperties>
</file>