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35C" w:rsidRDefault="00210DEB" w:rsidP="00210DEB">
      <w:pPr>
        <w:pStyle w:val="Heading1"/>
      </w:pPr>
      <w:r>
        <w:t>Queensland says:</w:t>
      </w:r>
      <w:r>
        <w:t xml:space="preserve"> </w:t>
      </w:r>
      <w:r>
        <w:t>not now, not ever</w:t>
      </w:r>
    </w:p>
    <w:p w:rsidR="00210DEB" w:rsidRDefault="00210DEB" w:rsidP="00210DEB"/>
    <w:p w:rsidR="00210DEB" w:rsidRPr="00210DEB" w:rsidRDefault="00210DEB" w:rsidP="00210DEB">
      <w:pPr>
        <w:pStyle w:val="Heading2"/>
      </w:pPr>
      <w:r w:rsidRPr="00210DEB">
        <w:t>Year 4 highlights card (1 July 2018 to 30 June 2019)</w:t>
      </w:r>
    </w:p>
    <w:p w:rsidR="00210DEB" w:rsidRDefault="00210DEB" w:rsidP="00210DEB"/>
    <w:p w:rsidR="00210DEB" w:rsidRDefault="00210DEB" w:rsidP="00210DEB">
      <w:pPr>
        <w:pStyle w:val="Heading5"/>
      </w:pPr>
      <w:r>
        <w:t>Queenslanders</w:t>
      </w:r>
      <w:r>
        <w:t xml:space="preserve"> </w:t>
      </w:r>
      <w:r>
        <w:t>take a zero tolerance</w:t>
      </w:r>
      <w:r>
        <w:t xml:space="preserve"> </w:t>
      </w:r>
      <w:r>
        <w:t>approach to domestic</w:t>
      </w:r>
      <w:r>
        <w:t xml:space="preserve"> </w:t>
      </w:r>
      <w:r>
        <w:t>and family violence</w:t>
      </w:r>
    </w:p>
    <w:p w:rsidR="00210DEB" w:rsidRDefault="00210DEB" w:rsidP="00210DEB">
      <w:r w:rsidRPr="00AE2963">
        <w:rPr>
          <w:b/>
        </w:rPr>
        <w:t>99%</w:t>
      </w:r>
      <w:r>
        <w:t xml:space="preserve"> of Queenslanders recognise</w:t>
      </w:r>
      <w:r>
        <w:t xml:space="preserve"> </w:t>
      </w:r>
      <w:r>
        <w:t>trying to scare or control a partner</w:t>
      </w:r>
      <w:r>
        <w:t xml:space="preserve"> </w:t>
      </w:r>
      <w:r>
        <w:t>by threatening to hurt other</w:t>
      </w:r>
      <w:r>
        <w:t xml:space="preserve"> </w:t>
      </w:r>
      <w:r>
        <w:t>family members as domestic and</w:t>
      </w:r>
      <w:r>
        <w:t xml:space="preserve"> </w:t>
      </w:r>
      <w:r>
        <w:t>family violence</w:t>
      </w:r>
      <w:r>
        <w:t xml:space="preserve"> </w:t>
      </w:r>
    </w:p>
    <w:p w:rsidR="00210DEB" w:rsidRDefault="00210DEB" w:rsidP="00210DEB">
      <w:r w:rsidRPr="00AE2963">
        <w:rPr>
          <w:b/>
        </w:rPr>
        <w:t>94%</w:t>
      </w:r>
      <w:r>
        <w:t xml:space="preserve"> of Queenslanders recognise</w:t>
      </w:r>
      <w:r>
        <w:t xml:space="preserve"> trying to control a </w:t>
      </w:r>
      <w:r>
        <w:t>partner by denying</w:t>
      </w:r>
      <w:r>
        <w:t xml:space="preserve"> </w:t>
      </w:r>
      <w:r>
        <w:t>them access to money as domestic</w:t>
      </w:r>
      <w:r>
        <w:t xml:space="preserve"> </w:t>
      </w:r>
      <w:r>
        <w:t>and family violence</w:t>
      </w:r>
    </w:p>
    <w:p w:rsidR="00210DEB" w:rsidRDefault="00210DEB" w:rsidP="00210DEB">
      <w:pPr>
        <w:pStyle w:val="Heading5"/>
      </w:pPr>
      <w:r>
        <w:t>Victims and their</w:t>
      </w:r>
      <w:r>
        <w:t xml:space="preserve"> </w:t>
      </w:r>
      <w:r>
        <w:t>families are safe</w:t>
      </w:r>
      <w:r>
        <w:t xml:space="preserve"> </w:t>
      </w:r>
      <w:r>
        <w:t>and supported</w:t>
      </w:r>
    </w:p>
    <w:p w:rsidR="00210DEB" w:rsidRDefault="00210DEB" w:rsidP="00210DEB">
      <w:r>
        <w:t xml:space="preserve">More than </w:t>
      </w:r>
      <w:r w:rsidRPr="00AE2963">
        <w:rPr>
          <w:b/>
        </w:rPr>
        <w:t>13,000</w:t>
      </w:r>
      <w:r>
        <w:t xml:space="preserve"> people supported</w:t>
      </w:r>
      <w:r>
        <w:t xml:space="preserve"> </w:t>
      </w:r>
      <w:r>
        <w:t>to access crisis accommodation</w:t>
      </w:r>
      <w:r>
        <w:t xml:space="preserve"> </w:t>
      </w:r>
      <w:r>
        <w:t>in 2018–19, an 11% increase on</w:t>
      </w:r>
      <w:r>
        <w:t xml:space="preserve"> </w:t>
      </w:r>
      <w:r>
        <w:t>2017–18</w:t>
      </w:r>
    </w:p>
    <w:p w:rsidR="00210DEB" w:rsidRDefault="00210DEB" w:rsidP="00210DEB">
      <w:r w:rsidRPr="00AE2963">
        <w:rPr>
          <w:b/>
        </w:rPr>
        <w:t>24%</w:t>
      </w:r>
      <w:r>
        <w:t xml:space="preserve"> increase in the number of</w:t>
      </w:r>
      <w:r>
        <w:t xml:space="preserve"> </w:t>
      </w:r>
      <w:r>
        <w:t>domestic violence counselling clients</w:t>
      </w:r>
      <w:r>
        <w:t xml:space="preserve"> </w:t>
      </w:r>
      <w:r>
        <w:t>who were provided brokerage for</w:t>
      </w:r>
      <w:r>
        <w:t xml:space="preserve"> </w:t>
      </w:r>
      <w:r>
        <w:t>safety upgrades to their homes</w:t>
      </w:r>
      <w:r>
        <w:t xml:space="preserve"> </w:t>
      </w:r>
      <w:r>
        <w:t>compared to 2017–18</w:t>
      </w:r>
    </w:p>
    <w:p w:rsidR="00210DEB" w:rsidRDefault="00210DEB" w:rsidP="00210DEB">
      <w:r w:rsidRPr="00AE2963">
        <w:rPr>
          <w:b/>
        </w:rPr>
        <w:t>$1.5 million</w:t>
      </w:r>
      <w:r>
        <w:t xml:space="preserve"> over two years to</w:t>
      </w:r>
      <w:r>
        <w:t xml:space="preserve"> </w:t>
      </w:r>
      <w:r>
        <w:t>address the impact of domestic</w:t>
      </w:r>
      <w:r>
        <w:t xml:space="preserve"> </w:t>
      </w:r>
      <w:r>
        <w:t>and family violence on people</w:t>
      </w:r>
      <w:r>
        <w:t xml:space="preserve"> </w:t>
      </w:r>
      <w:r>
        <w:t>with disability</w:t>
      </w:r>
    </w:p>
    <w:p w:rsidR="00210DEB" w:rsidRDefault="00210DEB" w:rsidP="00210DEB">
      <w:pPr>
        <w:pStyle w:val="Heading5"/>
      </w:pPr>
      <w:r>
        <w:t>Queensland</w:t>
      </w:r>
      <w:r>
        <w:t xml:space="preserve"> </w:t>
      </w:r>
      <w:r>
        <w:t>community,</w:t>
      </w:r>
      <w:r>
        <w:t xml:space="preserve"> </w:t>
      </w:r>
      <w:r>
        <w:t>business, religious,</w:t>
      </w:r>
      <w:r>
        <w:t xml:space="preserve"> </w:t>
      </w:r>
      <w:r>
        <w:t>sporting and all government</w:t>
      </w:r>
      <w:r>
        <w:t xml:space="preserve"> </w:t>
      </w:r>
      <w:r>
        <w:t>leaders are taking action and</w:t>
      </w:r>
      <w:r>
        <w:t xml:space="preserve"> </w:t>
      </w:r>
      <w:r>
        <w:t>working together</w:t>
      </w:r>
    </w:p>
    <w:p w:rsidR="00210DEB" w:rsidRDefault="00210DEB" w:rsidP="00AE2963">
      <w:r w:rsidRPr="00AE2963">
        <w:rPr>
          <w:b/>
        </w:rPr>
        <w:t>56</w:t>
      </w:r>
      <w:r>
        <w:t xml:space="preserve"> registered events for Domestic</w:t>
      </w:r>
      <w:r>
        <w:t xml:space="preserve"> </w:t>
      </w:r>
      <w:r>
        <w:t>and Family Violence Prevention</w:t>
      </w:r>
      <w:r>
        <w:t xml:space="preserve"> </w:t>
      </w:r>
      <w:r>
        <w:t>Month 2019</w:t>
      </w:r>
    </w:p>
    <w:p w:rsidR="00210DEB" w:rsidRDefault="00210DEB" w:rsidP="00210DEB">
      <w:pPr>
        <w:pStyle w:val="ListParagraph"/>
        <w:numPr>
          <w:ilvl w:val="0"/>
          <w:numId w:val="2"/>
        </w:numPr>
      </w:pPr>
      <w:r w:rsidRPr="00AE2963">
        <w:rPr>
          <w:b/>
        </w:rPr>
        <w:t>7.9%</w:t>
      </w:r>
      <w:r>
        <w:t xml:space="preserve"> of adult Queenslanders were</w:t>
      </w:r>
      <w:r>
        <w:t xml:space="preserve"> </w:t>
      </w:r>
      <w:r>
        <w:t>involved in a community domestic and</w:t>
      </w:r>
      <w:r>
        <w:t xml:space="preserve"> </w:t>
      </w:r>
      <w:r>
        <w:t>family violence initiative (almost 300,000</w:t>
      </w:r>
      <w:r>
        <w:t xml:space="preserve"> </w:t>
      </w:r>
      <w:r>
        <w:t>Queensland adults)</w:t>
      </w:r>
    </w:p>
    <w:p w:rsidR="00210DEB" w:rsidRDefault="00210DEB" w:rsidP="00210DEB">
      <w:pPr>
        <w:pStyle w:val="ListParagraph"/>
        <w:numPr>
          <w:ilvl w:val="0"/>
          <w:numId w:val="2"/>
        </w:numPr>
      </w:pPr>
      <w:r w:rsidRPr="00AE2963">
        <w:rPr>
          <w:b/>
        </w:rPr>
        <w:t>6.2%</w:t>
      </w:r>
      <w:r>
        <w:t xml:space="preserve"> increase in the proportion of</w:t>
      </w:r>
      <w:r>
        <w:t xml:space="preserve"> </w:t>
      </w:r>
      <w:r>
        <w:t>non</w:t>
      </w:r>
      <w:r w:rsidRPr="00210DEB">
        <w:rPr>
          <w:rFonts w:ascii="Cambria Math" w:hAnsi="Cambria Math" w:cs="Cambria Math"/>
        </w:rPr>
        <w:t>‑</w:t>
      </w:r>
      <w:r>
        <w:t>public organisations that reported</w:t>
      </w:r>
      <w:r>
        <w:t xml:space="preserve"> having a formal </w:t>
      </w:r>
      <w:r>
        <w:t>workplace domestic and</w:t>
      </w:r>
      <w:r>
        <w:t xml:space="preserve"> </w:t>
      </w:r>
      <w:r>
        <w:t>family violence policy between 2016–17</w:t>
      </w:r>
      <w:r>
        <w:t xml:space="preserve"> </w:t>
      </w:r>
      <w:r>
        <w:t>and 2017–18</w:t>
      </w:r>
    </w:p>
    <w:p w:rsidR="00210DEB" w:rsidRDefault="00744A1D" w:rsidP="00744A1D">
      <w:pPr>
        <w:pStyle w:val="Heading5"/>
      </w:pPr>
      <w:r>
        <w:t>Queensland</w:t>
      </w:r>
      <w:r>
        <w:t xml:space="preserve"> </w:t>
      </w:r>
      <w:r>
        <w:t>workplaces</w:t>
      </w:r>
      <w:r>
        <w:t xml:space="preserve"> </w:t>
      </w:r>
      <w:r>
        <w:t>and workforce</w:t>
      </w:r>
      <w:r>
        <w:t xml:space="preserve"> </w:t>
      </w:r>
      <w:r>
        <w:t>challenge</w:t>
      </w:r>
      <w:r>
        <w:t xml:space="preserve"> </w:t>
      </w:r>
      <w:r>
        <w:t>attitudes contributing to violence</w:t>
      </w:r>
      <w:r>
        <w:t xml:space="preserve"> </w:t>
      </w:r>
      <w:r>
        <w:t>and effectively support workers</w:t>
      </w:r>
    </w:p>
    <w:p w:rsidR="00744A1D" w:rsidRDefault="00744A1D" w:rsidP="00AE2963">
      <w:r w:rsidRPr="00AE2963">
        <w:rPr>
          <w:b/>
        </w:rPr>
        <w:t>100%</w:t>
      </w:r>
      <w:r>
        <w:t xml:space="preserve"> of Queensland Government</w:t>
      </w:r>
      <w:r>
        <w:t xml:space="preserve"> </w:t>
      </w:r>
      <w:r>
        <w:t>departments White Ribbon</w:t>
      </w:r>
      <w:r>
        <w:t xml:space="preserve"> </w:t>
      </w:r>
      <w:r>
        <w:t>accredited</w:t>
      </w:r>
    </w:p>
    <w:p w:rsidR="00744A1D" w:rsidRDefault="00744A1D" w:rsidP="00744A1D">
      <w:pPr>
        <w:pStyle w:val="ListParagraph"/>
        <w:numPr>
          <w:ilvl w:val="0"/>
          <w:numId w:val="2"/>
        </w:numPr>
      </w:pPr>
      <w:r w:rsidRPr="00AE2963">
        <w:rPr>
          <w:b/>
        </w:rPr>
        <w:t>77%</w:t>
      </w:r>
      <w:r>
        <w:t xml:space="preserve"> of Queensland Government</w:t>
      </w:r>
      <w:r>
        <w:t xml:space="preserve"> </w:t>
      </w:r>
      <w:r>
        <w:t>employees aware of domestic and family</w:t>
      </w:r>
      <w:r>
        <w:t xml:space="preserve"> </w:t>
      </w:r>
      <w:r>
        <w:t>violence support</w:t>
      </w:r>
    </w:p>
    <w:p w:rsidR="00744A1D" w:rsidRDefault="00744A1D" w:rsidP="00744A1D">
      <w:pPr>
        <w:pStyle w:val="ListParagraph"/>
        <w:numPr>
          <w:ilvl w:val="0"/>
          <w:numId w:val="2"/>
        </w:numPr>
      </w:pPr>
      <w:r>
        <w:t xml:space="preserve">In 2019, </w:t>
      </w:r>
      <w:r w:rsidRPr="00AE2963">
        <w:rPr>
          <w:b/>
        </w:rPr>
        <w:t>40%</w:t>
      </w:r>
      <w:r>
        <w:t xml:space="preserve"> of Queenslanders were</w:t>
      </w:r>
      <w:r>
        <w:t xml:space="preserve"> </w:t>
      </w:r>
      <w:r>
        <w:t>much more likely to report their workplace</w:t>
      </w:r>
      <w:r>
        <w:t xml:space="preserve"> </w:t>
      </w:r>
      <w:r>
        <w:t>had engaged in domestic and family</w:t>
      </w:r>
      <w:r>
        <w:t xml:space="preserve"> </w:t>
      </w:r>
      <w:r>
        <w:t>violence prevention initiatives in the last</w:t>
      </w:r>
      <w:r>
        <w:t xml:space="preserve"> </w:t>
      </w:r>
      <w:r>
        <w:t>12 months when compared to 2017 (34%)</w:t>
      </w:r>
    </w:p>
    <w:p w:rsidR="00744A1D" w:rsidRPr="00744A1D" w:rsidRDefault="00744A1D" w:rsidP="00744A1D"/>
    <w:p w:rsidR="00744A1D" w:rsidRDefault="00744A1D" w:rsidP="00744A1D">
      <w:pPr>
        <w:pStyle w:val="Heading5"/>
      </w:pPr>
      <w:r w:rsidRPr="00744A1D">
        <w:t xml:space="preserve"> Perpetrators stop using violence and are held to account</w:t>
      </w:r>
    </w:p>
    <w:p w:rsidR="00AE2963" w:rsidRPr="00AE2963" w:rsidRDefault="00AE2963" w:rsidP="00AE2963">
      <w:pPr>
        <w:rPr>
          <w:rFonts w:cstheme="minorHAnsi"/>
        </w:rPr>
      </w:pPr>
      <w:r w:rsidRPr="00AE2963">
        <w:rPr>
          <w:rFonts w:cstheme="minorHAnsi"/>
        </w:rPr>
        <w:t xml:space="preserve">More than </w:t>
      </w:r>
      <w:r w:rsidRPr="00AE2963">
        <w:rPr>
          <w:rFonts w:cstheme="minorHAnsi"/>
          <w:b/>
          <w:bCs/>
        </w:rPr>
        <w:t xml:space="preserve">10,000 </w:t>
      </w:r>
      <w:r w:rsidRPr="00AE2963">
        <w:rPr>
          <w:rFonts w:cstheme="minorHAnsi"/>
        </w:rPr>
        <w:t xml:space="preserve">perpetrators voluntarily accessing help </w:t>
      </w:r>
    </w:p>
    <w:p w:rsidR="00AE2963" w:rsidRPr="00AE2963" w:rsidRDefault="00AE2963" w:rsidP="00AE2963">
      <w:pPr>
        <w:rPr>
          <w:rFonts w:cstheme="minorHAnsi"/>
        </w:rPr>
      </w:pPr>
      <w:r w:rsidRPr="00AE2963">
        <w:rPr>
          <w:rFonts w:cstheme="minorHAnsi"/>
          <w:b/>
          <w:bCs/>
        </w:rPr>
        <w:t xml:space="preserve">2472 </w:t>
      </w:r>
      <w:r w:rsidRPr="00AE2963">
        <w:rPr>
          <w:rFonts w:cstheme="minorHAnsi"/>
        </w:rPr>
        <w:t>perpetrators assessed by non</w:t>
      </w:r>
      <w:r w:rsidRPr="00AE2963">
        <w:rPr>
          <w:rFonts w:cstheme="minorHAnsi"/>
        </w:rPr>
        <w:noBreakHyphen/>
        <w:t xml:space="preserve">government organisations as having reduced their use of domestic and family violence </w:t>
      </w:r>
    </w:p>
    <w:p w:rsidR="00AE2963" w:rsidRPr="00AE2963" w:rsidRDefault="00AE2963" w:rsidP="00AE2963">
      <w:pPr>
        <w:rPr>
          <w:rFonts w:cstheme="minorHAnsi"/>
        </w:rPr>
      </w:pPr>
      <w:r w:rsidRPr="00AE2963">
        <w:rPr>
          <w:rFonts w:cstheme="minorHAnsi"/>
          <w:b/>
          <w:bCs/>
        </w:rPr>
        <w:t xml:space="preserve">$10.3 </w:t>
      </w:r>
      <w:r w:rsidRPr="00AE2963">
        <w:rPr>
          <w:rFonts w:cstheme="minorHAnsi"/>
        </w:rPr>
        <w:t xml:space="preserve">million over four years from 2016–17 for 25 approved perpetrator intervention programs in 29 locations </w:t>
      </w:r>
    </w:p>
    <w:p w:rsidR="00AE2963" w:rsidRPr="00AE2963" w:rsidRDefault="00AE2963" w:rsidP="00AE2963">
      <w:pPr>
        <w:pStyle w:val="ListParagraph"/>
        <w:numPr>
          <w:ilvl w:val="0"/>
          <w:numId w:val="5"/>
        </w:numPr>
        <w:rPr>
          <w:rFonts w:cstheme="minorHAnsi"/>
        </w:rPr>
      </w:pPr>
      <w:r w:rsidRPr="00AE2963">
        <w:rPr>
          <w:rFonts w:cstheme="minorHAnsi"/>
        </w:rPr>
        <w:t xml:space="preserve">Ongoing focus to engage boys in preventing violence against women and girls. </w:t>
      </w:r>
    </w:p>
    <w:p w:rsidR="00AA2CB5" w:rsidRPr="00AA2CB5" w:rsidRDefault="00AA2CB5" w:rsidP="00AA2CB5">
      <w:pPr>
        <w:autoSpaceDE w:val="0"/>
        <w:autoSpaceDN w:val="0"/>
        <w:adjustRightInd w:val="0"/>
        <w:spacing w:after="0" w:line="240" w:lineRule="auto"/>
        <w:rPr>
          <w:rFonts w:ascii="ORIKZ Z+ Meta Cond Normal" w:hAnsi="ORIKZ Z+ Meta Cond Normal" w:cs="ORIKZ Z+ Meta Cond Normal"/>
          <w:color w:val="000000"/>
          <w:sz w:val="24"/>
          <w:szCs w:val="24"/>
        </w:rPr>
      </w:pPr>
    </w:p>
    <w:p w:rsidR="00AA2CB5" w:rsidRPr="00AA2CB5" w:rsidRDefault="00AA2CB5" w:rsidP="00AA2CB5">
      <w:pPr>
        <w:pStyle w:val="Heading5"/>
      </w:pPr>
      <w:r w:rsidRPr="00AA2CB5">
        <w:rPr>
          <w:sz w:val="24"/>
          <w:szCs w:val="24"/>
        </w:rPr>
        <w:t xml:space="preserve"> </w:t>
      </w:r>
      <w:r w:rsidRPr="00AA2CB5">
        <w:t xml:space="preserve">The justice system </w:t>
      </w:r>
      <w:r w:rsidRPr="00AA2CB5">
        <w:rPr>
          <w:rFonts w:ascii="ORIKZ Z+ Meta Cond Bold" w:hAnsi="ORIKZ Z+ Meta Cond Bold" w:cs="ORIKZ Z+ Meta Cond Bold"/>
          <w:b/>
          <w:bCs/>
        </w:rPr>
        <w:t xml:space="preserve">deals effectively </w:t>
      </w:r>
      <w:r w:rsidRPr="00AA2CB5">
        <w:t xml:space="preserve">with domestic and family violence </w:t>
      </w:r>
    </w:p>
    <w:p w:rsidR="00AA2CB5" w:rsidRPr="00AA2CB5" w:rsidRDefault="00AA2CB5" w:rsidP="00AA2CB5">
      <w:pPr>
        <w:autoSpaceDE w:val="0"/>
        <w:autoSpaceDN w:val="0"/>
        <w:adjustRightInd w:val="0"/>
        <w:spacing w:before="80" w:after="20" w:line="221" w:lineRule="atLeast"/>
        <w:rPr>
          <w:rFonts w:cstheme="minorHAnsi"/>
          <w:color w:val="000000"/>
        </w:rPr>
      </w:pPr>
      <w:r w:rsidRPr="00AA2CB5">
        <w:rPr>
          <w:rFonts w:cstheme="minorHAnsi"/>
          <w:b/>
          <w:bCs/>
          <w:color w:val="000000"/>
        </w:rPr>
        <w:t xml:space="preserve">28% </w:t>
      </w:r>
      <w:r w:rsidRPr="00AA2CB5">
        <w:rPr>
          <w:rFonts w:cstheme="minorHAnsi"/>
          <w:color w:val="000000"/>
        </w:rPr>
        <w:t xml:space="preserve">increase in the number of victims receiving advice from specialist domestic and family violence duty lawyers compared to 2017–18 </w:t>
      </w:r>
    </w:p>
    <w:p w:rsidR="00AA2CB5" w:rsidRPr="00AA2CB5" w:rsidRDefault="00AA2CB5" w:rsidP="00AA2CB5">
      <w:pPr>
        <w:autoSpaceDE w:val="0"/>
        <w:autoSpaceDN w:val="0"/>
        <w:adjustRightInd w:val="0"/>
        <w:spacing w:before="80" w:after="20" w:line="221" w:lineRule="atLeast"/>
        <w:rPr>
          <w:rFonts w:cstheme="minorHAnsi"/>
          <w:color w:val="000000"/>
        </w:rPr>
      </w:pPr>
      <w:r w:rsidRPr="00AA2CB5">
        <w:rPr>
          <w:rFonts w:cstheme="minorHAnsi"/>
          <w:b/>
          <w:bCs/>
          <w:color w:val="000000"/>
        </w:rPr>
        <w:t xml:space="preserve">59% </w:t>
      </w:r>
      <w:r w:rsidRPr="00AA2CB5">
        <w:rPr>
          <w:rFonts w:cstheme="minorHAnsi"/>
          <w:color w:val="000000"/>
        </w:rPr>
        <w:t xml:space="preserve">increase in the number of Aboriginal and Torres Strait Islander people experiencing or using violence assisted by Community Justice Groups compared to 2017–18 </w:t>
      </w:r>
    </w:p>
    <w:p w:rsidR="00AA2CB5" w:rsidRPr="00AA2CB5" w:rsidRDefault="00AA2CB5" w:rsidP="00AA2CB5">
      <w:pPr>
        <w:pStyle w:val="ListParagraph"/>
        <w:numPr>
          <w:ilvl w:val="0"/>
          <w:numId w:val="5"/>
        </w:numPr>
        <w:autoSpaceDE w:val="0"/>
        <w:autoSpaceDN w:val="0"/>
        <w:adjustRightInd w:val="0"/>
        <w:spacing w:after="0" w:line="240" w:lineRule="auto"/>
        <w:rPr>
          <w:rFonts w:cstheme="minorHAnsi"/>
          <w:color w:val="000000"/>
        </w:rPr>
      </w:pPr>
      <w:r w:rsidRPr="00AA2CB5">
        <w:rPr>
          <w:rFonts w:cstheme="minorHAnsi"/>
          <w:color w:val="000000"/>
        </w:rPr>
        <w:t xml:space="preserve">Specialist domestic and family violence courts established at Southport, Beenleigh and Townsville with circuit courts in Mount Isa and Palm Island. </w:t>
      </w:r>
    </w:p>
    <w:p w:rsidR="00AA2CB5" w:rsidRDefault="00AA2CB5" w:rsidP="00AE2963"/>
    <w:p w:rsidR="00AA2CB5" w:rsidRPr="00AA2CB5" w:rsidRDefault="00AA2CB5" w:rsidP="00AA2CB5">
      <w:pPr>
        <w:autoSpaceDE w:val="0"/>
        <w:autoSpaceDN w:val="0"/>
        <w:adjustRightInd w:val="0"/>
        <w:spacing w:after="0" w:line="240" w:lineRule="auto"/>
        <w:rPr>
          <w:rFonts w:ascii="ORIKZ Z+ Meta Cond Normal" w:hAnsi="ORIKZ Z+ Meta Cond Normal" w:cs="ORIKZ Z+ Meta Cond Normal"/>
          <w:color w:val="000000"/>
          <w:sz w:val="24"/>
          <w:szCs w:val="24"/>
        </w:rPr>
      </w:pPr>
    </w:p>
    <w:p w:rsidR="00AA2CB5" w:rsidRDefault="00AA2CB5" w:rsidP="00AA2CB5">
      <w:pPr>
        <w:pStyle w:val="Heading5"/>
        <w:rPr>
          <w:rFonts w:ascii="ORIKZ Z+ Meta Cond Bold" w:hAnsi="ORIKZ Z+ Meta Cond Bold" w:cs="ORIKZ Z+ Meta Cond Bold"/>
          <w:b/>
          <w:bCs/>
        </w:rPr>
      </w:pPr>
      <w:r w:rsidRPr="00AA2CB5">
        <w:rPr>
          <w:sz w:val="24"/>
          <w:szCs w:val="24"/>
        </w:rPr>
        <w:t xml:space="preserve"> </w:t>
      </w:r>
      <w:r w:rsidRPr="00AA2CB5">
        <w:t xml:space="preserve">Respectful relationships and </w:t>
      </w:r>
      <w:r w:rsidRPr="00AA2CB5">
        <w:rPr>
          <w:rFonts w:ascii="ORIKZ Z+ Meta Cond Bold" w:hAnsi="ORIKZ Z+ Meta Cond Bold" w:cs="ORIKZ Z+ Meta Cond Bold"/>
          <w:b/>
          <w:bCs/>
        </w:rPr>
        <w:t>non</w:t>
      </w:r>
      <w:r w:rsidRPr="00AA2CB5">
        <w:rPr>
          <w:rFonts w:ascii="ORIKZ Z+ Meta Cond Bold" w:hAnsi="ORIKZ Z+ Meta Cond Bold" w:cs="ORIKZ Z+ Meta Cond Bold"/>
          <w:b/>
          <w:bCs/>
        </w:rPr>
        <w:noBreakHyphen/>
        <w:t xml:space="preserve">violent behaviour </w:t>
      </w:r>
      <w:r w:rsidRPr="00AA2CB5">
        <w:t xml:space="preserve">are embedded in our </w:t>
      </w:r>
      <w:r w:rsidRPr="00AA2CB5">
        <w:rPr>
          <w:rFonts w:ascii="ORIKZ Z+ Meta Cond Bold" w:hAnsi="ORIKZ Z+ Meta Cond Bold" w:cs="ORIKZ Z+ Meta Cond Bold"/>
          <w:b/>
          <w:bCs/>
        </w:rPr>
        <w:t>community</w:t>
      </w:r>
    </w:p>
    <w:p w:rsidR="00AA2CB5" w:rsidRPr="00AA2CB5" w:rsidRDefault="00AA2CB5" w:rsidP="00AA2CB5">
      <w:pPr>
        <w:pStyle w:val="Heading6"/>
      </w:pPr>
      <w:r w:rsidRPr="00AA2CB5">
        <w:rPr>
          <w:sz w:val="24"/>
          <w:szCs w:val="24"/>
        </w:rPr>
        <w:t xml:space="preserve"> </w:t>
      </w:r>
      <w:r w:rsidRPr="00AA2CB5">
        <w:t xml:space="preserve">Healthy relationships </w:t>
      </w:r>
    </w:p>
    <w:p w:rsidR="00AA2CB5" w:rsidRPr="00AA2CB5" w:rsidRDefault="00AA2CB5" w:rsidP="00AA2CB5">
      <w:pPr>
        <w:autoSpaceDE w:val="0"/>
        <w:autoSpaceDN w:val="0"/>
        <w:adjustRightInd w:val="0"/>
        <w:spacing w:before="40" w:after="0" w:line="221" w:lineRule="atLeast"/>
        <w:rPr>
          <w:rFonts w:cstheme="minorHAnsi"/>
          <w:color w:val="000000"/>
        </w:rPr>
      </w:pPr>
      <w:r w:rsidRPr="00AA2CB5">
        <w:rPr>
          <w:rFonts w:cstheme="minorHAnsi"/>
          <w:b/>
          <w:bCs/>
          <w:color w:val="000000"/>
        </w:rPr>
        <w:t xml:space="preserve">79% </w:t>
      </w:r>
      <w:r w:rsidRPr="00AA2CB5">
        <w:rPr>
          <w:rFonts w:cstheme="minorHAnsi"/>
          <w:color w:val="000000"/>
        </w:rPr>
        <w:t xml:space="preserve">of Queenslanders believe it is important that our culture respects gender equality </w:t>
      </w:r>
    </w:p>
    <w:p w:rsidR="00AA2CB5" w:rsidRPr="00AA2CB5" w:rsidRDefault="00AA2CB5" w:rsidP="00AA2CB5">
      <w:pPr>
        <w:autoSpaceDE w:val="0"/>
        <w:autoSpaceDN w:val="0"/>
        <w:adjustRightInd w:val="0"/>
        <w:spacing w:before="40" w:after="20" w:line="221" w:lineRule="atLeast"/>
        <w:rPr>
          <w:rFonts w:cstheme="minorHAnsi"/>
          <w:color w:val="000000"/>
        </w:rPr>
      </w:pPr>
      <w:r w:rsidRPr="00AA2CB5">
        <w:rPr>
          <w:rFonts w:cstheme="minorHAnsi"/>
          <w:color w:val="000000"/>
        </w:rPr>
        <w:t xml:space="preserve">Early evidence of an increased capacity among pilot school* students to recognise and challenge gender stereotypes and roles </w:t>
      </w:r>
    </w:p>
    <w:p w:rsidR="00AA2CB5" w:rsidRPr="00AA2CB5" w:rsidRDefault="00AA2CB5" w:rsidP="00AA2CB5">
      <w:pPr>
        <w:pStyle w:val="ListParagraph"/>
        <w:numPr>
          <w:ilvl w:val="0"/>
          <w:numId w:val="8"/>
        </w:numPr>
        <w:rPr>
          <w:rFonts w:cstheme="minorHAnsi"/>
        </w:rPr>
      </w:pPr>
      <w:r w:rsidRPr="00AA2CB5">
        <w:rPr>
          <w:rFonts w:cstheme="minorHAnsi"/>
          <w:color w:val="000000"/>
        </w:rPr>
        <w:t>Pilot schools – Years 1 and 2 students in 10 state primary schools within South-East Queensland participated in a pilot focused on implementing and evaluating a whole-of-school approach to respectful relationships education.</w:t>
      </w:r>
    </w:p>
    <w:p w:rsidR="00AA2CB5" w:rsidRDefault="00AA2CB5" w:rsidP="00AA2CB5">
      <w:pPr>
        <w:rPr>
          <w:rFonts w:cstheme="minorHAnsi"/>
        </w:rPr>
      </w:pPr>
    </w:p>
    <w:p w:rsidR="00AA2CB5" w:rsidRPr="00AA2CB5" w:rsidRDefault="00AA2CB5" w:rsidP="00AA2CB5">
      <w:pPr>
        <w:pStyle w:val="Heading4"/>
      </w:pPr>
      <w:r w:rsidRPr="00AA2CB5">
        <w:t xml:space="preserve">Our core measures of success </w:t>
      </w:r>
    </w:p>
    <w:p w:rsidR="00AA2CB5" w:rsidRPr="00AA2CB5" w:rsidRDefault="00AA2CB5" w:rsidP="00AA2CB5">
      <w:pPr>
        <w:autoSpaceDE w:val="0"/>
        <w:autoSpaceDN w:val="0"/>
        <w:adjustRightInd w:val="0"/>
        <w:spacing w:after="100" w:line="201" w:lineRule="atLeast"/>
        <w:rPr>
          <w:rFonts w:cstheme="minorHAnsi"/>
          <w:color w:val="000000"/>
        </w:rPr>
      </w:pPr>
      <w:r w:rsidRPr="00AA2CB5">
        <w:rPr>
          <w:rFonts w:cstheme="minorHAnsi"/>
          <w:b/>
          <w:bCs/>
          <w:color w:val="000000"/>
        </w:rPr>
        <w:t xml:space="preserve">Community confidence to report </w:t>
      </w:r>
      <w:r w:rsidRPr="00AA2CB5">
        <w:rPr>
          <w:rFonts w:cstheme="minorHAnsi"/>
          <w:color w:val="000000"/>
        </w:rPr>
        <w:t xml:space="preserve">domestic and family violence incidents to the Queensland Police Service has grown by 7.5% on the previous </w:t>
      </w:r>
      <w:proofErr w:type="spellStart"/>
      <w:r w:rsidRPr="00AA2CB5">
        <w:rPr>
          <w:rFonts w:cstheme="minorHAnsi"/>
          <w:color w:val="000000"/>
        </w:rPr>
        <w:t>year.i</w:t>
      </w:r>
      <w:proofErr w:type="spellEnd"/>
      <w:r w:rsidRPr="00AA2CB5">
        <w:rPr>
          <w:rFonts w:cstheme="minorHAnsi"/>
          <w:color w:val="000000"/>
        </w:rPr>
        <w:t xml:space="preserve"> </w:t>
      </w:r>
    </w:p>
    <w:p w:rsidR="00AA2CB5" w:rsidRPr="00AA2CB5" w:rsidRDefault="00AA2CB5" w:rsidP="00AA2CB5">
      <w:pPr>
        <w:autoSpaceDE w:val="0"/>
        <w:autoSpaceDN w:val="0"/>
        <w:adjustRightInd w:val="0"/>
        <w:spacing w:after="100" w:line="201" w:lineRule="atLeast"/>
        <w:rPr>
          <w:rFonts w:cstheme="minorHAnsi"/>
          <w:color w:val="000000"/>
        </w:rPr>
      </w:pPr>
      <w:r w:rsidRPr="00AA2CB5">
        <w:rPr>
          <w:rFonts w:cstheme="minorHAnsi"/>
          <w:color w:val="000000"/>
        </w:rPr>
        <w:t xml:space="preserve">In 2019, up toii 98.7% of Queenslanders view domestic and family violence (both physical and non-physical forms) </w:t>
      </w:r>
      <w:r w:rsidRPr="00AA2CB5">
        <w:rPr>
          <w:rFonts w:cstheme="minorHAnsi"/>
          <w:b/>
          <w:bCs/>
          <w:color w:val="000000"/>
        </w:rPr>
        <w:t xml:space="preserve">as </w:t>
      </w:r>
      <w:proofErr w:type="spellStart"/>
      <w:r w:rsidRPr="00AA2CB5">
        <w:rPr>
          <w:rFonts w:cstheme="minorHAnsi"/>
          <w:b/>
          <w:bCs/>
          <w:color w:val="000000"/>
        </w:rPr>
        <w:t>serious</w:t>
      </w:r>
      <w:r w:rsidRPr="00AA2CB5">
        <w:rPr>
          <w:rFonts w:cstheme="minorHAnsi"/>
          <w:color w:val="000000"/>
        </w:rPr>
        <w:t>.iii</w:t>
      </w:r>
      <w:proofErr w:type="spellEnd"/>
      <w:r w:rsidRPr="00AA2CB5">
        <w:rPr>
          <w:rFonts w:cstheme="minorHAnsi"/>
          <w:color w:val="000000"/>
        </w:rPr>
        <w:t xml:space="preserve"> </w:t>
      </w:r>
    </w:p>
    <w:p w:rsidR="00AA2CB5" w:rsidRPr="00AA2CB5" w:rsidRDefault="00AA2CB5" w:rsidP="00AA2CB5">
      <w:pPr>
        <w:autoSpaceDE w:val="0"/>
        <w:autoSpaceDN w:val="0"/>
        <w:adjustRightInd w:val="0"/>
        <w:spacing w:after="100" w:line="201" w:lineRule="atLeast"/>
        <w:rPr>
          <w:rFonts w:cstheme="minorHAnsi"/>
          <w:color w:val="000000"/>
        </w:rPr>
      </w:pPr>
      <w:r w:rsidRPr="00AA2CB5">
        <w:rPr>
          <w:rFonts w:cstheme="minorHAnsi"/>
          <w:color w:val="000000"/>
        </w:rPr>
        <w:t xml:space="preserve">The </w:t>
      </w:r>
      <w:r w:rsidRPr="00AA2CB5">
        <w:rPr>
          <w:rFonts w:cstheme="minorHAnsi"/>
          <w:b/>
          <w:bCs/>
          <w:color w:val="000000"/>
        </w:rPr>
        <w:t xml:space="preserve">four-year trend for deaths related to domestic and family violence </w:t>
      </w:r>
      <w:r w:rsidRPr="00AA2CB5">
        <w:rPr>
          <w:rFonts w:cstheme="minorHAnsi"/>
          <w:color w:val="000000"/>
        </w:rPr>
        <w:t xml:space="preserve">is </w:t>
      </w:r>
      <w:proofErr w:type="spellStart"/>
      <w:r w:rsidRPr="00AA2CB5">
        <w:rPr>
          <w:rFonts w:cstheme="minorHAnsi"/>
          <w:color w:val="000000"/>
        </w:rPr>
        <w:t>stable.iv</w:t>
      </w:r>
      <w:proofErr w:type="spellEnd"/>
      <w:r w:rsidRPr="00AA2CB5">
        <w:rPr>
          <w:rFonts w:cstheme="minorHAnsi"/>
          <w:color w:val="000000"/>
        </w:rPr>
        <w:t xml:space="preserve"> </w:t>
      </w:r>
    </w:p>
    <w:p w:rsidR="00AA2CB5" w:rsidRPr="00AA2CB5" w:rsidRDefault="00AA2CB5" w:rsidP="00AA2CB5">
      <w:pPr>
        <w:autoSpaceDE w:val="0"/>
        <w:autoSpaceDN w:val="0"/>
        <w:adjustRightInd w:val="0"/>
        <w:spacing w:after="100" w:line="201" w:lineRule="atLeast"/>
        <w:rPr>
          <w:rFonts w:cstheme="minorHAnsi"/>
          <w:color w:val="000000"/>
        </w:rPr>
      </w:pPr>
      <w:r w:rsidRPr="00AA2CB5">
        <w:rPr>
          <w:rFonts w:cstheme="minorHAnsi"/>
          <w:color w:val="000000"/>
        </w:rPr>
        <w:t xml:space="preserve">In 2019, </w:t>
      </w:r>
      <w:r w:rsidRPr="00AA2CB5">
        <w:rPr>
          <w:rFonts w:cstheme="minorHAnsi"/>
          <w:b/>
          <w:bCs/>
          <w:color w:val="000000"/>
        </w:rPr>
        <w:t xml:space="preserve">94.5% </w:t>
      </w:r>
      <w:r w:rsidRPr="00AA2CB5">
        <w:rPr>
          <w:rFonts w:cstheme="minorHAnsi"/>
          <w:color w:val="000000"/>
        </w:rPr>
        <w:t xml:space="preserve">of Queenslanders </w:t>
      </w:r>
      <w:r w:rsidRPr="00AA2CB5">
        <w:rPr>
          <w:rFonts w:cstheme="minorHAnsi"/>
          <w:b/>
          <w:bCs/>
          <w:color w:val="000000"/>
        </w:rPr>
        <w:t xml:space="preserve">felt safe from domestic and family </w:t>
      </w:r>
      <w:proofErr w:type="spellStart"/>
      <w:r w:rsidRPr="00AA2CB5">
        <w:rPr>
          <w:rFonts w:cstheme="minorHAnsi"/>
          <w:b/>
          <w:bCs/>
          <w:color w:val="000000"/>
        </w:rPr>
        <w:t>violence</w:t>
      </w:r>
      <w:r w:rsidRPr="00AA2CB5">
        <w:rPr>
          <w:rFonts w:cstheme="minorHAnsi"/>
          <w:color w:val="000000"/>
        </w:rPr>
        <w:t>,v</w:t>
      </w:r>
      <w:proofErr w:type="spellEnd"/>
      <w:r w:rsidRPr="00AA2CB5">
        <w:rPr>
          <w:rFonts w:cstheme="minorHAnsi"/>
          <w:color w:val="000000"/>
        </w:rPr>
        <w:t xml:space="preserve"> while this is encouraging, a significant number of Queenslanders feel unsafe and we need to continue our efforts. </w:t>
      </w:r>
    </w:p>
    <w:p w:rsidR="00AA2CB5" w:rsidRDefault="00AA2CB5" w:rsidP="00AA2CB5">
      <w:pPr>
        <w:rPr>
          <w:rFonts w:cstheme="minorHAnsi"/>
          <w:color w:val="000000"/>
        </w:rPr>
      </w:pPr>
      <w:r w:rsidRPr="00AA2CB5">
        <w:rPr>
          <w:rFonts w:cstheme="minorHAnsi"/>
          <w:color w:val="000000"/>
        </w:rPr>
        <w:t xml:space="preserve">Service providers report the reforms have </w:t>
      </w:r>
      <w:r w:rsidRPr="00AA2CB5">
        <w:rPr>
          <w:rFonts w:cstheme="minorHAnsi"/>
          <w:b/>
          <w:bCs/>
          <w:color w:val="000000"/>
        </w:rPr>
        <w:t>improved victim access to and uptake of services</w:t>
      </w:r>
      <w:r w:rsidRPr="00AA2CB5">
        <w:rPr>
          <w:rFonts w:cstheme="minorHAnsi"/>
          <w:color w:val="000000"/>
        </w:rPr>
        <w:t>, but believe more is needed to help victims to feel and be safe.</w:t>
      </w:r>
    </w:p>
    <w:p w:rsidR="00AA2CB5" w:rsidRPr="00AA2CB5" w:rsidRDefault="00AA2CB5" w:rsidP="00AA2CB5">
      <w:pPr>
        <w:pStyle w:val="Pa9"/>
        <w:spacing w:after="100"/>
        <w:rPr>
          <w:rFonts w:asciiTheme="minorHAnsi" w:hAnsiTheme="minorHAnsi" w:cstheme="minorHAnsi"/>
          <w:color w:val="000000"/>
          <w:sz w:val="22"/>
          <w:szCs w:val="22"/>
        </w:rPr>
      </w:pPr>
      <w:r w:rsidRPr="00AA2CB5">
        <w:rPr>
          <w:rFonts w:asciiTheme="minorHAnsi" w:hAnsiTheme="minorHAnsi" w:cstheme="minorHAnsi"/>
          <w:color w:val="000000"/>
          <w:sz w:val="22"/>
          <w:szCs w:val="22"/>
        </w:rPr>
        <w:t xml:space="preserve">Following the release of the </w:t>
      </w:r>
      <w:r w:rsidRPr="00AA2CB5">
        <w:rPr>
          <w:rFonts w:asciiTheme="minorHAnsi" w:hAnsiTheme="minorHAnsi" w:cstheme="minorHAnsi"/>
          <w:b/>
          <w:bCs/>
          <w:i/>
          <w:iCs/>
          <w:color w:val="000000"/>
          <w:sz w:val="22"/>
          <w:szCs w:val="22"/>
        </w:rPr>
        <w:t xml:space="preserve">Not Now, Not Ever: Putting an End to Domestic and Family Violence in Queensland </w:t>
      </w:r>
      <w:r w:rsidRPr="00AA2CB5">
        <w:rPr>
          <w:rFonts w:asciiTheme="minorHAnsi" w:hAnsiTheme="minorHAnsi" w:cstheme="minorHAnsi"/>
          <w:color w:val="000000"/>
          <w:sz w:val="22"/>
          <w:szCs w:val="22"/>
        </w:rPr>
        <w:t xml:space="preserve">report in 2015, Queenslanders have taken up the challenge to end domestic and family violence. The Queensland Government is committed to leading the significant reform required to achieve the vision of the </w:t>
      </w:r>
      <w:r w:rsidRPr="00AA2CB5">
        <w:rPr>
          <w:rFonts w:asciiTheme="minorHAnsi" w:hAnsiTheme="minorHAnsi" w:cstheme="minorHAnsi"/>
          <w:b/>
          <w:bCs/>
          <w:i/>
          <w:iCs/>
          <w:color w:val="000000"/>
          <w:sz w:val="22"/>
          <w:szCs w:val="22"/>
        </w:rPr>
        <w:t xml:space="preserve">Not Now, Not Ever </w:t>
      </w:r>
      <w:r w:rsidRPr="00AA2CB5">
        <w:rPr>
          <w:rFonts w:asciiTheme="minorHAnsi" w:hAnsiTheme="minorHAnsi" w:cstheme="minorHAnsi"/>
          <w:color w:val="000000"/>
          <w:sz w:val="22"/>
          <w:szCs w:val="22"/>
        </w:rPr>
        <w:t xml:space="preserve">report—a Queensland free from domestic and family violence. </w:t>
      </w:r>
    </w:p>
    <w:p w:rsidR="00AA2CB5" w:rsidRPr="00AA2CB5" w:rsidRDefault="00AA2CB5" w:rsidP="00AA2CB5">
      <w:pPr>
        <w:pStyle w:val="Pa9"/>
        <w:spacing w:after="100"/>
        <w:rPr>
          <w:rFonts w:asciiTheme="minorHAnsi" w:hAnsiTheme="minorHAnsi" w:cstheme="minorHAnsi"/>
          <w:color w:val="000000"/>
          <w:sz w:val="22"/>
          <w:szCs w:val="22"/>
        </w:rPr>
      </w:pPr>
      <w:r w:rsidRPr="00AA2CB5">
        <w:rPr>
          <w:rFonts w:asciiTheme="minorHAnsi" w:hAnsiTheme="minorHAnsi" w:cstheme="minorHAnsi"/>
          <w:color w:val="000000"/>
          <w:sz w:val="22"/>
          <w:szCs w:val="22"/>
        </w:rPr>
        <w:t xml:space="preserve">A positive plan of action is outlined in the </w:t>
      </w:r>
      <w:r w:rsidRPr="00AA2CB5">
        <w:rPr>
          <w:rFonts w:asciiTheme="minorHAnsi" w:hAnsiTheme="minorHAnsi" w:cstheme="minorHAnsi"/>
          <w:b/>
          <w:bCs/>
          <w:i/>
          <w:iCs/>
          <w:color w:val="000000"/>
          <w:sz w:val="22"/>
          <w:szCs w:val="22"/>
        </w:rPr>
        <w:t xml:space="preserve">Domestic and Family Violence Prevention Strategy 2016–2026 </w:t>
      </w:r>
      <w:r w:rsidRPr="00AA2CB5">
        <w:rPr>
          <w:rFonts w:asciiTheme="minorHAnsi" w:hAnsiTheme="minorHAnsi" w:cstheme="minorHAnsi"/>
          <w:color w:val="000000"/>
          <w:sz w:val="22"/>
          <w:szCs w:val="22"/>
        </w:rPr>
        <w:t xml:space="preserve">with a strong focus on prevention – stopping the violence before it happens – and supporting people to be safe. The strategy provides a framework for action through four action plans to achieve our vision. </w:t>
      </w:r>
    </w:p>
    <w:p w:rsidR="00AA2CB5" w:rsidRPr="00AA2CB5" w:rsidRDefault="00AA2CB5" w:rsidP="00AA2CB5">
      <w:pPr>
        <w:pStyle w:val="Pa9"/>
        <w:spacing w:after="100"/>
        <w:rPr>
          <w:rFonts w:asciiTheme="minorHAnsi" w:hAnsiTheme="minorHAnsi" w:cstheme="minorHAnsi"/>
          <w:color w:val="000000"/>
          <w:sz w:val="22"/>
          <w:szCs w:val="22"/>
        </w:rPr>
      </w:pPr>
      <w:r w:rsidRPr="00AA2CB5">
        <w:rPr>
          <w:rFonts w:asciiTheme="minorHAnsi" w:hAnsiTheme="minorHAnsi" w:cstheme="minorHAnsi"/>
          <w:color w:val="000000"/>
          <w:sz w:val="22"/>
          <w:szCs w:val="22"/>
        </w:rPr>
        <w:t xml:space="preserve">In the </w:t>
      </w:r>
      <w:r w:rsidRPr="00AA2CB5">
        <w:rPr>
          <w:rFonts w:asciiTheme="minorHAnsi" w:hAnsiTheme="minorHAnsi" w:cstheme="minorHAnsi"/>
          <w:b/>
          <w:bCs/>
          <w:color w:val="000000"/>
          <w:sz w:val="22"/>
          <w:szCs w:val="22"/>
        </w:rPr>
        <w:t xml:space="preserve">first year </w:t>
      </w:r>
      <w:r w:rsidRPr="00AA2CB5">
        <w:rPr>
          <w:rFonts w:asciiTheme="minorHAnsi" w:hAnsiTheme="minorHAnsi" w:cstheme="minorHAnsi"/>
          <w:color w:val="000000"/>
          <w:sz w:val="22"/>
          <w:szCs w:val="22"/>
        </w:rPr>
        <w:t xml:space="preserve">of the 10-year reform program, the foundations of reform success were put in place. In the </w:t>
      </w:r>
      <w:r w:rsidRPr="00AA2CB5">
        <w:rPr>
          <w:rFonts w:asciiTheme="minorHAnsi" w:hAnsiTheme="minorHAnsi" w:cstheme="minorHAnsi"/>
          <w:b/>
          <w:bCs/>
          <w:color w:val="000000"/>
          <w:sz w:val="22"/>
          <w:szCs w:val="22"/>
        </w:rPr>
        <w:t xml:space="preserve">second year </w:t>
      </w:r>
      <w:r w:rsidRPr="00AA2CB5">
        <w:rPr>
          <w:rFonts w:asciiTheme="minorHAnsi" w:hAnsiTheme="minorHAnsi" w:cstheme="minorHAnsi"/>
          <w:color w:val="000000"/>
          <w:sz w:val="22"/>
          <w:szCs w:val="22"/>
        </w:rPr>
        <w:t xml:space="preserve">of the reform program, transformational changes in the way the government and community work together were established. </w:t>
      </w:r>
    </w:p>
    <w:p w:rsidR="00AA2CB5" w:rsidRPr="00AA2CB5" w:rsidRDefault="00AA2CB5" w:rsidP="00AA2CB5">
      <w:pPr>
        <w:pStyle w:val="Pa9"/>
        <w:spacing w:after="100"/>
        <w:rPr>
          <w:rFonts w:asciiTheme="minorHAnsi" w:hAnsiTheme="minorHAnsi" w:cstheme="minorHAnsi"/>
          <w:color w:val="000000"/>
          <w:sz w:val="22"/>
          <w:szCs w:val="22"/>
        </w:rPr>
      </w:pPr>
      <w:r w:rsidRPr="00AA2CB5">
        <w:rPr>
          <w:rFonts w:asciiTheme="minorHAnsi" w:hAnsiTheme="minorHAnsi" w:cstheme="minorHAnsi"/>
          <w:color w:val="000000"/>
          <w:sz w:val="22"/>
          <w:szCs w:val="22"/>
        </w:rPr>
        <w:lastRenderedPageBreak/>
        <w:t xml:space="preserve">The </w:t>
      </w:r>
      <w:r w:rsidRPr="00AA2CB5">
        <w:rPr>
          <w:rFonts w:asciiTheme="minorHAnsi" w:hAnsiTheme="minorHAnsi" w:cstheme="minorHAnsi"/>
          <w:b/>
          <w:bCs/>
          <w:color w:val="000000"/>
          <w:sz w:val="22"/>
          <w:szCs w:val="22"/>
        </w:rPr>
        <w:t xml:space="preserve">third year </w:t>
      </w:r>
      <w:r w:rsidRPr="00AA2CB5">
        <w:rPr>
          <w:rFonts w:asciiTheme="minorHAnsi" w:hAnsiTheme="minorHAnsi" w:cstheme="minorHAnsi"/>
          <w:color w:val="000000"/>
          <w:sz w:val="22"/>
          <w:szCs w:val="22"/>
        </w:rPr>
        <w:t xml:space="preserve">of the reform program saw our continued efforts to make meaningful change. We expanded successful programs to have greater effect under each of the three </w:t>
      </w:r>
      <w:r w:rsidRPr="00AA2CB5">
        <w:rPr>
          <w:rFonts w:asciiTheme="minorHAnsi" w:hAnsiTheme="minorHAnsi" w:cstheme="minorHAnsi"/>
          <w:b/>
          <w:bCs/>
          <w:color w:val="000000"/>
          <w:sz w:val="22"/>
          <w:szCs w:val="22"/>
        </w:rPr>
        <w:t xml:space="preserve">foundational elements </w:t>
      </w:r>
      <w:r w:rsidRPr="00AA2CB5">
        <w:rPr>
          <w:rFonts w:asciiTheme="minorHAnsi" w:hAnsiTheme="minorHAnsi" w:cstheme="minorHAnsi"/>
          <w:color w:val="000000"/>
          <w:sz w:val="22"/>
          <w:szCs w:val="22"/>
        </w:rPr>
        <w:t xml:space="preserve">of the reform program. </w:t>
      </w:r>
    </w:p>
    <w:p w:rsidR="00AA2CB5" w:rsidRPr="00AA2CB5" w:rsidRDefault="00AA2CB5" w:rsidP="00AA2CB5">
      <w:pPr>
        <w:pStyle w:val="Pa9"/>
        <w:spacing w:after="100"/>
        <w:rPr>
          <w:rFonts w:asciiTheme="minorHAnsi" w:hAnsiTheme="minorHAnsi" w:cstheme="minorHAnsi"/>
          <w:color w:val="000000"/>
          <w:sz w:val="22"/>
          <w:szCs w:val="22"/>
        </w:rPr>
      </w:pPr>
      <w:r w:rsidRPr="00AA2CB5">
        <w:rPr>
          <w:rFonts w:asciiTheme="minorHAnsi" w:hAnsiTheme="minorHAnsi" w:cstheme="minorHAnsi"/>
          <w:color w:val="000000"/>
          <w:sz w:val="22"/>
          <w:szCs w:val="22"/>
        </w:rPr>
        <w:t xml:space="preserve">Now in the </w:t>
      </w:r>
      <w:r w:rsidRPr="00AA2CB5">
        <w:rPr>
          <w:rFonts w:asciiTheme="minorHAnsi" w:hAnsiTheme="minorHAnsi" w:cstheme="minorHAnsi"/>
          <w:b/>
          <w:bCs/>
          <w:color w:val="000000"/>
          <w:sz w:val="22"/>
          <w:szCs w:val="22"/>
        </w:rPr>
        <w:t xml:space="preserve">fourth year </w:t>
      </w:r>
      <w:r w:rsidRPr="00AA2CB5">
        <w:rPr>
          <w:rFonts w:asciiTheme="minorHAnsi" w:hAnsiTheme="minorHAnsi" w:cstheme="minorHAnsi"/>
          <w:color w:val="000000"/>
          <w:sz w:val="22"/>
          <w:szCs w:val="22"/>
        </w:rPr>
        <w:t xml:space="preserve">of the reform program, our Third Action Plan focuses on action to address domestic and family violence, further embedding cultural change and system reform and encouraging more community ownership of Queensland’s reforms. </w:t>
      </w:r>
    </w:p>
    <w:p w:rsidR="00AA2CB5" w:rsidRPr="00AA2CB5" w:rsidRDefault="00AA2CB5" w:rsidP="00AA2CB5">
      <w:pPr>
        <w:pStyle w:val="Pa9"/>
        <w:spacing w:after="100"/>
        <w:rPr>
          <w:rFonts w:asciiTheme="minorHAnsi" w:hAnsiTheme="minorHAnsi" w:cstheme="minorHAnsi"/>
          <w:color w:val="000000"/>
          <w:sz w:val="22"/>
          <w:szCs w:val="22"/>
        </w:rPr>
      </w:pPr>
      <w:r w:rsidRPr="00AA2CB5">
        <w:rPr>
          <w:rFonts w:asciiTheme="minorHAnsi" w:hAnsiTheme="minorHAnsi" w:cstheme="minorHAnsi"/>
          <w:color w:val="000000"/>
          <w:sz w:val="22"/>
          <w:szCs w:val="22"/>
        </w:rPr>
        <w:t xml:space="preserve">This program of change is supported with a record investment by the Queensland Government of </w:t>
      </w:r>
      <w:r w:rsidRPr="00AA2CB5">
        <w:rPr>
          <w:rFonts w:asciiTheme="minorHAnsi" w:hAnsiTheme="minorHAnsi" w:cstheme="minorHAnsi"/>
          <w:b/>
          <w:bCs/>
          <w:color w:val="000000"/>
          <w:sz w:val="22"/>
          <w:szCs w:val="22"/>
        </w:rPr>
        <w:t xml:space="preserve">$328.9 million over six years </w:t>
      </w:r>
      <w:r w:rsidRPr="00AA2CB5">
        <w:rPr>
          <w:rFonts w:asciiTheme="minorHAnsi" w:hAnsiTheme="minorHAnsi" w:cstheme="minorHAnsi"/>
          <w:color w:val="000000"/>
          <w:sz w:val="22"/>
          <w:szCs w:val="22"/>
        </w:rPr>
        <w:t xml:space="preserve">in response to the </w:t>
      </w:r>
      <w:r w:rsidRPr="00AA2CB5">
        <w:rPr>
          <w:rFonts w:asciiTheme="minorHAnsi" w:hAnsiTheme="minorHAnsi" w:cstheme="minorHAnsi"/>
          <w:b/>
          <w:bCs/>
          <w:i/>
          <w:iCs/>
          <w:color w:val="000000"/>
          <w:sz w:val="22"/>
          <w:szCs w:val="22"/>
        </w:rPr>
        <w:t xml:space="preserve">Not Now, Not Ever </w:t>
      </w:r>
      <w:r w:rsidRPr="00AA2CB5">
        <w:rPr>
          <w:rFonts w:asciiTheme="minorHAnsi" w:hAnsiTheme="minorHAnsi" w:cstheme="minorHAnsi"/>
          <w:color w:val="000000"/>
          <w:sz w:val="22"/>
          <w:szCs w:val="22"/>
        </w:rPr>
        <w:t xml:space="preserve">report. </w:t>
      </w:r>
    </w:p>
    <w:p w:rsidR="00AA2CB5" w:rsidRDefault="00AA2CB5" w:rsidP="00AA2CB5">
      <w:pPr>
        <w:rPr>
          <w:rFonts w:cstheme="minorHAnsi"/>
          <w:color w:val="000000"/>
        </w:rPr>
      </w:pPr>
      <w:r w:rsidRPr="00AA2CB5">
        <w:rPr>
          <w:rFonts w:cstheme="minorHAnsi"/>
          <w:color w:val="000000"/>
        </w:rPr>
        <w:t>Significant reform takes time. It takes commitment, and everyone has a role to play.</w:t>
      </w:r>
    </w:p>
    <w:p w:rsidR="00AA2CB5" w:rsidRDefault="00AA2CB5" w:rsidP="00AA2CB5">
      <w:pPr>
        <w:rPr>
          <w:rFonts w:cstheme="minorHAnsi"/>
          <w:color w:val="000000"/>
        </w:rPr>
      </w:pPr>
    </w:p>
    <w:p w:rsidR="00AA2CB5" w:rsidRPr="00AA2CB5" w:rsidRDefault="00AA2CB5" w:rsidP="00AA2CB5">
      <w:pPr>
        <w:pStyle w:val="Heading3"/>
      </w:pPr>
      <w:r w:rsidRPr="00AA2CB5">
        <w:t xml:space="preserve">Key findings from the structured review of the Second Action Plan (2016–17 to 2018–19) </w:t>
      </w:r>
    </w:p>
    <w:p w:rsidR="00AA2CB5" w:rsidRDefault="00AA2CB5" w:rsidP="00AA2CB5">
      <w:pPr>
        <w:pStyle w:val="Heading4"/>
      </w:pPr>
      <w:r w:rsidRPr="00AA2CB5">
        <w:t>A review of the second action plan was undertaken in 2019.</w:t>
      </w:r>
    </w:p>
    <w:p w:rsidR="00AA2CB5" w:rsidRPr="00AA2CB5" w:rsidRDefault="00AA2CB5" w:rsidP="00AA2CB5">
      <w:pPr>
        <w:pStyle w:val="Heading5"/>
      </w:pPr>
      <w:r w:rsidRPr="00AA2CB5">
        <w:t xml:space="preserve">Foundational Element 1: A significant shift in community attitudes and behaviours </w:t>
      </w:r>
    </w:p>
    <w:p w:rsidR="00AA2CB5" w:rsidRPr="00AA2CB5" w:rsidRDefault="00AA2CB5" w:rsidP="00AA2CB5">
      <w:pPr>
        <w:pStyle w:val="ListParagraph"/>
        <w:numPr>
          <w:ilvl w:val="0"/>
          <w:numId w:val="8"/>
        </w:numPr>
        <w:autoSpaceDE w:val="0"/>
        <w:autoSpaceDN w:val="0"/>
        <w:adjustRightInd w:val="0"/>
        <w:spacing w:after="49" w:line="240" w:lineRule="auto"/>
        <w:rPr>
          <w:rFonts w:cstheme="minorHAnsi"/>
          <w:color w:val="000000"/>
        </w:rPr>
      </w:pPr>
      <w:r w:rsidRPr="00AA2CB5">
        <w:rPr>
          <w:rFonts w:cstheme="minorHAnsi"/>
          <w:b/>
          <w:bCs/>
          <w:color w:val="000000"/>
        </w:rPr>
        <w:t>Schools</w:t>
      </w:r>
      <w:r w:rsidRPr="00AA2CB5">
        <w:rPr>
          <w:rFonts w:cstheme="minorHAnsi"/>
          <w:color w:val="000000"/>
        </w:rPr>
        <w:t xml:space="preserve">, </w:t>
      </w:r>
      <w:r w:rsidRPr="00AA2CB5">
        <w:rPr>
          <w:rFonts w:cstheme="minorHAnsi"/>
          <w:b/>
          <w:bCs/>
          <w:color w:val="000000"/>
        </w:rPr>
        <w:t xml:space="preserve">workplaces and communities </w:t>
      </w:r>
      <w:r w:rsidRPr="00AA2CB5">
        <w:rPr>
          <w:rFonts w:cstheme="minorHAnsi"/>
          <w:color w:val="000000"/>
        </w:rPr>
        <w:t xml:space="preserve">continue to play an important role in raising understanding of domestic and family violence and changing attitudes. </w:t>
      </w:r>
    </w:p>
    <w:p w:rsidR="00AA2CB5" w:rsidRPr="00AA2CB5" w:rsidRDefault="00AA2CB5" w:rsidP="00AA2CB5">
      <w:pPr>
        <w:pStyle w:val="ListParagraph"/>
        <w:numPr>
          <w:ilvl w:val="0"/>
          <w:numId w:val="8"/>
        </w:numPr>
        <w:autoSpaceDE w:val="0"/>
        <w:autoSpaceDN w:val="0"/>
        <w:adjustRightInd w:val="0"/>
        <w:spacing w:after="49" w:line="240" w:lineRule="auto"/>
        <w:rPr>
          <w:rFonts w:cstheme="minorHAnsi"/>
          <w:color w:val="000000"/>
        </w:rPr>
      </w:pPr>
      <w:r w:rsidRPr="00AA2CB5">
        <w:rPr>
          <w:rFonts w:cstheme="minorHAnsi"/>
          <w:b/>
          <w:bCs/>
          <w:color w:val="000000"/>
        </w:rPr>
        <w:t>Leadership</w:t>
      </w:r>
      <w:r w:rsidRPr="00AA2CB5">
        <w:rPr>
          <w:rFonts w:cstheme="minorHAnsi"/>
          <w:color w:val="000000"/>
        </w:rPr>
        <w:t xml:space="preserve">, aligning respectful relationships education with curriculum delivery and growing staff capability are essential to embedding respectful relationships education in schools. </w:t>
      </w:r>
    </w:p>
    <w:p w:rsidR="00AA2CB5" w:rsidRPr="00AA2CB5" w:rsidRDefault="00AA2CB5" w:rsidP="00AA2CB5">
      <w:pPr>
        <w:pStyle w:val="ListParagraph"/>
        <w:numPr>
          <w:ilvl w:val="0"/>
          <w:numId w:val="8"/>
        </w:numPr>
        <w:autoSpaceDE w:val="0"/>
        <w:autoSpaceDN w:val="0"/>
        <w:adjustRightInd w:val="0"/>
        <w:spacing w:after="0" w:line="240" w:lineRule="auto"/>
        <w:rPr>
          <w:rFonts w:cstheme="minorHAnsi"/>
          <w:color w:val="000000"/>
        </w:rPr>
      </w:pPr>
      <w:r w:rsidRPr="00AA2CB5">
        <w:rPr>
          <w:rFonts w:cstheme="minorHAnsi"/>
          <w:color w:val="000000"/>
        </w:rPr>
        <w:t xml:space="preserve">Government employees are increasingly aware of domestic and family violence support policies. </w:t>
      </w:r>
    </w:p>
    <w:p w:rsidR="00AA2CB5" w:rsidRPr="00AA2CB5" w:rsidRDefault="00AA2CB5" w:rsidP="00AA2CB5">
      <w:pPr>
        <w:pStyle w:val="Heading5"/>
      </w:pPr>
      <w:r w:rsidRPr="00AA2CB5">
        <w:t xml:space="preserve">Foundational Element 2: An integrated response system that delivers the services and support that victims and perpetrators need </w:t>
      </w:r>
    </w:p>
    <w:p w:rsidR="00AA2CB5" w:rsidRPr="00AA2CB5" w:rsidRDefault="00AA2CB5" w:rsidP="00AA2CB5">
      <w:pPr>
        <w:pStyle w:val="ListParagraph"/>
        <w:numPr>
          <w:ilvl w:val="0"/>
          <w:numId w:val="13"/>
        </w:numPr>
        <w:autoSpaceDE w:val="0"/>
        <w:autoSpaceDN w:val="0"/>
        <w:adjustRightInd w:val="0"/>
        <w:spacing w:after="54" w:line="240" w:lineRule="auto"/>
        <w:rPr>
          <w:rFonts w:cstheme="minorHAnsi"/>
          <w:color w:val="000000"/>
        </w:rPr>
      </w:pPr>
      <w:r w:rsidRPr="00AA2CB5">
        <w:rPr>
          <w:rFonts w:cstheme="minorHAnsi"/>
          <w:color w:val="000000"/>
        </w:rPr>
        <w:t xml:space="preserve">Demand for </w:t>
      </w:r>
      <w:r w:rsidRPr="00AA2CB5">
        <w:rPr>
          <w:rFonts w:cstheme="minorHAnsi"/>
          <w:b/>
          <w:bCs/>
          <w:color w:val="000000"/>
        </w:rPr>
        <w:t xml:space="preserve">crisis and post-crisis support </w:t>
      </w:r>
      <w:r w:rsidRPr="00AA2CB5">
        <w:rPr>
          <w:rFonts w:cstheme="minorHAnsi"/>
          <w:color w:val="000000"/>
        </w:rPr>
        <w:t xml:space="preserve">remains high. </w:t>
      </w:r>
    </w:p>
    <w:p w:rsidR="00AA2CB5" w:rsidRPr="00AA2CB5" w:rsidRDefault="00AA2CB5" w:rsidP="00AA2CB5">
      <w:pPr>
        <w:pStyle w:val="ListParagraph"/>
        <w:numPr>
          <w:ilvl w:val="0"/>
          <w:numId w:val="13"/>
        </w:numPr>
        <w:autoSpaceDE w:val="0"/>
        <w:autoSpaceDN w:val="0"/>
        <w:adjustRightInd w:val="0"/>
        <w:spacing w:after="0" w:line="240" w:lineRule="auto"/>
        <w:rPr>
          <w:rFonts w:cstheme="minorHAnsi"/>
          <w:color w:val="000000"/>
        </w:rPr>
      </w:pPr>
      <w:r w:rsidRPr="00AA2CB5">
        <w:rPr>
          <w:rFonts w:cstheme="minorHAnsi"/>
          <w:color w:val="000000"/>
        </w:rPr>
        <w:t xml:space="preserve">People with lived experience of domestic and family violence identified opportunities to raise </w:t>
      </w:r>
      <w:r w:rsidRPr="00AA2CB5">
        <w:rPr>
          <w:rFonts w:cstheme="minorHAnsi"/>
          <w:b/>
          <w:bCs/>
          <w:color w:val="000000"/>
        </w:rPr>
        <w:t xml:space="preserve">service visibility </w:t>
      </w:r>
      <w:r w:rsidRPr="00AA2CB5">
        <w:rPr>
          <w:rFonts w:cstheme="minorHAnsi"/>
          <w:color w:val="000000"/>
        </w:rPr>
        <w:t xml:space="preserve">and improve understanding of </w:t>
      </w:r>
      <w:r w:rsidRPr="00AA2CB5">
        <w:rPr>
          <w:rFonts w:cstheme="minorHAnsi"/>
          <w:b/>
          <w:bCs/>
          <w:color w:val="000000"/>
        </w:rPr>
        <w:t>client journeys</w:t>
      </w:r>
      <w:r w:rsidRPr="00AA2CB5">
        <w:rPr>
          <w:rFonts w:cstheme="minorHAnsi"/>
          <w:color w:val="000000"/>
        </w:rPr>
        <w:t xml:space="preserve">. </w:t>
      </w:r>
    </w:p>
    <w:p w:rsidR="00AA2CB5" w:rsidRPr="00AA2CB5" w:rsidRDefault="00AA2CB5" w:rsidP="00AA2CB5">
      <w:pPr>
        <w:pStyle w:val="Heading5"/>
      </w:pPr>
      <w:r w:rsidRPr="00AA2CB5">
        <w:t xml:space="preserve">Foundational Element 3: A strong justice system response that will prioritise victim safety and hold perpetrators to account </w:t>
      </w:r>
    </w:p>
    <w:p w:rsidR="00AA2CB5" w:rsidRPr="00AA2CB5" w:rsidRDefault="00AA2CB5" w:rsidP="00AA2CB5">
      <w:pPr>
        <w:pStyle w:val="ListParagraph"/>
        <w:numPr>
          <w:ilvl w:val="0"/>
          <w:numId w:val="16"/>
        </w:numPr>
        <w:autoSpaceDE w:val="0"/>
        <w:autoSpaceDN w:val="0"/>
        <w:adjustRightInd w:val="0"/>
        <w:spacing w:after="60" w:line="240" w:lineRule="auto"/>
        <w:rPr>
          <w:rFonts w:cstheme="minorHAnsi"/>
          <w:color w:val="000000"/>
        </w:rPr>
      </w:pPr>
      <w:r w:rsidRPr="00AA2CB5">
        <w:rPr>
          <w:rFonts w:cstheme="minorHAnsi"/>
          <w:color w:val="000000"/>
        </w:rPr>
        <w:t xml:space="preserve">There is evidence of </w:t>
      </w:r>
      <w:r w:rsidRPr="00AA2CB5">
        <w:rPr>
          <w:rFonts w:cstheme="minorHAnsi"/>
          <w:b/>
          <w:bCs/>
          <w:color w:val="000000"/>
        </w:rPr>
        <w:t xml:space="preserve">improved victim experiences </w:t>
      </w:r>
      <w:r w:rsidRPr="00AA2CB5">
        <w:rPr>
          <w:rFonts w:cstheme="minorHAnsi"/>
          <w:color w:val="000000"/>
        </w:rPr>
        <w:t xml:space="preserve">from the Southport Specialist Domestic and Family Violence Court. </w:t>
      </w:r>
    </w:p>
    <w:p w:rsidR="00AA2CB5" w:rsidRPr="00AA2CB5" w:rsidRDefault="00AA2CB5" w:rsidP="00AA2CB5">
      <w:pPr>
        <w:pStyle w:val="ListParagraph"/>
        <w:numPr>
          <w:ilvl w:val="0"/>
          <w:numId w:val="16"/>
        </w:numPr>
        <w:autoSpaceDE w:val="0"/>
        <w:autoSpaceDN w:val="0"/>
        <w:adjustRightInd w:val="0"/>
        <w:spacing w:after="0" w:line="240" w:lineRule="auto"/>
        <w:rPr>
          <w:rFonts w:cstheme="minorHAnsi"/>
          <w:color w:val="000000"/>
        </w:rPr>
      </w:pPr>
      <w:r w:rsidRPr="00AA2CB5">
        <w:rPr>
          <w:rFonts w:cstheme="minorHAnsi"/>
          <w:color w:val="000000"/>
        </w:rPr>
        <w:t xml:space="preserve">More can be done to ensure </w:t>
      </w:r>
      <w:r w:rsidRPr="00AA2CB5">
        <w:rPr>
          <w:rFonts w:cstheme="minorHAnsi"/>
          <w:b/>
          <w:bCs/>
          <w:color w:val="000000"/>
        </w:rPr>
        <w:t xml:space="preserve">perpetrators </w:t>
      </w:r>
      <w:r w:rsidRPr="00AA2CB5">
        <w:rPr>
          <w:rFonts w:cstheme="minorHAnsi"/>
          <w:color w:val="000000"/>
        </w:rPr>
        <w:t xml:space="preserve">are taking responsibility for their actions. </w:t>
      </w:r>
    </w:p>
    <w:p w:rsidR="00AA2CB5" w:rsidRPr="00AA2CB5" w:rsidRDefault="00AA2CB5" w:rsidP="00AA2CB5">
      <w:pPr>
        <w:autoSpaceDE w:val="0"/>
        <w:autoSpaceDN w:val="0"/>
        <w:adjustRightInd w:val="0"/>
        <w:spacing w:after="0" w:line="240" w:lineRule="auto"/>
        <w:rPr>
          <w:rFonts w:ascii="ORIKZ Z+ Meta Normal LF" w:hAnsi="ORIKZ Z+ Meta Normal LF" w:cs="ORIKZ Z+ Meta Normal LF"/>
          <w:color w:val="000000"/>
          <w:sz w:val="20"/>
          <w:szCs w:val="20"/>
        </w:rPr>
      </w:pPr>
    </w:p>
    <w:p w:rsidR="00AA2CB5" w:rsidRDefault="00AA2CB5" w:rsidP="00AA2CB5">
      <w:pPr>
        <w:rPr>
          <w:rFonts w:cstheme="minorHAnsi"/>
          <w:b/>
          <w:bCs/>
          <w:color w:val="000000"/>
        </w:rPr>
      </w:pPr>
      <w:r w:rsidRPr="00AA2CB5">
        <w:rPr>
          <w:rFonts w:cstheme="minorHAnsi"/>
          <w:color w:val="000000"/>
        </w:rPr>
        <w:t xml:space="preserve">To read the full structured review of the Second Action Plan go to </w:t>
      </w:r>
      <w:r w:rsidRPr="00AA2CB5">
        <w:rPr>
          <w:rFonts w:cstheme="minorHAnsi"/>
          <w:b/>
          <w:bCs/>
          <w:color w:val="000000"/>
        </w:rPr>
        <w:t>csyw.qld.gov.au/resources/campaign/ end-violence/structured-review-second-action-plan.pdf</w:t>
      </w:r>
    </w:p>
    <w:p w:rsidR="00AA2CB5" w:rsidRPr="00AA2CB5" w:rsidRDefault="00AA2CB5" w:rsidP="00AA2CB5">
      <w:pPr>
        <w:pStyle w:val="Pa13"/>
        <w:rPr>
          <w:rFonts w:asciiTheme="minorHAnsi" w:hAnsiTheme="minorHAnsi" w:cstheme="minorHAnsi"/>
          <w:color w:val="000000"/>
          <w:sz w:val="18"/>
          <w:szCs w:val="18"/>
        </w:rPr>
      </w:pPr>
      <w:r w:rsidRPr="00AA2CB5">
        <w:rPr>
          <w:rFonts w:asciiTheme="minorHAnsi" w:hAnsiTheme="minorHAnsi" w:cstheme="minorHAnsi"/>
          <w:color w:val="000000"/>
          <w:sz w:val="18"/>
          <w:szCs w:val="18"/>
        </w:rPr>
        <w:t xml:space="preserve">Footnotes </w:t>
      </w:r>
    </w:p>
    <w:p w:rsidR="00AA2CB5" w:rsidRPr="00AA2CB5" w:rsidRDefault="00AA2CB5" w:rsidP="00AA2CB5">
      <w:pPr>
        <w:pStyle w:val="Pa13"/>
        <w:rPr>
          <w:rFonts w:asciiTheme="minorHAnsi" w:hAnsiTheme="minorHAnsi" w:cstheme="minorHAnsi"/>
          <w:color w:val="000000"/>
          <w:sz w:val="18"/>
          <w:szCs w:val="18"/>
        </w:rPr>
      </w:pPr>
      <w:proofErr w:type="spellStart"/>
      <w:r w:rsidRPr="00AA2CB5">
        <w:rPr>
          <w:rFonts w:asciiTheme="minorHAnsi" w:hAnsiTheme="minorHAnsi" w:cstheme="minorHAnsi"/>
          <w:color w:val="000000"/>
          <w:sz w:val="18"/>
          <w:szCs w:val="18"/>
        </w:rPr>
        <w:t>i</w:t>
      </w:r>
      <w:proofErr w:type="spellEnd"/>
      <w:r w:rsidRPr="00AA2CB5">
        <w:rPr>
          <w:rFonts w:asciiTheme="minorHAnsi" w:hAnsiTheme="minorHAnsi" w:cstheme="minorHAnsi"/>
          <w:color w:val="000000"/>
          <w:sz w:val="18"/>
          <w:szCs w:val="18"/>
        </w:rPr>
        <w:t xml:space="preserve">. During 2018–19, the QPS attended 97,500 domestic and family violence-related matters compared to 89,927 in 2017–18. Source: Queensland Police Service. </w:t>
      </w:r>
    </w:p>
    <w:p w:rsidR="00AA2CB5" w:rsidRPr="00AA2CB5" w:rsidRDefault="00AA2CB5" w:rsidP="00AA2CB5">
      <w:pPr>
        <w:pStyle w:val="Pa13"/>
        <w:rPr>
          <w:rFonts w:asciiTheme="minorHAnsi" w:hAnsiTheme="minorHAnsi" w:cstheme="minorHAnsi"/>
          <w:color w:val="000000"/>
          <w:sz w:val="18"/>
          <w:szCs w:val="18"/>
        </w:rPr>
      </w:pPr>
      <w:r w:rsidRPr="00AA2CB5">
        <w:rPr>
          <w:rFonts w:asciiTheme="minorHAnsi" w:hAnsiTheme="minorHAnsi" w:cstheme="minorHAnsi"/>
          <w:color w:val="000000"/>
          <w:sz w:val="18"/>
          <w:szCs w:val="18"/>
        </w:rPr>
        <w:t xml:space="preserve">ii. The term ‘up to’ refers to the highest proportion of Queenslanders who identify one of six domestic and family violence behaviours as serious. </w:t>
      </w:r>
    </w:p>
    <w:p w:rsidR="00AA2CB5" w:rsidRPr="00AA2CB5" w:rsidRDefault="00AA2CB5" w:rsidP="00AA2CB5">
      <w:pPr>
        <w:pStyle w:val="Pa13"/>
        <w:rPr>
          <w:rFonts w:asciiTheme="minorHAnsi" w:hAnsiTheme="minorHAnsi" w:cstheme="minorHAnsi"/>
          <w:color w:val="000000"/>
          <w:sz w:val="18"/>
          <w:szCs w:val="18"/>
        </w:rPr>
      </w:pPr>
      <w:r w:rsidRPr="00AA2CB5">
        <w:rPr>
          <w:rFonts w:asciiTheme="minorHAnsi" w:hAnsiTheme="minorHAnsi" w:cstheme="minorHAnsi"/>
          <w:color w:val="000000"/>
          <w:sz w:val="18"/>
          <w:szCs w:val="18"/>
        </w:rPr>
        <w:t xml:space="preserve">iii. Source: Queensland Social Survey 2019 </w:t>
      </w:r>
    </w:p>
    <w:p w:rsidR="00AA2CB5" w:rsidRPr="00AA2CB5" w:rsidRDefault="00AA2CB5" w:rsidP="00AA2CB5">
      <w:pPr>
        <w:pStyle w:val="Pa13"/>
        <w:rPr>
          <w:rFonts w:asciiTheme="minorHAnsi" w:hAnsiTheme="minorHAnsi" w:cstheme="minorHAnsi"/>
          <w:color w:val="000000"/>
          <w:sz w:val="18"/>
          <w:szCs w:val="18"/>
        </w:rPr>
      </w:pPr>
      <w:r w:rsidRPr="00AA2CB5">
        <w:rPr>
          <w:rFonts w:asciiTheme="minorHAnsi" w:hAnsiTheme="minorHAnsi" w:cstheme="minorHAnsi"/>
          <w:color w:val="000000"/>
          <w:sz w:val="18"/>
          <w:szCs w:val="18"/>
        </w:rPr>
        <w:t xml:space="preserve">iv. Source: Domestic and Family Violence Death Review and Advisory Board 2017–18 Annual Report </w:t>
      </w:r>
    </w:p>
    <w:p w:rsidR="00AA2CB5" w:rsidRPr="00AA2CB5" w:rsidRDefault="00AA2CB5" w:rsidP="00AA2CB5">
      <w:pPr>
        <w:rPr>
          <w:rFonts w:cstheme="minorHAnsi"/>
          <w:b/>
          <w:bCs/>
          <w:color w:val="000000"/>
          <w:sz w:val="18"/>
          <w:szCs w:val="18"/>
        </w:rPr>
      </w:pPr>
      <w:r w:rsidRPr="00AA2CB5">
        <w:rPr>
          <w:rFonts w:cstheme="minorHAnsi"/>
          <w:color w:val="000000"/>
          <w:sz w:val="18"/>
          <w:szCs w:val="18"/>
        </w:rPr>
        <w:t>v. Source: Queensland Social Survey 2019.</w:t>
      </w:r>
    </w:p>
    <w:p w:rsidR="00AA2CB5" w:rsidRDefault="00AA2CB5">
      <w:pPr>
        <w:rPr>
          <w:rFonts w:cstheme="minorHAnsi"/>
        </w:rPr>
      </w:pPr>
      <w:r>
        <w:rPr>
          <w:rFonts w:cstheme="minorHAnsi"/>
        </w:rPr>
        <w:br w:type="page"/>
      </w:r>
    </w:p>
    <w:p w:rsidR="00AA2CB5" w:rsidRPr="00AA2CB5" w:rsidRDefault="00AA2CB5" w:rsidP="00AA2CB5">
      <w:pPr>
        <w:autoSpaceDE w:val="0"/>
        <w:autoSpaceDN w:val="0"/>
        <w:adjustRightInd w:val="0"/>
        <w:spacing w:after="0" w:line="240" w:lineRule="auto"/>
        <w:rPr>
          <w:rFonts w:ascii="ORIKZ Z+ Meta Bold LF" w:hAnsi="ORIKZ Z+ Meta Bold LF" w:cs="ORIKZ Z+ Meta Bold LF"/>
          <w:color w:val="000000"/>
          <w:sz w:val="24"/>
          <w:szCs w:val="24"/>
        </w:rPr>
      </w:pPr>
    </w:p>
    <w:p w:rsidR="00DF6F39" w:rsidRPr="00DF6F39" w:rsidRDefault="00DF6F39" w:rsidP="00DF6F39">
      <w:pPr>
        <w:autoSpaceDE w:val="0"/>
        <w:autoSpaceDN w:val="0"/>
        <w:adjustRightInd w:val="0"/>
        <w:spacing w:after="0" w:line="240" w:lineRule="auto"/>
        <w:rPr>
          <w:rFonts w:ascii="ORIKZ Z+ Meta Bold LF" w:hAnsi="ORIKZ Z+ Meta Bold LF" w:cs="ORIKZ Z+ Meta Bold LF"/>
          <w:color w:val="000000"/>
          <w:sz w:val="24"/>
          <w:szCs w:val="24"/>
        </w:rPr>
      </w:pPr>
    </w:p>
    <w:p w:rsidR="00DF6F39" w:rsidRPr="00DF6F39" w:rsidRDefault="00DF6F39" w:rsidP="00DF6F39">
      <w:pPr>
        <w:pStyle w:val="Heading2"/>
      </w:pPr>
      <w:r w:rsidRPr="00DF6F39">
        <w:t xml:space="preserve">Our key indicators </w:t>
      </w:r>
    </w:p>
    <w:p w:rsidR="00AA2CB5" w:rsidRDefault="00DF6F39" w:rsidP="00DF6F39">
      <w:pPr>
        <w:pStyle w:val="Heading3"/>
      </w:pPr>
      <w:r w:rsidRPr="00DF6F39">
        <w:t>Data has been collected, where possible, against a set of indicators in the evaluation framework for the Domestic and Family Violence Prevention Strategy. Some of these indicators are set out below.</w:t>
      </w:r>
    </w:p>
    <w:p w:rsidR="00DF6F39" w:rsidRDefault="00DF6F39" w:rsidP="00DF6F39"/>
    <w:tbl>
      <w:tblPr>
        <w:tblStyle w:val="TableGrid"/>
        <w:tblW w:w="0" w:type="auto"/>
        <w:tblLook w:val="04A0" w:firstRow="1" w:lastRow="0" w:firstColumn="1" w:lastColumn="0" w:noHBand="0" w:noVBand="1"/>
      </w:tblPr>
      <w:tblGrid>
        <w:gridCol w:w="3005"/>
        <w:gridCol w:w="4503"/>
        <w:gridCol w:w="1508"/>
      </w:tblGrid>
      <w:tr w:rsidR="00DF6F39" w:rsidRPr="0086296A" w:rsidTr="0086296A">
        <w:tc>
          <w:tcPr>
            <w:tcW w:w="3005" w:type="dxa"/>
          </w:tcPr>
          <w:tbl>
            <w:tblPr>
              <w:tblW w:w="0" w:type="auto"/>
              <w:tblBorders>
                <w:top w:val="nil"/>
                <w:left w:val="nil"/>
                <w:bottom w:val="nil"/>
                <w:right w:val="nil"/>
              </w:tblBorders>
              <w:tblLook w:val="0000" w:firstRow="0" w:lastRow="0" w:firstColumn="0" w:lastColumn="0" w:noHBand="0" w:noVBand="0"/>
            </w:tblPr>
            <w:tblGrid>
              <w:gridCol w:w="2789"/>
            </w:tblGrid>
            <w:tr w:rsidR="00DF6F39" w:rsidRPr="0086296A">
              <w:tblPrEx>
                <w:tblCellMar>
                  <w:top w:w="0" w:type="dxa"/>
                  <w:bottom w:w="0" w:type="dxa"/>
                </w:tblCellMar>
              </w:tblPrEx>
              <w:trPr>
                <w:trHeight w:val="193"/>
              </w:trPr>
              <w:tc>
                <w:tcPr>
                  <w:tcW w:w="0" w:type="auto"/>
                </w:tcPr>
                <w:p w:rsidR="00DF6F39" w:rsidRPr="0086296A" w:rsidRDefault="00DF6F39" w:rsidP="0086296A">
                  <w:pPr>
                    <w:pStyle w:val="Heading5"/>
                  </w:pPr>
                  <w:r w:rsidRPr="0086296A">
                    <w:rPr>
                      <w:b/>
                      <w:bCs/>
                    </w:rPr>
                    <w:t xml:space="preserve">Queenslanders take a zero tolerance approach to domestic and family violence </w:t>
                  </w:r>
                </w:p>
              </w:tc>
            </w:tr>
          </w:tbl>
          <w:p w:rsidR="00DF6F39" w:rsidRPr="0086296A" w:rsidRDefault="00DF6F39" w:rsidP="0086296A">
            <w:pPr>
              <w:pStyle w:val="Heading5"/>
            </w:pPr>
          </w:p>
        </w:tc>
        <w:tc>
          <w:tcPr>
            <w:tcW w:w="4503" w:type="dxa"/>
          </w:tcPr>
          <w:tbl>
            <w:tblPr>
              <w:tblW w:w="0" w:type="auto"/>
              <w:tblBorders>
                <w:top w:val="nil"/>
                <w:left w:val="nil"/>
                <w:bottom w:val="nil"/>
                <w:right w:val="nil"/>
              </w:tblBorders>
              <w:tblLook w:val="0000" w:firstRow="0" w:lastRow="0" w:firstColumn="0" w:lastColumn="0" w:noHBand="0" w:noVBand="0"/>
            </w:tblPr>
            <w:tblGrid>
              <w:gridCol w:w="2464"/>
            </w:tblGrid>
            <w:tr w:rsidR="00DF6F39" w:rsidRPr="0086296A">
              <w:tblPrEx>
                <w:tblCellMar>
                  <w:top w:w="0" w:type="dxa"/>
                  <w:bottom w:w="0" w:type="dxa"/>
                </w:tblCellMar>
              </w:tblPrEx>
              <w:trPr>
                <w:trHeight w:val="97"/>
              </w:trPr>
              <w:tc>
                <w:tcPr>
                  <w:tcW w:w="0" w:type="auto"/>
                </w:tcPr>
                <w:p w:rsidR="00DF6F39" w:rsidRPr="0086296A" w:rsidRDefault="00DF6F39" w:rsidP="0086296A">
                  <w:pPr>
                    <w:pStyle w:val="Heading5"/>
                  </w:pPr>
                  <w:r w:rsidRPr="0086296A">
                    <w:rPr>
                      <w:b/>
                      <w:bCs/>
                    </w:rPr>
                    <w:t xml:space="preserve">12 months to June 2019* </w:t>
                  </w:r>
                </w:p>
              </w:tc>
            </w:tr>
          </w:tbl>
          <w:p w:rsidR="00DF6F39" w:rsidRPr="0086296A" w:rsidRDefault="00DF6F39" w:rsidP="0086296A">
            <w:pPr>
              <w:pStyle w:val="Heading5"/>
            </w:pPr>
          </w:p>
        </w:tc>
        <w:tc>
          <w:tcPr>
            <w:tcW w:w="1508" w:type="dxa"/>
          </w:tcPr>
          <w:tbl>
            <w:tblPr>
              <w:tblW w:w="0" w:type="auto"/>
              <w:tblBorders>
                <w:top w:val="nil"/>
                <w:left w:val="nil"/>
                <w:bottom w:val="nil"/>
                <w:right w:val="nil"/>
              </w:tblBorders>
              <w:tblLook w:val="0000" w:firstRow="0" w:lastRow="0" w:firstColumn="0" w:lastColumn="0" w:noHBand="0" w:noVBand="0"/>
            </w:tblPr>
            <w:tblGrid>
              <w:gridCol w:w="1230"/>
            </w:tblGrid>
            <w:tr w:rsidR="00DF6F39" w:rsidRPr="0086296A">
              <w:tblPrEx>
                <w:tblCellMar>
                  <w:top w:w="0" w:type="dxa"/>
                  <w:bottom w:w="0" w:type="dxa"/>
                </w:tblCellMar>
              </w:tblPrEx>
              <w:trPr>
                <w:trHeight w:val="193"/>
              </w:trPr>
              <w:tc>
                <w:tcPr>
                  <w:tcW w:w="0" w:type="auto"/>
                </w:tcPr>
                <w:p w:rsidR="00DF6F39" w:rsidRPr="0086296A" w:rsidRDefault="0086296A" w:rsidP="0086296A">
                  <w:pPr>
                    <w:pStyle w:val="Heading5"/>
                    <w:rPr>
                      <w:b/>
                    </w:rPr>
                  </w:pPr>
                  <w:r w:rsidRPr="0086296A">
                    <w:rPr>
                      <w:b/>
                    </w:rPr>
                    <w:t xml:space="preserve">X </w:t>
                  </w:r>
                  <w:r w:rsidR="00DF6F39" w:rsidRPr="0086296A">
                    <w:rPr>
                      <w:b/>
                    </w:rPr>
                    <w:t xml:space="preserve">Improved </w:t>
                  </w:r>
                </w:p>
                <w:p w:rsidR="00DF6F39" w:rsidRPr="0086296A" w:rsidRDefault="0086296A" w:rsidP="0086296A">
                  <w:pPr>
                    <w:pStyle w:val="Heading5"/>
                    <w:rPr>
                      <w:b/>
                    </w:rPr>
                  </w:pPr>
                  <w:r>
                    <w:rPr>
                      <w:b/>
                      <w:bCs/>
                    </w:rPr>
                    <w:t xml:space="preserve">O </w:t>
                  </w:r>
                  <w:r w:rsidR="00DF6F39" w:rsidRPr="0086296A">
                    <w:rPr>
                      <w:b/>
                      <w:bCs/>
                    </w:rPr>
                    <w:t xml:space="preserve">Stable </w:t>
                  </w:r>
                </w:p>
              </w:tc>
            </w:tr>
          </w:tbl>
          <w:p w:rsidR="00DF6F39" w:rsidRPr="0086296A" w:rsidRDefault="00DF6F39" w:rsidP="0086296A">
            <w:pPr>
              <w:pStyle w:val="Heading5"/>
            </w:pPr>
          </w:p>
        </w:tc>
      </w:tr>
      <w:tr w:rsidR="00DF6F39" w:rsidRPr="0086296A" w:rsidTr="0086296A">
        <w:tc>
          <w:tcPr>
            <w:tcW w:w="3005" w:type="dxa"/>
          </w:tcPr>
          <w:tbl>
            <w:tblPr>
              <w:tblW w:w="0" w:type="auto"/>
              <w:tblBorders>
                <w:top w:val="nil"/>
                <w:left w:val="nil"/>
                <w:bottom w:val="nil"/>
                <w:right w:val="nil"/>
              </w:tblBorders>
              <w:tblLook w:val="0000" w:firstRow="0" w:lastRow="0" w:firstColumn="0" w:lastColumn="0" w:noHBand="0" w:noVBand="0"/>
            </w:tblPr>
            <w:tblGrid>
              <w:gridCol w:w="2789"/>
            </w:tblGrid>
            <w:tr w:rsidR="00DF6F39" w:rsidRPr="0086296A">
              <w:tblPrEx>
                <w:tblCellMar>
                  <w:top w:w="0" w:type="dxa"/>
                  <w:bottom w:w="0" w:type="dxa"/>
                </w:tblCellMar>
              </w:tblPrEx>
              <w:trPr>
                <w:trHeight w:val="203"/>
              </w:trPr>
              <w:tc>
                <w:tcPr>
                  <w:tcW w:w="0" w:type="auto"/>
                </w:tcPr>
                <w:p w:rsidR="00DF6F39" w:rsidRPr="0086296A" w:rsidRDefault="00DF6F39" w:rsidP="0086296A">
                  <w:pPr>
                    <w:rPr>
                      <w:rFonts w:cstheme="minorHAnsi"/>
                      <w:sz w:val="10"/>
                      <w:szCs w:val="10"/>
                    </w:rPr>
                  </w:pPr>
                  <w:r w:rsidRPr="0086296A">
                    <w:rPr>
                      <w:rFonts w:cstheme="minorHAnsi"/>
                      <w:sz w:val="17"/>
                      <w:szCs w:val="17"/>
                    </w:rPr>
                    <w:t xml:space="preserve">Increased percentage of Queenslanders are aware of the different types of domestic and family </w:t>
                  </w:r>
                  <w:proofErr w:type="spellStart"/>
                  <w:r w:rsidRPr="0086296A">
                    <w:rPr>
                      <w:rFonts w:cstheme="minorHAnsi"/>
                      <w:sz w:val="17"/>
                      <w:szCs w:val="17"/>
                    </w:rPr>
                    <w:t>violence</w:t>
                  </w:r>
                  <w:r w:rsidRPr="0086296A">
                    <w:rPr>
                      <w:rFonts w:cstheme="minorHAnsi"/>
                      <w:b/>
                      <w:bCs/>
                      <w:position w:val="6"/>
                      <w:sz w:val="10"/>
                      <w:szCs w:val="10"/>
                    </w:rPr>
                    <w:t>i</w:t>
                  </w:r>
                  <w:proofErr w:type="spellEnd"/>
                  <w:r w:rsidRPr="0086296A">
                    <w:rPr>
                      <w:rFonts w:cstheme="minorHAnsi"/>
                      <w:b/>
                      <w:bCs/>
                      <w:sz w:val="10"/>
                      <w:szCs w:val="10"/>
                      <w:vertAlign w:val="subscript"/>
                    </w:rPr>
                    <w:t xml:space="preserve"> </w:t>
                  </w:r>
                </w:p>
              </w:tc>
            </w:tr>
          </w:tbl>
          <w:p w:rsidR="00DF6F39" w:rsidRPr="0086296A" w:rsidRDefault="00DF6F39" w:rsidP="0086296A">
            <w:pPr>
              <w:rPr>
                <w:rFonts w:cstheme="minorHAnsi"/>
              </w:rPr>
            </w:pPr>
          </w:p>
        </w:tc>
        <w:tc>
          <w:tcPr>
            <w:tcW w:w="4503" w:type="dxa"/>
          </w:tcPr>
          <w:tbl>
            <w:tblPr>
              <w:tblW w:w="0" w:type="auto"/>
              <w:tblBorders>
                <w:top w:val="nil"/>
                <w:left w:val="nil"/>
                <w:bottom w:val="nil"/>
                <w:right w:val="nil"/>
              </w:tblBorders>
              <w:tblLook w:val="0000" w:firstRow="0" w:lastRow="0" w:firstColumn="0" w:lastColumn="0" w:noHBand="0" w:noVBand="0"/>
            </w:tblPr>
            <w:tblGrid>
              <w:gridCol w:w="4287"/>
            </w:tblGrid>
            <w:tr w:rsidR="00DF6F39" w:rsidRPr="0086296A" w:rsidTr="001D13F4">
              <w:tblPrEx>
                <w:tblCellMar>
                  <w:top w:w="0" w:type="dxa"/>
                  <w:bottom w:w="0" w:type="dxa"/>
                </w:tblCellMar>
              </w:tblPrEx>
              <w:trPr>
                <w:trHeight w:val="1257"/>
              </w:trPr>
              <w:tc>
                <w:tcPr>
                  <w:tcW w:w="0" w:type="auto"/>
                </w:tcPr>
                <w:p w:rsidR="00DF6F39" w:rsidRPr="0086296A" w:rsidRDefault="00DF6F39" w:rsidP="0086296A">
                  <w:pPr>
                    <w:rPr>
                      <w:rFonts w:cstheme="minorHAnsi"/>
                      <w:sz w:val="17"/>
                      <w:szCs w:val="17"/>
                    </w:rPr>
                  </w:pPr>
                  <w:r w:rsidRPr="0086296A">
                    <w:rPr>
                      <w:rFonts w:cstheme="minorHAnsi"/>
                      <w:b/>
                      <w:bCs/>
                      <w:sz w:val="17"/>
                      <w:szCs w:val="17"/>
                    </w:rPr>
                    <w:t xml:space="preserve">99.3% </w:t>
                  </w:r>
                  <w:r w:rsidRPr="0086296A">
                    <w:rPr>
                      <w:rFonts w:cstheme="minorHAnsi"/>
                      <w:sz w:val="17"/>
                      <w:szCs w:val="17"/>
                    </w:rPr>
                    <w:t xml:space="preserve">of Queenslanders recognise trying to scare or control a partner by threatening to hurt other family members as domestic and family violence </w:t>
                  </w:r>
                </w:p>
                <w:p w:rsidR="00DF6F39" w:rsidRPr="0086296A" w:rsidRDefault="00DF6F39" w:rsidP="0086296A">
                  <w:pPr>
                    <w:rPr>
                      <w:rFonts w:cstheme="minorHAnsi"/>
                      <w:sz w:val="15"/>
                      <w:szCs w:val="15"/>
                    </w:rPr>
                  </w:pPr>
                  <w:r w:rsidRPr="0086296A">
                    <w:rPr>
                      <w:rFonts w:cstheme="minorHAnsi"/>
                      <w:sz w:val="15"/>
                      <w:szCs w:val="15"/>
                    </w:rPr>
                    <w:t xml:space="preserve">(compared to 99.2% of Queenslanders in 2018 and 99.5% of Queenslanders in 2017) </w:t>
                  </w:r>
                </w:p>
                <w:p w:rsidR="00DF6F39" w:rsidRPr="0086296A" w:rsidRDefault="00DF6F39" w:rsidP="0086296A">
                  <w:pPr>
                    <w:rPr>
                      <w:rFonts w:cstheme="minorHAnsi"/>
                      <w:sz w:val="17"/>
                      <w:szCs w:val="17"/>
                    </w:rPr>
                  </w:pPr>
                  <w:r w:rsidRPr="0086296A">
                    <w:rPr>
                      <w:rFonts w:cstheme="minorHAnsi"/>
                      <w:b/>
                      <w:bCs/>
                      <w:sz w:val="17"/>
                      <w:szCs w:val="17"/>
                    </w:rPr>
                    <w:t xml:space="preserve">94% </w:t>
                  </w:r>
                  <w:r w:rsidRPr="0086296A">
                    <w:rPr>
                      <w:rFonts w:cstheme="minorHAnsi"/>
                      <w:sz w:val="17"/>
                      <w:szCs w:val="17"/>
                    </w:rPr>
                    <w:t xml:space="preserve">of Queenslanders recognise trying to control a partner by denying them access to money as domestic and family violence </w:t>
                  </w:r>
                </w:p>
                <w:p w:rsidR="00DF6F39" w:rsidRPr="0086296A" w:rsidRDefault="00DF6F39" w:rsidP="0086296A">
                  <w:pPr>
                    <w:rPr>
                      <w:rFonts w:cstheme="minorHAnsi"/>
                      <w:sz w:val="15"/>
                      <w:szCs w:val="15"/>
                    </w:rPr>
                  </w:pPr>
                  <w:r w:rsidRPr="0086296A">
                    <w:rPr>
                      <w:rFonts w:cstheme="minorHAnsi"/>
                      <w:sz w:val="15"/>
                      <w:szCs w:val="15"/>
                    </w:rPr>
                    <w:t xml:space="preserve">(compared to 92.9% of Queenslanders in 2018 and 94.1% of Queenslanders in 2017) </w:t>
                  </w:r>
                </w:p>
              </w:tc>
            </w:tr>
          </w:tbl>
          <w:p w:rsidR="00DF6F39" w:rsidRPr="0086296A" w:rsidRDefault="00DF6F39" w:rsidP="0086296A">
            <w:pPr>
              <w:rPr>
                <w:rFonts w:cstheme="minorHAnsi"/>
              </w:rPr>
            </w:pPr>
          </w:p>
        </w:tc>
        <w:tc>
          <w:tcPr>
            <w:tcW w:w="1508" w:type="dxa"/>
          </w:tcPr>
          <w:p w:rsidR="00DF6F39" w:rsidRDefault="001D13F4" w:rsidP="0086296A">
            <w:pPr>
              <w:rPr>
                <w:rFonts w:cstheme="minorHAnsi"/>
              </w:rPr>
            </w:pPr>
            <w:r>
              <w:rPr>
                <w:rFonts w:cstheme="minorHAnsi"/>
              </w:rPr>
              <w:t>O</w:t>
            </w:r>
          </w:p>
          <w:p w:rsidR="001D13F4" w:rsidRDefault="001D13F4" w:rsidP="0086296A">
            <w:pPr>
              <w:rPr>
                <w:rFonts w:cstheme="minorHAnsi"/>
              </w:rPr>
            </w:pPr>
          </w:p>
          <w:p w:rsidR="001D13F4" w:rsidRDefault="001D13F4" w:rsidP="0086296A">
            <w:pPr>
              <w:rPr>
                <w:rFonts w:cstheme="minorHAnsi"/>
              </w:rPr>
            </w:pPr>
          </w:p>
          <w:p w:rsidR="001D13F4" w:rsidRDefault="001D13F4" w:rsidP="0086296A">
            <w:pPr>
              <w:rPr>
                <w:rFonts w:cstheme="minorHAnsi"/>
              </w:rPr>
            </w:pPr>
          </w:p>
          <w:p w:rsidR="001D13F4" w:rsidRDefault="001D13F4" w:rsidP="0086296A">
            <w:pPr>
              <w:rPr>
                <w:rFonts w:cstheme="minorHAnsi"/>
              </w:rPr>
            </w:pPr>
          </w:p>
          <w:p w:rsidR="001D13F4" w:rsidRPr="0086296A" w:rsidRDefault="001D13F4" w:rsidP="0086296A">
            <w:pPr>
              <w:rPr>
                <w:rFonts w:cstheme="minorHAnsi"/>
              </w:rPr>
            </w:pPr>
            <w:r>
              <w:rPr>
                <w:rFonts w:cstheme="minorHAnsi"/>
              </w:rPr>
              <w:t>O</w:t>
            </w:r>
          </w:p>
        </w:tc>
      </w:tr>
      <w:tr w:rsidR="00DF6F39" w:rsidRPr="0086296A" w:rsidTr="0086296A">
        <w:tc>
          <w:tcPr>
            <w:tcW w:w="3005" w:type="dxa"/>
          </w:tcPr>
          <w:tbl>
            <w:tblPr>
              <w:tblW w:w="0" w:type="auto"/>
              <w:tblBorders>
                <w:top w:val="nil"/>
                <w:left w:val="nil"/>
                <w:bottom w:val="nil"/>
                <w:right w:val="nil"/>
              </w:tblBorders>
              <w:tblLook w:val="0000" w:firstRow="0" w:lastRow="0" w:firstColumn="0" w:lastColumn="0" w:noHBand="0" w:noVBand="0"/>
            </w:tblPr>
            <w:tblGrid>
              <w:gridCol w:w="2789"/>
            </w:tblGrid>
            <w:tr w:rsidR="00DF6F39" w:rsidRPr="0086296A">
              <w:tblPrEx>
                <w:tblCellMar>
                  <w:top w:w="0" w:type="dxa"/>
                  <w:bottom w:w="0" w:type="dxa"/>
                </w:tblCellMar>
              </w:tblPrEx>
              <w:trPr>
                <w:trHeight w:val="203"/>
              </w:trPr>
              <w:tc>
                <w:tcPr>
                  <w:tcW w:w="0" w:type="auto"/>
                </w:tcPr>
                <w:p w:rsidR="00DF6F39" w:rsidRPr="0086296A" w:rsidRDefault="00DF6F39" w:rsidP="0086296A">
                  <w:pPr>
                    <w:rPr>
                      <w:rFonts w:cstheme="minorHAnsi"/>
                      <w:sz w:val="17"/>
                      <w:szCs w:val="17"/>
                    </w:rPr>
                  </w:pPr>
                  <w:r w:rsidRPr="0086296A">
                    <w:rPr>
                      <w:rFonts w:cstheme="minorHAnsi"/>
                      <w:sz w:val="17"/>
                      <w:szCs w:val="17"/>
                    </w:rPr>
                    <w:t>Increased percentage of victims</w:t>
                  </w:r>
                  <w:proofErr w:type="spellStart"/>
                  <w:r w:rsidRPr="0086296A">
                    <w:rPr>
                      <w:rFonts w:cstheme="minorHAnsi"/>
                      <w:b/>
                      <w:bCs/>
                      <w:position w:val="6"/>
                      <w:sz w:val="10"/>
                      <w:szCs w:val="10"/>
                    </w:rPr>
                    <w:t>ii</w:t>
                  </w:r>
                  <w:proofErr w:type="spellEnd"/>
                  <w:r w:rsidRPr="0086296A">
                    <w:rPr>
                      <w:rFonts w:cstheme="minorHAnsi"/>
                      <w:b/>
                      <w:bCs/>
                      <w:sz w:val="10"/>
                      <w:szCs w:val="10"/>
                    </w:rPr>
                    <w:t xml:space="preserve"> </w:t>
                  </w:r>
                  <w:r w:rsidRPr="0086296A">
                    <w:rPr>
                      <w:rFonts w:cstheme="minorHAnsi"/>
                      <w:sz w:val="17"/>
                      <w:szCs w:val="17"/>
                    </w:rPr>
                    <w:t xml:space="preserve">who know where to access help </w:t>
                  </w:r>
                </w:p>
              </w:tc>
            </w:tr>
          </w:tbl>
          <w:p w:rsidR="00DF6F39" w:rsidRPr="0086296A" w:rsidRDefault="00DF6F39" w:rsidP="0086296A">
            <w:pPr>
              <w:rPr>
                <w:rFonts w:cstheme="minorHAnsi"/>
              </w:rPr>
            </w:pPr>
          </w:p>
        </w:tc>
        <w:tc>
          <w:tcPr>
            <w:tcW w:w="4503" w:type="dxa"/>
          </w:tcPr>
          <w:tbl>
            <w:tblPr>
              <w:tblW w:w="0" w:type="auto"/>
              <w:tblBorders>
                <w:top w:val="nil"/>
                <w:left w:val="nil"/>
                <w:bottom w:val="nil"/>
                <w:right w:val="nil"/>
              </w:tblBorders>
              <w:tblLook w:val="0000" w:firstRow="0" w:lastRow="0" w:firstColumn="0" w:lastColumn="0" w:noHBand="0" w:noVBand="0"/>
            </w:tblPr>
            <w:tblGrid>
              <w:gridCol w:w="3987"/>
            </w:tblGrid>
            <w:tr w:rsidR="00DF6F39" w:rsidRPr="0086296A">
              <w:tblPrEx>
                <w:tblCellMar>
                  <w:top w:w="0" w:type="dxa"/>
                  <w:bottom w:w="0" w:type="dxa"/>
                </w:tblCellMar>
              </w:tblPrEx>
              <w:trPr>
                <w:trHeight w:val="301"/>
              </w:trPr>
              <w:tc>
                <w:tcPr>
                  <w:tcW w:w="0" w:type="auto"/>
                </w:tcPr>
                <w:p w:rsidR="00DF6F39" w:rsidRPr="0086296A" w:rsidRDefault="00DF6F39" w:rsidP="0086296A">
                  <w:pPr>
                    <w:rPr>
                      <w:rFonts w:cstheme="minorHAnsi"/>
                      <w:sz w:val="17"/>
                      <w:szCs w:val="17"/>
                    </w:rPr>
                  </w:pPr>
                  <w:r w:rsidRPr="0086296A">
                    <w:rPr>
                      <w:rFonts w:cstheme="minorHAnsi"/>
                      <w:b/>
                      <w:bCs/>
                      <w:sz w:val="17"/>
                      <w:szCs w:val="17"/>
                    </w:rPr>
                    <w:t xml:space="preserve">74,504 </w:t>
                  </w:r>
                  <w:r w:rsidRPr="0086296A">
                    <w:rPr>
                      <w:rFonts w:cstheme="minorHAnsi"/>
                      <w:sz w:val="17"/>
                      <w:szCs w:val="17"/>
                    </w:rPr>
                    <w:t xml:space="preserve">referrals to support services in 2018–19 </w:t>
                  </w:r>
                </w:p>
                <w:p w:rsidR="00DF6F39" w:rsidRPr="0086296A" w:rsidRDefault="00DF6F39" w:rsidP="0086296A">
                  <w:pPr>
                    <w:rPr>
                      <w:rFonts w:cstheme="minorHAnsi"/>
                      <w:sz w:val="17"/>
                      <w:szCs w:val="17"/>
                    </w:rPr>
                  </w:pPr>
                  <w:r w:rsidRPr="0086296A">
                    <w:rPr>
                      <w:rFonts w:cstheme="minorHAnsi"/>
                      <w:b/>
                      <w:bCs/>
                      <w:sz w:val="17"/>
                      <w:szCs w:val="17"/>
                    </w:rPr>
                    <w:t xml:space="preserve">21% </w:t>
                  </w:r>
                  <w:r w:rsidRPr="0086296A">
                    <w:rPr>
                      <w:rFonts w:cstheme="minorHAnsi"/>
                      <w:sz w:val="17"/>
                      <w:szCs w:val="17"/>
                    </w:rPr>
                    <w:t xml:space="preserve">increase on the previous year </w:t>
                  </w:r>
                </w:p>
                <w:p w:rsidR="00DF6F39" w:rsidRPr="0086296A" w:rsidRDefault="00DF6F39" w:rsidP="0086296A">
                  <w:pPr>
                    <w:rPr>
                      <w:rFonts w:cstheme="minorHAnsi"/>
                      <w:sz w:val="15"/>
                      <w:szCs w:val="15"/>
                    </w:rPr>
                  </w:pPr>
                  <w:r w:rsidRPr="0086296A">
                    <w:rPr>
                      <w:rFonts w:cstheme="minorHAnsi"/>
                      <w:sz w:val="15"/>
                      <w:szCs w:val="15"/>
                    </w:rPr>
                    <w:t xml:space="preserve">(compared to 61,685 in 2017–18 and over 53,600 in 2016–17) </w:t>
                  </w:r>
                </w:p>
              </w:tc>
            </w:tr>
          </w:tbl>
          <w:p w:rsidR="00DF6F39" w:rsidRPr="0086296A" w:rsidRDefault="00DF6F39" w:rsidP="0086296A">
            <w:pPr>
              <w:rPr>
                <w:rFonts w:cstheme="minorHAnsi"/>
              </w:rPr>
            </w:pPr>
          </w:p>
        </w:tc>
        <w:tc>
          <w:tcPr>
            <w:tcW w:w="1508" w:type="dxa"/>
          </w:tcPr>
          <w:p w:rsidR="00DF6F39" w:rsidRPr="0086296A" w:rsidRDefault="001D13F4" w:rsidP="0086296A">
            <w:pPr>
              <w:rPr>
                <w:rFonts w:cstheme="minorHAnsi"/>
              </w:rPr>
            </w:pPr>
            <w:r>
              <w:rPr>
                <w:rFonts w:cstheme="minorHAnsi"/>
              </w:rPr>
              <w:t>X</w:t>
            </w:r>
          </w:p>
        </w:tc>
      </w:tr>
      <w:tr w:rsidR="00DF6F39" w:rsidRPr="0086296A" w:rsidTr="0086296A">
        <w:tc>
          <w:tcPr>
            <w:tcW w:w="3005" w:type="dxa"/>
          </w:tcPr>
          <w:tbl>
            <w:tblPr>
              <w:tblW w:w="0" w:type="auto"/>
              <w:tblBorders>
                <w:top w:val="nil"/>
                <w:left w:val="nil"/>
                <w:bottom w:val="nil"/>
                <w:right w:val="nil"/>
              </w:tblBorders>
              <w:tblLook w:val="0000" w:firstRow="0" w:lastRow="0" w:firstColumn="0" w:lastColumn="0" w:noHBand="0" w:noVBand="0"/>
            </w:tblPr>
            <w:tblGrid>
              <w:gridCol w:w="2789"/>
            </w:tblGrid>
            <w:tr w:rsidR="00DF6F39" w:rsidRPr="0086296A">
              <w:tblPrEx>
                <w:tblCellMar>
                  <w:top w:w="0" w:type="dxa"/>
                  <w:bottom w:w="0" w:type="dxa"/>
                </w:tblCellMar>
              </w:tblPrEx>
              <w:trPr>
                <w:trHeight w:val="203"/>
              </w:trPr>
              <w:tc>
                <w:tcPr>
                  <w:tcW w:w="0" w:type="auto"/>
                </w:tcPr>
                <w:p w:rsidR="00DF6F39" w:rsidRPr="0086296A" w:rsidRDefault="00DF6F39" w:rsidP="0086296A">
                  <w:pPr>
                    <w:rPr>
                      <w:rFonts w:cstheme="minorHAnsi"/>
                      <w:sz w:val="17"/>
                      <w:szCs w:val="17"/>
                    </w:rPr>
                  </w:pPr>
                  <w:r w:rsidRPr="0086296A">
                    <w:rPr>
                      <w:rFonts w:cstheme="minorHAnsi"/>
                      <w:sz w:val="17"/>
                      <w:szCs w:val="17"/>
                    </w:rPr>
                    <w:t xml:space="preserve">Calls for domestic and family violence support/advice/help to women’s and men’s lines </w:t>
                  </w:r>
                </w:p>
              </w:tc>
            </w:tr>
          </w:tbl>
          <w:p w:rsidR="00DF6F39" w:rsidRPr="0086296A" w:rsidRDefault="00DF6F39" w:rsidP="0086296A">
            <w:pPr>
              <w:rPr>
                <w:rFonts w:cstheme="minorHAnsi"/>
              </w:rPr>
            </w:pPr>
          </w:p>
        </w:tc>
        <w:tc>
          <w:tcPr>
            <w:tcW w:w="4503" w:type="dxa"/>
          </w:tcPr>
          <w:tbl>
            <w:tblPr>
              <w:tblW w:w="0" w:type="auto"/>
              <w:tblBorders>
                <w:top w:val="nil"/>
                <w:left w:val="nil"/>
                <w:bottom w:val="nil"/>
                <w:right w:val="nil"/>
              </w:tblBorders>
              <w:tblLook w:val="0000" w:firstRow="0" w:lastRow="0" w:firstColumn="0" w:lastColumn="0" w:noHBand="0" w:noVBand="0"/>
            </w:tblPr>
            <w:tblGrid>
              <w:gridCol w:w="4287"/>
            </w:tblGrid>
            <w:tr w:rsidR="00DF6F39" w:rsidRPr="0086296A">
              <w:tblPrEx>
                <w:tblCellMar>
                  <w:top w:w="0" w:type="dxa"/>
                  <w:bottom w:w="0" w:type="dxa"/>
                </w:tblCellMar>
              </w:tblPrEx>
              <w:trPr>
                <w:trHeight w:val="410"/>
              </w:trPr>
              <w:tc>
                <w:tcPr>
                  <w:tcW w:w="0" w:type="auto"/>
                </w:tcPr>
                <w:p w:rsidR="00DF6F39" w:rsidRPr="0086296A" w:rsidRDefault="00DF6F39" w:rsidP="0086296A">
                  <w:pPr>
                    <w:rPr>
                      <w:rFonts w:cstheme="minorHAnsi"/>
                      <w:sz w:val="10"/>
                      <w:szCs w:val="10"/>
                    </w:rPr>
                  </w:pPr>
                  <w:r w:rsidRPr="0086296A">
                    <w:rPr>
                      <w:rFonts w:cstheme="minorHAnsi"/>
                      <w:b/>
                      <w:bCs/>
                      <w:sz w:val="17"/>
                      <w:szCs w:val="17"/>
                    </w:rPr>
                    <w:t xml:space="preserve">84,221 </w:t>
                  </w:r>
                  <w:r w:rsidRPr="0086296A">
                    <w:rPr>
                      <w:rFonts w:cstheme="minorHAnsi"/>
                      <w:sz w:val="17"/>
                      <w:szCs w:val="17"/>
                    </w:rPr>
                    <w:t>calls</w:t>
                  </w:r>
                  <w:r w:rsidRPr="0086296A">
                    <w:rPr>
                      <w:rFonts w:cstheme="minorHAnsi"/>
                      <w:b/>
                      <w:bCs/>
                      <w:position w:val="6"/>
                      <w:sz w:val="10"/>
                      <w:szCs w:val="10"/>
                    </w:rPr>
                    <w:t xml:space="preserve">iii </w:t>
                  </w:r>
                </w:p>
                <w:p w:rsidR="00DF6F39" w:rsidRPr="0086296A" w:rsidRDefault="00DF6F39" w:rsidP="0086296A">
                  <w:pPr>
                    <w:rPr>
                      <w:rFonts w:cstheme="minorHAnsi"/>
                      <w:sz w:val="15"/>
                      <w:szCs w:val="15"/>
                    </w:rPr>
                  </w:pPr>
                  <w:r w:rsidRPr="0086296A">
                    <w:rPr>
                      <w:rFonts w:cstheme="minorHAnsi"/>
                      <w:sz w:val="15"/>
                      <w:szCs w:val="15"/>
                    </w:rPr>
                    <w:t xml:space="preserve">(compared to 93,411 calls in 2017–18 and 108,542 calls in 2015–16) </w:t>
                  </w:r>
                </w:p>
                <w:p w:rsidR="00DF6F39" w:rsidRPr="0086296A" w:rsidRDefault="00DF6F39" w:rsidP="0086296A">
                  <w:pPr>
                    <w:rPr>
                      <w:rFonts w:cstheme="minorHAnsi"/>
                      <w:sz w:val="17"/>
                      <w:szCs w:val="17"/>
                    </w:rPr>
                  </w:pPr>
                  <w:r w:rsidRPr="0086296A">
                    <w:rPr>
                      <w:rFonts w:cstheme="minorHAnsi"/>
                      <w:b/>
                      <w:bCs/>
                      <w:sz w:val="17"/>
                      <w:szCs w:val="17"/>
                    </w:rPr>
                    <w:t xml:space="preserve">29,923 </w:t>
                  </w:r>
                  <w:r w:rsidRPr="0086296A">
                    <w:rPr>
                      <w:rFonts w:cstheme="minorHAnsi"/>
                      <w:sz w:val="17"/>
                      <w:szCs w:val="17"/>
                    </w:rPr>
                    <w:t xml:space="preserve">first time callers receiving support </w:t>
                  </w:r>
                </w:p>
                <w:p w:rsidR="00DF6F39" w:rsidRPr="0086296A" w:rsidRDefault="00DF6F39" w:rsidP="0086296A">
                  <w:pPr>
                    <w:rPr>
                      <w:rFonts w:cstheme="minorHAnsi"/>
                      <w:sz w:val="15"/>
                      <w:szCs w:val="15"/>
                    </w:rPr>
                  </w:pPr>
                  <w:r w:rsidRPr="0086296A">
                    <w:rPr>
                      <w:rFonts w:cstheme="minorHAnsi"/>
                      <w:sz w:val="15"/>
                      <w:szCs w:val="15"/>
                    </w:rPr>
                    <w:t xml:space="preserve">(compared to 29,459 in 2017–18 and 23,699 in 2016–17) </w:t>
                  </w:r>
                </w:p>
              </w:tc>
            </w:tr>
          </w:tbl>
          <w:p w:rsidR="00DF6F39" w:rsidRPr="0086296A" w:rsidRDefault="00DF6F39" w:rsidP="0086296A">
            <w:pPr>
              <w:rPr>
                <w:rFonts w:cstheme="minorHAnsi"/>
              </w:rPr>
            </w:pPr>
          </w:p>
        </w:tc>
        <w:tc>
          <w:tcPr>
            <w:tcW w:w="1508" w:type="dxa"/>
          </w:tcPr>
          <w:p w:rsidR="00DF6F39" w:rsidRPr="0086296A" w:rsidRDefault="00DF6F39" w:rsidP="0086296A">
            <w:pPr>
              <w:rPr>
                <w:rFonts w:cstheme="minorHAnsi"/>
              </w:rPr>
            </w:pPr>
          </w:p>
        </w:tc>
      </w:tr>
      <w:tr w:rsidR="00DF6F39" w:rsidRPr="0086296A" w:rsidTr="0086296A">
        <w:tc>
          <w:tcPr>
            <w:tcW w:w="3005" w:type="dxa"/>
          </w:tcPr>
          <w:tbl>
            <w:tblPr>
              <w:tblW w:w="0" w:type="auto"/>
              <w:tblBorders>
                <w:top w:val="nil"/>
                <w:left w:val="nil"/>
                <w:bottom w:val="nil"/>
                <w:right w:val="nil"/>
              </w:tblBorders>
              <w:tblLook w:val="0000" w:firstRow="0" w:lastRow="0" w:firstColumn="0" w:lastColumn="0" w:noHBand="0" w:noVBand="0"/>
            </w:tblPr>
            <w:tblGrid>
              <w:gridCol w:w="2789"/>
            </w:tblGrid>
            <w:tr w:rsidR="00DF6F39" w:rsidRPr="0086296A">
              <w:tblPrEx>
                <w:tblCellMar>
                  <w:top w:w="0" w:type="dxa"/>
                  <w:bottom w:w="0" w:type="dxa"/>
                </w:tblCellMar>
              </w:tblPrEx>
              <w:trPr>
                <w:trHeight w:val="203"/>
              </w:trPr>
              <w:tc>
                <w:tcPr>
                  <w:tcW w:w="0" w:type="auto"/>
                </w:tcPr>
                <w:p w:rsidR="00DF6F39" w:rsidRPr="0086296A" w:rsidRDefault="00DF6F39" w:rsidP="0086296A">
                  <w:pPr>
                    <w:rPr>
                      <w:rFonts w:cstheme="minorHAnsi"/>
                      <w:sz w:val="17"/>
                      <w:szCs w:val="17"/>
                    </w:rPr>
                  </w:pPr>
                  <w:r w:rsidRPr="0086296A">
                    <w:rPr>
                      <w:rFonts w:cstheme="minorHAnsi"/>
                      <w:sz w:val="17"/>
                      <w:szCs w:val="17"/>
                    </w:rPr>
                    <w:t xml:space="preserve">Increased percentage of Queenslanders believe it is important our culture respects gender equality </w:t>
                  </w:r>
                </w:p>
              </w:tc>
            </w:tr>
          </w:tbl>
          <w:p w:rsidR="00DF6F39" w:rsidRPr="0086296A" w:rsidRDefault="00DF6F39" w:rsidP="0086296A">
            <w:pPr>
              <w:rPr>
                <w:rFonts w:cstheme="minorHAnsi"/>
              </w:rPr>
            </w:pPr>
          </w:p>
        </w:tc>
        <w:tc>
          <w:tcPr>
            <w:tcW w:w="4503" w:type="dxa"/>
          </w:tcPr>
          <w:tbl>
            <w:tblPr>
              <w:tblW w:w="0" w:type="auto"/>
              <w:tblBorders>
                <w:top w:val="nil"/>
                <w:left w:val="nil"/>
                <w:bottom w:val="nil"/>
                <w:right w:val="nil"/>
              </w:tblBorders>
              <w:tblLook w:val="0000" w:firstRow="0" w:lastRow="0" w:firstColumn="0" w:lastColumn="0" w:noHBand="0" w:noVBand="0"/>
            </w:tblPr>
            <w:tblGrid>
              <w:gridCol w:w="4287"/>
            </w:tblGrid>
            <w:tr w:rsidR="00DF6F39" w:rsidRPr="0086296A">
              <w:tblPrEx>
                <w:tblCellMar>
                  <w:top w:w="0" w:type="dxa"/>
                  <w:bottom w:w="0" w:type="dxa"/>
                </w:tblCellMar>
              </w:tblPrEx>
              <w:trPr>
                <w:trHeight w:val="408"/>
              </w:trPr>
              <w:tc>
                <w:tcPr>
                  <w:tcW w:w="0" w:type="auto"/>
                </w:tcPr>
                <w:p w:rsidR="00DF6F39" w:rsidRPr="0086296A" w:rsidRDefault="00DF6F39" w:rsidP="0086296A">
                  <w:pPr>
                    <w:rPr>
                      <w:rFonts w:cstheme="minorHAnsi"/>
                      <w:sz w:val="17"/>
                      <w:szCs w:val="17"/>
                    </w:rPr>
                  </w:pPr>
                  <w:r w:rsidRPr="0086296A">
                    <w:rPr>
                      <w:rFonts w:cstheme="minorHAnsi"/>
                      <w:b/>
                      <w:bCs/>
                      <w:sz w:val="17"/>
                      <w:szCs w:val="17"/>
                    </w:rPr>
                    <w:t xml:space="preserve">78.8% </w:t>
                  </w:r>
                  <w:r w:rsidRPr="0086296A">
                    <w:rPr>
                      <w:rFonts w:cstheme="minorHAnsi"/>
                      <w:sz w:val="17"/>
                      <w:szCs w:val="17"/>
                    </w:rPr>
                    <w:t xml:space="preserve">of Queenslanders believe it is important our culture respects gender equality and doesn’t encourage traditional norms and stereotypes </w:t>
                  </w:r>
                </w:p>
                <w:p w:rsidR="00DF6F39" w:rsidRPr="0086296A" w:rsidRDefault="00DF6F39" w:rsidP="0086296A">
                  <w:pPr>
                    <w:rPr>
                      <w:rFonts w:cstheme="minorHAnsi"/>
                      <w:sz w:val="17"/>
                      <w:szCs w:val="17"/>
                    </w:rPr>
                  </w:pPr>
                  <w:r w:rsidRPr="0086296A">
                    <w:rPr>
                      <w:rFonts w:cstheme="minorHAnsi"/>
                      <w:sz w:val="15"/>
                      <w:szCs w:val="15"/>
                    </w:rPr>
                    <w:t xml:space="preserve">(compared to 76.4% in 2018 and 82.3% in 2017) </w:t>
                  </w:r>
                </w:p>
              </w:tc>
            </w:tr>
          </w:tbl>
          <w:p w:rsidR="00DF6F39" w:rsidRPr="0086296A" w:rsidRDefault="00DF6F39" w:rsidP="0086296A">
            <w:pPr>
              <w:rPr>
                <w:rFonts w:cstheme="minorHAnsi"/>
              </w:rPr>
            </w:pPr>
          </w:p>
        </w:tc>
        <w:tc>
          <w:tcPr>
            <w:tcW w:w="1508" w:type="dxa"/>
          </w:tcPr>
          <w:p w:rsidR="00DF6F39" w:rsidRPr="0086296A" w:rsidRDefault="001D13F4" w:rsidP="0086296A">
            <w:pPr>
              <w:rPr>
                <w:rFonts w:cstheme="minorHAnsi"/>
              </w:rPr>
            </w:pPr>
            <w:r>
              <w:rPr>
                <w:rFonts w:cstheme="minorHAnsi"/>
              </w:rPr>
              <w:t>O</w:t>
            </w:r>
          </w:p>
        </w:tc>
      </w:tr>
      <w:tr w:rsidR="00DF6F39" w:rsidRPr="0086296A" w:rsidTr="0086296A">
        <w:tc>
          <w:tcPr>
            <w:tcW w:w="3005" w:type="dxa"/>
          </w:tcPr>
          <w:p w:rsidR="00DF6F39" w:rsidRPr="0086296A" w:rsidRDefault="00244E10" w:rsidP="0086296A">
            <w:pPr>
              <w:pStyle w:val="Heading5"/>
              <w:rPr>
                <w:rFonts w:cstheme="majorHAnsi"/>
                <w:b/>
              </w:rPr>
            </w:pPr>
            <w:r w:rsidRPr="0086296A">
              <w:rPr>
                <w:rFonts w:cstheme="majorHAnsi"/>
                <w:b/>
              </w:rPr>
              <w:t>Respectful relationships and non-violent behaviour are embedded</w:t>
            </w:r>
            <w:r w:rsidR="0086296A">
              <w:rPr>
                <w:rFonts w:cstheme="majorHAnsi"/>
                <w:b/>
              </w:rPr>
              <w:t xml:space="preserve"> </w:t>
            </w:r>
            <w:r w:rsidRPr="0086296A">
              <w:rPr>
                <w:rFonts w:cstheme="majorHAnsi"/>
                <w:b/>
              </w:rPr>
              <w:t>in our community</w:t>
            </w:r>
          </w:p>
        </w:tc>
        <w:tc>
          <w:tcPr>
            <w:tcW w:w="4503" w:type="dxa"/>
          </w:tcPr>
          <w:tbl>
            <w:tblPr>
              <w:tblW w:w="0" w:type="auto"/>
              <w:tblBorders>
                <w:top w:val="nil"/>
                <w:left w:val="nil"/>
                <w:bottom w:val="nil"/>
                <w:right w:val="nil"/>
              </w:tblBorders>
              <w:tblLook w:val="0000" w:firstRow="0" w:lastRow="0" w:firstColumn="0" w:lastColumn="0" w:noHBand="0" w:noVBand="0"/>
            </w:tblPr>
            <w:tblGrid>
              <w:gridCol w:w="2464"/>
            </w:tblGrid>
            <w:tr w:rsidR="00244E10" w:rsidRPr="0086296A">
              <w:tblPrEx>
                <w:tblCellMar>
                  <w:top w:w="0" w:type="dxa"/>
                  <w:bottom w:w="0" w:type="dxa"/>
                </w:tblCellMar>
              </w:tblPrEx>
              <w:trPr>
                <w:trHeight w:val="97"/>
              </w:trPr>
              <w:tc>
                <w:tcPr>
                  <w:tcW w:w="0" w:type="auto"/>
                </w:tcPr>
                <w:p w:rsidR="00244E10" w:rsidRPr="0086296A" w:rsidRDefault="0086296A" w:rsidP="0086296A">
                  <w:pPr>
                    <w:pStyle w:val="Heading5"/>
                    <w:rPr>
                      <w:rFonts w:cstheme="majorHAnsi"/>
                      <w:b/>
                      <w:color w:val="000000"/>
                    </w:rPr>
                  </w:pPr>
                  <w:r w:rsidRPr="0086296A">
                    <w:rPr>
                      <w:b/>
                      <w:bCs/>
                    </w:rPr>
                    <w:t>12 months to June 2019*</w:t>
                  </w:r>
                </w:p>
              </w:tc>
            </w:tr>
          </w:tbl>
          <w:p w:rsidR="00DF6F39" w:rsidRPr="0086296A" w:rsidRDefault="00DF6F39" w:rsidP="0086296A">
            <w:pPr>
              <w:pStyle w:val="Heading5"/>
              <w:rPr>
                <w:rFonts w:cstheme="majorHAnsi"/>
                <w:b/>
                <w:color w:val="000000"/>
              </w:rPr>
            </w:pPr>
          </w:p>
        </w:tc>
        <w:tc>
          <w:tcPr>
            <w:tcW w:w="1508" w:type="dxa"/>
          </w:tcPr>
          <w:p w:rsidR="00DF6F39" w:rsidRPr="0086296A" w:rsidRDefault="00DF6F39" w:rsidP="0086296A">
            <w:pPr>
              <w:pStyle w:val="Heading5"/>
              <w:rPr>
                <w:rFonts w:cstheme="majorHAnsi"/>
                <w:b/>
              </w:rPr>
            </w:pPr>
          </w:p>
        </w:tc>
      </w:tr>
      <w:tr w:rsidR="00DF6F39" w:rsidRPr="0086296A" w:rsidTr="0086296A">
        <w:tc>
          <w:tcPr>
            <w:tcW w:w="3005" w:type="dxa"/>
          </w:tcPr>
          <w:tbl>
            <w:tblPr>
              <w:tblW w:w="0" w:type="auto"/>
              <w:tblBorders>
                <w:top w:val="nil"/>
                <w:left w:val="nil"/>
                <w:bottom w:val="nil"/>
                <w:right w:val="nil"/>
              </w:tblBorders>
              <w:tblLook w:val="0000" w:firstRow="0" w:lastRow="0" w:firstColumn="0" w:lastColumn="0" w:noHBand="0" w:noVBand="0"/>
            </w:tblPr>
            <w:tblGrid>
              <w:gridCol w:w="2789"/>
            </w:tblGrid>
            <w:tr w:rsidR="00244E10" w:rsidRPr="00244E10">
              <w:tblPrEx>
                <w:tblCellMar>
                  <w:top w:w="0" w:type="dxa"/>
                  <w:bottom w:w="0" w:type="dxa"/>
                </w:tblCellMar>
              </w:tblPrEx>
              <w:trPr>
                <w:trHeight w:val="203"/>
              </w:trPr>
              <w:tc>
                <w:tcPr>
                  <w:tcW w:w="0" w:type="auto"/>
                </w:tcPr>
                <w:p w:rsidR="00244E10" w:rsidRPr="00244E10" w:rsidRDefault="00244E10" w:rsidP="00244E10">
                  <w:pPr>
                    <w:autoSpaceDE w:val="0"/>
                    <w:autoSpaceDN w:val="0"/>
                    <w:adjustRightInd w:val="0"/>
                    <w:spacing w:after="0" w:line="171" w:lineRule="atLeast"/>
                    <w:rPr>
                      <w:rFonts w:cstheme="minorHAnsi"/>
                      <w:color w:val="000000"/>
                      <w:sz w:val="17"/>
                      <w:szCs w:val="17"/>
                    </w:rPr>
                  </w:pPr>
                  <w:r w:rsidRPr="00244E10">
                    <w:rPr>
                      <w:rFonts w:cstheme="minorHAnsi"/>
                      <w:color w:val="000000"/>
                      <w:sz w:val="17"/>
                      <w:szCs w:val="17"/>
                    </w:rPr>
                    <w:t xml:space="preserve">Increased capacity of students to recognise and challenge gender stereotypes and roles </w:t>
                  </w:r>
                </w:p>
              </w:tc>
            </w:tr>
          </w:tbl>
          <w:p w:rsidR="00DF6F39" w:rsidRPr="0086296A" w:rsidRDefault="00DF6F39" w:rsidP="00DF6F39">
            <w:pPr>
              <w:pStyle w:val="Default"/>
              <w:rPr>
                <w:rFonts w:asciiTheme="minorHAnsi" w:hAnsiTheme="minorHAnsi" w:cstheme="minorHAnsi"/>
              </w:rPr>
            </w:pPr>
          </w:p>
        </w:tc>
        <w:tc>
          <w:tcPr>
            <w:tcW w:w="4503" w:type="dxa"/>
          </w:tcPr>
          <w:tbl>
            <w:tblPr>
              <w:tblW w:w="0" w:type="auto"/>
              <w:tblBorders>
                <w:top w:val="nil"/>
                <w:left w:val="nil"/>
                <w:bottom w:val="nil"/>
                <w:right w:val="nil"/>
              </w:tblBorders>
              <w:tblLook w:val="0000" w:firstRow="0" w:lastRow="0" w:firstColumn="0" w:lastColumn="0" w:noHBand="0" w:noVBand="0"/>
            </w:tblPr>
            <w:tblGrid>
              <w:gridCol w:w="4287"/>
            </w:tblGrid>
            <w:tr w:rsidR="00244E10" w:rsidRPr="00244E10">
              <w:tblPrEx>
                <w:tblCellMar>
                  <w:top w:w="0" w:type="dxa"/>
                  <w:bottom w:w="0" w:type="dxa"/>
                </w:tblCellMar>
              </w:tblPrEx>
              <w:trPr>
                <w:trHeight w:val="845"/>
              </w:trPr>
              <w:tc>
                <w:tcPr>
                  <w:tcW w:w="0" w:type="auto"/>
                </w:tcPr>
                <w:p w:rsidR="00244E10" w:rsidRPr="00244E10" w:rsidRDefault="00244E10" w:rsidP="00244E10">
                  <w:pPr>
                    <w:autoSpaceDE w:val="0"/>
                    <w:autoSpaceDN w:val="0"/>
                    <w:adjustRightInd w:val="0"/>
                    <w:spacing w:after="0" w:line="171" w:lineRule="atLeast"/>
                    <w:rPr>
                      <w:rFonts w:cstheme="minorHAnsi"/>
                      <w:color w:val="000000"/>
                      <w:sz w:val="17"/>
                      <w:szCs w:val="17"/>
                    </w:rPr>
                  </w:pPr>
                  <w:r w:rsidRPr="00244E10">
                    <w:rPr>
                      <w:rFonts w:cstheme="minorHAnsi"/>
                      <w:color w:val="000000"/>
                      <w:sz w:val="17"/>
                      <w:szCs w:val="17"/>
                    </w:rPr>
                    <w:t xml:space="preserve">A Department of Education/Our Watch pilot in 10 state primary schools showed: </w:t>
                  </w:r>
                </w:p>
                <w:p w:rsidR="00244E10" w:rsidRPr="0086296A" w:rsidRDefault="00244E10" w:rsidP="0086296A">
                  <w:pPr>
                    <w:pStyle w:val="ListParagraph"/>
                    <w:numPr>
                      <w:ilvl w:val="0"/>
                      <w:numId w:val="24"/>
                    </w:numPr>
                    <w:autoSpaceDE w:val="0"/>
                    <w:autoSpaceDN w:val="0"/>
                    <w:adjustRightInd w:val="0"/>
                    <w:spacing w:after="0" w:line="240" w:lineRule="auto"/>
                    <w:rPr>
                      <w:rFonts w:cstheme="minorHAnsi"/>
                      <w:color w:val="000000"/>
                      <w:sz w:val="17"/>
                      <w:szCs w:val="17"/>
                    </w:rPr>
                  </w:pPr>
                  <w:r w:rsidRPr="0086296A">
                    <w:rPr>
                      <w:rFonts w:cstheme="minorHAnsi"/>
                      <w:color w:val="000000"/>
                      <w:sz w:val="17"/>
                      <w:szCs w:val="17"/>
                    </w:rPr>
                    <w:t xml:space="preserve">traditionally masculine jobs and activities were less likely to be considered as only for boys </w:t>
                  </w:r>
                </w:p>
                <w:p w:rsidR="00244E10" w:rsidRPr="0086296A" w:rsidRDefault="00244E10" w:rsidP="0086296A">
                  <w:pPr>
                    <w:pStyle w:val="ListParagraph"/>
                    <w:numPr>
                      <w:ilvl w:val="0"/>
                      <w:numId w:val="24"/>
                    </w:numPr>
                    <w:autoSpaceDE w:val="0"/>
                    <w:autoSpaceDN w:val="0"/>
                    <w:adjustRightInd w:val="0"/>
                    <w:spacing w:after="0" w:line="240" w:lineRule="auto"/>
                    <w:rPr>
                      <w:rFonts w:cstheme="minorHAnsi"/>
                      <w:color w:val="000000"/>
                      <w:sz w:val="17"/>
                      <w:szCs w:val="17"/>
                    </w:rPr>
                  </w:pPr>
                  <w:r w:rsidRPr="0086296A">
                    <w:rPr>
                      <w:rFonts w:cstheme="minorHAnsi"/>
                      <w:color w:val="000000"/>
                      <w:sz w:val="17"/>
                      <w:szCs w:val="17"/>
                    </w:rPr>
                    <w:t xml:space="preserve">traditionally feminine jobs and activities were less likely to be considered only for girls </w:t>
                  </w:r>
                </w:p>
                <w:p w:rsidR="00244E10" w:rsidRPr="0086296A" w:rsidRDefault="00244E10" w:rsidP="0086296A">
                  <w:pPr>
                    <w:pStyle w:val="ListParagraph"/>
                    <w:numPr>
                      <w:ilvl w:val="0"/>
                      <w:numId w:val="24"/>
                    </w:numPr>
                    <w:autoSpaceDE w:val="0"/>
                    <w:autoSpaceDN w:val="0"/>
                    <w:adjustRightInd w:val="0"/>
                    <w:spacing w:after="0" w:line="240" w:lineRule="auto"/>
                    <w:rPr>
                      <w:rFonts w:cstheme="minorHAnsi"/>
                      <w:color w:val="000000"/>
                      <w:sz w:val="17"/>
                      <w:szCs w:val="17"/>
                    </w:rPr>
                  </w:pPr>
                  <w:r w:rsidRPr="0086296A">
                    <w:rPr>
                      <w:rFonts w:cstheme="minorHAnsi"/>
                      <w:color w:val="000000"/>
                      <w:sz w:val="17"/>
                      <w:szCs w:val="17"/>
                    </w:rPr>
                    <w:t xml:space="preserve">girls and boys were more flexible about which gender should do traditionally masculine and feminine jobs and activities </w:t>
                  </w:r>
                </w:p>
                <w:p w:rsidR="00244E10" w:rsidRPr="00244E10" w:rsidRDefault="00244E10" w:rsidP="00244E10">
                  <w:pPr>
                    <w:autoSpaceDE w:val="0"/>
                    <w:autoSpaceDN w:val="0"/>
                    <w:adjustRightInd w:val="0"/>
                    <w:spacing w:after="0" w:line="240" w:lineRule="auto"/>
                    <w:rPr>
                      <w:rFonts w:cstheme="minorHAnsi"/>
                      <w:color w:val="000000"/>
                      <w:sz w:val="17"/>
                      <w:szCs w:val="17"/>
                    </w:rPr>
                  </w:pPr>
                </w:p>
              </w:tc>
            </w:tr>
          </w:tbl>
          <w:p w:rsidR="00DF6F39" w:rsidRPr="0086296A" w:rsidRDefault="00DF6F39" w:rsidP="00DF6F39">
            <w:pPr>
              <w:autoSpaceDE w:val="0"/>
              <w:autoSpaceDN w:val="0"/>
              <w:adjustRightInd w:val="0"/>
              <w:rPr>
                <w:rFonts w:cstheme="minorHAnsi"/>
                <w:color w:val="000000"/>
                <w:sz w:val="24"/>
                <w:szCs w:val="24"/>
              </w:rPr>
            </w:pPr>
          </w:p>
        </w:tc>
        <w:tc>
          <w:tcPr>
            <w:tcW w:w="1508" w:type="dxa"/>
          </w:tcPr>
          <w:p w:rsidR="00DF6F39" w:rsidRPr="0086296A" w:rsidRDefault="00DF6F39" w:rsidP="00DF6F39">
            <w:pPr>
              <w:rPr>
                <w:rFonts w:cstheme="minorHAnsi"/>
              </w:rPr>
            </w:pPr>
          </w:p>
        </w:tc>
      </w:tr>
      <w:tr w:rsidR="00DF6F39" w:rsidTr="0086296A">
        <w:tc>
          <w:tcPr>
            <w:tcW w:w="3005" w:type="dxa"/>
          </w:tcPr>
          <w:tbl>
            <w:tblPr>
              <w:tblW w:w="0" w:type="auto"/>
              <w:tblBorders>
                <w:top w:val="nil"/>
                <w:left w:val="nil"/>
                <w:bottom w:val="nil"/>
                <w:right w:val="nil"/>
              </w:tblBorders>
              <w:tblLook w:val="0000" w:firstRow="0" w:lastRow="0" w:firstColumn="0" w:lastColumn="0" w:noHBand="0" w:noVBand="0"/>
            </w:tblPr>
            <w:tblGrid>
              <w:gridCol w:w="2789"/>
            </w:tblGrid>
            <w:tr w:rsidR="00244E10" w:rsidRPr="00244E10">
              <w:tblPrEx>
                <w:tblCellMar>
                  <w:top w:w="0" w:type="dxa"/>
                  <w:bottom w:w="0" w:type="dxa"/>
                </w:tblCellMar>
              </w:tblPrEx>
              <w:trPr>
                <w:trHeight w:val="310"/>
              </w:trPr>
              <w:tc>
                <w:tcPr>
                  <w:tcW w:w="0" w:type="auto"/>
                </w:tcPr>
                <w:p w:rsidR="00244E10" w:rsidRPr="00244E10" w:rsidRDefault="00244E10" w:rsidP="0086296A">
                  <w:pPr>
                    <w:rPr>
                      <w:rFonts w:ascii="ORIKZ Z+ Meta Bold LF" w:hAnsi="ORIKZ Z+ Meta Bold LF" w:cs="ORIKZ Z+ Meta Bold LF"/>
                      <w:sz w:val="10"/>
                      <w:szCs w:val="10"/>
                    </w:rPr>
                  </w:pPr>
                  <w:r w:rsidRPr="00244E10">
                    <w:rPr>
                      <w:sz w:val="17"/>
                      <w:szCs w:val="17"/>
                    </w:rPr>
                    <w:t xml:space="preserve">Teaching staff report increased capacity to deliver respectful relationships education (through </w:t>
                  </w:r>
                  <w:r w:rsidRPr="00244E10">
                    <w:rPr>
                      <w:sz w:val="17"/>
                      <w:szCs w:val="17"/>
                    </w:rPr>
                    <w:lastRenderedPageBreak/>
                    <w:t>professional learning and ongoing support)</w:t>
                  </w:r>
                  <w:r w:rsidRPr="00244E10">
                    <w:rPr>
                      <w:rFonts w:ascii="ORIKZ Z+ Meta Bold LF" w:hAnsi="ORIKZ Z+ Meta Bold LF" w:cs="ORIKZ Z+ Meta Bold LF"/>
                      <w:b/>
                      <w:bCs/>
                      <w:sz w:val="10"/>
                      <w:szCs w:val="10"/>
                    </w:rPr>
                    <w:t xml:space="preserve">iv </w:t>
                  </w:r>
                </w:p>
              </w:tc>
            </w:tr>
          </w:tbl>
          <w:p w:rsidR="00DF6F39" w:rsidRDefault="00DF6F39" w:rsidP="0086296A"/>
        </w:tc>
        <w:tc>
          <w:tcPr>
            <w:tcW w:w="4503" w:type="dxa"/>
          </w:tcPr>
          <w:tbl>
            <w:tblPr>
              <w:tblW w:w="0" w:type="auto"/>
              <w:tblBorders>
                <w:top w:val="nil"/>
                <w:left w:val="nil"/>
                <w:bottom w:val="nil"/>
                <w:right w:val="nil"/>
              </w:tblBorders>
              <w:tblLook w:val="0000" w:firstRow="0" w:lastRow="0" w:firstColumn="0" w:lastColumn="0" w:noHBand="0" w:noVBand="0"/>
            </w:tblPr>
            <w:tblGrid>
              <w:gridCol w:w="4287"/>
            </w:tblGrid>
            <w:tr w:rsidR="00244E10" w:rsidRPr="00244E10">
              <w:tblPrEx>
                <w:tblCellMar>
                  <w:top w:w="0" w:type="dxa"/>
                  <w:bottom w:w="0" w:type="dxa"/>
                </w:tblCellMar>
              </w:tblPrEx>
              <w:trPr>
                <w:trHeight w:val="310"/>
              </w:trPr>
              <w:tc>
                <w:tcPr>
                  <w:tcW w:w="0" w:type="auto"/>
                </w:tcPr>
                <w:p w:rsidR="00244E10" w:rsidRPr="00244E10" w:rsidRDefault="00244E10" w:rsidP="0086296A">
                  <w:pPr>
                    <w:rPr>
                      <w:sz w:val="17"/>
                      <w:szCs w:val="17"/>
                    </w:rPr>
                  </w:pPr>
                  <w:r w:rsidRPr="00244E10">
                    <w:rPr>
                      <w:sz w:val="17"/>
                      <w:szCs w:val="17"/>
                    </w:rPr>
                    <w:lastRenderedPageBreak/>
                    <w:t xml:space="preserve">Staff within pilot schools maintained a moderate level of confidence and understanding of respectful relationships education at the completion of the pilot </w:t>
                  </w:r>
                </w:p>
              </w:tc>
            </w:tr>
          </w:tbl>
          <w:p w:rsidR="00DF6F39" w:rsidRPr="00244E10" w:rsidRDefault="00DF6F39" w:rsidP="0086296A">
            <w:pPr>
              <w:rPr>
                <w:rFonts w:ascii="ORIKZ Z+ Meta Bold LF" w:hAnsi="ORIKZ Z+ Meta Bold LF" w:cs="ORIKZ Z+ Meta Bold LF"/>
              </w:rPr>
            </w:pPr>
          </w:p>
        </w:tc>
        <w:tc>
          <w:tcPr>
            <w:tcW w:w="1508" w:type="dxa"/>
          </w:tcPr>
          <w:p w:rsidR="00DF6F39" w:rsidRDefault="00DF6F39" w:rsidP="0086296A"/>
        </w:tc>
      </w:tr>
      <w:tr w:rsidR="00DF6F39" w:rsidRPr="0086296A" w:rsidTr="0086296A">
        <w:tc>
          <w:tcPr>
            <w:tcW w:w="3005" w:type="dxa"/>
          </w:tcPr>
          <w:tbl>
            <w:tblPr>
              <w:tblW w:w="0" w:type="auto"/>
              <w:tblBorders>
                <w:top w:val="nil"/>
                <w:left w:val="nil"/>
                <w:bottom w:val="nil"/>
                <w:right w:val="nil"/>
              </w:tblBorders>
              <w:tblLook w:val="0000" w:firstRow="0" w:lastRow="0" w:firstColumn="0" w:lastColumn="0" w:noHBand="0" w:noVBand="0"/>
            </w:tblPr>
            <w:tblGrid>
              <w:gridCol w:w="2789"/>
            </w:tblGrid>
            <w:tr w:rsidR="00244E10" w:rsidRPr="0086296A">
              <w:tblPrEx>
                <w:tblCellMar>
                  <w:top w:w="0" w:type="dxa"/>
                  <w:bottom w:w="0" w:type="dxa"/>
                </w:tblCellMar>
              </w:tblPrEx>
              <w:trPr>
                <w:trHeight w:val="193"/>
              </w:trPr>
              <w:tc>
                <w:tcPr>
                  <w:tcW w:w="0" w:type="auto"/>
                </w:tcPr>
                <w:p w:rsidR="00244E10" w:rsidRPr="0086296A" w:rsidRDefault="00244E10" w:rsidP="0086296A">
                  <w:pPr>
                    <w:pStyle w:val="Heading5"/>
                  </w:pPr>
                  <w:r w:rsidRPr="0086296A">
                    <w:rPr>
                      <w:b/>
                      <w:bCs/>
                    </w:rPr>
                    <w:lastRenderedPageBreak/>
                    <w:t xml:space="preserve">Queensland community, business, religious, sporting and all government leaders are taking action and working together </w:t>
                  </w:r>
                </w:p>
              </w:tc>
            </w:tr>
          </w:tbl>
          <w:p w:rsidR="00DF6F39" w:rsidRPr="0086296A" w:rsidRDefault="00DF6F39" w:rsidP="0086296A">
            <w:pPr>
              <w:pStyle w:val="Heading5"/>
            </w:pPr>
          </w:p>
        </w:tc>
        <w:tc>
          <w:tcPr>
            <w:tcW w:w="4503" w:type="dxa"/>
          </w:tcPr>
          <w:tbl>
            <w:tblPr>
              <w:tblW w:w="0" w:type="auto"/>
              <w:tblBorders>
                <w:top w:val="nil"/>
                <w:left w:val="nil"/>
                <w:bottom w:val="nil"/>
                <w:right w:val="nil"/>
              </w:tblBorders>
              <w:tblLook w:val="0000" w:firstRow="0" w:lastRow="0" w:firstColumn="0" w:lastColumn="0" w:noHBand="0" w:noVBand="0"/>
            </w:tblPr>
            <w:tblGrid>
              <w:gridCol w:w="2464"/>
            </w:tblGrid>
            <w:tr w:rsidR="00244E10" w:rsidRPr="0086296A">
              <w:tblPrEx>
                <w:tblCellMar>
                  <w:top w:w="0" w:type="dxa"/>
                  <w:bottom w:w="0" w:type="dxa"/>
                </w:tblCellMar>
              </w:tblPrEx>
              <w:trPr>
                <w:trHeight w:val="97"/>
              </w:trPr>
              <w:tc>
                <w:tcPr>
                  <w:tcW w:w="0" w:type="auto"/>
                </w:tcPr>
                <w:p w:rsidR="00244E10" w:rsidRPr="0086296A" w:rsidRDefault="00244E10" w:rsidP="0086296A">
                  <w:pPr>
                    <w:pStyle w:val="Heading5"/>
                  </w:pPr>
                  <w:r w:rsidRPr="0086296A">
                    <w:rPr>
                      <w:b/>
                      <w:bCs/>
                    </w:rPr>
                    <w:t xml:space="preserve">12 months to June 2019* </w:t>
                  </w:r>
                </w:p>
              </w:tc>
            </w:tr>
          </w:tbl>
          <w:p w:rsidR="00DF6F39" w:rsidRPr="0086296A" w:rsidRDefault="00DF6F39" w:rsidP="0086296A">
            <w:pPr>
              <w:pStyle w:val="Heading5"/>
            </w:pPr>
          </w:p>
        </w:tc>
        <w:tc>
          <w:tcPr>
            <w:tcW w:w="1508" w:type="dxa"/>
          </w:tcPr>
          <w:p w:rsidR="00DF6F39" w:rsidRPr="0086296A" w:rsidRDefault="00DF6F39" w:rsidP="0086296A">
            <w:pPr>
              <w:pStyle w:val="Heading5"/>
            </w:pPr>
          </w:p>
        </w:tc>
      </w:tr>
      <w:tr w:rsidR="00DF6F39" w:rsidRPr="0086296A" w:rsidTr="0086296A">
        <w:tc>
          <w:tcPr>
            <w:tcW w:w="3005" w:type="dxa"/>
          </w:tcPr>
          <w:tbl>
            <w:tblPr>
              <w:tblW w:w="0" w:type="auto"/>
              <w:tblBorders>
                <w:top w:val="nil"/>
                <w:left w:val="nil"/>
                <w:bottom w:val="nil"/>
                <w:right w:val="nil"/>
              </w:tblBorders>
              <w:tblLook w:val="0000" w:firstRow="0" w:lastRow="0" w:firstColumn="0" w:lastColumn="0" w:noHBand="0" w:noVBand="0"/>
            </w:tblPr>
            <w:tblGrid>
              <w:gridCol w:w="2789"/>
            </w:tblGrid>
            <w:tr w:rsidR="00244E10" w:rsidRPr="0086296A">
              <w:tblPrEx>
                <w:tblCellMar>
                  <w:top w:w="0" w:type="dxa"/>
                  <w:bottom w:w="0" w:type="dxa"/>
                </w:tblCellMar>
              </w:tblPrEx>
              <w:trPr>
                <w:trHeight w:val="203"/>
              </w:trPr>
              <w:tc>
                <w:tcPr>
                  <w:tcW w:w="0" w:type="auto"/>
                </w:tcPr>
                <w:p w:rsidR="00244E10" w:rsidRPr="0086296A" w:rsidRDefault="00244E10" w:rsidP="0086296A">
                  <w:pPr>
                    <w:rPr>
                      <w:rFonts w:cstheme="minorHAnsi"/>
                      <w:sz w:val="17"/>
                      <w:szCs w:val="17"/>
                    </w:rPr>
                  </w:pPr>
                  <w:r w:rsidRPr="0086296A">
                    <w:rPr>
                      <w:rFonts w:cstheme="minorHAnsi"/>
                      <w:sz w:val="17"/>
                      <w:szCs w:val="17"/>
                    </w:rPr>
                    <w:t xml:space="preserve">Number of community initiatives that support awareness and early intervention for domestic and family violence </w:t>
                  </w:r>
                </w:p>
              </w:tc>
            </w:tr>
          </w:tbl>
          <w:p w:rsidR="00DF6F39" w:rsidRPr="0086296A" w:rsidRDefault="00DF6F39" w:rsidP="0086296A">
            <w:pPr>
              <w:rPr>
                <w:rFonts w:cstheme="minorHAnsi"/>
              </w:rPr>
            </w:pPr>
          </w:p>
        </w:tc>
        <w:tc>
          <w:tcPr>
            <w:tcW w:w="4503" w:type="dxa"/>
          </w:tcPr>
          <w:tbl>
            <w:tblPr>
              <w:tblW w:w="0" w:type="auto"/>
              <w:tblBorders>
                <w:top w:val="nil"/>
                <w:left w:val="nil"/>
                <w:bottom w:val="nil"/>
                <w:right w:val="nil"/>
              </w:tblBorders>
              <w:tblLook w:val="0000" w:firstRow="0" w:lastRow="0" w:firstColumn="0" w:lastColumn="0" w:noHBand="0" w:noVBand="0"/>
            </w:tblPr>
            <w:tblGrid>
              <w:gridCol w:w="4287"/>
            </w:tblGrid>
            <w:tr w:rsidR="00244E10" w:rsidRPr="0086296A">
              <w:tblPrEx>
                <w:tblCellMar>
                  <w:top w:w="0" w:type="dxa"/>
                  <w:bottom w:w="0" w:type="dxa"/>
                </w:tblCellMar>
              </w:tblPrEx>
              <w:trPr>
                <w:trHeight w:val="714"/>
              </w:trPr>
              <w:tc>
                <w:tcPr>
                  <w:tcW w:w="0" w:type="auto"/>
                </w:tcPr>
                <w:p w:rsidR="00244E10" w:rsidRPr="0086296A" w:rsidRDefault="00244E10" w:rsidP="0086296A">
                  <w:pPr>
                    <w:rPr>
                      <w:rFonts w:cstheme="minorHAnsi"/>
                      <w:sz w:val="17"/>
                      <w:szCs w:val="17"/>
                    </w:rPr>
                  </w:pPr>
                  <w:r w:rsidRPr="0086296A">
                    <w:rPr>
                      <w:rFonts w:cstheme="minorHAnsi"/>
                      <w:sz w:val="17"/>
                      <w:szCs w:val="17"/>
                    </w:rPr>
                    <w:t xml:space="preserve">Domestic and Family Violence Prevention Month: </w:t>
                  </w:r>
                </w:p>
                <w:p w:rsidR="00244E10" w:rsidRPr="0086296A" w:rsidRDefault="00244E10" w:rsidP="0086296A">
                  <w:pPr>
                    <w:rPr>
                      <w:rFonts w:cstheme="minorHAnsi"/>
                      <w:sz w:val="17"/>
                      <w:szCs w:val="17"/>
                    </w:rPr>
                  </w:pPr>
                  <w:r w:rsidRPr="0086296A">
                    <w:rPr>
                      <w:rFonts w:cstheme="minorHAnsi"/>
                      <w:b/>
                      <w:bCs/>
                      <w:sz w:val="17"/>
                      <w:szCs w:val="17"/>
                    </w:rPr>
                    <w:t xml:space="preserve">32 </w:t>
                  </w:r>
                  <w:r w:rsidRPr="0086296A">
                    <w:rPr>
                      <w:rFonts w:cstheme="minorHAnsi"/>
                      <w:sz w:val="17"/>
                      <w:szCs w:val="17"/>
                    </w:rPr>
                    <w:t xml:space="preserve">grants for community events in 2018–19 – more people attended events in their community than ever before </w:t>
                  </w:r>
                </w:p>
                <w:p w:rsidR="00244E10" w:rsidRPr="0086296A" w:rsidRDefault="00244E10" w:rsidP="0086296A">
                  <w:pPr>
                    <w:rPr>
                      <w:rFonts w:cstheme="minorHAnsi"/>
                      <w:sz w:val="15"/>
                      <w:szCs w:val="15"/>
                    </w:rPr>
                  </w:pPr>
                  <w:r w:rsidRPr="0086296A">
                    <w:rPr>
                      <w:rFonts w:cstheme="minorHAnsi"/>
                      <w:sz w:val="15"/>
                      <w:szCs w:val="15"/>
                    </w:rPr>
                    <w:t xml:space="preserve">(compared to 35 grants in 2017–18 and 57 grants in 2015–16) </w:t>
                  </w:r>
                </w:p>
                <w:p w:rsidR="00244E10" w:rsidRPr="0086296A" w:rsidRDefault="00244E10" w:rsidP="0086296A">
                  <w:pPr>
                    <w:rPr>
                      <w:rFonts w:cstheme="minorHAnsi"/>
                      <w:sz w:val="17"/>
                      <w:szCs w:val="17"/>
                    </w:rPr>
                  </w:pPr>
                  <w:r w:rsidRPr="0086296A">
                    <w:rPr>
                      <w:rFonts w:cstheme="minorHAnsi"/>
                      <w:b/>
                      <w:bCs/>
                      <w:sz w:val="17"/>
                      <w:szCs w:val="17"/>
                    </w:rPr>
                    <w:t xml:space="preserve">56 </w:t>
                  </w:r>
                  <w:r w:rsidRPr="0086296A">
                    <w:rPr>
                      <w:rFonts w:cstheme="minorHAnsi"/>
                      <w:sz w:val="17"/>
                      <w:szCs w:val="17"/>
                    </w:rPr>
                    <w:t xml:space="preserve">registered events in 2018–19 </w:t>
                  </w:r>
                </w:p>
                <w:p w:rsidR="00244E10" w:rsidRPr="0086296A" w:rsidRDefault="00244E10" w:rsidP="0086296A">
                  <w:pPr>
                    <w:rPr>
                      <w:rFonts w:cstheme="minorHAnsi"/>
                      <w:sz w:val="15"/>
                      <w:szCs w:val="15"/>
                    </w:rPr>
                  </w:pPr>
                  <w:r w:rsidRPr="0086296A">
                    <w:rPr>
                      <w:rFonts w:cstheme="minorHAnsi"/>
                      <w:sz w:val="15"/>
                      <w:szCs w:val="15"/>
                    </w:rPr>
                    <w:t xml:space="preserve">(compared to 75 registered events in 2017–18 and 125 registered events in 2015–16) </w:t>
                  </w:r>
                </w:p>
              </w:tc>
            </w:tr>
          </w:tbl>
          <w:p w:rsidR="00DF6F39" w:rsidRPr="0086296A" w:rsidRDefault="00DF6F39" w:rsidP="0086296A">
            <w:pPr>
              <w:rPr>
                <w:rFonts w:cstheme="minorHAnsi"/>
              </w:rPr>
            </w:pPr>
          </w:p>
        </w:tc>
        <w:tc>
          <w:tcPr>
            <w:tcW w:w="1508" w:type="dxa"/>
          </w:tcPr>
          <w:p w:rsidR="00DF6F39" w:rsidRPr="0086296A" w:rsidRDefault="00DF6F39" w:rsidP="0086296A">
            <w:pPr>
              <w:rPr>
                <w:rFonts w:cstheme="minorHAnsi"/>
              </w:rPr>
            </w:pPr>
          </w:p>
        </w:tc>
      </w:tr>
      <w:tr w:rsidR="00DF6F39" w:rsidRPr="0086296A" w:rsidTr="0086296A">
        <w:tc>
          <w:tcPr>
            <w:tcW w:w="3005" w:type="dxa"/>
          </w:tcPr>
          <w:tbl>
            <w:tblPr>
              <w:tblW w:w="0" w:type="auto"/>
              <w:tblBorders>
                <w:top w:val="nil"/>
                <w:left w:val="nil"/>
                <w:bottom w:val="nil"/>
                <w:right w:val="nil"/>
              </w:tblBorders>
              <w:tblLook w:val="0000" w:firstRow="0" w:lastRow="0" w:firstColumn="0" w:lastColumn="0" w:noHBand="0" w:noVBand="0"/>
            </w:tblPr>
            <w:tblGrid>
              <w:gridCol w:w="2789"/>
            </w:tblGrid>
            <w:tr w:rsidR="00244E10" w:rsidRPr="0086296A">
              <w:tblPrEx>
                <w:tblCellMar>
                  <w:top w:w="0" w:type="dxa"/>
                  <w:bottom w:w="0" w:type="dxa"/>
                </w:tblCellMar>
              </w:tblPrEx>
              <w:trPr>
                <w:trHeight w:val="310"/>
              </w:trPr>
              <w:tc>
                <w:tcPr>
                  <w:tcW w:w="0" w:type="auto"/>
                </w:tcPr>
                <w:p w:rsidR="00244E10" w:rsidRPr="0086296A" w:rsidRDefault="00244E10" w:rsidP="0086296A">
                  <w:pPr>
                    <w:rPr>
                      <w:rFonts w:cstheme="minorHAnsi"/>
                      <w:sz w:val="17"/>
                      <w:szCs w:val="17"/>
                    </w:rPr>
                  </w:pPr>
                  <w:r w:rsidRPr="0086296A">
                    <w:rPr>
                      <w:rFonts w:cstheme="minorHAnsi"/>
                      <w:sz w:val="17"/>
                      <w:szCs w:val="17"/>
                    </w:rPr>
                    <w:t xml:space="preserve">Increased percentage of participating organisations that report changes in policy and/or approach to domestic and family violence </w:t>
                  </w:r>
                </w:p>
              </w:tc>
            </w:tr>
          </w:tbl>
          <w:p w:rsidR="00DF6F39" w:rsidRPr="0086296A" w:rsidRDefault="00DF6F39" w:rsidP="0086296A">
            <w:pPr>
              <w:rPr>
                <w:rFonts w:cstheme="minorHAnsi"/>
              </w:rPr>
            </w:pPr>
          </w:p>
        </w:tc>
        <w:tc>
          <w:tcPr>
            <w:tcW w:w="4503" w:type="dxa"/>
          </w:tcPr>
          <w:tbl>
            <w:tblPr>
              <w:tblW w:w="0" w:type="auto"/>
              <w:tblBorders>
                <w:top w:val="nil"/>
                <w:left w:val="nil"/>
                <w:bottom w:val="nil"/>
                <w:right w:val="nil"/>
              </w:tblBorders>
              <w:tblLook w:val="0000" w:firstRow="0" w:lastRow="0" w:firstColumn="0" w:lastColumn="0" w:noHBand="0" w:noVBand="0"/>
            </w:tblPr>
            <w:tblGrid>
              <w:gridCol w:w="4287"/>
            </w:tblGrid>
            <w:tr w:rsidR="00244E10" w:rsidRPr="0086296A">
              <w:tblPrEx>
                <w:tblCellMar>
                  <w:top w:w="0" w:type="dxa"/>
                  <w:bottom w:w="0" w:type="dxa"/>
                </w:tblCellMar>
              </w:tblPrEx>
              <w:trPr>
                <w:trHeight w:val="421"/>
              </w:trPr>
              <w:tc>
                <w:tcPr>
                  <w:tcW w:w="0" w:type="auto"/>
                </w:tcPr>
                <w:p w:rsidR="00244E10" w:rsidRPr="0086296A" w:rsidRDefault="00244E10" w:rsidP="0086296A">
                  <w:pPr>
                    <w:rPr>
                      <w:rFonts w:cstheme="minorHAnsi"/>
                      <w:sz w:val="17"/>
                      <w:szCs w:val="17"/>
                    </w:rPr>
                  </w:pPr>
                  <w:r w:rsidRPr="0086296A">
                    <w:rPr>
                      <w:rFonts w:cstheme="minorHAnsi"/>
                      <w:b/>
                      <w:bCs/>
                      <w:sz w:val="17"/>
                      <w:szCs w:val="17"/>
                    </w:rPr>
                    <w:t xml:space="preserve">6.2% </w:t>
                  </w:r>
                  <w:r w:rsidRPr="0086296A">
                    <w:rPr>
                      <w:rFonts w:cstheme="minorHAnsi"/>
                      <w:sz w:val="17"/>
                      <w:szCs w:val="17"/>
                    </w:rPr>
                    <w:t xml:space="preserve">increase from 2016–17 to 2017–18 in the proportion of non-public organisations with headquarters in Queensland that reported having a formal workplace domestic and family violence policy and/or strategy </w:t>
                  </w:r>
                </w:p>
              </w:tc>
            </w:tr>
          </w:tbl>
          <w:p w:rsidR="00DF6F39" w:rsidRPr="0086296A" w:rsidRDefault="00DF6F39" w:rsidP="0086296A">
            <w:pPr>
              <w:rPr>
                <w:rFonts w:cstheme="minorHAnsi"/>
              </w:rPr>
            </w:pPr>
          </w:p>
        </w:tc>
        <w:tc>
          <w:tcPr>
            <w:tcW w:w="1508" w:type="dxa"/>
          </w:tcPr>
          <w:p w:rsidR="00DF6F39" w:rsidRPr="0086296A" w:rsidRDefault="001D13F4" w:rsidP="0086296A">
            <w:pPr>
              <w:rPr>
                <w:rFonts w:cstheme="minorHAnsi"/>
              </w:rPr>
            </w:pPr>
            <w:r>
              <w:rPr>
                <w:rFonts w:cstheme="minorHAnsi"/>
              </w:rPr>
              <w:t>X</w:t>
            </w:r>
          </w:p>
        </w:tc>
      </w:tr>
      <w:tr w:rsidR="00244E10" w:rsidRPr="0086296A" w:rsidTr="0086296A">
        <w:tc>
          <w:tcPr>
            <w:tcW w:w="3005" w:type="dxa"/>
          </w:tcPr>
          <w:tbl>
            <w:tblPr>
              <w:tblW w:w="0" w:type="auto"/>
              <w:tblBorders>
                <w:top w:val="nil"/>
                <w:left w:val="nil"/>
                <w:bottom w:val="nil"/>
                <w:right w:val="nil"/>
              </w:tblBorders>
              <w:tblLook w:val="0000" w:firstRow="0" w:lastRow="0" w:firstColumn="0" w:lastColumn="0" w:noHBand="0" w:noVBand="0"/>
            </w:tblPr>
            <w:tblGrid>
              <w:gridCol w:w="2789"/>
            </w:tblGrid>
            <w:tr w:rsidR="00244E10" w:rsidRPr="0086296A">
              <w:tblPrEx>
                <w:tblCellMar>
                  <w:top w:w="0" w:type="dxa"/>
                  <w:bottom w:w="0" w:type="dxa"/>
                </w:tblCellMar>
              </w:tblPrEx>
              <w:trPr>
                <w:trHeight w:val="193"/>
              </w:trPr>
              <w:tc>
                <w:tcPr>
                  <w:tcW w:w="0" w:type="auto"/>
                </w:tcPr>
                <w:p w:rsidR="00244E10" w:rsidRPr="0086296A" w:rsidRDefault="00244E10" w:rsidP="0086296A">
                  <w:pPr>
                    <w:pStyle w:val="Heading5"/>
                  </w:pPr>
                  <w:r w:rsidRPr="0086296A">
                    <w:rPr>
                      <w:b/>
                      <w:bCs/>
                    </w:rPr>
                    <w:t xml:space="preserve">Queensland workplaces and workforce challenge attitudes contributing to violence and effectively support workers </w:t>
                  </w:r>
                </w:p>
              </w:tc>
            </w:tr>
          </w:tbl>
          <w:p w:rsidR="00244E10" w:rsidRPr="0086296A" w:rsidRDefault="00244E10" w:rsidP="0086296A">
            <w:pPr>
              <w:pStyle w:val="Heading5"/>
              <w:rPr>
                <w:rFonts w:ascii="ORIKZ Z+ Meta Normal LF" w:hAnsi="ORIKZ Z+ Meta Normal LF" w:cs="ORIKZ Z+ Meta Normal LF"/>
              </w:rPr>
            </w:pPr>
          </w:p>
        </w:tc>
        <w:tc>
          <w:tcPr>
            <w:tcW w:w="4503" w:type="dxa"/>
          </w:tcPr>
          <w:tbl>
            <w:tblPr>
              <w:tblW w:w="0" w:type="auto"/>
              <w:tblBorders>
                <w:top w:val="nil"/>
                <w:left w:val="nil"/>
                <w:bottom w:val="nil"/>
                <w:right w:val="nil"/>
              </w:tblBorders>
              <w:tblLook w:val="0000" w:firstRow="0" w:lastRow="0" w:firstColumn="0" w:lastColumn="0" w:noHBand="0" w:noVBand="0"/>
            </w:tblPr>
            <w:tblGrid>
              <w:gridCol w:w="2464"/>
            </w:tblGrid>
            <w:tr w:rsidR="00244E10" w:rsidRPr="0086296A">
              <w:tblPrEx>
                <w:tblCellMar>
                  <w:top w:w="0" w:type="dxa"/>
                  <w:bottom w:w="0" w:type="dxa"/>
                </w:tblCellMar>
              </w:tblPrEx>
              <w:trPr>
                <w:trHeight w:val="97"/>
              </w:trPr>
              <w:tc>
                <w:tcPr>
                  <w:tcW w:w="0" w:type="auto"/>
                </w:tcPr>
                <w:p w:rsidR="00244E10" w:rsidRPr="0086296A" w:rsidRDefault="00244E10" w:rsidP="0086296A">
                  <w:pPr>
                    <w:pStyle w:val="Heading5"/>
                  </w:pPr>
                  <w:r w:rsidRPr="0086296A">
                    <w:rPr>
                      <w:b/>
                      <w:bCs/>
                    </w:rPr>
                    <w:t xml:space="preserve">12 months to June 2019* </w:t>
                  </w:r>
                </w:p>
              </w:tc>
            </w:tr>
          </w:tbl>
          <w:p w:rsidR="00244E10" w:rsidRPr="0086296A" w:rsidRDefault="00244E10" w:rsidP="0086296A">
            <w:pPr>
              <w:pStyle w:val="Heading5"/>
            </w:pPr>
          </w:p>
        </w:tc>
        <w:tc>
          <w:tcPr>
            <w:tcW w:w="1508" w:type="dxa"/>
          </w:tcPr>
          <w:p w:rsidR="00244E10" w:rsidRPr="0086296A" w:rsidRDefault="00244E10" w:rsidP="0086296A">
            <w:pPr>
              <w:pStyle w:val="Heading5"/>
            </w:pPr>
          </w:p>
        </w:tc>
      </w:tr>
      <w:tr w:rsidR="00244E10" w:rsidRPr="0086296A" w:rsidTr="0086296A">
        <w:tc>
          <w:tcPr>
            <w:tcW w:w="3005" w:type="dxa"/>
          </w:tcPr>
          <w:tbl>
            <w:tblPr>
              <w:tblW w:w="0" w:type="auto"/>
              <w:tblBorders>
                <w:top w:val="nil"/>
                <w:left w:val="nil"/>
                <w:bottom w:val="nil"/>
                <w:right w:val="nil"/>
              </w:tblBorders>
              <w:tblLook w:val="0000" w:firstRow="0" w:lastRow="0" w:firstColumn="0" w:lastColumn="0" w:noHBand="0" w:noVBand="0"/>
            </w:tblPr>
            <w:tblGrid>
              <w:gridCol w:w="2789"/>
            </w:tblGrid>
            <w:tr w:rsidR="00244E10" w:rsidRPr="0086296A">
              <w:tblPrEx>
                <w:tblCellMar>
                  <w:top w:w="0" w:type="dxa"/>
                  <w:bottom w:w="0" w:type="dxa"/>
                </w:tblCellMar>
              </w:tblPrEx>
              <w:trPr>
                <w:trHeight w:val="310"/>
              </w:trPr>
              <w:tc>
                <w:tcPr>
                  <w:tcW w:w="0" w:type="auto"/>
                </w:tcPr>
                <w:p w:rsidR="00244E10" w:rsidRPr="0086296A" w:rsidRDefault="00244E10" w:rsidP="0086296A">
                  <w:pPr>
                    <w:rPr>
                      <w:rFonts w:cstheme="minorHAnsi"/>
                      <w:sz w:val="17"/>
                      <w:szCs w:val="17"/>
                    </w:rPr>
                  </w:pPr>
                  <w:r w:rsidRPr="0086296A">
                    <w:rPr>
                      <w:rFonts w:cstheme="minorHAnsi"/>
                      <w:sz w:val="17"/>
                      <w:szCs w:val="17"/>
                    </w:rPr>
                    <w:t xml:space="preserve">Workplaces engage in any domestic and family violence initiatives (i.e. employee support programs, leadership, awareness raising, fundraising, etc.) </w:t>
                  </w:r>
                </w:p>
              </w:tc>
            </w:tr>
          </w:tbl>
          <w:p w:rsidR="00244E10" w:rsidRPr="0086296A" w:rsidRDefault="00244E10" w:rsidP="0086296A">
            <w:pPr>
              <w:rPr>
                <w:rFonts w:cstheme="minorHAnsi"/>
              </w:rPr>
            </w:pPr>
          </w:p>
        </w:tc>
        <w:tc>
          <w:tcPr>
            <w:tcW w:w="4503" w:type="dxa"/>
          </w:tcPr>
          <w:tbl>
            <w:tblPr>
              <w:tblW w:w="0" w:type="auto"/>
              <w:tblBorders>
                <w:top w:val="nil"/>
                <w:left w:val="nil"/>
                <w:bottom w:val="nil"/>
                <w:right w:val="nil"/>
              </w:tblBorders>
              <w:tblLook w:val="0000" w:firstRow="0" w:lastRow="0" w:firstColumn="0" w:lastColumn="0" w:noHBand="0" w:noVBand="0"/>
            </w:tblPr>
            <w:tblGrid>
              <w:gridCol w:w="4287"/>
            </w:tblGrid>
            <w:tr w:rsidR="00244E10" w:rsidRPr="0086296A">
              <w:tblPrEx>
                <w:tblCellMar>
                  <w:top w:w="0" w:type="dxa"/>
                  <w:bottom w:w="0" w:type="dxa"/>
                </w:tblCellMar>
              </w:tblPrEx>
              <w:trPr>
                <w:trHeight w:val="301"/>
              </w:trPr>
              <w:tc>
                <w:tcPr>
                  <w:tcW w:w="0" w:type="auto"/>
                </w:tcPr>
                <w:p w:rsidR="00244E10" w:rsidRPr="0086296A" w:rsidRDefault="00244E10" w:rsidP="0086296A">
                  <w:pPr>
                    <w:rPr>
                      <w:rFonts w:cstheme="minorHAnsi"/>
                      <w:sz w:val="17"/>
                      <w:szCs w:val="17"/>
                    </w:rPr>
                  </w:pPr>
                  <w:r w:rsidRPr="0086296A">
                    <w:rPr>
                      <w:rFonts w:cstheme="minorHAnsi"/>
                      <w:b/>
                      <w:bCs/>
                      <w:sz w:val="17"/>
                      <w:szCs w:val="17"/>
                    </w:rPr>
                    <w:t xml:space="preserve">40.4% </w:t>
                  </w:r>
                  <w:r w:rsidRPr="0086296A">
                    <w:rPr>
                      <w:rFonts w:cstheme="minorHAnsi"/>
                      <w:sz w:val="17"/>
                      <w:szCs w:val="17"/>
                    </w:rPr>
                    <w:t xml:space="preserve">of employed Queenslanders were in a workplace that had engaged in DFV initiatives in the last 12 months </w:t>
                  </w:r>
                </w:p>
                <w:p w:rsidR="00244E10" w:rsidRPr="0086296A" w:rsidRDefault="00244E10" w:rsidP="0086296A">
                  <w:pPr>
                    <w:rPr>
                      <w:rFonts w:cstheme="minorHAnsi"/>
                      <w:sz w:val="15"/>
                      <w:szCs w:val="15"/>
                    </w:rPr>
                  </w:pPr>
                  <w:r w:rsidRPr="0086296A">
                    <w:rPr>
                      <w:rFonts w:cstheme="minorHAnsi"/>
                      <w:sz w:val="15"/>
                      <w:szCs w:val="15"/>
                    </w:rPr>
                    <w:t xml:space="preserve">(compared to 36.4% in 2018 and 33.7% in 2017) </w:t>
                  </w:r>
                </w:p>
              </w:tc>
            </w:tr>
          </w:tbl>
          <w:p w:rsidR="00244E10" w:rsidRPr="0086296A" w:rsidRDefault="00244E10" w:rsidP="0086296A">
            <w:pPr>
              <w:rPr>
                <w:rFonts w:cstheme="minorHAnsi"/>
              </w:rPr>
            </w:pPr>
          </w:p>
        </w:tc>
        <w:tc>
          <w:tcPr>
            <w:tcW w:w="1508" w:type="dxa"/>
          </w:tcPr>
          <w:p w:rsidR="00244E10" w:rsidRPr="0086296A" w:rsidRDefault="001D13F4" w:rsidP="0086296A">
            <w:pPr>
              <w:rPr>
                <w:rFonts w:cstheme="minorHAnsi"/>
              </w:rPr>
            </w:pPr>
            <w:r>
              <w:rPr>
                <w:rFonts w:cstheme="minorHAnsi"/>
              </w:rPr>
              <w:t>X</w:t>
            </w:r>
          </w:p>
        </w:tc>
      </w:tr>
      <w:tr w:rsidR="00244E10" w:rsidRPr="0086296A" w:rsidTr="0086296A">
        <w:tc>
          <w:tcPr>
            <w:tcW w:w="3005" w:type="dxa"/>
          </w:tcPr>
          <w:tbl>
            <w:tblPr>
              <w:tblW w:w="0" w:type="auto"/>
              <w:tblBorders>
                <w:top w:val="nil"/>
                <w:left w:val="nil"/>
                <w:bottom w:val="nil"/>
                <w:right w:val="nil"/>
              </w:tblBorders>
              <w:tblLook w:val="0000" w:firstRow="0" w:lastRow="0" w:firstColumn="0" w:lastColumn="0" w:noHBand="0" w:noVBand="0"/>
            </w:tblPr>
            <w:tblGrid>
              <w:gridCol w:w="2789"/>
            </w:tblGrid>
            <w:tr w:rsidR="00244E10" w:rsidRPr="0086296A">
              <w:tblPrEx>
                <w:tblCellMar>
                  <w:top w:w="0" w:type="dxa"/>
                  <w:bottom w:w="0" w:type="dxa"/>
                </w:tblCellMar>
              </w:tblPrEx>
              <w:trPr>
                <w:trHeight w:val="203"/>
              </w:trPr>
              <w:tc>
                <w:tcPr>
                  <w:tcW w:w="0" w:type="auto"/>
                </w:tcPr>
                <w:p w:rsidR="00244E10" w:rsidRPr="0086296A" w:rsidRDefault="00244E10" w:rsidP="0086296A">
                  <w:pPr>
                    <w:rPr>
                      <w:rFonts w:cstheme="minorHAnsi"/>
                      <w:sz w:val="17"/>
                      <w:szCs w:val="17"/>
                    </w:rPr>
                  </w:pPr>
                  <w:r w:rsidRPr="0086296A">
                    <w:rPr>
                      <w:rFonts w:cstheme="minorHAnsi"/>
                      <w:sz w:val="17"/>
                      <w:szCs w:val="17"/>
                    </w:rPr>
                    <w:t xml:space="preserve">Increased awareness among Queensland Government employees of domestic and family violence support policy </w:t>
                  </w:r>
                </w:p>
              </w:tc>
            </w:tr>
          </w:tbl>
          <w:p w:rsidR="00244E10" w:rsidRPr="0086296A" w:rsidRDefault="00244E10" w:rsidP="0086296A">
            <w:pPr>
              <w:rPr>
                <w:rFonts w:cstheme="minorHAnsi"/>
              </w:rPr>
            </w:pPr>
          </w:p>
        </w:tc>
        <w:tc>
          <w:tcPr>
            <w:tcW w:w="4503" w:type="dxa"/>
          </w:tcPr>
          <w:tbl>
            <w:tblPr>
              <w:tblW w:w="0" w:type="auto"/>
              <w:tblBorders>
                <w:top w:val="nil"/>
                <w:left w:val="nil"/>
                <w:bottom w:val="nil"/>
                <w:right w:val="nil"/>
              </w:tblBorders>
              <w:tblLook w:val="0000" w:firstRow="0" w:lastRow="0" w:firstColumn="0" w:lastColumn="0" w:noHBand="0" w:noVBand="0"/>
            </w:tblPr>
            <w:tblGrid>
              <w:gridCol w:w="4287"/>
            </w:tblGrid>
            <w:tr w:rsidR="00244E10" w:rsidRPr="0086296A">
              <w:tblPrEx>
                <w:tblCellMar>
                  <w:top w:w="0" w:type="dxa"/>
                  <w:bottom w:w="0" w:type="dxa"/>
                </w:tblCellMar>
              </w:tblPrEx>
              <w:trPr>
                <w:trHeight w:val="408"/>
              </w:trPr>
              <w:tc>
                <w:tcPr>
                  <w:tcW w:w="0" w:type="auto"/>
                </w:tcPr>
                <w:p w:rsidR="00244E10" w:rsidRPr="0086296A" w:rsidRDefault="00244E10" w:rsidP="0086296A">
                  <w:pPr>
                    <w:rPr>
                      <w:rFonts w:cstheme="minorHAnsi"/>
                      <w:sz w:val="17"/>
                      <w:szCs w:val="17"/>
                    </w:rPr>
                  </w:pPr>
                  <w:r w:rsidRPr="0086296A">
                    <w:rPr>
                      <w:rFonts w:cstheme="minorHAnsi"/>
                      <w:b/>
                      <w:bCs/>
                      <w:sz w:val="17"/>
                      <w:szCs w:val="17"/>
                    </w:rPr>
                    <w:t xml:space="preserve">77% </w:t>
                  </w:r>
                  <w:r w:rsidRPr="0086296A">
                    <w:rPr>
                      <w:rFonts w:cstheme="minorHAnsi"/>
                      <w:sz w:val="17"/>
                      <w:szCs w:val="17"/>
                    </w:rPr>
                    <w:t xml:space="preserve">of public sector employees reported being aware of policies designed to support employees affected by domestic and family violence </w:t>
                  </w:r>
                </w:p>
                <w:p w:rsidR="00244E10" w:rsidRPr="0086296A" w:rsidRDefault="00244E10" w:rsidP="0086296A">
                  <w:pPr>
                    <w:rPr>
                      <w:rFonts w:cstheme="minorHAnsi"/>
                      <w:sz w:val="15"/>
                      <w:szCs w:val="15"/>
                    </w:rPr>
                  </w:pPr>
                  <w:r w:rsidRPr="0086296A">
                    <w:rPr>
                      <w:rFonts w:cstheme="minorHAnsi"/>
                      <w:sz w:val="15"/>
                      <w:szCs w:val="15"/>
                    </w:rPr>
                    <w:t xml:space="preserve">(compared to 74% in 2017–18 and 68% in 2016–17) </w:t>
                  </w:r>
                </w:p>
              </w:tc>
            </w:tr>
          </w:tbl>
          <w:p w:rsidR="00244E10" w:rsidRPr="0086296A" w:rsidRDefault="00244E10" w:rsidP="0086296A">
            <w:pPr>
              <w:rPr>
                <w:rFonts w:cstheme="minorHAnsi"/>
              </w:rPr>
            </w:pPr>
          </w:p>
        </w:tc>
        <w:tc>
          <w:tcPr>
            <w:tcW w:w="1508" w:type="dxa"/>
          </w:tcPr>
          <w:p w:rsidR="00244E10" w:rsidRPr="0086296A" w:rsidRDefault="001D13F4" w:rsidP="0086296A">
            <w:pPr>
              <w:rPr>
                <w:rFonts w:cstheme="minorHAnsi"/>
              </w:rPr>
            </w:pPr>
            <w:r>
              <w:rPr>
                <w:rFonts w:cstheme="minorHAnsi"/>
              </w:rPr>
              <w:t>X</w:t>
            </w:r>
          </w:p>
        </w:tc>
      </w:tr>
      <w:tr w:rsidR="00244E10" w:rsidRPr="0086296A" w:rsidTr="0086296A">
        <w:tc>
          <w:tcPr>
            <w:tcW w:w="3005" w:type="dxa"/>
          </w:tcPr>
          <w:tbl>
            <w:tblPr>
              <w:tblW w:w="0" w:type="auto"/>
              <w:tblBorders>
                <w:top w:val="nil"/>
                <w:left w:val="nil"/>
                <w:bottom w:val="nil"/>
                <w:right w:val="nil"/>
              </w:tblBorders>
              <w:tblLook w:val="0000" w:firstRow="0" w:lastRow="0" w:firstColumn="0" w:lastColumn="0" w:noHBand="0" w:noVBand="0"/>
            </w:tblPr>
            <w:tblGrid>
              <w:gridCol w:w="2789"/>
            </w:tblGrid>
            <w:tr w:rsidR="00244E10" w:rsidRPr="0086296A">
              <w:tblPrEx>
                <w:tblCellMar>
                  <w:top w:w="0" w:type="dxa"/>
                  <w:bottom w:w="0" w:type="dxa"/>
                </w:tblCellMar>
              </w:tblPrEx>
              <w:trPr>
                <w:trHeight w:val="203"/>
              </w:trPr>
              <w:tc>
                <w:tcPr>
                  <w:tcW w:w="0" w:type="auto"/>
                </w:tcPr>
                <w:p w:rsidR="00244E10" w:rsidRPr="0086296A" w:rsidRDefault="00244E10" w:rsidP="0086296A">
                  <w:pPr>
                    <w:rPr>
                      <w:rFonts w:cstheme="minorHAnsi"/>
                      <w:sz w:val="17"/>
                      <w:szCs w:val="17"/>
                    </w:rPr>
                  </w:pPr>
                  <w:r w:rsidRPr="0086296A">
                    <w:rPr>
                      <w:rFonts w:cstheme="minorHAnsi"/>
                      <w:sz w:val="17"/>
                      <w:szCs w:val="17"/>
                    </w:rPr>
                    <w:t xml:space="preserve">Increased confidence among Queensland Government employees in responding appropriately to domestic and family violence </w:t>
                  </w:r>
                </w:p>
              </w:tc>
            </w:tr>
          </w:tbl>
          <w:p w:rsidR="00244E10" w:rsidRPr="0086296A" w:rsidRDefault="00244E10" w:rsidP="0086296A">
            <w:pPr>
              <w:rPr>
                <w:rFonts w:cstheme="minorHAnsi"/>
              </w:rPr>
            </w:pPr>
          </w:p>
        </w:tc>
        <w:tc>
          <w:tcPr>
            <w:tcW w:w="4503" w:type="dxa"/>
          </w:tcPr>
          <w:tbl>
            <w:tblPr>
              <w:tblW w:w="0" w:type="auto"/>
              <w:tblBorders>
                <w:top w:val="nil"/>
                <w:left w:val="nil"/>
                <w:bottom w:val="nil"/>
                <w:right w:val="nil"/>
              </w:tblBorders>
              <w:tblLook w:val="0000" w:firstRow="0" w:lastRow="0" w:firstColumn="0" w:lastColumn="0" w:noHBand="0" w:noVBand="0"/>
            </w:tblPr>
            <w:tblGrid>
              <w:gridCol w:w="4287"/>
            </w:tblGrid>
            <w:tr w:rsidR="00244E10" w:rsidRPr="0086296A">
              <w:tblPrEx>
                <w:tblCellMar>
                  <w:top w:w="0" w:type="dxa"/>
                  <w:bottom w:w="0" w:type="dxa"/>
                </w:tblCellMar>
              </w:tblPrEx>
              <w:trPr>
                <w:trHeight w:val="408"/>
              </w:trPr>
              <w:tc>
                <w:tcPr>
                  <w:tcW w:w="0" w:type="auto"/>
                </w:tcPr>
                <w:p w:rsidR="00244E10" w:rsidRPr="0086296A" w:rsidRDefault="00244E10" w:rsidP="0086296A">
                  <w:pPr>
                    <w:rPr>
                      <w:rFonts w:cstheme="minorHAnsi"/>
                      <w:sz w:val="17"/>
                      <w:szCs w:val="17"/>
                    </w:rPr>
                  </w:pPr>
                  <w:r w:rsidRPr="0086296A">
                    <w:rPr>
                      <w:rFonts w:cstheme="minorHAnsi"/>
                      <w:b/>
                      <w:bCs/>
                      <w:sz w:val="17"/>
                      <w:szCs w:val="17"/>
                    </w:rPr>
                    <w:t xml:space="preserve">78% </w:t>
                  </w:r>
                  <w:r w:rsidRPr="0086296A">
                    <w:rPr>
                      <w:rFonts w:cstheme="minorHAnsi"/>
                      <w:sz w:val="17"/>
                      <w:szCs w:val="17"/>
                    </w:rPr>
                    <w:t xml:space="preserve">of public sector employees reported they were confident in their ability to respond appropriately to a colleague experiencing domestic and family violence </w:t>
                  </w:r>
                </w:p>
                <w:p w:rsidR="00244E10" w:rsidRPr="0086296A" w:rsidRDefault="00244E10" w:rsidP="0086296A">
                  <w:pPr>
                    <w:rPr>
                      <w:rFonts w:cstheme="minorHAnsi"/>
                      <w:sz w:val="8"/>
                      <w:szCs w:val="8"/>
                    </w:rPr>
                  </w:pPr>
                  <w:r w:rsidRPr="0086296A">
                    <w:rPr>
                      <w:rFonts w:cstheme="minorHAnsi"/>
                      <w:sz w:val="15"/>
                      <w:szCs w:val="15"/>
                    </w:rPr>
                    <w:t>(compared to 77% in 2017–18 and 73% in 2016–17)</w:t>
                  </w:r>
                  <w:proofErr w:type="spellStart"/>
                  <w:r w:rsidRPr="0086296A">
                    <w:rPr>
                      <w:rFonts w:cstheme="minorHAnsi"/>
                      <w:b/>
                      <w:bCs/>
                      <w:position w:val="5"/>
                      <w:sz w:val="8"/>
                      <w:szCs w:val="8"/>
                      <w:vertAlign w:val="superscript"/>
                    </w:rPr>
                    <w:t>i</w:t>
                  </w:r>
                  <w:proofErr w:type="spellEnd"/>
                  <w:r w:rsidRPr="0086296A">
                    <w:rPr>
                      <w:rFonts w:cstheme="minorHAnsi"/>
                      <w:b/>
                      <w:bCs/>
                      <w:position w:val="5"/>
                      <w:sz w:val="8"/>
                      <w:szCs w:val="8"/>
                      <w:vertAlign w:val="superscript"/>
                    </w:rPr>
                    <w:t xml:space="preserve"> </w:t>
                  </w:r>
                </w:p>
              </w:tc>
            </w:tr>
          </w:tbl>
          <w:p w:rsidR="00244E10" w:rsidRPr="0086296A" w:rsidRDefault="00244E10" w:rsidP="0086296A">
            <w:pPr>
              <w:rPr>
                <w:rFonts w:cstheme="minorHAnsi"/>
              </w:rPr>
            </w:pPr>
          </w:p>
        </w:tc>
        <w:tc>
          <w:tcPr>
            <w:tcW w:w="1508" w:type="dxa"/>
          </w:tcPr>
          <w:p w:rsidR="00244E10" w:rsidRPr="0086296A" w:rsidRDefault="001D13F4" w:rsidP="0086296A">
            <w:pPr>
              <w:rPr>
                <w:rFonts w:cstheme="minorHAnsi"/>
              </w:rPr>
            </w:pPr>
            <w:r>
              <w:rPr>
                <w:rFonts w:cstheme="minorHAnsi"/>
              </w:rPr>
              <w:t>X</w:t>
            </w:r>
          </w:p>
        </w:tc>
      </w:tr>
      <w:tr w:rsidR="00244E10" w:rsidRPr="0086296A" w:rsidTr="0086296A">
        <w:tc>
          <w:tcPr>
            <w:tcW w:w="3005" w:type="dxa"/>
          </w:tcPr>
          <w:tbl>
            <w:tblPr>
              <w:tblW w:w="0" w:type="auto"/>
              <w:tblBorders>
                <w:top w:val="nil"/>
                <w:left w:val="nil"/>
                <w:bottom w:val="nil"/>
                <w:right w:val="nil"/>
              </w:tblBorders>
              <w:tblLook w:val="0000" w:firstRow="0" w:lastRow="0" w:firstColumn="0" w:lastColumn="0" w:noHBand="0" w:noVBand="0"/>
            </w:tblPr>
            <w:tblGrid>
              <w:gridCol w:w="2789"/>
            </w:tblGrid>
            <w:tr w:rsidR="00244E10" w:rsidRPr="0086296A">
              <w:tblPrEx>
                <w:tblCellMar>
                  <w:top w:w="0" w:type="dxa"/>
                  <w:bottom w:w="0" w:type="dxa"/>
                </w:tblCellMar>
              </w:tblPrEx>
              <w:trPr>
                <w:trHeight w:val="97"/>
              </w:trPr>
              <w:tc>
                <w:tcPr>
                  <w:tcW w:w="0" w:type="auto"/>
                </w:tcPr>
                <w:p w:rsidR="00244E10" w:rsidRPr="0086296A" w:rsidRDefault="00244E10" w:rsidP="0086296A">
                  <w:pPr>
                    <w:pStyle w:val="Heading5"/>
                    <w:rPr>
                      <w:rFonts w:cstheme="majorHAnsi"/>
                    </w:rPr>
                  </w:pPr>
                  <w:r w:rsidRPr="0086296A">
                    <w:rPr>
                      <w:rFonts w:cstheme="majorHAnsi"/>
                      <w:b/>
                      <w:bCs/>
                    </w:rPr>
                    <w:t xml:space="preserve">Victims and their families are safe and supported </w:t>
                  </w:r>
                </w:p>
              </w:tc>
            </w:tr>
          </w:tbl>
          <w:p w:rsidR="00244E10" w:rsidRPr="0086296A" w:rsidRDefault="00244E10" w:rsidP="0086296A">
            <w:pPr>
              <w:pStyle w:val="Heading5"/>
              <w:rPr>
                <w:rFonts w:cstheme="majorHAnsi"/>
              </w:rPr>
            </w:pPr>
          </w:p>
        </w:tc>
        <w:tc>
          <w:tcPr>
            <w:tcW w:w="4503" w:type="dxa"/>
          </w:tcPr>
          <w:tbl>
            <w:tblPr>
              <w:tblW w:w="0" w:type="auto"/>
              <w:tblBorders>
                <w:top w:val="nil"/>
                <w:left w:val="nil"/>
                <w:bottom w:val="nil"/>
                <w:right w:val="nil"/>
              </w:tblBorders>
              <w:tblLook w:val="0000" w:firstRow="0" w:lastRow="0" w:firstColumn="0" w:lastColumn="0" w:noHBand="0" w:noVBand="0"/>
            </w:tblPr>
            <w:tblGrid>
              <w:gridCol w:w="2464"/>
            </w:tblGrid>
            <w:tr w:rsidR="00244E10" w:rsidRPr="0086296A">
              <w:tblPrEx>
                <w:tblCellMar>
                  <w:top w:w="0" w:type="dxa"/>
                  <w:bottom w:w="0" w:type="dxa"/>
                </w:tblCellMar>
              </w:tblPrEx>
              <w:trPr>
                <w:trHeight w:val="97"/>
              </w:trPr>
              <w:tc>
                <w:tcPr>
                  <w:tcW w:w="0" w:type="auto"/>
                </w:tcPr>
                <w:p w:rsidR="00244E10" w:rsidRPr="0086296A" w:rsidRDefault="00244E10" w:rsidP="0086296A">
                  <w:pPr>
                    <w:pStyle w:val="Heading5"/>
                    <w:rPr>
                      <w:rFonts w:cstheme="majorHAnsi"/>
                    </w:rPr>
                  </w:pPr>
                  <w:r w:rsidRPr="0086296A">
                    <w:rPr>
                      <w:rFonts w:cstheme="majorHAnsi"/>
                      <w:b/>
                      <w:bCs/>
                    </w:rPr>
                    <w:t xml:space="preserve">12 months to June 2019* </w:t>
                  </w:r>
                </w:p>
              </w:tc>
            </w:tr>
          </w:tbl>
          <w:p w:rsidR="00244E10" w:rsidRPr="0086296A" w:rsidRDefault="00244E10" w:rsidP="0086296A">
            <w:pPr>
              <w:pStyle w:val="Heading5"/>
              <w:rPr>
                <w:rFonts w:cstheme="majorHAnsi"/>
              </w:rPr>
            </w:pPr>
          </w:p>
        </w:tc>
        <w:tc>
          <w:tcPr>
            <w:tcW w:w="1508" w:type="dxa"/>
          </w:tcPr>
          <w:p w:rsidR="00244E10" w:rsidRPr="0086296A" w:rsidRDefault="00244E10" w:rsidP="0086296A">
            <w:pPr>
              <w:pStyle w:val="Heading5"/>
              <w:rPr>
                <w:rFonts w:cstheme="majorHAnsi"/>
              </w:rPr>
            </w:pPr>
          </w:p>
        </w:tc>
      </w:tr>
      <w:tr w:rsidR="00244E10" w:rsidRPr="0086296A" w:rsidTr="0086296A">
        <w:tc>
          <w:tcPr>
            <w:tcW w:w="3005" w:type="dxa"/>
          </w:tcPr>
          <w:tbl>
            <w:tblPr>
              <w:tblW w:w="0" w:type="auto"/>
              <w:tblBorders>
                <w:top w:val="nil"/>
                <w:left w:val="nil"/>
                <w:bottom w:val="nil"/>
                <w:right w:val="nil"/>
              </w:tblBorders>
              <w:tblLook w:val="0000" w:firstRow="0" w:lastRow="0" w:firstColumn="0" w:lastColumn="0" w:noHBand="0" w:noVBand="0"/>
            </w:tblPr>
            <w:tblGrid>
              <w:gridCol w:w="2789"/>
            </w:tblGrid>
            <w:tr w:rsidR="00244E10" w:rsidRPr="0086296A">
              <w:tblPrEx>
                <w:tblCellMar>
                  <w:top w:w="0" w:type="dxa"/>
                  <w:bottom w:w="0" w:type="dxa"/>
                </w:tblCellMar>
              </w:tblPrEx>
              <w:trPr>
                <w:trHeight w:val="310"/>
              </w:trPr>
              <w:tc>
                <w:tcPr>
                  <w:tcW w:w="0" w:type="auto"/>
                </w:tcPr>
                <w:p w:rsidR="00244E10" w:rsidRPr="0086296A" w:rsidRDefault="00244E10" w:rsidP="0086296A">
                  <w:pPr>
                    <w:rPr>
                      <w:rFonts w:cstheme="minorHAnsi"/>
                      <w:sz w:val="17"/>
                      <w:szCs w:val="17"/>
                    </w:rPr>
                  </w:pPr>
                  <w:r w:rsidRPr="0086296A">
                    <w:rPr>
                      <w:rFonts w:cstheme="minorHAnsi"/>
                      <w:sz w:val="17"/>
                      <w:szCs w:val="17"/>
                    </w:rPr>
                    <w:t xml:space="preserve">Number of domestic and family violence counselling service users with cases closed/finalised as a result of the majority of identified needs being met </w:t>
                  </w:r>
                </w:p>
              </w:tc>
            </w:tr>
          </w:tbl>
          <w:p w:rsidR="00244E10" w:rsidRPr="0086296A" w:rsidRDefault="00244E10" w:rsidP="0086296A">
            <w:pPr>
              <w:rPr>
                <w:rFonts w:cstheme="minorHAnsi"/>
              </w:rPr>
            </w:pPr>
          </w:p>
        </w:tc>
        <w:tc>
          <w:tcPr>
            <w:tcW w:w="4503" w:type="dxa"/>
          </w:tcPr>
          <w:tbl>
            <w:tblPr>
              <w:tblW w:w="0" w:type="auto"/>
              <w:tblBorders>
                <w:top w:val="nil"/>
                <w:left w:val="nil"/>
                <w:bottom w:val="nil"/>
                <w:right w:val="nil"/>
              </w:tblBorders>
              <w:tblLook w:val="0000" w:firstRow="0" w:lastRow="0" w:firstColumn="0" w:lastColumn="0" w:noHBand="0" w:noVBand="0"/>
            </w:tblPr>
            <w:tblGrid>
              <w:gridCol w:w="3931"/>
            </w:tblGrid>
            <w:tr w:rsidR="00244E10" w:rsidRPr="0086296A">
              <w:tblPrEx>
                <w:tblCellMar>
                  <w:top w:w="0" w:type="dxa"/>
                  <w:bottom w:w="0" w:type="dxa"/>
                </w:tblCellMar>
              </w:tblPrEx>
              <w:trPr>
                <w:trHeight w:val="408"/>
              </w:trPr>
              <w:tc>
                <w:tcPr>
                  <w:tcW w:w="0" w:type="auto"/>
                </w:tcPr>
                <w:p w:rsidR="00244E10" w:rsidRPr="0086296A" w:rsidRDefault="00244E10" w:rsidP="0086296A">
                  <w:pPr>
                    <w:rPr>
                      <w:rFonts w:cstheme="minorHAnsi"/>
                      <w:sz w:val="17"/>
                      <w:szCs w:val="17"/>
                    </w:rPr>
                  </w:pPr>
                  <w:r w:rsidRPr="0086296A">
                    <w:rPr>
                      <w:rFonts w:cstheme="minorHAnsi"/>
                      <w:b/>
                      <w:bCs/>
                      <w:sz w:val="17"/>
                      <w:szCs w:val="17"/>
                    </w:rPr>
                    <w:t xml:space="preserve">21,892 </w:t>
                  </w:r>
                  <w:r w:rsidRPr="0086296A">
                    <w:rPr>
                      <w:rFonts w:cstheme="minorHAnsi"/>
                      <w:sz w:val="17"/>
                      <w:szCs w:val="17"/>
                    </w:rPr>
                    <w:t xml:space="preserve">of service users in 2018–19 </w:t>
                  </w:r>
                </w:p>
                <w:p w:rsidR="00244E10" w:rsidRPr="0086296A" w:rsidRDefault="00244E10" w:rsidP="0086296A">
                  <w:pPr>
                    <w:rPr>
                      <w:rFonts w:cstheme="minorHAnsi"/>
                      <w:sz w:val="17"/>
                      <w:szCs w:val="17"/>
                    </w:rPr>
                  </w:pPr>
                  <w:r w:rsidRPr="0086296A">
                    <w:rPr>
                      <w:rFonts w:cstheme="minorHAnsi"/>
                      <w:b/>
                      <w:bCs/>
                      <w:sz w:val="17"/>
                      <w:szCs w:val="17"/>
                    </w:rPr>
                    <w:t xml:space="preserve">27,782 </w:t>
                  </w:r>
                  <w:r w:rsidRPr="0086296A">
                    <w:rPr>
                      <w:rFonts w:cstheme="minorHAnsi"/>
                      <w:sz w:val="17"/>
                      <w:szCs w:val="17"/>
                    </w:rPr>
                    <w:t xml:space="preserve">service users in 2017–18 </w:t>
                  </w:r>
                </w:p>
                <w:p w:rsidR="00244E10" w:rsidRPr="0086296A" w:rsidRDefault="00244E10" w:rsidP="0086296A">
                  <w:pPr>
                    <w:rPr>
                      <w:rFonts w:cstheme="minorHAnsi"/>
                      <w:sz w:val="10"/>
                      <w:szCs w:val="10"/>
                    </w:rPr>
                  </w:pPr>
                  <w:r w:rsidRPr="0086296A">
                    <w:rPr>
                      <w:rFonts w:cstheme="minorHAnsi"/>
                      <w:b/>
                      <w:bCs/>
                      <w:sz w:val="17"/>
                      <w:szCs w:val="17"/>
                    </w:rPr>
                    <w:t xml:space="preserve">20,742 </w:t>
                  </w:r>
                  <w:r w:rsidRPr="0086296A">
                    <w:rPr>
                      <w:rFonts w:cstheme="minorHAnsi"/>
                      <w:sz w:val="17"/>
                      <w:szCs w:val="17"/>
                    </w:rPr>
                    <w:t>service users in 2015–16</w:t>
                  </w:r>
                  <w:r w:rsidRPr="0086296A">
                    <w:rPr>
                      <w:rFonts w:cstheme="minorHAnsi"/>
                      <w:b/>
                      <w:bCs/>
                      <w:sz w:val="10"/>
                      <w:szCs w:val="10"/>
                    </w:rPr>
                    <w:t xml:space="preserve">** </w:t>
                  </w:r>
                </w:p>
                <w:p w:rsidR="00244E10" w:rsidRPr="0086296A" w:rsidRDefault="00244E10" w:rsidP="0086296A">
                  <w:pPr>
                    <w:rPr>
                      <w:rFonts w:cstheme="minorHAnsi"/>
                      <w:sz w:val="15"/>
                      <w:szCs w:val="15"/>
                    </w:rPr>
                  </w:pPr>
                  <w:r w:rsidRPr="0086296A">
                    <w:rPr>
                      <w:rFonts w:cstheme="minorHAnsi"/>
                      <w:sz w:val="15"/>
                      <w:szCs w:val="15"/>
                    </w:rPr>
                    <w:t xml:space="preserve">It is not appropriate to compare totals across different years. </w:t>
                  </w:r>
                </w:p>
              </w:tc>
            </w:tr>
          </w:tbl>
          <w:p w:rsidR="00244E10" w:rsidRPr="0086296A" w:rsidRDefault="00244E10" w:rsidP="0086296A">
            <w:pPr>
              <w:rPr>
                <w:rFonts w:cstheme="minorHAnsi"/>
              </w:rPr>
            </w:pPr>
          </w:p>
        </w:tc>
        <w:tc>
          <w:tcPr>
            <w:tcW w:w="1508" w:type="dxa"/>
          </w:tcPr>
          <w:p w:rsidR="00244E10" w:rsidRPr="0086296A" w:rsidRDefault="00244E10" w:rsidP="0086296A">
            <w:pPr>
              <w:rPr>
                <w:rFonts w:cstheme="minorHAnsi"/>
              </w:rPr>
            </w:pPr>
          </w:p>
        </w:tc>
      </w:tr>
      <w:tr w:rsidR="00244E10" w:rsidRPr="0086296A" w:rsidTr="0086296A">
        <w:tc>
          <w:tcPr>
            <w:tcW w:w="3005" w:type="dxa"/>
          </w:tcPr>
          <w:tbl>
            <w:tblPr>
              <w:tblW w:w="0" w:type="auto"/>
              <w:tblBorders>
                <w:top w:val="nil"/>
                <w:left w:val="nil"/>
                <w:bottom w:val="nil"/>
                <w:right w:val="nil"/>
              </w:tblBorders>
              <w:tblLook w:val="0000" w:firstRow="0" w:lastRow="0" w:firstColumn="0" w:lastColumn="0" w:noHBand="0" w:noVBand="0"/>
            </w:tblPr>
            <w:tblGrid>
              <w:gridCol w:w="2789"/>
            </w:tblGrid>
            <w:tr w:rsidR="00244E10" w:rsidRPr="0086296A">
              <w:tblPrEx>
                <w:tblCellMar>
                  <w:top w:w="0" w:type="dxa"/>
                  <w:bottom w:w="0" w:type="dxa"/>
                </w:tblCellMar>
              </w:tblPrEx>
              <w:trPr>
                <w:trHeight w:val="203"/>
              </w:trPr>
              <w:tc>
                <w:tcPr>
                  <w:tcW w:w="0" w:type="auto"/>
                </w:tcPr>
                <w:p w:rsidR="00244E10" w:rsidRPr="0086296A" w:rsidRDefault="00244E10" w:rsidP="0086296A">
                  <w:pPr>
                    <w:rPr>
                      <w:rFonts w:cstheme="minorHAnsi"/>
                      <w:sz w:val="17"/>
                      <w:szCs w:val="17"/>
                    </w:rPr>
                  </w:pPr>
                  <w:r w:rsidRPr="0086296A">
                    <w:rPr>
                      <w:rFonts w:cstheme="minorHAnsi"/>
                      <w:sz w:val="17"/>
                      <w:szCs w:val="17"/>
                    </w:rPr>
                    <w:t xml:space="preserve">Number of people supported to access crisis accommodation or housing appropriate to their needs </w:t>
                  </w:r>
                </w:p>
              </w:tc>
            </w:tr>
          </w:tbl>
          <w:p w:rsidR="00244E10" w:rsidRPr="0086296A" w:rsidRDefault="00244E10" w:rsidP="0086296A">
            <w:pPr>
              <w:rPr>
                <w:rFonts w:cstheme="minorHAnsi"/>
              </w:rPr>
            </w:pPr>
          </w:p>
        </w:tc>
        <w:tc>
          <w:tcPr>
            <w:tcW w:w="4503" w:type="dxa"/>
          </w:tcPr>
          <w:tbl>
            <w:tblPr>
              <w:tblW w:w="0" w:type="auto"/>
              <w:tblBorders>
                <w:top w:val="nil"/>
                <w:left w:val="nil"/>
                <w:bottom w:val="nil"/>
                <w:right w:val="nil"/>
              </w:tblBorders>
              <w:tblLook w:val="0000" w:firstRow="0" w:lastRow="0" w:firstColumn="0" w:lastColumn="0" w:noHBand="0" w:noVBand="0"/>
            </w:tblPr>
            <w:tblGrid>
              <w:gridCol w:w="3659"/>
            </w:tblGrid>
            <w:tr w:rsidR="00244E10" w:rsidRPr="0086296A">
              <w:tblPrEx>
                <w:tblCellMar>
                  <w:top w:w="0" w:type="dxa"/>
                  <w:bottom w:w="0" w:type="dxa"/>
                </w:tblCellMar>
              </w:tblPrEx>
              <w:trPr>
                <w:trHeight w:val="301"/>
              </w:trPr>
              <w:tc>
                <w:tcPr>
                  <w:tcW w:w="0" w:type="auto"/>
                </w:tcPr>
                <w:p w:rsidR="00244E10" w:rsidRPr="0086296A" w:rsidRDefault="00244E10" w:rsidP="0086296A">
                  <w:pPr>
                    <w:rPr>
                      <w:rFonts w:cstheme="minorHAnsi"/>
                      <w:sz w:val="17"/>
                      <w:szCs w:val="17"/>
                    </w:rPr>
                  </w:pPr>
                  <w:r w:rsidRPr="0086296A">
                    <w:rPr>
                      <w:rFonts w:cstheme="minorHAnsi"/>
                      <w:b/>
                      <w:bCs/>
                      <w:sz w:val="17"/>
                      <w:szCs w:val="17"/>
                    </w:rPr>
                    <w:t xml:space="preserve">13,771 </w:t>
                  </w:r>
                  <w:r w:rsidRPr="0086296A">
                    <w:rPr>
                      <w:rFonts w:cstheme="minorHAnsi"/>
                      <w:sz w:val="17"/>
                      <w:szCs w:val="17"/>
                    </w:rPr>
                    <w:t xml:space="preserve">people in 2018–19 </w:t>
                  </w:r>
                </w:p>
                <w:p w:rsidR="00244E10" w:rsidRPr="0086296A" w:rsidRDefault="00244E10" w:rsidP="0086296A">
                  <w:pPr>
                    <w:rPr>
                      <w:rFonts w:cstheme="minorHAnsi"/>
                      <w:sz w:val="17"/>
                      <w:szCs w:val="17"/>
                    </w:rPr>
                  </w:pPr>
                  <w:r w:rsidRPr="0086296A">
                    <w:rPr>
                      <w:rFonts w:cstheme="minorHAnsi"/>
                      <w:sz w:val="17"/>
                      <w:szCs w:val="17"/>
                    </w:rPr>
                    <w:t xml:space="preserve">11% increase on the previous year </w:t>
                  </w:r>
                </w:p>
                <w:p w:rsidR="00244E10" w:rsidRPr="0086296A" w:rsidRDefault="00244E10" w:rsidP="0086296A">
                  <w:pPr>
                    <w:rPr>
                      <w:rFonts w:cstheme="minorHAnsi"/>
                      <w:sz w:val="15"/>
                      <w:szCs w:val="15"/>
                    </w:rPr>
                  </w:pPr>
                  <w:r w:rsidRPr="0086296A">
                    <w:rPr>
                      <w:rFonts w:cstheme="minorHAnsi"/>
                      <w:sz w:val="15"/>
                      <w:szCs w:val="15"/>
                    </w:rPr>
                    <w:lastRenderedPageBreak/>
                    <w:t xml:space="preserve">(12,433 people in 2017–18 and 7652 people in 2015–16) </w:t>
                  </w:r>
                </w:p>
              </w:tc>
            </w:tr>
          </w:tbl>
          <w:p w:rsidR="00244E10" w:rsidRPr="0086296A" w:rsidRDefault="00244E10" w:rsidP="0086296A">
            <w:pPr>
              <w:rPr>
                <w:rFonts w:cstheme="minorHAnsi"/>
              </w:rPr>
            </w:pPr>
          </w:p>
        </w:tc>
        <w:tc>
          <w:tcPr>
            <w:tcW w:w="1508" w:type="dxa"/>
          </w:tcPr>
          <w:p w:rsidR="00244E10" w:rsidRPr="0086296A" w:rsidRDefault="001D13F4" w:rsidP="0086296A">
            <w:pPr>
              <w:rPr>
                <w:rFonts w:cstheme="minorHAnsi"/>
              </w:rPr>
            </w:pPr>
            <w:r>
              <w:rPr>
                <w:rFonts w:cstheme="minorHAnsi"/>
              </w:rPr>
              <w:lastRenderedPageBreak/>
              <w:t>X</w:t>
            </w:r>
          </w:p>
        </w:tc>
      </w:tr>
      <w:tr w:rsidR="00244E10" w:rsidRPr="0086296A" w:rsidTr="0086296A">
        <w:tc>
          <w:tcPr>
            <w:tcW w:w="3005" w:type="dxa"/>
          </w:tcPr>
          <w:tbl>
            <w:tblPr>
              <w:tblW w:w="0" w:type="auto"/>
              <w:tblBorders>
                <w:top w:val="nil"/>
                <w:left w:val="nil"/>
                <w:bottom w:val="nil"/>
                <w:right w:val="nil"/>
              </w:tblBorders>
              <w:tblLook w:val="0000" w:firstRow="0" w:lastRow="0" w:firstColumn="0" w:lastColumn="0" w:noHBand="0" w:noVBand="0"/>
            </w:tblPr>
            <w:tblGrid>
              <w:gridCol w:w="2789"/>
            </w:tblGrid>
            <w:tr w:rsidR="00244E10" w:rsidRPr="0086296A">
              <w:tblPrEx>
                <w:tblCellMar>
                  <w:top w:w="0" w:type="dxa"/>
                  <w:bottom w:w="0" w:type="dxa"/>
                </w:tblCellMar>
              </w:tblPrEx>
              <w:trPr>
                <w:trHeight w:val="96"/>
              </w:trPr>
              <w:tc>
                <w:tcPr>
                  <w:tcW w:w="0" w:type="auto"/>
                </w:tcPr>
                <w:p w:rsidR="00244E10" w:rsidRPr="0086296A" w:rsidRDefault="00244E10" w:rsidP="0086296A">
                  <w:pPr>
                    <w:rPr>
                      <w:rFonts w:cstheme="minorHAnsi"/>
                      <w:sz w:val="17"/>
                      <w:szCs w:val="17"/>
                    </w:rPr>
                  </w:pPr>
                  <w:r w:rsidRPr="0086296A">
                    <w:rPr>
                      <w:rFonts w:cstheme="minorHAnsi"/>
                      <w:sz w:val="17"/>
                      <w:szCs w:val="17"/>
                    </w:rPr>
                    <w:lastRenderedPageBreak/>
                    <w:t xml:space="preserve">Number of people whose housing needs are met in a timely way </w:t>
                  </w:r>
                </w:p>
              </w:tc>
            </w:tr>
          </w:tbl>
          <w:p w:rsidR="00244E10" w:rsidRPr="0086296A" w:rsidRDefault="00244E10" w:rsidP="0086296A">
            <w:pPr>
              <w:rPr>
                <w:rFonts w:cstheme="minorHAnsi"/>
              </w:rPr>
            </w:pPr>
          </w:p>
        </w:tc>
        <w:tc>
          <w:tcPr>
            <w:tcW w:w="4503" w:type="dxa"/>
          </w:tcPr>
          <w:tbl>
            <w:tblPr>
              <w:tblW w:w="0" w:type="auto"/>
              <w:tblBorders>
                <w:top w:val="nil"/>
                <w:left w:val="nil"/>
                <w:bottom w:val="nil"/>
                <w:right w:val="nil"/>
              </w:tblBorders>
              <w:tblLook w:val="0000" w:firstRow="0" w:lastRow="0" w:firstColumn="0" w:lastColumn="0" w:noHBand="0" w:noVBand="0"/>
            </w:tblPr>
            <w:tblGrid>
              <w:gridCol w:w="3091"/>
            </w:tblGrid>
            <w:tr w:rsidR="00244E10" w:rsidRPr="0086296A">
              <w:tblPrEx>
                <w:tblCellMar>
                  <w:top w:w="0" w:type="dxa"/>
                  <w:bottom w:w="0" w:type="dxa"/>
                </w:tblCellMar>
              </w:tblPrEx>
              <w:trPr>
                <w:trHeight w:val="301"/>
              </w:trPr>
              <w:tc>
                <w:tcPr>
                  <w:tcW w:w="0" w:type="auto"/>
                </w:tcPr>
                <w:p w:rsidR="00244E10" w:rsidRPr="0086296A" w:rsidRDefault="00244E10" w:rsidP="0086296A">
                  <w:pPr>
                    <w:rPr>
                      <w:rFonts w:cstheme="minorHAnsi"/>
                      <w:sz w:val="17"/>
                      <w:szCs w:val="17"/>
                    </w:rPr>
                  </w:pPr>
                  <w:r w:rsidRPr="0086296A">
                    <w:rPr>
                      <w:rFonts w:cstheme="minorHAnsi"/>
                      <w:b/>
                      <w:bCs/>
                      <w:sz w:val="17"/>
                      <w:szCs w:val="17"/>
                    </w:rPr>
                    <w:t xml:space="preserve">10,033 </w:t>
                  </w:r>
                  <w:r w:rsidRPr="0086296A">
                    <w:rPr>
                      <w:rFonts w:cstheme="minorHAnsi"/>
                      <w:sz w:val="17"/>
                      <w:szCs w:val="17"/>
                    </w:rPr>
                    <w:t xml:space="preserve">people in 2018–19 </w:t>
                  </w:r>
                </w:p>
                <w:p w:rsidR="00244E10" w:rsidRPr="0086296A" w:rsidRDefault="00244E10" w:rsidP="0086296A">
                  <w:pPr>
                    <w:rPr>
                      <w:rFonts w:cstheme="minorHAnsi"/>
                      <w:sz w:val="17"/>
                      <w:szCs w:val="17"/>
                    </w:rPr>
                  </w:pPr>
                  <w:r w:rsidRPr="0086296A">
                    <w:rPr>
                      <w:rFonts w:cstheme="minorHAnsi"/>
                      <w:sz w:val="17"/>
                      <w:szCs w:val="17"/>
                    </w:rPr>
                    <w:t xml:space="preserve">10% increase on the previous year </w:t>
                  </w:r>
                </w:p>
                <w:p w:rsidR="00244E10" w:rsidRPr="0086296A" w:rsidRDefault="00244E10" w:rsidP="0086296A">
                  <w:pPr>
                    <w:rPr>
                      <w:rFonts w:cstheme="minorHAnsi"/>
                      <w:sz w:val="15"/>
                      <w:szCs w:val="15"/>
                    </w:rPr>
                  </w:pPr>
                  <w:r w:rsidRPr="0086296A">
                    <w:rPr>
                      <w:rFonts w:cstheme="minorHAnsi"/>
                      <w:sz w:val="15"/>
                      <w:szCs w:val="15"/>
                    </w:rPr>
                    <w:t xml:space="preserve">(9153 people in 2017–18 and 7070 in 2015–16) </w:t>
                  </w:r>
                </w:p>
              </w:tc>
            </w:tr>
          </w:tbl>
          <w:p w:rsidR="00244E10" w:rsidRPr="0086296A" w:rsidRDefault="00244E10" w:rsidP="0086296A">
            <w:pPr>
              <w:rPr>
                <w:rFonts w:cstheme="minorHAnsi"/>
              </w:rPr>
            </w:pPr>
          </w:p>
        </w:tc>
        <w:tc>
          <w:tcPr>
            <w:tcW w:w="1508" w:type="dxa"/>
          </w:tcPr>
          <w:p w:rsidR="00244E10" w:rsidRPr="0086296A" w:rsidRDefault="001D13F4" w:rsidP="0086296A">
            <w:pPr>
              <w:rPr>
                <w:rFonts w:cstheme="minorHAnsi"/>
              </w:rPr>
            </w:pPr>
            <w:r>
              <w:rPr>
                <w:rFonts w:cstheme="minorHAnsi"/>
              </w:rPr>
              <w:t>X</w:t>
            </w:r>
          </w:p>
        </w:tc>
      </w:tr>
      <w:tr w:rsidR="00244E10" w:rsidRPr="0086296A" w:rsidTr="0086296A">
        <w:tc>
          <w:tcPr>
            <w:tcW w:w="3005" w:type="dxa"/>
          </w:tcPr>
          <w:tbl>
            <w:tblPr>
              <w:tblW w:w="0" w:type="auto"/>
              <w:tblBorders>
                <w:top w:val="nil"/>
                <w:left w:val="nil"/>
                <w:bottom w:val="nil"/>
                <w:right w:val="nil"/>
              </w:tblBorders>
              <w:tblLook w:val="0000" w:firstRow="0" w:lastRow="0" w:firstColumn="0" w:lastColumn="0" w:noHBand="0" w:noVBand="0"/>
            </w:tblPr>
            <w:tblGrid>
              <w:gridCol w:w="2789"/>
            </w:tblGrid>
            <w:tr w:rsidR="00244E10" w:rsidRPr="0086296A">
              <w:tblPrEx>
                <w:tblCellMar>
                  <w:top w:w="0" w:type="dxa"/>
                  <w:bottom w:w="0" w:type="dxa"/>
                </w:tblCellMar>
              </w:tblPrEx>
              <w:trPr>
                <w:trHeight w:val="310"/>
              </w:trPr>
              <w:tc>
                <w:tcPr>
                  <w:tcW w:w="0" w:type="auto"/>
                </w:tcPr>
                <w:p w:rsidR="00244E10" w:rsidRPr="0086296A" w:rsidRDefault="00244E10" w:rsidP="0086296A">
                  <w:pPr>
                    <w:rPr>
                      <w:rFonts w:cstheme="minorHAnsi"/>
                      <w:sz w:val="17"/>
                      <w:szCs w:val="17"/>
                    </w:rPr>
                  </w:pPr>
                  <w:r w:rsidRPr="0086296A">
                    <w:rPr>
                      <w:rFonts w:cstheme="minorHAnsi"/>
                      <w:sz w:val="17"/>
                      <w:szCs w:val="17"/>
                    </w:rPr>
                    <w:t xml:space="preserve">Number of domestic violence counselling clients who have been provided with brokerage for safety upgrades to the homes of victims </w:t>
                  </w:r>
                </w:p>
              </w:tc>
            </w:tr>
          </w:tbl>
          <w:p w:rsidR="00244E10" w:rsidRPr="0086296A" w:rsidRDefault="00244E10" w:rsidP="0086296A">
            <w:pPr>
              <w:rPr>
                <w:rFonts w:cstheme="minorHAnsi"/>
              </w:rPr>
            </w:pPr>
          </w:p>
        </w:tc>
        <w:tc>
          <w:tcPr>
            <w:tcW w:w="4503" w:type="dxa"/>
          </w:tcPr>
          <w:tbl>
            <w:tblPr>
              <w:tblW w:w="0" w:type="auto"/>
              <w:tblBorders>
                <w:top w:val="nil"/>
                <w:left w:val="nil"/>
                <w:bottom w:val="nil"/>
                <w:right w:val="nil"/>
              </w:tblBorders>
              <w:tblLook w:val="0000" w:firstRow="0" w:lastRow="0" w:firstColumn="0" w:lastColumn="0" w:noHBand="0" w:noVBand="0"/>
            </w:tblPr>
            <w:tblGrid>
              <w:gridCol w:w="4287"/>
            </w:tblGrid>
            <w:tr w:rsidR="00244E10" w:rsidRPr="0086296A">
              <w:tblPrEx>
                <w:tblCellMar>
                  <w:top w:w="0" w:type="dxa"/>
                  <w:bottom w:w="0" w:type="dxa"/>
                </w:tblCellMar>
              </w:tblPrEx>
              <w:trPr>
                <w:trHeight w:val="289"/>
              </w:trPr>
              <w:tc>
                <w:tcPr>
                  <w:tcW w:w="0" w:type="auto"/>
                </w:tcPr>
                <w:p w:rsidR="00244E10" w:rsidRPr="0086296A" w:rsidRDefault="00244E10" w:rsidP="0086296A">
                  <w:pPr>
                    <w:rPr>
                      <w:rFonts w:cstheme="minorHAnsi"/>
                      <w:sz w:val="17"/>
                      <w:szCs w:val="17"/>
                    </w:rPr>
                  </w:pPr>
                  <w:r w:rsidRPr="0086296A">
                    <w:rPr>
                      <w:rFonts w:cstheme="minorHAnsi"/>
                      <w:b/>
                      <w:bCs/>
                      <w:sz w:val="17"/>
                      <w:szCs w:val="17"/>
                    </w:rPr>
                    <w:t xml:space="preserve">1481 </w:t>
                  </w:r>
                  <w:r w:rsidRPr="0086296A">
                    <w:rPr>
                      <w:rFonts w:cstheme="minorHAnsi"/>
                      <w:sz w:val="17"/>
                      <w:szCs w:val="17"/>
                    </w:rPr>
                    <w:t xml:space="preserve">clients </w:t>
                  </w:r>
                </w:p>
                <w:p w:rsidR="00244E10" w:rsidRPr="0086296A" w:rsidRDefault="00244E10" w:rsidP="0086296A">
                  <w:pPr>
                    <w:rPr>
                      <w:rFonts w:cstheme="minorHAnsi"/>
                      <w:sz w:val="15"/>
                      <w:szCs w:val="15"/>
                    </w:rPr>
                  </w:pPr>
                  <w:r w:rsidRPr="0086296A">
                    <w:rPr>
                      <w:rFonts w:cstheme="minorHAnsi"/>
                      <w:sz w:val="15"/>
                      <w:szCs w:val="15"/>
                    </w:rPr>
                    <w:t xml:space="preserve">24% increase on the previous year (1196 clients in 2017–18 and 602 clients in 2016–17) </w:t>
                  </w:r>
                </w:p>
              </w:tc>
            </w:tr>
          </w:tbl>
          <w:p w:rsidR="00244E10" w:rsidRPr="0086296A" w:rsidRDefault="00244E10" w:rsidP="0086296A">
            <w:pPr>
              <w:rPr>
                <w:rFonts w:cstheme="minorHAnsi"/>
              </w:rPr>
            </w:pPr>
          </w:p>
        </w:tc>
        <w:tc>
          <w:tcPr>
            <w:tcW w:w="1508" w:type="dxa"/>
          </w:tcPr>
          <w:p w:rsidR="00244E10" w:rsidRPr="0086296A" w:rsidRDefault="001D13F4" w:rsidP="0086296A">
            <w:pPr>
              <w:rPr>
                <w:rFonts w:cstheme="minorHAnsi"/>
              </w:rPr>
            </w:pPr>
            <w:r>
              <w:rPr>
                <w:rFonts w:cstheme="minorHAnsi"/>
              </w:rPr>
              <w:t>X</w:t>
            </w:r>
          </w:p>
        </w:tc>
      </w:tr>
      <w:tr w:rsidR="00244E10" w:rsidRPr="0086296A" w:rsidTr="0086296A">
        <w:tc>
          <w:tcPr>
            <w:tcW w:w="3005" w:type="dxa"/>
          </w:tcPr>
          <w:tbl>
            <w:tblPr>
              <w:tblW w:w="0" w:type="auto"/>
              <w:tblBorders>
                <w:top w:val="nil"/>
                <w:left w:val="nil"/>
                <w:bottom w:val="nil"/>
                <w:right w:val="nil"/>
              </w:tblBorders>
              <w:tblLook w:val="0000" w:firstRow="0" w:lastRow="0" w:firstColumn="0" w:lastColumn="0" w:noHBand="0" w:noVBand="0"/>
            </w:tblPr>
            <w:tblGrid>
              <w:gridCol w:w="2789"/>
            </w:tblGrid>
            <w:tr w:rsidR="00244E10" w:rsidRPr="0086296A">
              <w:tblPrEx>
                <w:tblCellMar>
                  <w:top w:w="0" w:type="dxa"/>
                  <w:bottom w:w="0" w:type="dxa"/>
                </w:tblCellMar>
              </w:tblPrEx>
              <w:trPr>
                <w:trHeight w:val="97"/>
              </w:trPr>
              <w:tc>
                <w:tcPr>
                  <w:tcW w:w="0" w:type="auto"/>
                </w:tcPr>
                <w:p w:rsidR="00244E10" w:rsidRPr="0086296A" w:rsidRDefault="00244E10" w:rsidP="0086296A">
                  <w:pPr>
                    <w:pStyle w:val="Heading5"/>
                  </w:pPr>
                  <w:r w:rsidRPr="0086296A">
                    <w:rPr>
                      <w:b/>
                      <w:bCs/>
                    </w:rPr>
                    <w:t xml:space="preserve">Perpetrators stop using violence and are held to account </w:t>
                  </w:r>
                </w:p>
              </w:tc>
            </w:tr>
          </w:tbl>
          <w:p w:rsidR="00244E10" w:rsidRPr="0086296A" w:rsidRDefault="00244E10" w:rsidP="0086296A">
            <w:pPr>
              <w:pStyle w:val="Heading5"/>
              <w:rPr>
                <w:rFonts w:ascii="ORIKZ Z+ Meta Normal LF" w:hAnsi="ORIKZ Z+ Meta Normal LF" w:cs="ORIKZ Z+ Meta Normal LF"/>
              </w:rPr>
            </w:pPr>
          </w:p>
        </w:tc>
        <w:tc>
          <w:tcPr>
            <w:tcW w:w="4503" w:type="dxa"/>
          </w:tcPr>
          <w:tbl>
            <w:tblPr>
              <w:tblW w:w="0" w:type="auto"/>
              <w:tblBorders>
                <w:top w:val="nil"/>
                <w:left w:val="nil"/>
                <w:bottom w:val="nil"/>
                <w:right w:val="nil"/>
              </w:tblBorders>
              <w:tblLook w:val="0000" w:firstRow="0" w:lastRow="0" w:firstColumn="0" w:lastColumn="0" w:noHBand="0" w:noVBand="0"/>
            </w:tblPr>
            <w:tblGrid>
              <w:gridCol w:w="2464"/>
            </w:tblGrid>
            <w:tr w:rsidR="00244E10" w:rsidRPr="0086296A">
              <w:tblPrEx>
                <w:tblCellMar>
                  <w:top w:w="0" w:type="dxa"/>
                  <w:bottom w:w="0" w:type="dxa"/>
                </w:tblCellMar>
              </w:tblPrEx>
              <w:trPr>
                <w:trHeight w:val="97"/>
              </w:trPr>
              <w:tc>
                <w:tcPr>
                  <w:tcW w:w="0" w:type="auto"/>
                </w:tcPr>
                <w:p w:rsidR="00244E10" w:rsidRPr="0086296A" w:rsidRDefault="00244E10" w:rsidP="0086296A">
                  <w:pPr>
                    <w:pStyle w:val="Heading5"/>
                  </w:pPr>
                  <w:r w:rsidRPr="0086296A">
                    <w:rPr>
                      <w:b/>
                      <w:bCs/>
                    </w:rPr>
                    <w:t xml:space="preserve">12 months to June 2019* </w:t>
                  </w:r>
                </w:p>
              </w:tc>
            </w:tr>
          </w:tbl>
          <w:p w:rsidR="00244E10" w:rsidRPr="0086296A" w:rsidRDefault="00244E10" w:rsidP="0086296A">
            <w:pPr>
              <w:pStyle w:val="Heading5"/>
            </w:pPr>
          </w:p>
        </w:tc>
        <w:tc>
          <w:tcPr>
            <w:tcW w:w="1508" w:type="dxa"/>
          </w:tcPr>
          <w:p w:rsidR="00244E10" w:rsidRPr="0086296A" w:rsidRDefault="00244E10" w:rsidP="0086296A">
            <w:pPr>
              <w:pStyle w:val="Heading5"/>
            </w:pPr>
          </w:p>
        </w:tc>
      </w:tr>
      <w:tr w:rsidR="00244E10" w:rsidRPr="0086296A" w:rsidTr="0086296A">
        <w:tc>
          <w:tcPr>
            <w:tcW w:w="3005" w:type="dxa"/>
          </w:tcPr>
          <w:tbl>
            <w:tblPr>
              <w:tblW w:w="0" w:type="auto"/>
              <w:tblBorders>
                <w:top w:val="nil"/>
                <w:left w:val="nil"/>
                <w:bottom w:val="nil"/>
                <w:right w:val="nil"/>
              </w:tblBorders>
              <w:tblLook w:val="0000" w:firstRow="0" w:lastRow="0" w:firstColumn="0" w:lastColumn="0" w:noHBand="0" w:noVBand="0"/>
            </w:tblPr>
            <w:tblGrid>
              <w:gridCol w:w="2789"/>
            </w:tblGrid>
            <w:tr w:rsidR="00244E10" w:rsidRPr="0086296A">
              <w:tblPrEx>
                <w:tblCellMar>
                  <w:top w:w="0" w:type="dxa"/>
                  <w:bottom w:w="0" w:type="dxa"/>
                </w:tblCellMar>
              </w:tblPrEx>
              <w:trPr>
                <w:trHeight w:val="310"/>
              </w:trPr>
              <w:tc>
                <w:tcPr>
                  <w:tcW w:w="0" w:type="auto"/>
                </w:tcPr>
                <w:p w:rsidR="00244E10" w:rsidRPr="0086296A" w:rsidRDefault="00244E10" w:rsidP="0086296A">
                  <w:pPr>
                    <w:rPr>
                      <w:rFonts w:cstheme="minorHAnsi"/>
                      <w:sz w:val="17"/>
                      <w:szCs w:val="17"/>
                    </w:rPr>
                  </w:pPr>
                  <w:r w:rsidRPr="0086296A">
                    <w:rPr>
                      <w:rFonts w:cstheme="minorHAnsi"/>
                      <w:sz w:val="17"/>
                      <w:szCs w:val="17"/>
                    </w:rPr>
                    <w:t>Increased number of perpetrators that have been assessed by non</w:t>
                  </w:r>
                  <w:r w:rsidRPr="0086296A">
                    <w:rPr>
                      <w:rFonts w:cstheme="minorHAnsi"/>
                      <w:sz w:val="17"/>
                      <w:szCs w:val="17"/>
                    </w:rPr>
                    <w:noBreakHyphen/>
                    <w:t xml:space="preserve">government organisations as having reduced their use of domestic and family violence </w:t>
                  </w:r>
                </w:p>
              </w:tc>
            </w:tr>
          </w:tbl>
          <w:p w:rsidR="00244E10" w:rsidRPr="0086296A" w:rsidRDefault="00244E10" w:rsidP="0086296A">
            <w:pPr>
              <w:rPr>
                <w:rFonts w:cstheme="minorHAnsi"/>
              </w:rPr>
            </w:pPr>
          </w:p>
        </w:tc>
        <w:tc>
          <w:tcPr>
            <w:tcW w:w="4503" w:type="dxa"/>
          </w:tcPr>
          <w:tbl>
            <w:tblPr>
              <w:tblW w:w="0" w:type="auto"/>
              <w:tblBorders>
                <w:top w:val="nil"/>
                <w:left w:val="nil"/>
                <w:bottom w:val="nil"/>
                <w:right w:val="nil"/>
              </w:tblBorders>
              <w:tblLook w:val="0000" w:firstRow="0" w:lastRow="0" w:firstColumn="0" w:lastColumn="0" w:noHBand="0" w:noVBand="0"/>
            </w:tblPr>
            <w:tblGrid>
              <w:gridCol w:w="3931"/>
            </w:tblGrid>
            <w:tr w:rsidR="00244E10" w:rsidRPr="0086296A">
              <w:tblPrEx>
                <w:tblCellMar>
                  <w:top w:w="0" w:type="dxa"/>
                  <w:bottom w:w="0" w:type="dxa"/>
                </w:tblCellMar>
              </w:tblPrEx>
              <w:trPr>
                <w:trHeight w:val="408"/>
              </w:trPr>
              <w:tc>
                <w:tcPr>
                  <w:tcW w:w="0" w:type="auto"/>
                </w:tcPr>
                <w:p w:rsidR="00244E10" w:rsidRPr="0086296A" w:rsidRDefault="00244E10" w:rsidP="0086296A">
                  <w:pPr>
                    <w:rPr>
                      <w:rFonts w:cstheme="minorHAnsi"/>
                      <w:sz w:val="17"/>
                      <w:szCs w:val="17"/>
                    </w:rPr>
                  </w:pPr>
                  <w:r w:rsidRPr="0086296A">
                    <w:rPr>
                      <w:rFonts w:cstheme="minorHAnsi"/>
                      <w:b/>
                      <w:bCs/>
                      <w:sz w:val="17"/>
                      <w:szCs w:val="17"/>
                    </w:rPr>
                    <w:t xml:space="preserve">2472 </w:t>
                  </w:r>
                  <w:r w:rsidRPr="0086296A">
                    <w:rPr>
                      <w:rFonts w:cstheme="minorHAnsi"/>
                      <w:sz w:val="17"/>
                      <w:szCs w:val="17"/>
                    </w:rPr>
                    <w:t xml:space="preserve">service users in 2018–19 </w:t>
                  </w:r>
                </w:p>
                <w:p w:rsidR="00244E10" w:rsidRPr="0086296A" w:rsidRDefault="00244E10" w:rsidP="0086296A">
                  <w:pPr>
                    <w:rPr>
                      <w:rFonts w:cstheme="minorHAnsi"/>
                      <w:sz w:val="17"/>
                      <w:szCs w:val="17"/>
                    </w:rPr>
                  </w:pPr>
                  <w:r w:rsidRPr="0086296A">
                    <w:rPr>
                      <w:rFonts w:cstheme="minorHAnsi"/>
                      <w:b/>
                      <w:bCs/>
                      <w:sz w:val="17"/>
                      <w:szCs w:val="17"/>
                    </w:rPr>
                    <w:t xml:space="preserve">3629 </w:t>
                  </w:r>
                  <w:r w:rsidRPr="0086296A">
                    <w:rPr>
                      <w:rFonts w:cstheme="minorHAnsi"/>
                      <w:sz w:val="17"/>
                      <w:szCs w:val="17"/>
                    </w:rPr>
                    <w:t xml:space="preserve">service users in 2017–18 </w:t>
                  </w:r>
                </w:p>
                <w:p w:rsidR="00244E10" w:rsidRPr="0086296A" w:rsidRDefault="00244E10" w:rsidP="0086296A">
                  <w:pPr>
                    <w:rPr>
                      <w:rFonts w:cstheme="minorHAnsi"/>
                      <w:sz w:val="10"/>
                      <w:szCs w:val="10"/>
                    </w:rPr>
                  </w:pPr>
                  <w:r w:rsidRPr="0086296A">
                    <w:rPr>
                      <w:rFonts w:cstheme="minorHAnsi"/>
                      <w:b/>
                      <w:bCs/>
                      <w:sz w:val="17"/>
                      <w:szCs w:val="17"/>
                    </w:rPr>
                    <w:t xml:space="preserve">1533 </w:t>
                  </w:r>
                  <w:r w:rsidRPr="0086296A">
                    <w:rPr>
                      <w:rFonts w:cstheme="minorHAnsi"/>
                      <w:sz w:val="17"/>
                      <w:szCs w:val="17"/>
                    </w:rPr>
                    <w:t>service users in 2015–16</w:t>
                  </w:r>
                  <w:r w:rsidRPr="0086296A">
                    <w:rPr>
                      <w:rFonts w:cstheme="minorHAnsi"/>
                      <w:sz w:val="10"/>
                      <w:szCs w:val="10"/>
                    </w:rPr>
                    <w:t xml:space="preserve">** </w:t>
                  </w:r>
                </w:p>
                <w:p w:rsidR="00244E10" w:rsidRPr="0086296A" w:rsidRDefault="00244E10" w:rsidP="0086296A">
                  <w:pPr>
                    <w:rPr>
                      <w:rFonts w:cstheme="minorHAnsi"/>
                      <w:sz w:val="15"/>
                      <w:szCs w:val="15"/>
                    </w:rPr>
                  </w:pPr>
                  <w:r w:rsidRPr="0086296A">
                    <w:rPr>
                      <w:rFonts w:cstheme="minorHAnsi"/>
                      <w:sz w:val="15"/>
                      <w:szCs w:val="15"/>
                    </w:rPr>
                    <w:t xml:space="preserve">It is not appropriate to compare totals across different years. </w:t>
                  </w:r>
                </w:p>
              </w:tc>
            </w:tr>
          </w:tbl>
          <w:p w:rsidR="00244E10" w:rsidRPr="0086296A" w:rsidRDefault="00244E10" w:rsidP="0086296A">
            <w:pPr>
              <w:rPr>
                <w:rFonts w:cstheme="minorHAnsi"/>
              </w:rPr>
            </w:pPr>
          </w:p>
        </w:tc>
        <w:tc>
          <w:tcPr>
            <w:tcW w:w="1508" w:type="dxa"/>
          </w:tcPr>
          <w:p w:rsidR="00244E10" w:rsidRPr="0086296A" w:rsidRDefault="00244E10" w:rsidP="0086296A">
            <w:pPr>
              <w:rPr>
                <w:rFonts w:cstheme="minorHAnsi"/>
              </w:rPr>
            </w:pPr>
          </w:p>
        </w:tc>
      </w:tr>
      <w:tr w:rsidR="00244E10" w:rsidRPr="0086296A" w:rsidTr="0086296A">
        <w:tc>
          <w:tcPr>
            <w:tcW w:w="3005" w:type="dxa"/>
          </w:tcPr>
          <w:tbl>
            <w:tblPr>
              <w:tblW w:w="0" w:type="auto"/>
              <w:tblBorders>
                <w:top w:val="nil"/>
                <w:left w:val="nil"/>
                <w:bottom w:val="nil"/>
                <w:right w:val="nil"/>
              </w:tblBorders>
              <w:tblLook w:val="0000" w:firstRow="0" w:lastRow="0" w:firstColumn="0" w:lastColumn="0" w:noHBand="0" w:noVBand="0"/>
            </w:tblPr>
            <w:tblGrid>
              <w:gridCol w:w="2789"/>
            </w:tblGrid>
            <w:tr w:rsidR="00244E10" w:rsidRPr="0086296A">
              <w:tblPrEx>
                <w:tblCellMar>
                  <w:top w:w="0" w:type="dxa"/>
                  <w:bottom w:w="0" w:type="dxa"/>
                </w:tblCellMar>
              </w:tblPrEx>
              <w:trPr>
                <w:trHeight w:val="203"/>
              </w:trPr>
              <w:tc>
                <w:tcPr>
                  <w:tcW w:w="0" w:type="auto"/>
                </w:tcPr>
                <w:p w:rsidR="00244E10" w:rsidRPr="0086296A" w:rsidRDefault="00244E10" w:rsidP="0086296A">
                  <w:pPr>
                    <w:rPr>
                      <w:rFonts w:cstheme="minorHAnsi"/>
                      <w:sz w:val="17"/>
                      <w:szCs w:val="17"/>
                    </w:rPr>
                  </w:pPr>
                  <w:r w:rsidRPr="0086296A">
                    <w:rPr>
                      <w:rFonts w:cstheme="minorHAnsi"/>
                      <w:sz w:val="17"/>
                      <w:szCs w:val="17"/>
                    </w:rPr>
                    <w:t xml:space="preserve">Proportion of perpetrators who voluntarily access perpetrator programs or related services </w:t>
                  </w:r>
                </w:p>
              </w:tc>
            </w:tr>
          </w:tbl>
          <w:p w:rsidR="00244E10" w:rsidRPr="0086296A" w:rsidRDefault="00244E10" w:rsidP="0086296A">
            <w:pPr>
              <w:rPr>
                <w:rFonts w:cstheme="minorHAnsi"/>
              </w:rPr>
            </w:pPr>
          </w:p>
        </w:tc>
        <w:tc>
          <w:tcPr>
            <w:tcW w:w="4503" w:type="dxa"/>
          </w:tcPr>
          <w:tbl>
            <w:tblPr>
              <w:tblW w:w="0" w:type="auto"/>
              <w:tblBorders>
                <w:top w:val="nil"/>
                <w:left w:val="nil"/>
                <w:bottom w:val="nil"/>
                <w:right w:val="nil"/>
              </w:tblBorders>
              <w:tblLook w:val="0000" w:firstRow="0" w:lastRow="0" w:firstColumn="0" w:lastColumn="0" w:noHBand="0" w:noVBand="0"/>
            </w:tblPr>
            <w:tblGrid>
              <w:gridCol w:w="3931"/>
            </w:tblGrid>
            <w:tr w:rsidR="00244E10" w:rsidRPr="0086296A">
              <w:tblPrEx>
                <w:tblCellMar>
                  <w:top w:w="0" w:type="dxa"/>
                  <w:bottom w:w="0" w:type="dxa"/>
                </w:tblCellMar>
              </w:tblPrEx>
              <w:trPr>
                <w:trHeight w:val="408"/>
              </w:trPr>
              <w:tc>
                <w:tcPr>
                  <w:tcW w:w="0" w:type="auto"/>
                </w:tcPr>
                <w:p w:rsidR="00244E10" w:rsidRPr="0086296A" w:rsidRDefault="00244E10" w:rsidP="0086296A">
                  <w:pPr>
                    <w:rPr>
                      <w:rFonts w:cstheme="minorHAnsi"/>
                      <w:sz w:val="17"/>
                      <w:szCs w:val="17"/>
                    </w:rPr>
                  </w:pPr>
                  <w:r w:rsidRPr="0086296A">
                    <w:rPr>
                      <w:rFonts w:cstheme="minorHAnsi"/>
                      <w:b/>
                      <w:bCs/>
                      <w:sz w:val="17"/>
                      <w:szCs w:val="17"/>
                    </w:rPr>
                    <w:t xml:space="preserve">10,188 </w:t>
                  </w:r>
                  <w:r w:rsidRPr="0086296A">
                    <w:rPr>
                      <w:rFonts w:cstheme="minorHAnsi"/>
                      <w:sz w:val="17"/>
                      <w:szCs w:val="17"/>
                    </w:rPr>
                    <w:t xml:space="preserve">service users in 2018–19 </w:t>
                  </w:r>
                </w:p>
                <w:p w:rsidR="00244E10" w:rsidRPr="0086296A" w:rsidRDefault="00244E10" w:rsidP="0086296A">
                  <w:pPr>
                    <w:rPr>
                      <w:rFonts w:cstheme="minorHAnsi"/>
                      <w:sz w:val="17"/>
                      <w:szCs w:val="17"/>
                    </w:rPr>
                  </w:pPr>
                  <w:r w:rsidRPr="0086296A">
                    <w:rPr>
                      <w:rFonts w:cstheme="minorHAnsi"/>
                      <w:b/>
                      <w:bCs/>
                      <w:sz w:val="17"/>
                      <w:szCs w:val="17"/>
                    </w:rPr>
                    <w:t xml:space="preserve">15,184 </w:t>
                  </w:r>
                  <w:r w:rsidRPr="0086296A">
                    <w:rPr>
                      <w:rFonts w:cstheme="minorHAnsi"/>
                      <w:sz w:val="17"/>
                      <w:szCs w:val="17"/>
                    </w:rPr>
                    <w:t xml:space="preserve">service users in 2017–18 </w:t>
                  </w:r>
                </w:p>
                <w:p w:rsidR="00244E10" w:rsidRPr="0086296A" w:rsidRDefault="00244E10" w:rsidP="0086296A">
                  <w:pPr>
                    <w:rPr>
                      <w:rFonts w:cstheme="minorHAnsi"/>
                      <w:sz w:val="10"/>
                      <w:szCs w:val="10"/>
                    </w:rPr>
                  </w:pPr>
                  <w:r w:rsidRPr="0086296A">
                    <w:rPr>
                      <w:rFonts w:cstheme="minorHAnsi"/>
                      <w:b/>
                      <w:bCs/>
                      <w:sz w:val="17"/>
                      <w:szCs w:val="17"/>
                    </w:rPr>
                    <w:t xml:space="preserve">5970 </w:t>
                  </w:r>
                  <w:r w:rsidRPr="0086296A">
                    <w:rPr>
                      <w:rFonts w:cstheme="minorHAnsi"/>
                      <w:sz w:val="17"/>
                      <w:szCs w:val="17"/>
                    </w:rPr>
                    <w:t>service users in 2015–16</w:t>
                  </w:r>
                  <w:r w:rsidRPr="0086296A">
                    <w:rPr>
                      <w:rFonts w:cstheme="minorHAnsi"/>
                      <w:b/>
                      <w:bCs/>
                      <w:sz w:val="10"/>
                      <w:szCs w:val="10"/>
                    </w:rPr>
                    <w:t xml:space="preserve">** </w:t>
                  </w:r>
                </w:p>
                <w:p w:rsidR="00244E10" w:rsidRPr="0086296A" w:rsidRDefault="00244E10" w:rsidP="0086296A">
                  <w:pPr>
                    <w:rPr>
                      <w:rFonts w:cstheme="minorHAnsi"/>
                      <w:sz w:val="15"/>
                      <w:szCs w:val="15"/>
                    </w:rPr>
                  </w:pPr>
                  <w:r w:rsidRPr="0086296A">
                    <w:rPr>
                      <w:rFonts w:cstheme="minorHAnsi"/>
                      <w:sz w:val="15"/>
                      <w:szCs w:val="15"/>
                    </w:rPr>
                    <w:t xml:space="preserve">It is not appropriate to compare totals across different years. </w:t>
                  </w:r>
                </w:p>
              </w:tc>
            </w:tr>
          </w:tbl>
          <w:p w:rsidR="00244E10" w:rsidRPr="0086296A" w:rsidRDefault="00244E10" w:rsidP="0086296A">
            <w:pPr>
              <w:rPr>
                <w:rFonts w:cstheme="minorHAnsi"/>
              </w:rPr>
            </w:pPr>
          </w:p>
        </w:tc>
        <w:tc>
          <w:tcPr>
            <w:tcW w:w="1508" w:type="dxa"/>
          </w:tcPr>
          <w:p w:rsidR="00244E10" w:rsidRPr="0086296A" w:rsidRDefault="00244E10" w:rsidP="0086296A">
            <w:pPr>
              <w:rPr>
                <w:rFonts w:cstheme="minorHAnsi"/>
              </w:rPr>
            </w:pPr>
          </w:p>
        </w:tc>
      </w:tr>
      <w:tr w:rsidR="00244E10" w:rsidRPr="0086296A" w:rsidTr="0086296A">
        <w:tc>
          <w:tcPr>
            <w:tcW w:w="3005" w:type="dxa"/>
          </w:tcPr>
          <w:tbl>
            <w:tblPr>
              <w:tblW w:w="0" w:type="auto"/>
              <w:tblBorders>
                <w:top w:val="nil"/>
                <w:left w:val="nil"/>
                <w:bottom w:val="nil"/>
                <w:right w:val="nil"/>
              </w:tblBorders>
              <w:tblLook w:val="0000" w:firstRow="0" w:lastRow="0" w:firstColumn="0" w:lastColumn="0" w:noHBand="0" w:noVBand="0"/>
            </w:tblPr>
            <w:tblGrid>
              <w:gridCol w:w="2789"/>
            </w:tblGrid>
            <w:tr w:rsidR="00244E10" w:rsidRPr="0086296A">
              <w:tblPrEx>
                <w:tblCellMar>
                  <w:top w:w="0" w:type="dxa"/>
                  <w:bottom w:w="0" w:type="dxa"/>
                </w:tblCellMar>
              </w:tblPrEx>
              <w:trPr>
                <w:trHeight w:val="97"/>
              </w:trPr>
              <w:tc>
                <w:tcPr>
                  <w:tcW w:w="0" w:type="auto"/>
                </w:tcPr>
                <w:p w:rsidR="00244E10" w:rsidRPr="0086296A" w:rsidRDefault="00244E10" w:rsidP="0086296A">
                  <w:pPr>
                    <w:pStyle w:val="Heading5"/>
                  </w:pPr>
                  <w:r w:rsidRPr="0086296A">
                    <w:rPr>
                      <w:b/>
                      <w:bCs/>
                    </w:rPr>
                    <w:t xml:space="preserve">The justice system deals effectively with domestic and family violence </w:t>
                  </w:r>
                </w:p>
              </w:tc>
            </w:tr>
          </w:tbl>
          <w:p w:rsidR="00244E10" w:rsidRPr="0086296A" w:rsidRDefault="00244E10" w:rsidP="0086296A">
            <w:pPr>
              <w:pStyle w:val="Heading5"/>
              <w:rPr>
                <w:rFonts w:ascii="ORIKZ Z+ Meta Normal LF" w:hAnsi="ORIKZ Z+ Meta Normal LF" w:cs="ORIKZ Z+ Meta Normal LF"/>
              </w:rPr>
            </w:pPr>
          </w:p>
        </w:tc>
        <w:tc>
          <w:tcPr>
            <w:tcW w:w="4503" w:type="dxa"/>
          </w:tcPr>
          <w:tbl>
            <w:tblPr>
              <w:tblW w:w="0" w:type="auto"/>
              <w:tblBorders>
                <w:top w:val="nil"/>
                <w:left w:val="nil"/>
                <w:bottom w:val="nil"/>
                <w:right w:val="nil"/>
              </w:tblBorders>
              <w:tblLook w:val="0000" w:firstRow="0" w:lastRow="0" w:firstColumn="0" w:lastColumn="0" w:noHBand="0" w:noVBand="0"/>
            </w:tblPr>
            <w:tblGrid>
              <w:gridCol w:w="2464"/>
            </w:tblGrid>
            <w:tr w:rsidR="00244E10" w:rsidRPr="0086296A">
              <w:tblPrEx>
                <w:tblCellMar>
                  <w:top w:w="0" w:type="dxa"/>
                  <w:bottom w:w="0" w:type="dxa"/>
                </w:tblCellMar>
              </w:tblPrEx>
              <w:trPr>
                <w:trHeight w:val="97"/>
              </w:trPr>
              <w:tc>
                <w:tcPr>
                  <w:tcW w:w="0" w:type="auto"/>
                </w:tcPr>
                <w:p w:rsidR="00244E10" w:rsidRPr="0086296A" w:rsidRDefault="00244E10" w:rsidP="0086296A">
                  <w:pPr>
                    <w:pStyle w:val="Heading5"/>
                  </w:pPr>
                  <w:r w:rsidRPr="0086296A">
                    <w:rPr>
                      <w:b/>
                      <w:bCs/>
                    </w:rPr>
                    <w:t xml:space="preserve">12 months to June 2019* </w:t>
                  </w:r>
                </w:p>
              </w:tc>
            </w:tr>
          </w:tbl>
          <w:p w:rsidR="00244E10" w:rsidRPr="0086296A" w:rsidRDefault="00244E10" w:rsidP="0086296A">
            <w:pPr>
              <w:pStyle w:val="Heading5"/>
            </w:pPr>
          </w:p>
        </w:tc>
        <w:tc>
          <w:tcPr>
            <w:tcW w:w="1508" w:type="dxa"/>
          </w:tcPr>
          <w:p w:rsidR="00244E10" w:rsidRPr="0086296A" w:rsidRDefault="00244E10" w:rsidP="0086296A">
            <w:pPr>
              <w:pStyle w:val="Heading5"/>
            </w:pPr>
          </w:p>
        </w:tc>
      </w:tr>
      <w:tr w:rsidR="00244E10" w:rsidRPr="0086296A" w:rsidTr="0086296A">
        <w:tc>
          <w:tcPr>
            <w:tcW w:w="3005" w:type="dxa"/>
          </w:tcPr>
          <w:tbl>
            <w:tblPr>
              <w:tblW w:w="0" w:type="auto"/>
              <w:tblBorders>
                <w:top w:val="nil"/>
                <w:left w:val="nil"/>
                <w:bottom w:val="nil"/>
                <w:right w:val="nil"/>
              </w:tblBorders>
              <w:tblLook w:val="0000" w:firstRow="0" w:lastRow="0" w:firstColumn="0" w:lastColumn="0" w:noHBand="0" w:noVBand="0"/>
            </w:tblPr>
            <w:tblGrid>
              <w:gridCol w:w="2789"/>
            </w:tblGrid>
            <w:tr w:rsidR="00244E10" w:rsidRPr="0086296A">
              <w:tblPrEx>
                <w:tblCellMar>
                  <w:top w:w="0" w:type="dxa"/>
                  <w:bottom w:w="0" w:type="dxa"/>
                </w:tblCellMar>
              </w:tblPrEx>
              <w:trPr>
                <w:trHeight w:val="203"/>
              </w:trPr>
              <w:tc>
                <w:tcPr>
                  <w:tcW w:w="0" w:type="auto"/>
                </w:tcPr>
                <w:p w:rsidR="00244E10" w:rsidRPr="0086296A" w:rsidRDefault="00244E10" w:rsidP="0086296A">
                  <w:pPr>
                    <w:rPr>
                      <w:rFonts w:cstheme="minorHAnsi"/>
                      <w:sz w:val="17"/>
                      <w:szCs w:val="17"/>
                    </w:rPr>
                  </w:pPr>
                  <w:r w:rsidRPr="0086296A">
                    <w:rPr>
                      <w:rFonts w:cstheme="minorHAnsi"/>
                      <w:sz w:val="17"/>
                      <w:szCs w:val="17"/>
                    </w:rPr>
                    <w:t xml:space="preserve">Reduced average time (in days) for considering a temporary protection order resulting from an application, Queensland wide </w:t>
                  </w:r>
                </w:p>
              </w:tc>
            </w:tr>
          </w:tbl>
          <w:p w:rsidR="00244E10" w:rsidRPr="0086296A" w:rsidRDefault="00244E10" w:rsidP="0086296A">
            <w:pPr>
              <w:rPr>
                <w:rFonts w:cstheme="minorHAnsi"/>
              </w:rPr>
            </w:pPr>
          </w:p>
        </w:tc>
        <w:tc>
          <w:tcPr>
            <w:tcW w:w="4503" w:type="dxa"/>
          </w:tcPr>
          <w:tbl>
            <w:tblPr>
              <w:tblW w:w="0" w:type="auto"/>
              <w:tblBorders>
                <w:top w:val="nil"/>
                <w:left w:val="nil"/>
                <w:bottom w:val="nil"/>
                <w:right w:val="nil"/>
              </w:tblBorders>
              <w:tblLook w:val="0000" w:firstRow="0" w:lastRow="0" w:firstColumn="0" w:lastColumn="0" w:noHBand="0" w:noVBand="0"/>
            </w:tblPr>
            <w:tblGrid>
              <w:gridCol w:w="3847"/>
            </w:tblGrid>
            <w:tr w:rsidR="00244E10" w:rsidRPr="0086296A">
              <w:tblPrEx>
                <w:tblCellMar>
                  <w:top w:w="0" w:type="dxa"/>
                  <w:bottom w:w="0" w:type="dxa"/>
                </w:tblCellMar>
              </w:tblPrEx>
              <w:trPr>
                <w:trHeight w:val="194"/>
              </w:trPr>
              <w:tc>
                <w:tcPr>
                  <w:tcW w:w="0" w:type="auto"/>
                </w:tcPr>
                <w:p w:rsidR="00244E10" w:rsidRPr="0086296A" w:rsidRDefault="00244E10" w:rsidP="0086296A">
                  <w:pPr>
                    <w:rPr>
                      <w:rFonts w:cstheme="minorHAnsi"/>
                      <w:sz w:val="17"/>
                      <w:szCs w:val="17"/>
                    </w:rPr>
                  </w:pPr>
                  <w:r w:rsidRPr="0086296A">
                    <w:rPr>
                      <w:rFonts w:cstheme="minorHAnsi"/>
                      <w:b/>
                      <w:bCs/>
                      <w:sz w:val="17"/>
                      <w:szCs w:val="17"/>
                    </w:rPr>
                    <w:t xml:space="preserve">5.8 </w:t>
                  </w:r>
                  <w:r w:rsidRPr="0086296A">
                    <w:rPr>
                      <w:rFonts w:cstheme="minorHAnsi"/>
                      <w:sz w:val="17"/>
                      <w:szCs w:val="17"/>
                    </w:rPr>
                    <w:t xml:space="preserve">days </w:t>
                  </w:r>
                </w:p>
                <w:p w:rsidR="00244E10" w:rsidRPr="0086296A" w:rsidRDefault="00244E10" w:rsidP="0086296A">
                  <w:pPr>
                    <w:rPr>
                      <w:rFonts w:cstheme="minorHAnsi"/>
                      <w:sz w:val="15"/>
                      <w:szCs w:val="15"/>
                    </w:rPr>
                  </w:pPr>
                  <w:r w:rsidRPr="0086296A">
                    <w:rPr>
                      <w:rFonts w:cstheme="minorHAnsi"/>
                      <w:sz w:val="15"/>
                      <w:szCs w:val="15"/>
                    </w:rPr>
                    <w:t xml:space="preserve">(compared to 5.0 days in 2017–18 and 4.4 days in 2015–16) </w:t>
                  </w:r>
                </w:p>
              </w:tc>
            </w:tr>
          </w:tbl>
          <w:p w:rsidR="00244E10" w:rsidRPr="0086296A" w:rsidRDefault="00244E10" w:rsidP="0086296A">
            <w:pPr>
              <w:rPr>
                <w:rFonts w:cstheme="minorHAnsi"/>
              </w:rPr>
            </w:pPr>
          </w:p>
        </w:tc>
        <w:tc>
          <w:tcPr>
            <w:tcW w:w="1508" w:type="dxa"/>
          </w:tcPr>
          <w:p w:rsidR="00244E10" w:rsidRPr="0086296A" w:rsidRDefault="001D13F4" w:rsidP="0086296A">
            <w:pPr>
              <w:rPr>
                <w:rFonts w:cstheme="minorHAnsi"/>
              </w:rPr>
            </w:pPr>
            <w:r>
              <w:rPr>
                <w:rFonts w:cstheme="minorHAnsi"/>
              </w:rPr>
              <w:t>O</w:t>
            </w:r>
          </w:p>
        </w:tc>
      </w:tr>
      <w:tr w:rsidR="00244E10" w:rsidRPr="0086296A" w:rsidTr="0086296A">
        <w:tc>
          <w:tcPr>
            <w:tcW w:w="3005" w:type="dxa"/>
          </w:tcPr>
          <w:tbl>
            <w:tblPr>
              <w:tblW w:w="0" w:type="auto"/>
              <w:tblBorders>
                <w:top w:val="nil"/>
                <w:left w:val="nil"/>
                <w:bottom w:val="nil"/>
                <w:right w:val="nil"/>
              </w:tblBorders>
              <w:tblLook w:val="0000" w:firstRow="0" w:lastRow="0" w:firstColumn="0" w:lastColumn="0" w:noHBand="0" w:noVBand="0"/>
            </w:tblPr>
            <w:tblGrid>
              <w:gridCol w:w="2789"/>
            </w:tblGrid>
            <w:tr w:rsidR="00244E10" w:rsidRPr="0086296A">
              <w:tblPrEx>
                <w:tblCellMar>
                  <w:top w:w="0" w:type="dxa"/>
                  <w:bottom w:w="0" w:type="dxa"/>
                </w:tblCellMar>
              </w:tblPrEx>
              <w:trPr>
                <w:trHeight w:val="203"/>
              </w:trPr>
              <w:tc>
                <w:tcPr>
                  <w:tcW w:w="0" w:type="auto"/>
                </w:tcPr>
                <w:p w:rsidR="00244E10" w:rsidRPr="0086296A" w:rsidRDefault="00244E10" w:rsidP="0086296A">
                  <w:pPr>
                    <w:rPr>
                      <w:rFonts w:cstheme="minorHAnsi"/>
                      <w:sz w:val="17"/>
                      <w:szCs w:val="17"/>
                    </w:rPr>
                  </w:pPr>
                  <w:proofErr w:type="spellStart"/>
                  <w:r w:rsidRPr="0086296A">
                    <w:rPr>
                      <w:rFonts w:cstheme="minorHAnsi"/>
                      <w:sz w:val="17"/>
                      <w:szCs w:val="17"/>
                    </w:rPr>
                    <w:t>ncreased</w:t>
                  </w:r>
                  <w:proofErr w:type="spellEnd"/>
                  <w:r w:rsidRPr="0086296A">
                    <w:rPr>
                      <w:rFonts w:cstheme="minorHAnsi"/>
                      <w:sz w:val="17"/>
                      <w:szCs w:val="17"/>
                    </w:rPr>
                    <w:t xml:space="preserve"> number of victims and perpetrators receiving advice from specialist domestic and family violence duty lawyers </w:t>
                  </w:r>
                </w:p>
              </w:tc>
            </w:tr>
          </w:tbl>
          <w:p w:rsidR="00244E10" w:rsidRPr="0086296A" w:rsidRDefault="00244E10" w:rsidP="0086296A">
            <w:pPr>
              <w:rPr>
                <w:rFonts w:cstheme="minorHAnsi"/>
              </w:rPr>
            </w:pPr>
          </w:p>
        </w:tc>
        <w:tc>
          <w:tcPr>
            <w:tcW w:w="4503" w:type="dxa"/>
          </w:tcPr>
          <w:tbl>
            <w:tblPr>
              <w:tblW w:w="0" w:type="auto"/>
              <w:tblBorders>
                <w:top w:val="nil"/>
                <w:left w:val="nil"/>
                <w:bottom w:val="nil"/>
                <w:right w:val="nil"/>
              </w:tblBorders>
              <w:tblLook w:val="0000" w:firstRow="0" w:lastRow="0" w:firstColumn="0" w:lastColumn="0" w:noHBand="0" w:noVBand="0"/>
            </w:tblPr>
            <w:tblGrid>
              <w:gridCol w:w="4287"/>
            </w:tblGrid>
            <w:tr w:rsidR="00244E10" w:rsidRPr="0086296A">
              <w:tblPrEx>
                <w:tblCellMar>
                  <w:top w:w="0" w:type="dxa"/>
                  <w:bottom w:w="0" w:type="dxa"/>
                </w:tblCellMar>
              </w:tblPrEx>
              <w:trPr>
                <w:trHeight w:val="624"/>
              </w:trPr>
              <w:tc>
                <w:tcPr>
                  <w:tcW w:w="0" w:type="auto"/>
                </w:tcPr>
                <w:p w:rsidR="00244E10" w:rsidRPr="0086296A" w:rsidRDefault="00244E10" w:rsidP="0086296A">
                  <w:pPr>
                    <w:rPr>
                      <w:rFonts w:cstheme="minorHAnsi"/>
                      <w:sz w:val="17"/>
                      <w:szCs w:val="17"/>
                    </w:rPr>
                  </w:pPr>
                  <w:r w:rsidRPr="0086296A">
                    <w:rPr>
                      <w:rFonts w:cstheme="minorHAnsi"/>
                      <w:b/>
                      <w:bCs/>
                      <w:sz w:val="17"/>
                      <w:szCs w:val="17"/>
                    </w:rPr>
                    <w:t xml:space="preserve">11,296 </w:t>
                  </w:r>
                  <w:r w:rsidRPr="0086296A">
                    <w:rPr>
                      <w:rFonts w:cstheme="minorHAnsi"/>
                      <w:sz w:val="17"/>
                      <w:szCs w:val="17"/>
                    </w:rPr>
                    <w:t xml:space="preserve">aggrieved persons </w:t>
                  </w:r>
                </w:p>
                <w:p w:rsidR="00244E10" w:rsidRPr="0086296A" w:rsidRDefault="00244E10" w:rsidP="0086296A">
                  <w:pPr>
                    <w:rPr>
                      <w:rFonts w:cstheme="minorHAnsi"/>
                      <w:sz w:val="17"/>
                      <w:szCs w:val="17"/>
                    </w:rPr>
                  </w:pPr>
                  <w:r w:rsidRPr="0086296A">
                    <w:rPr>
                      <w:rFonts w:cstheme="minorHAnsi"/>
                      <w:sz w:val="17"/>
                      <w:szCs w:val="17"/>
                    </w:rPr>
                    <w:t xml:space="preserve">28% increase on the previous year </w:t>
                  </w:r>
                </w:p>
                <w:p w:rsidR="00244E10" w:rsidRPr="0086296A" w:rsidRDefault="00244E10" w:rsidP="0086296A">
                  <w:pPr>
                    <w:rPr>
                      <w:rFonts w:cstheme="minorHAnsi"/>
                      <w:sz w:val="15"/>
                      <w:szCs w:val="15"/>
                    </w:rPr>
                  </w:pPr>
                  <w:r w:rsidRPr="0086296A">
                    <w:rPr>
                      <w:rFonts w:cstheme="minorHAnsi"/>
                      <w:sz w:val="15"/>
                      <w:szCs w:val="15"/>
                    </w:rPr>
                    <w:t xml:space="preserve">(8790 aggrieved persons in 2017–18 and 2853 aggrieved persons in 2015–16) </w:t>
                  </w:r>
                </w:p>
                <w:p w:rsidR="00244E10" w:rsidRPr="0086296A" w:rsidRDefault="00244E10" w:rsidP="0086296A">
                  <w:pPr>
                    <w:rPr>
                      <w:rFonts w:cstheme="minorHAnsi"/>
                      <w:sz w:val="17"/>
                      <w:szCs w:val="17"/>
                    </w:rPr>
                  </w:pPr>
                  <w:r w:rsidRPr="0086296A">
                    <w:rPr>
                      <w:rFonts w:cstheme="minorHAnsi"/>
                      <w:b/>
                      <w:bCs/>
                      <w:sz w:val="17"/>
                      <w:szCs w:val="17"/>
                    </w:rPr>
                    <w:t xml:space="preserve">12,756 </w:t>
                  </w:r>
                  <w:r w:rsidRPr="0086296A">
                    <w:rPr>
                      <w:rFonts w:cstheme="minorHAnsi"/>
                      <w:sz w:val="17"/>
                      <w:szCs w:val="17"/>
                    </w:rPr>
                    <w:t xml:space="preserve">respondents </w:t>
                  </w:r>
                </w:p>
                <w:p w:rsidR="00244E10" w:rsidRPr="0086296A" w:rsidRDefault="00244E10" w:rsidP="0086296A">
                  <w:pPr>
                    <w:rPr>
                      <w:rFonts w:cstheme="minorHAnsi"/>
                      <w:sz w:val="17"/>
                      <w:szCs w:val="17"/>
                    </w:rPr>
                  </w:pPr>
                  <w:r w:rsidRPr="0086296A">
                    <w:rPr>
                      <w:rFonts w:cstheme="minorHAnsi"/>
                      <w:sz w:val="17"/>
                      <w:szCs w:val="17"/>
                    </w:rPr>
                    <w:t xml:space="preserve">27% increase on the previous year </w:t>
                  </w:r>
                </w:p>
                <w:p w:rsidR="00244E10" w:rsidRPr="0086296A" w:rsidRDefault="00244E10" w:rsidP="0086296A">
                  <w:pPr>
                    <w:rPr>
                      <w:rFonts w:cstheme="minorHAnsi"/>
                      <w:sz w:val="15"/>
                      <w:szCs w:val="15"/>
                    </w:rPr>
                  </w:pPr>
                  <w:r w:rsidRPr="0086296A">
                    <w:rPr>
                      <w:rFonts w:cstheme="minorHAnsi"/>
                      <w:sz w:val="15"/>
                      <w:szCs w:val="15"/>
                    </w:rPr>
                    <w:t xml:space="preserve">(10,047 respondents in 2017–18 and 4317 respondents in 2015–16) </w:t>
                  </w:r>
                </w:p>
              </w:tc>
            </w:tr>
          </w:tbl>
          <w:p w:rsidR="00244E10" w:rsidRPr="0086296A" w:rsidRDefault="00244E10" w:rsidP="0086296A">
            <w:pPr>
              <w:rPr>
                <w:rFonts w:cstheme="minorHAnsi"/>
              </w:rPr>
            </w:pPr>
          </w:p>
        </w:tc>
        <w:tc>
          <w:tcPr>
            <w:tcW w:w="1508" w:type="dxa"/>
          </w:tcPr>
          <w:p w:rsidR="00244E10" w:rsidRPr="0086296A" w:rsidRDefault="001D13F4" w:rsidP="0086296A">
            <w:pPr>
              <w:rPr>
                <w:rFonts w:cstheme="minorHAnsi"/>
              </w:rPr>
            </w:pPr>
            <w:r>
              <w:rPr>
                <w:rFonts w:cstheme="minorHAnsi"/>
              </w:rPr>
              <w:t>X</w:t>
            </w:r>
          </w:p>
        </w:tc>
      </w:tr>
      <w:tr w:rsidR="00244E10" w:rsidRPr="0086296A" w:rsidTr="0086296A">
        <w:tc>
          <w:tcPr>
            <w:tcW w:w="3005" w:type="dxa"/>
          </w:tcPr>
          <w:tbl>
            <w:tblPr>
              <w:tblW w:w="0" w:type="auto"/>
              <w:tblBorders>
                <w:top w:val="nil"/>
                <w:left w:val="nil"/>
                <w:bottom w:val="nil"/>
                <w:right w:val="nil"/>
              </w:tblBorders>
              <w:tblLook w:val="0000" w:firstRow="0" w:lastRow="0" w:firstColumn="0" w:lastColumn="0" w:noHBand="0" w:noVBand="0"/>
            </w:tblPr>
            <w:tblGrid>
              <w:gridCol w:w="2789"/>
            </w:tblGrid>
            <w:tr w:rsidR="00244E10" w:rsidRPr="0086296A">
              <w:tblPrEx>
                <w:tblCellMar>
                  <w:top w:w="0" w:type="dxa"/>
                  <w:bottom w:w="0" w:type="dxa"/>
                </w:tblCellMar>
              </w:tblPrEx>
              <w:trPr>
                <w:trHeight w:val="96"/>
              </w:trPr>
              <w:tc>
                <w:tcPr>
                  <w:tcW w:w="0" w:type="auto"/>
                </w:tcPr>
                <w:p w:rsidR="00244E10" w:rsidRPr="0086296A" w:rsidRDefault="00244E10" w:rsidP="0086296A">
                  <w:pPr>
                    <w:rPr>
                      <w:rFonts w:cstheme="minorHAnsi"/>
                      <w:sz w:val="17"/>
                      <w:szCs w:val="17"/>
                    </w:rPr>
                  </w:pPr>
                  <w:r w:rsidRPr="0086296A">
                    <w:rPr>
                      <w:rFonts w:cstheme="minorHAnsi"/>
                      <w:sz w:val="17"/>
                      <w:szCs w:val="17"/>
                    </w:rPr>
                    <w:t xml:space="preserve">Increased number of intervention </w:t>
                  </w:r>
                  <w:proofErr w:type="spellStart"/>
                  <w:r w:rsidRPr="0086296A">
                    <w:rPr>
                      <w:rFonts w:cstheme="minorHAnsi"/>
                      <w:sz w:val="17"/>
                      <w:szCs w:val="17"/>
                    </w:rPr>
                    <w:t>orders</w:t>
                  </w:r>
                  <w:r w:rsidRPr="0086296A">
                    <w:rPr>
                      <w:rFonts w:cstheme="minorHAnsi"/>
                      <w:b/>
                      <w:bCs/>
                      <w:sz w:val="10"/>
                      <w:szCs w:val="10"/>
                    </w:rPr>
                    <w:t>ii</w:t>
                  </w:r>
                  <w:proofErr w:type="spellEnd"/>
                  <w:r w:rsidRPr="0086296A">
                    <w:rPr>
                      <w:rFonts w:cstheme="minorHAnsi"/>
                      <w:b/>
                      <w:bCs/>
                      <w:sz w:val="10"/>
                      <w:szCs w:val="10"/>
                    </w:rPr>
                    <w:t xml:space="preserve"> </w:t>
                  </w:r>
                  <w:r w:rsidRPr="0086296A">
                    <w:rPr>
                      <w:rFonts w:cstheme="minorHAnsi"/>
                      <w:sz w:val="17"/>
                      <w:szCs w:val="17"/>
                    </w:rPr>
                    <w:t xml:space="preserve">made </w:t>
                  </w:r>
                </w:p>
              </w:tc>
            </w:tr>
          </w:tbl>
          <w:p w:rsidR="00244E10" w:rsidRPr="0086296A" w:rsidRDefault="00244E10" w:rsidP="0086296A">
            <w:pPr>
              <w:rPr>
                <w:rFonts w:cstheme="minorHAnsi"/>
              </w:rPr>
            </w:pPr>
          </w:p>
        </w:tc>
        <w:tc>
          <w:tcPr>
            <w:tcW w:w="4503" w:type="dxa"/>
          </w:tcPr>
          <w:tbl>
            <w:tblPr>
              <w:tblW w:w="0" w:type="auto"/>
              <w:tblBorders>
                <w:top w:val="nil"/>
                <w:left w:val="nil"/>
                <w:bottom w:val="nil"/>
                <w:right w:val="nil"/>
              </w:tblBorders>
              <w:tblLook w:val="0000" w:firstRow="0" w:lastRow="0" w:firstColumn="0" w:lastColumn="0" w:noHBand="0" w:noVBand="0"/>
            </w:tblPr>
            <w:tblGrid>
              <w:gridCol w:w="4208"/>
            </w:tblGrid>
            <w:tr w:rsidR="00244E10" w:rsidRPr="0086296A">
              <w:tblPrEx>
                <w:tblCellMar>
                  <w:top w:w="0" w:type="dxa"/>
                  <w:bottom w:w="0" w:type="dxa"/>
                </w:tblCellMar>
              </w:tblPrEx>
              <w:trPr>
                <w:trHeight w:val="301"/>
              </w:trPr>
              <w:tc>
                <w:tcPr>
                  <w:tcW w:w="0" w:type="auto"/>
                </w:tcPr>
                <w:p w:rsidR="00244E10" w:rsidRPr="0086296A" w:rsidRDefault="00244E10" w:rsidP="0086296A">
                  <w:pPr>
                    <w:rPr>
                      <w:rFonts w:cstheme="minorHAnsi"/>
                      <w:sz w:val="17"/>
                      <w:szCs w:val="17"/>
                    </w:rPr>
                  </w:pPr>
                  <w:r w:rsidRPr="0086296A">
                    <w:rPr>
                      <w:rFonts w:cstheme="minorHAnsi"/>
                      <w:b/>
                      <w:bCs/>
                      <w:sz w:val="17"/>
                      <w:szCs w:val="17"/>
                    </w:rPr>
                    <w:t xml:space="preserve">1048 </w:t>
                  </w:r>
                  <w:r w:rsidRPr="0086296A">
                    <w:rPr>
                      <w:rFonts w:cstheme="minorHAnsi"/>
                      <w:sz w:val="17"/>
                      <w:szCs w:val="17"/>
                    </w:rPr>
                    <w:t xml:space="preserve">intervention orders </w:t>
                  </w:r>
                </w:p>
                <w:p w:rsidR="00244E10" w:rsidRPr="0086296A" w:rsidRDefault="00244E10" w:rsidP="0086296A">
                  <w:pPr>
                    <w:rPr>
                      <w:rFonts w:cstheme="minorHAnsi"/>
                      <w:sz w:val="17"/>
                      <w:szCs w:val="17"/>
                    </w:rPr>
                  </w:pPr>
                  <w:r w:rsidRPr="0086296A">
                    <w:rPr>
                      <w:rFonts w:cstheme="minorHAnsi"/>
                      <w:sz w:val="17"/>
                      <w:szCs w:val="17"/>
                    </w:rPr>
                    <w:t xml:space="preserve">1.6% decrease on the previous year </w:t>
                  </w:r>
                </w:p>
                <w:p w:rsidR="00244E10" w:rsidRPr="0086296A" w:rsidRDefault="00244E10" w:rsidP="0086296A">
                  <w:pPr>
                    <w:rPr>
                      <w:rFonts w:cstheme="minorHAnsi"/>
                      <w:sz w:val="15"/>
                      <w:szCs w:val="15"/>
                    </w:rPr>
                  </w:pPr>
                  <w:r w:rsidRPr="0086296A">
                    <w:rPr>
                      <w:rFonts w:cstheme="minorHAnsi"/>
                      <w:sz w:val="15"/>
                      <w:szCs w:val="15"/>
                    </w:rPr>
                    <w:t xml:space="preserve">(1065 orders in 2017–18 and 604 intervention orders in 2015–16) </w:t>
                  </w:r>
                </w:p>
              </w:tc>
            </w:tr>
          </w:tbl>
          <w:p w:rsidR="00244E10" w:rsidRPr="0086296A" w:rsidRDefault="00244E10" w:rsidP="0086296A">
            <w:pPr>
              <w:rPr>
                <w:rFonts w:cstheme="minorHAnsi"/>
              </w:rPr>
            </w:pPr>
          </w:p>
        </w:tc>
        <w:tc>
          <w:tcPr>
            <w:tcW w:w="1508" w:type="dxa"/>
          </w:tcPr>
          <w:p w:rsidR="00244E10" w:rsidRPr="0086296A" w:rsidRDefault="001D13F4" w:rsidP="0086296A">
            <w:pPr>
              <w:rPr>
                <w:rFonts w:cstheme="minorHAnsi"/>
              </w:rPr>
            </w:pPr>
            <w:r>
              <w:rPr>
                <w:rFonts w:cstheme="minorHAnsi"/>
              </w:rPr>
              <w:t>O</w:t>
            </w:r>
          </w:p>
        </w:tc>
      </w:tr>
      <w:tr w:rsidR="00244E10" w:rsidRPr="0086296A" w:rsidTr="0086296A">
        <w:tc>
          <w:tcPr>
            <w:tcW w:w="3005" w:type="dxa"/>
          </w:tcPr>
          <w:tbl>
            <w:tblPr>
              <w:tblW w:w="0" w:type="auto"/>
              <w:tblBorders>
                <w:top w:val="nil"/>
                <w:left w:val="nil"/>
                <w:bottom w:val="nil"/>
                <w:right w:val="nil"/>
              </w:tblBorders>
              <w:tblLook w:val="0000" w:firstRow="0" w:lastRow="0" w:firstColumn="0" w:lastColumn="0" w:noHBand="0" w:noVBand="0"/>
            </w:tblPr>
            <w:tblGrid>
              <w:gridCol w:w="2789"/>
            </w:tblGrid>
            <w:tr w:rsidR="00244E10" w:rsidRPr="0086296A">
              <w:tblPrEx>
                <w:tblCellMar>
                  <w:top w:w="0" w:type="dxa"/>
                  <w:bottom w:w="0" w:type="dxa"/>
                </w:tblCellMar>
              </w:tblPrEx>
              <w:trPr>
                <w:trHeight w:val="203"/>
              </w:trPr>
              <w:tc>
                <w:tcPr>
                  <w:tcW w:w="0" w:type="auto"/>
                </w:tcPr>
                <w:p w:rsidR="00244E10" w:rsidRPr="0086296A" w:rsidRDefault="00244E10" w:rsidP="0086296A">
                  <w:pPr>
                    <w:rPr>
                      <w:rFonts w:cstheme="minorHAnsi"/>
                      <w:sz w:val="17"/>
                      <w:szCs w:val="17"/>
                    </w:rPr>
                  </w:pPr>
                  <w:r w:rsidRPr="0086296A">
                    <w:rPr>
                      <w:rFonts w:cstheme="minorHAnsi"/>
                      <w:sz w:val="17"/>
                      <w:szCs w:val="17"/>
                    </w:rPr>
                    <w:t xml:space="preserve">Increased number of perpetrators, victims and families assisted by the Community Justice Group </w:t>
                  </w:r>
                </w:p>
              </w:tc>
            </w:tr>
          </w:tbl>
          <w:p w:rsidR="00244E10" w:rsidRPr="0086296A" w:rsidRDefault="00244E10" w:rsidP="0086296A">
            <w:pPr>
              <w:rPr>
                <w:rFonts w:cstheme="minorHAnsi"/>
              </w:rPr>
            </w:pPr>
          </w:p>
        </w:tc>
        <w:tc>
          <w:tcPr>
            <w:tcW w:w="4503" w:type="dxa"/>
          </w:tcPr>
          <w:tbl>
            <w:tblPr>
              <w:tblW w:w="0" w:type="auto"/>
              <w:tblBorders>
                <w:top w:val="nil"/>
                <w:left w:val="nil"/>
                <w:bottom w:val="nil"/>
                <w:right w:val="nil"/>
              </w:tblBorders>
              <w:tblLook w:val="0000" w:firstRow="0" w:lastRow="0" w:firstColumn="0" w:lastColumn="0" w:noHBand="0" w:noVBand="0"/>
            </w:tblPr>
            <w:tblGrid>
              <w:gridCol w:w="2586"/>
            </w:tblGrid>
            <w:tr w:rsidR="00244E10" w:rsidRPr="0086296A">
              <w:tblPrEx>
                <w:tblCellMar>
                  <w:top w:w="0" w:type="dxa"/>
                  <w:bottom w:w="0" w:type="dxa"/>
                </w:tblCellMar>
              </w:tblPrEx>
              <w:trPr>
                <w:trHeight w:val="301"/>
              </w:trPr>
              <w:tc>
                <w:tcPr>
                  <w:tcW w:w="0" w:type="auto"/>
                </w:tcPr>
                <w:p w:rsidR="00244E10" w:rsidRPr="0086296A" w:rsidRDefault="00244E10" w:rsidP="0086296A">
                  <w:pPr>
                    <w:rPr>
                      <w:rFonts w:cstheme="minorHAnsi"/>
                      <w:sz w:val="17"/>
                      <w:szCs w:val="17"/>
                    </w:rPr>
                  </w:pPr>
                  <w:r w:rsidRPr="0086296A">
                    <w:rPr>
                      <w:rFonts w:cstheme="minorHAnsi"/>
                      <w:b/>
                      <w:bCs/>
                      <w:sz w:val="17"/>
                      <w:szCs w:val="17"/>
                    </w:rPr>
                    <w:t xml:space="preserve">2680 </w:t>
                  </w:r>
                  <w:r w:rsidRPr="0086296A">
                    <w:rPr>
                      <w:rFonts w:cstheme="minorHAnsi"/>
                      <w:sz w:val="17"/>
                      <w:szCs w:val="17"/>
                    </w:rPr>
                    <w:t xml:space="preserve">people assisted </w:t>
                  </w:r>
                </w:p>
                <w:p w:rsidR="00244E10" w:rsidRPr="0086296A" w:rsidRDefault="00244E10" w:rsidP="0086296A">
                  <w:pPr>
                    <w:rPr>
                      <w:rFonts w:cstheme="minorHAnsi"/>
                      <w:sz w:val="17"/>
                      <w:szCs w:val="17"/>
                    </w:rPr>
                  </w:pPr>
                  <w:r w:rsidRPr="0086296A">
                    <w:rPr>
                      <w:rFonts w:cstheme="minorHAnsi"/>
                      <w:sz w:val="17"/>
                      <w:szCs w:val="17"/>
                    </w:rPr>
                    <w:t xml:space="preserve">59% increase on the previous year </w:t>
                  </w:r>
                </w:p>
                <w:p w:rsidR="00244E10" w:rsidRPr="0086296A" w:rsidRDefault="00244E10" w:rsidP="0086296A">
                  <w:pPr>
                    <w:rPr>
                      <w:rFonts w:cstheme="minorHAnsi"/>
                      <w:sz w:val="15"/>
                      <w:szCs w:val="15"/>
                    </w:rPr>
                  </w:pPr>
                  <w:r w:rsidRPr="0086296A">
                    <w:rPr>
                      <w:rFonts w:cstheme="minorHAnsi"/>
                      <w:sz w:val="15"/>
                      <w:szCs w:val="15"/>
                    </w:rPr>
                    <w:t xml:space="preserve">(1687 people in 2017–18) </w:t>
                  </w:r>
                </w:p>
              </w:tc>
            </w:tr>
          </w:tbl>
          <w:p w:rsidR="00244E10" w:rsidRPr="0086296A" w:rsidRDefault="00244E10" w:rsidP="0086296A">
            <w:pPr>
              <w:rPr>
                <w:rFonts w:cstheme="minorHAnsi"/>
              </w:rPr>
            </w:pPr>
          </w:p>
        </w:tc>
        <w:tc>
          <w:tcPr>
            <w:tcW w:w="1508" w:type="dxa"/>
          </w:tcPr>
          <w:p w:rsidR="00244E10" w:rsidRPr="0086296A" w:rsidRDefault="001D13F4" w:rsidP="0086296A">
            <w:pPr>
              <w:rPr>
                <w:rFonts w:cstheme="minorHAnsi"/>
              </w:rPr>
            </w:pPr>
            <w:r>
              <w:rPr>
                <w:rFonts w:cstheme="minorHAnsi"/>
              </w:rPr>
              <w:t>X</w:t>
            </w:r>
            <w:bookmarkStart w:id="0" w:name="_GoBack"/>
            <w:bookmarkEnd w:id="0"/>
          </w:p>
        </w:tc>
      </w:tr>
    </w:tbl>
    <w:p w:rsidR="00DF6F39" w:rsidRPr="00DF6F39" w:rsidRDefault="00DF6F39" w:rsidP="00DF6F39"/>
    <w:sectPr w:rsidR="00DF6F39" w:rsidRPr="00DF6F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ORIKZ Z+ Meta Cond Book LF">
    <w:altName w:val="Meta Cond Book LF"/>
    <w:panose1 w:val="00000000000000000000"/>
    <w:charset w:val="00"/>
    <w:family w:val="roman"/>
    <w:notTrueType/>
    <w:pitch w:val="default"/>
    <w:sig w:usb0="00000003" w:usb1="00000000" w:usb2="00000000" w:usb3="00000000" w:csb0="00000001" w:csb1="00000000"/>
  </w:font>
  <w:font w:name="ORIKZ Z+ Meta Normal LF">
    <w:altName w:val="Meta Normal LF"/>
    <w:panose1 w:val="00000000000000000000"/>
    <w:charset w:val="00"/>
    <w:family w:val="roman"/>
    <w:notTrueType/>
    <w:pitch w:val="default"/>
    <w:sig w:usb0="00000003" w:usb1="00000000" w:usb2="00000000" w:usb3="00000000" w:csb0="00000001" w:csb1="00000000"/>
  </w:font>
  <w:font w:name="ORIKZ Z+ Meta Bold LF">
    <w:altName w:val="Meta Bold LF"/>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ORIKZ Z+ Meta Cond Normal">
    <w:altName w:val="Meta Cond Normal"/>
    <w:panose1 w:val="00000000000000000000"/>
    <w:charset w:val="00"/>
    <w:family w:val="roman"/>
    <w:notTrueType/>
    <w:pitch w:val="default"/>
    <w:sig w:usb0="00000003" w:usb1="00000000" w:usb2="00000000" w:usb3="00000000" w:csb0="00000001" w:csb1="00000000"/>
  </w:font>
  <w:font w:name="ORIKZ Z+ Meta Cond Bold">
    <w:altName w:val="Meta Cond Bold"/>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03E7BD6"/>
    <w:multiLevelType w:val="hybridMultilevel"/>
    <w:tmpl w:val="7BB2D6F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006958B"/>
    <w:multiLevelType w:val="hybridMultilevel"/>
    <w:tmpl w:val="D00719D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D7C93EC"/>
    <w:multiLevelType w:val="hybridMultilevel"/>
    <w:tmpl w:val="4E20FE6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94DF89E"/>
    <w:multiLevelType w:val="hybridMultilevel"/>
    <w:tmpl w:val="01A2985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CD03A5B"/>
    <w:multiLevelType w:val="hybridMultilevel"/>
    <w:tmpl w:val="015C75B0"/>
    <w:lvl w:ilvl="0" w:tplc="F33E2C64">
      <w:numFmt w:val="bullet"/>
      <w:lvlText w:val=""/>
      <w:lvlJc w:val="left"/>
      <w:rPr>
        <w:rFonts w:ascii="Symbol" w:eastAsiaTheme="minorHAnsi" w:hAnsi="Symbol" w:cstheme="minorHAnsi" w:hint="default"/>
        <w:color w:val="00000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10787C22"/>
    <w:multiLevelType w:val="hybridMultilevel"/>
    <w:tmpl w:val="FE6C04D8"/>
    <w:lvl w:ilvl="0" w:tplc="F33E2C64">
      <w:numFmt w:val="bullet"/>
      <w:lvlText w:val=""/>
      <w:lvlJc w:val="left"/>
      <w:pPr>
        <w:ind w:left="720" w:hanging="360"/>
      </w:pPr>
      <w:rPr>
        <w:rFonts w:ascii="Symbol" w:eastAsiaTheme="minorHAnsi" w:hAnsi="Symbol" w:cstheme="minorHAnsi"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31C36C3"/>
    <w:multiLevelType w:val="hybridMultilevel"/>
    <w:tmpl w:val="7157DE8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24434BCE"/>
    <w:multiLevelType w:val="hybridMultilevel"/>
    <w:tmpl w:val="AB9299CA"/>
    <w:lvl w:ilvl="0" w:tplc="B42467F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926F376"/>
    <w:multiLevelType w:val="hybridMultilevel"/>
    <w:tmpl w:val="4FFFF72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29AE8B31"/>
    <w:multiLevelType w:val="hybridMultilevel"/>
    <w:tmpl w:val="560C937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324F42D9"/>
    <w:multiLevelType w:val="hybridMultilevel"/>
    <w:tmpl w:val="8646A8AE"/>
    <w:lvl w:ilvl="0" w:tplc="B42467F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38955CC"/>
    <w:multiLevelType w:val="hybridMultilevel"/>
    <w:tmpl w:val="64548926"/>
    <w:lvl w:ilvl="0" w:tplc="F33E2C64">
      <w:numFmt w:val="bullet"/>
      <w:lvlText w:val=""/>
      <w:lvlJc w:val="left"/>
      <w:rPr>
        <w:rFonts w:ascii="Symbol" w:eastAsiaTheme="minorHAnsi" w:hAnsi="Symbol" w:cstheme="minorHAnsi" w:hint="default"/>
        <w:color w:val="00000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377A6FCB"/>
    <w:multiLevelType w:val="hybridMultilevel"/>
    <w:tmpl w:val="09C8A28A"/>
    <w:lvl w:ilvl="0" w:tplc="F33E2C64">
      <w:numFmt w:val="bullet"/>
      <w:lvlText w:val=""/>
      <w:lvlJc w:val="left"/>
      <w:pPr>
        <w:ind w:left="720" w:hanging="360"/>
      </w:pPr>
      <w:rPr>
        <w:rFonts w:ascii="Symbol" w:eastAsiaTheme="minorHAnsi" w:hAnsi="Symbol" w:cstheme="minorHAnsi"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36F174E"/>
    <w:multiLevelType w:val="hybridMultilevel"/>
    <w:tmpl w:val="EA6ADA9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454F307A"/>
    <w:multiLevelType w:val="hybridMultilevel"/>
    <w:tmpl w:val="7D03D7A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49D6555A"/>
    <w:multiLevelType w:val="hybridMultilevel"/>
    <w:tmpl w:val="4DC26254"/>
    <w:lvl w:ilvl="0" w:tplc="F33E2C64">
      <w:numFmt w:val="bullet"/>
      <w:lvlText w:val=""/>
      <w:lvlJc w:val="left"/>
      <w:rPr>
        <w:rFonts w:ascii="Symbol" w:eastAsiaTheme="minorHAnsi" w:hAnsi="Symbol" w:cstheme="minorHAnsi" w:hint="default"/>
        <w:color w:val="00000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4B247A52"/>
    <w:multiLevelType w:val="hybridMultilevel"/>
    <w:tmpl w:val="C6125C4E"/>
    <w:lvl w:ilvl="0" w:tplc="F33E2C64">
      <w:numFmt w:val="bullet"/>
      <w:lvlText w:val=""/>
      <w:lvlJc w:val="left"/>
      <w:pPr>
        <w:ind w:left="720" w:hanging="360"/>
      </w:pPr>
      <w:rPr>
        <w:rFonts w:ascii="Symbol" w:eastAsiaTheme="minorHAnsi" w:hAnsi="Symbol" w:cstheme="minorHAnsi"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61539B3"/>
    <w:multiLevelType w:val="hybridMultilevel"/>
    <w:tmpl w:val="98F216AE"/>
    <w:lvl w:ilvl="0" w:tplc="F33E2C64">
      <w:numFmt w:val="bullet"/>
      <w:lvlText w:val=""/>
      <w:lvlJc w:val="left"/>
      <w:rPr>
        <w:rFonts w:ascii="Symbol" w:eastAsiaTheme="minorHAnsi" w:hAnsi="Symbol" w:cstheme="minorHAnsi" w:hint="default"/>
        <w:color w:val="00000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59CA7442"/>
    <w:multiLevelType w:val="hybridMultilevel"/>
    <w:tmpl w:val="7F00BBB6"/>
    <w:lvl w:ilvl="0" w:tplc="F33E2C64">
      <w:numFmt w:val="bullet"/>
      <w:lvlText w:val=""/>
      <w:lvlJc w:val="left"/>
      <w:pPr>
        <w:ind w:left="720" w:hanging="360"/>
      </w:pPr>
      <w:rPr>
        <w:rFonts w:ascii="Symbol" w:eastAsiaTheme="minorHAnsi" w:hAnsi="Symbol" w:cstheme="minorHAnsi"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A201AB3"/>
    <w:multiLevelType w:val="hybridMultilevel"/>
    <w:tmpl w:val="B8BD2BB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72BD19C5"/>
    <w:multiLevelType w:val="hybridMultilevel"/>
    <w:tmpl w:val="A1CCB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5186F30"/>
    <w:multiLevelType w:val="hybridMultilevel"/>
    <w:tmpl w:val="8962D534"/>
    <w:lvl w:ilvl="0" w:tplc="B42467F6">
      <w:numFmt w:val="bullet"/>
      <w:lvlText w:val="•"/>
      <w:lvlJc w:val="left"/>
      <w:rPr>
        <w:rFonts w:ascii="Calibri" w:eastAsiaTheme="minorHAnsi" w:hAnsi="Calibri" w:cs="Calibr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77300475"/>
    <w:multiLevelType w:val="hybridMultilevel"/>
    <w:tmpl w:val="6F8F0D7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7A0F74BA"/>
    <w:multiLevelType w:val="hybridMultilevel"/>
    <w:tmpl w:val="A9768F02"/>
    <w:lvl w:ilvl="0" w:tplc="B42467F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7"/>
  </w:num>
  <w:num w:numId="3">
    <w:abstractNumId w:val="23"/>
  </w:num>
  <w:num w:numId="4">
    <w:abstractNumId w:val="0"/>
  </w:num>
  <w:num w:numId="5">
    <w:abstractNumId w:val="10"/>
  </w:num>
  <w:num w:numId="6">
    <w:abstractNumId w:val="14"/>
  </w:num>
  <w:num w:numId="7">
    <w:abstractNumId w:val="21"/>
  </w:num>
  <w:num w:numId="8">
    <w:abstractNumId w:val="18"/>
  </w:num>
  <w:num w:numId="9">
    <w:abstractNumId w:val="2"/>
  </w:num>
  <w:num w:numId="10">
    <w:abstractNumId w:val="17"/>
  </w:num>
  <w:num w:numId="11">
    <w:abstractNumId w:val="9"/>
  </w:num>
  <w:num w:numId="12">
    <w:abstractNumId w:val="11"/>
  </w:num>
  <w:num w:numId="13">
    <w:abstractNumId w:val="5"/>
  </w:num>
  <w:num w:numId="14">
    <w:abstractNumId w:val="19"/>
  </w:num>
  <w:num w:numId="15">
    <w:abstractNumId w:val="4"/>
  </w:num>
  <w:num w:numId="16">
    <w:abstractNumId w:val="12"/>
  </w:num>
  <w:num w:numId="17">
    <w:abstractNumId w:val="8"/>
  </w:num>
  <w:num w:numId="18">
    <w:abstractNumId w:val="22"/>
  </w:num>
  <w:num w:numId="19">
    <w:abstractNumId w:val="1"/>
  </w:num>
  <w:num w:numId="20">
    <w:abstractNumId w:val="13"/>
  </w:num>
  <w:num w:numId="21">
    <w:abstractNumId w:val="3"/>
  </w:num>
  <w:num w:numId="22">
    <w:abstractNumId w:val="6"/>
  </w:num>
  <w:num w:numId="23">
    <w:abstractNumId w:val="15"/>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DEB"/>
    <w:rsid w:val="001D13F4"/>
    <w:rsid w:val="00210DEB"/>
    <w:rsid w:val="00244E10"/>
    <w:rsid w:val="0030635C"/>
    <w:rsid w:val="00744A1D"/>
    <w:rsid w:val="0086296A"/>
    <w:rsid w:val="00AA2CB5"/>
    <w:rsid w:val="00AE2963"/>
    <w:rsid w:val="00DF6F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9FDE2F-1559-4222-827E-5045685F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10D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10D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10DE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10D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210D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210DE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DE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10DE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10DE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10D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210D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210DEB"/>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210DEB"/>
    <w:pPr>
      <w:ind w:left="720"/>
      <w:contextualSpacing/>
    </w:pPr>
  </w:style>
  <w:style w:type="paragraph" w:customStyle="1" w:styleId="Default">
    <w:name w:val="Default"/>
    <w:rsid w:val="00AE2963"/>
    <w:pPr>
      <w:autoSpaceDE w:val="0"/>
      <w:autoSpaceDN w:val="0"/>
      <w:adjustRightInd w:val="0"/>
      <w:spacing w:after="0" w:line="240" w:lineRule="auto"/>
    </w:pPr>
    <w:rPr>
      <w:rFonts w:ascii="ORIKZ Z+ Meta Cond Book LF" w:hAnsi="ORIKZ Z+ Meta Cond Book LF" w:cs="ORIKZ Z+ Meta Cond Book LF"/>
      <w:color w:val="000000"/>
      <w:sz w:val="24"/>
      <w:szCs w:val="24"/>
    </w:rPr>
  </w:style>
  <w:style w:type="paragraph" w:customStyle="1" w:styleId="Pa2">
    <w:name w:val="Pa2"/>
    <w:basedOn w:val="Default"/>
    <w:next w:val="Default"/>
    <w:uiPriority w:val="99"/>
    <w:rsid w:val="00AE2963"/>
    <w:pPr>
      <w:spacing w:line="221" w:lineRule="atLeast"/>
    </w:pPr>
    <w:rPr>
      <w:rFonts w:cstheme="minorBidi"/>
      <w:color w:val="auto"/>
    </w:rPr>
  </w:style>
  <w:style w:type="paragraph" w:customStyle="1" w:styleId="Pa9">
    <w:name w:val="Pa9"/>
    <w:basedOn w:val="Default"/>
    <w:next w:val="Default"/>
    <w:uiPriority w:val="99"/>
    <w:rsid w:val="00AA2CB5"/>
    <w:pPr>
      <w:spacing w:line="201" w:lineRule="atLeast"/>
    </w:pPr>
    <w:rPr>
      <w:rFonts w:ascii="ORIKZ Z+ Meta Normal LF" w:hAnsi="ORIKZ Z+ Meta Normal LF" w:cstheme="minorBidi"/>
      <w:color w:val="auto"/>
    </w:rPr>
  </w:style>
  <w:style w:type="paragraph" w:customStyle="1" w:styleId="Pa13">
    <w:name w:val="Pa13"/>
    <w:basedOn w:val="Default"/>
    <w:next w:val="Default"/>
    <w:uiPriority w:val="99"/>
    <w:rsid w:val="00AA2CB5"/>
    <w:pPr>
      <w:spacing w:line="151" w:lineRule="atLeast"/>
    </w:pPr>
    <w:rPr>
      <w:rFonts w:cstheme="minorBidi"/>
      <w:color w:val="auto"/>
    </w:rPr>
  </w:style>
  <w:style w:type="paragraph" w:customStyle="1" w:styleId="Pa15">
    <w:name w:val="Pa15"/>
    <w:basedOn w:val="Default"/>
    <w:next w:val="Default"/>
    <w:uiPriority w:val="99"/>
    <w:rsid w:val="00AA2CB5"/>
    <w:pPr>
      <w:spacing w:line="161" w:lineRule="atLeast"/>
    </w:pPr>
    <w:rPr>
      <w:rFonts w:ascii="ORIKZ Z+ Meta Bold LF" w:hAnsi="ORIKZ Z+ Meta Bold LF" w:cstheme="minorBidi"/>
      <w:color w:val="auto"/>
    </w:rPr>
  </w:style>
  <w:style w:type="character" w:customStyle="1" w:styleId="A12">
    <w:name w:val="A12"/>
    <w:uiPriority w:val="99"/>
    <w:rsid w:val="00AA2CB5"/>
    <w:rPr>
      <w:rFonts w:cs="ORIKZ Z+ Meta Bold LF"/>
      <w:b/>
      <w:bCs/>
      <w:color w:val="000000"/>
      <w:sz w:val="9"/>
      <w:szCs w:val="9"/>
    </w:rPr>
  </w:style>
  <w:style w:type="paragraph" w:customStyle="1" w:styleId="Pa17">
    <w:name w:val="Pa17"/>
    <w:basedOn w:val="Default"/>
    <w:next w:val="Default"/>
    <w:uiPriority w:val="99"/>
    <w:rsid w:val="00AA2CB5"/>
    <w:pPr>
      <w:spacing w:line="161" w:lineRule="atLeast"/>
    </w:pPr>
    <w:rPr>
      <w:rFonts w:ascii="ORIKZ Z+ Meta Bold LF" w:hAnsi="ORIKZ Z+ Meta Bold LF" w:cstheme="minorBidi"/>
      <w:color w:val="auto"/>
    </w:rPr>
  </w:style>
  <w:style w:type="character" w:customStyle="1" w:styleId="A14">
    <w:name w:val="A14"/>
    <w:uiPriority w:val="99"/>
    <w:rsid w:val="00AA2CB5"/>
    <w:rPr>
      <w:rFonts w:cs="ORIKZ Z+ Meta Bold LF"/>
      <w:b/>
      <w:bCs/>
      <w:color w:val="000000"/>
      <w:sz w:val="10"/>
      <w:szCs w:val="10"/>
    </w:rPr>
  </w:style>
  <w:style w:type="paragraph" w:customStyle="1" w:styleId="Pa19">
    <w:name w:val="Pa19"/>
    <w:basedOn w:val="Default"/>
    <w:next w:val="Default"/>
    <w:uiPriority w:val="99"/>
    <w:rsid w:val="00AA2CB5"/>
    <w:pPr>
      <w:spacing w:line="171" w:lineRule="atLeast"/>
    </w:pPr>
    <w:rPr>
      <w:rFonts w:ascii="ORIKZ Z+ Meta Bold LF" w:hAnsi="ORIKZ Z+ Meta Bold LF" w:cstheme="minorBidi"/>
      <w:color w:val="auto"/>
    </w:rPr>
  </w:style>
  <w:style w:type="paragraph" w:customStyle="1" w:styleId="Pa5">
    <w:name w:val="Pa5"/>
    <w:basedOn w:val="Default"/>
    <w:next w:val="Default"/>
    <w:uiPriority w:val="99"/>
    <w:rsid w:val="00AA2CB5"/>
    <w:pPr>
      <w:spacing w:line="151" w:lineRule="atLeast"/>
    </w:pPr>
    <w:rPr>
      <w:rFonts w:ascii="ORIKZ Z+ Meta Bold LF" w:hAnsi="ORIKZ Z+ Meta Bold LF" w:cstheme="minorBidi"/>
      <w:color w:val="auto"/>
    </w:rPr>
  </w:style>
  <w:style w:type="character" w:customStyle="1" w:styleId="A3">
    <w:name w:val="A3"/>
    <w:uiPriority w:val="99"/>
    <w:rsid w:val="00AA2CB5"/>
    <w:rPr>
      <w:rFonts w:ascii="ORIKZ Z+ Meta Cond Book LF" w:hAnsi="ORIKZ Z+ Meta Cond Book LF" w:cs="ORIKZ Z+ Meta Cond Book LF"/>
      <w:color w:val="000000"/>
      <w:sz w:val="15"/>
      <w:szCs w:val="15"/>
    </w:rPr>
  </w:style>
  <w:style w:type="paragraph" w:customStyle="1" w:styleId="Pa23">
    <w:name w:val="Pa23"/>
    <w:basedOn w:val="Default"/>
    <w:next w:val="Default"/>
    <w:uiPriority w:val="99"/>
    <w:rsid w:val="00AA2CB5"/>
    <w:pPr>
      <w:spacing w:line="151" w:lineRule="atLeast"/>
    </w:pPr>
    <w:rPr>
      <w:rFonts w:ascii="ORIKZ Z+ Meta Bold LF" w:hAnsi="ORIKZ Z+ Meta Bold LF" w:cstheme="minorBidi"/>
      <w:color w:val="auto"/>
    </w:rPr>
  </w:style>
  <w:style w:type="table" w:styleId="TableGrid">
    <w:name w:val="Table Grid"/>
    <w:basedOn w:val="TableNormal"/>
    <w:uiPriority w:val="39"/>
    <w:rsid w:val="00DF6F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ntTable.xml" Type="http://schemas.openxmlformats.org/officeDocument/2006/relationships/fontTable"/>
<Relationship Id="rId7" Target="theme/theme1.xml" Type="http://schemas.openxmlformats.org/officeDocument/2006/relationships/them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79017-A36B-48C6-AE92-EF09D4701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6</Pages>
  <Words>2252</Words>
  <Characters>12838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15060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2020-11-19T23:17:00Z</dcterms:created>
  <dc:creator>Queensland Government</dc:creator>
  <cp:keywords>end dfv, domestic violence queensland, domestic and family violence, domestic violence</cp:keywords>
  <cp:lastModifiedBy>Colleen Turner</cp:lastModifiedBy>
  <dcterms:modified xsi:type="dcterms:W3CDTF">2020-11-20T00:20:00Z</dcterms:modified>
  <cp:revision>4</cp:revision>
  <dc:subject>Highlights report card</dc:subject>
  <dc:title>Queensland says: not now, not ever Year 4 highlights card </dc:title>
</cp:coreProperties>
</file>