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D031" w14:textId="77777777" w:rsidR="00ED0652" w:rsidRPr="00B21DEB" w:rsidRDefault="00ED0652" w:rsidP="00743353">
      <w:pPr>
        <w:pStyle w:val="Heading2"/>
      </w:pPr>
      <w:bookmarkStart w:id="0" w:name="_Toc49162322"/>
      <w:bookmarkStart w:id="1" w:name="_Toc51157165"/>
      <w:r w:rsidRPr="00B21DEB">
        <w:t>Summary of financial performance</w:t>
      </w:r>
      <w:bookmarkEnd w:id="0"/>
      <w:bookmarkEnd w:id="1"/>
    </w:p>
    <w:p w14:paraId="17E1BFA4" w14:textId="62EF27C1" w:rsidR="00BD7243" w:rsidRPr="00B21DEB" w:rsidRDefault="00BD7243" w:rsidP="00BD7243">
      <w:r w:rsidRPr="00B21DEB">
        <w:t xml:space="preserve">Section 77(2)(b) of the </w:t>
      </w:r>
      <w:r w:rsidRPr="00B21DEB">
        <w:rPr>
          <w:i/>
        </w:rPr>
        <w:t>Financial Accountability Act 2009</w:t>
      </w:r>
      <w:r w:rsidRPr="00B21DEB">
        <w:t xml:space="preserve"> requires the Chief Finance Officer of the Department of Communities, Disability Services and Seniors to provide the accountable officer with a statement on whether the department’s internal financial controls are operating efficiently, effectively and economically.</w:t>
      </w:r>
    </w:p>
    <w:p w14:paraId="4A81B30C" w14:textId="77777777" w:rsidR="00BD7243" w:rsidRPr="00B21DEB" w:rsidRDefault="00BD7243" w:rsidP="00BD7243">
      <w:r w:rsidRPr="00B21DEB">
        <w:t xml:space="preserve">The 2019-20 Statement of Assurance provided to the Director-General satisfies all requirements of the </w:t>
      </w:r>
      <w:r w:rsidRPr="00B21DEB">
        <w:rPr>
          <w:i/>
        </w:rPr>
        <w:t>Financial and Performance Management Standard 2019</w:t>
      </w:r>
      <w:r w:rsidRPr="00B21DEB">
        <w:t>. The statement was also provided to the department’s Audit and Risk Committee.</w:t>
      </w:r>
    </w:p>
    <w:p w14:paraId="7A8DE87D" w14:textId="05448696" w:rsidR="00ED0652" w:rsidRPr="00B21DEB" w:rsidRDefault="00BD7243" w:rsidP="00BD7243">
      <w:r w:rsidRPr="00B21DEB">
        <w:t>It indicated no deficiencies or breakdowns in internal controls that would impact adversely on the department’s financial governance or financial statements for the year.</w:t>
      </w:r>
    </w:p>
    <w:p w14:paraId="311CF920" w14:textId="77777777" w:rsidR="00ED0652" w:rsidRPr="00B21DEB" w:rsidRDefault="00ED0652" w:rsidP="00743353">
      <w:pPr>
        <w:pStyle w:val="Heading3"/>
      </w:pPr>
      <w:r w:rsidRPr="00B21DEB">
        <w:t>Income</w:t>
      </w:r>
    </w:p>
    <w:p w14:paraId="5E406983" w14:textId="77777777" w:rsidR="00BD7243" w:rsidRPr="00B21DEB" w:rsidRDefault="00BD7243" w:rsidP="00BD7243">
      <w:r w:rsidRPr="00B21DEB">
        <w:t>Our income in 2019-20 was $406.008 million, with the major sources of income being the Queensland and Australian governments for the provision of services.</w:t>
      </w:r>
    </w:p>
    <w:p w14:paraId="681CAF30" w14:textId="77777777" w:rsidR="00BD7243" w:rsidRPr="00B21DEB" w:rsidRDefault="00BD7243" w:rsidP="00BD7243">
      <w:r w:rsidRPr="00B21DEB">
        <w:t>During 2019-20, we received our income from:</w:t>
      </w:r>
    </w:p>
    <w:p w14:paraId="2F79B428" w14:textId="1BCD23B2" w:rsidR="00BD7243" w:rsidRPr="00B21DEB" w:rsidRDefault="00F66C61" w:rsidP="0013426D">
      <w:pPr>
        <w:pStyle w:val="Bullets"/>
        <w:numPr>
          <w:ilvl w:val="0"/>
          <w:numId w:val="5"/>
        </w:numPr>
      </w:pPr>
      <w:r w:rsidRPr="00B21DEB">
        <w:t>a</w:t>
      </w:r>
      <w:r w:rsidR="00BD7243" w:rsidRPr="00B21DEB">
        <w:t>ppropriation revenue – $358.744 million</w:t>
      </w:r>
    </w:p>
    <w:p w14:paraId="6B0135B3" w14:textId="27DF2288" w:rsidR="00BD7243" w:rsidRPr="00B21DEB" w:rsidRDefault="00F66C61" w:rsidP="0013426D">
      <w:pPr>
        <w:pStyle w:val="Bullets"/>
        <w:numPr>
          <w:ilvl w:val="0"/>
          <w:numId w:val="5"/>
        </w:numPr>
      </w:pPr>
      <w:r w:rsidRPr="00B21DEB">
        <w:t>u</w:t>
      </w:r>
      <w:r w:rsidR="00BD7243" w:rsidRPr="00B21DEB">
        <w:t>ser charges – $7.424 million</w:t>
      </w:r>
    </w:p>
    <w:p w14:paraId="287605B2" w14:textId="363C7E18" w:rsidR="00BD7243" w:rsidRPr="00B21DEB" w:rsidRDefault="00F66C61" w:rsidP="0013426D">
      <w:pPr>
        <w:pStyle w:val="Bullets"/>
        <w:numPr>
          <w:ilvl w:val="0"/>
          <w:numId w:val="5"/>
        </w:numPr>
      </w:pPr>
      <w:r w:rsidRPr="00B21DEB">
        <w:t>g</w:t>
      </w:r>
      <w:r w:rsidR="00BD7243" w:rsidRPr="00B21DEB">
        <w:t>rants and other contributions – $14.920 million</w:t>
      </w:r>
    </w:p>
    <w:p w14:paraId="52C54645" w14:textId="49BE2B85" w:rsidR="00BD7243" w:rsidRPr="00B21DEB" w:rsidRDefault="00F66C61" w:rsidP="00B21DEB">
      <w:pPr>
        <w:pStyle w:val="Bullets"/>
        <w:numPr>
          <w:ilvl w:val="0"/>
          <w:numId w:val="5"/>
        </w:numPr>
        <w:spacing w:after="142"/>
      </w:pPr>
      <w:r w:rsidRPr="00B21DEB">
        <w:t>o</w:t>
      </w:r>
      <w:r w:rsidR="00BD7243" w:rsidRPr="00B21DEB">
        <w:t>ther revenue – $24.920 million</w:t>
      </w:r>
      <w:r w:rsidR="00BD7243" w:rsidRPr="00B21DEB">
        <w:br/>
        <w:t>(such as grant and service procurement refunds and other cost recoveries)</w:t>
      </w:r>
      <w:r w:rsidR="0023651C" w:rsidRPr="00B21DEB">
        <w:t>.</w:t>
      </w:r>
    </w:p>
    <w:p w14:paraId="37711B35" w14:textId="77777777" w:rsidR="00ED0652" w:rsidRPr="00B21DEB" w:rsidRDefault="00ED0652" w:rsidP="00743353">
      <w:pPr>
        <w:pStyle w:val="Heading3"/>
      </w:pPr>
      <w:r w:rsidRPr="00B21DEB">
        <w:t>Operating expenses</w:t>
      </w:r>
    </w:p>
    <w:p w14:paraId="092D8365" w14:textId="1F986E20" w:rsidR="00ED0652" w:rsidRPr="00B21DEB" w:rsidRDefault="00ED0652" w:rsidP="00ED0652">
      <w:r w:rsidRPr="00B21DEB">
        <w:t>Our department provides a wide range of services to the community, delivered by contracted non</w:t>
      </w:r>
      <w:r w:rsidR="00E766AA" w:rsidRPr="00B21DEB">
        <w:t>-</w:t>
      </w:r>
      <w:r w:rsidRPr="00B21DEB">
        <w:t>government organisations and through direct service delivery. As a result, our two largest expense categories are supplies and services and employee expenses. Our total operating expenses for 20</w:t>
      </w:r>
      <w:r w:rsidR="00BD7243" w:rsidRPr="00B21DEB">
        <w:t>19</w:t>
      </w:r>
      <w:r w:rsidRPr="00B21DEB">
        <w:t>–</w:t>
      </w:r>
      <w:r w:rsidR="00BD7243" w:rsidRPr="00B21DEB">
        <w:t>20</w:t>
      </w:r>
      <w:r w:rsidRPr="00B21DEB">
        <w:t xml:space="preserve"> were </w:t>
      </w:r>
      <w:r w:rsidR="00BB1301" w:rsidRPr="00B21DEB">
        <w:t>$398.561 million</w:t>
      </w:r>
      <w:r w:rsidRPr="00B21DEB">
        <w:t>, including:</w:t>
      </w:r>
    </w:p>
    <w:p w14:paraId="321671F7" w14:textId="71616DC4" w:rsidR="00ED0652" w:rsidRPr="00B21DEB" w:rsidRDefault="00E766AA" w:rsidP="00B21DEB">
      <w:pPr>
        <w:pStyle w:val="Bullets"/>
        <w:ind w:left="709"/>
      </w:pPr>
      <w:r w:rsidRPr="00B21DEB">
        <w:t>e</w:t>
      </w:r>
      <w:r w:rsidR="00ED0652" w:rsidRPr="00B21DEB">
        <w:t xml:space="preserve">mployee expenses </w:t>
      </w:r>
      <w:r w:rsidRPr="00B21DEB">
        <w:t xml:space="preserve">— </w:t>
      </w:r>
      <w:r w:rsidR="00ED0652" w:rsidRPr="00B21DEB">
        <w:t>$</w:t>
      </w:r>
      <w:r w:rsidR="00BB1301" w:rsidRPr="00B21DEB">
        <w:t>193.782 million</w:t>
      </w:r>
    </w:p>
    <w:p w14:paraId="332AA043" w14:textId="77128B1C" w:rsidR="002B673D" w:rsidRPr="00B21DEB" w:rsidRDefault="00E766AA" w:rsidP="00B21DEB">
      <w:pPr>
        <w:pStyle w:val="Bullets"/>
        <w:spacing w:after="0"/>
        <w:ind w:left="709"/>
      </w:pPr>
      <w:r w:rsidRPr="00B21DEB">
        <w:t>s</w:t>
      </w:r>
      <w:r w:rsidR="00ED0652" w:rsidRPr="00B21DEB">
        <w:t xml:space="preserve">upplies and services </w:t>
      </w:r>
      <w:r w:rsidRPr="00B21DEB">
        <w:t xml:space="preserve">— </w:t>
      </w:r>
      <w:r w:rsidR="00BB1301" w:rsidRPr="00B21DEB">
        <w:t>$163.852 million</w:t>
      </w:r>
    </w:p>
    <w:p w14:paraId="75A233D2" w14:textId="77777777" w:rsidR="002B673D" w:rsidRPr="00B21DEB" w:rsidRDefault="002B673D" w:rsidP="00B21DEB">
      <w:pPr>
        <w:pStyle w:val="Bullets"/>
        <w:numPr>
          <w:ilvl w:val="0"/>
          <w:numId w:val="0"/>
        </w:numPr>
        <w:ind w:left="709"/>
      </w:pPr>
      <w:r w:rsidRPr="00B21DEB">
        <w:t>(which include service procurement expenses of $114.479 million, outsourced corporate service expenses of $15.599 million, property and other lease expenses of $11.461 million, property support, repairs and maintenance expenses of $8.904 million, professional and technical fees of $9.256 million, and other general operating expenses of $4.153 million)</w:t>
      </w:r>
    </w:p>
    <w:p w14:paraId="13B87BA4" w14:textId="1CCC2733" w:rsidR="00ED0652" w:rsidRPr="00B21DEB" w:rsidRDefault="00E766AA" w:rsidP="00F66C61">
      <w:pPr>
        <w:pStyle w:val="Bullets"/>
        <w:ind w:left="709"/>
      </w:pPr>
      <w:r w:rsidRPr="00B21DEB">
        <w:t>g</w:t>
      </w:r>
      <w:r w:rsidR="00ED0652" w:rsidRPr="00B21DEB">
        <w:t xml:space="preserve">rants and other subsidies </w:t>
      </w:r>
      <w:r w:rsidRPr="00B21DEB">
        <w:t xml:space="preserve">— </w:t>
      </w:r>
      <w:r w:rsidR="00ED0652" w:rsidRPr="00B21DEB">
        <w:t>$</w:t>
      </w:r>
      <w:r w:rsidR="00BB1301" w:rsidRPr="00B21DEB">
        <w:t>31</w:t>
      </w:r>
      <w:r w:rsidR="00ED0652" w:rsidRPr="00B21DEB">
        <w:t>.</w:t>
      </w:r>
      <w:r w:rsidR="00BB1301" w:rsidRPr="00B21DEB">
        <w:t>112</w:t>
      </w:r>
      <w:r w:rsidR="00ED0652" w:rsidRPr="00B21DEB">
        <w:t xml:space="preserve"> million</w:t>
      </w:r>
    </w:p>
    <w:p w14:paraId="276C026B" w14:textId="672321A1" w:rsidR="00ED0652" w:rsidRPr="00B21DEB" w:rsidRDefault="00E766AA" w:rsidP="00F66C61">
      <w:pPr>
        <w:pStyle w:val="Bullets"/>
        <w:ind w:left="709"/>
      </w:pPr>
      <w:r w:rsidRPr="00B21DEB">
        <w:t>d</w:t>
      </w:r>
      <w:r w:rsidR="00ED0652" w:rsidRPr="00B21DEB">
        <w:t xml:space="preserve">epreciation and amortisation </w:t>
      </w:r>
      <w:r w:rsidRPr="00B21DEB">
        <w:t xml:space="preserve">— </w:t>
      </w:r>
      <w:r w:rsidR="00BB1301" w:rsidRPr="00B21DEB">
        <w:t>$5.907 million</w:t>
      </w:r>
      <w:r w:rsidR="00BB1301" w:rsidRPr="00B21DEB" w:rsidDel="00BB1301">
        <w:t xml:space="preserve"> </w:t>
      </w:r>
    </w:p>
    <w:p w14:paraId="6DFFBF48" w14:textId="178C3476" w:rsidR="00BB1301" w:rsidRPr="00B21DEB" w:rsidRDefault="00E766AA" w:rsidP="00F66C61">
      <w:pPr>
        <w:pStyle w:val="Bullets"/>
        <w:ind w:left="709"/>
      </w:pPr>
      <w:r w:rsidRPr="00B21DEB">
        <w:t>o</w:t>
      </w:r>
      <w:r w:rsidR="00ED0652" w:rsidRPr="00B21DEB">
        <w:t xml:space="preserve">ther expenses </w:t>
      </w:r>
      <w:r w:rsidRPr="00B21DEB">
        <w:t xml:space="preserve">— </w:t>
      </w:r>
      <w:r w:rsidR="00ED0652" w:rsidRPr="00B21DEB">
        <w:t>$3.9</w:t>
      </w:r>
      <w:r w:rsidR="00BB1301" w:rsidRPr="00B21DEB">
        <w:t>08</w:t>
      </w:r>
      <w:r w:rsidR="00ED0652" w:rsidRPr="00B21DEB">
        <w:t xml:space="preserve"> million </w:t>
      </w:r>
      <w:r w:rsidR="00ED0652" w:rsidRPr="00B21DEB">
        <w:br/>
      </w:r>
      <w:r w:rsidR="00BB1301" w:rsidRPr="00B21DEB">
        <w:t>(such as insurance costs, audit fees, loss on sale of property, plant and equipment</w:t>
      </w:r>
      <w:r w:rsidR="00225105" w:rsidRPr="00B21DEB">
        <w:t xml:space="preserve"> and impairment losses</w:t>
      </w:r>
      <w:r w:rsidR="00BB1301" w:rsidRPr="00B21DEB">
        <w:t>).</w:t>
      </w:r>
    </w:p>
    <w:p w14:paraId="30A497CC" w14:textId="1D6FA23E" w:rsidR="00FB5D17" w:rsidRPr="00B21DEB" w:rsidRDefault="00BB1301" w:rsidP="00BB1301">
      <w:pPr>
        <w:autoSpaceDE w:val="0"/>
        <w:autoSpaceDN w:val="0"/>
        <w:adjustRightInd w:val="0"/>
        <w:spacing w:after="0" w:line="240" w:lineRule="auto"/>
      </w:pPr>
      <w:r w:rsidRPr="00B21DEB">
        <w:t xml:space="preserve">In 2019-20, the department had an operating surplus of $7.447 million, related largely to the recognition of a number of non-cash items including reversal of the revaluation decrement of $6.410 million offset by a net loss on disposal of property, plant </w:t>
      </w:r>
      <w:r w:rsidR="00225105" w:rsidRPr="00B21DEB">
        <w:t xml:space="preserve">and </w:t>
      </w:r>
      <w:r w:rsidRPr="00B21DEB">
        <w:t xml:space="preserve">equipment of $1.328 million. </w:t>
      </w:r>
    </w:p>
    <w:p w14:paraId="722FD53B" w14:textId="1B8E0335" w:rsidR="00BB1301" w:rsidRPr="00B21DEB" w:rsidRDefault="00BB1301" w:rsidP="00A75C62">
      <w:pPr>
        <w:autoSpaceDE w:val="0"/>
        <w:autoSpaceDN w:val="0"/>
        <w:adjustRightInd w:val="0"/>
        <w:spacing w:before="240" w:line="240" w:lineRule="auto"/>
      </w:pPr>
      <w:r w:rsidRPr="00B21DEB">
        <w:t xml:space="preserve">The surplus </w:t>
      </w:r>
      <w:r w:rsidR="00225105" w:rsidRPr="00B21DEB">
        <w:t xml:space="preserve">also </w:t>
      </w:r>
      <w:r w:rsidRPr="00B21DEB">
        <w:t xml:space="preserve">includes $1.190 million in revenue received from the Commonwealth (Continuity of Support accommodation management grant) for the refurbishment of residential supported accommodation, recognised as capital expenditure. </w:t>
      </w:r>
      <w:r w:rsidR="00225105" w:rsidRPr="00B21DEB">
        <w:t>In addition, t</w:t>
      </w:r>
      <w:r w:rsidRPr="00B21DEB">
        <w:t>he department received greater non-appropriated revenue of $1.175 million.</w:t>
      </w:r>
    </w:p>
    <w:p w14:paraId="751CCE21" w14:textId="77777777" w:rsidR="005C101B" w:rsidRPr="00B21DEB" w:rsidRDefault="005C101B" w:rsidP="00B21DEB">
      <w:pPr>
        <w:pStyle w:val="Bullets"/>
        <w:numPr>
          <w:ilvl w:val="0"/>
          <w:numId w:val="0"/>
        </w:numPr>
        <w:spacing w:after="142"/>
        <w:sectPr w:rsidR="005C101B" w:rsidRPr="00B21DEB" w:rsidSect="005C101B">
          <w:headerReference w:type="default" r:id="rId8"/>
          <w:pgSz w:w="11906" w:h="16838"/>
          <w:pgMar w:top="709" w:right="1134" w:bottom="425" w:left="1440" w:header="709" w:footer="709" w:gutter="0"/>
          <w:cols w:space="708"/>
          <w:docGrid w:linePitch="360"/>
        </w:sectPr>
      </w:pPr>
    </w:p>
    <w:p w14:paraId="76FDDB2D" w14:textId="77777777" w:rsidR="00ED0652" w:rsidRPr="00B21DEB" w:rsidRDefault="00ED0652" w:rsidP="00743353">
      <w:pPr>
        <w:pStyle w:val="Heading3"/>
      </w:pPr>
      <w:r w:rsidRPr="00B21DEB">
        <w:lastRenderedPageBreak/>
        <w:t>Assets</w:t>
      </w:r>
    </w:p>
    <w:p w14:paraId="6287C8D2" w14:textId="6DBD901B" w:rsidR="00FB5D17" w:rsidRPr="00B21DEB" w:rsidRDefault="00FB5D17" w:rsidP="00FB5D17">
      <w:r w:rsidRPr="00B21DEB">
        <w:t xml:space="preserve">Our total assets as at 30 June 2020 were </w:t>
      </w:r>
      <w:r w:rsidR="00E614C3" w:rsidRPr="00B21DEB">
        <w:t xml:space="preserve">valued at </w:t>
      </w:r>
      <w:r w:rsidRPr="00B21DEB">
        <w:t>$366.461 million. The primary assets held by our department were properties used to:</w:t>
      </w:r>
    </w:p>
    <w:p w14:paraId="0E300C0A" w14:textId="77777777" w:rsidR="00FB5D17" w:rsidRPr="00B21DEB" w:rsidRDefault="00FB5D17" w:rsidP="00B21DEB">
      <w:pPr>
        <w:pStyle w:val="Bullets"/>
        <w:ind w:left="709"/>
      </w:pPr>
      <w:r w:rsidRPr="00B21DEB">
        <w:t>support people with disability, including accommodation and respite services</w:t>
      </w:r>
    </w:p>
    <w:p w14:paraId="644A96C0" w14:textId="77777777" w:rsidR="00FB5D17" w:rsidRPr="00B21DEB" w:rsidRDefault="00FB5D17" w:rsidP="00B21DEB">
      <w:pPr>
        <w:pStyle w:val="Bullets"/>
        <w:ind w:left="709"/>
      </w:pPr>
      <w:r w:rsidRPr="00B21DEB">
        <w:t>strengthen our communities, including multipurpose and neighbourhood centres.</w:t>
      </w:r>
    </w:p>
    <w:p w14:paraId="1C8629A8" w14:textId="77777777" w:rsidR="00FB5D17" w:rsidRPr="00B21DEB" w:rsidRDefault="00FB5D17" w:rsidP="00FB5D17">
      <w:r w:rsidRPr="00B21DEB">
        <w:t>The department’s assets also include intangible assets, primarily internally generated software and systems.</w:t>
      </w:r>
    </w:p>
    <w:p w14:paraId="61F8C6B4" w14:textId="436DF46A" w:rsidR="00FB5D17" w:rsidRPr="00B21DEB" w:rsidRDefault="00FB5D17" w:rsidP="00FB5D17">
      <w:r w:rsidRPr="00B21DEB">
        <w:t>The value of our assets by category was:</w:t>
      </w:r>
    </w:p>
    <w:p w14:paraId="7CEC869C" w14:textId="321DD368" w:rsidR="00ED0652" w:rsidRPr="00B21DEB" w:rsidRDefault="00E766AA" w:rsidP="00F66C61">
      <w:pPr>
        <w:pStyle w:val="Bullets"/>
        <w:ind w:left="709"/>
      </w:pPr>
      <w:r w:rsidRPr="00B21DEB">
        <w:t>c</w:t>
      </w:r>
      <w:r w:rsidR="00ED0652" w:rsidRPr="00B21DEB">
        <w:t xml:space="preserve">ash and cash equivalents </w:t>
      </w:r>
      <w:r w:rsidRPr="00B21DEB">
        <w:t xml:space="preserve">— </w:t>
      </w:r>
      <w:r w:rsidR="00ED0652" w:rsidRPr="00B21DEB">
        <w:t>$</w:t>
      </w:r>
      <w:r w:rsidR="00FB5D17" w:rsidRPr="00B21DEB">
        <w:t>72.041 million</w:t>
      </w:r>
    </w:p>
    <w:p w14:paraId="3FBEF285" w14:textId="44A6D02A" w:rsidR="00FB5D17" w:rsidRPr="00B21DEB" w:rsidRDefault="00E766AA" w:rsidP="00F66C61">
      <w:pPr>
        <w:pStyle w:val="Bullets"/>
        <w:ind w:left="709"/>
      </w:pPr>
      <w:r w:rsidRPr="00B21DEB">
        <w:t>r</w:t>
      </w:r>
      <w:r w:rsidR="00ED0652" w:rsidRPr="00B21DEB">
        <w:t xml:space="preserve">eceivables, current and non-current </w:t>
      </w:r>
      <w:r w:rsidRPr="00B21DEB">
        <w:t xml:space="preserve">— </w:t>
      </w:r>
      <w:r w:rsidR="00ED0652" w:rsidRPr="00B21DEB">
        <w:t>$</w:t>
      </w:r>
      <w:r w:rsidR="00FB5D17" w:rsidRPr="00B21DEB">
        <w:t>4.841 million</w:t>
      </w:r>
    </w:p>
    <w:p w14:paraId="09295D14" w14:textId="71159117" w:rsidR="00ED0652" w:rsidRPr="00B21DEB" w:rsidRDefault="00E766AA" w:rsidP="00F66C61">
      <w:pPr>
        <w:pStyle w:val="Bullets"/>
        <w:ind w:left="709"/>
      </w:pPr>
      <w:r w:rsidRPr="00B21DEB">
        <w:t>p</w:t>
      </w:r>
      <w:r w:rsidR="00ED0652" w:rsidRPr="00B21DEB">
        <w:t xml:space="preserve">roperty, plant and equipment </w:t>
      </w:r>
      <w:r w:rsidRPr="00B21DEB">
        <w:t xml:space="preserve">— </w:t>
      </w:r>
      <w:r w:rsidR="00ED0652" w:rsidRPr="00B21DEB">
        <w:t>$2</w:t>
      </w:r>
      <w:r w:rsidR="00FB5D17" w:rsidRPr="00B21DEB">
        <w:t>83</w:t>
      </w:r>
      <w:r w:rsidR="00ED0652" w:rsidRPr="00B21DEB">
        <w:t>.</w:t>
      </w:r>
      <w:r w:rsidR="00FB5D17" w:rsidRPr="00B21DEB">
        <w:t>925</w:t>
      </w:r>
      <w:r w:rsidR="00ED0652" w:rsidRPr="00B21DEB">
        <w:t xml:space="preserve"> million</w:t>
      </w:r>
    </w:p>
    <w:p w14:paraId="12E47D05" w14:textId="5F3A83BA" w:rsidR="00ED0652" w:rsidRPr="00B21DEB" w:rsidRDefault="00E766AA" w:rsidP="00F66C61">
      <w:pPr>
        <w:pStyle w:val="Bullets"/>
        <w:ind w:left="709"/>
      </w:pPr>
      <w:r w:rsidRPr="00B21DEB">
        <w:t>i</w:t>
      </w:r>
      <w:r w:rsidR="00ED0652" w:rsidRPr="00B21DEB">
        <w:t xml:space="preserve">ntangibles </w:t>
      </w:r>
      <w:r w:rsidRPr="00B21DEB">
        <w:t xml:space="preserve">— </w:t>
      </w:r>
      <w:r w:rsidR="00ED0652" w:rsidRPr="00B21DEB">
        <w:t>$</w:t>
      </w:r>
      <w:r w:rsidR="00FB5D17" w:rsidRPr="00B21DEB">
        <w:t>3</w:t>
      </w:r>
      <w:r w:rsidR="00ED0652" w:rsidRPr="00B21DEB">
        <w:t>.</w:t>
      </w:r>
      <w:r w:rsidR="00FB5D17" w:rsidRPr="00B21DEB">
        <w:t>22</w:t>
      </w:r>
      <w:r w:rsidR="00ED0652" w:rsidRPr="00B21DEB">
        <w:t>6 million</w:t>
      </w:r>
    </w:p>
    <w:p w14:paraId="36040332" w14:textId="3D441DBD" w:rsidR="00ED0652" w:rsidRPr="00B21DEB" w:rsidRDefault="00E766AA" w:rsidP="00F66C61">
      <w:pPr>
        <w:pStyle w:val="Bullets"/>
        <w:ind w:left="709"/>
      </w:pPr>
      <w:proofErr w:type="gramStart"/>
      <w:r w:rsidRPr="00B21DEB">
        <w:t>o</w:t>
      </w:r>
      <w:r w:rsidR="00ED0652" w:rsidRPr="00B21DEB">
        <w:t>ther  assets</w:t>
      </w:r>
      <w:proofErr w:type="gramEnd"/>
      <w:r w:rsidR="00ED0652" w:rsidRPr="00B21DEB">
        <w:t xml:space="preserve"> </w:t>
      </w:r>
      <w:r w:rsidRPr="00B21DEB">
        <w:t xml:space="preserve">— </w:t>
      </w:r>
      <w:r w:rsidR="00ED0652" w:rsidRPr="00B21DEB">
        <w:t>$</w:t>
      </w:r>
      <w:r w:rsidR="00FB5D17" w:rsidRPr="00B21DEB">
        <w:t>2</w:t>
      </w:r>
      <w:r w:rsidR="00ED0652" w:rsidRPr="00B21DEB">
        <w:t>.</w:t>
      </w:r>
      <w:r w:rsidR="00FB5D17" w:rsidRPr="00B21DEB">
        <w:t>428</w:t>
      </w:r>
      <w:r w:rsidR="00ED0652" w:rsidRPr="00B21DEB">
        <w:t xml:space="preserve"> million</w:t>
      </w:r>
      <w:r w:rsidRPr="00B21DEB">
        <w:t>.</w:t>
      </w:r>
    </w:p>
    <w:p w14:paraId="52FB69C2" w14:textId="11F8086B" w:rsidR="00ED0652" w:rsidRPr="00B21DEB" w:rsidRDefault="00ED0652" w:rsidP="00ED0652">
      <w:r w:rsidRPr="00B21DEB">
        <w:t>The department’s cash at bank balance includes a cash-fund investment established with Queensland Treasury Corporation for the Elderly Parent Carer Innovation Initiative. The balance of the cash-fund investment as at 30 June 20</w:t>
      </w:r>
      <w:r w:rsidR="00FB5D17" w:rsidRPr="00B21DEB">
        <w:t>20</w:t>
      </w:r>
      <w:r w:rsidRPr="00B21DEB">
        <w:t xml:space="preserve"> was $0.</w:t>
      </w:r>
      <w:r w:rsidR="00FB5D17" w:rsidRPr="00B21DEB">
        <w:t>381</w:t>
      </w:r>
      <w:r w:rsidRPr="00B21DEB">
        <w:t xml:space="preserve"> million.</w:t>
      </w:r>
    </w:p>
    <w:p w14:paraId="12151417" w14:textId="77777777" w:rsidR="00ED0652" w:rsidRPr="00B21DEB" w:rsidRDefault="00ED0652" w:rsidP="00743353">
      <w:pPr>
        <w:pStyle w:val="Heading3"/>
      </w:pPr>
      <w:r w:rsidRPr="00B21DEB">
        <w:t>Liabilities</w:t>
      </w:r>
    </w:p>
    <w:p w14:paraId="4DB07D50" w14:textId="77777777" w:rsidR="00ED0652" w:rsidRPr="00B21DEB" w:rsidRDefault="00ED0652" w:rsidP="00ED0652">
      <w:r w:rsidRPr="00B21DEB">
        <w:t>Our liabilities consist primarily of payables for service procurement, trade creditors and provisions for employee entitlements.</w:t>
      </w:r>
    </w:p>
    <w:p w14:paraId="06C4406E" w14:textId="5AD1993F" w:rsidR="00ED0652" w:rsidRPr="00B21DEB" w:rsidRDefault="00ED0652" w:rsidP="00ED0652">
      <w:r w:rsidRPr="00B21DEB">
        <w:t>Our total liabilities as at 30 June 20</w:t>
      </w:r>
      <w:r w:rsidR="00FB5D17" w:rsidRPr="00B21DEB">
        <w:t>20</w:t>
      </w:r>
      <w:r w:rsidRPr="00B21DEB">
        <w:t xml:space="preserve"> were $</w:t>
      </w:r>
      <w:r w:rsidR="00FB5D17" w:rsidRPr="00B21DEB">
        <w:t>42</w:t>
      </w:r>
      <w:r w:rsidRPr="00B21DEB">
        <w:t>.</w:t>
      </w:r>
      <w:r w:rsidR="00FB5D17" w:rsidRPr="00B21DEB">
        <w:t>770</w:t>
      </w:r>
      <w:r w:rsidRPr="00B21DEB">
        <w:t xml:space="preserve"> million. Liabilities by category were:</w:t>
      </w:r>
    </w:p>
    <w:p w14:paraId="31E871B0" w14:textId="1C0375FF" w:rsidR="00ED0652" w:rsidRPr="00B21DEB" w:rsidRDefault="00E766AA" w:rsidP="00F66C61">
      <w:pPr>
        <w:pStyle w:val="Bullets"/>
        <w:ind w:left="709"/>
      </w:pPr>
      <w:r w:rsidRPr="00B21DEB">
        <w:t>p</w:t>
      </w:r>
      <w:r w:rsidR="00ED0652" w:rsidRPr="00B21DEB">
        <w:t xml:space="preserve">ayables, current and non-current </w:t>
      </w:r>
      <w:r w:rsidRPr="00B21DEB">
        <w:t xml:space="preserve">— </w:t>
      </w:r>
      <w:r w:rsidR="00ED0652" w:rsidRPr="00B21DEB">
        <w:t>$3</w:t>
      </w:r>
      <w:r w:rsidR="00FB5D17" w:rsidRPr="00B21DEB">
        <w:t>2</w:t>
      </w:r>
      <w:r w:rsidR="00ED0652" w:rsidRPr="00B21DEB">
        <w:t>.</w:t>
      </w:r>
      <w:r w:rsidR="00FB5D17" w:rsidRPr="00B21DEB">
        <w:t>599</w:t>
      </w:r>
      <w:r w:rsidR="00ED0652" w:rsidRPr="00B21DEB">
        <w:t xml:space="preserve"> million</w:t>
      </w:r>
    </w:p>
    <w:p w14:paraId="3D5E297B" w14:textId="62ABE5F9" w:rsidR="00ED0652" w:rsidRPr="00B21DEB" w:rsidRDefault="00E766AA" w:rsidP="00F66C61">
      <w:pPr>
        <w:pStyle w:val="Bullets"/>
        <w:ind w:left="709"/>
      </w:pPr>
      <w:r w:rsidRPr="00B21DEB">
        <w:t>a</w:t>
      </w:r>
      <w:r w:rsidR="00ED0652" w:rsidRPr="00B21DEB">
        <w:t xml:space="preserve">ccrued employee benefits </w:t>
      </w:r>
      <w:r w:rsidRPr="00B21DEB">
        <w:t xml:space="preserve">— </w:t>
      </w:r>
      <w:r w:rsidR="00ED0652" w:rsidRPr="00B21DEB">
        <w:t>$</w:t>
      </w:r>
      <w:r w:rsidR="00FB5D17" w:rsidRPr="00B21DEB">
        <w:t>7</w:t>
      </w:r>
      <w:r w:rsidR="00ED0652" w:rsidRPr="00B21DEB">
        <w:t>.6</w:t>
      </w:r>
      <w:r w:rsidR="00FB5D17" w:rsidRPr="00B21DEB">
        <w:t>19</w:t>
      </w:r>
      <w:r w:rsidR="00ED0652" w:rsidRPr="00B21DEB">
        <w:t xml:space="preserve"> million</w:t>
      </w:r>
    </w:p>
    <w:p w14:paraId="606A2488" w14:textId="2C52D03D" w:rsidR="00ED0652" w:rsidRPr="00B21DEB" w:rsidRDefault="00E766AA" w:rsidP="00F66C61">
      <w:pPr>
        <w:pStyle w:val="Bullets"/>
        <w:ind w:left="709"/>
      </w:pPr>
      <w:r w:rsidRPr="00B21DEB">
        <w:t>p</w:t>
      </w:r>
      <w:r w:rsidR="00ED0652" w:rsidRPr="00B21DEB">
        <w:t xml:space="preserve">rovisions </w:t>
      </w:r>
      <w:r w:rsidRPr="00B21DEB">
        <w:t xml:space="preserve">— </w:t>
      </w:r>
      <w:r w:rsidR="00ED0652" w:rsidRPr="00B21DEB">
        <w:t>$</w:t>
      </w:r>
      <w:r w:rsidR="00FB5D17" w:rsidRPr="00B21DEB">
        <w:t>2</w:t>
      </w:r>
      <w:r w:rsidR="00ED0652" w:rsidRPr="00B21DEB">
        <w:t>.</w:t>
      </w:r>
      <w:r w:rsidR="00FB5D17" w:rsidRPr="00B21DEB">
        <w:t>501</w:t>
      </w:r>
      <w:r w:rsidR="00ED0652" w:rsidRPr="00B21DEB">
        <w:t xml:space="preserve"> million</w:t>
      </w:r>
    </w:p>
    <w:p w14:paraId="63084EDE" w14:textId="7935B725" w:rsidR="00ED0652" w:rsidRPr="00B21DEB" w:rsidRDefault="00FB5D17" w:rsidP="00B21DEB">
      <w:pPr>
        <w:pStyle w:val="Bullets"/>
        <w:spacing w:after="142"/>
        <w:ind w:left="709"/>
      </w:pPr>
      <w:r w:rsidRPr="00B21DEB">
        <w:t xml:space="preserve">lease </w:t>
      </w:r>
      <w:r w:rsidR="00ED0652" w:rsidRPr="00B21DEB">
        <w:t>liabilities – $</w:t>
      </w:r>
      <w:r w:rsidRPr="00B21DEB">
        <w:t>0</w:t>
      </w:r>
      <w:r w:rsidR="00ED0652" w:rsidRPr="00B21DEB">
        <w:t>.0</w:t>
      </w:r>
      <w:r w:rsidRPr="00B21DEB">
        <w:t>51</w:t>
      </w:r>
      <w:r w:rsidR="00ED0652" w:rsidRPr="00B21DEB">
        <w:t xml:space="preserve"> million</w:t>
      </w:r>
      <w:r w:rsidR="00E766AA" w:rsidRPr="00B21DEB">
        <w:t>.</w:t>
      </w:r>
    </w:p>
    <w:p w14:paraId="6D7D36E2" w14:textId="77777777" w:rsidR="00ED0652" w:rsidRPr="00B21DEB" w:rsidRDefault="00ED0652" w:rsidP="00743353">
      <w:pPr>
        <w:pStyle w:val="Heading3"/>
      </w:pPr>
      <w:r w:rsidRPr="00B21DEB">
        <w:t>National Disability Insurance Scheme</w:t>
      </w:r>
    </w:p>
    <w:p w14:paraId="771690CD" w14:textId="77777777" w:rsidR="00FC0D8F" w:rsidRPr="00B21DEB" w:rsidRDefault="00FC0D8F" w:rsidP="00FC0D8F">
      <w:pPr>
        <w:rPr>
          <w:lang w:val="en-US"/>
        </w:rPr>
      </w:pPr>
      <w:r w:rsidRPr="00B21DEB">
        <w:rPr>
          <w:lang w:val="en-US"/>
        </w:rPr>
        <w:t xml:space="preserve">The NDIS has been available to all Queenslanders from 1 July 2019 for eligible people with disability aged up to 65 years. </w:t>
      </w:r>
    </w:p>
    <w:p w14:paraId="203B255D" w14:textId="3627C9EB" w:rsidR="00ED0652" w:rsidRPr="00B21DEB" w:rsidRDefault="00ED0652">
      <w:pPr>
        <w:spacing w:after="160"/>
        <w:sectPr w:rsidR="00ED0652" w:rsidRPr="00B21DEB" w:rsidSect="005C101B">
          <w:pgSz w:w="11906" w:h="16838"/>
          <w:pgMar w:top="709" w:right="1134" w:bottom="425" w:left="1440" w:header="709" w:footer="709" w:gutter="0"/>
          <w:cols w:space="708"/>
          <w:docGrid w:linePitch="360"/>
        </w:sectPr>
      </w:pPr>
    </w:p>
    <w:p w14:paraId="7EA27E62" w14:textId="7926615E" w:rsidR="00ED0652" w:rsidRPr="00B21DEB" w:rsidRDefault="007F28D3" w:rsidP="00743353">
      <w:pPr>
        <w:pStyle w:val="Heading3"/>
      </w:pPr>
      <w:r w:rsidRPr="00B21DEB">
        <w:lastRenderedPageBreak/>
        <w:t xml:space="preserve">Administered </w:t>
      </w:r>
      <w:r w:rsidR="00ED0652" w:rsidRPr="00B21DEB">
        <w:t>Payments</w:t>
      </w:r>
    </w:p>
    <w:p w14:paraId="64893379" w14:textId="77777777" w:rsidR="002A529E" w:rsidRPr="00B21DEB" w:rsidRDefault="002A529E" w:rsidP="002A529E">
      <w:r w:rsidRPr="00B21DEB">
        <w:t>In 2019-20, on behalf of the Queensland Government, we administered total payments of $2,339.769 million including:</w:t>
      </w:r>
    </w:p>
    <w:p w14:paraId="7E88947A" w14:textId="77777777" w:rsidR="002A529E" w:rsidRPr="00B21DEB" w:rsidRDefault="002A529E" w:rsidP="0013426D">
      <w:pPr>
        <w:pStyle w:val="Bullets"/>
        <w:numPr>
          <w:ilvl w:val="0"/>
          <w:numId w:val="5"/>
        </w:numPr>
      </w:pPr>
      <w:r w:rsidRPr="00B21DEB">
        <w:t xml:space="preserve">concession payments of $682.904 million for electricity and reticulated natural gas, rates and water subsidies, electricity for life support, home energy emergency assistance and asset ownership electricity dividend </w:t>
      </w:r>
    </w:p>
    <w:p w14:paraId="58B4FF42" w14:textId="77777777" w:rsidR="002A529E" w:rsidRPr="00B21DEB" w:rsidRDefault="002A529E" w:rsidP="0013426D">
      <w:pPr>
        <w:pStyle w:val="Bullets"/>
        <w:numPr>
          <w:ilvl w:val="0"/>
          <w:numId w:val="5"/>
        </w:numPr>
      </w:pPr>
      <w:r w:rsidRPr="00B21DEB">
        <w:t>payments of $85.920 million for electricity concessions to small and medium businesses impacted by the COVID-19 pandemic</w:t>
      </w:r>
    </w:p>
    <w:p w14:paraId="32B17965" w14:textId="77777777" w:rsidR="002A529E" w:rsidRPr="00B21DEB" w:rsidRDefault="002A529E" w:rsidP="0013426D">
      <w:pPr>
        <w:pStyle w:val="Bullets"/>
        <w:numPr>
          <w:ilvl w:val="0"/>
          <w:numId w:val="5"/>
        </w:numPr>
      </w:pPr>
      <w:r w:rsidRPr="00B21DEB">
        <w:t xml:space="preserve">payments of $1,544.285 million for the transition of clients to the NDIS </w:t>
      </w:r>
    </w:p>
    <w:p w14:paraId="5D8AD92D" w14:textId="77777777" w:rsidR="002A529E" w:rsidRPr="00B21DEB" w:rsidRDefault="002A529E" w:rsidP="0013426D">
      <w:pPr>
        <w:pStyle w:val="Bullets"/>
        <w:numPr>
          <w:ilvl w:val="0"/>
          <w:numId w:val="5"/>
        </w:numPr>
      </w:pPr>
      <w:r w:rsidRPr="00B21DEB">
        <w:t>payments of $15.108 million for natural disasters on behalf of the Queensland and Australian governments for grants for emergency assistance, essential household contents, structural assistance, and the Essential Services Safety and Reconnection Scheme</w:t>
      </w:r>
    </w:p>
    <w:p w14:paraId="32BA8A1C" w14:textId="77777777" w:rsidR="002A529E" w:rsidRPr="00B21DEB" w:rsidRDefault="002A529E" w:rsidP="0013426D">
      <w:pPr>
        <w:pStyle w:val="Bullets"/>
        <w:numPr>
          <w:ilvl w:val="0"/>
          <w:numId w:val="5"/>
        </w:numPr>
      </w:pPr>
      <w:r w:rsidRPr="00B21DEB">
        <w:t>administrative costs of $11.552 million directly attributable to Community Recovery activities.</w:t>
      </w:r>
    </w:p>
    <w:p w14:paraId="4E25FD27" w14:textId="564FC835" w:rsidR="000A422B" w:rsidRPr="00B21DEB" w:rsidRDefault="002A529E" w:rsidP="002A529E">
      <w:r w:rsidRPr="00B21DEB">
        <w:t>Income and expenditure on these items is accounted for separately from our operating accounts. Variances between budget and actual results are explained in the</w:t>
      </w:r>
      <w:r w:rsidR="00175D1A">
        <w:t xml:space="preserve"> financial statements.</w:t>
      </w:r>
    </w:p>
    <w:p w14:paraId="2EBDA5C0" w14:textId="77777777" w:rsidR="002A529E" w:rsidRPr="00B21DEB" w:rsidRDefault="002A529E" w:rsidP="00743353">
      <w:pPr>
        <w:pStyle w:val="Heading3"/>
      </w:pPr>
      <w:r w:rsidRPr="00B21DEB">
        <w:t>Financial Risk Management</w:t>
      </w:r>
    </w:p>
    <w:p w14:paraId="3C8C76E4" w14:textId="60091D5E" w:rsidR="002A529E" w:rsidRPr="00B21DEB" w:rsidRDefault="002A529E" w:rsidP="002A529E">
      <w:r w:rsidRPr="00B21DEB">
        <w:t>The department manages financial risks and liabilities by reviewing financial performance through the corporate governance framework. To assist in managing the department’s risks, the departmental Audit and Risk Committee oversees audit activities, audit recommendations, financial reporting, internal controls and compliance. For more information on our financial performance, refer to the financial statements</w:t>
      </w:r>
      <w:r w:rsidR="00FE6DFC" w:rsidRPr="00B21DEB">
        <w:t>.</w:t>
      </w:r>
      <w:r w:rsidRPr="00B21DEB">
        <w:t xml:space="preserve"> </w:t>
      </w:r>
    </w:p>
    <w:p w14:paraId="03F38D98" w14:textId="77777777" w:rsidR="002A529E" w:rsidRPr="00B21DEB" w:rsidRDefault="002A529E" w:rsidP="002A529E"/>
    <w:p w14:paraId="318BC06F" w14:textId="77777777" w:rsidR="002A529E" w:rsidRPr="00B21DEB" w:rsidRDefault="002A529E" w:rsidP="002A529E">
      <w:pPr>
        <w:sectPr w:rsidR="002A529E" w:rsidRPr="00B21DEB" w:rsidSect="005C101B">
          <w:pgSz w:w="11906" w:h="16838"/>
          <w:pgMar w:top="709" w:right="1134" w:bottom="425" w:left="1440" w:header="709" w:footer="709" w:gutter="0"/>
          <w:cols w:space="708"/>
          <w:docGrid w:linePitch="360"/>
        </w:sectPr>
      </w:pPr>
    </w:p>
    <w:p w14:paraId="60ACDB3C" w14:textId="77777777" w:rsidR="00ED0652" w:rsidRPr="00B21DEB" w:rsidRDefault="00ED0652" w:rsidP="00743353">
      <w:pPr>
        <w:pStyle w:val="Heading3"/>
      </w:pPr>
      <w:r w:rsidRPr="00B21DEB">
        <w:lastRenderedPageBreak/>
        <w:t>Service Delivery Statement measures</w:t>
      </w:r>
    </w:p>
    <w:p w14:paraId="62637924" w14:textId="77777777" w:rsidR="00ED0652" w:rsidRPr="00B21DEB" w:rsidRDefault="00ED0652" w:rsidP="00ED0652">
      <w:r w:rsidRPr="00B21DEB">
        <w:t>The following scorecards summarise our performance (quantifiable measures and qualitative achievements) against the performance indicators in the department’s Service Delivery Statement 20</w:t>
      </w:r>
      <w:r w:rsidR="000A422B" w:rsidRPr="00B21DEB">
        <w:t>19</w:t>
      </w:r>
      <w:r w:rsidRPr="00B21DEB">
        <w:t>–</w:t>
      </w:r>
      <w:r w:rsidR="000A422B" w:rsidRPr="00B21DEB">
        <w:t>20</w:t>
      </w:r>
      <w:r w:rsidRPr="00B21DEB">
        <w:t>.</w:t>
      </w:r>
    </w:p>
    <w:tbl>
      <w:tblPr>
        <w:tblW w:w="9356" w:type="dxa"/>
        <w:tblInd w:w="-5" w:type="dxa"/>
        <w:tblLayout w:type="fixed"/>
        <w:tblCellMar>
          <w:left w:w="0" w:type="dxa"/>
          <w:right w:w="0" w:type="dxa"/>
        </w:tblCellMar>
        <w:tblLook w:val="01E0" w:firstRow="1" w:lastRow="1" w:firstColumn="1" w:lastColumn="1" w:noHBand="0" w:noVBand="0"/>
      </w:tblPr>
      <w:tblGrid>
        <w:gridCol w:w="2711"/>
        <w:gridCol w:w="1843"/>
        <w:gridCol w:w="2693"/>
        <w:gridCol w:w="2109"/>
      </w:tblGrid>
      <w:tr w:rsidR="000A422B" w:rsidRPr="00B21DEB" w14:paraId="7163BDC8" w14:textId="77777777" w:rsidTr="00A75C62">
        <w:trPr>
          <w:trHeight w:hRule="exact" w:val="856"/>
          <w:tblHeader/>
        </w:trPr>
        <w:tc>
          <w:tcPr>
            <w:tcW w:w="2711" w:type="dxa"/>
            <w:tcBorders>
              <w:top w:val="single" w:sz="4" w:space="0" w:color="000000"/>
              <w:left w:val="single" w:sz="4" w:space="0" w:color="000000"/>
              <w:bottom w:val="single" w:sz="4" w:space="0" w:color="000000"/>
              <w:right w:val="single" w:sz="4" w:space="0" w:color="000000"/>
            </w:tcBorders>
          </w:tcPr>
          <w:p w14:paraId="1D2B4CF2" w14:textId="77777777" w:rsidR="000A422B" w:rsidRPr="00B21DEB" w:rsidRDefault="000A422B" w:rsidP="005F0511">
            <w:pPr>
              <w:pStyle w:val="TableParagraph"/>
              <w:spacing w:before="54"/>
              <w:jc w:val="center"/>
              <w:rPr>
                <w:rFonts w:ascii="Arial" w:eastAsia="Arial" w:hAnsi="Arial" w:cs="Arial"/>
                <w:b/>
              </w:rPr>
            </w:pPr>
            <w:r w:rsidRPr="00B21DEB">
              <w:rPr>
                <w:rFonts w:ascii="Arial" w:eastAsia="Arial" w:hAnsi="Arial" w:cs="Arial"/>
                <w:b/>
              </w:rPr>
              <w:t xml:space="preserve">Disability Services </w:t>
            </w:r>
          </w:p>
        </w:tc>
        <w:tc>
          <w:tcPr>
            <w:tcW w:w="1843" w:type="dxa"/>
            <w:tcBorders>
              <w:top w:val="single" w:sz="4" w:space="0" w:color="000000"/>
              <w:left w:val="single" w:sz="4" w:space="0" w:color="000000"/>
              <w:bottom w:val="single" w:sz="4" w:space="0" w:color="000000"/>
              <w:right w:val="single" w:sz="4" w:space="0" w:color="000000"/>
            </w:tcBorders>
          </w:tcPr>
          <w:p w14:paraId="2133A4DA" w14:textId="77777777" w:rsidR="000A422B" w:rsidRPr="00B21DEB" w:rsidRDefault="000A422B" w:rsidP="005F0511">
            <w:pPr>
              <w:pStyle w:val="TableParagraph"/>
              <w:spacing w:before="54"/>
              <w:jc w:val="center"/>
              <w:rPr>
                <w:rFonts w:ascii="Arial" w:eastAsia="Arial" w:hAnsi="Arial" w:cs="Arial"/>
                <w:b/>
              </w:rPr>
            </w:pPr>
            <w:r w:rsidRPr="00B21DEB">
              <w:rPr>
                <w:rFonts w:ascii="Arial" w:eastAsia="Arial" w:hAnsi="Arial" w:cs="Arial"/>
                <w:b/>
              </w:rPr>
              <w:t>Notes</w:t>
            </w:r>
          </w:p>
        </w:tc>
        <w:tc>
          <w:tcPr>
            <w:tcW w:w="2693" w:type="dxa"/>
            <w:tcBorders>
              <w:top w:val="single" w:sz="4" w:space="0" w:color="000000"/>
              <w:left w:val="single" w:sz="4" w:space="0" w:color="000000"/>
              <w:bottom w:val="single" w:sz="4" w:space="0" w:color="000000"/>
              <w:right w:val="single" w:sz="4" w:space="0" w:color="000000"/>
            </w:tcBorders>
          </w:tcPr>
          <w:p w14:paraId="5547F6DE" w14:textId="4B7357A1" w:rsidR="000A422B" w:rsidRPr="00B21DEB" w:rsidRDefault="000A422B" w:rsidP="005F0511">
            <w:pPr>
              <w:pStyle w:val="TableParagraph"/>
              <w:spacing w:before="54"/>
              <w:jc w:val="center"/>
              <w:rPr>
                <w:rFonts w:ascii="Arial" w:eastAsia="Arial" w:hAnsi="Arial" w:cs="Arial"/>
                <w:b/>
              </w:rPr>
            </w:pPr>
            <w:r w:rsidRPr="00B21DEB">
              <w:rPr>
                <w:rFonts w:ascii="Arial" w:eastAsia="Arial" w:hAnsi="Arial" w:cs="Arial"/>
                <w:b/>
              </w:rPr>
              <w:t>2019</w:t>
            </w:r>
            <w:r w:rsidR="000C6C6C" w:rsidRPr="00B21DEB">
              <w:rPr>
                <w:rFonts w:ascii="Arial" w:eastAsia="Arial" w:hAnsi="Arial" w:cs="Arial"/>
                <w:b/>
              </w:rPr>
              <w:t>–</w:t>
            </w:r>
            <w:r w:rsidRPr="00B21DEB">
              <w:rPr>
                <w:rFonts w:ascii="Arial" w:eastAsia="Arial" w:hAnsi="Arial" w:cs="Arial"/>
                <w:b/>
              </w:rPr>
              <w:t>20</w:t>
            </w:r>
          </w:p>
          <w:p w14:paraId="44D67AEA" w14:textId="77777777" w:rsidR="000A422B" w:rsidRPr="00B21DEB" w:rsidRDefault="000A422B" w:rsidP="005F0511">
            <w:pPr>
              <w:pStyle w:val="TableParagraph"/>
              <w:spacing w:before="54"/>
              <w:jc w:val="center"/>
              <w:rPr>
                <w:rFonts w:ascii="Arial" w:eastAsia="Arial" w:hAnsi="Arial" w:cs="Arial"/>
                <w:b/>
              </w:rPr>
            </w:pPr>
            <w:r w:rsidRPr="00B21DEB">
              <w:rPr>
                <w:rFonts w:ascii="Arial" w:eastAsia="Arial" w:hAnsi="Arial" w:cs="Arial"/>
                <w:b/>
              </w:rPr>
              <w:t>Target/estimate</w:t>
            </w:r>
          </w:p>
        </w:tc>
        <w:tc>
          <w:tcPr>
            <w:tcW w:w="2109" w:type="dxa"/>
            <w:tcBorders>
              <w:top w:val="single" w:sz="4" w:space="0" w:color="000000"/>
              <w:left w:val="single" w:sz="4" w:space="0" w:color="000000"/>
              <w:bottom w:val="single" w:sz="4" w:space="0" w:color="000000"/>
              <w:right w:val="single" w:sz="4" w:space="0" w:color="000000"/>
            </w:tcBorders>
          </w:tcPr>
          <w:p w14:paraId="73363BCC" w14:textId="22F5A8D0" w:rsidR="000A422B" w:rsidRPr="00B21DEB" w:rsidRDefault="000A422B" w:rsidP="005F0511">
            <w:pPr>
              <w:pStyle w:val="TableParagraph"/>
              <w:spacing w:before="54"/>
              <w:jc w:val="center"/>
              <w:rPr>
                <w:rFonts w:ascii="Arial" w:eastAsia="Arial" w:hAnsi="Arial" w:cs="Arial"/>
                <w:b/>
              </w:rPr>
            </w:pPr>
            <w:r w:rsidRPr="00B21DEB">
              <w:rPr>
                <w:rFonts w:ascii="Arial" w:eastAsia="Arial" w:hAnsi="Arial" w:cs="Arial"/>
                <w:b/>
              </w:rPr>
              <w:t>2019</w:t>
            </w:r>
            <w:r w:rsidR="000C6C6C" w:rsidRPr="00B21DEB">
              <w:rPr>
                <w:rFonts w:ascii="Arial" w:eastAsia="Arial" w:hAnsi="Arial" w:cs="Arial"/>
                <w:b/>
              </w:rPr>
              <w:t>–</w:t>
            </w:r>
            <w:r w:rsidRPr="00B21DEB">
              <w:rPr>
                <w:rFonts w:ascii="Arial" w:eastAsia="Arial" w:hAnsi="Arial" w:cs="Arial"/>
                <w:b/>
              </w:rPr>
              <w:t>20</w:t>
            </w:r>
          </w:p>
          <w:p w14:paraId="02A0E452" w14:textId="77777777" w:rsidR="000A422B" w:rsidRPr="00B21DEB" w:rsidRDefault="000A422B" w:rsidP="005F0511">
            <w:pPr>
              <w:pStyle w:val="TableParagraph"/>
              <w:spacing w:before="54"/>
              <w:jc w:val="center"/>
              <w:rPr>
                <w:rFonts w:ascii="Arial" w:eastAsia="Arial" w:hAnsi="Arial" w:cs="Arial"/>
                <w:b/>
              </w:rPr>
            </w:pPr>
            <w:r w:rsidRPr="00B21DEB">
              <w:rPr>
                <w:rFonts w:ascii="Arial" w:eastAsia="Arial" w:hAnsi="Arial" w:cs="Arial"/>
                <w:b/>
              </w:rPr>
              <w:t>Actual</w:t>
            </w:r>
          </w:p>
        </w:tc>
      </w:tr>
      <w:tr w:rsidR="000A422B" w:rsidRPr="00B21DEB" w14:paraId="59D6F2E7" w14:textId="77777777" w:rsidTr="00743353">
        <w:trPr>
          <w:trHeight w:hRule="exact" w:val="2696"/>
        </w:trPr>
        <w:tc>
          <w:tcPr>
            <w:tcW w:w="2711" w:type="dxa"/>
            <w:tcBorders>
              <w:top w:val="single" w:sz="4" w:space="0" w:color="000000"/>
              <w:left w:val="single" w:sz="4" w:space="0" w:color="000000"/>
              <w:bottom w:val="single" w:sz="4" w:space="0" w:color="000000"/>
              <w:right w:val="single" w:sz="4" w:space="0" w:color="000000"/>
            </w:tcBorders>
          </w:tcPr>
          <w:p w14:paraId="1A749101" w14:textId="77777777" w:rsidR="000A422B" w:rsidRPr="00B21DEB" w:rsidRDefault="000A422B" w:rsidP="005F0511">
            <w:pPr>
              <w:pStyle w:val="TableTextBold"/>
              <w:rPr>
                <w:rFonts w:cs="Arial"/>
                <w:sz w:val="22"/>
                <w:szCs w:val="22"/>
              </w:rPr>
            </w:pPr>
            <w:r w:rsidRPr="00B21DEB">
              <w:rPr>
                <w:rFonts w:cs="Arial"/>
                <w:sz w:val="22"/>
                <w:szCs w:val="22"/>
              </w:rPr>
              <w:t>Service standards</w:t>
            </w:r>
          </w:p>
          <w:p w14:paraId="04EB9AC6" w14:textId="77777777" w:rsidR="000A422B" w:rsidRPr="00B21DEB" w:rsidRDefault="000A422B" w:rsidP="005F0511">
            <w:pPr>
              <w:pStyle w:val="TableTextItalics"/>
              <w:rPr>
                <w:rFonts w:cs="Arial"/>
                <w:sz w:val="22"/>
                <w:szCs w:val="22"/>
              </w:rPr>
            </w:pPr>
            <w:r w:rsidRPr="00B21DEB">
              <w:rPr>
                <w:rFonts w:cs="Arial"/>
                <w:sz w:val="22"/>
                <w:szCs w:val="22"/>
              </w:rPr>
              <w:t>Effectiveness measure</w:t>
            </w:r>
          </w:p>
          <w:p w14:paraId="5D9D5560" w14:textId="77777777" w:rsidR="000A422B" w:rsidRPr="00B21DEB" w:rsidRDefault="000A422B" w:rsidP="005F0511">
            <w:pPr>
              <w:pStyle w:val="TableParagraph"/>
              <w:spacing w:before="54"/>
              <w:rPr>
                <w:rFonts w:ascii="Arial" w:eastAsia="Arial" w:hAnsi="Arial" w:cs="Arial"/>
              </w:rPr>
            </w:pPr>
            <w:r w:rsidRPr="00B21DEB">
              <w:rPr>
                <w:rFonts w:ascii="Arial" w:hAnsi="Arial" w:cs="Arial"/>
              </w:rPr>
              <w:t>Number of people with a disability receiving departmental accommodation support services</w:t>
            </w:r>
          </w:p>
        </w:tc>
        <w:tc>
          <w:tcPr>
            <w:tcW w:w="1843" w:type="dxa"/>
            <w:tcBorders>
              <w:top w:val="single" w:sz="4" w:space="0" w:color="000000"/>
              <w:left w:val="single" w:sz="4" w:space="0" w:color="000000"/>
              <w:bottom w:val="single" w:sz="4" w:space="0" w:color="000000"/>
              <w:right w:val="single" w:sz="4" w:space="0" w:color="000000"/>
            </w:tcBorders>
          </w:tcPr>
          <w:p w14:paraId="77E12D99" w14:textId="77777777" w:rsidR="000A422B" w:rsidRPr="00B21DEB" w:rsidRDefault="000A422B" w:rsidP="005F0511">
            <w:pPr>
              <w:pStyle w:val="TableParagraph"/>
              <w:spacing w:before="54"/>
              <w:jc w:val="center"/>
              <w:rPr>
                <w:rFonts w:ascii="Arial" w:eastAsia="Arial" w:hAnsi="Arial" w:cs="Arial"/>
              </w:rPr>
            </w:pPr>
            <w:r w:rsidRPr="00B21DEB">
              <w:rPr>
                <w:rFonts w:ascii="Arial" w:eastAsia="Arial" w:hAnsi="Arial" w:cs="Arial"/>
              </w:rPr>
              <w:t>(1)</w:t>
            </w:r>
          </w:p>
        </w:tc>
        <w:tc>
          <w:tcPr>
            <w:tcW w:w="2693" w:type="dxa"/>
            <w:tcBorders>
              <w:top w:val="single" w:sz="4" w:space="0" w:color="000000"/>
              <w:left w:val="single" w:sz="4" w:space="0" w:color="000000"/>
              <w:bottom w:val="single" w:sz="4" w:space="0" w:color="000000"/>
              <w:right w:val="single" w:sz="4" w:space="0" w:color="000000"/>
            </w:tcBorders>
          </w:tcPr>
          <w:p w14:paraId="149F2BBD" w14:textId="77777777" w:rsidR="000A422B" w:rsidRPr="00B21DEB" w:rsidRDefault="000A422B" w:rsidP="005F0511">
            <w:pPr>
              <w:pStyle w:val="TableParagraph"/>
              <w:spacing w:before="54"/>
              <w:jc w:val="center"/>
              <w:rPr>
                <w:rFonts w:ascii="Arial" w:eastAsia="Arial" w:hAnsi="Arial" w:cs="Arial"/>
              </w:rPr>
            </w:pPr>
            <w:r w:rsidRPr="00B21DEB">
              <w:rPr>
                <w:rFonts w:ascii="Arial" w:eastAsia="Arial" w:hAnsi="Arial" w:cs="Arial"/>
              </w:rPr>
              <w:t>1070</w:t>
            </w:r>
          </w:p>
        </w:tc>
        <w:tc>
          <w:tcPr>
            <w:tcW w:w="2109" w:type="dxa"/>
            <w:tcBorders>
              <w:top w:val="single" w:sz="4" w:space="0" w:color="000000"/>
              <w:left w:val="single" w:sz="4" w:space="0" w:color="000000"/>
              <w:bottom w:val="single" w:sz="4" w:space="0" w:color="000000"/>
              <w:right w:val="single" w:sz="4" w:space="0" w:color="000000"/>
            </w:tcBorders>
          </w:tcPr>
          <w:p w14:paraId="395DAD87" w14:textId="77777777" w:rsidR="000A422B" w:rsidRPr="00B21DEB" w:rsidRDefault="00CC0F49" w:rsidP="00743353">
            <w:pPr>
              <w:pStyle w:val="TableParagraph"/>
              <w:spacing w:before="54"/>
              <w:ind w:left="1400"/>
              <w:rPr>
                <w:rFonts w:ascii="Arial" w:eastAsia="Arial" w:hAnsi="Arial" w:cs="Arial"/>
              </w:rPr>
            </w:pPr>
            <w:r w:rsidRPr="00B21DEB">
              <w:rPr>
                <w:rFonts w:ascii="Arial" w:eastAsia="Arial" w:hAnsi="Arial" w:cs="Arial"/>
              </w:rPr>
              <w:t>881</w:t>
            </w:r>
          </w:p>
        </w:tc>
      </w:tr>
      <w:tr w:rsidR="000A422B" w:rsidRPr="00B21DEB" w14:paraId="77F02DA9" w14:textId="77777777" w:rsidTr="00743353">
        <w:trPr>
          <w:trHeight w:hRule="exact" w:val="1697"/>
        </w:trPr>
        <w:tc>
          <w:tcPr>
            <w:tcW w:w="2711" w:type="dxa"/>
            <w:tcBorders>
              <w:top w:val="single" w:sz="4" w:space="0" w:color="000000"/>
              <w:left w:val="single" w:sz="4" w:space="0" w:color="000000"/>
              <w:bottom w:val="single" w:sz="4" w:space="0" w:color="000000"/>
              <w:right w:val="single" w:sz="4" w:space="0" w:color="000000"/>
            </w:tcBorders>
          </w:tcPr>
          <w:p w14:paraId="2631601C" w14:textId="77777777" w:rsidR="000A422B" w:rsidRPr="00B21DEB" w:rsidRDefault="000A422B" w:rsidP="005F0511">
            <w:pPr>
              <w:pStyle w:val="TableTextItalics"/>
              <w:rPr>
                <w:rFonts w:cs="Arial"/>
                <w:sz w:val="22"/>
                <w:szCs w:val="22"/>
              </w:rPr>
            </w:pPr>
            <w:r w:rsidRPr="00B21DEB">
              <w:rPr>
                <w:rFonts w:cs="Arial"/>
                <w:sz w:val="22"/>
                <w:szCs w:val="22"/>
              </w:rPr>
              <w:t>Efficiency measure</w:t>
            </w:r>
          </w:p>
          <w:p w14:paraId="4F40E3FE" w14:textId="77777777" w:rsidR="000A422B" w:rsidRPr="00B21DEB" w:rsidRDefault="000A422B" w:rsidP="005F0511">
            <w:pPr>
              <w:pStyle w:val="TableParagraph"/>
              <w:spacing w:before="54"/>
              <w:rPr>
                <w:rFonts w:ascii="Arial" w:eastAsia="Arial" w:hAnsi="Arial" w:cs="Arial"/>
              </w:rPr>
            </w:pPr>
            <w:r w:rsidRPr="00B21DEB">
              <w:rPr>
                <w:rFonts w:ascii="Arial" w:hAnsi="Arial" w:cs="Arial"/>
              </w:rPr>
              <w:t>Percentage of approved accommodation support places used</w:t>
            </w:r>
          </w:p>
        </w:tc>
        <w:tc>
          <w:tcPr>
            <w:tcW w:w="1843" w:type="dxa"/>
            <w:tcBorders>
              <w:top w:val="single" w:sz="4" w:space="0" w:color="000000"/>
              <w:left w:val="single" w:sz="4" w:space="0" w:color="000000"/>
              <w:bottom w:val="single" w:sz="4" w:space="0" w:color="000000"/>
              <w:right w:val="single" w:sz="4" w:space="0" w:color="000000"/>
            </w:tcBorders>
          </w:tcPr>
          <w:p w14:paraId="07776E9A" w14:textId="77777777" w:rsidR="000A422B" w:rsidRPr="00B21DEB" w:rsidRDefault="000A422B" w:rsidP="005F0511">
            <w:pPr>
              <w:pStyle w:val="TableParagraph"/>
              <w:spacing w:before="54"/>
              <w:jc w:val="center"/>
              <w:rPr>
                <w:rFonts w:ascii="Arial" w:eastAsia="Arial" w:hAnsi="Arial" w:cs="Arial"/>
              </w:rPr>
            </w:pPr>
            <w:r w:rsidRPr="00B21DEB">
              <w:rPr>
                <w:rFonts w:ascii="Arial" w:eastAsia="Arial" w:hAnsi="Arial" w:cs="Arial"/>
              </w:rPr>
              <w:t>(2)</w:t>
            </w:r>
          </w:p>
        </w:tc>
        <w:tc>
          <w:tcPr>
            <w:tcW w:w="2693" w:type="dxa"/>
            <w:tcBorders>
              <w:top w:val="single" w:sz="4" w:space="0" w:color="000000"/>
              <w:left w:val="single" w:sz="4" w:space="0" w:color="000000"/>
              <w:bottom w:val="single" w:sz="4" w:space="0" w:color="000000"/>
              <w:right w:val="single" w:sz="4" w:space="0" w:color="000000"/>
            </w:tcBorders>
          </w:tcPr>
          <w:p w14:paraId="0BDACFEF" w14:textId="77777777" w:rsidR="000A422B" w:rsidRPr="00B21DEB" w:rsidRDefault="000A422B" w:rsidP="005F0511">
            <w:pPr>
              <w:pStyle w:val="TableParagraph"/>
              <w:spacing w:before="54"/>
              <w:jc w:val="center"/>
              <w:rPr>
                <w:rFonts w:ascii="Arial" w:eastAsia="Arial" w:hAnsi="Arial" w:cs="Arial"/>
              </w:rPr>
            </w:pPr>
            <w:r w:rsidRPr="00B21DEB">
              <w:rPr>
                <w:rFonts w:ascii="Arial" w:eastAsia="Arial" w:hAnsi="Arial" w:cs="Arial"/>
              </w:rPr>
              <w:t>80%</w:t>
            </w:r>
          </w:p>
        </w:tc>
        <w:tc>
          <w:tcPr>
            <w:tcW w:w="2109" w:type="dxa"/>
            <w:tcBorders>
              <w:top w:val="single" w:sz="4" w:space="0" w:color="000000"/>
              <w:left w:val="single" w:sz="4" w:space="0" w:color="000000"/>
              <w:bottom w:val="single" w:sz="4" w:space="0" w:color="000000"/>
              <w:right w:val="single" w:sz="4" w:space="0" w:color="000000"/>
            </w:tcBorders>
          </w:tcPr>
          <w:p w14:paraId="6467A9F6" w14:textId="77777777" w:rsidR="000A422B" w:rsidRPr="00B21DEB" w:rsidRDefault="00CC0F49" w:rsidP="00743353">
            <w:pPr>
              <w:pStyle w:val="TableParagraph"/>
              <w:spacing w:before="54"/>
              <w:ind w:left="1400"/>
              <w:rPr>
                <w:rFonts w:ascii="Arial" w:eastAsia="Arial" w:hAnsi="Arial" w:cs="Arial"/>
              </w:rPr>
            </w:pPr>
            <w:r w:rsidRPr="00B21DEB">
              <w:rPr>
                <w:rFonts w:ascii="Arial" w:eastAsia="Arial" w:hAnsi="Arial" w:cs="Arial"/>
              </w:rPr>
              <w:t>82%</w:t>
            </w:r>
          </w:p>
        </w:tc>
      </w:tr>
    </w:tbl>
    <w:p w14:paraId="5414B0CB" w14:textId="77777777" w:rsidR="000A422B" w:rsidRPr="00B21DEB" w:rsidRDefault="000A422B" w:rsidP="000A422B">
      <w:pPr>
        <w:pStyle w:val="TableParagraph"/>
        <w:spacing w:before="54"/>
        <w:rPr>
          <w:rFonts w:ascii="Arial" w:eastAsia="Arial" w:hAnsi="Arial" w:cs="Arial"/>
          <w:b/>
          <w:sz w:val="18"/>
          <w:szCs w:val="18"/>
        </w:rPr>
      </w:pPr>
      <w:r w:rsidRPr="00B21DEB">
        <w:rPr>
          <w:rFonts w:ascii="Arial" w:eastAsia="Arial" w:hAnsi="Arial" w:cs="Arial"/>
          <w:b/>
          <w:sz w:val="18"/>
          <w:szCs w:val="18"/>
        </w:rPr>
        <w:t>Notes:</w:t>
      </w:r>
    </w:p>
    <w:p w14:paraId="38CF3416" w14:textId="47729FA6" w:rsidR="00CC0F49" w:rsidRPr="00B21DEB" w:rsidRDefault="00CC0F49" w:rsidP="0013426D">
      <w:pPr>
        <w:pStyle w:val="NoteIndent"/>
        <w:numPr>
          <w:ilvl w:val="0"/>
          <w:numId w:val="25"/>
        </w:numPr>
        <w:rPr>
          <w:rFonts w:cs="Arial"/>
          <w:i/>
          <w:sz w:val="20"/>
          <w:szCs w:val="20"/>
        </w:rPr>
      </w:pPr>
      <w:r w:rsidRPr="00B21DEB">
        <w:rPr>
          <w:rFonts w:cs="Arial"/>
          <w:i/>
          <w:sz w:val="20"/>
          <w:szCs w:val="20"/>
        </w:rPr>
        <w:t>The variance between the 2019</w:t>
      </w:r>
      <w:r w:rsidR="000C6C6C" w:rsidRPr="00B21DEB">
        <w:rPr>
          <w:rFonts w:eastAsia="Arial" w:cs="Arial"/>
          <w:b/>
        </w:rPr>
        <w:t>–</w:t>
      </w:r>
      <w:r w:rsidR="00F308AB" w:rsidRPr="00B21DEB">
        <w:rPr>
          <w:rFonts w:cs="Arial"/>
          <w:i/>
          <w:sz w:val="20"/>
          <w:szCs w:val="20"/>
        </w:rPr>
        <w:t>20</w:t>
      </w:r>
      <w:r w:rsidRPr="00B21DEB">
        <w:rPr>
          <w:rFonts w:cs="Arial"/>
          <w:i/>
          <w:sz w:val="20"/>
          <w:szCs w:val="20"/>
        </w:rPr>
        <w:t xml:space="preserve"> target/estimate and the 2019</w:t>
      </w:r>
      <w:r w:rsidR="000C6C6C" w:rsidRPr="00B21DEB">
        <w:rPr>
          <w:rFonts w:eastAsia="Arial" w:cs="Arial"/>
          <w:b/>
        </w:rPr>
        <w:t>–</w:t>
      </w:r>
      <w:r w:rsidRPr="00B21DEB">
        <w:rPr>
          <w:rFonts w:cs="Arial"/>
          <w:i/>
          <w:sz w:val="20"/>
          <w:szCs w:val="20"/>
        </w:rPr>
        <w:t xml:space="preserve">20 actual was based on the available capacity negotiated with the </w:t>
      </w:r>
      <w:r w:rsidR="000C6C6C" w:rsidRPr="00B21DEB">
        <w:rPr>
          <w:rFonts w:cs="Arial"/>
          <w:i/>
          <w:sz w:val="20"/>
          <w:szCs w:val="20"/>
        </w:rPr>
        <w:t>C</w:t>
      </w:r>
      <w:r w:rsidRPr="00B21DEB">
        <w:rPr>
          <w:rFonts w:cs="Arial"/>
          <w:i/>
          <w:sz w:val="20"/>
          <w:szCs w:val="20"/>
        </w:rPr>
        <w:t xml:space="preserve">ommonwealth during the transition to the National Disability </w:t>
      </w:r>
      <w:r w:rsidR="000C6C6C" w:rsidRPr="00B21DEB">
        <w:rPr>
          <w:rFonts w:cs="Arial"/>
          <w:i/>
          <w:sz w:val="20"/>
          <w:szCs w:val="20"/>
        </w:rPr>
        <w:t xml:space="preserve">Insurance </w:t>
      </w:r>
      <w:r w:rsidRPr="00B21DEB">
        <w:rPr>
          <w:rFonts w:cs="Arial"/>
          <w:i/>
          <w:sz w:val="20"/>
          <w:szCs w:val="20"/>
        </w:rPr>
        <w:t>Scheme. Once transition occurred</w:t>
      </w:r>
      <w:r w:rsidR="000C6C6C" w:rsidRPr="00B21DEB">
        <w:rPr>
          <w:rFonts w:cs="Arial"/>
          <w:i/>
          <w:sz w:val="20"/>
          <w:szCs w:val="20"/>
        </w:rPr>
        <w:t>,</w:t>
      </w:r>
      <w:r w:rsidRPr="00B21DEB">
        <w:rPr>
          <w:rFonts w:cs="Arial"/>
          <w:i/>
          <w:sz w:val="20"/>
          <w:szCs w:val="20"/>
        </w:rPr>
        <w:t xml:space="preserve"> </w:t>
      </w:r>
      <w:r w:rsidR="00FD23AA" w:rsidRPr="00B21DEB">
        <w:rPr>
          <w:rFonts w:cs="Arial"/>
          <w:i/>
          <w:sz w:val="20"/>
          <w:szCs w:val="20"/>
        </w:rPr>
        <w:t xml:space="preserve">Disability Accommodation Respite and Forensic Services </w:t>
      </w:r>
      <w:r w:rsidRPr="00B21DEB">
        <w:rPr>
          <w:rFonts w:cs="Arial"/>
          <w:i/>
          <w:sz w:val="20"/>
          <w:szCs w:val="20"/>
        </w:rPr>
        <w:t>saw a decline in the number of people with disability accessing ongoing respite services due to exercising choice and control and use of funding flexibility to access a wide range of services not provided by the department</w:t>
      </w:r>
      <w:r w:rsidR="000C6C6C" w:rsidRPr="00B21DEB">
        <w:rPr>
          <w:rFonts w:cs="Arial"/>
          <w:i/>
          <w:sz w:val="20"/>
          <w:szCs w:val="20"/>
        </w:rPr>
        <w:t>,</w:t>
      </w:r>
      <w:r w:rsidRPr="00B21DEB">
        <w:rPr>
          <w:rFonts w:cs="Arial"/>
          <w:i/>
          <w:sz w:val="20"/>
          <w:szCs w:val="20"/>
        </w:rPr>
        <w:t xml:space="preserve"> such as in home respite. The target for this measure has been reviewed for future years in order to take in this downward trend.</w:t>
      </w:r>
    </w:p>
    <w:p w14:paraId="000E0FC1" w14:textId="13636F36" w:rsidR="00CC0F49" w:rsidRPr="00B21DEB" w:rsidRDefault="00CC0F49" w:rsidP="0013426D">
      <w:pPr>
        <w:pStyle w:val="NoteIndent"/>
        <w:numPr>
          <w:ilvl w:val="0"/>
          <w:numId w:val="25"/>
        </w:numPr>
      </w:pPr>
      <w:r w:rsidRPr="00B21DEB">
        <w:rPr>
          <w:rFonts w:cs="Arial"/>
          <w:i/>
          <w:sz w:val="20"/>
          <w:szCs w:val="20"/>
        </w:rPr>
        <w:t>The actual result for 2019</w:t>
      </w:r>
      <w:r w:rsidR="000C6C6C" w:rsidRPr="00B21DEB">
        <w:rPr>
          <w:rFonts w:eastAsia="Arial" w:cs="Arial"/>
          <w:b/>
        </w:rPr>
        <w:t>–</w:t>
      </w:r>
      <w:r w:rsidRPr="00B21DEB">
        <w:rPr>
          <w:rFonts w:cs="Arial"/>
          <w:i/>
          <w:sz w:val="20"/>
          <w:szCs w:val="20"/>
        </w:rPr>
        <w:t>20 was satisfied with the number of people receiving accommodation support services as an estimated proportion of the number of approved places, including shared living arrangements and short-term accommodation support (or respite). Usage rates below full capacity are required to enable people to trial, and enter and exit accommodation places that are well-maintained and re-equipped between usage, to ensure the wellbeing of clients and staff. Rates below full capacity are also expected as a) market growth in the number and range of supports is encouraged with the implementation of the NDIS meaning that, in particular, people may choose different types of services that provide a respite-type effect for carers (other than short-term accommodation support) and b) the department operates within the principle of competitive neutrality</w:t>
      </w:r>
      <w:r w:rsidRPr="00B21DEB">
        <w:t>.</w:t>
      </w:r>
    </w:p>
    <w:p w14:paraId="367F17D6" w14:textId="77777777" w:rsidR="00CC0F49" w:rsidRPr="00B21DEB" w:rsidRDefault="00CC0F49" w:rsidP="00CC0F49">
      <w:pPr>
        <w:pStyle w:val="NoteIndent"/>
        <w:numPr>
          <w:ilvl w:val="0"/>
          <w:numId w:val="0"/>
        </w:numPr>
        <w:ind w:left="360"/>
        <w:rPr>
          <w:rFonts w:cs="Arial"/>
          <w:i/>
          <w:color w:val="FF0000"/>
          <w:sz w:val="20"/>
          <w:szCs w:val="20"/>
        </w:rPr>
      </w:pPr>
    </w:p>
    <w:p w14:paraId="44C2337A" w14:textId="77777777" w:rsidR="00CC0F49" w:rsidRPr="00B21DEB" w:rsidRDefault="00CC0F49" w:rsidP="000A422B">
      <w:pPr>
        <w:pStyle w:val="NoteIndent"/>
        <w:numPr>
          <w:ilvl w:val="0"/>
          <w:numId w:val="0"/>
        </w:numPr>
        <w:ind w:left="360"/>
        <w:sectPr w:rsidR="00CC0F49" w:rsidRPr="00B21DEB" w:rsidSect="005C101B">
          <w:pgSz w:w="11906" w:h="16838"/>
          <w:pgMar w:top="709" w:right="1134" w:bottom="425" w:left="1440" w:header="709" w:footer="709" w:gutter="0"/>
          <w:cols w:space="708"/>
          <w:docGrid w:linePitch="360"/>
        </w:sectPr>
      </w:pPr>
    </w:p>
    <w:tbl>
      <w:tblPr>
        <w:tblW w:w="9214" w:type="dxa"/>
        <w:tblInd w:w="137" w:type="dxa"/>
        <w:tblLayout w:type="fixed"/>
        <w:tblCellMar>
          <w:left w:w="0" w:type="dxa"/>
          <w:right w:w="0" w:type="dxa"/>
        </w:tblCellMar>
        <w:tblLook w:val="01E0" w:firstRow="1" w:lastRow="1" w:firstColumn="1" w:lastColumn="1" w:noHBand="0" w:noVBand="0"/>
      </w:tblPr>
      <w:tblGrid>
        <w:gridCol w:w="2693"/>
        <w:gridCol w:w="1843"/>
        <w:gridCol w:w="2552"/>
        <w:gridCol w:w="2126"/>
      </w:tblGrid>
      <w:tr w:rsidR="00167E4A" w:rsidRPr="00B21DEB" w14:paraId="58979F8D" w14:textId="77777777" w:rsidTr="00A75C62">
        <w:trPr>
          <w:trHeight w:hRule="exact" w:val="856"/>
          <w:tblHeader/>
        </w:trPr>
        <w:tc>
          <w:tcPr>
            <w:tcW w:w="2693" w:type="dxa"/>
            <w:tcBorders>
              <w:top w:val="single" w:sz="4" w:space="0" w:color="000000"/>
              <w:left w:val="single" w:sz="4" w:space="0" w:color="000000"/>
              <w:bottom w:val="single" w:sz="4" w:space="0" w:color="000000"/>
              <w:right w:val="single" w:sz="4" w:space="0" w:color="000000"/>
            </w:tcBorders>
          </w:tcPr>
          <w:p w14:paraId="693DA26A" w14:textId="77777777" w:rsidR="000A422B" w:rsidRPr="00B21DEB" w:rsidRDefault="000A422B" w:rsidP="00A75C62">
            <w:pPr>
              <w:pStyle w:val="TableParagraph"/>
              <w:spacing w:before="54"/>
              <w:rPr>
                <w:rFonts w:ascii="Arial" w:eastAsia="Arial" w:hAnsi="Arial" w:cs="Arial"/>
                <w:b/>
              </w:rPr>
            </w:pPr>
            <w:r w:rsidRPr="00B21DEB">
              <w:rPr>
                <w:rFonts w:ascii="Arial" w:eastAsia="Arial" w:hAnsi="Arial" w:cs="Arial"/>
                <w:b/>
              </w:rPr>
              <w:lastRenderedPageBreak/>
              <w:t xml:space="preserve">Community Services  </w:t>
            </w:r>
          </w:p>
        </w:tc>
        <w:tc>
          <w:tcPr>
            <w:tcW w:w="1843" w:type="dxa"/>
            <w:tcBorders>
              <w:top w:val="single" w:sz="4" w:space="0" w:color="000000"/>
              <w:left w:val="single" w:sz="4" w:space="0" w:color="000000"/>
              <w:bottom w:val="single" w:sz="4" w:space="0" w:color="000000"/>
              <w:right w:val="single" w:sz="4" w:space="0" w:color="000000"/>
            </w:tcBorders>
          </w:tcPr>
          <w:p w14:paraId="7C8CA734" w14:textId="77777777" w:rsidR="000A422B" w:rsidRPr="00B21DEB" w:rsidRDefault="000A422B" w:rsidP="005F0511">
            <w:pPr>
              <w:pStyle w:val="TableParagraph"/>
              <w:spacing w:before="54"/>
              <w:jc w:val="center"/>
              <w:rPr>
                <w:rFonts w:ascii="Arial" w:eastAsia="Arial" w:hAnsi="Arial" w:cs="Arial"/>
                <w:b/>
              </w:rPr>
            </w:pPr>
            <w:r w:rsidRPr="00B21DEB">
              <w:rPr>
                <w:rFonts w:ascii="Arial" w:eastAsia="Arial" w:hAnsi="Arial" w:cs="Arial"/>
                <w:b/>
              </w:rPr>
              <w:t>Notes</w:t>
            </w:r>
          </w:p>
        </w:tc>
        <w:tc>
          <w:tcPr>
            <w:tcW w:w="2552" w:type="dxa"/>
            <w:tcBorders>
              <w:top w:val="single" w:sz="4" w:space="0" w:color="000000"/>
              <w:left w:val="single" w:sz="4" w:space="0" w:color="000000"/>
              <w:bottom w:val="single" w:sz="4" w:space="0" w:color="000000"/>
              <w:right w:val="single" w:sz="4" w:space="0" w:color="000000"/>
            </w:tcBorders>
          </w:tcPr>
          <w:p w14:paraId="3AF768E8" w14:textId="3A3D1F7A" w:rsidR="000A422B" w:rsidRPr="00B21DEB" w:rsidRDefault="000A422B" w:rsidP="005F0511">
            <w:pPr>
              <w:pStyle w:val="TableParagraph"/>
              <w:spacing w:before="54"/>
              <w:jc w:val="center"/>
              <w:rPr>
                <w:rFonts w:ascii="Arial" w:eastAsia="Arial" w:hAnsi="Arial" w:cs="Arial"/>
                <w:b/>
              </w:rPr>
            </w:pPr>
            <w:r w:rsidRPr="00B21DEB">
              <w:rPr>
                <w:rFonts w:ascii="Arial" w:eastAsia="Arial" w:hAnsi="Arial" w:cs="Arial"/>
                <w:b/>
              </w:rPr>
              <w:t>2019</w:t>
            </w:r>
            <w:r w:rsidR="000C6C6C" w:rsidRPr="00B21DEB">
              <w:rPr>
                <w:rFonts w:ascii="Arial" w:eastAsia="Arial" w:hAnsi="Arial" w:cs="Arial"/>
                <w:b/>
              </w:rPr>
              <w:t>–</w:t>
            </w:r>
            <w:r w:rsidRPr="00B21DEB">
              <w:rPr>
                <w:rFonts w:ascii="Arial" w:eastAsia="Arial" w:hAnsi="Arial" w:cs="Arial"/>
                <w:b/>
              </w:rPr>
              <w:t>20</w:t>
            </w:r>
          </w:p>
          <w:p w14:paraId="40805F3A" w14:textId="77777777" w:rsidR="000A422B" w:rsidRPr="00B21DEB" w:rsidRDefault="000A422B" w:rsidP="005F0511">
            <w:pPr>
              <w:pStyle w:val="TableParagraph"/>
              <w:spacing w:before="54"/>
              <w:jc w:val="center"/>
              <w:rPr>
                <w:rFonts w:ascii="Arial" w:eastAsia="Arial" w:hAnsi="Arial" w:cs="Arial"/>
                <w:b/>
              </w:rPr>
            </w:pPr>
            <w:r w:rsidRPr="00B21DEB">
              <w:rPr>
                <w:rFonts w:ascii="Arial" w:eastAsia="Arial" w:hAnsi="Arial" w:cs="Arial"/>
                <w:b/>
              </w:rPr>
              <w:t>Target/estimate</w:t>
            </w:r>
          </w:p>
        </w:tc>
        <w:tc>
          <w:tcPr>
            <w:tcW w:w="2126" w:type="dxa"/>
            <w:tcBorders>
              <w:top w:val="single" w:sz="4" w:space="0" w:color="000000"/>
              <w:left w:val="single" w:sz="4" w:space="0" w:color="000000"/>
              <w:bottom w:val="single" w:sz="4" w:space="0" w:color="000000"/>
              <w:right w:val="single" w:sz="4" w:space="0" w:color="000000"/>
            </w:tcBorders>
          </w:tcPr>
          <w:p w14:paraId="17D210D6" w14:textId="55ED67C8" w:rsidR="000A422B" w:rsidRPr="00B21DEB" w:rsidRDefault="000A422B" w:rsidP="00A75C62">
            <w:pPr>
              <w:pStyle w:val="TableParagraph"/>
              <w:spacing w:before="54"/>
              <w:jc w:val="center"/>
              <w:rPr>
                <w:rFonts w:ascii="Arial" w:eastAsia="Arial" w:hAnsi="Arial" w:cs="Arial"/>
                <w:b/>
              </w:rPr>
            </w:pPr>
            <w:r w:rsidRPr="00B21DEB">
              <w:rPr>
                <w:rFonts w:ascii="Arial" w:eastAsia="Arial" w:hAnsi="Arial" w:cs="Arial"/>
                <w:b/>
              </w:rPr>
              <w:t>2019</w:t>
            </w:r>
            <w:r w:rsidR="000C6C6C" w:rsidRPr="00B21DEB">
              <w:rPr>
                <w:rFonts w:ascii="Arial" w:eastAsia="Arial" w:hAnsi="Arial" w:cs="Arial"/>
                <w:b/>
              </w:rPr>
              <w:t>–</w:t>
            </w:r>
            <w:r w:rsidRPr="00B21DEB">
              <w:rPr>
                <w:rFonts w:ascii="Arial" w:eastAsia="Arial" w:hAnsi="Arial" w:cs="Arial"/>
                <w:b/>
              </w:rPr>
              <w:t>20</w:t>
            </w:r>
          </w:p>
          <w:p w14:paraId="70DC9045" w14:textId="77777777" w:rsidR="000A422B" w:rsidRPr="00B21DEB" w:rsidRDefault="000A422B" w:rsidP="00A75C62">
            <w:pPr>
              <w:pStyle w:val="TableParagraph"/>
              <w:spacing w:before="54"/>
              <w:jc w:val="center"/>
              <w:rPr>
                <w:rFonts w:ascii="Arial" w:eastAsia="Arial" w:hAnsi="Arial" w:cs="Arial"/>
                <w:b/>
              </w:rPr>
            </w:pPr>
            <w:r w:rsidRPr="00B21DEB">
              <w:rPr>
                <w:rFonts w:ascii="Arial" w:eastAsia="Arial" w:hAnsi="Arial" w:cs="Arial"/>
                <w:b/>
              </w:rPr>
              <w:t>Actual</w:t>
            </w:r>
          </w:p>
        </w:tc>
      </w:tr>
      <w:tr w:rsidR="00A240EC" w:rsidRPr="00B21DEB" w14:paraId="67309DFC" w14:textId="77777777" w:rsidTr="00743353">
        <w:tc>
          <w:tcPr>
            <w:tcW w:w="2693" w:type="dxa"/>
            <w:tcBorders>
              <w:top w:val="single" w:sz="4" w:space="0" w:color="000000"/>
              <w:left w:val="single" w:sz="4" w:space="0" w:color="000000"/>
              <w:bottom w:val="single" w:sz="4" w:space="0" w:color="000000"/>
              <w:right w:val="single" w:sz="4" w:space="0" w:color="000000"/>
            </w:tcBorders>
          </w:tcPr>
          <w:p w14:paraId="4BD0C10F" w14:textId="77777777" w:rsidR="00A240EC" w:rsidRPr="00B21DEB" w:rsidRDefault="00A240EC" w:rsidP="00A240EC">
            <w:pPr>
              <w:pStyle w:val="TableTextBold"/>
              <w:rPr>
                <w:sz w:val="22"/>
                <w:szCs w:val="22"/>
              </w:rPr>
            </w:pPr>
            <w:r w:rsidRPr="00B21DEB">
              <w:rPr>
                <w:sz w:val="22"/>
                <w:szCs w:val="22"/>
              </w:rPr>
              <w:t>Service standards</w:t>
            </w:r>
          </w:p>
          <w:p w14:paraId="228B3850" w14:textId="77777777" w:rsidR="00A240EC" w:rsidRPr="00B21DEB" w:rsidRDefault="00A240EC" w:rsidP="00A240EC">
            <w:pPr>
              <w:pStyle w:val="TableTextItalics"/>
              <w:rPr>
                <w:sz w:val="22"/>
                <w:szCs w:val="22"/>
              </w:rPr>
            </w:pPr>
            <w:r w:rsidRPr="00B21DEB">
              <w:rPr>
                <w:sz w:val="22"/>
                <w:szCs w:val="22"/>
              </w:rPr>
              <w:t>Effectiveness measure</w:t>
            </w:r>
          </w:p>
          <w:p w14:paraId="51FC2310" w14:textId="77777777" w:rsidR="00A240EC" w:rsidRPr="00B21DEB" w:rsidRDefault="00A240EC" w:rsidP="00A240EC">
            <w:pPr>
              <w:pStyle w:val="TableParagraph"/>
              <w:spacing w:before="54"/>
              <w:rPr>
                <w:rFonts w:ascii="Arial" w:eastAsia="Arial" w:hAnsi="Arial" w:cs="Arial"/>
              </w:rPr>
            </w:pPr>
            <w:r w:rsidRPr="00B21DEB">
              <w:rPr>
                <w:rFonts w:ascii="Arial" w:eastAsia="Arial" w:hAnsi="Arial" w:cs="Arial"/>
              </w:rPr>
              <w:t>Percentage of eligible Seniors with a Seniors Card</w:t>
            </w:r>
          </w:p>
        </w:tc>
        <w:tc>
          <w:tcPr>
            <w:tcW w:w="1843" w:type="dxa"/>
            <w:tcBorders>
              <w:top w:val="single" w:sz="4" w:space="0" w:color="000000"/>
              <w:left w:val="single" w:sz="4" w:space="0" w:color="000000"/>
              <w:bottom w:val="single" w:sz="4" w:space="0" w:color="000000"/>
              <w:right w:val="single" w:sz="4" w:space="0" w:color="000000"/>
            </w:tcBorders>
          </w:tcPr>
          <w:p w14:paraId="50D9FA06" w14:textId="77777777" w:rsidR="00A240EC" w:rsidRPr="00B21DEB" w:rsidRDefault="00A240EC" w:rsidP="00A240EC">
            <w:pPr>
              <w:pStyle w:val="TableParagraph"/>
              <w:spacing w:before="54"/>
              <w:jc w:val="center"/>
              <w:rPr>
                <w:rFonts w:ascii="Arial" w:eastAsia="Arial" w:hAnsi="Arial" w:cs="Arial"/>
              </w:rPr>
            </w:pPr>
            <w:r w:rsidRPr="00B21DEB">
              <w:rPr>
                <w:rFonts w:ascii="Arial" w:eastAsia="Arial" w:hAnsi="Arial" w:cs="Arial"/>
              </w:rPr>
              <w:t>(1)</w:t>
            </w:r>
          </w:p>
        </w:tc>
        <w:tc>
          <w:tcPr>
            <w:tcW w:w="2552" w:type="dxa"/>
            <w:tcBorders>
              <w:top w:val="single" w:sz="4" w:space="0" w:color="000000"/>
              <w:left w:val="single" w:sz="4" w:space="0" w:color="000000"/>
              <w:bottom w:val="single" w:sz="4" w:space="0" w:color="000000"/>
              <w:right w:val="single" w:sz="4" w:space="0" w:color="000000"/>
            </w:tcBorders>
          </w:tcPr>
          <w:p w14:paraId="55599085" w14:textId="77777777" w:rsidR="00A240EC" w:rsidRPr="00B21DEB" w:rsidRDefault="00A240EC" w:rsidP="00A240EC">
            <w:pPr>
              <w:pStyle w:val="TableParagraph"/>
              <w:spacing w:before="54"/>
              <w:jc w:val="center"/>
              <w:rPr>
                <w:rFonts w:ascii="Arial" w:eastAsia="Arial" w:hAnsi="Arial" w:cs="Arial"/>
              </w:rPr>
            </w:pPr>
            <w:r w:rsidRPr="00B21DEB">
              <w:rPr>
                <w:rFonts w:ascii="Arial" w:eastAsia="Arial" w:hAnsi="Arial" w:cs="Arial"/>
              </w:rPr>
              <w:t>88%</w:t>
            </w:r>
          </w:p>
        </w:tc>
        <w:tc>
          <w:tcPr>
            <w:tcW w:w="2126" w:type="dxa"/>
            <w:tcBorders>
              <w:top w:val="single" w:sz="4" w:space="0" w:color="000000"/>
              <w:left w:val="single" w:sz="4" w:space="0" w:color="000000"/>
              <w:bottom w:val="single" w:sz="4" w:space="0" w:color="000000"/>
              <w:right w:val="single" w:sz="4" w:space="0" w:color="000000"/>
            </w:tcBorders>
          </w:tcPr>
          <w:p w14:paraId="680A1E13" w14:textId="77777777" w:rsidR="00A240EC" w:rsidRPr="00B21DEB" w:rsidRDefault="00A240EC" w:rsidP="00A75C62">
            <w:pPr>
              <w:pStyle w:val="TableParagraph"/>
              <w:spacing w:before="54"/>
              <w:jc w:val="center"/>
              <w:rPr>
                <w:rFonts w:ascii="Arial" w:eastAsia="Arial" w:hAnsi="Arial" w:cs="Arial"/>
              </w:rPr>
            </w:pPr>
            <w:r w:rsidRPr="00B21DEB">
              <w:rPr>
                <w:rFonts w:ascii="Arial" w:eastAsia="Arial" w:hAnsi="Arial" w:cs="Arial"/>
              </w:rPr>
              <w:t>89%</w:t>
            </w:r>
          </w:p>
        </w:tc>
      </w:tr>
      <w:tr w:rsidR="00A240EC" w:rsidRPr="00B21DEB" w14:paraId="709F305A" w14:textId="77777777" w:rsidTr="00743353">
        <w:tc>
          <w:tcPr>
            <w:tcW w:w="2693" w:type="dxa"/>
            <w:tcBorders>
              <w:top w:val="single" w:sz="4" w:space="0" w:color="000000"/>
              <w:left w:val="single" w:sz="4" w:space="0" w:color="000000"/>
              <w:bottom w:val="single" w:sz="4" w:space="0" w:color="000000"/>
              <w:right w:val="single" w:sz="4" w:space="0" w:color="000000"/>
            </w:tcBorders>
          </w:tcPr>
          <w:p w14:paraId="4F29B9A4" w14:textId="77777777" w:rsidR="00A240EC" w:rsidRPr="00B21DEB" w:rsidRDefault="00A240EC" w:rsidP="00A240EC">
            <w:pPr>
              <w:pStyle w:val="TableTextBold"/>
              <w:rPr>
                <w:b w:val="0"/>
                <w:sz w:val="22"/>
                <w:szCs w:val="22"/>
              </w:rPr>
            </w:pPr>
            <w:r w:rsidRPr="00B21DEB">
              <w:rPr>
                <w:b w:val="0"/>
                <w:sz w:val="22"/>
                <w:szCs w:val="22"/>
              </w:rPr>
              <w:t>Percentage of Community Recovery Emergency Hardship Assistance applications processed for payment within 24 hours</w:t>
            </w:r>
          </w:p>
        </w:tc>
        <w:tc>
          <w:tcPr>
            <w:tcW w:w="1843" w:type="dxa"/>
            <w:tcBorders>
              <w:top w:val="single" w:sz="4" w:space="0" w:color="000000"/>
              <w:left w:val="single" w:sz="4" w:space="0" w:color="000000"/>
              <w:bottom w:val="single" w:sz="4" w:space="0" w:color="000000"/>
              <w:right w:val="single" w:sz="4" w:space="0" w:color="000000"/>
            </w:tcBorders>
          </w:tcPr>
          <w:p w14:paraId="0EC3B467" w14:textId="77777777" w:rsidR="00A240EC" w:rsidRPr="00B21DEB" w:rsidRDefault="00A240EC" w:rsidP="00A240EC">
            <w:pPr>
              <w:pStyle w:val="TableParagraph"/>
              <w:spacing w:before="54"/>
              <w:jc w:val="center"/>
              <w:rPr>
                <w:rFonts w:ascii="Arial" w:eastAsia="Arial" w:hAnsi="Arial" w:cs="Arial"/>
              </w:rPr>
            </w:pPr>
            <w:r w:rsidRPr="00B21DEB">
              <w:rPr>
                <w:rFonts w:ascii="Arial" w:eastAsia="Arial" w:hAnsi="Arial" w:cs="Arial"/>
              </w:rPr>
              <w:t>(2)</w:t>
            </w:r>
          </w:p>
        </w:tc>
        <w:tc>
          <w:tcPr>
            <w:tcW w:w="2552" w:type="dxa"/>
            <w:tcBorders>
              <w:top w:val="single" w:sz="4" w:space="0" w:color="000000"/>
              <w:left w:val="single" w:sz="4" w:space="0" w:color="000000"/>
              <w:bottom w:val="single" w:sz="4" w:space="0" w:color="000000"/>
              <w:right w:val="single" w:sz="4" w:space="0" w:color="000000"/>
            </w:tcBorders>
          </w:tcPr>
          <w:p w14:paraId="04EC9582" w14:textId="77777777" w:rsidR="00A240EC" w:rsidRPr="00B21DEB" w:rsidRDefault="00A240EC" w:rsidP="00A240EC">
            <w:pPr>
              <w:pStyle w:val="TableParagraph"/>
              <w:spacing w:before="54"/>
              <w:jc w:val="center"/>
              <w:rPr>
                <w:rFonts w:ascii="Arial" w:eastAsia="Arial" w:hAnsi="Arial" w:cs="Arial"/>
              </w:rPr>
            </w:pPr>
            <w:r w:rsidRPr="00B21DEB">
              <w:rPr>
                <w:rFonts w:ascii="Arial" w:eastAsia="Arial" w:hAnsi="Arial" w:cs="Arial"/>
              </w:rPr>
              <w:t>75%</w:t>
            </w:r>
          </w:p>
        </w:tc>
        <w:tc>
          <w:tcPr>
            <w:tcW w:w="2126" w:type="dxa"/>
            <w:tcBorders>
              <w:top w:val="single" w:sz="4" w:space="0" w:color="000000"/>
              <w:left w:val="single" w:sz="4" w:space="0" w:color="000000"/>
              <w:bottom w:val="single" w:sz="4" w:space="0" w:color="000000"/>
              <w:right w:val="single" w:sz="4" w:space="0" w:color="000000"/>
            </w:tcBorders>
          </w:tcPr>
          <w:p w14:paraId="033057A6" w14:textId="77777777" w:rsidR="00A240EC" w:rsidRPr="00B21DEB" w:rsidRDefault="00A240EC" w:rsidP="00A75C62">
            <w:pPr>
              <w:pStyle w:val="TableParagraph"/>
              <w:spacing w:before="54"/>
              <w:jc w:val="center"/>
              <w:rPr>
                <w:rFonts w:ascii="Arial" w:eastAsia="Arial" w:hAnsi="Arial" w:cs="Arial"/>
              </w:rPr>
            </w:pPr>
            <w:r w:rsidRPr="00B21DEB">
              <w:rPr>
                <w:rFonts w:ascii="Arial" w:eastAsia="Arial" w:hAnsi="Arial" w:cs="Arial"/>
              </w:rPr>
              <w:t>82%</w:t>
            </w:r>
          </w:p>
        </w:tc>
      </w:tr>
      <w:tr w:rsidR="00A240EC" w:rsidRPr="00B21DEB" w14:paraId="3ADF234D" w14:textId="77777777" w:rsidTr="00743353">
        <w:tc>
          <w:tcPr>
            <w:tcW w:w="2693" w:type="dxa"/>
            <w:tcBorders>
              <w:top w:val="single" w:sz="4" w:space="0" w:color="000000"/>
              <w:left w:val="single" w:sz="4" w:space="0" w:color="000000"/>
              <w:bottom w:val="single" w:sz="4" w:space="0" w:color="000000"/>
              <w:right w:val="single" w:sz="4" w:space="0" w:color="000000"/>
            </w:tcBorders>
            <w:vAlign w:val="bottom"/>
          </w:tcPr>
          <w:p w14:paraId="260EDD9E" w14:textId="77777777" w:rsidR="00A240EC" w:rsidRPr="00B21DEB" w:rsidRDefault="00A240EC" w:rsidP="00A240EC">
            <w:pPr>
              <w:pStyle w:val="TableTextItalics"/>
              <w:rPr>
                <w:sz w:val="22"/>
                <w:szCs w:val="22"/>
              </w:rPr>
            </w:pPr>
            <w:r w:rsidRPr="00B21DEB">
              <w:rPr>
                <w:sz w:val="22"/>
                <w:szCs w:val="22"/>
              </w:rPr>
              <w:t>Efficiency measures</w:t>
            </w:r>
          </w:p>
          <w:p w14:paraId="2358B69D" w14:textId="77777777" w:rsidR="00A240EC" w:rsidRPr="00B21DEB" w:rsidRDefault="00A240EC" w:rsidP="00A240EC">
            <w:pPr>
              <w:pStyle w:val="TableTextBold"/>
              <w:rPr>
                <w:b w:val="0"/>
                <w:sz w:val="22"/>
                <w:szCs w:val="22"/>
              </w:rPr>
            </w:pPr>
            <w:r w:rsidRPr="00B21DEB">
              <w:rPr>
                <w:rFonts w:cs="Arial"/>
                <w:b w:val="0"/>
                <w:sz w:val="22"/>
                <w:szCs w:val="22"/>
              </w:rPr>
              <w:t>Percentage of contracted service capacity for in-home and community connection support used</w:t>
            </w:r>
          </w:p>
        </w:tc>
        <w:tc>
          <w:tcPr>
            <w:tcW w:w="1843" w:type="dxa"/>
            <w:tcBorders>
              <w:top w:val="single" w:sz="4" w:space="0" w:color="000000"/>
              <w:left w:val="single" w:sz="4" w:space="0" w:color="000000"/>
              <w:bottom w:val="single" w:sz="4" w:space="0" w:color="000000"/>
              <w:right w:val="single" w:sz="4" w:space="0" w:color="000000"/>
            </w:tcBorders>
          </w:tcPr>
          <w:p w14:paraId="1D627210" w14:textId="77777777" w:rsidR="00A240EC" w:rsidRPr="00B21DEB" w:rsidRDefault="00A240EC" w:rsidP="00A240EC">
            <w:pPr>
              <w:pStyle w:val="TableParagraph"/>
              <w:spacing w:before="54"/>
              <w:jc w:val="center"/>
              <w:rPr>
                <w:rFonts w:ascii="Arial" w:eastAsia="Arial" w:hAnsi="Arial" w:cs="Arial"/>
              </w:rPr>
            </w:pPr>
            <w:r w:rsidRPr="00B21DEB">
              <w:rPr>
                <w:rFonts w:ascii="Arial" w:eastAsia="Arial" w:hAnsi="Arial" w:cs="Arial"/>
              </w:rPr>
              <w:t>(3)(4)</w:t>
            </w:r>
          </w:p>
        </w:tc>
        <w:tc>
          <w:tcPr>
            <w:tcW w:w="2552" w:type="dxa"/>
            <w:tcBorders>
              <w:top w:val="single" w:sz="4" w:space="0" w:color="000000"/>
              <w:left w:val="single" w:sz="4" w:space="0" w:color="000000"/>
              <w:bottom w:val="single" w:sz="4" w:space="0" w:color="000000"/>
              <w:right w:val="single" w:sz="4" w:space="0" w:color="000000"/>
            </w:tcBorders>
          </w:tcPr>
          <w:p w14:paraId="64BE9F29" w14:textId="77777777" w:rsidR="00A240EC" w:rsidRPr="00B21DEB" w:rsidRDefault="00A240EC" w:rsidP="00A240EC">
            <w:pPr>
              <w:pStyle w:val="TableParagraph"/>
              <w:spacing w:before="54"/>
              <w:jc w:val="center"/>
              <w:rPr>
                <w:rFonts w:ascii="Arial" w:eastAsia="Arial" w:hAnsi="Arial" w:cs="Arial"/>
              </w:rPr>
            </w:pPr>
            <w:r w:rsidRPr="00B21DEB">
              <w:rPr>
                <w:rFonts w:ascii="Arial" w:eastAsia="Arial" w:hAnsi="Arial" w:cs="Arial"/>
              </w:rPr>
              <w:t>Baseline</w:t>
            </w:r>
          </w:p>
        </w:tc>
        <w:tc>
          <w:tcPr>
            <w:tcW w:w="2126" w:type="dxa"/>
            <w:tcBorders>
              <w:top w:val="single" w:sz="4" w:space="0" w:color="000000"/>
              <w:left w:val="single" w:sz="4" w:space="0" w:color="000000"/>
              <w:bottom w:val="single" w:sz="4" w:space="0" w:color="000000"/>
              <w:right w:val="single" w:sz="4" w:space="0" w:color="000000"/>
            </w:tcBorders>
          </w:tcPr>
          <w:p w14:paraId="7FECCF71" w14:textId="11B36D38" w:rsidR="00A240EC" w:rsidRPr="00B21DEB" w:rsidRDefault="00D47B25" w:rsidP="00A75C62">
            <w:pPr>
              <w:pStyle w:val="TableParagraph"/>
              <w:spacing w:before="54"/>
              <w:jc w:val="center"/>
              <w:rPr>
                <w:rFonts w:ascii="Arial" w:eastAsia="Arial" w:hAnsi="Arial" w:cs="Arial"/>
              </w:rPr>
            </w:pPr>
            <w:r w:rsidRPr="00B21DEB">
              <w:rPr>
                <w:rFonts w:ascii="Arial" w:eastAsia="Arial" w:hAnsi="Arial" w:cs="Arial"/>
              </w:rPr>
              <w:t>51%</w:t>
            </w:r>
          </w:p>
        </w:tc>
      </w:tr>
    </w:tbl>
    <w:p w14:paraId="26AC1940" w14:textId="52C61DC0" w:rsidR="00A240EC" w:rsidRPr="00B21DEB" w:rsidRDefault="00A240EC" w:rsidP="00A75C62">
      <w:pPr>
        <w:pStyle w:val="NoteIndent"/>
        <w:numPr>
          <w:ilvl w:val="0"/>
          <w:numId w:val="27"/>
        </w:numPr>
        <w:spacing w:before="240"/>
        <w:ind w:left="357" w:hanging="357"/>
        <w:rPr>
          <w:rFonts w:cs="Arial"/>
          <w:i/>
          <w:sz w:val="20"/>
          <w:szCs w:val="20"/>
        </w:rPr>
      </w:pPr>
      <w:r w:rsidRPr="00B21DEB">
        <w:rPr>
          <w:rFonts w:cs="Arial"/>
          <w:i/>
          <w:sz w:val="20"/>
          <w:szCs w:val="20"/>
        </w:rPr>
        <w:t>This is a proxy measure of the effectiveness in promoting the Seniors Card scheme to applicable stakeholders and forms part of the cost</w:t>
      </w:r>
      <w:r w:rsidR="000C6C6C" w:rsidRPr="00B21DEB">
        <w:rPr>
          <w:rFonts w:cs="Arial"/>
          <w:i/>
          <w:sz w:val="20"/>
          <w:szCs w:val="20"/>
        </w:rPr>
        <w:t>-</w:t>
      </w:r>
      <w:r w:rsidRPr="00B21DEB">
        <w:rPr>
          <w:rFonts w:cs="Arial"/>
          <w:i/>
          <w:sz w:val="20"/>
          <w:szCs w:val="20"/>
        </w:rPr>
        <w:t>of</w:t>
      </w:r>
      <w:r w:rsidR="000C6C6C" w:rsidRPr="00B21DEB">
        <w:rPr>
          <w:rFonts w:cs="Arial"/>
          <w:i/>
          <w:sz w:val="20"/>
          <w:szCs w:val="20"/>
        </w:rPr>
        <w:t>-</w:t>
      </w:r>
      <w:r w:rsidRPr="00B21DEB">
        <w:rPr>
          <w:rFonts w:cs="Arial"/>
          <w:i/>
          <w:sz w:val="20"/>
          <w:szCs w:val="20"/>
        </w:rPr>
        <w:t xml:space="preserve">living strategy. The percentage of eligible seniors with a Seniors Card is calculated by the total number of active cardholders divided by </w:t>
      </w:r>
      <w:r w:rsidR="000C6C6C" w:rsidRPr="00B21DEB">
        <w:rPr>
          <w:rFonts w:cs="Arial"/>
          <w:i/>
          <w:sz w:val="20"/>
          <w:szCs w:val="20"/>
        </w:rPr>
        <w:t xml:space="preserve">the </w:t>
      </w:r>
      <w:r w:rsidRPr="00B21DEB">
        <w:rPr>
          <w:rFonts w:cs="Arial"/>
          <w:i/>
          <w:sz w:val="20"/>
          <w:szCs w:val="20"/>
        </w:rPr>
        <w:t xml:space="preserve">estimated resident population of seniors within Queensland. The estimated resident population is sourced from the Australian Bureau of Statistics, Report 3101.0 </w:t>
      </w:r>
      <w:r w:rsidRPr="00B21DEB">
        <w:rPr>
          <w:rFonts w:cs="Arial"/>
          <w:sz w:val="20"/>
          <w:szCs w:val="20"/>
        </w:rPr>
        <w:t>Australian Demographic Statistics</w:t>
      </w:r>
      <w:r w:rsidRPr="00B21DEB">
        <w:rPr>
          <w:rFonts w:cs="Arial"/>
          <w:i/>
          <w:sz w:val="20"/>
          <w:szCs w:val="20"/>
        </w:rPr>
        <w:t>. Estimated Resident Population By Single Year Of Age, Queensland. TABLE 53.</w:t>
      </w:r>
    </w:p>
    <w:p w14:paraId="33517B9A" w14:textId="226DF901" w:rsidR="00A240EC" w:rsidRPr="00B21DEB" w:rsidRDefault="00A240EC" w:rsidP="0013426D">
      <w:pPr>
        <w:pStyle w:val="NoteIndent"/>
        <w:numPr>
          <w:ilvl w:val="0"/>
          <w:numId w:val="27"/>
        </w:numPr>
        <w:rPr>
          <w:rFonts w:cs="Arial"/>
          <w:i/>
          <w:sz w:val="20"/>
          <w:szCs w:val="20"/>
        </w:rPr>
      </w:pPr>
      <w:r w:rsidRPr="00B21DEB">
        <w:rPr>
          <w:rFonts w:cs="Arial"/>
          <w:i/>
          <w:sz w:val="20"/>
          <w:szCs w:val="20"/>
        </w:rPr>
        <w:t>This service standard measures how quickly the department responds to applications for Emergency Hardship Assistance under the Personal Hardship Assistance Scheme to approved applicants impacted by a declared disaster event. The method for distributing the financial assistance will be determined by the nature of the disaster event in consultation with local disaster management leaders. Timely financial relief is important to reduce the levels of financial hardship and psychological distress that can occur as a result of a disaster event. Timeframes for payments may be impacted by the size of the disaster event. This measure will not be reported in years where the department does not administer the Emergency Hardship Assistance grant (</w:t>
      </w:r>
      <w:r w:rsidR="00274015" w:rsidRPr="00B21DEB">
        <w:rPr>
          <w:rFonts w:cs="Arial"/>
          <w:i/>
          <w:sz w:val="20"/>
          <w:szCs w:val="20"/>
        </w:rPr>
        <w:t>that is,</w:t>
      </w:r>
      <w:r w:rsidRPr="00B21DEB">
        <w:rPr>
          <w:rFonts w:cs="Arial"/>
          <w:i/>
          <w:sz w:val="20"/>
          <w:szCs w:val="20"/>
        </w:rPr>
        <w:t xml:space="preserve"> the Personal Hardship Assistance Scheme is not activated in response to a disaster event in 2019</w:t>
      </w:r>
      <w:r w:rsidR="00274015" w:rsidRPr="00B21DEB">
        <w:rPr>
          <w:rFonts w:eastAsia="Arial" w:cs="Arial"/>
          <w:b/>
        </w:rPr>
        <w:t>–</w:t>
      </w:r>
      <w:r w:rsidRPr="00B21DEB">
        <w:rPr>
          <w:rFonts w:cs="Arial"/>
          <w:i/>
          <w:sz w:val="20"/>
          <w:szCs w:val="20"/>
        </w:rPr>
        <w:t>20).</w:t>
      </w:r>
    </w:p>
    <w:p w14:paraId="57FF8422" w14:textId="0B1AAD24" w:rsidR="00A240EC" w:rsidRPr="00B21DEB" w:rsidRDefault="00A240EC" w:rsidP="0013426D">
      <w:pPr>
        <w:pStyle w:val="NoteIndent"/>
        <w:numPr>
          <w:ilvl w:val="0"/>
          <w:numId w:val="27"/>
        </w:numPr>
        <w:rPr>
          <w:rFonts w:cs="Arial"/>
          <w:i/>
          <w:sz w:val="20"/>
          <w:szCs w:val="20"/>
        </w:rPr>
      </w:pPr>
      <w:r w:rsidRPr="00B21DEB">
        <w:rPr>
          <w:rFonts w:cs="Arial"/>
          <w:i/>
          <w:sz w:val="20"/>
          <w:szCs w:val="20"/>
        </w:rPr>
        <w:t>This is a utilisation measure that records the number of services accessed as a proportion of the number of services contracted or purchased for use under the Queensland Community Support Scheme</w:t>
      </w:r>
      <w:r w:rsidR="00274015" w:rsidRPr="00B21DEB">
        <w:rPr>
          <w:rFonts w:cs="Arial"/>
          <w:i/>
          <w:sz w:val="20"/>
          <w:szCs w:val="20"/>
        </w:rPr>
        <w:t xml:space="preserve">. </w:t>
      </w:r>
      <w:r w:rsidRPr="00B21DEB">
        <w:rPr>
          <w:rFonts w:cs="Arial"/>
          <w:i/>
          <w:sz w:val="20"/>
          <w:szCs w:val="20"/>
        </w:rPr>
        <w:t xml:space="preserve">Service usage is an indicator of the efficiency of the </w:t>
      </w:r>
      <w:r w:rsidR="00274015" w:rsidRPr="00B21DEB">
        <w:rPr>
          <w:rFonts w:cs="Arial"/>
          <w:i/>
          <w:sz w:val="20"/>
          <w:szCs w:val="20"/>
        </w:rPr>
        <w:t>s</w:t>
      </w:r>
      <w:r w:rsidRPr="00B21DEB">
        <w:rPr>
          <w:rFonts w:cs="Arial"/>
          <w:i/>
          <w:sz w:val="20"/>
          <w:szCs w:val="20"/>
        </w:rPr>
        <w:t>cheme’s access point in linking eligible clients to available services and of the return on the investment in service types and locations that best respond to demand for assistance (</w:t>
      </w:r>
      <w:r w:rsidR="00274015" w:rsidRPr="00B21DEB">
        <w:rPr>
          <w:rFonts w:cs="Arial"/>
          <w:i/>
          <w:sz w:val="20"/>
          <w:szCs w:val="20"/>
        </w:rPr>
        <w:t>that is,</w:t>
      </w:r>
      <w:r w:rsidRPr="00B21DEB">
        <w:rPr>
          <w:rFonts w:cs="Arial"/>
          <w:i/>
          <w:sz w:val="20"/>
          <w:szCs w:val="20"/>
        </w:rPr>
        <w:t xml:space="preserve"> allocative efficiency). The first year of operation in 2019</w:t>
      </w:r>
      <w:r w:rsidR="00274015" w:rsidRPr="00B21DEB">
        <w:rPr>
          <w:rFonts w:eastAsia="Arial" w:cs="Arial"/>
          <w:b/>
        </w:rPr>
        <w:t>–</w:t>
      </w:r>
      <w:r w:rsidRPr="00B21DEB">
        <w:rPr>
          <w:rFonts w:cs="Arial"/>
          <w:i/>
          <w:sz w:val="20"/>
          <w:szCs w:val="20"/>
        </w:rPr>
        <w:t xml:space="preserve">20 will establish a baseline for a future target/estimated. </w:t>
      </w:r>
    </w:p>
    <w:p w14:paraId="007CE73E" w14:textId="1970E9C4" w:rsidR="00A240EC" w:rsidRPr="00B21DEB" w:rsidRDefault="00A240EC" w:rsidP="0013426D">
      <w:pPr>
        <w:pStyle w:val="NoteIndent"/>
        <w:numPr>
          <w:ilvl w:val="0"/>
          <w:numId w:val="27"/>
        </w:numPr>
        <w:rPr>
          <w:rFonts w:cs="Arial"/>
          <w:i/>
          <w:sz w:val="20"/>
          <w:szCs w:val="20"/>
        </w:rPr>
      </w:pPr>
      <w:r w:rsidRPr="00B21DEB">
        <w:rPr>
          <w:rFonts w:cs="Arial"/>
          <w:i/>
          <w:sz w:val="20"/>
          <w:szCs w:val="20"/>
        </w:rPr>
        <w:t>The baseline percentage for 2019</w:t>
      </w:r>
      <w:r w:rsidR="00274015" w:rsidRPr="00B21DEB">
        <w:rPr>
          <w:rFonts w:eastAsia="Arial" w:cs="Arial"/>
          <w:b/>
        </w:rPr>
        <w:t>–</w:t>
      </w:r>
      <w:r w:rsidRPr="00B21DEB">
        <w:rPr>
          <w:rFonts w:cs="Arial"/>
          <w:i/>
          <w:sz w:val="20"/>
          <w:szCs w:val="20"/>
        </w:rPr>
        <w:t>20 is lower than expected due to the lockdown restrictions for COVID-19 which allowed only essential services and modification to and a reduction in community connection support. It is expected that results for this measure will increase in the future.</w:t>
      </w:r>
    </w:p>
    <w:p w14:paraId="52BFF5A9" w14:textId="77777777" w:rsidR="00ED0652" w:rsidRPr="00B21DEB" w:rsidRDefault="00ED0652" w:rsidP="00ED0652">
      <w:pPr>
        <w:rPr>
          <w:lang w:eastAsia="en-AU"/>
        </w:rPr>
      </w:pPr>
    </w:p>
    <w:p w14:paraId="294040D2" w14:textId="77777777" w:rsidR="00DC7F00" w:rsidRPr="00B21DEB" w:rsidRDefault="00DC7F00" w:rsidP="00F55C20">
      <w:pPr>
        <w:rPr>
          <w:lang w:eastAsia="en-AU"/>
        </w:rPr>
        <w:sectPr w:rsidR="00DC7F00" w:rsidRPr="00B21DEB" w:rsidSect="005C101B">
          <w:pgSz w:w="11906" w:h="16838"/>
          <w:pgMar w:top="709" w:right="1134" w:bottom="425" w:left="1440" w:header="709" w:footer="709" w:gutter="0"/>
          <w:cols w:space="708"/>
          <w:docGrid w:linePitch="360"/>
        </w:sectPr>
      </w:pPr>
    </w:p>
    <w:p w14:paraId="1C0D8715" w14:textId="14379EBC" w:rsidR="00A80334" w:rsidRPr="00B21DEB" w:rsidRDefault="00A80334" w:rsidP="00743353">
      <w:pPr>
        <w:pStyle w:val="Heading2"/>
      </w:pPr>
      <w:bookmarkStart w:id="2" w:name="_Toc49162323"/>
      <w:bookmarkStart w:id="3" w:name="_Toc49164442"/>
      <w:bookmarkStart w:id="4" w:name="_Toc51157166"/>
      <w:r w:rsidRPr="00B21DEB">
        <w:lastRenderedPageBreak/>
        <w:t>Annual Financial Statements 2019</w:t>
      </w:r>
      <w:r w:rsidR="00274015" w:rsidRPr="00B21DEB">
        <w:rPr>
          <w:rFonts w:eastAsia="Arial"/>
        </w:rPr>
        <w:t>–</w:t>
      </w:r>
      <w:r w:rsidRPr="00B21DEB">
        <w:t>20</w:t>
      </w:r>
      <w:bookmarkEnd w:id="2"/>
      <w:bookmarkEnd w:id="3"/>
      <w:bookmarkEnd w:id="4"/>
    </w:p>
    <w:p w14:paraId="4E03FE54" w14:textId="3114A7D8" w:rsidR="00A80334" w:rsidRPr="00B21DEB" w:rsidRDefault="00446782" w:rsidP="00442EA7">
      <w:pPr>
        <w:pStyle w:val="Bullets"/>
        <w:rPr>
          <w:lang w:eastAsia="en-AU"/>
        </w:rPr>
      </w:pPr>
      <w:r>
        <w:rPr>
          <w:lang w:eastAsia="en-AU"/>
        </w:rPr>
        <w:t>Refer to separate document for the Annual Financial Statements 2019-20.</w:t>
      </w:r>
    </w:p>
    <w:sectPr w:rsidR="00A80334" w:rsidRPr="00B21DEB" w:rsidSect="00A93B55">
      <w:pgSz w:w="11906" w:h="16838"/>
      <w:pgMar w:top="709" w:right="1134" w:bottom="42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8ADB1" w14:textId="77777777" w:rsidR="00890C1D" w:rsidRDefault="00890C1D" w:rsidP="00F55C20">
      <w:r>
        <w:separator/>
      </w:r>
    </w:p>
  </w:endnote>
  <w:endnote w:type="continuationSeparator" w:id="0">
    <w:p w14:paraId="03938D6F" w14:textId="77777777" w:rsidR="00890C1D" w:rsidRDefault="00890C1D" w:rsidP="00F55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BB8F5" w14:textId="77777777" w:rsidR="00890C1D" w:rsidRDefault="00890C1D" w:rsidP="00F55C20">
      <w:r>
        <w:separator/>
      </w:r>
    </w:p>
  </w:footnote>
  <w:footnote w:type="continuationSeparator" w:id="0">
    <w:p w14:paraId="60E6A65E" w14:textId="77777777" w:rsidR="00890C1D" w:rsidRDefault="00890C1D" w:rsidP="00F55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8BB7" w14:textId="77777777" w:rsidR="00340989" w:rsidRDefault="00340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3DA76F6"/>
    <w:lvl w:ilvl="0">
      <w:start w:val="1"/>
      <w:numFmt w:val="decimal"/>
      <w:pStyle w:val="ListNumber4"/>
      <w:lvlText w:val="%1."/>
      <w:lvlJc w:val="left"/>
      <w:pPr>
        <w:tabs>
          <w:tab w:val="num" w:pos="1209"/>
        </w:tabs>
        <w:ind w:left="1209" w:hanging="360"/>
      </w:pPr>
    </w:lvl>
  </w:abstractNum>
  <w:abstractNum w:abstractNumId="1" w15:restartNumberingAfterBreak="0">
    <w:nsid w:val="FFFFFF7F"/>
    <w:multiLevelType w:val="singleLevel"/>
    <w:tmpl w:val="45F412E0"/>
    <w:lvl w:ilvl="0">
      <w:start w:val="1"/>
      <w:numFmt w:val="decimal"/>
      <w:pStyle w:val="ListNumber2"/>
      <w:lvlText w:val="%1."/>
      <w:lvlJc w:val="left"/>
      <w:pPr>
        <w:tabs>
          <w:tab w:val="num" w:pos="643"/>
        </w:tabs>
        <w:ind w:left="643" w:hanging="360"/>
      </w:pPr>
    </w:lvl>
  </w:abstractNum>
  <w:abstractNum w:abstractNumId="2" w15:restartNumberingAfterBreak="0">
    <w:nsid w:val="FFFFFF82"/>
    <w:multiLevelType w:val="singleLevel"/>
    <w:tmpl w:val="CEC86BAE"/>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9"/>
    <w:multiLevelType w:val="singleLevel"/>
    <w:tmpl w:val="57CA5C6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B3714E"/>
    <w:multiLevelType w:val="hybridMultilevel"/>
    <w:tmpl w:val="1C5A169E"/>
    <w:lvl w:ilvl="0" w:tplc="66F0A184">
      <w:start w:val="1"/>
      <w:numFmt w:val="bullet"/>
      <w:lvlText w:val="-"/>
      <w:lvlJc w:val="left"/>
      <w:pPr>
        <w:ind w:left="1080" w:hanging="360"/>
      </w:pPr>
      <w:rPr>
        <w:rFonts w:ascii="Courier New" w:hAnsi="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30D4335"/>
    <w:multiLevelType w:val="hybridMultilevel"/>
    <w:tmpl w:val="5A90AA58"/>
    <w:lvl w:ilvl="0" w:tplc="9B5CAFC8">
      <w:start w:val="1"/>
      <w:numFmt w:val="decimal"/>
      <w:pStyle w:val="Top4numbering"/>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37D71F3"/>
    <w:multiLevelType w:val="hybridMultilevel"/>
    <w:tmpl w:val="8D661A8E"/>
    <w:lvl w:ilvl="0" w:tplc="7632C822">
      <w:start w:val="1"/>
      <w:numFmt w:val="bullet"/>
      <w:pStyle w:val="DotPoints-Normal"/>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5316357"/>
    <w:multiLevelType w:val="multilevel"/>
    <w:tmpl w:val="B3F2DB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C3D40ED"/>
    <w:multiLevelType w:val="hybridMultilevel"/>
    <w:tmpl w:val="24508140"/>
    <w:lvl w:ilvl="0" w:tplc="98602FBE">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F80330"/>
    <w:multiLevelType w:val="hybridMultilevel"/>
    <w:tmpl w:val="08FAD69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0FAD04D7"/>
    <w:multiLevelType w:val="hybridMultilevel"/>
    <w:tmpl w:val="6C708E0C"/>
    <w:lvl w:ilvl="0" w:tplc="C50CE438">
      <w:start w:val="1"/>
      <w:numFmt w:val="bullet"/>
      <w:pStyle w:val="ListBullet2"/>
      <w:lvlText w:val="›"/>
      <w:lvlJc w:val="left"/>
      <w:pPr>
        <w:tabs>
          <w:tab w:val="num" w:pos="797"/>
        </w:tabs>
        <w:ind w:left="797" w:hanging="360"/>
      </w:pPr>
      <w:rPr>
        <w:rFonts w:ascii="Arial" w:hAnsi="Arial" w:hint="default"/>
      </w:rPr>
    </w:lvl>
    <w:lvl w:ilvl="1" w:tplc="0C090003">
      <w:start w:val="1"/>
      <w:numFmt w:val="bullet"/>
      <w:lvlText w:val="o"/>
      <w:lvlJc w:val="left"/>
      <w:pPr>
        <w:ind w:left="1594" w:hanging="360"/>
      </w:pPr>
      <w:rPr>
        <w:rFonts w:ascii="Courier New" w:hAnsi="Courier New" w:cs="Courier New" w:hint="default"/>
      </w:rPr>
    </w:lvl>
    <w:lvl w:ilvl="2" w:tplc="0C090005" w:tentative="1">
      <w:start w:val="1"/>
      <w:numFmt w:val="bullet"/>
      <w:lvlText w:val=""/>
      <w:lvlJc w:val="left"/>
      <w:pPr>
        <w:ind w:left="2314" w:hanging="360"/>
      </w:pPr>
      <w:rPr>
        <w:rFonts w:ascii="Wingdings" w:hAnsi="Wingdings" w:hint="default"/>
      </w:rPr>
    </w:lvl>
    <w:lvl w:ilvl="3" w:tplc="0C090001" w:tentative="1">
      <w:start w:val="1"/>
      <w:numFmt w:val="bullet"/>
      <w:lvlText w:val=""/>
      <w:lvlJc w:val="left"/>
      <w:pPr>
        <w:ind w:left="3034" w:hanging="360"/>
      </w:pPr>
      <w:rPr>
        <w:rFonts w:ascii="Symbol" w:hAnsi="Symbol" w:hint="default"/>
      </w:rPr>
    </w:lvl>
    <w:lvl w:ilvl="4" w:tplc="0C090003" w:tentative="1">
      <w:start w:val="1"/>
      <w:numFmt w:val="bullet"/>
      <w:lvlText w:val="o"/>
      <w:lvlJc w:val="left"/>
      <w:pPr>
        <w:ind w:left="3754" w:hanging="360"/>
      </w:pPr>
      <w:rPr>
        <w:rFonts w:ascii="Courier New" w:hAnsi="Courier New" w:cs="Courier New" w:hint="default"/>
      </w:rPr>
    </w:lvl>
    <w:lvl w:ilvl="5" w:tplc="0C090005" w:tentative="1">
      <w:start w:val="1"/>
      <w:numFmt w:val="bullet"/>
      <w:lvlText w:val=""/>
      <w:lvlJc w:val="left"/>
      <w:pPr>
        <w:ind w:left="4474" w:hanging="360"/>
      </w:pPr>
      <w:rPr>
        <w:rFonts w:ascii="Wingdings" w:hAnsi="Wingdings" w:hint="default"/>
      </w:rPr>
    </w:lvl>
    <w:lvl w:ilvl="6" w:tplc="0C090001" w:tentative="1">
      <w:start w:val="1"/>
      <w:numFmt w:val="bullet"/>
      <w:lvlText w:val=""/>
      <w:lvlJc w:val="left"/>
      <w:pPr>
        <w:ind w:left="5194" w:hanging="360"/>
      </w:pPr>
      <w:rPr>
        <w:rFonts w:ascii="Symbol" w:hAnsi="Symbol" w:hint="default"/>
      </w:rPr>
    </w:lvl>
    <w:lvl w:ilvl="7" w:tplc="0C090003" w:tentative="1">
      <w:start w:val="1"/>
      <w:numFmt w:val="bullet"/>
      <w:lvlText w:val="o"/>
      <w:lvlJc w:val="left"/>
      <w:pPr>
        <w:ind w:left="5914" w:hanging="360"/>
      </w:pPr>
      <w:rPr>
        <w:rFonts w:ascii="Courier New" w:hAnsi="Courier New" w:cs="Courier New" w:hint="default"/>
      </w:rPr>
    </w:lvl>
    <w:lvl w:ilvl="8" w:tplc="0C090005" w:tentative="1">
      <w:start w:val="1"/>
      <w:numFmt w:val="bullet"/>
      <w:lvlText w:val=""/>
      <w:lvlJc w:val="left"/>
      <w:pPr>
        <w:ind w:left="6634" w:hanging="360"/>
      </w:pPr>
      <w:rPr>
        <w:rFonts w:ascii="Wingdings" w:hAnsi="Wingdings" w:hint="default"/>
      </w:rPr>
    </w:lvl>
  </w:abstractNum>
  <w:abstractNum w:abstractNumId="11" w15:restartNumberingAfterBreak="0">
    <w:nsid w:val="18E665C1"/>
    <w:multiLevelType w:val="hybridMultilevel"/>
    <w:tmpl w:val="E6ACED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0161E8"/>
    <w:multiLevelType w:val="hybridMultilevel"/>
    <w:tmpl w:val="08FAD69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2A6A5DFA"/>
    <w:multiLevelType w:val="hybridMultilevel"/>
    <w:tmpl w:val="1E841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3E00A0"/>
    <w:multiLevelType w:val="hybridMultilevel"/>
    <w:tmpl w:val="5790A1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B87FBF"/>
    <w:multiLevelType w:val="hybridMultilevel"/>
    <w:tmpl w:val="26026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9E6682"/>
    <w:multiLevelType w:val="hybridMultilevel"/>
    <w:tmpl w:val="B2B2F264"/>
    <w:lvl w:ilvl="0" w:tplc="B04E4C84">
      <w:start w:val="1"/>
      <w:numFmt w:val="decimal"/>
      <w:pStyle w:val="ListNumber3"/>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FD13A59"/>
    <w:multiLevelType w:val="hybridMultilevel"/>
    <w:tmpl w:val="AB02FD80"/>
    <w:lvl w:ilvl="0" w:tplc="3F68DBD0">
      <w:start w:val="1"/>
      <w:numFmt w:val="bullet"/>
      <w:lvlText w:val=""/>
      <w:lvlJc w:val="left"/>
      <w:pPr>
        <w:ind w:left="720" w:hanging="360"/>
      </w:pPr>
      <w:rPr>
        <w:rFonts w:ascii="Symbol" w:hAnsi="Symbol" w:hint="default"/>
      </w:rPr>
    </w:lvl>
    <w:lvl w:ilvl="1" w:tplc="CA3E682C">
      <w:start w:val="1"/>
      <w:numFmt w:val="bullet"/>
      <w:pStyle w:val="Bulletsindented"/>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9F3AAB"/>
    <w:multiLevelType w:val="hybridMultilevel"/>
    <w:tmpl w:val="C42AF828"/>
    <w:lvl w:ilvl="0" w:tplc="0C090003">
      <w:start w:val="1"/>
      <w:numFmt w:val="bullet"/>
      <w:lvlText w:val="o"/>
      <w:lvlJc w:val="left"/>
      <w:pPr>
        <w:ind w:left="720" w:hanging="360"/>
      </w:pPr>
      <w:rPr>
        <w:rFonts w:ascii="Courier New" w:hAnsi="Courier New" w:cs="Courier New" w:hint="default"/>
      </w:rPr>
    </w:lvl>
    <w:lvl w:ilvl="1" w:tplc="CA3E682C">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6D6E07"/>
    <w:multiLevelType w:val="hybridMultilevel"/>
    <w:tmpl w:val="AFD29E9A"/>
    <w:lvl w:ilvl="0" w:tplc="0C09000F">
      <w:start w:val="1"/>
      <w:numFmt w:val="decimal"/>
      <w:lvlText w:val="%1."/>
      <w:lvlJc w:val="left"/>
      <w:pPr>
        <w:ind w:left="360" w:hanging="360"/>
      </w:pPr>
      <w:rPr>
        <w:rFonts w:hint="default"/>
        <w:b w:val="0"/>
        <w:i w:val="0"/>
        <w:sz w:val="16"/>
        <w:u w:val="none"/>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0" w15:restartNumberingAfterBreak="0">
    <w:nsid w:val="575F20FF"/>
    <w:multiLevelType w:val="hybridMultilevel"/>
    <w:tmpl w:val="92BEFC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F087898"/>
    <w:multiLevelType w:val="hybridMultilevel"/>
    <w:tmpl w:val="6840E89C"/>
    <w:lvl w:ilvl="0" w:tplc="0C090003">
      <w:start w:val="1"/>
      <w:numFmt w:val="bullet"/>
      <w:lvlText w:val="o"/>
      <w:lvlJc w:val="left"/>
      <w:pPr>
        <w:ind w:left="720" w:hanging="360"/>
      </w:pPr>
      <w:rPr>
        <w:rFonts w:ascii="Courier New" w:hAnsi="Courier New" w:cs="Courier New" w:hint="default"/>
      </w:rPr>
    </w:lvl>
    <w:lvl w:ilvl="1" w:tplc="CA3E682C">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C91463"/>
    <w:multiLevelType w:val="hybridMultilevel"/>
    <w:tmpl w:val="4ED84ECC"/>
    <w:lvl w:ilvl="0" w:tplc="98602FBE">
      <w:start w:val="1"/>
      <w:numFmt w:val="bullet"/>
      <w:pStyle w:val="Bullets"/>
      <w:lvlText w:val=""/>
      <w:lvlJc w:val="left"/>
      <w:pPr>
        <w:ind w:left="1495"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4FC7242"/>
    <w:multiLevelType w:val="hybridMultilevel"/>
    <w:tmpl w:val="48C64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BC1CCE"/>
    <w:multiLevelType w:val="hybridMultilevel"/>
    <w:tmpl w:val="70BEBA8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6FC0E07"/>
    <w:multiLevelType w:val="hybridMultilevel"/>
    <w:tmpl w:val="5D3C21F6"/>
    <w:lvl w:ilvl="0" w:tplc="1AB8621A">
      <w:start w:val="1"/>
      <w:numFmt w:val="decimal"/>
      <w:pStyle w:val="NoteIndent"/>
      <w:lvlText w:val="%1."/>
      <w:lvlJc w:val="left"/>
      <w:pPr>
        <w:ind w:left="360" w:hanging="360"/>
      </w:pPr>
      <w:rPr>
        <w:rFonts w:ascii="Arial" w:hAnsi="Arial" w:hint="default"/>
        <w:b w:val="0"/>
        <w:i w:val="0"/>
        <w:sz w:val="16"/>
        <w:u w:val="none"/>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6" w15:restartNumberingAfterBreak="0">
    <w:nsid w:val="77560220"/>
    <w:multiLevelType w:val="hybridMultilevel"/>
    <w:tmpl w:val="63D8C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CDA7AD7"/>
    <w:multiLevelType w:val="hybridMultilevel"/>
    <w:tmpl w:val="EE862EDA"/>
    <w:lvl w:ilvl="0" w:tplc="786EB4D6">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D563300"/>
    <w:multiLevelType w:val="hybridMultilevel"/>
    <w:tmpl w:val="92BEFC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F43785E"/>
    <w:multiLevelType w:val="hybridMultilevel"/>
    <w:tmpl w:val="4FBA038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910455581">
    <w:abstractNumId w:val="11"/>
  </w:num>
  <w:num w:numId="2" w16cid:durableId="1351837889">
    <w:abstractNumId w:val="10"/>
  </w:num>
  <w:num w:numId="3" w16cid:durableId="145053387">
    <w:abstractNumId w:val="6"/>
  </w:num>
  <w:num w:numId="4" w16cid:durableId="1174413289">
    <w:abstractNumId w:val="3"/>
  </w:num>
  <w:num w:numId="5" w16cid:durableId="426072836">
    <w:abstractNumId w:val="17"/>
  </w:num>
  <w:num w:numId="6" w16cid:durableId="461075647">
    <w:abstractNumId w:val="15"/>
  </w:num>
  <w:num w:numId="7" w16cid:durableId="477262659">
    <w:abstractNumId w:val="2"/>
  </w:num>
  <w:num w:numId="8" w16cid:durableId="403600874">
    <w:abstractNumId w:val="16"/>
  </w:num>
  <w:num w:numId="9" w16cid:durableId="945307630">
    <w:abstractNumId w:val="0"/>
  </w:num>
  <w:num w:numId="10" w16cid:durableId="2046173017">
    <w:abstractNumId w:val="1"/>
  </w:num>
  <w:num w:numId="11" w16cid:durableId="1034814239">
    <w:abstractNumId w:val="22"/>
  </w:num>
  <w:num w:numId="12" w16cid:durableId="1579561314">
    <w:abstractNumId w:val="24"/>
  </w:num>
  <w:num w:numId="13" w16cid:durableId="1237587481">
    <w:abstractNumId w:val="14"/>
  </w:num>
  <w:num w:numId="14" w16cid:durableId="1505320670">
    <w:abstractNumId w:val="13"/>
  </w:num>
  <w:num w:numId="15" w16cid:durableId="1630041076">
    <w:abstractNumId w:val="26"/>
  </w:num>
  <w:num w:numId="16" w16cid:durableId="269748940">
    <w:abstractNumId w:val="23"/>
  </w:num>
  <w:num w:numId="17" w16cid:durableId="360279813">
    <w:abstractNumId w:val="5"/>
  </w:num>
  <w:num w:numId="18" w16cid:durableId="1438985019">
    <w:abstractNumId w:val="29"/>
  </w:num>
  <w:num w:numId="19" w16cid:durableId="1357121421">
    <w:abstractNumId w:val="20"/>
  </w:num>
  <w:num w:numId="20" w16cid:durableId="1920360455">
    <w:abstractNumId w:val="27"/>
  </w:num>
  <w:num w:numId="21" w16cid:durableId="1918593968">
    <w:abstractNumId w:val="18"/>
  </w:num>
  <w:num w:numId="22" w16cid:durableId="894124135">
    <w:abstractNumId w:val="8"/>
  </w:num>
  <w:num w:numId="23" w16cid:durableId="56439755">
    <w:abstractNumId w:val="21"/>
  </w:num>
  <w:num w:numId="24" w16cid:durableId="22294993">
    <w:abstractNumId w:val="25"/>
  </w:num>
  <w:num w:numId="25" w16cid:durableId="527059543">
    <w:abstractNumId w:val="25"/>
    <w:lvlOverride w:ilvl="0">
      <w:startOverride w:val="1"/>
    </w:lvlOverride>
  </w:num>
  <w:num w:numId="26" w16cid:durableId="1282834304">
    <w:abstractNumId w:val="28"/>
  </w:num>
  <w:num w:numId="27" w16cid:durableId="2003317074">
    <w:abstractNumId w:val="19"/>
  </w:num>
  <w:num w:numId="28" w16cid:durableId="91172363">
    <w:abstractNumId w:val="4"/>
  </w:num>
  <w:num w:numId="29" w16cid:durableId="4970351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59137446">
    <w:abstractNumId w:val="12"/>
  </w:num>
  <w:num w:numId="31" w16cid:durableId="635911179">
    <w:abstractNumId w:val="7"/>
  </w:num>
  <w:num w:numId="32" w16cid:durableId="17003514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974245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559440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200141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326699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613133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808300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336575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85224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032975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01207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959962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00277626">
    <w:abstractNumId w:val="17"/>
  </w:num>
  <w:num w:numId="45" w16cid:durableId="1304433481">
    <w:abstractNumId w:val="17"/>
  </w:num>
  <w:num w:numId="46" w16cid:durableId="1097676291">
    <w:abstractNumId w:val="5"/>
  </w:num>
  <w:num w:numId="47" w16cid:durableId="1073893678">
    <w:abstractNumId w:val="22"/>
  </w:num>
  <w:num w:numId="48" w16cid:durableId="1545944503">
    <w:abstractNumId w:val="22"/>
  </w:num>
  <w:num w:numId="49" w16cid:durableId="338242279">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E43"/>
    <w:rsid w:val="0000216A"/>
    <w:rsid w:val="00002245"/>
    <w:rsid w:val="00006FF4"/>
    <w:rsid w:val="000075E6"/>
    <w:rsid w:val="00011299"/>
    <w:rsid w:val="000119B5"/>
    <w:rsid w:val="00011CBD"/>
    <w:rsid w:val="000136C6"/>
    <w:rsid w:val="000172DE"/>
    <w:rsid w:val="000232DB"/>
    <w:rsid w:val="0002453F"/>
    <w:rsid w:val="00024A64"/>
    <w:rsid w:val="00025D94"/>
    <w:rsid w:val="000269F1"/>
    <w:rsid w:val="00026FAE"/>
    <w:rsid w:val="00031C77"/>
    <w:rsid w:val="00031D74"/>
    <w:rsid w:val="00032DD3"/>
    <w:rsid w:val="00032EC9"/>
    <w:rsid w:val="0003366E"/>
    <w:rsid w:val="00035DF6"/>
    <w:rsid w:val="0004153E"/>
    <w:rsid w:val="000417EA"/>
    <w:rsid w:val="0004230C"/>
    <w:rsid w:val="00043427"/>
    <w:rsid w:val="00043E43"/>
    <w:rsid w:val="00045352"/>
    <w:rsid w:val="00046377"/>
    <w:rsid w:val="00046D6D"/>
    <w:rsid w:val="000478C4"/>
    <w:rsid w:val="000538C0"/>
    <w:rsid w:val="000546B0"/>
    <w:rsid w:val="00054701"/>
    <w:rsid w:val="00061608"/>
    <w:rsid w:val="000618EF"/>
    <w:rsid w:val="00066BC3"/>
    <w:rsid w:val="0007043B"/>
    <w:rsid w:val="00071A33"/>
    <w:rsid w:val="00075C4D"/>
    <w:rsid w:val="00083AF9"/>
    <w:rsid w:val="00086E10"/>
    <w:rsid w:val="00087E9C"/>
    <w:rsid w:val="00090EB3"/>
    <w:rsid w:val="00092F40"/>
    <w:rsid w:val="00093741"/>
    <w:rsid w:val="00094CC2"/>
    <w:rsid w:val="0009552E"/>
    <w:rsid w:val="00096CD2"/>
    <w:rsid w:val="000A19E8"/>
    <w:rsid w:val="000A422B"/>
    <w:rsid w:val="000A5909"/>
    <w:rsid w:val="000B19C8"/>
    <w:rsid w:val="000B3049"/>
    <w:rsid w:val="000B6508"/>
    <w:rsid w:val="000B6604"/>
    <w:rsid w:val="000C3195"/>
    <w:rsid w:val="000C5144"/>
    <w:rsid w:val="000C6C6C"/>
    <w:rsid w:val="000D1748"/>
    <w:rsid w:val="000D1768"/>
    <w:rsid w:val="000D3234"/>
    <w:rsid w:val="000D737F"/>
    <w:rsid w:val="000E19B8"/>
    <w:rsid w:val="000E756F"/>
    <w:rsid w:val="000F0CA3"/>
    <w:rsid w:val="000F0F24"/>
    <w:rsid w:val="000F2B2A"/>
    <w:rsid w:val="000F2B37"/>
    <w:rsid w:val="000F362A"/>
    <w:rsid w:val="000F38C5"/>
    <w:rsid w:val="000F4E38"/>
    <w:rsid w:val="000F4FD4"/>
    <w:rsid w:val="000F7178"/>
    <w:rsid w:val="000F7393"/>
    <w:rsid w:val="00101A79"/>
    <w:rsid w:val="001046CF"/>
    <w:rsid w:val="00105B0E"/>
    <w:rsid w:val="00105C34"/>
    <w:rsid w:val="00106DF0"/>
    <w:rsid w:val="00107753"/>
    <w:rsid w:val="00111FA3"/>
    <w:rsid w:val="001129EF"/>
    <w:rsid w:val="00112A0B"/>
    <w:rsid w:val="00113864"/>
    <w:rsid w:val="00113E29"/>
    <w:rsid w:val="0011482E"/>
    <w:rsid w:val="0012170B"/>
    <w:rsid w:val="0012301F"/>
    <w:rsid w:val="00123D86"/>
    <w:rsid w:val="00127FEB"/>
    <w:rsid w:val="001309F0"/>
    <w:rsid w:val="00130F04"/>
    <w:rsid w:val="00132969"/>
    <w:rsid w:val="00133E0D"/>
    <w:rsid w:val="0013426D"/>
    <w:rsid w:val="001348A8"/>
    <w:rsid w:val="00136C40"/>
    <w:rsid w:val="00140386"/>
    <w:rsid w:val="001416F0"/>
    <w:rsid w:val="001423E3"/>
    <w:rsid w:val="00147AC7"/>
    <w:rsid w:val="00147D5A"/>
    <w:rsid w:val="0015271D"/>
    <w:rsid w:val="00153146"/>
    <w:rsid w:val="00153B8A"/>
    <w:rsid w:val="00153FC4"/>
    <w:rsid w:val="001632F5"/>
    <w:rsid w:val="00164038"/>
    <w:rsid w:val="00164414"/>
    <w:rsid w:val="00164522"/>
    <w:rsid w:val="001655A7"/>
    <w:rsid w:val="00167E4A"/>
    <w:rsid w:val="001704F8"/>
    <w:rsid w:val="001713B9"/>
    <w:rsid w:val="00175D1A"/>
    <w:rsid w:val="00175DE9"/>
    <w:rsid w:val="001814E6"/>
    <w:rsid w:val="0018397E"/>
    <w:rsid w:val="00184118"/>
    <w:rsid w:val="00184736"/>
    <w:rsid w:val="001852CE"/>
    <w:rsid w:val="001860E0"/>
    <w:rsid w:val="0018765B"/>
    <w:rsid w:val="00192141"/>
    <w:rsid w:val="001934AC"/>
    <w:rsid w:val="001A0670"/>
    <w:rsid w:val="001A10E9"/>
    <w:rsid w:val="001A1945"/>
    <w:rsid w:val="001A6771"/>
    <w:rsid w:val="001A6E4E"/>
    <w:rsid w:val="001B0F2A"/>
    <w:rsid w:val="001B1AB6"/>
    <w:rsid w:val="001B6D8F"/>
    <w:rsid w:val="001C3AB5"/>
    <w:rsid w:val="001C485E"/>
    <w:rsid w:val="001C78EC"/>
    <w:rsid w:val="001D1FE8"/>
    <w:rsid w:val="001D2D73"/>
    <w:rsid w:val="001D374B"/>
    <w:rsid w:val="001D4B99"/>
    <w:rsid w:val="001D6D2B"/>
    <w:rsid w:val="001D724B"/>
    <w:rsid w:val="001E09CE"/>
    <w:rsid w:val="001E33EB"/>
    <w:rsid w:val="001E36B6"/>
    <w:rsid w:val="001E3FE8"/>
    <w:rsid w:val="001E5B31"/>
    <w:rsid w:val="001E75B7"/>
    <w:rsid w:val="001F08A0"/>
    <w:rsid w:val="001F26DB"/>
    <w:rsid w:val="001F452D"/>
    <w:rsid w:val="00203D11"/>
    <w:rsid w:val="00210170"/>
    <w:rsid w:val="00213187"/>
    <w:rsid w:val="002156F4"/>
    <w:rsid w:val="00217068"/>
    <w:rsid w:val="002220EE"/>
    <w:rsid w:val="002234C0"/>
    <w:rsid w:val="00223FC5"/>
    <w:rsid w:val="00225105"/>
    <w:rsid w:val="00231377"/>
    <w:rsid w:val="002316DF"/>
    <w:rsid w:val="00231CF5"/>
    <w:rsid w:val="00232E52"/>
    <w:rsid w:val="00234855"/>
    <w:rsid w:val="0023651C"/>
    <w:rsid w:val="00236A2D"/>
    <w:rsid w:val="00240486"/>
    <w:rsid w:val="00243E70"/>
    <w:rsid w:val="00245BAD"/>
    <w:rsid w:val="0025240B"/>
    <w:rsid w:val="00254EAA"/>
    <w:rsid w:val="00256C9D"/>
    <w:rsid w:val="00257E07"/>
    <w:rsid w:val="00257FD8"/>
    <w:rsid w:val="00260251"/>
    <w:rsid w:val="00261D7E"/>
    <w:rsid w:val="0026314D"/>
    <w:rsid w:val="00263AC4"/>
    <w:rsid w:val="00263E42"/>
    <w:rsid w:val="00263F50"/>
    <w:rsid w:val="00265BEE"/>
    <w:rsid w:val="002711D1"/>
    <w:rsid w:val="00271ED9"/>
    <w:rsid w:val="0027255D"/>
    <w:rsid w:val="00272F30"/>
    <w:rsid w:val="00274015"/>
    <w:rsid w:val="00285372"/>
    <w:rsid w:val="002865EE"/>
    <w:rsid w:val="00290025"/>
    <w:rsid w:val="00291223"/>
    <w:rsid w:val="0029460F"/>
    <w:rsid w:val="0029544B"/>
    <w:rsid w:val="00296809"/>
    <w:rsid w:val="002A0686"/>
    <w:rsid w:val="002A529E"/>
    <w:rsid w:val="002A6961"/>
    <w:rsid w:val="002A7307"/>
    <w:rsid w:val="002A766F"/>
    <w:rsid w:val="002B12B1"/>
    <w:rsid w:val="002B19EC"/>
    <w:rsid w:val="002B36C2"/>
    <w:rsid w:val="002B3C46"/>
    <w:rsid w:val="002B3D98"/>
    <w:rsid w:val="002B673D"/>
    <w:rsid w:val="002B6DB2"/>
    <w:rsid w:val="002C033E"/>
    <w:rsid w:val="002C23AF"/>
    <w:rsid w:val="002D0178"/>
    <w:rsid w:val="002D2A61"/>
    <w:rsid w:val="002D427D"/>
    <w:rsid w:val="002D64F0"/>
    <w:rsid w:val="002E099A"/>
    <w:rsid w:val="002E0AA7"/>
    <w:rsid w:val="002E1A16"/>
    <w:rsid w:val="002E1D16"/>
    <w:rsid w:val="002E3BD8"/>
    <w:rsid w:val="002F0868"/>
    <w:rsid w:val="002F33BF"/>
    <w:rsid w:val="002F3C9E"/>
    <w:rsid w:val="002F6B93"/>
    <w:rsid w:val="00300753"/>
    <w:rsid w:val="0030224C"/>
    <w:rsid w:val="003030C5"/>
    <w:rsid w:val="00303B31"/>
    <w:rsid w:val="003041B6"/>
    <w:rsid w:val="00304D60"/>
    <w:rsid w:val="00304FDE"/>
    <w:rsid w:val="00306A63"/>
    <w:rsid w:val="00306E5E"/>
    <w:rsid w:val="00311C09"/>
    <w:rsid w:val="003130A7"/>
    <w:rsid w:val="00313A13"/>
    <w:rsid w:val="00320BBF"/>
    <w:rsid w:val="003217FF"/>
    <w:rsid w:val="00322467"/>
    <w:rsid w:val="003234CB"/>
    <w:rsid w:val="003301B6"/>
    <w:rsid w:val="00332DB3"/>
    <w:rsid w:val="00336783"/>
    <w:rsid w:val="00340989"/>
    <w:rsid w:val="003430A8"/>
    <w:rsid w:val="00343535"/>
    <w:rsid w:val="00347659"/>
    <w:rsid w:val="00350019"/>
    <w:rsid w:val="003511DD"/>
    <w:rsid w:val="003538E5"/>
    <w:rsid w:val="003543DA"/>
    <w:rsid w:val="00354B1F"/>
    <w:rsid w:val="003625A7"/>
    <w:rsid w:val="0036528E"/>
    <w:rsid w:val="0036598B"/>
    <w:rsid w:val="003662A9"/>
    <w:rsid w:val="00367610"/>
    <w:rsid w:val="00367AA7"/>
    <w:rsid w:val="00367BDD"/>
    <w:rsid w:val="003702F0"/>
    <w:rsid w:val="00371949"/>
    <w:rsid w:val="0037578B"/>
    <w:rsid w:val="00380DBF"/>
    <w:rsid w:val="00384B90"/>
    <w:rsid w:val="00385386"/>
    <w:rsid w:val="0039011A"/>
    <w:rsid w:val="00390AB0"/>
    <w:rsid w:val="00392656"/>
    <w:rsid w:val="0039395A"/>
    <w:rsid w:val="003945F9"/>
    <w:rsid w:val="003A06B6"/>
    <w:rsid w:val="003A22ED"/>
    <w:rsid w:val="003A4103"/>
    <w:rsid w:val="003A4A49"/>
    <w:rsid w:val="003A58DE"/>
    <w:rsid w:val="003A6AA0"/>
    <w:rsid w:val="003A707E"/>
    <w:rsid w:val="003A7B1B"/>
    <w:rsid w:val="003B099B"/>
    <w:rsid w:val="003B23B8"/>
    <w:rsid w:val="003B42B5"/>
    <w:rsid w:val="003C3136"/>
    <w:rsid w:val="003C46FB"/>
    <w:rsid w:val="003C5936"/>
    <w:rsid w:val="003C6BFE"/>
    <w:rsid w:val="003C6C74"/>
    <w:rsid w:val="003C77AB"/>
    <w:rsid w:val="003D1514"/>
    <w:rsid w:val="003D271B"/>
    <w:rsid w:val="003D3282"/>
    <w:rsid w:val="003D33AE"/>
    <w:rsid w:val="003D5529"/>
    <w:rsid w:val="003E57F5"/>
    <w:rsid w:val="003E64DC"/>
    <w:rsid w:val="003E68A4"/>
    <w:rsid w:val="003F0EA2"/>
    <w:rsid w:val="003F2232"/>
    <w:rsid w:val="003F6E29"/>
    <w:rsid w:val="00400024"/>
    <w:rsid w:val="0040168F"/>
    <w:rsid w:val="004025F8"/>
    <w:rsid w:val="00410D7C"/>
    <w:rsid w:val="004116F3"/>
    <w:rsid w:val="0041179C"/>
    <w:rsid w:val="00412236"/>
    <w:rsid w:val="00412C9F"/>
    <w:rsid w:val="00413B5A"/>
    <w:rsid w:val="00417834"/>
    <w:rsid w:val="00420C90"/>
    <w:rsid w:val="00422D0A"/>
    <w:rsid w:val="0043009B"/>
    <w:rsid w:val="00430BF0"/>
    <w:rsid w:val="00431E89"/>
    <w:rsid w:val="004349E1"/>
    <w:rsid w:val="00434BC5"/>
    <w:rsid w:val="00442197"/>
    <w:rsid w:val="00442EA7"/>
    <w:rsid w:val="0044432F"/>
    <w:rsid w:val="0044669E"/>
    <w:rsid w:val="00446782"/>
    <w:rsid w:val="00453005"/>
    <w:rsid w:val="004561A8"/>
    <w:rsid w:val="004565DA"/>
    <w:rsid w:val="0046094A"/>
    <w:rsid w:val="00461B26"/>
    <w:rsid w:val="00462A21"/>
    <w:rsid w:val="00463DBE"/>
    <w:rsid w:val="00466D4D"/>
    <w:rsid w:val="00470183"/>
    <w:rsid w:val="00472D81"/>
    <w:rsid w:val="00473177"/>
    <w:rsid w:val="0047494C"/>
    <w:rsid w:val="00480115"/>
    <w:rsid w:val="00480234"/>
    <w:rsid w:val="00483150"/>
    <w:rsid w:val="00483A9A"/>
    <w:rsid w:val="00483EBC"/>
    <w:rsid w:val="00484AF6"/>
    <w:rsid w:val="004862C9"/>
    <w:rsid w:val="00486C5C"/>
    <w:rsid w:val="00491141"/>
    <w:rsid w:val="00492D16"/>
    <w:rsid w:val="00495E4F"/>
    <w:rsid w:val="004A1ACF"/>
    <w:rsid w:val="004A5C67"/>
    <w:rsid w:val="004B107F"/>
    <w:rsid w:val="004B1A81"/>
    <w:rsid w:val="004B6779"/>
    <w:rsid w:val="004C09BB"/>
    <w:rsid w:val="004C23B2"/>
    <w:rsid w:val="004C41C6"/>
    <w:rsid w:val="004C5C60"/>
    <w:rsid w:val="004D0DAC"/>
    <w:rsid w:val="004D20EB"/>
    <w:rsid w:val="004D2C89"/>
    <w:rsid w:val="004D3500"/>
    <w:rsid w:val="004D3DC2"/>
    <w:rsid w:val="004D652F"/>
    <w:rsid w:val="004D71DA"/>
    <w:rsid w:val="004D7761"/>
    <w:rsid w:val="004E0D3A"/>
    <w:rsid w:val="004E1B76"/>
    <w:rsid w:val="004E332D"/>
    <w:rsid w:val="004E6039"/>
    <w:rsid w:val="004F15C4"/>
    <w:rsid w:val="004F4501"/>
    <w:rsid w:val="004F5809"/>
    <w:rsid w:val="004F58CB"/>
    <w:rsid w:val="004F6972"/>
    <w:rsid w:val="005016C1"/>
    <w:rsid w:val="0050354B"/>
    <w:rsid w:val="0050476B"/>
    <w:rsid w:val="00504D87"/>
    <w:rsid w:val="00505FB4"/>
    <w:rsid w:val="005073FC"/>
    <w:rsid w:val="00514051"/>
    <w:rsid w:val="005155C0"/>
    <w:rsid w:val="00515C0E"/>
    <w:rsid w:val="00517440"/>
    <w:rsid w:val="00521A80"/>
    <w:rsid w:val="005235B4"/>
    <w:rsid w:val="005257BB"/>
    <w:rsid w:val="00525A5A"/>
    <w:rsid w:val="00532C4D"/>
    <w:rsid w:val="005361BE"/>
    <w:rsid w:val="00536562"/>
    <w:rsid w:val="00536C18"/>
    <w:rsid w:val="00536FDC"/>
    <w:rsid w:val="00541B75"/>
    <w:rsid w:val="00545B23"/>
    <w:rsid w:val="00546D8B"/>
    <w:rsid w:val="00550FA8"/>
    <w:rsid w:val="00551698"/>
    <w:rsid w:val="00551E88"/>
    <w:rsid w:val="005571F7"/>
    <w:rsid w:val="005573C6"/>
    <w:rsid w:val="00561C7C"/>
    <w:rsid w:val="005651E7"/>
    <w:rsid w:val="00565B89"/>
    <w:rsid w:val="00567E6E"/>
    <w:rsid w:val="0057015E"/>
    <w:rsid w:val="0057372A"/>
    <w:rsid w:val="00575D81"/>
    <w:rsid w:val="00582406"/>
    <w:rsid w:val="005873A7"/>
    <w:rsid w:val="00587AC3"/>
    <w:rsid w:val="0059100E"/>
    <w:rsid w:val="00592446"/>
    <w:rsid w:val="00597D70"/>
    <w:rsid w:val="005A01C0"/>
    <w:rsid w:val="005A3453"/>
    <w:rsid w:val="005A5680"/>
    <w:rsid w:val="005A5708"/>
    <w:rsid w:val="005A5F9E"/>
    <w:rsid w:val="005A62BC"/>
    <w:rsid w:val="005A679C"/>
    <w:rsid w:val="005A6871"/>
    <w:rsid w:val="005A6ECF"/>
    <w:rsid w:val="005B22FF"/>
    <w:rsid w:val="005B32BE"/>
    <w:rsid w:val="005B6BA0"/>
    <w:rsid w:val="005C0C2D"/>
    <w:rsid w:val="005C101B"/>
    <w:rsid w:val="005C5B2A"/>
    <w:rsid w:val="005C69C9"/>
    <w:rsid w:val="005C7712"/>
    <w:rsid w:val="005D201A"/>
    <w:rsid w:val="005D21FB"/>
    <w:rsid w:val="005D44DA"/>
    <w:rsid w:val="005D56AC"/>
    <w:rsid w:val="005D5C7A"/>
    <w:rsid w:val="005D5F65"/>
    <w:rsid w:val="005E06B6"/>
    <w:rsid w:val="005E0F4E"/>
    <w:rsid w:val="005E280D"/>
    <w:rsid w:val="005E2B14"/>
    <w:rsid w:val="005E2B50"/>
    <w:rsid w:val="005E54D9"/>
    <w:rsid w:val="005F02C3"/>
    <w:rsid w:val="005F0511"/>
    <w:rsid w:val="005F0878"/>
    <w:rsid w:val="005F2BAE"/>
    <w:rsid w:val="005F3E2F"/>
    <w:rsid w:val="005F4D97"/>
    <w:rsid w:val="005F566F"/>
    <w:rsid w:val="006003FB"/>
    <w:rsid w:val="00602832"/>
    <w:rsid w:val="006032D0"/>
    <w:rsid w:val="00604058"/>
    <w:rsid w:val="006062E3"/>
    <w:rsid w:val="0060635F"/>
    <w:rsid w:val="00606DFB"/>
    <w:rsid w:val="006070CD"/>
    <w:rsid w:val="006079A7"/>
    <w:rsid w:val="00611DC0"/>
    <w:rsid w:val="006123B5"/>
    <w:rsid w:val="00630D85"/>
    <w:rsid w:val="00641453"/>
    <w:rsid w:val="0064691F"/>
    <w:rsid w:val="006471A9"/>
    <w:rsid w:val="006524C1"/>
    <w:rsid w:val="00653891"/>
    <w:rsid w:val="00656261"/>
    <w:rsid w:val="00663309"/>
    <w:rsid w:val="00664D52"/>
    <w:rsid w:val="00671BF9"/>
    <w:rsid w:val="00673A59"/>
    <w:rsid w:val="00681DB9"/>
    <w:rsid w:val="00683454"/>
    <w:rsid w:val="00684577"/>
    <w:rsid w:val="00690745"/>
    <w:rsid w:val="006936D7"/>
    <w:rsid w:val="00694363"/>
    <w:rsid w:val="006944BF"/>
    <w:rsid w:val="00694BA3"/>
    <w:rsid w:val="00695E2A"/>
    <w:rsid w:val="006960B8"/>
    <w:rsid w:val="00697206"/>
    <w:rsid w:val="006A0322"/>
    <w:rsid w:val="006A0968"/>
    <w:rsid w:val="006A1759"/>
    <w:rsid w:val="006A24D8"/>
    <w:rsid w:val="006A2546"/>
    <w:rsid w:val="006A2571"/>
    <w:rsid w:val="006A5078"/>
    <w:rsid w:val="006A63B7"/>
    <w:rsid w:val="006B22AD"/>
    <w:rsid w:val="006B56FC"/>
    <w:rsid w:val="006B7332"/>
    <w:rsid w:val="006C07D4"/>
    <w:rsid w:val="006C2753"/>
    <w:rsid w:val="006C34DF"/>
    <w:rsid w:val="006C505B"/>
    <w:rsid w:val="006C60F3"/>
    <w:rsid w:val="006C7301"/>
    <w:rsid w:val="006C7957"/>
    <w:rsid w:val="006D0FCC"/>
    <w:rsid w:val="006D65F8"/>
    <w:rsid w:val="006D7567"/>
    <w:rsid w:val="006E17A3"/>
    <w:rsid w:val="006E1BD6"/>
    <w:rsid w:val="006E1D38"/>
    <w:rsid w:val="006E2241"/>
    <w:rsid w:val="006E4BBD"/>
    <w:rsid w:val="006E5B8F"/>
    <w:rsid w:val="006E5D70"/>
    <w:rsid w:val="006F0918"/>
    <w:rsid w:val="006F1E12"/>
    <w:rsid w:val="006F348C"/>
    <w:rsid w:val="006F5052"/>
    <w:rsid w:val="00701329"/>
    <w:rsid w:val="00701B7D"/>
    <w:rsid w:val="00703B39"/>
    <w:rsid w:val="007068DD"/>
    <w:rsid w:val="0070706C"/>
    <w:rsid w:val="00711E6E"/>
    <w:rsid w:val="00716711"/>
    <w:rsid w:val="0072022F"/>
    <w:rsid w:val="007216F9"/>
    <w:rsid w:val="00721B61"/>
    <w:rsid w:val="007237BF"/>
    <w:rsid w:val="0072433B"/>
    <w:rsid w:val="00724A0B"/>
    <w:rsid w:val="00725D8B"/>
    <w:rsid w:val="007265A9"/>
    <w:rsid w:val="00732B64"/>
    <w:rsid w:val="00737B11"/>
    <w:rsid w:val="00740657"/>
    <w:rsid w:val="00743290"/>
    <w:rsid w:val="00743353"/>
    <w:rsid w:val="0074561D"/>
    <w:rsid w:val="0074666F"/>
    <w:rsid w:val="00746A53"/>
    <w:rsid w:val="00747F19"/>
    <w:rsid w:val="00747F96"/>
    <w:rsid w:val="00750720"/>
    <w:rsid w:val="00750F88"/>
    <w:rsid w:val="007518ED"/>
    <w:rsid w:val="00752A10"/>
    <w:rsid w:val="00752FBB"/>
    <w:rsid w:val="00753768"/>
    <w:rsid w:val="00753EA5"/>
    <w:rsid w:val="007547FD"/>
    <w:rsid w:val="007563CB"/>
    <w:rsid w:val="00757BA3"/>
    <w:rsid w:val="00760EEF"/>
    <w:rsid w:val="007614F1"/>
    <w:rsid w:val="007657E1"/>
    <w:rsid w:val="00766256"/>
    <w:rsid w:val="007713CB"/>
    <w:rsid w:val="00771730"/>
    <w:rsid w:val="007721EA"/>
    <w:rsid w:val="00773229"/>
    <w:rsid w:val="007742D2"/>
    <w:rsid w:val="007757BF"/>
    <w:rsid w:val="007777D5"/>
    <w:rsid w:val="007806D3"/>
    <w:rsid w:val="0078411A"/>
    <w:rsid w:val="00784E80"/>
    <w:rsid w:val="00787066"/>
    <w:rsid w:val="00787286"/>
    <w:rsid w:val="007903D3"/>
    <w:rsid w:val="00791411"/>
    <w:rsid w:val="007933D7"/>
    <w:rsid w:val="00793497"/>
    <w:rsid w:val="007A2E21"/>
    <w:rsid w:val="007A4233"/>
    <w:rsid w:val="007A48D7"/>
    <w:rsid w:val="007B14A6"/>
    <w:rsid w:val="007C01B6"/>
    <w:rsid w:val="007C1CFC"/>
    <w:rsid w:val="007C2181"/>
    <w:rsid w:val="007C23A5"/>
    <w:rsid w:val="007C252C"/>
    <w:rsid w:val="007C495E"/>
    <w:rsid w:val="007D221E"/>
    <w:rsid w:val="007D2B48"/>
    <w:rsid w:val="007D3C9A"/>
    <w:rsid w:val="007D5B6B"/>
    <w:rsid w:val="007D68B0"/>
    <w:rsid w:val="007D72AE"/>
    <w:rsid w:val="007E4E68"/>
    <w:rsid w:val="007F1A71"/>
    <w:rsid w:val="007F28D3"/>
    <w:rsid w:val="007F37E9"/>
    <w:rsid w:val="007F3A88"/>
    <w:rsid w:val="007F3AD8"/>
    <w:rsid w:val="007F51AF"/>
    <w:rsid w:val="00801937"/>
    <w:rsid w:val="00804235"/>
    <w:rsid w:val="0080441B"/>
    <w:rsid w:val="008107FD"/>
    <w:rsid w:val="008109E9"/>
    <w:rsid w:val="008110C8"/>
    <w:rsid w:val="0081111E"/>
    <w:rsid w:val="008140A6"/>
    <w:rsid w:val="00815A72"/>
    <w:rsid w:val="00816AB8"/>
    <w:rsid w:val="008200FF"/>
    <w:rsid w:val="00820321"/>
    <w:rsid w:val="00823804"/>
    <w:rsid w:val="0082450B"/>
    <w:rsid w:val="00826786"/>
    <w:rsid w:val="008316AD"/>
    <w:rsid w:val="00832455"/>
    <w:rsid w:val="00833393"/>
    <w:rsid w:val="0083428F"/>
    <w:rsid w:val="00841510"/>
    <w:rsid w:val="0084305E"/>
    <w:rsid w:val="00843233"/>
    <w:rsid w:val="00845187"/>
    <w:rsid w:val="00845610"/>
    <w:rsid w:val="00845AC4"/>
    <w:rsid w:val="00847FCA"/>
    <w:rsid w:val="0085203A"/>
    <w:rsid w:val="00853BA5"/>
    <w:rsid w:val="0085629A"/>
    <w:rsid w:val="00861CD5"/>
    <w:rsid w:val="00862137"/>
    <w:rsid w:val="00862312"/>
    <w:rsid w:val="008647D2"/>
    <w:rsid w:val="0086625E"/>
    <w:rsid w:val="00866701"/>
    <w:rsid w:val="00870CE1"/>
    <w:rsid w:val="0087329A"/>
    <w:rsid w:val="00873C7D"/>
    <w:rsid w:val="00873ED4"/>
    <w:rsid w:val="00874E65"/>
    <w:rsid w:val="00875B87"/>
    <w:rsid w:val="008774BB"/>
    <w:rsid w:val="00877507"/>
    <w:rsid w:val="008879F3"/>
    <w:rsid w:val="00890366"/>
    <w:rsid w:val="00890C1D"/>
    <w:rsid w:val="008922A4"/>
    <w:rsid w:val="008931E9"/>
    <w:rsid w:val="00893C04"/>
    <w:rsid w:val="00897CC1"/>
    <w:rsid w:val="008A0E79"/>
    <w:rsid w:val="008A1A98"/>
    <w:rsid w:val="008A2ECB"/>
    <w:rsid w:val="008A3383"/>
    <w:rsid w:val="008A5DD7"/>
    <w:rsid w:val="008A7199"/>
    <w:rsid w:val="008B42D1"/>
    <w:rsid w:val="008B4C6F"/>
    <w:rsid w:val="008B5687"/>
    <w:rsid w:val="008B64C6"/>
    <w:rsid w:val="008B662F"/>
    <w:rsid w:val="008B67E5"/>
    <w:rsid w:val="008C178E"/>
    <w:rsid w:val="008C186D"/>
    <w:rsid w:val="008C1DE1"/>
    <w:rsid w:val="008C3295"/>
    <w:rsid w:val="008C4E8A"/>
    <w:rsid w:val="008C5AA4"/>
    <w:rsid w:val="008C6954"/>
    <w:rsid w:val="008D0D02"/>
    <w:rsid w:val="008D11A0"/>
    <w:rsid w:val="008D35B8"/>
    <w:rsid w:val="008D7A46"/>
    <w:rsid w:val="008E0653"/>
    <w:rsid w:val="008E2597"/>
    <w:rsid w:val="008F0819"/>
    <w:rsid w:val="008F1CB9"/>
    <w:rsid w:val="008F616F"/>
    <w:rsid w:val="008F78D7"/>
    <w:rsid w:val="00902231"/>
    <w:rsid w:val="00903A43"/>
    <w:rsid w:val="00905CB4"/>
    <w:rsid w:val="00906542"/>
    <w:rsid w:val="00910EE0"/>
    <w:rsid w:val="00911AF0"/>
    <w:rsid w:val="00913EE0"/>
    <w:rsid w:val="00916833"/>
    <w:rsid w:val="0091782E"/>
    <w:rsid w:val="009200C1"/>
    <w:rsid w:val="00920F09"/>
    <w:rsid w:val="009249DC"/>
    <w:rsid w:val="00926B4E"/>
    <w:rsid w:val="00927102"/>
    <w:rsid w:val="009278E0"/>
    <w:rsid w:val="00930DBC"/>
    <w:rsid w:val="00930ECB"/>
    <w:rsid w:val="009317ED"/>
    <w:rsid w:val="009352FD"/>
    <w:rsid w:val="009400FC"/>
    <w:rsid w:val="00941C03"/>
    <w:rsid w:val="0094252B"/>
    <w:rsid w:val="009446EC"/>
    <w:rsid w:val="00952922"/>
    <w:rsid w:val="00955131"/>
    <w:rsid w:val="0095570C"/>
    <w:rsid w:val="00957052"/>
    <w:rsid w:val="00960735"/>
    <w:rsid w:val="009611E1"/>
    <w:rsid w:val="00961F2C"/>
    <w:rsid w:val="00964413"/>
    <w:rsid w:val="009650EE"/>
    <w:rsid w:val="00966844"/>
    <w:rsid w:val="009704E5"/>
    <w:rsid w:val="009715BA"/>
    <w:rsid w:val="009722E3"/>
    <w:rsid w:val="00972C49"/>
    <w:rsid w:val="00973392"/>
    <w:rsid w:val="0097662A"/>
    <w:rsid w:val="009769E7"/>
    <w:rsid w:val="00981019"/>
    <w:rsid w:val="009843E7"/>
    <w:rsid w:val="0098526F"/>
    <w:rsid w:val="00985390"/>
    <w:rsid w:val="009878DD"/>
    <w:rsid w:val="009902D9"/>
    <w:rsid w:val="009922AC"/>
    <w:rsid w:val="009924C3"/>
    <w:rsid w:val="009940C5"/>
    <w:rsid w:val="00994FBF"/>
    <w:rsid w:val="00996CAD"/>
    <w:rsid w:val="00997A74"/>
    <w:rsid w:val="009A00D7"/>
    <w:rsid w:val="009A0AF4"/>
    <w:rsid w:val="009A2B47"/>
    <w:rsid w:val="009A5EFC"/>
    <w:rsid w:val="009B025B"/>
    <w:rsid w:val="009B377B"/>
    <w:rsid w:val="009B642A"/>
    <w:rsid w:val="009C7B7F"/>
    <w:rsid w:val="009D1083"/>
    <w:rsid w:val="009D369F"/>
    <w:rsid w:val="009D3914"/>
    <w:rsid w:val="009D3AE9"/>
    <w:rsid w:val="009D3F39"/>
    <w:rsid w:val="009D509E"/>
    <w:rsid w:val="009E20F3"/>
    <w:rsid w:val="009E415F"/>
    <w:rsid w:val="009E4477"/>
    <w:rsid w:val="009E5317"/>
    <w:rsid w:val="009E66CE"/>
    <w:rsid w:val="009F189E"/>
    <w:rsid w:val="009F2450"/>
    <w:rsid w:val="009F2ECA"/>
    <w:rsid w:val="009F4E00"/>
    <w:rsid w:val="009F5F8B"/>
    <w:rsid w:val="009F7260"/>
    <w:rsid w:val="00A02878"/>
    <w:rsid w:val="00A04332"/>
    <w:rsid w:val="00A056F2"/>
    <w:rsid w:val="00A066F9"/>
    <w:rsid w:val="00A074D2"/>
    <w:rsid w:val="00A0763D"/>
    <w:rsid w:val="00A10121"/>
    <w:rsid w:val="00A10FBC"/>
    <w:rsid w:val="00A1181E"/>
    <w:rsid w:val="00A11F3A"/>
    <w:rsid w:val="00A13443"/>
    <w:rsid w:val="00A1374A"/>
    <w:rsid w:val="00A16EF1"/>
    <w:rsid w:val="00A173B8"/>
    <w:rsid w:val="00A22370"/>
    <w:rsid w:val="00A240EC"/>
    <w:rsid w:val="00A24F13"/>
    <w:rsid w:val="00A30471"/>
    <w:rsid w:val="00A3072A"/>
    <w:rsid w:val="00A31B4B"/>
    <w:rsid w:val="00A3251C"/>
    <w:rsid w:val="00A32F04"/>
    <w:rsid w:val="00A347C3"/>
    <w:rsid w:val="00A40636"/>
    <w:rsid w:val="00A42488"/>
    <w:rsid w:val="00A44026"/>
    <w:rsid w:val="00A456E5"/>
    <w:rsid w:val="00A45C4D"/>
    <w:rsid w:val="00A472BA"/>
    <w:rsid w:val="00A51E7E"/>
    <w:rsid w:val="00A541E9"/>
    <w:rsid w:val="00A5452C"/>
    <w:rsid w:val="00A5657E"/>
    <w:rsid w:val="00A574A0"/>
    <w:rsid w:val="00A606F7"/>
    <w:rsid w:val="00A64203"/>
    <w:rsid w:val="00A6462A"/>
    <w:rsid w:val="00A65AAC"/>
    <w:rsid w:val="00A67636"/>
    <w:rsid w:val="00A679B1"/>
    <w:rsid w:val="00A70B8D"/>
    <w:rsid w:val="00A734AB"/>
    <w:rsid w:val="00A75C62"/>
    <w:rsid w:val="00A76CB1"/>
    <w:rsid w:val="00A77FD2"/>
    <w:rsid w:val="00A80334"/>
    <w:rsid w:val="00A82B84"/>
    <w:rsid w:val="00A857B1"/>
    <w:rsid w:val="00A90A49"/>
    <w:rsid w:val="00A92302"/>
    <w:rsid w:val="00A931B3"/>
    <w:rsid w:val="00A93B55"/>
    <w:rsid w:val="00A97525"/>
    <w:rsid w:val="00AA15E9"/>
    <w:rsid w:val="00AA209F"/>
    <w:rsid w:val="00AA4539"/>
    <w:rsid w:val="00AA45CA"/>
    <w:rsid w:val="00AB3009"/>
    <w:rsid w:val="00AB37FB"/>
    <w:rsid w:val="00AB65F0"/>
    <w:rsid w:val="00AC36CD"/>
    <w:rsid w:val="00AC3704"/>
    <w:rsid w:val="00AC4B70"/>
    <w:rsid w:val="00AC664D"/>
    <w:rsid w:val="00AC7E60"/>
    <w:rsid w:val="00AD029F"/>
    <w:rsid w:val="00AD1021"/>
    <w:rsid w:val="00AD26C2"/>
    <w:rsid w:val="00AD2753"/>
    <w:rsid w:val="00AD2AE8"/>
    <w:rsid w:val="00AE0724"/>
    <w:rsid w:val="00AE1DE4"/>
    <w:rsid w:val="00AE2514"/>
    <w:rsid w:val="00AE25A6"/>
    <w:rsid w:val="00AE3824"/>
    <w:rsid w:val="00AE479E"/>
    <w:rsid w:val="00AE7272"/>
    <w:rsid w:val="00AF0B8C"/>
    <w:rsid w:val="00AF0CAD"/>
    <w:rsid w:val="00AF31D8"/>
    <w:rsid w:val="00AF7E6F"/>
    <w:rsid w:val="00B0572C"/>
    <w:rsid w:val="00B06F8F"/>
    <w:rsid w:val="00B1117D"/>
    <w:rsid w:val="00B13171"/>
    <w:rsid w:val="00B1383A"/>
    <w:rsid w:val="00B21DEB"/>
    <w:rsid w:val="00B24869"/>
    <w:rsid w:val="00B256C2"/>
    <w:rsid w:val="00B257A6"/>
    <w:rsid w:val="00B25AAC"/>
    <w:rsid w:val="00B27FB0"/>
    <w:rsid w:val="00B318C0"/>
    <w:rsid w:val="00B35A6D"/>
    <w:rsid w:val="00B40DDB"/>
    <w:rsid w:val="00B4126A"/>
    <w:rsid w:val="00B4196F"/>
    <w:rsid w:val="00B41FE4"/>
    <w:rsid w:val="00B4264C"/>
    <w:rsid w:val="00B42751"/>
    <w:rsid w:val="00B42D43"/>
    <w:rsid w:val="00B45B5C"/>
    <w:rsid w:val="00B4634D"/>
    <w:rsid w:val="00B52A5C"/>
    <w:rsid w:val="00B5390E"/>
    <w:rsid w:val="00B569D3"/>
    <w:rsid w:val="00B5765F"/>
    <w:rsid w:val="00B57F4D"/>
    <w:rsid w:val="00B61BD7"/>
    <w:rsid w:val="00B63837"/>
    <w:rsid w:val="00B70094"/>
    <w:rsid w:val="00B70E8E"/>
    <w:rsid w:val="00B71DA5"/>
    <w:rsid w:val="00B74227"/>
    <w:rsid w:val="00B760D6"/>
    <w:rsid w:val="00B802BD"/>
    <w:rsid w:val="00B81144"/>
    <w:rsid w:val="00B846E5"/>
    <w:rsid w:val="00B87D86"/>
    <w:rsid w:val="00B87F38"/>
    <w:rsid w:val="00B91C5F"/>
    <w:rsid w:val="00B9395F"/>
    <w:rsid w:val="00B941ED"/>
    <w:rsid w:val="00B9474B"/>
    <w:rsid w:val="00B959DC"/>
    <w:rsid w:val="00BA0DD2"/>
    <w:rsid w:val="00BA5BA6"/>
    <w:rsid w:val="00BB12A5"/>
    <w:rsid w:val="00BB1301"/>
    <w:rsid w:val="00BB2444"/>
    <w:rsid w:val="00BB3837"/>
    <w:rsid w:val="00BB47FE"/>
    <w:rsid w:val="00BB486A"/>
    <w:rsid w:val="00BB5648"/>
    <w:rsid w:val="00BB6E9D"/>
    <w:rsid w:val="00BB6FA3"/>
    <w:rsid w:val="00BC027B"/>
    <w:rsid w:val="00BC05DF"/>
    <w:rsid w:val="00BC08D5"/>
    <w:rsid w:val="00BC1BBE"/>
    <w:rsid w:val="00BC2A2D"/>
    <w:rsid w:val="00BC3097"/>
    <w:rsid w:val="00BC3DAF"/>
    <w:rsid w:val="00BC47E6"/>
    <w:rsid w:val="00BC54F8"/>
    <w:rsid w:val="00BC5583"/>
    <w:rsid w:val="00BC69CA"/>
    <w:rsid w:val="00BD18E5"/>
    <w:rsid w:val="00BD41D1"/>
    <w:rsid w:val="00BD4FC2"/>
    <w:rsid w:val="00BD68BB"/>
    <w:rsid w:val="00BD7243"/>
    <w:rsid w:val="00BE05EF"/>
    <w:rsid w:val="00BE3D5E"/>
    <w:rsid w:val="00BE4173"/>
    <w:rsid w:val="00BE5463"/>
    <w:rsid w:val="00BE6A3D"/>
    <w:rsid w:val="00BF0E30"/>
    <w:rsid w:val="00BF119C"/>
    <w:rsid w:val="00BF4236"/>
    <w:rsid w:val="00C0031F"/>
    <w:rsid w:val="00C020DF"/>
    <w:rsid w:val="00C03BCC"/>
    <w:rsid w:val="00C0500A"/>
    <w:rsid w:val="00C05512"/>
    <w:rsid w:val="00C05F72"/>
    <w:rsid w:val="00C1082E"/>
    <w:rsid w:val="00C140E1"/>
    <w:rsid w:val="00C266D6"/>
    <w:rsid w:val="00C278B5"/>
    <w:rsid w:val="00C32923"/>
    <w:rsid w:val="00C352E1"/>
    <w:rsid w:val="00C35C29"/>
    <w:rsid w:val="00C37192"/>
    <w:rsid w:val="00C4039A"/>
    <w:rsid w:val="00C419F5"/>
    <w:rsid w:val="00C41F17"/>
    <w:rsid w:val="00C44648"/>
    <w:rsid w:val="00C46FE6"/>
    <w:rsid w:val="00C47481"/>
    <w:rsid w:val="00C47BE6"/>
    <w:rsid w:val="00C50A20"/>
    <w:rsid w:val="00C52290"/>
    <w:rsid w:val="00C53B08"/>
    <w:rsid w:val="00C53E43"/>
    <w:rsid w:val="00C54692"/>
    <w:rsid w:val="00C54F20"/>
    <w:rsid w:val="00C553D5"/>
    <w:rsid w:val="00C555AF"/>
    <w:rsid w:val="00C55AB1"/>
    <w:rsid w:val="00C55B70"/>
    <w:rsid w:val="00C57245"/>
    <w:rsid w:val="00C642A0"/>
    <w:rsid w:val="00C64F99"/>
    <w:rsid w:val="00C662F9"/>
    <w:rsid w:val="00C67E68"/>
    <w:rsid w:val="00C70C94"/>
    <w:rsid w:val="00C713AD"/>
    <w:rsid w:val="00C73DAD"/>
    <w:rsid w:val="00C8568D"/>
    <w:rsid w:val="00C85967"/>
    <w:rsid w:val="00C8711D"/>
    <w:rsid w:val="00C9309E"/>
    <w:rsid w:val="00C93721"/>
    <w:rsid w:val="00C94769"/>
    <w:rsid w:val="00C95133"/>
    <w:rsid w:val="00C956D7"/>
    <w:rsid w:val="00C95829"/>
    <w:rsid w:val="00CA3522"/>
    <w:rsid w:val="00CA7535"/>
    <w:rsid w:val="00CA7808"/>
    <w:rsid w:val="00CA7DE5"/>
    <w:rsid w:val="00CB1EA2"/>
    <w:rsid w:val="00CB2112"/>
    <w:rsid w:val="00CB4C6D"/>
    <w:rsid w:val="00CC0F49"/>
    <w:rsid w:val="00CC1037"/>
    <w:rsid w:val="00CC1CE7"/>
    <w:rsid w:val="00CC54B7"/>
    <w:rsid w:val="00CC6419"/>
    <w:rsid w:val="00CC7A75"/>
    <w:rsid w:val="00CD0B9D"/>
    <w:rsid w:val="00CD0C09"/>
    <w:rsid w:val="00CD2CB3"/>
    <w:rsid w:val="00CD431B"/>
    <w:rsid w:val="00CD56BA"/>
    <w:rsid w:val="00CD7058"/>
    <w:rsid w:val="00CD7AFF"/>
    <w:rsid w:val="00CE0BA3"/>
    <w:rsid w:val="00CE0DDC"/>
    <w:rsid w:val="00CE3123"/>
    <w:rsid w:val="00CE4670"/>
    <w:rsid w:val="00CE46C7"/>
    <w:rsid w:val="00CE5613"/>
    <w:rsid w:val="00CE7D66"/>
    <w:rsid w:val="00CF1AD8"/>
    <w:rsid w:val="00CF2E6E"/>
    <w:rsid w:val="00CF3087"/>
    <w:rsid w:val="00CF3181"/>
    <w:rsid w:val="00CF31D3"/>
    <w:rsid w:val="00CF5A60"/>
    <w:rsid w:val="00CF717E"/>
    <w:rsid w:val="00D0016F"/>
    <w:rsid w:val="00D00670"/>
    <w:rsid w:val="00D0204A"/>
    <w:rsid w:val="00D04729"/>
    <w:rsid w:val="00D104F6"/>
    <w:rsid w:val="00D11D17"/>
    <w:rsid w:val="00D1221E"/>
    <w:rsid w:val="00D12D39"/>
    <w:rsid w:val="00D168EC"/>
    <w:rsid w:val="00D17F0A"/>
    <w:rsid w:val="00D17FCD"/>
    <w:rsid w:val="00D223B0"/>
    <w:rsid w:val="00D245C5"/>
    <w:rsid w:val="00D2709B"/>
    <w:rsid w:val="00D32C31"/>
    <w:rsid w:val="00D32C6D"/>
    <w:rsid w:val="00D332BF"/>
    <w:rsid w:val="00D3472C"/>
    <w:rsid w:val="00D37346"/>
    <w:rsid w:val="00D37682"/>
    <w:rsid w:val="00D4267E"/>
    <w:rsid w:val="00D45BAD"/>
    <w:rsid w:val="00D45C81"/>
    <w:rsid w:val="00D47B25"/>
    <w:rsid w:val="00D5043D"/>
    <w:rsid w:val="00D5072A"/>
    <w:rsid w:val="00D51D5A"/>
    <w:rsid w:val="00D52470"/>
    <w:rsid w:val="00D5484B"/>
    <w:rsid w:val="00D54B26"/>
    <w:rsid w:val="00D55B33"/>
    <w:rsid w:val="00D57049"/>
    <w:rsid w:val="00D57182"/>
    <w:rsid w:val="00D5744C"/>
    <w:rsid w:val="00D60357"/>
    <w:rsid w:val="00D61CFA"/>
    <w:rsid w:val="00D62EE7"/>
    <w:rsid w:val="00D644A9"/>
    <w:rsid w:val="00D67028"/>
    <w:rsid w:val="00D6744F"/>
    <w:rsid w:val="00D700B7"/>
    <w:rsid w:val="00D70D61"/>
    <w:rsid w:val="00D736BB"/>
    <w:rsid w:val="00D8153E"/>
    <w:rsid w:val="00D82F73"/>
    <w:rsid w:val="00D837F4"/>
    <w:rsid w:val="00D839F6"/>
    <w:rsid w:val="00D862CC"/>
    <w:rsid w:val="00D86391"/>
    <w:rsid w:val="00D8646E"/>
    <w:rsid w:val="00D87A9A"/>
    <w:rsid w:val="00D9052C"/>
    <w:rsid w:val="00D9267D"/>
    <w:rsid w:val="00D97953"/>
    <w:rsid w:val="00DA2670"/>
    <w:rsid w:val="00DA2EA7"/>
    <w:rsid w:val="00DA3B29"/>
    <w:rsid w:val="00DA401D"/>
    <w:rsid w:val="00DA5982"/>
    <w:rsid w:val="00DA5F7B"/>
    <w:rsid w:val="00DA6638"/>
    <w:rsid w:val="00DB0DA4"/>
    <w:rsid w:val="00DB4041"/>
    <w:rsid w:val="00DB6455"/>
    <w:rsid w:val="00DC0432"/>
    <w:rsid w:val="00DC057A"/>
    <w:rsid w:val="00DC28BA"/>
    <w:rsid w:val="00DC2B95"/>
    <w:rsid w:val="00DC504C"/>
    <w:rsid w:val="00DC6370"/>
    <w:rsid w:val="00DC7571"/>
    <w:rsid w:val="00DC7F00"/>
    <w:rsid w:val="00DD08A2"/>
    <w:rsid w:val="00DD2C33"/>
    <w:rsid w:val="00DD2CD0"/>
    <w:rsid w:val="00DD53A0"/>
    <w:rsid w:val="00DD5724"/>
    <w:rsid w:val="00DD709D"/>
    <w:rsid w:val="00DD734E"/>
    <w:rsid w:val="00DE0858"/>
    <w:rsid w:val="00DE2AA8"/>
    <w:rsid w:val="00DE3591"/>
    <w:rsid w:val="00DE468F"/>
    <w:rsid w:val="00DE65CB"/>
    <w:rsid w:val="00DE674B"/>
    <w:rsid w:val="00DE79C0"/>
    <w:rsid w:val="00DE7B93"/>
    <w:rsid w:val="00DF3766"/>
    <w:rsid w:val="00DF41ED"/>
    <w:rsid w:val="00DF6145"/>
    <w:rsid w:val="00E01857"/>
    <w:rsid w:val="00E01B59"/>
    <w:rsid w:val="00E0291C"/>
    <w:rsid w:val="00E03E85"/>
    <w:rsid w:val="00E06824"/>
    <w:rsid w:val="00E070AA"/>
    <w:rsid w:val="00E07633"/>
    <w:rsid w:val="00E11A77"/>
    <w:rsid w:val="00E133AA"/>
    <w:rsid w:val="00E14366"/>
    <w:rsid w:val="00E1503E"/>
    <w:rsid w:val="00E1609B"/>
    <w:rsid w:val="00E17C2F"/>
    <w:rsid w:val="00E22C12"/>
    <w:rsid w:val="00E234A5"/>
    <w:rsid w:val="00E26990"/>
    <w:rsid w:val="00E315DD"/>
    <w:rsid w:val="00E32E04"/>
    <w:rsid w:val="00E34DD4"/>
    <w:rsid w:val="00E35AE5"/>
    <w:rsid w:val="00E3616B"/>
    <w:rsid w:val="00E36E96"/>
    <w:rsid w:val="00E37769"/>
    <w:rsid w:val="00E460FD"/>
    <w:rsid w:val="00E47BED"/>
    <w:rsid w:val="00E50AD3"/>
    <w:rsid w:val="00E528D8"/>
    <w:rsid w:val="00E55D39"/>
    <w:rsid w:val="00E614C3"/>
    <w:rsid w:val="00E65348"/>
    <w:rsid w:val="00E6737A"/>
    <w:rsid w:val="00E676B1"/>
    <w:rsid w:val="00E67D12"/>
    <w:rsid w:val="00E74C5D"/>
    <w:rsid w:val="00E74EF6"/>
    <w:rsid w:val="00E766AA"/>
    <w:rsid w:val="00E80756"/>
    <w:rsid w:val="00E80F6B"/>
    <w:rsid w:val="00E840B3"/>
    <w:rsid w:val="00E86859"/>
    <w:rsid w:val="00E87394"/>
    <w:rsid w:val="00E87E4B"/>
    <w:rsid w:val="00E902A7"/>
    <w:rsid w:val="00E9111E"/>
    <w:rsid w:val="00EA0DE9"/>
    <w:rsid w:val="00EA1FD1"/>
    <w:rsid w:val="00EA42C0"/>
    <w:rsid w:val="00EB0ED7"/>
    <w:rsid w:val="00EB2586"/>
    <w:rsid w:val="00EB2B45"/>
    <w:rsid w:val="00EB6AB6"/>
    <w:rsid w:val="00EB710C"/>
    <w:rsid w:val="00EB7BB7"/>
    <w:rsid w:val="00EC01AD"/>
    <w:rsid w:val="00EC125D"/>
    <w:rsid w:val="00EC54AE"/>
    <w:rsid w:val="00EC603A"/>
    <w:rsid w:val="00EC6CB7"/>
    <w:rsid w:val="00ED0652"/>
    <w:rsid w:val="00ED170F"/>
    <w:rsid w:val="00ED3886"/>
    <w:rsid w:val="00ED4355"/>
    <w:rsid w:val="00ED67DF"/>
    <w:rsid w:val="00EE1576"/>
    <w:rsid w:val="00EE1C66"/>
    <w:rsid w:val="00EF046D"/>
    <w:rsid w:val="00EF1127"/>
    <w:rsid w:val="00EF1626"/>
    <w:rsid w:val="00EF3E36"/>
    <w:rsid w:val="00EF431A"/>
    <w:rsid w:val="00EF5A2A"/>
    <w:rsid w:val="00EF7815"/>
    <w:rsid w:val="00F00384"/>
    <w:rsid w:val="00F00650"/>
    <w:rsid w:val="00F00902"/>
    <w:rsid w:val="00F00D77"/>
    <w:rsid w:val="00F02351"/>
    <w:rsid w:val="00F04106"/>
    <w:rsid w:val="00F05ED8"/>
    <w:rsid w:val="00F07590"/>
    <w:rsid w:val="00F07F77"/>
    <w:rsid w:val="00F10359"/>
    <w:rsid w:val="00F11144"/>
    <w:rsid w:val="00F1170A"/>
    <w:rsid w:val="00F2039F"/>
    <w:rsid w:val="00F23478"/>
    <w:rsid w:val="00F308AB"/>
    <w:rsid w:val="00F37293"/>
    <w:rsid w:val="00F411D5"/>
    <w:rsid w:val="00F4134B"/>
    <w:rsid w:val="00F41D3E"/>
    <w:rsid w:val="00F43F93"/>
    <w:rsid w:val="00F46B76"/>
    <w:rsid w:val="00F53ECE"/>
    <w:rsid w:val="00F54A9D"/>
    <w:rsid w:val="00F551E9"/>
    <w:rsid w:val="00F55C20"/>
    <w:rsid w:val="00F565C9"/>
    <w:rsid w:val="00F571BB"/>
    <w:rsid w:val="00F62724"/>
    <w:rsid w:val="00F639D1"/>
    <w:rsid w:val="00F66C61"/>
    <w:rsid w:val="00F67819"/>
    <w:rsid w:val="00F70B3C"/>
    <w:rsid w:val="00F71EF3"/>
    <w:rsid w:val="00F72ACF"/>
    <w:rsid w:val="00F73231"/>
    <w:rsid w:val="00F745A1"/>
    <w:rsid w:val="00F75DAF"/>
    <w:rsid w:val="00F76FFB"/>
    <w:rsid w:val="00F81994"/>
    <w:rsid w:val="00F849EF"/>
    <w:rsid w:val="00F84C0F"/>
    <w:rsid w:val="00F8600B"/>
    <w:rsid w:val="00F86B1C"/>
    <w:rsid w:val="00F90942"/>
    <w:rsid w:val="00F92A05"/>
    <w:rsid w:val="00F93C03"/>
    <w:rsid w:val="00F97706"/>
    <w:rsid w:val="00FA02F9"/>
    <w:rsid w:val="00FA3125"/>
    <w:rsid w:val="00FA3575"/>
    <w:rsid w:val="00FA6260"/>
    <w:rsid w:val="00FB2225"/>
    <w:rsid w:val="00FB5D17"/>
    <w:rsid w:val="00FB76D9"/>
    <w:rsid w:val="00FC0627"/>
    <w:rsid w:val="00FC0D8F"/>
    <w:rsid w:val="00FC163A"/>
    <w:rsid w:val="00FD00C9"/>
    <w:rsid w:val="00FD21EA"/>
    <w:rsid w:val="00FD23AA"/>
    <w:rsid w:val="00FD451A"/>
    <w:rsid w:val="00FD666F"/>
    <w:rsid w:val="00FD7373"/>
    <w:rsid w:val="00FD79DD"/>
    <w:rsid w:val="00FE075D"/>
    <w:rsid w:val="00FE2040"/>
    <w:rsid w:val="00FE6DFC"/>
    <w:rsid w:val="00FF03E9"/>
    <w:rsid w:val="00FF169E"/>
    <w:rsid w:val="00FF2AFC"/>
    <w:rsid w:val="00FF54F0"/>
    <w:rsid w:val="00FF7F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60007"/>
  <w15:chartTrackingRefBased/>
  <w15:docId w15:val="{38D23B4E-5918-49AD-A500-9713DB2BA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6F9"/>
    <w:pPr>
      <w:spacing w:after="142"/>
    </w:pPr>
    <w:rPr>
      <w:rFonts w:ascii="Arial" w:hAnsi="Arial" w:cs="Arial"/>
    </w:rPr>
  </w:style>
  <w:style w:type="paragraph" w:styleId="Heading1">
    <w:name w:val="heading 1"/>
    <w:basedOn w:val="Heading2"/>
    <w:next w:val="Normal"/>
    <w:link w:val="Heading1Char"/>
    <w:uiPriority w:val="9"/>
    <w:qFormat/>
    <w:rsid w:val="004D71DA"/>
    <w:pPr>
      <w:outlineLvl w:val="0"/>
    </w:pPr>
    <w:rPr>
      <w:sz w:val="120"/>
      <w:szCs w:val="120"/>
    </w:rPr>
  </w:style>
  <w:style w:type="paragraph" w:styleId="Heading2">
    <w:name w:val="heading 2"/>
    <w:basedOn w:val="Normal"/>
    <w:next w:val="Normal"/>
    <w:link w:val="Heading2Char"/>
    <w:uiPriority w:val="9"/>
    <w:unhideWhenUsed/>
    <w:qFormat/>
    <w:rsid w:val="004D71DA"/>
    <w:pPr>
      <w:keepNext/>
      <w:keepLines/>
      <w:spacing w:after="0"/>
      <w:outlineLvl w:val="1"/>
    </w:pPr>
    <w:rPr>
      <w:rFonts w:eastAsiaTheme="majorEastAsia"/>
      <w:b/>
      <w:noProof/>
      <w:sz w:val="56"/>
      <w:szCs w:val="56"/>
      <w:lang w:eastAsia="en-AU"/>
    </w:rPr>
  </w:style>
  <w:style w:type="paragraph" w:styleId="Heading3">
    <w:name w:val="heading 3"/>
    <w:basedOn w:val="Normal"/>
    <w:next w:val="Normal"/>
    <w:link w:val="Heading3Char"/>
    <w:uiPriority w:val="9"/>
    <w:unhideWhenUsed/>
    <w:qFormat/>
    <w:rsid w:val="00BE3D5E"/>
    <w:pPr>
      <w:keepNext/>
      <w:keepLines/>
      <w:spacing w:after="0"/>
      <w:outlineLvl w:val="2"/>
    </w:pPr>
    <w:rPr>
      <w:rFonts w:eastAsiaTheme="majorEastAsia"/>
      <w:b/>
      <w:sz w:val="32"/>
      <w:szCs w:val="32"/>
    </w:rPr>
  </w:style>
  <w:style w:type="paragraph" w:styleId="Heading4">
    <w:name w:val="heading 4"/>
    <w:basedOn w:val="Normal"/>
    <w:next w:val="Normal"/>
    <w:link w:val="Heading4Char"/>
    <w:uiPriority w:val="9"/>
    <w:unhideWhenUsed/>
    <w:qFormat/>
    <w:rsid w:val="00743353"/>
    <w:pPr>
      <w:keepNext/>
      <w:keepLines/>
      <w:spacing w:after="70"/>
      <w:outlineLvl w:val="3"/>
    </w:pPr>
    <w:rPr>
      <w:rFonts w:eastAsiaTheme="majorEastAsia"/>
      <w:b/>
      <w:iCs/>
      <w:sz w:val="26"/>
      <w:szCs w:val="26"/>
    </w:rPr>
  </w:style>
  <w:style w:type="paragraph" w:styleId="Heading5">
    <w:name w:val="heading 5"/>
    <w:basedOn w:val="Normal"/>
    <w:next w:val="Normal"/>
    <w:link w:val="Heading5Char"/>
    <w:uiPriority w:val="9"/>
    <w:semiHidden/>
    <w:unhideWhenUsed/>
    <w:qFormat/>
    <w:rsid w:val="001E33E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71DA"/>
    <w:rPr>
      <w:rFonts w:ascii="Arial" w:eastAsiaTheme="majorEastAsia" w:hAnsi="Arial" w:cs="Arial"/>
      <w:b/>
      <w:noProof/>
      <w:sz w:val="56"/>
      <w:szCs w:val="56"/>
      <w:lang w:eastAsia="en-AU"/>
    </w:rPr>
  </w:style>
  <w:style w:type="character" w:customStyle="1" w:styleId="Heading1Char">
    <w:name w:val="Heading 1 Char"/>
    <w:basedOn w:val="DefaultParagraphFont"/>
    <w:link w:val="Heading1"/>
    <w:uiPriority w:val="9"/>
    <w:rsid w:val="004D71DA"/>
    <w:rPr>
      <w:rFonts w:ascii="Arial" w:eastAsiaTheme="majorEastAsia" w:hAnsi="Arial" w:cs="Arial"/>
      <w:b/>
      <w:noProof/>
      <w:sz w:val="120"/>
      <w:szCs w:val="120"/>
      <w:lang w:eastAsia="en-AU"/>
    </w:rPr>
  </w:style>
  <w:style w:type="character" w:customStyle="1" w:styleId="Heading3Char">
    <w:name w:val="Heading 3 Char"/>
    <w:basedOn w:val="DefaultParagraphFont"/>
    <w:link w:val="Heading3"/>
    <w:uiPriority w:val="9"/>
    <w:rsid w:val="00BE3D5E"/>
    <w:rPr>
      <w:rFonts w:ascii="Arial" w:eastAsiaTheme="majorEastAsia" w:hAnsi="Arial" w:cs="Arial"/>
      <w:b/>
      <w:sz w:val="32"/>
      <w:szCs w:val="32"/>
    </w:rPr>
  </w:style>
  <w:style w:type="character" w:customStyle="1" w:styleId="Heading4Char">
    <w:name w:val="Heading 4 Char"/>
    <w:basedOn w:val="DefaultParagraphFont"/>
    <w:link w:val="Heading4"/>
    <w:uiPriority w:val="9"/>
    <w:rsid w:val="00743353"/>
    <w:rPr>
      <w:rFonts w:ascii="Arial" w:eastAsiaTheme="majorEastAsia" w:hAnsi="Arial" w:cs="Arial"/>
      <w:b/>
      <w:iCs/>
      <w:sz w:val="26"/>
      <w:szCs w:val="26"/>
    </w:rPr>
  </w:style>
  <w:style w:type="character" w:customStyle="1" w:styleId="Heading5Char">
    <w:name w:val="Heading 5 Char"/>
    <w:basedOn w:val="DefaultParagraphFont"/>
    <w:link w:val="Heading5"/>
    <w:uiPriority w:val="9"/>
    <w:semiHidden/>
    <w:rsid w:val="001E33EB"/>
    <w:rPr>
      <w:rFonts w:asciiTheme="majorHAnsi" w:eastAsiaTheme="majorEastAsia" w:hAnsiTheme="majorHAnsi" w:cstheme="majorBidi"/>
      <w:color w:val="2E74B5" w:themeColor="accent1" w:themeShade="BF"/>
    </w:rPr>
  </w:style>
  <w:style w:type="paragraph" w:styleId="Title">
    <w:name w:val="Title"/>
    <w:basedOn w:val="Heading2"/>
    <w:next w:val="Normal"/>
    <w:link w:val="TitleChar"/>
    <w:uiPriority w:val="10"/>
    <w:qFormat/>
    <w:rsid w:val="00F551E9"/>
    <w:rPr>
      <w:sz w:val="96"/>
    </w:rPr>
  </w:style>
  <w:style w:type="character" w:customStyle="1" w:styleId="TitleChar">
    <w:name w:val="Title Char"/>
    <w:basedOn w:val="DefaultParagraphFont"/>
    <w:link w:val="Title"/>
    <w:uiPriority w:val="10"/>
    <w:rsid w:val="00F551E9"/>
    <w:rPr>
      <w:rFonts w:ascii="Arial" w:eastAsiaTheme="majorEastAsia" w:hAnsi="Arial" w:cs="Arial"/>
      <w:b/>
      <w:noProof/>
      <w:color w:val="2E74B5" w:themeColor="accent1" w:themeShade="BF"/>
      <w:sz w:val="96"/>
      <w:szCs w:val="28"/>
      <w:lang w:eastAsia="en-AU"/>
    </w:rPr>
  </w:style>
  <w:style w:type="paragraph" w:styleId="Header">
    <w:name w:val="header"/>
    <w:basedOn w:val="Normal"/>
    <w:link w:val="HeaderChar"/>
    <w:uiPriority w:val="99"/>
    <w:unhideWhenUsed/>
    <w:rsid w:val="006E1D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D38"/>
  </w:style>
  <w:style w:type="paragraph" w:styleId="Footer">
    <w:name w:val="footer"/>
    <w:basedOn w:val="Normal"/>
    <w:link w:val="FooterChar"/>
    <w:uiPriority w:val="99"/>
    <w:unhideWhenUsed/>
    <w:rsid w:val="006E1D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D38"/>
  </w:style>
  <w:style w:type="character" w:styleId="CommentReference">
    <w:name w:val="annotation reference"/>
    <w:basedOn w:val="DefaultParagraphFont"/>
    <w:uiPriority w:val="99"/>
    <w:semiHidden/>
    <w:unhideWhenUsed/>
    <w:rsid w:val="006E1D38"/>
    <w:rPr>
      <w:sz w:val="16"/>
      <w:szCs w:val="16"/>
    </w:rPr>
  </w:style>
  <w:style w:type="paragraph" w:styleId="CommentText">
    <w:name w:val="annotation text"/>
    <w:basedOn w:val="Normal"/>
    <w:link w:val="CommentTextChar"/>
    <w:uiPriority w:val="99"/>
    <w:unhideWhenUsed/>
    <w:rsid w:val="006E1D38"/>
    <w:pPr>
      <w:spacing w:line="240" w:lineRule="auto"/>
    </w:pPr>
    <w:rPr>
      <w:sz w:val="20"/>
      <w:szCs w:val="20"/>
    </w:rPr>
  </w:style>
  <w:style w:type="character" w:customStyle="1" w:styleId="CommentTextChar">
    <w:name w:val="Comment Text Char"/>
    <w:basedOn w:val="DefaultParagraphFont"/>
    <w:link w:val="CommentText"/>
    <w:uiPriority w:val="99"/>
    <w:rsid w:val="006E1D38"/>
    <w:rPr>
      <w:sz w:val="20"/>
      <w:szCs w:val="20"/>
    </w:rPr>
  </w:style>
  <w:style w:type="paragraph" w:styleId="CommentSubject">
    <w:name w:val="annotation subject"/>
    <w:basedOn w:val="CommentText"/>
    <w:next w:val="CommentText"/>
    <w:link w:val="CommentSubjectChar"/>
    <w:uiPriority w:val="99"/>
    <w:semiHidden/>
    <w:unhideWhenUsed/>
    <w:rsid w:val="006E1D38"/>
    <w:rPr>
      <w:b/>
      <w:bCs/>
    </w:rPr>
  </w:style>
  <w:style w:type="character" w:customStyle="1" w:styleId="CommentSubjectChar">
    <w:name w:val="Comment Subject Char"/>
    <w:basedOn w:val="CommentTextChar"/>
    <w:link w:val="CommentSubject"/>
    <w:uiPriority w:val="99"/>
    <w:semiHidden/>
    <w:rsid w:val="006E1D38"/>
    <w:rPr>
      <w:b/>
      <w:bCs/>
      <w:sz w:val="20"/>
      <w:szCs w:val="20"/>
    </w:rPr>
  </w:style>
  <w:style w:type="paragraph" w:styleId="BalloonText">
    <w:name w:val="Balloon Text"/>
    <w:basedOn w:val="Normal"/>
    <w:link w:val="BalloonTextChar"/>
    <w:uiPriority w:val="99"/>
    <w:semiHidden/>
    <w:unhideWhenUsed/>
    <w:rsid w:val="006E1D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D38"/>
    <w:rPr>
      <w:rFonts w:ascii="Segoe UI" w:hAnsi="Segoe UI" w:cs="Segoe UI"/>
      <w:sz w:val="18"/>
      <w:szCs w:val="18"/>
    </w:rPr>
  </w:style>
  <w:style w:type="paragraph" w:styleId="ListParagraph">
    <w:name w:val="List Paragraph"/>
    <w:aliases w:val="List Paragraph1,List Paragraph11,Recommendation,Bullet point,Bulleted List,NAST Quote,List Paragraph Number,Bulleted Para,NFP GP Bulleted List,bullet point list,L,Bullet points,Content descriptions,Bullet Point,List Paragraph2,Dot pt,列出段落"/>
    <w:basedOn w:val="Normal"/>
    <w:link w:val="ListParagraphChar"/>
    <w:uiPriority w:val="34"/>
    <w:qFormat/>
    <w:rsid w:val="006E1D38"/>
    <w:pPr>
      <w:ind w:left="720"/>
      <w:contextualSpacing/>
    </w:pPr>
  </w:style>
  <w:style w:type="character" w:customStyle="1" w:styleId="ListParagraphChar">
    <w:name w:val="List Paragraph Char"/>
    <w:aliases w:val="List Paragraph1 Char,List Paragraph11 Char,Recommendation Char,Bullet point Char,Bulleted List Char,NAST Quote Char,List Paragraph Number Char,Bulleted Para Char,NFP GP Bulleted List Char,bullet point list Char,L Char,Dot pt Char"/>
    <w:basedOn w:val="DefaultParagraphFont"/>
    <w:link w:val="ListParagraph"/>
    <w:uiPriority w:val="34"/>
    <w:qFormat/>
    <w:rsid w:val="00EB0ED7"/>
  </w:style>
  <w:style w:type="paragraph" w:customStyle="1" w:styleId="Printinfo">
    <w:name w:val="Print_info"/>
    <w:next w:val="Heading2"/>
    <w:uiPriority w:val="12"/>
    <w:qFormat/>
    <w:rsid w:val="00DA2EA7"/>
    <w:pPr>
      <w:spacing w:before="240" w:after="120" w:line="240" w:lineRule="auto"/>
    </w:pPr>
    <w:rPr>
      <w:rFonts w:ascii="Arial" w:hAnsi="Arial"/>
      <w:b/>
      <w:bCs/>
      <w:szCs w:val="24"/>
    </w:rPr>
  </w:style>
  <w:style w:type="character" w:styleId="Hyperlink">
    <w:name w:val="Hyperlink"/>
    <w:basedOn w:val="DefaultParagraphFont"/>
    <w:uiPriority w:val="99"/>
    <w:unhideWhenUsed/>
    <w:rsid w:val="00CE0BA3"/>
    <w:rPr>
      <w:rFonts w:ascii="Arial" w:hAnsi="Arial"/>
      <w:b/>
      <w:color w:val="005C7F"/>
      <w:u w:val="none"/>
    </w:rPr>
  </w:style>
  <w:style w:type="character" w:styleId="Emphasis">
    <w:name w:val="Emphasis"/>
    <w:uiPriority w:val="20"/>
    <w:qFormat/>
    <w:rsid w:val="0060635F"/>
    <w:rPr>
      <w:i/>
      <w:iCs/>
    </w:rPr>
  </w:style>
  <w:style w:type="paragraph" w:customStyle="1" w:styleId="cover">
    <w:name w:val="cover"/>
    <w:basedOn w:val="Normal"/>
    <w:link w:val="coverChar"/>
    <w:qFormat/>
    <w:rsid w:val="00AA45CA"/>
    <w:rPr>
      <w:sz w:val="36"/>
    </w:rPr>
  </w:style>
  <w:style w:type="character" w:customStyle="1" w:styleId="coverChar">
    <w:name w:val="cover Char"/>
    <w:basedOn w:val="DefaultParagraphFont"/>
    <w:link w:val="cover"/>
    <w:rsid w:val="00AA45CA"/>
    <w:rPr>
      <w:rFonts w:ascii="Arial" w:hAnsi="Arial" w:cs="Arial"/>
      <w:sz w:val="36"/>
    </w:rPr>
  </w:style>
  <w:style w:type="paragraph" w:customStyle="1" w:styleId="templatebox">
    <w:name w:val="template box"/>
    <w:basedOn w:val="Normal"/>
    <w:link w:val="templateboxChar"/>
    <w:qFormat/>
    <w:rsid w:val="00AA45CA"/>
    <w:pPr>
      <w:spacing w:after="0"/>
    </w:pPr>
    <w:rPr>
      <w:color w:val="2E74B5" w:themeColor="accent1" w:themeShade="BF"/>
      <w:sz w:val="16"/>
    </w:rPr>
  </w:style>
  <w:style w:type="character" w:customStyle="1" w:styleId="templateboxChar">
    <w:name w:val="template box Char"/>
    <w:basedOn w:val="DefaultParagraphFont"/>
    <w:link w:val="templatebox"/>
    <w:rsid w:val="00AA45CA"/>
    <w:rPr>
      <w:rFonts w:ascii="Arial" w:hAnsi="Arial" w:cs="Arial"/>
      <w:color w:val="2E74B5" w:themeColor="accent1" w:themeShade="BF"/>
      <w:sz w:val="16"/>
    </w:rPr>
  </w:style>
  <w:style w:type="paragraph" w:customStyle="1" w:styleId="emplytext">
    <w:name w:val="emply text"/>
    <w:basedOn w:val="Normal"/>
    <w:link w:val="emplytextChar"/>
    <w:qFormat/>
    <w:rsid w:val="00AA45CA"/>
    <w:rPr>
      <w:lang w:eastAsia="en-AU"/>
    </w:rPr>
  </w:style>
  <w:style w:type="character" w:customStyle="1" w:styleId="emplytextChar">
    <w:name w:val="emply text Char"/>
    <w:basedOn w:val="DefaultParagraphFont"/>
    <w:link w:val="emplytext"/>
    <w:rsid w:val="00AA45CA"/>
    <w:rPr>
      <w:rFonts w:ascii="Arial" w:hAnsi="Arial" w:cs="Arial"/>
      <w:lang w:eastAsia="en-AU"/>
    </w:rPr>
  </w:style>
  <w:style w:type="paragraph" w:customStyle="1" w:styleId="Styleeee3">
    <w:name w:val="Styleeee 3"/>
    <w:basedOn w:val="Heading1"/>
    <w:link w:val="Styleeee3Char"/>
    <w:qFormat/>
    <w:rsid w:val="006A5078"/>
    <w:rPr>
      <w:sz w:val="22"/>
    </w:rPr>
  </w:style>
  <w:style w:type="character" w:customStyle="1" w:styleId="Styleeee3Char">
    <w:name w:val="Styleeee 3 Char"/>
    <w:basedOn w:val="Heading1Char"/>
    <w:link w:val="Styleeee3"/>
    <w:rsid w:val="006A5078"/>
    <w:rPr>
      <w:rFonts w:ascii="Arial" w:eastAsiaTheme="majorEastAsia" w:hAnsi="Arial" w:cs="Arial"/>
      <w:b/>
      <w:noProof/>
      <w:color w:val="2E74B5" w:themeColor="accent1" w:themeShade="BF"/>
      <w:sz w:val="28"/>
      <w:szCs w:val="28"/>
      <w:lang w:eastAsia="en-AU"/>
    </w:rPr>
  </w:style>
  <w:style w:type="paragraph" w:styleId="ListBullet2">
    <w:name w:val="List Bullet 2"/>
    <w:basedOn w:val="Normal"/>
    <w:uiPriority w:val="99"/>
    <w:unhideWhenUsed/>
    <w:qFormat/>
    <w:rsid w:val="00D9052C"/>
    <w:pPr>
      <w:numPr>
        <w:numId w:val="2"/>
      </w:numPr>
      <w:spacing w:before="60" w:after="120" w:line="264" w:lineRule="auto"/>
      <w:ind w:left="641" w:hanging="357"/>
    </w:pPr>
    <w:rPr>
      <w:rFonts w:cstheme="minorBidi"/>
      <w:sz w:val="24"/>
      <w:szCs w:val="24"/>
    </w:rPr>
  </w:style>
  <w:style w:type="paragraph" w:customStyle="1" w:styleId="DotPoints-Normal">
    <w:name w:val="Dot Points - Normal"/>
    <w:basedOn w:val="ListParagraph"/>
    <w:link w:val="DotPoints-NormalChar"/>
    <w:qFormat/>
    <w:rsid w:val="00927102"/>
    <w:pPr>
      <w:numPr>
        <w:numId w:val="3"/>
      </w:numPr>
    </w:pPr>
    <w:rPr>
      <w:sz w:val="20"/>
    </w:rPr>
  </w:style>
  <w:style w:type="character" w:customStyle="1" w:styleId="DotPoints-NormalChar">
    <w:name w:val="Dot Points - Normal Char"/>
    <w:basedOn w:val="ListParagraphChar"/>
    <w:link w:val="DotPoints-Normal"/>
    <w:rsid w:val="00927102"/>
    <w:rPr>
      <w:rFonts w:ascii="Arial" w:hAnsi="Arial" w:cs="Arial"/>
      <w:sz w:val="20"/>
    </w:rPr>
  </w:style>
  <w:style w:type="table" w:styleId="TableGrid">
    <w:name w:val="Table Grid"/>
    <w:basedOn w:val="TableNormal"/>
    <w:uiPriority w:val="39"/>
    <w:rsid w:val="00006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F76FFB"/>
    <w:pPr>
      <w:numPr>
        <w:numId w:val="4"/>
      </w:numPr>
      <w:contextualSpacing/>
    </w:pPr>
  </w:style>
  <w:style w:type="paragraph" w:customStyle="1" w:styleId="H2">
    <w:name w:val="H2"/>
    <w:qFormat/>
    <w:rsid w:val="004116F3"/>
    <w:pPr>
      <w:spacing w:after="0" w:line="240" w:lineRule="auto"/>
    </w:pPr>
    <w:rPr>
      <w:rFonts w:ascii="Arial" w:hAnsi="Arial" w:cs="Arial"/>
      <w:b/>
      <w:sz w:val="32"/>
      <w:szCs w:val="32"/>
    </w:rPr>
  </w:style>
  <w:style w:type="paragraph" w:customStyle="1" w:styleId="H3">
    <w:name w:val="H3"/>
    <w:basedOn w:val="Heading3"/>
    <w:qFormat/>
    <w:rsid w:val="00711E6E"/>
    <w:pPr>
      <w:keepNext w:val="0"/>
      <w:keepLines w:val="0"/>
      <w:spacing w:after="113" w:line="240" w:lineRule="auto"/>
      <w:outlineLvl w:val="9"/>
    </w:pPr>
    <w:rPr>
      <w:rFonts w:eastAsiaTheme="minorHAnsi"/>
      <w:b w:val="0"/>
      <w:sz w:val="26"/>
      <w:szCs w:val="26"/>
    </w:rPr>
  </w:style>
  <w:style w:type="paragraph" w:customStyle="1" w:styleId="Bullets">
    <w:name w:val="Bullets"/>
    <w:qFormat/>
    <w:rsid w:val="00442EA7"/>
    <w:pPr>
      <w:numPr>
        <w:numId w:val="11"/>
      </w:numPr>
      <w:spacing w:after="113" w:line="240" w:lineRule="auto"/>
      <w:ind w:left="360"/>
    </w:pPr>
    <w:rPr>
      <w:rFonts w:ascii="Arial" w:hAnsi="Arial" w:cs="Arial"/>
    </w:rPr>
  </w:style>
  <w:style w:type="paragraph" w:customStyle="1" w:styleId="Bulletsindented">
    <w:name w:val="Bullets indented"/>
    <w:next w:val="Normal"/>
    <w:qFormat/>
    <w:rsid w:val="00BB5648"/>
    <w:pPr>
      <w:numPr>
        <w:ilvl w:val="1"/>
        <w:numId w:val="5"/>
      </w:numPr>
      <w:spacing w:after="0" w:line="240" w:lineRule="auto"/>
    </w:pPr>
    <w:rPr>
      <w:rFonts w:ascii="Arial" w:hAnsi="Arial" w:cs="Arial"/>
    </w:rPr>
  </w:style>
  <w:style w:type="paragraph" w:customStyle="1" w:styleId="H1">
    <w:name w:val="H1"/>
    <w:qFormat/>
    <w:rsid w:val="00FA02F9"/>
    <w:pPr>
      <w:spacing w:after="0" w:line="240" w:lineRule="auto"/>
    </w:pPr>
    <w:rPr>
      <w:rFonts w:ascii="Arial" w:hAnsi="Arial" w:cs="Arial"/>
      <w:b/>
      <w:sz w:val="56"/>
      <w:szCs w:val="56"/>
    </w:rPr>
  </w:style>
  <w:style w:type="paragraph" w:customStyle="1" w:styleId="Sectiontitle">
    <w:name w:val="Section title"/>
    <w:qFormat/>
    <w:rsid w:val="00985390"/>
    <w:pPr>
      <w:spacing w:after="0" w:line="240" w:lineRule="auto"/>
    </w:pPr>
    <w:rPr>
      <w:rFonts w:ascii="Arial" w:eastAsiaTheme="majorEastAsia" w:hAnsi="Arial" w:cs="Arial"/>
      <w:b/>
      <w:spacing w:val="-10"/>
      <w:kern w:val="28"/>
      <w:sz w:val="120"/>
      <w:szCs w:val="120"/>
    </w:rPr>
  </w:style>
  <w:style w:type="paragraph" w:styleId="Revision">
    <w:name w:val="Revision"/>
    <w:hidden/>
    <w:uiPriority w:val="99"/>
    <w:semiHidden/>
    <w:rsid w:val="001A10E9"/>
    <w:pPr>
      <w:spacing w:after="0" w:line="240" w:lineRule="auto"/>
    </w:pPr>
    <w:rPr>
      <w:rFonts w:ascii="Arial" w:hAnsi="Arial" w:cs="Arial"/>
    </w:rPr>
  </w:style>
  <w:style w:type="character" w:customStyle="1" w:styleId="HeadingLight">
    <w:name w:val="Heading Light"/>
    <w:uiPriority w:val="13"/>
    <w:qFormat/>
    <w:rsid w:val="00694363"/>
    <w:rPr>
      <w:bCs/>
    </w:rPr>
  </w:style>
  <w:style w:type="table" w:customStyle="1" w:styleId="TableGrid1">
    <w:name w:val="Table Grid1"/>
    <w:basedOn w:val="TableNormal"/>
    <w:next w:val="TableGrid"/>
    <w:uiPriority w:val="39"/>
    <w:rsid w:val="00972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72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72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13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13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ghlightednormal">
    <w:name w:val="highlighted normal"/>
    <w:basedOn w:val="Normal"/>
    <w:link w:val="highlightednormalChar"/>
    <w:qFormat/>
    <w:rsid w:val="00BD41D1"/>
    <w:pPr>
      <w:spacing w:after="160"/>
    </w:pPr>
  </w:style>
  <w:style w:type="character" w:customStyle="1" w:styleId="highlightednormalChar">
    <w:name w:val="highlighted normal Char"/>
    <w:basedOn w:val="DefaultParagraphFont"/>
    <w:link w:val="highlightednormal"/>
    <w:rsid w:val="00BD41D1"/>
    <w:rPr>
      <w:rFonts w:ascii="Arial" w:hAnsi="Arial" w:cs="Arial"/>
    </w:rPr>
  </w:style>
  <w:style w:type="character" w:styleId="Strong">
    <w:name w:val="Strong"/>
    <w:uiPriority w:val="22"/>
    <w:qFormat/>
    <w:rsid w:val="00C37192"/>
    <w:rPr>
      <w:b/>
      <w:bCs/>
    </w:rPr>
  </w:style>
  <w:style w:type="paragraph" w:customStyle="1" w:styleId="Tableheading1">
    <w:name w:val="Table heading 1"/>
    <w:qFormat/>
    <w:rsid w:val="00A92302"/>
    <w:pPr>
      <w:spacing w:after="113" w:line="240" w:lineRule="auto"/>
    </w:pPr>
    <w:rPr>
      <w:rFonts w:ascii="Arial" w:hAnsi="Arial" w:cs="Arial"/>
      <w:b/>
      <w:sz w:val="28"/>
      <w:szCs w:val="28"/>
    </w:rPr>
  </w:style>
  <w:style w:type="paragraph" w:customStyle="1" w:styleId="Tablebody">
    <w:name w:val="Table body"/>
    <w:basedOn w:val="Normal"/>
    <w:qFormat/>
    <w:rsid w:val="00A92302"/>
    <w:pPr>
      <w:spacing w:after="227" w:line="240" w:lineRule="auto"/>
    </w:pPr>
    <w:rPr>
      <w:sz w:val="20"/>
      <w:szCs w:val="20"/>
    </w:rPr>
  </w:style>
  <w:style w:type="paragraph" w:customStyle="1" w:styleId="Tablebullets">
    <w:name w:val="Table bullets"/>
    <w:qFormat/>
    <w:rsid w:val="00A92302"/>
    <w:pPr>
      <w:spacing w:after="0" w:line="240" w:lineRule="auto"/>
      <w:ind w:left="720" w:hanging="360"/>
    </w:pPr>
    <w:rPr>
      <w:rFonts w:ascii="Arial" w:hAnsi="Arial" w:cs="Arial"/>
    </w:rPr>
  </w:style>
  <w:style w:type="paragraph" w:customStyle="1" w:styleId="Tablebulletsindented">
    <w:name w:val="Table bullets indented"/>
    <w:next w:val="Normal"/>
    <w:qFormat/>
    <w:rsid w:val="00A92302"/>
    <w:pPr>
      <w:spacing w:after="0" w:line="240" w:lineRule="auto"/>
      <w:ind w:left="1440" w:hanging="360"/>
    </w:pPr>
    <w:rPr>
      <w:rFonts w:ascii="Arial" w:hAnsi="Arial" w:cs="Arial"/>
    </w:rPr>
  </w:style>
  <w:style w:type="paragraph" w:customStyle="1" w:styleId="CasestudyH1">
    <w:name w:val="Case study H1"/>
    <w:qFormat/>
    <w:rsid w:val="00111FA3"/>
    <w:pPr>
      <w:spacing w:after="113" w:line="240" w:lineRule="auto"/>
    </w:pPr>
    <w:rPr>
      <w:rFonts w:ascii="Arial" w:hAnsi="Arial" w:cs="Arial"/>
      <w:b/>
      <w:sz w:val="56"/>
      <w:szCs w:val="56"/>
    </w:rPr>
  </w:style>
  <w:style w:type="paragraph" w:customStyle="1" w:styleId="CasestudyH2">
    <w:name w:val="Case study H2"/>
    <w:qFormat/>
    <w:rsid w:val="00111FA3"/>
    <w:pPr>
      <w:spacing w:after="40" w:line="240" w:lineRule="auto"/>
    </w:pPr>
    <w:rPr>
      <w:rFonts w:ascii="Arial" w:hAnsi="Arial" w:cs="Arial"/>
      <w:b/>
      <w:sz w:val="32"/>
      <w:szCs w:val="32"/>
    </w:rPr>
  </w:style>
  <w:style w:type="paragraph" w:customStyle="1" w:styleId="Casestudybody">
    <w:name w:val="Case study body"/>
    <w:qFormat/>
    <w:rsid w:val="00111FA3"/>
    <w:pPr>
      <w:spacing w:after="227" w:line="240" w:lineRule="auto"/>
    </w:pPr>
    <w:rPr>
      <w:rFonts w:ascii="Arial" w:hAnsi="Arial" w:cs="Arial"/>
    </w:rPr>
  </w:style>
  <w:style w:type="paragraph" w:styleId="NormalWeb">
    <w:name w:val="Normal (Web)"/>
    <w:basedOn w:val="Normal"/>
    <w:uiPriority w:val="99"/>
    <w:semiHidden/>
    <w:unhideWhenUsed/>
    <w:rsid w:val="006D65F8"/>
    <w:pPr>
      <w:spacing w:before="120" w:after="240" w:line="240" w:lineRule="auto"/>
    </w:pPr>
    <w:rPr>
      <w:rFonts w:ascii="Times New Roman" w:eastAsia="Times New Roman" w:hAnsi="Times New Roman" w:cs="Times New Roman"/>
      <w:sz w:val="24"/>
      <w:szCs w:val="24"/>
      <w:lang w:eastAsia="en-AU"/>
    </w:rPr>
  </w:style>
  <w:style w:type="paragraph" w:styleId="ListBullet3">
    <w:name w:val="List Bullet 3"/>
    <w:basedOn w:val="Normal"/>
    <w:uiPriority w:val="99"/>
    <w:semiHidden/>
    <w:unhideWhenUsed/>
    <w:rsid w:val="00E34DD4"/>
    <w:pPr>
      <w:numPr>
        <w:numId w:val="7"/>
      </w:numPr>
      <w:contextualSpacing/>
    </w:pPr>
  </w:style>
  <w:style w:type="paragraph" w:styleId="ListNumber3">
    <w:name w:val="List Number 3"/>
    <w:basedOn w:val="ListParagraph"/>
    <w:uiPriority w:val="99"/>
    <w:unhideWhenUsed/>
    <w:qFormat/>
    <w:rsid w:val="00E34DD4"/>
    <w:pPr>
      <w:numPr>
        <w:numId w:val="8"/>
      </w:numPr>
      <w:spacing w:before="120" w:after="240" w:line="264" w:lineRule="auto"/>
      <w:ind w:left="357" w:hanging="357"/>
      <w:contextualSpacing w:val="0"/>
    </w:pPr>
    <w:rPr>
      <w:rFonts w:cstheme="minorBidi"/>
      <w:sz w:val="24"/>
      <w:szCs w:val="24"/>
    </w:rPr>
  </w:style>
  <w:style w:type="paragraph" w:customStyle="1" w:styleId="Text">
    <w:name w:val="Text"/>
    <w:basedOn w:val="Normal"/>
    <w:rsid w:val="00A10FBC"/>
    <w:pPr>
      <w:spacing w:after="0" w:line="240" w:lineRule="auto"/>
    </w:pPr>
    <w:rPr>
      <w:rFonts w:ascii="Times" w:eastAsia="Times New Roman" w:hAnsi="Times" w:cs="Times New Roman"/>
      <w:sz w:val="24"/>
      <w:szCs w:val="20"/>
      <w:lang w:eastAsia="en-AU"/>
    </w:rPr>
  </w:style>
  <w:style w:type="paragraph" w:styleId="TOCHeading">
    <w:name w:val="TOC Heading"/>
    <w:basedOn w:val="Heading1"/>
    <w:next w:val="Normal"/>
    <w:uiPriority w:val="39"/>
    <w:unhideWhenUsed/>
    <w:qFormat/>
    <w:rsid w:val="00A10FBC"/>
    <w:pPr>
      <w:spacing w:before="240"/>
      <w:outlineLvl w:val="9"/>
    </w:pPr>
    <w:rPr>
      <w:rFonts w:asciiTheme="majorHAnsi" w:hAnsiTheme="majorHAnsi" w:cstheme="majorBidi"/>
      <w:b w:val="0"/>
      <w:noProof w:val="0"/>
      <w:sz w:val="32"/>
      <w:szCs w:val="32"/>
      <w:lang w:val="en-US" w:eastAsia="en-US"/>
    </w:rPr>
  </w:style>
  <w:style w:type="paragraph" w:styleId="TOC2">
    <w:name w:val="toc 2"/>
    <w:basedOn w:val="Normal"/>
    <w:next w:val="Normal"/>
    <w:autoRedefine/>
    <w:uiPriority w:val="39"/>
    <w:unhideWhenUsed/>
    <w:rsid w:val="00D51D5A"/>
    <w:pPr>
      <w:tabs>
        <w:tab w:val="right" w:leader="dot" w:pos="10196"/>
      </w:tabs>
      <w:spacing w:after="40"/>
      <w:ind w:left="220"/>
    </w:pPr>
  </w:style>
  <w:style w:type="paragraph" w:styleId="TOC1">
    <w:name w:val="toc 1"/>
    <w:basedOn w:val="Normal"/>
    <w:next w:val="Normal"/>
    <w:autoRedefine/>
    <w:uiPriority w:val="39"/>
    <w:unhideWhenUsed/>
    <w:rsid w:val="00D51D5A"/>
    <w:pPr>
      <w:tabs>
        <w:tab w:val="right" w:leader="dot" w:pos="10196"/>
      </w:tabs>
      <w:spacing w:after="60"/>
    </w:pPr>
    <w:rPr>
      <w:noProof/>
      <w:sz w:val="20"/>
    </w:rPr>
  </w:style>
  <w:style w:type="paragraph" w:styleId="ListNumber4">
    <w:name w:val="List Number 4"/>
    <w:basedOn w:val="Normal"/>
    <w:uiPriority w:val="99"/>
    <w:semiHidden/>
    <w:unhideWhenUsed/>
    <w:rsid w:val="001E33EB"/>
    <w:pPr>
      <w:numPr>
        <w:numId w:val="9"/>
      </w:numPr>
      <w:contextualSpacing/>
    </w:pPr>
  </w:style>
  <w:style w:type="character" w:customStyle="1" w:styleId="-03Condensed">
    <w:name w:val="-0.3 Condensed"/>
    <w:basedOn w:val="DefaultParagraphFont"/>
    <w:uiPriority w:val="1"/>
    <w:qFormat/>
    <w:rsid w:val="001E33EB"/>
    <w:rPr>
      <w:spacing w:val="-6"/>
    </w:rPr>
  </w:style>
  <w:style w:type="paragraph" w:customStyle="1" w:styleId="Tableheading2">
    <w:name w:val="Table heading 2"/>
    <w:qFormat/>
    <w:rsid w:val="00E07633"/>
    <w:pPr>
      <w:spacing w:after="113" w:line="240" w:lineRule="auto"/>
    </w:pPr>
    <w:rPr>
      <w:rFonts w:ascii="Arial" w:hAnsi="Arial" w:cs="Arial"/>
      <w:b/>
    </w:rPr>
  </w:style>
  <w:style w:type="paragraph" w:customStyle="1" w:styleId="Heading4a">
    <w:name w:val="Heading 4a"/>
    <w:basedOn w:val="Normal"/>
    <w:next w:val="Heading4"/>
    <w:uiPriority w:val="9"/>
    <w:qFormat/>
    <w:rsid w:val="00B760D6"/>
    <w:pPr>
      <w:spacing w:before="240" w:after="120" w:line="264" w:lineRule="auto"/>
    </w:pPr>
    <w:rPr>
      <w:rFonts w:cstheme="minorBidi"/>
      <w:b/>
      <w:bCs/>
      <w:color w:val="1E1F58"/>
      <w:sz w:val="28"/>
      <w:szCs w:val="28"/>
    </w:rPr>
  </w:style>
  <w:style w:type="table" w:customStyle="1" w:styleId="Style1">
    <w:name w:val="Style1"/>
    <w:basedOn w:val="TableNormal"/>
    <w:uiPriority w:val="99"/>
    <w:rsid w:val="00BD68BB"/>
    <w:pPr>
      <w:spacing w:after="0" w:line="240" w:lineRule="auto"/>
    </w:pPr>
    <w:tblPr>
      <w:tblBorders>
        <w:top w:val="single" w:sz="4" w:space="0" w:color="1E1F58"/>
        <w:left w:val="single" w:sz="4" w:space="0" w:color="1E1F58"/>
        <w:bottom w:val="single" w:sz="4" w:space="0" w:color="1E1F58"/>
        <w:right w:val="single" w:sz="4" w:space="0" w:color="1E1F58"/>
        <w:insideH w:val="single" w:sz="4" w:space="0" w:color="1E1F58"/>
        <w:insideV w:val="single" w:sz="4" w:space="0" w:color="1E1F58"/>
      </w:tblBorders>
      <w:tblCellMar>
        <w:top w:w="57" w:type="dxa"/>
        <w:bottom w:w="57" w:type="dxa"/>
      </w:tblCellMar>
    </w:tblPr>
    <w:tcPr>
      <w:shd w:val="clear" w:color="auto" w:fill="auto"/>
    </w:tcPr>
    <w:tblStylePr w:type="firstRow">
      <w:rPr>
        <w:b/>
      </w:rPr>
      <w:tblPr/>
      <w:tcPr>
        <w:tcBorders>
          <w:insideH w:val="single" w:sz="4" w:space="0" w:color="FFFFFF" w:themeColor="background1"/>
          <w:insideV w:val="single" w:sz="4" w:space="0" w:color="FFFFFF" w:themeColor="background1"/>
        </w:tcBorders>
        <w:shd w:val="clear" w:color="auto" w:fill="1E1F58"/>
      </w:tcPr>
    </w:tblStylePr>
    <w:tblStylePr w:type="lastRow">
      <w:rPr>
        <w:b/>
      </w:rPr>
    </w:tblStylePr>
    <w:tblStylePr w:type="firstCol">
      <w:rPr>
        <w:b w:val="0"/>
      </w:rPr>
    </w:tblStylePr>
    <w:tblStylePr w:type="lastCol">
      <w:rPr>
        <w:b/>
      </w:rPr>
    </w:tblStylePr>
    <w:tblStylePr w:type="nwCell">
      <w:rPr>
        <w:b/>
      </w:rPr>
    </w:tblStylePr>
  </w:style>
  <w:style w:type="paragraph" w:customStyle="1" w:styleId="TableBodyNoSpacing">
    <w:name w:val="Table Body No Spacing"/>
    <w:basedOn w:val="Tablebody"/>
    <w:qFormat/>
    <w:rsid w:val="00BD68BB"/>
    <w:pPr>
      <w:spacing w:after="0" w:line="264" w:lineRule="auto"/>
    </w:pPr>
    <w:rPr>
      <w:rFonts w:cstheme="minorBidi"/>
      <w:sz w:val="22"/>
      <w:szCs w:val="24"/>
    </w:rPr>
  </w:style>
  <w:style w:type="paragraph" w:styleId="BodyText">
    <w:name w:val="Body Text"/>
    <w:basedOn w:val="Normal"/>
    <w:link w:val="BodyTextChar"/>
    <w:uiPriority w:val="1"/>
    <w:qFormat/>
    <w:rsid w:val="00701B7D"/>
    <w:pPr>
      <w:widowControl w:val="0"/>
      <w:spacing w:after="0" w:line="240" w:lineRule="auto"/>
      <w:ind w:left="232" w:hanging="360"/>
    </w:pPr>
    <w:rPr>
      <w:rFonts w:ascii="Cambria" w:eastAsia="Cambria" w:hAnsi="Cambria" w:cstheme="minorBidi"/>
      <w:sz w:val="20"/>
      <w:szCs w:val="20"/>
      <w:lang w:val="en-US"/>
    </w:rPr>
  </w:style>
  <w:style w:type="character" w:customStyle="1" w:styleId="BodyTextChar">
    <w:name w:val="Body Text Char"/>
    <w:basedOn w:val="DefaultParagraphFont"/>
    <w:link w:val="BodyText"/>
    <w:uiPriority w:val="1"/>
    <w:rsid w:val="00701B7D"/>
    <w:rPr>
      <w:rFonts w:ascii="Cambria" w:eastAsia="Cambria" w:hAnsi="Cambria"/>
      <w:sz w:val="20"/>
      <w:szCs w:val="20"/>
      <w:lang w:val="en-US"/>
    </w:rPr>
  </w:style>
  <w:style w:type="paragraph" w:styleId="ListNumber2">
    <w:name w:val="List Number 2"/>
    <w:basedOn w:val="Normal"/>
    <w:uiPriority w:val="99"/>
    <w:unhideWhenUsed/>
    <w:qFormat/>
    <w:rsid w:val="00604058"/>
    <w:pPr>
      <w:numPr>
        <w:numId w:val="10"/>
      </w:numPr>
      <w:contextualSpacing/>
    </w:pPr>
  </w:style>
  <w:style w:type="character" w:styleId="IntenseEmphasis">
    <w:name w:val="Intense Emphasis"/>
    <w:basedOn w:val="Emphasis"/>
    <w:uiPriority w:val="21"/>
    <w:rsid w:val="00877507"/>
    <w:rPr>
      <w:b/>
      <w:bCs/>
      <w:i/>
      <w:iCs/>
    </w:rPr>
  </w:style>
  <w:style w:type="table" w:customStyle="1" w:styleId="TableGrid11">
    <w:name w:val="Table Grid11"/>
    <w:basedOn w:val="TableNormal"/>
    <w:next w:val="TableGrid"/>
    <w:uiPriority w:val="39"/>
    <w:rsid w:val="00240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957052"/>
    <w:pPr>
      <w:widowControl w:val="0"/>
      <w:autoSpaceDE w:val="0"/>
      <w:autoSpaceDN w:val="0"/>
      <w:adjustRightInd w:val="0"/>
      <w:spacing w:after="0" w:line="240" w:lineRule="auto"/>
      <w:ind w:left="720" w:hanging="720"/>
    </w:pPr>
    <w:rPr>
      <w:rFonts w:ascii="Times New Roman" w:eastAsia="Times New Roman" w:hAnsi="Times New Roman" w:cs="Times New Roman"/>
      <w:sz w:val="20"/>
      <w:szCs w:val="20"/>
      <w:lang w:val="en-US" w:eastAsia="en-AU"/>
    </w:rPr>
  </w:style>
  <w:style w:type="paragraph" w:customStyle="1" w:styleId="Default">
    <w:name w:val="Default"/>
    <w:rsid w:val="00910EE0"/>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CF31D3"/>
    <w:pPr>
      <w:widowControl w:val="0"/>
      <w:spacing w:after="0" w:line="240" w:lineRule="auto"/>
    </w:pPr>
    <w:rPr>
      <w:rFonts w:asciiTheme="minorHAnsi" w:hAnsiTheme="minorHAnsi" w:cstheme="minorBidi"/>
      <w:lang w:val="en-US"/>
    </w:rPr>
  </w:style>
  <w:style w:type="table" w:customStyle="1" w:styleId="TableGrid6">
    <w:name w:val="Table Grid6"/>
    <w:basedOn w:val="TableNormal"/>
    <w:next w:val="TableGrid"/>
    <w:uiPriority w:val="39"/>
    <w:rsid w:val="00BC2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4numbering">
    <w:name w:val="Top 4 numbering"/>
    <w:basedOn w:val="ListParagraph"/>
    <w:link w:val="Top4numberingChar"/>
    <w:qFormat/>
    <w:rsid w:val="004116F3"/>
    <w:pPr>
      <w:numPr>
        <w:numId w:val="17"/>
      </w:numPr>
      <w:spacing w:after="114" w:line="240" w:lineRule="auto"/>
    </w:pPr>
    <w:rPr>
      <w:b/>
      <w:sz w:val="28"/>
      <w:szCs w:val="28"/>
    </w:rPr>
  </w:style>
  <w:style w:type="character" w:customStyle="1" w:styleId="Top4numberingChar">
    <w:name w:val="Top 4 numbering Char"/>
    <w:basedOn w:val="ListParagraphChar"/>
    <w:link w:val="Top4numbering"/>
    <w:rsid w:val="004116F3"/>
    <w:rPr>
      <w:rFonts w:ascii="Arial" w:hAnsi="Arial" w:cs="Arial"/>
      <w:b/>
      <w:sz w:val="28"/>
      <w:szCs w:val="28"/>
    </w:rPr>
  </w:style>
  <w:style w:type="paragraph" w:customStyle="1" w:styleId="TableTextBold">
    <w:name w:val="Table Text Bold"/>
    <w:basedOn w:val="Normal"/>
    <w:uiPriority w:val="17"/>
    <w:qFormat/>
    <w:rsid w:val="000A422B"/>
    <w:pPr>
      <w:spacing w:before="60" w:after="60" w:line="264" w:lineRule="auto"/>
    </w:pPr>
    <w:rPr>
      <w:rFonts w:cstheme="minorBidi"/>
      <w:b/>
      <w:sz w:val="19"/>
      <w:szCs w:val="18"/>
    </w:rPr>
  </w:style>
  <w:style w:type="paragraph" w:customStyle="1" w:styleId="TableTextItalics">
    <w:name w:val="Table Text Italics"/>
    <w:basedOn w:val="Normal"/>
    <w:uiPriority w:val="18"/>
    <w:rsid w:val="000A422B"/>
    <w:pPr>
      <w:spacing w:before="60" w:after="60" w:line="264" w:lineRule="auto"/>
    </w:pPr>
    <w:rPr>
      <w:rFonts w:cstheme="minorBidi"/>
      <w:i/>
      <w:sz w:val="19"/>
      <w:szCs w:val="18"/>
    </w:rPr>
  </w:style>
  <w:style w:type="paragraph" w:customStyle="1" w:styleId="NoteIndent">
    <w:name w:val="Note Indent"/>
    <w:basedOn w:val="Normal"/>
    <w:uiPriority w:val="22"/>
    <w:qFormat/>
    <w:rsid w:val="000A422B"/>
    <w:pPr>
      <w:numPr>
        <w:numId w:val="24"/>
      </w:numPr>
      <w:tabs>
        <w:tab w:val="left" w:pos="357"/>
      </w:tabs>
      <w:spacing w:before="60" w:after="60" w:line="264" w:lineRule="auto"/>
      <w:ind w:left="357" w:hanging="357"/>
    </w:pPr>
    <w:rPr>
      <w:rFonts w:cstheme="minorBidi"/>
      <w:sz w:val="16"/>
      <w:szCs w:val="18"/>
    </w:rPr>
  </w:style>
  <w:style w:type="paragraph" w:styleId="BodyText3">
    <w:name w:val="Body Text 3"/>
    <w:basedOn w:val="Normal"/>
    <w:link w:val="BodyText3Char"/>
    <w:uiPriority w:val="99"/>
    <w:semiHidden/>
    <w:unhideWhenUsed/>
    <w:rsid w:val="002865EE"/>
    <w:pPr>
      <w:spacing w:after="120"/>
    </w:pPr>
    <w:rPr>
      <w:sz w:val="16"/>
      <w:szCs w:val="16"/>
    </w:rPr>
  </w:style>
  <w:style w:type="character" w:customStyle="1" w:styleId="BodyText3Char">
    <w:name w:val="Body Text 3 Char"/>
    <w:basedOn w:val="DefaultParagraphFont"/>
    <w:link w:val="BodyText3"/>
    <w:uiPriority w:val="99"/>
    <w:semiHidden/>
    <w:rsid w:val="002865EE"/>
    <w:rPr>
      <w:rFonts w:ascii="Arial" w:hAnsi="Arial" w:cs="Arial"/>
      <w:sz w:val="16"/>
      <w:szCs w:val="16"/>
    </w:rPr>
  </w:style>
  <w:style w:type="character" w:styleId="FollowedHyperlink">
    <w:name w:val="FollowedHyperlink"/>
    <w:basedOn w:val="DefaultParagraphFont"/>
    <w:uiPriority w:val="99"/>
    <w:semiHidden/>
    <w:unhideWhenUsed/>
    <w:rsid w:val="0029544B"/>
    <w:rPr>
      <w:color w:val="954F72" w:themeColor="followedHyperlink"/>
      <w:u w:val="single"/>
    </w:rPr>
  </w:style>
  <w:style w:type="table" w:customStyle="1" w:styleId="TableGrid7">
    <w:name w:val="Table Grid7"/>
    <w:basedOn w:val="TableNormal"/>
    <w:next w:val="TableGrid"/>
    <w:uiPriority w:val="39"/>
    <w:rsid w:val="001D7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641453"/>
    <w:pPr>
      <w:spacing w:after="100"/>
      <w:ind w:left="440"/>
    </w:pPr>
    <w:rPr>
      <w:rFonts w:asciiTheme="minorHAnsi" w:eastAsiaTheme="minorEastAsia" w:hAnsiTheme="minorHAnsi" w:cs="Times New Roman"/>
      <w:lang w:val="en-US"/>
    </w:rPr>
  </w:style>
  <w:style w:type="table" w:customStyle="1" w:styleId="TableGrid8">
    <w:name w:val="Table Grid8"/>
    <w:basedOn w:val="TableNormal"/>
    <w:next w:val="TableGrid"/>
    <w:uiPriority w:val="39"/>
    <w:rsid w:val="00743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D51D5A"/>
    <w:pPr>
      <w:spacing w:after="100"/>
      <w:ind w:left="660"/>
    </w:pPr>
    <w:rPr>
      <w:rFonts w:asciiTheme="minorHAnsi" w:eastAsiaTheme="minorEastAsia" w:hAnsiTheme="minorHAnsi" w:cstheme="minorBidi"/>
      <w:lang w:eastAsia="en-AU"/>
    </w:rPr>
  </w:style>
  <w:style w:type="paragraph" w:styleId="TOC5">
    <w:name w:val="toc 5"/>
    <w:basedOn w:val="Normal"/>
    <w:next w:val="Normal"/>
    <w:autoRedefine/>
    <w:uiPriority w:val="39"/>
    <w:unhideWhenUsed/>
    <w:rsid w:val="00D51D5A"/>
    <w:pPr>
      <w:spacing w:after="100"/>
      <w:ind w:left="880"/>
    </w:pPr>
    <w:rPr>
      <w:rFonts w:asciiTheme="minorHAnsi" w:eastAsiaTheme="minorEastAsia" w:hAnsiTheme="minorHAnsi" w:cstheme="minorBidi"/>
      <w:lang w:eastAsia="en-AU"/>
    </w:rPr>
  </w:style>
  <w:style w:type="paragraph" w:styleId="TOC6">
    <w:name w:val="toc 6"/>
    <w:basedOn w:val="Normal"/>
    <w:next w:val="Normal"/>
    <w:autoRedefine/>
    <w:uiPriority w:val="39"/>
    <w:unhideWhenUsed/>
    <w:rsid w:val="00D51D5A"/>
    <w:pPr>
      <w:spacing w:after="100"/>
      <w:ind w:left="1100"/>
    </w:pPr>
    <w:rPr>
      <w:rFonts w:asciiTheme="minorHAnsi" w:eastAsiaTheme="minorEastAsia" w:hAnsiTheme="minorHAnsi" w:cstheme="minorBidi"/>
      <w:lang w:eastAsia="en-AU"/>
    </w:rPr>
  </w:style>
  <w:style w:type="paragraph" w:styleId="TOC7">
    <w:name w:val="toc 7"/>
    <w:basedOn w:val="Normal"/>
    <w:next w:val="Normal"/>
    <w:autoRedefine/>
    <w:uiPriority w:val="39"/>
    <w:unhideWhenUsed/>
    <w:rsid w:val="00D51D5A"/>
    <w:pPr>
      <w:spacing w:after="100"/>
      <w:ind w:left="1320"/>
    </w:pPr>
    <w:rPr>
      <w:rFonts w:asciiTheme="minorHAnsi" w:eastAsiaTheme="minorEastAsia" w:hAnsiTheme="minorHAnsi" w:cstheme="minorBidi"/>
      <w:lang w:eastAsia="en-AU"/>
    </w:rPr>
  </w:style>
  <w:style w:type="paragraph" w:styleId="TOC8">
    <w:name w:val="toc 8"/>
    <w:basedOn w:val="Normal"/>
    <w:next w:val="Normal"/>
    <w:autoRedefine/>
    <w:uiPriority w:val="39"/>
    <w:unhideWhenUsed/>
    <w:rsid w:val="00D51D5A"/>
    <w:pPr>
      <w:spacing w:after="100"/>
      <w:ind w:left="1540"/>
    </w:pPr>
    <w:rPr>
      <w:rFonts w:asciiTheme="minorHAnsi" w:eastAsiaTheme="minorEastAsia" w:hAnsiTheme="minorHAnsi" w:cstheme="minorBidi"/>
      <w:lang w:eastAsia="en-AU"/>
    </w:rPr>
  </w:style>
  <w:style w:type="paragraph" w:styleId="TOC9">
    <w:name w:val="toc 9"/>
    <w:basedOn w:val="Normal"/>
    <w:next w:val="Normal"/>
    <w:autoRedefine/>
    <w:uiPriority w:val="39"/>
    <w:unhideWhenUsed/>
    <w:rsid w:val="00D51D5A"/>
    <w:pPr>
      <w:spacing w:after="100"/>
      <w:ind w:left="1760"/>
    </w:pPr>
    <w:rPr>
      <w:rFonts w:asciiTheme="minorHAnsi" w:eastAsiaTheme="minorEastAsia" w:hAnsiTheme="minorHAnsi" w:cstheme="minorBidi"/>
      <w:lang w:eastAsia="en-AU"/>
    </w:rPr>
  </w:style>
  <w:style w:type="paragraph" w:customStyle="1" w:styleId="xmsonormal">
    <w:name w:val="x_msonormal"/>
    <w:basedOn w:val="Normal"/>
    <w:rsid w:val="00BD4FC2"/>
    <w:pPr>
      <w:spacing w:after="0" w:line="240" w:lineRule="auto"/>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23880">
      <w:bodyDiv w:val="1"/>
      <w:marLeft w:val="0"/>
      <w:marRight w:val="0"/>
      <w:marTop w:val="0"/>
      <w:marBottom w:val="0"/>
      <w:divBdr>
        <w:top w:val="none" w:sz="0" w:space="0" w:color="auto"/>
        <w:left w:val="none" w:sz="0" w:space="0" w:color="auto"/>
        <w:bottom w:val="none" w:sz="0" w:space="0" w:color="auto"/>
        <w:right w:val="none" w:sz="0" w:space="0" w:color="auto"/>
      </w:divBdr>
    </w:div>
    <w:div w:id="411585644">
      <w:bodyDiv w:val="1"/>
      <w:marLeft w:val="0"/>
      <w:marRight w:val="0"/>
      <w:marTop w:val="0"/>
      <w:marBottom w:val="0"/>
      <w:divBdr>
        <w:top w:val="none" w:sz="0" w:space="0" w:color="auto"/>
        <w:left w:val="none" w:sz="0" w:space="0" w:color="auto"/>
        <w:bottom w:val="none" w:sz="0" w:space="0" w:color="auto"/>
        <w:right w:val="none" w:sz="0" w:space="0" w:color="auto"/>
      </w:divBdr>
    </w:div>
    <w:div w:id="419838814">
      <w:bodyDiv w:val="1"/>
      <w:marLeft w:val="0"/>
      <w:marRight w:val="0"/>
      <w:marTop w:val="0"/>
      <w:marBottom w:val="0"/>
      <w:divBdr>
        <w:top w:val="none" w:sz="0" w:space="0" w:color="auto"/>
        <w:left w:val="none" w:sz="0" w:space="0" w:color="auto"/>
        <w:bottom w:val="none" w:sz="0" w:space="0" w:color="auto"/>
        <w:right w:val="none" w:sz="0" w:space="0" w:color="auto"/>
      </w:divBdr>
    </w:div>
    <w:div w:id="421266196">
      <w:bodyDiv w:val="1"/>
      <w:marLeft w:val="0"/>
      <w:marRight w:val="0"/>
      <w:marTop w:val="0"/>
      <w:marBottom w:val="0"/>
      <w:divBdr>
        <w:top w:val="none" w:sz="0" w:space="0" w:color="auto"/>
        <w:left w:val="none" w:sz="0" w:space="0" w:color="auto"/>
        <w:bottom w:val="none" w:sz="0" w:space="0" w:color="auto"/>
        <w:right w:val="none" w:sz="0" w:space="0" w:color="auto"/>
      </w:divBdr>
    </w:div>
    <w:div w:id="479423383">
      <w:bodyDiv w:val="1"/>
      <w:marLeft w:val="0"/>
      <w:marRight w:val="0"/>
      <w:marTop w:val="0"/>
      <w:marBottom w:val="0"/>
      <w:divBdr>
        <w:top w:val="none" w:sz="0" w:space="0" w:color="auto"/>
        <w:left w:val="none" w:sz="0" w:space="0" w:color="auto"/>
        <w:bottom w:val="none" w:sz="0" w:space="0" w:color="auto"/>
        <w:right w:val="none" w:sz="0" w:space="0" w:color="auto"/>
      </w:divBdr>
    </w:div>
    <w:div w:id="504516157">
      <w:bodyDiv w:val="1"/>
      <w:marLeft w:val="0"/>
      <w:marRight w:val="0"/>
      <w:marTop w:val="0"/>
      <w:marBottom w:val="0"/>
      <w:divBdr>
        <w:top w:val="none" w:sz="0" w:space="0" w:color="auto"/>
        <w:left w:val="none" w:sz="0" w:space="0" w:color="auto"/>
        <w:bottom w:val="none" w:sz="0" w:space="0" w:color="auto"/>
        <w:right w:val="none" w:sz="0" w:space="0" w:color="auto"/>
      </w:divBdr>
    </w:div>
    <w:div w:id="667560477">
      <w:bodyDiv w:val="1"/>
      <w:marLeft w:val="0"/>
      <w:marRight w:val="0"/>
      <w:marTop w:val="0"/>
      <w:marBottom w:val="0"/>
      <w:divBdr>
        <w:top w:val="none" w:sz="0" w:space="0" w:color="auto"/>
        <w:left w:val="none" w:sz="0" w:space="0" w:color="auto"/>
        <w:bottom w:val="none" w:sz="0" w:space="0" w:color="auto"/>
        <w:right w:val="none" w:sz="0" w:space="0" w:color="auto"/>
      </w:divBdr>
    </w:div>
    <w:div w:id="701826895">
      <w:bodyDiv w:val="1"/>
      <w:marLeft w:val="0"/>
      <w:marRight w:val="0"/>
      <w:marTop w:val="0"/>
      <w:marBottom w:val="0"/>
      <w:divBdr>
        <w:top w:val="none" w:sz="0" w:space="0" w:color="auto"/>
        <w:left w:val="none" w:sz="0" w:space="0" w:color="auto"/>
        <w:bottom w:val="none" w:sz="0" w:space="0" w:color="auto"/>
        <w:right w:val="none" w:sz="0" w:space="0" w:color="auto"/>
      </w:divBdr>
    </w:div>
    <w:div w:id="712265932">
      <w:bodyDiv w:val="1"/>
      <w:marLeft w:val="0"/>
      <w:marRight w:val="0"/>
      <w:marTop w:val="0"/>
      <w:marBottom w:val="0"/>
      <w:divBdr>
        <w:top w:val="none" w:sz="0" w:space="0" w:color="auto"/>
        <w:left w:val="none" w:sz="0" w:space="0" w:color="auto"/>
        <w:bottom w:val="none" w:sz="0" w:space="0" w:color="auto"/>
        <w:right w:val="none" w:sz="0" w:space="0" w:color="auto"/>
      </w:divBdr>
    </w:div>
    <w:div w:id="799109785">
      <w:bodyDiv w:val="1"/>
      <w:marLeft w:val="0"/>
      <w:marRight w:val="0"/>
      <w:marTop w:val="0"/>
      <w:marBottom w:val="0"/>
      <w:divBdr>
        <w:top w:val="none" w:sz="0" w:space="0" w:color="auto"/>
        <w:left w:val="none" w:sz="0" w:space="0" w:color="auto"/>
        <w:bottom w:val="none" w:sz="0" w:space="0" w:color="auto"/>
        <w:right w:val="none" w:sz="0" w:space="0" w:color="auto"/>
      </w:divBdr>
    </w:div>
    <w:div w:id="809789683">
      <w:bodyDiv w:val="1"/>
      <w:marLeft w:val="0"/>
      <w:marRight w:val="0"/>
      <w:marTop w:val="0"/>
      <w:marBottom w:val="0"/>
      <w:divBdr>
        <w:top w:val="none" w:sz="0" w:space="0" w:color="auto"/>
        <w:left w:val="none" w:sz="0" w:space="0" w:color="auto"/>
        <w:bottom w:val="none" w:sz="0" w:space="0" w:color="auto"/>
        <w:right w:val="none" w:sz="0" w:space="0" w:color="auto"/>
      </w:divBdr>
    </w:div>
    <w:div w:id="887453465">
      <w:bodyDiv w:val="1"/>
      <w:marLeft w:val="0"/>
      <w:marRight w:val="0"/>
      <w:marTop w:val="0"/>
      <w:marBottom w:val="0"/>
      <w:divBdr>
        <w:top w:val="none" w:sz="0" w:space="0" w:color="auto"/>
        <w:left w:val="none" w:sz="0" w:space="0" w:color="auto"/>
        <w:bottom w:val="none" w:sz="0" w:space="0" w:color="auto"/>
        <w:right w:val="none" w:sz="0" w:space="0" w:color="auto"/>
      </w:divBdr>
    </w:div>
    <w:div w:id="900094481">
      <w:bodyDiv w:val="1"/>
      <w:marLeft w:val="0"/>
      <w:marRight w:val="0"/>
      <w:marTop w:val="0"/>
      <w:marBottom w:val="0"/>
      <w:divBdr>
        <w:top w:val="none" w:sz="0" w:space="0" w:color="auto"/>
        <w:left w:val="none" w:sz="0" w:space="0" w:color="auto"/>
        <w:bottom w:val="none" w:sz="0" w:space="0" w:color="auto"/>
        <w:right w:val="none" w:sz="0" w:space="0" w:color="auto"/>
      </w:divBdr>
    </w:div>
    <w:div w:id="1064185353">
      <w:bodyDiv w:val="1"/>
      <w:marLeft w:val="0"/>
      <w:marRight w:val="0"/>
      <w:marTop w:val="0"/>
      <w:marBottom w:val="0"/>
      <w:divBdr>
        <w:top w:val="none" w:sz="0" w:space="0" w:color="auto"/>
        <w:left w:val="none" w:sz="0" w:space="0" w:color="auto"/>
        <w:bottom w:val="none" w:sz="0" w:space="0" w:color="auto"/>
        <w:right w:val="none" w:sz="0" w:space="0" w:color="auto"/>
      </w:divBdr>
    </w:div>
    <w:div w:id="1213275382">
      <w:bodyDiv w:val="1"/>
      <w:marLeft w:val="0"/>
      <w:marRight w:val="0"/>
      <w:marTop w:val="0"/>
      <w:marBottom w:val="0"/>
      <w:divBdr>
        <w:top w:val="none" w:sz="0" w:space="0" w:color="auto"/>
        <w:left w:val="none" w:sz="0" w:space="0" w:color="auto"/>
        <w:bottom w:val="none" w:sz="0" w:space="0" w:color="auto"/>
        <w:right w:val="none" w:sz="0" w:space="0" w:color="auto"/>
      </w:divBdr>
      <w:divsChild>
        <w:div w:id="567767560">
          <w:marLeft w:val="0"/>
          <w:marRight w:val="0"/>
          <w:marTop w:val="0"/>
          <w:marBottom w:val="0"/>
          <w:divBdr>
            <w:top w:val="none" w:sz="0" w:space="0" w:color="auto"/>
            <w:left w:val="none" w:sz="0" w:space="0" w:color="auto"/>
            <w:bottom w:val="none" w:sz="0" w:space="0" w:color="auto"/>
            <w:right w:val="none" w:sz="0" w:space="0" w:color="auto"/>
          </w:divBdr>
          <w:divsChild>
            <w:div w:id="1972784671">
              <w:marLeft w:val="0"/>
              <w:marRight w:val="0"/>
              <w:marTop w:val="0"/>
              <w:marBottom w:val="0"/>
              <w:divBdr>
                <w:top w:val="none" w:sz="0" w:space="0" w:color="auto"/>
                <w:left w:val="none" w:sz="0" w:space="0" w:color="auto"/>
                <w:bottom w:val="none" w:sz="0" w:space="0" w:color="auto"/>
                <w:right w:val="none" w:sz="0" w:space="0" w:color="auto"/>
              </w:divBdr>
              <w:divsChild>
                <w:div w:id="215626068">
                  <w:marLeft w:val="0"/>
                  <w:marRight w:val="0"/>
                  <w:marTop w:val="0"/>
                  <w:marBottom w:val="0"/>
                  <w:divBdr>
                    <w:top w:val="none" w:sz="0" w:space="0" w:color="auto"/>
                    <w:left w:val="none" w:sz="0" w:space="0" w:color="auto"/>
                    <w:bottom w:val="none" w:sz="0" w:space="0" w:color="auto"/>
                    <w:right w:val="none" w:sz="0" w:space="0" w:color="auto"/>
                  </w:divBdr>
                  <w:divsChild>
                    <w:div w:id="739406883">
                      <w:marLeft w:val="0"/>
                      <w:marRight w:val="0"/>
                      <w:marTop w:val="0"/>
                      <w:marBottom w:val="0"/>
                      <w:divBdr>
                        <w:top w:val="none" w:sz="0" w:space="0" w:color="auto"/>
                        <w:left w:val="none" w:sz="0" w:space="0" w:color="auto"/>
                        <w:bottom w:val="none" w:sz="0" w:space="0" w:color="auto"/>
                        <w:right w:val="none" w:sz="0" w:space="0" w:color="auto"/>
                      </w:divBdr>
                      <w:divsChild>
                        <w:div w:id="20771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700125">
      <w:bodyDiv w:val="1"/>
      <w:marLeft w:val="0"/>
      <w:marRight w:val="0"/>
      <w:marTop w:val="0"/>
      <w:marBottom w:val="0"/>
      <w:divBdr>
        <w:top w:val="none" w:sz="0" w:space="0" w:color="auto"/>
        <w:left w:val="none" w:sz="0" w:space="0" w:color="auto"/>
        <w:bottom w:val="none" w:sz="0" w:space="0" w:color="auto"/>
        <w:right w:val="none" w:sz="0" w:space="0" w:color="auto"/>
      </w:divBdr>
    </w:div>
    <w:div w:id="1523737230">
      <w:bodyDiv w:val="1"/>
      <w:marLeft w:val="0"/>
      <w:marRight w:val="0"/>
      <w:marTop w:val="0"/>
      <w:marBottom w:val="0"/>
      <w:divBdr>
        <w:top w:val="none" w:sz="0" w:space="0" w:color="auto"/>
        <w:left w:val="none" w:sz="0" w:space="0" w:color="auto"/>
        <w:bottom w:val="none" w:sz="0" w:space="0" w:color="auto"/>
        <w:right w:val="none" w:sz="0" w:space="0" w:color="auto"/>
      </w:divBdr>
    </w:div>
    <w:div w:id="1527251138">
      <w:bodyDiv w:val="1"/>
      <w:marLeft w:val="0"/>
      <w:marRight w:val="0"/>
      <w:marTop w:val="0"/>
      <w:marBottom w:val="0"/>
      <w:divBdr>
        <w:top w:val="none" w:sz="0" w:space="0" w:color="auto"/>
        <w:left w:val="none" w:sz="0" w:space="0" w:color="auto"/>
        <w:bottom w:val="none" w:sz="0" w:space="0" w:color="auto"/>
        <w:right w:val="none" w:sz="0" w:space="0" w:color="auto"/>
      </w:divBdr>
    </w:div>
    <w:div w:id="1791781813">
      <w:bodyDiv w:val="1"/>
      <w:marLeft w:val="0"/>
      <w:marRight w:val="0"/>
      <w:marTop w:val="0"/>
      <w:marBottom w:val="0"/>
      <w:divBdr>
        <w:top w:val="none" w:sz="0" w:space="0" w:color="auto"/>
        <w:left w:val="none" w:sz="0" w:space="0" w:color="auto"/>
        <w:bottom w:val="none" w:sz="0" w:space="0" w:color="auto"/>
        <w:right w:val="none" w:sz="0" w:space="0" w:color="auto"/>
      </w:divBdr>
    </w:div>
    <w:div w:id="197447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ADF4D-B086-4888-AB63-E0DD9C0DE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1590</Words>
  <Characters>9066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DCDSS Annual Report 2019-20 Summary of financial performance</vt:lpstr>
    </vt:vector>
  </TitlesOfParts>
  <Company>Queensland Government</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DCDSS Annual Report 2019-20 Summary of financial performance</dc:title>
  <dc:subject>Annual Report</dc:subject>
  <dc:creator>Queensland Government</dc:creator>
  <cp:keywords>annual report, 2019-2020, financial performance, department of communities, disability services and seniors</cp:keywords>
  <dc:description/>
  <cp:lastModifiedBy>Tanya R Campbell</cp:lastModifiedBy>
  <cp:revision>2</cp:revision>
  <cp:lastPrinted>2020-09-08T07:00:00Z</cp:lastPrinted>
  <dcterms:created xsi:type="dcterms:W3CDTF">2023-07-05T03:40:00Z</dcterms:created>
  <dcterms:modified xsi:type="dcterms:W3CDTF">2023-07-05T03:40:00Z</dcterms:modified>
</cp:coreProperties>
</file>