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2461" w14:textId="77777777" w:rsidR="005A1AC3" w:rsidRDefault="005A1AC3" w:rsidP="005A1AC3">
      <w:pPr>
        <w:pStyle w:val="Title"/>
        <w:rPr>
          <w:rFonts w:eastAsiaTheme="minorHAnsi" w:cstheme="minorBidi"/>
          <w:color w:val="18242E" w:themeColor="text1" w:themeTint="E6"/>
          <w:sz w:val="24"/>
          <w:szCs w:val="22"/>
        </w:rPr>
      </w:pPr>
    </w:p>
    <w:p w14:paraId="130CA7A2" w14:textId="77777777" w:rsidR="005A1AC3" w:rsidRPr="005A1AC3" w:rsidRDefault="005A1AC3" w:rsidP="005A1AC3">
      <w:pPr>
        <w:rPr>
          <w:rFonts w:eastAsiaTheme="majorEastAsia" w:cstheme="majorBidi"/>
          <w:b/>
          <w:color w:val="003E69"/>
          <w:sz w:val="60"/>
          <w:szCs w:val="36"/>
        </w:rPr>
      </w:pPr>
      <w:r w:rsidRPr="005A1AC3">
        <w:rPr>
          <w:rStyle w:val="Heading1Char"/>
          <w:b/>
        </w:rPr>
        <w:t>Unreasonable Complainant Conduct</w:t>
      </w:r>
      <w:r>
        <w:rPr>
          <w:rStyle w:val="Heading1Char"/>
          <w:b/>
        </w:rPr>
        <w:t xml:space="preserve"> </w:t>
      </w:r>
      <w:r w:rsidRPr="005A1AC3">
        <w:rPr>
          <w:rStyle w:val="Heading1Char"/>
          <w:b/>
        </w:rPr>
        <w:t>Information Sheet</w:t>
      </w:r>
    </w:p>
    <w:p w14:paraId="6787B835" w14:textId="77777777" w:rsidR="005A1AC3" w:rsidRDefault="005A1AC3" w:rsidP="005A1AC3">
      <w:r>
        <w:t xml:space="preserve">The Department of Transport and Main Roads </w:t>
      </w:r>
      <w:r w:rsidR="00AE05CB">
        <w:t xml:space="preserve">(TMR) </w:t>
      </w:r>
      <w:r>
        <w:t xml:space="preserve">recognises our customers have the right to make a complaint. </w:t>
      </w:r>
      <w:r w:rsidR="003E6660">
        <w:t>We exp</w:t>
      </w:r>
      <w:r>
        <w:t xml:space="preserve">ect </w:t>
      </w:r>
      <w:r w:rsidR="003E6660">
        <w:t xml:space="preserve">our staff to treat customers with courtesy and respect. We expect this courtesy and respect to be returned. We do not tolerate </w:t>
      </w:r>
      <w:r w:rsidR="00F93AE8">
        <w:t xml:space="preserve">conduct that is abusive, threatening, unreasonable, vexatious or makes inappropriate demands on our time, </w:t>
      </w:r>
      <w:proofErr w:type="gramStart"/>
      <w:r w:rsidR="00F93AE8">
        <w:t>resources</w:t>
      </w:r>
      <w:proofErr w:type="gramEnd"/>
      <w:r w:rsidR="00F93AE8">
        <w:t xml:space="preserve"> or staff.</w:t>
      </w:r>
    </w:p>
    <w:p w14:paraId="5CB2B899" w14:textId="77777777" w:rsidR="005A1AC3" w:rsidRPr="00F93AE8" w:rsidRDefault="003E6660" w:rsidP="005A1AC3">
      <w:pPr>
        <w:rPr>
          <w:rStyle w:val="Heading1Char"/>
          <w:bCs/>
          <w:sz w:val="44"/>
          <w:szCs w:val="44"/>
        </w:rPr>
      </w:pPr>
      <w:r w:rsidRPr="00F93AE8">
        <w:rPr>
          <w:rStyle w:val="Heading1Char"/>
          <w:bCs/>
          <w:sz w:val="44"/>
          <w:szCs w:val="44"/>
        </w:rPr>
        <w:t>What is unreasonable complainant conduct?</w:t>
      </w:r>
    </w:p>
    <w:p w14:paraId="4F609C46" w14:textId="77777777" w:rsidR="00AE05CB" w:rsidRDefault="00F05F9C" w:rsidP="00F05F9C">
      <w:r w:rsidRPr="00F05F9C">
        <w:t xml:space="preserve">As a complainant, your conduct could be considered unreasonable if it involves actions or behaviour which because of the nature or frequency, raises substantial health, safety, wellbeing, </w:t>
      </w:r>
      <w:proofErr w:type="gramStart"/>
      <w:r w:rsidRPr="00F05F9C">
        <w:t>resource</w:t>
      </w:r>
      <w:proofErr w:type="gramEnd"/>
      <w:r w:rsidRPr="00F05F9C">
        <w:t xml:space="preserve"> or equity issues for </w:t>
      </w:r>
      <w:r w:rsidR="00242DB8">
        <w:t>TMR</w:t>
      </w:r>
      <w:r w:rsidRPr="00F05F9C">
        <w:t xml:space="preserve">, its staff, other customers or yourself. </w:t>
      </w:r>
    </w:p>
    <w:p w14:paraId="48580956" w14:textId="77777777" w:rsidR="00663972" w:rsidRDefault="00F05F9C" w:rsidP="00F05F9C">
      <w:r w:rsidRPr="00F05F9C">
        <w:t>The following table provides examples of actions or behaviours which may, depending on the circumstances, be considered unreasonable conduct.</w:t>
      </w:r>
    </w:p>
    <w:p w14:paraId="746B1543" w14:textId="77777777" w:rsidR="00663972" w:rsidRDefault="00663972" w:rsidP="00663972">
      <w:pPr>
        <w:spacing w:before="0"/>
      </w:pPr>
    </w:p>
    <w:tbl>
      <w:tblPr>
        <w:tblStyle w:val="TMRDefault"/>
        <w:tblW w:w="9498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663972" w14:paraId="3589A1A9" w14:textId="77777777" w:rsidTr="00AE0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4B1B9031" w14:textId="77777777" w:rsidR="00663972" w:rsidRPr="00663972" w:rsidRDefault="00663972" w:rsidP="00663972">
            <w:pPr>
              <w:spacing w:before="80" w:after="80" w:line="240" w:lineRule="auto"/>
              <w:rPr>
                <w:color w:val="FFFFFF" w:themeColor="background1"/>
              </w:rPr>
            </w:pPr>
            <w:r w:rsidRPr="00663972">
              <w:rPr>
                <w:color w:val="FFFFFF" w:themeColor="background1"/>
              </w:rPr>
              <w:t>Conduct</w:t>
            </w:r>
          </w:p>
        </w:tc>
        <w:tc>
          <w:tcPr>
            <w:tcW w:w="7655" w:type="dxa"/>
          </w:tcPr>
          <w:p w14:paraId="7B779485" w14:textId="77777777" w:rsidR="00663972" w:rsidRPr="00663972" w:rsidRDefault="00663972" w:rsidP="00663972">
            <w:pPr>
              <w:spacing w:before="80" w:after="80" w:line="240" w:lineRule="auto"/>
              <w:rPr>
                <w:color w:val="FFFFFF" w:themeColor="background1"/>
              </w:rPr>
            </w:pPr>
            <w:r w:rsidRPr="00663972">
              <w:rPr>
                <w:color w:val="FFFFFF" w:themeColor="background1"/>
              </w:rPr>
              <w:t>Examples</w:t>
            </w:r>
          </w:p>
        </w:tc>
      </w:tr>
      <w:tr w:rsidR="00663972" w14:paraId="70439AB3" w14:textId="77777777" w:rsidTr="00AE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C0BA73C" w14:textId="77777777" w:rsidR="00663972" w:rsidRDefault="00663972" w:rsidP="00663972">
            <w:pPr>
              <w:spacing w:before="80" w:after="80" w:line="240" w:lineRule="auto"/>
            </w:pPr>
            <w:r>
              <w:t>Unreasonable persistence</w:t>
            </w:r>
          </w:p>
        </w:tc>
        <w:tc>
          <w:tcPr>
            <w:tcW w:w="7655" w:type="dxa"/>
          </w:tcPr>
          <w:p w14:paraId="661B96A4" w14:textId="77777777" w:rsid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t>Making excessive contact via phone or written correspondence.</w:t>
            </w:r>
          </w:p>
          <w:p w14:paraId="4B6EF682" w14:textId="77777777" w:rsid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t>Refusing to accept the outcome of a complaint.</w:t>
            </w:r>
          </w:p>
          <w:p w14:paraId="7AF3A666" w14:textId="77777777" w:rsid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t>Lodging a new complaint that, in substance, is the same as a finalised</w:t>
            </w:r>
            <w:r>
              <w:t xml:space="preserve"> </w:t>
            </w:r>
            <w:r w:rsidRPr="00663972">
              <w:t>complaint.</w:t>
            </w:r>
          </w:p>
        </w:tc>
      </w:tr>
      <w:tr w:rsidR="00663972" w14:paraId="2AAA5F47" w14:textId="77777777" w:rsidTr="00AE05CB">
        <w:tc>
          <w:tcPr>
            <w:tcW w:w="1843" w:type="dxa"/>
          </w:tcPr>
          <w:p w14:paraId="6C92CAC6" w14:textId="77777777" w:rsidR="00663972" w:rsidRDefault="00663972" w:rsidP="00663972">
            <w:pPr>
              <w:spacing w:before="80" w:after="80" w:line="240" w:lineRule="auto"/>
            </w:pPr>
            <w:r>
              <w:t>Unreasonable demands</w:t>
            </w:r>
          </w:p>
        </w:tc>
        <w:tc>
          <w:tcPr>
            <w:tcW w:w="7655" w:type="dxa"/>
          </w:tcPr>
          <w:p w14:paraId="5679F09C" w14:textId="77777777" w:rsidR="00663972" w:rsidRP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t>Making demands about how your matter should be handled.</w:t>
            </w:r>
          </w:p>
          <w:p w14:paraId="1F10730E" w14:textId="77777777" w:rsidR="00663972" w:rsidRP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t>Insisting on a response to every point raised.</w:t>
            </w:r>
          </w:p>
          <w:p w14:paraId="551AA684" w14:textId="77777777" w:rsidR="00663972" w:rsidRP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t>Demanding answers to questions that have already been responded to</w:t>
            </w:r>
            <w:r>
              <w:t xml:space="preserve"> </w:t>
            </w:r>
            <w:r w:rsidRPr="00663972">
              <w:t>comprehensively or repeatedly.</w:t>
            </w:r>
          </w:p>
          <w:p w14:paraId="7A730C43" w14:textId="77777777" w:rsid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t>Demanding an impossible, impractical, or disproportionate outcome.</w:t>
            </w:r>
          </w:p>
        </w:tc>
      </w:tr>
      <w:tr w:rsidR="00663972" w14:paraId="1C674C81" w14:textId="77777777" w:rsidTr="00AE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6515E0DC" w14:textId="77777777" w:rsidR="00663972" w:rsidRDefault="00663972" w:rsidP="00663972">
            <w:pPr>
              <w:spacing w:before="80" w:after="80" w:line="240" w:lineRule="auto"/>
            </w:pPr>
            <w:r>
              <w:t>Unreasonable lack of cooperation</w:t>
            </w:r>
          </w:p>
        </w:tc>
        <w:tc>
          <w:tcPr>
            <w:tcW w:w="7655" w:type="dxa"/>
          </w:tcPr>
          <w:p w14:paraId="13604F5C" w14:textId="77777777" w:rsidR="00663972" w:rsidRP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t>Withholding information or providing incomplete or inaccurate</w:t>
            </w:r>
            <w:r>
              <w:t xml:space="preserve"> </w:t>
            </w:r>
            <w:r w:rsidRPr="00663972">
              <w:t>information.</w:t>
            </w:r>
          </w:p>
          <w:p w14:paraId="70D1446D" w14:textId="77777777" w:rsidR="00663972" w:rsidRP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t>Deliberately providing overwhelming volumes of information.</w:t>
            </w:r>
          </w:p>
          <w:p w14:paraId="273AF8CB" w14:textId="77777777" w:rsid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lastRenderedPageBreak/>
              <w:t>Generally choosing to be obstructive or unhelpful, despite being able to</w:t>
            </w:r>
            <w:r>
              <w:t xml:space="preserve"> </w:t>
            </w:r>
            <w:r w:rsidRPr="00663972">
              <w:t>assist.</w:t>
            </w:r>
          </w:p>
        </w:tc>
      </w:tr>
      <w:tr w:rsidR="00663972" w14:paraId="7667E8AD" w14:textId="77777777" w:rsidTr="00AE05CB">
        <w:tc>
          <w:tcPr>
            <w:tcW w:w="1843" w:type="dxa"/>
          </w:tcPr>
          <w:p w14:paraId="41EEB2A7" w14:textId="77777777" w:rsidR="00663972" w:rsidRDefault="00663972" w:rsidP="00663972">
            <w:pPr>
              <w:spacing w:before="80" w:after="80" w:line="240" w:lineRule="auto"/>
            </w:pPr>
            <w:r>
              <w:lastRenderedPageBreak/>
              <w:t>Unreasonable arguments</w:t>
            </w:r>
          </w:p>
        </w:tc>
        <w:tc>
          <w:tcPr>
            <w:tcW w:w="7655" w:type="dxa"/>
          </w:tcPr>
          <w:p w14:paraId="7D487693" w14:textId="77777777" w:rsidR="00663972" w:rsidRP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t>Argumentative or irrational conduct.</w:t>
            </w:r>
          </w:p>
          <w:p w14:paraId="5FF9D14C" w14:textId="77777777" w:rsidR="00663972" w:rsidRP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t>Alleging a conspiracy or plot.</w:t>
            </w:r>
          </w:p>
          <w:p w14:paraId="0DDF4008" w14:textId="77777777" w:rsidR="00663972" w:rsidRP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t>Making vexatious complaints.</w:t>
            </w:r>
          </w:p>
          <w:p w14:paraId="48A82A34" w14:textId="77777777" w:rsidR="00663972" w:rsidRP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  <w:rPr>
                <w:b/>
                <w:bCs/>
              </w:rPr>
            </w:pPr>
            <w:r w:rsidRPr="00663972">
              <w:t>Making unrealistic, illogical, or baseless claims.</w:t>
            </w:r>
          </w:p>
        </w:tc>
      </w:tr>
      <w:tr w:rsidR="00663972" w14:paraId="4F327342" w14:textId="77777777" w:rsidTr="00AE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0B56223F" w14:textId="77777777" w:rsidR="00663972" w:rsidRDefault="00663972" w:rsidP="00663972">
            <w:pPr>
              <w:spacing w:before="80" w:after="80" w:line="240" w:lineRule="auto"/>
            </w:pPr>
            <w:r>
              <w:t>Unreasonable behaviour</w:t>
            </w:r>
          </w:p>
        </w:tc>
        <w:tc>
          <w:tcPr>
            <w:tcW w:w="7655" w:type="dxa"/>
          </w:tcPr>
          <w:p w14:paraId="026C85DC" w14:textId="77777777" w:rsidR="00663972" w:rsidRP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t>Threatening yourself or others.</w:t>
            </w:r>
          </w:p>
          <w:p w14:paraId="1857FA87" w14:textId="77777777" w:rsidR="00663972" w:rsidRP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t>Being aggressive, abusive, or violent.</w:t>
            </w:r>
          </w:p>
          <w:p w14:paraId="0232C9F7" w14:textId="77777777" w:rsidR="00663972" w:rsidRP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t>Lying or acting in a misleading or deceptive manner.</w:t>
            </w:r>
          </w:p>
          <w:p w14:paraId="717AC6B2" w14:textId="77777777" w:rsidR="00663972" w:rsidRPr="00663972" w:rsidRDefault="00663972" w:rsidP="00663972">
            <w:pPr>
              <w:pStyle w:val="ListParagraph"/>
              <w:numPr>
                <w:ilvl w:val="0"/>
                <w:numId w:val="26"/>
              </w:numPr>
              <w:spacing w:before="80" w:after="80" w:line="240" w:lineRule="auto"/>
              <w:contextualSpacing w:val="0"/>
            </w:pPr>
            <w:r w:rsidRPr="00663972">
              <w:t>Being manipulative.</w:t>
            </w:r>
          </w:p>
          <w:p w14:paraId="0E257CD3" w14:textId="77777777" w:rsidR="00663972" w:rsidRDefault="00663972" w:rsidP="00663972">
            <w:pPr>
              <w:spacing w:before="80" w:after="80" w:line="240" w:lineRule="auto"/>
            </w:pPr>
            <w:r w:rsidRPr="00663972">
              <w:t xml:space="preserve">Threats to the safety of </w:t>
            </w:r>
            <w:r w:rsidR="00242DB8">
              <w:t xml:space="preserve">TMR </w:t>
            </w:r>
            <w:r w:rsidRPr="00663972">
              <w:t>staff or threats to damage</w:t>
            </w:r>
            <w:r>
              <w:t xml:space="preserve"> </w:t>
            </w:r>
            <w:r w:rsidR="00242DB8">
              <w:t xml:space="preserve">TMR </w:t>
            </w:r>
            <w:r w:rsidRPr="00663972">
              <w:t>property may be referred to the Queensland Police Service.</w:t>
            </w:r>
          </w:p>
        </w:tc>
      </w:tr>
    </w:tbl>
    <w:p w14:paraId="5D7C8530" w14:textId="77777777" w:rsidR="00F93AE8" w:rsidRPr="00F93AE8" w:rsidRDefault="00F93AE8" w:rsidP="00F93AE8">
      <w:pPr>
        <w:rPr>
          <w:rStyle w:val="Heading1Char"/>
          <w:bCs/>
          <w:sz w:val="44"/>
          <w:szCs w:val="44"/>
        </w:rPr>
      </w:pPr>
      <w:r w:rsidRPr="00F93AE8">
        <w:rPr>
          <w:rStyle w:val="Heading1Char"/>
          <w:bCs/>
          <w:sz w:val="44"/>
          <w:szCs w:val="44"/>
        </w:rPr>
        <w:t>What</w:t>
      </w:r>
      <w:r w:rsidR="00AE05CB">
        <w:rPr>
          <w:rStyle w:val="Heading1Char"/>
          <w:bCs/>
          <w:sz w:val="44"/>
          <w:szCs w:val="44"/>
        </w:rPr>
        <w:t xml:space="preserve"> are the consequences of</w:t>
      </w:r>
      <w:r w:rsidRPr="00F93AE8">
        <w:rPr>
          <w:rStyle w:val="Heading1Char"/>
          <w:bCs/>
          <w:sz w:val="44"/>
          <w:szCs w:val="44"/>
        </w:rPr>
        <w:t xml:space="preserve"> unreasonable conduct?</w:t>
      </w:r>
    </w:p>
    <w:p w14:paraId="0D0E76F4" w14:textId="77777777" w:rsidR="00F93AE8" w:rsidRDefault="00F93AE8" w:rsidP="00F93AE8">
      <w:r>
        <w:t xml:space="preserve">If your conduct is assessed as being unreasonable, we will explain the conduct expected of you and may apply strategies under </w:t>
      </w:r>
      <w:r w:rsidR="00AE05CB">
        <w:t>TMR’s</w:t>
      </w:r>
      <w:r>
        <w:t xml:space="preserve"> </w:t>
      </w:r>
      <w:r w:rsidRPr="00AE05CB">
        <w:rPr>
          <w:i/>
          <w:iCs/>
        </w:rPr>
        <w:t>Unreasonable Complainant Conduct Policy</w:t>
      </w:r>
      <w:r w:rsidR="00AE05CB">
        <w:t>.</w:t>
      </w:r>
    </w:p>
    <w:p w14:paraId="7EF6336C" w14:textId="77777777" w:rsidR="00F93AE8" w:rsidRDefault="00F93AE8" w:rsidP="00AE05CB">
      <w:r>
        <w:t>Strategies may include but are not limited to:</w:t>
      </w:r>
    </w:p>
    <w:p w14:paraId="461FACB2" w14:textId="77777777" w:rsidR="00F93AE8" w:rsidRDefault="00F93AE8" w:rsidP="00AE05C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120" w:line="300" w:lineRule="atLeast"/>
        <w:ind w:left="714" w:hanging="357"/>
        <w:contextualSpacing w:val="0"/>
        <w:rPr>
          <w:rFonts w:asciiTheme="minorHAnsi" w:hAnsiTheme="minorHAnsi" w:cstheme="minorHAnsi"/>
          <w:color w:val="auto"/>
          <w:szCs w:val="24"/>
        </w:rPr>
      </w:pPr>
      <w:r w:rsidRPr="00F93AE8">
        <w:rPr>
          <w:rFonts w:asciiTheme="minorHAnsi" w:hAnsiTheme="minorHAnsi" w:cstheme="minorHAnsi"/>
          <w:szCs w:val="24"/>
        </w:rPr>
        <w:t>imposing</w:t>
      </w:r>
      <w:r w:rsidRPr="00F93AE8">
        <w:rPr>
          <w:rFonts w:asciiTheme="minorHAnsi" w:hAnsiTheme="minorHAnsi" w:cstheme="minorHAnsi"/>
          <w:color w:val="auto"/>
          <w:szCs w:val="24"/>
        </w:rPr>
        <w:t xml:space="preserve"> limits on the times you may contact </w:t>
      </w:r>
      <w:r w:rsidR="00242DB8">
        <w:rPr>
          <w:rFonts w:asciiTheme="minorHAnsi" w:hAnsiTheme="minorHAnsi" w:cstheme="minorHAnsi"/>
          <w:color w:val="auto"/>
          <w:szCs w:val="24"/>
        </w:rPr>
        <w:t>TMR</w:t>
      </w:r>
      <w:r w:rsidRPr="00F93AE8">
        <w:rPr>
          <w:rFonts w:asciiTheme="minorHAnsi" w:hAnsiTheme="minorHAnsi" w:cstheme="minorHAnsi"/>
          <w:color w:val="auto"/>
          <w:szCs w:val="24"/>
        </w:rPr>
        <w:t xml:space="preserve">, how you may contact </w:t>
      </w:r>
      <w:r w:rsidR="00242DB8">
        <w:rPr>
          <w:rFonts w:asciiTheme="minorHAnsi" w:hAnsiTheme="minorHAnsi" w:cstheme="minorHAnsi"/>
          <w:color w:val="auto"/>
          <w:szCs w:val="24"/>
        </w:rPr>
        <w:t>TMR</w:t>
      </w:r>
      <w:r w:rsidRPr="00F93AE8">
        <w:rPr>
          <w:rFonts w:asciiTheme="minorHAnsi" w:hAnsiTheme="minorHAnsi" w:cstheme="minorHAnsi"/>
          <w:color w:val="auto"/>
          <w:szCs w:val="24"/>
        </w:rPr>
        <w:t xml:space="preserve"> (</w:t>
      </w:r>
      <w:r>
        <w:rPr>
          <w:rFonts w:asciiTheme="minorHAnsi" w:hAnsiTheme="minorHAnsi" w:cstheme="minorHAnsi"/>
          <w:color w:val="auto"/>
          <w:szCs w:val="24"/>
        </w:rPr>
        <w:t>for example</w:t>
      </w:r>
      <w:r w:rsidRPr="00F93AE8">
        <w:rPr>
          <w:rFonts w:asciiTheme="minorHAnsi" w:hAnsiTheme="minorHAnsi" w:cstheme="minorHAnsi"/>
          <w:color w:val="auto"/>
          <w:szCs w:val="24"/>
        </w:rPr>
        <w:t>, in writing only), or who you may contact.</w:t>
      </w:r>
    </w:p>
    <w:p w14:paraId="4831093F" w14:textId="77777777" w:rsidR="00AE05CB" w:rsidRPr="00AE05CB" w:rsidRDefault="00F93AE8" w:rsidP="000A513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0" w:after="120" w:line="300" w:lineRule="atLeast"/>
        <w:ind w:left="714" w:hanging="357"/>
        <w:contextualSpacing w:val="0"/>
        <w:rPr>
          <w:rFonts w:asciiTheme="minorHAnsi" w:hAnsiTheme="minorHAnsi" w:cstheme="minorHAnsi"/>
          <w:szCs w:val="24"/>
        </w:rPr>
      </w:pPr>
      <w:r w:rsidRPr="00F93AE8">
        <w:rPr>
          <w:rFonts w:asciiTheme="minorHAnsi" w:hAnsiTheme="minorHAnsi" w:cstheme="minorHAnsi"/>
          <w:color w:val="auto"/>
          <w:szCs w:val="24"/>
        </w:rPr>
        <w:t>refusing to progress a complaint until certain conditions are met, such as providing a clear</w:t>
      </w:r>
      <w:r>
        <w:rPr>
          <w:rFonts w:asciiTheme="minorHAnsi" w:hAnsiTheme="minorHAnsi" w:cstheme="minorHAnsi"/>
          <w:color w:val="auto"/>
          <w:szCs w:val="24"/>
        </w:rPr>
        <w:t xml:space="preserve"> </w:t>
      </w:r>
      <w:r w:rsidRPr="00F93AE8">
        <w:rPr>
          <w:rFonts w:asciiTheme="minorHAnsi" w:hAnsiTheme="minorHAnsi" w:cstheme="minorHAnsi"/>
          <w:color w:val="auto"/>
          <w:szCs w:val="24"/>
        </w:rPr>
        <w:t>idea of the issues to be addressed or sharing relevant information.</w:t>
      </w:r>
    </w:p>
    <w:p w14:paraId="1C3C94E6" w14:textId="77777777" w:rsidR="00AE05CB" w:rsidRPr="00242DB8" w:rsidRDefault="00F93AE8" w:rsidP="000A513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0" w:after="120" w:line="300" w:lineRule="atLeast"/>
        <w:ind w:left="714" w:hanging="357"/>
        <w:contextualSpacing w:val="0"/>
        <w:rPr>
          <w:rFonts w:asciiTheme="minorHAnsi" w:hAnsiTheme="minorHAnsi" w:cstheme="minorHAnsi"/>
          <w:color w:val="080C0F" w:themeColor="text1"/>
          <w:szCs w:val="24"/>
        </w:rPr>
      </w:pPr>
      <w:r w:rsidRPr="00242DB8">
        <w:rPr>
          <w:rFonts w:asciiTheme="minorHAnsi" w:hAnsiTheme="minorHAnsi" w:cstheme="minorHAnsi"/>
          <w:color w:val="080C0F" w:themeColor="text1"/>
          <w:szCs w:val="24"/>
        </w:rPr>
        <w:t>terminating contact with you.</w:t>
      </w:r>
      <w:r w:rsidR="00AE05CB" w:rsidRPr="00242DB8">
        <w:rPr>
          <w:noProof/>
          <w:color w:val="080C0F" w:themeColor="text1"/>
        </w:rPr>
        <w:drawing>
          <wp:anchor distT="360045" distB="0" distL="114300" distR="114300" simplePos="0" relativeHeight="251659264" behindDoc="0" locked="0" layoutInCell="1" allowOverlap="1" wp14:anchorId="19338803" wp14:editId="2DCF2542">
            <wp:simplePos x="723900" y="1533525"/>
            <wp:positionH relativeFrom="page">
              <wp:align>center</wp:align>
            </wp:positionH>
            <wp:positionV relativeFrom="page">
              <wp:align>bottom</wp:align>
            </wp:positionV>
            <wp:extent cx="7560310" cy="619125"/>
            <wp:effectExtent l="0" t="0" r="2540" b="0"/>
            <wp:wrapTopAndBottom/>
            <wp:docPr id="1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619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8FB51" w14:textId="77777777" w:rsidR="00AE05CB" w:rsidRDefault="00AE05CB" w:rsidP="00AE05CB">
      <w:pPr>
        <w:rPr>
          <w:rFonts w:asciiTheme="minorHAnsi" w:hAnsiTheme="minorHAnsi" w:cstheme="minorHAnsi"/>
          <w:color w:val="080C0F" w:themeColor="text1"/>
          <w:szCs w:val="24"/>
        </w:rPr>
      </w:pPr>
      <w:r w:rsidRPr="00AE05CB">
        <w:rPr>
          <w:rFonts w:asciiTheme="minorHAnsi" w:hAnsiTheme="minorHAnsi" w:cstheme="minorHAnsi"/>
          <w:color w:val="080C0F" w:themeColor="text1"/>
          <w:szCs w:val="24"/>
        </w:rPr>
        <w:t xml:space="preserve">TMR has adopted the </w:t>
      </w:r>
      <w:hyperlink r:id="rId9" w:history="1">
        <w:r w:rsidRPr="00AE05CB">
          <w:rPr>
            <w:rStyle w:val="Hyperlink"/>
            <w:rFonts w:asciiTheme="minorHAnsi" w:hAnsiTheme="minorHAnsi" w:cstheme="minorHAnsi"/>
            <w:szCs w:val="24"/>
          </w:rPr>
          <w:t>Queensland Ombudsman’s framework for managing unreasonable complainant conduct.</w:t>
        </w:r>
      </w:hyperlink>
      <w:r>
        <w:rPr>
          <w:rFonts w:asciiTheme="minorHAnsi" w:hAnsiTheme="minorHAnsi" w:cstheme="minorHAnsi"/>
          <w:color w:val="080C0F" w:themeColor="text1"/>
          <w:szCs w:val="24"/>
        </w:rPr>
        <w:t xml:space="preserve"> </w:t>
      </w:r>
      <w:r w:rsidRPr="00AE05CB">
        <w:rPr>
          <w:rFonts w:asciiTheme="minorHAnsi" w:hAnsiTheme="minorHAnsi" w:cstheme="minorHAnsi"/>
          <w:color w:val="080C0F" w:themeColor="text1"/>
          <w:szCs w:val="24"/>
        </w:rPr>
        <w:t xml:space="preserve">This </w:t>
      </w:r>
      <w:r>
        <w:rPr>
          <w:rFonts w:asciiTheme="minorHAnsi" w:hAnsiTheme="minorHAnsi" w:cstheme="minorHAnsi"/>
          <w:color w:val="080C0F" w:themeColor="text1"/>
          <w:szCs w:val="24"/>
        </w:rPr>
        <w:t>information</w:t>
      </w:r>
      <w:r w:rsidRPr="00AE05CB">
        <w:rPr>
          <w:rFonts w:asciiTheme="minorHAnsi" w:hAnsiTheme="minorHAnsi" w:cstheme="minorHAnsi"/>
          <w:color w:val="080C0F" w:themeColor="text1"/>
          <w:szCs w:val="24"/>
        </w:rPr>
        <w:t xml:space="preserve"> sheet is in line with the </w:t>
      </w:r>
      <w:hyperlink r:id="rId10" w:history="1">
        <w:r w:rsidRPr="00AE05CB">
          <w:rPr>
            <w:rStyle w:val="Hyperlink"/>
            <w:rFonts w:asciiTheme="minorHAnsi" w:hAnsiTheme="minorHAnsi" w:cstheme="minorHAnsi"/>
            <w:szCs w:val="24"/>
          </w:rPr>
          <w:t>Queensland Public Service Customer Complaint Management Guidelines</w:t>
        </w:r>
      </w:hyperlink>
      <w:r w:rsidRPr="00AE05CB">
        <w:rPr>
          <w:rFonts w:asciiTheme="minorHAnsi" w:hAnsiTheme="minorHAnsi" w:cstheme="minorHAnsi"/>
          <w:color w:val="080C0F" w:themeColor="text1"/>
          <w:szCs w:val="24"/>
        </w:rPr>
        <w:t>.</w:t>
      </w:r>
    </w:p>
    <w:p w14:paraId="4E3E425E" w14:textId="77777777" w:rsidR="00AE05CB" w:rsidRPr="00AE05CB" w:rsidRDefault="00AE05CB" w:rsidP="00AE05CB">
      <w:pPr>
        <w:rPr>
          <w:rStyle w:val="Heading1Char"/>
          <w:bCs/>
          <w:sz w:val="44"/>
          <w:szCs w:val="44"/>
        </w:rPr>
      </w:pPr>
      <w:r w:rsidRPr="00AE05CB">
        <w:rPr>
          <w:rStyle w:val="Heading1Char"/>
          <w:bCs/>
          <w:sz w:val="44"/>
          <w:szCs w:val="44"/>
        </w:rPr>
        <w:t>Need more information?</w:t>
      </w:r>
    </w:p>
    <w:p w14:paraId="4584F839" w14:textId="77777777" w:rsidR="00AE05CB" w:rsidRPr="00AE05CB" w:rsidRDefault="00AE05CB" w:rsidP="00AE05CB">
      <w:pPr>
        <w:rPr>
          <w:rStyle w:val="Heading1Char"/>
          <w:bCs/>
          <w:sz w:val="44"/>
          <w:szCs w:val="44"/>
        </w:rPr>
      </w:pPr>
      <w:r>
        <w:t xml:space="preserve">Visit the Compliments and Complaints page of TMR’s website: </w:t>
      </w:r>
      <w:hyperlink r:id="rId11" w:history="1">
        <w:r w:rsidRPr="00486296">
          <w:rPr>
            <w:rStyle w:val="Hyperlink"/>
          </w:rPr>
          <w:t>https://www.tmr.qld.gov.au/About-us/Contact-us/Compliments-and-complaints</w:t>
        </w:r>
      </w:hyperlink>
    </w:p>
    <w:sectPr w:rsidR="00AE05CB" w:rsidRPr="00AE05CB" w:rsidSect="00AE05CB">
      <w:footerReference w:type="default" r:id="rId12"/>
      <w:headerReference w:type="first" r:id="rId13"/>
      <w:pgSz w:w="11906" w:h="16838" w:code="9"/>
      <w:pgMar w:top="993" w:right="1133" w:bottom="1418" w:left="1276" w:header="454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C98D" w14:textId="77777777" w:rsidR="00BF14AA" w:rsidRDefault="00BF14AA" w:rsidP="00A9280E">
      <w:pPr>
        <w:spacing w:line="240" w:lineRule="auto"/>
      </w:pPr>
      <w:r>
        <w:separator/>
      </w:r>
    </w:p>
  </w:endnote>
  <w:endnote w:type="continuationSeparator" w:id="0">
    <w:p w14:paraId="08B94F49" w14:textId="77777777" w:rsidR="00BF14AA" w:rsidRDefault="00BF14AA" w:rsidP="00A92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169B" w14:textId="403B1981" w:rsidR="00A355BF" w:rsidRDefault="00A355BF">
    <w:pPr>
      <w:pStyle w:val="Footer"/>
    </w:pPr>
    <w:r w:rsidRPr="000126D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3A23B0" wp14:editId="1177E504">
              <wp:simplePos x="0" y="0"/>
              <wp:positionH relativeFrom="column">
                <wp:posOffset>635</wp:posOffset>
              </wp:positionH>
              <wp:positionV relativeFrom="paragraph">
                <wp:posOffset>-86534</wp:posOffset>
              </wp:positionV>
              <wp:extent cx="5756564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564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25000"/>
                            <a:lumOff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7DB6EE" id="Straight Connector 6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6.8pt" to="453.3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" strokecolor="#b0c5d5 [829]" strokeweight=".5pt">
              <v:stroke joinstyle="miter"/>
            </v:line>
          </w:pict>
        </mc:Fallback>
      </mc:AlternateConten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FC11" w14:textId="77777777" w:rsidR="00BF14AA" w:rsidRDefault="00BF14AA" w:rsidP="00A9280E">
      <w:pPr>
        <w:spacing w:line="240" w:lineRule="auto"/>
      </w:pPr>
      <w:r>
        <w:separator/>
      </w:r>
    </w:p>
  </w:footnote>
  <w:footnote w:type="continuationSeparator" w:id="0">
    <w:p w14:paraId="581A0873" w14:textId="77777777" w:rsidR="00BF14AA" w:rsidRDefault="00BF14AA" w:rsidP="00A92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AD08" w14:textId="77777777" w:rsidR="00A355BF" w:rsidRDefault="00A355B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998845" wp14:editId="000D934A">
          <wp:simplePos x="0" y="0"/>
          <wp:positionH relativeFrom="page">
            <wp:posOffset>-635</wp:posOffset>
          </wp:positionH>
          <wp:positionV relativeFrom="page">
            <wp:posOffset>1270</wp:posOffset>
          </wp:positionV>
          <wp:extent cx="7560000" cy="10692000"/>
          <wp:effectExtent l="0" t="0" r="3175" b="0"/>
          <wp:wrapNone/>
          <wp:docPr id="1443987173" name="Picture 14439871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0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E442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E0C0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BE0B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57C7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5EEA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4626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81232F"/>
    <w:multiLevelType w:val="hybridMultilevel"/>
    <w:tmpl w:val="E5B85CB6"/>
    <w:lvl w:ilvl="0" w:tplc="85CAF87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307B1"/>
    <w:multiLevelType w:val="hybridMultilevel"/>
    <w:tmpl w:val="7E34102E"/>
    <w:lvl w:ilvl="0" w:tplc="85CAF87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677B7"/>
    <w:multiLevelType w:val="hybridMultilevel"/>
    <w:tmpl w:val="F23C9600"/>
    <w:lvl w:ilvl="0" w:tplc="85CAF87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2108"/>
    <w:multiLevelType w:val="hybridMultilevel"/>
    <w:tmpl w:val="D5804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654D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83378"/>
    <w:multiLevelType w:val="hybridMultilevel"/>
    <w:tmpl w:val="9A7E4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43E6F"/>
    <w:multiLevelType w:val="hybridMultilevel"/>
    <w:tmpl w:val="8512A1F8"/>
    <w:lvl w:ilvl="0" w:tplc="12161BE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6F22"/>
    <w:multiLevelType w:val="hybridMultilevel"/>
    <w:tmpl w:val="743241B6"/>
    <w:lvl w:ilvl="0" w:tplc="85CAF872">
      <w:numFmt w:val="bullet"/>
      <w:lvlText w:val="•"/>
      <w:lvlJc w:val="left"/>
      <w:pPr>
        <w:ind w:left="165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776202"/>
    <w:multiLevelType w:val="hybridMultilevel"/>
    <w:tmpl w:val="70C81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638DA"/>
    <w:multiLevelType w:val="hybridMultilevel"/>
    <w:tmpl w:val="7ED05A5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EC5EDA"/>
    <w:multiLevelType w:val="hybridMultilevel"/>
    <w:tmpl w:val="8586D2F2"/>
    <w:lvl w:ilvl="0" w:tplc="0DC81C4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674589"/>
    <w:multiLevelType w:val="hybridMultilevel"/>
    <w:tmpl w:val="D842F7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F3D1A"/>
    <w:multiLevelType w:val="hybridMultilevel"/>
    <w:tmpl w:val="322C3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E926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353E3"/>
    <w:multiLevelType w:val="hybridMultilevel"/>
    <w:tmpl w:val="C390201C"/>
    <w:lvl w:ilvl="0" w:tplc="85CAF87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246ED"/>
    <w:multiLevelType w:val="multilevel"/>
    <w:tmpl w:val="A3FEDEAC"/>
    <w:name w:val="Number List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20" w15:restartNumberingAfterBreak="0">
    <w:nsid w:val="67655653"/>
    <w:multiLevelType w:val="singleLevel"/>
    <w:tmpl w:val="5802AB64"/>
    <w:name w:val="Bullet List 3"/>
    <w:lvl w:ilvl="0">
      <w:start w:val="1"/>
      <w:numFmt w:val="bullet"/>
      <w:pStyle w:val="ListBullet3"/>
      <w:lvlText w:val="○"/>
      <w:lvlJc w:val="left"/>
      <w:pPr>
        <w:ind w:left="1000" w:hanging="360"/>
      </w:pPr>
      <w:rPr>
        <w:rFonts w:ascii="Arial" w:hAnsi="Arial" w:hint="default"/>
      </w:rPr>
    </w:lvl>
  </w:abstractNum>
  <w:abstractNum w:abstractNumId="21" w15:restartNumberingAfterBreak="0">
    <w:nsid w:val="7E61285D"/>
    <w:multiLevelType w:val="singleLevel"/>
    <w:tmpl w:val="EDE4EABC"/>
    <w:name w:val="Bullet List 1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2" w15:restartNumberingAfterBreak="0">
    <w:nsid w:val="7F68036E"/>
    <w:multiLevelType w:val="hybridMultilevel"/>
    <w:tmpl w:val="6AC8E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7528C"/>
    <w:multiLevelType w:val="singleLevel"/>
    <w:tmpl w:val="2548BC40"/>
    <w:lvl w:ilvl="0">
      <w:start w:val="1"/>
      <w:numFmt w:val="bullet"/>
      <w:pStyle w:val="ListBullet2"/>
      <w:lvlText w:val="̶"/>
      <w:lvlJc w:val="left"/>
      <w:pPr>
        <w:ind w:left="720" w:hanging="360"/>
      </w:pPr>
      <w:rPr>
        <w:rFonts w:ascii="Arial" w:hAnsi="Arial" w:hint="default"/>
      </w:rPr>
    </w:lvl>
  </w:abstractNum>
  <w:num w:numId="1" w16cid:durableId="1537810841">
    <w:abstractNumId w:val="4"/>
  </w:num>
  <w:num w:numId="2" w16cid:durableId="611714971">
    <w:abstractNumId w:val="19"/>
  </w:num>
  <w:num w:numId="3" w16cid:durableId="2089233339">
    <w:abstractNumId w:val="1"/>
  </w:num>
  <w:num w:numId="4" w16cid:durableId="1064139033">
    <w:abstractNumId w:val="0"/>
  </w:num>
  <w:num w:numId="5" w16cid:durableId="1131676040">
    <w:abstractNumId w:val="5"/>
  </w:num>
  <w:num w:numId="6" w16cid:durableId="1792286315">
    <w:abstractNumId w:val="21"/>
  </w:num>
  <w:num w:numId="7" w16cid:durableId="1137340397">
    <w:abstractNumId w:val="3"/>
  </w:num>
  <w:num w:numId="8" w16cid:durableId="1764453121">
    <w:abstractNumId w:val="23"/>
  </w:num>
  <w:num w:numId="9" w16cid:durableId="1637031433">
    <w:abstractNumId w:val="2"/>
  </w:num>
  <w:num w:numId="10" w16cid:durableId="1647666585">
    <w:abstractNumId w:val="20"/>
  </w:num>
  <w:num w:numId="11" w16cid:durableId="1284655479">
    <w:abstractNumId w:val="13"/>
  </w:num>
  <w:num w:numId="12" w16cid:durableId="243073785">
    <w:abstractNumId w:val="18"/>
  </w:num>
  <w:num w:numId="13" w16cid:durableId="1688557858">
    <w:abstractNumId w:val="6"/>
  </w:num>
  <w:num w:numId="14" w16cid:durableId="868493949">
    <w:abstractNumId w:val="7"/>
  </w:num>
  <w:num w:numId="15" w16cid:durableId="1187258435">
    <w:abstractNumId w:val="16"/>
  </w:num>
  <w:num w:numId="16" w16cid:durableId="904074665">
    <w:abstractNumId w:val="11"/>
  </w:num>
  <w:num w:numId="17" w16cid:durableId="87309825">
    <w:abstractNumId w:val="12"/>
  </w:num>
  <w:num w:numId="18" w16cid:durableId="1541166783">
    <w:abstractNumId w:val="8"/>
  </w:num>
  <w:num w:numId="19" w16cid:durableId="1118177867">
    <w:abstractNumId w:val="22"/>
  </w:num>
  <w:num w:numId="20" w16cid:durableId="555288349">
    <w:abstractNumId w:val="15"/>
  </w:num>
  <w:num w:numId="21" w16cid:durableId="565259530">
    <w:abstractNumId w:val="23"/>
  </w:num>
  <w:num w:numId="22" w16cid:durableId="1202328764">
    <w:abstractNumId w:val="20"/>
  </w:num>
  <w:num w:numId="23" w16cid:durableId="1213692130">
    <w:abstractNumId w:val="19"/>
  </w:num>
  <w:num w:numId="24" w16cid:durableId="691957020">
    <w:abstractNumId w:val="19"/>
  </w:num>
  <w:num w:numId="25" w16cid:durableId="148521376">
    <w:abstractNumId w:val="19"/>
  </w:num>
  <w:num w:numId="26" w16cid:durableId="1052534080">
    <w:abstractNumId w:val="9"/>
  </w:num>
  <w:num w:numId="27" w16cid:durableId="967247623">
    <w:abstractNumId w:val="14"/>
  </w:num>
  <w:num w:numId="28" w16cid:durableId="362825924">
    <w:abstractNumId w:val="10"/>
  </w:num>
  <w:num w:numId="29" w16cid:durableId="15301463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4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AA"/>
    <w:rsid w:val="00012CAD"/>
    <w:rsid w:val="0001356D"/>
    <w:rsid w:val="00024C73"/>
    <w:rsid w:val="00035A97"/>
    <w:rsid w:val="00040D81"/>
    <w:rsid w:val="00063EC5"/>
    <w:rsid w:val="00067CCE"/>
    <w:rsid w:val="00073B95"/>
    <w:rsid w:val="000919D4"/>
    <w:rsid w:val="000A21FE"/>
    <w:rsid w:val="000B62D3"/>
    <w:rsid w:val="00101A73"/>
    <w:rsid w:val="00140CB2"/>
    <w:rsid w:val="00150700"/>
    <w:rsid w:val="00154AB7"/>
    <w:rsid w:val="00171882"/>
    <w:rsid w:val="00172F20"/>
    <w:rsid w:val="0018390F"/>
    <w:rsid w:val="00190D28"/>
    <w:rsid w:val="001935FE"/>
    <w:rsid w:val="00204A19"/>
    <w:rsid w:val="00216C9B"/>
    <w:rsid w:val="002203EC"/>
    <w:rsid w:val="00242092"/>
    <w:rsid w:val="00242DB8"/>
    <w:rsid w:val="00267FDF"/>
    <w:rsid w:val="002909B5"/>
    <w:rsid w:val="00293985"/>
    <w:rsid w:val="002A7912"/>
    <w:rsid w:val="002D7D2F"/>
    <w:rsid w:val="002F2FF2"/>
    <w:rsid w:val="00321BB9"/>
    <w:rsid w:val="00330284"/>
    <w:rsid w:val="0034090D"/>
    <w:rsid w:val="003533A6"/>
    <w:rsid w:val="00394461"/>
    <w:rsid w:val="003B213C"/>
    <w:rsid w:val="003B4322"/>
    <w:rsid w:val="003C73AE"/>
    <w:rsid w:val="003D1E94"/>
    <w:rsid w:val="003D3DDE"/>
    <w:rsid w:val="003E0083"/>
    <w:rsid w:val="003E6660"/>
    <w:rsid w:val="003F021E"/>
    <w:rsid w:val="0042018F"/>
    <w:rsid w:val="00435625"/>
    <w:rsid w:val="00444D2D"/>
    <w:rsid w:val="00482035"/>
    <w:rsid w:val="00492B82"/>
    <w:rsid w:val="00492FF4"/>
    <w:rsid w:val="004C6FAE"/>
    <w:rsid w:val="004D56A9"/>
    <w:rsid w:val="004E4581"/>
    <w:rsid w:val="004F108A"/>
    <w:rsid w:val="00503AD7"/>
    <w:rsid w:val="005075D9"/>
    <w:rsid w:val="00511F74"/>
    <w:rsid w:val="0052584B"/>
    <w:rsid w:val="005356D0"/>
    <w:rsid w:val="00545452"/>
    <w:rsid w:val="00546311"/>
    <w:rsid w:val="00554223"/>
    <w:rsid w:val="00560347"/>
    <w:rsid w:val="00567279"/>
    <w:rsid w:val="0057777A"/>
    <w:rsid w:val="00585FAB"/>
    <w:rsid w:val="00596985"/>
    <w:rsid w:val="00596F31"/>
    <w:rsid w:val="005A1AC3"/>
    <w:rsid w:val="005B366A"/>
    <w:rsid w:val="005B5D84"/>
    <w:rsid w:val="005C435D"/>
    <w:rsid w:val="005F07A0"/>
    <w:rsid w:val="00601688"/>
    <w:rsid w:val="00626B30"/>
    <w:rsid w:val="006454B3"/>
    <w:rsid w:val="00650A5D"/>
    <w:rsid w:val="00663972"/>
    <w:rsid w:val="0067263C"/>
    <w:rsid w:val="0067596A"/>
    <w:rsid w:val="0068573B"/>
    <w:rsid w:val="00687850"/>
    <w:rsid w:val="006902D2"/>
    <w:rsid w:val="00692EE8"/>
    <w:rsid w:val="006A257D"/>
    <w:rsid w:val="006F44A2"/>
    <w:rsid w:val="006F7B3D"/>
    <w:rsid w:val="00715DBD"/>
    <w:rsid w:val="00723604"/>
    <w:rsid w:val="00737BE9"/>
    <w:rsid w:val="007777F6"/>
    <w:rsid w:val="00794CEF"/>
    <w:rsid w:val="007A6B20"/>
    <w:rsid w:val="007B1D1E"/>
    <w:rsid w:val="007B55B4"/>
    <w:rsid w:val="007B5787"/>
    <w:rsid w:val="007E0CD4"/>
    <w:rsid w:val="007E45D3"/>
    <w:rsid w:val="007E5D9B"/>
    <w:rsid w:val="007E6613"/>
    <w:rsid w:val="00805CF7"/>
    <w:rsid w:val="00817400"/>
    <w:rsid w:val="00831DDA"/>
    <w:rsid w:val="00832E05"/>
    <w:rsid w:val="0084404D"/>
    <w:rsid w:val="00850F61"/>
    <w:rsid w:val="00873D82"/>
    <w:rsid w:val="0088793C"/>
    <w:rsid w:val="008938DB"/>
    <w:rsid w:val="008A05EE"/>
    <w:rsid w:val="008C0F00"/>
    <w:rsid w:val="008C7462"/>
    <w:rsid w:val="008D375B"/>
    <w:rsid w:val="008D45CD"/>
    <w:rsid w:val="008E08B2"/>
    <w:rsid w:val="008F15FD"/>
    <w:rsid w:val="008F79AE"/>
    <w:rsid w:val="00900DEE"/>
    <w:rsid w:val="00910872"/>
    <w:rsid w:val="00923EA4"/>
    <w:rsid w:val="00924579"/>
    <w:rsid w:val="0094184C"/>
    <w:rsid w:val="00954EB3"/>
    <w:rsid w:val="00955CFE"/>
    <w:rsid w:val="00966CEB"/>
    <w:rsid w:val="00984F2A"/>
    <w:rsid w:val="009868A8"/>
    <w:rsid w:val="009A127C"/>
    <w:rsid w:val="009A4AED"/>
    <w:rsid w:val="009B024D"/>
    <w:rsid w:val="009C476A"/>
    <w:rsid w:val="009C577D"/>
    <w:rsid w:val="00A13321"/>
    <w:rsid w:val="00A250D6"/>
    <w:rsid w:val="00A355BF"/>
    <w:rsid w:val="00A63DCB"/>
    <w:rsid w:val="00A67B95"/>
    <w:rsid w:val="00A77553"/>
    <w:rsid w:val="00A9280E"/>
    <w:rsid w:val="00AE05CB"/>
    <w:rsid w:val="00AE2692"/>
    <w:rsid w:val="00B01571"/>
    <w:rsid w:val="00B02107"/>
    <w:rsid w:val="00B1179E"/>
    <w:rsid w:val="00B15F3B"/>
    <w:rsid w:val="00B44A61"/>
    <w:rsid w:val="00B54845"/>
    <w:rsid w:val="00B56ABB"/>
    <w:rsid w:val="00B65437"/>
    <w:rsid w:val="00B70360"/>
    <w:rsid w:val="00BB29BA"/>
    <w:rsid w:val="00BB35E9"/>
    <w:rsid w:val="00BF14AA"/>
    <w:rsid w:val="00C12AC8"/>
    <w:rsid w:val="00C358A6"/>
    <w:rsid w:val="00C35BDA"/>
    <w:rsid w:val="00CB6F7C"/>
    <w:rsid w:val="00CC58D5"/>
    <w:rsid w:val="00CD7B3D"/>
    <w:rsid w:val="00CE0CFA"/>
    <w:rsid w:val="00D00CA4"/>
    <w:rsid w:val="00D242AE"/>
    <w:rsid w:val="00D34E36"/>
    <w:rsid w:val="00D62542"/>
    <w:rsid w:val="00D77F76"/>
    <w:rsid w:val="00D8103A"/>
    <w:rsid w:val="00D840FD"/>
    <w:rsid w:val="00D91F41"/>
    <w:rsid w:val="00DC0880"/>
    <w:rsid w:val="00DE0712"/>
    <w:rsid w:val="00E4305A"/>
    <w:rsid w:val="00E43405"/>
    <w:rsid w:val="00E434E1"/>
    <w:rsid w:val="00E47617"/>
    <w:rsid w:val="00E63541"/>
    <w:rsid w:val="00E712EE"/>
    <w:rsid w:val="00EB0E73"/>
    <w:rsid w:val="00EB21D5"/>
    <w:rsid w:val="00EB3C3D"/>
    <w:rsid w:val="00F05F9C"/>
    <w:rsid w:val="00F12B31"/>
    <w:rsid w:val="00F266F9"/>
    <w:rsid w:val="00F3649F"/>
    <w:rsid w:val="00F77ECC"/>
    <w:rsid w:val="00F93AE8"/>
    <w:rsid w:val="00F93E75"/>
    <w:rsid w:val="00FC76B9"/>
    <w:rsid w:val="00FD0817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BDD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AB"/>
    <w:pPr>
      <w:spacing w:before="320" w:after="0" w:line="320" w:lineRule="atLeast"/>
    </w:pPr>
    <w:rPr>
      <w:rFonts w:ascii="Arial" w:hAnsi="Arial"/>
      <w:color w:val="18242E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FAB"/>
    <w:pPr>
      <w:keepNext/>
      <w:keepLines/>
      <w:spacing w:before="480" w:line="680" w:lineRule="atLeast"/>
      <w:outlineLvl w:val="0"/>
    </w:pPr>
    <w:rPr>
      <w:rFonts w:eastAsiaTheme="majorEastAsia" w:cstheme="majorBidi"/>
      <w:color w:val="003E69"/>
      <w:sz w:val="60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85FAB"/>
    <w:pPr>
      <w:spacing w:line="520" w:lineRule="atLeast"/>
      <w:outlineLvl w:val="1"/>
    </w:pPr>
    <w:rPr>
      <w:color w:val="041C2C" w:themeColor="background2" w:themeShade="1A"/>
      <w:sz w:val="44"/>
      <w:szCs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85FAB"/>
    <w:pPr>
      <w:spacing w:line="400" w:lineRule="atLeast"/>
      <w:outlineLvl w:val="2"/>
    </w:pPr>
    <w:rPr>
      <w:sz w:val="32"/>
      <w:szCs w:val="28"/>
    </w:rPr>
  </w:style>
  <w:style w:type="paragraph" w:styleId="Heading4">
    <w:name w:val="heading 4"/>
    <w:basedOn w:val="Heading1"/>
    <w:next w:val="Normal"/>
    <w:link w:val="Heading4Char"/>
    <w:autoRedefine/>
    <w:uiPriority w:val="9"/>
    <w:unhideWhenUsed/>
    <w:qFormat/>
    <w:rsid w:val="00585FAB"/>
    <w:pPr>
      <w:spacing w:line="320" w:lineRule="atLeast"/>
      <w:outlineLvl w:val="3"/>
    </w:pPr>
    <w:rPr>
      <w:b/>
      <w:color w:val="003E69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F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002E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F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1E3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F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01E3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F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01E3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F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1E3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nhideWhenUsed/>
    <w:qFormat/>
    <w:rsid w:val="00503AD7"/>
  </w:style>
  <w:style w:type="character" w:customStyle="1" w:styleId="BodyTextChar">
    <w:name w:val="Body Text Char"/>
    <w:basedOn w:val="DefaultParagraphFont"/>
    <w:link w:val="BodyText"/>
    <w:rsid w:val="00503AD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85FAB"/>
    <w:pPr>
      <w:tabs>
        <w:tab w:val="center" w:pos="4536"/>
        <w:tab w:val="right" w:pos="9072"/>
      </w:tabs>
      <w:spacing w:before="160" w:after="160" w:line="280" w:lineRule="exact"/>
    </w:pPr>
    <w:rPr>
      <w:color w:val="324B5E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5FAB"/>
    <w:rPr>
      <w:rFonts w:ascii="Arial" w:hAnsi="Arial"/>
      <w:color w:val="324B5E" w:themeColor="text1" w:themeTint="BF"/>
      <w:sz w:val="20"/>
    </w:rPr>
  </w:style>
  <w:style w:type="paragraph" w:styleId="Header">
    <w:name w:val="header"/>
    <w:basedOn w:val="Footer"/>
    <w:link w:val="HeaderChar"/>
    <w:uiPriority w:val="99"/>
    <w:unhideWhenUsed/>
    <w:rsid w:val="00585FAB"/>
  </w:style>
  <w:style w:type="character" w:customStyle="1" w:styleId="HeaderChar">
    <w:name w:val="Header Char"/>
    <w:basedOn w:val="DefaultParagraphFont"/>
    <w:link w:val="Header"/>
    <w:uiPriority w:val="99"/>
    <w:rsid w:val="00585FAB"/>
    <w:rPr>
      <w:rFonts w:ascii="Arial" w:hAnsi="Arial"/>
      <w:color w:val="324B5E" w:themeColor="text1" w:themeTint="BF"/>
      <w:sz w:val="20"/>
    </w:rPr>
  </w:style>
  <w:style w:type="paragraph" w:customStyle="1" w:styleId="Header2">
    <w:name w:val="Header 2"/>
    <w:basedOn w:val="Footer"/>
    <w:link w:val="Header2Char"/>
    <w:rsid w:val="00585FAB"/>
  </w:style>
  <w:style w:type="character" w:customStyle="1" w:styleId="Header2Char">
    <w:name w:val="Header 2 Char"/>
    <w:basedOn w:val="DefaultParagraphFont"/>
    <w:link w:val="Header2"/>
    <w:rsid w:val="00585FAB"/>
    <w:rPr>
      <w:rFonts w:ascii="Arial" w:hAnsi="Arial"/>
      <w:color w:val="324B5E" w:themeColor="text1" w:themeTint="BF"/>
      <w:sz w:val="20"/>
    </w:rPr>
  </w:style>
  <w:style w:type="paragraph" w:customStyle="1" w:styleId="Footer2">
    <w:name w:val="Footer 2"/>
    <w:basedOn w:val="Footer"/>
    <w:link w:val="Footer2Char"/>
    <w:rsid w:val="00585FAB"/>
  </w:style>
  <w:style w:type="character" w:customStyle="1" w:styleId="Footer2Char">
    <w:name w:val="Footer 2 Char"/>
    <w:basedOn w:val="DefaultParagraphFont"/>
    <w:link w:val="Footer2"/>
    <w:rsid w:val="00585FAB"/>
    <w:rPr>
      <w:rFonts w:ascii="Arial" w:hAnsi="Arial"/>
      <w:color w:val="324B5E" w:themeColor="text1" w:themeTint="BF"/>
      <w:sz w:val="20"/>
    </w:rPr>
  </w:style>
  <w:style w:type="paragraph" w:styleId="ListNumber">
    <w:name w:val="List Number"/>
    <w:basedOn w:val="Normal"/>
    <w:uiPriority w:val="99"/>
    <w:unhideWhenUsed/>
    <w:rsid w:val="00585FAB"/>
    <w:pPr>
      <w:numPr>
        <w:numId w:val="25"/>
      </w:numPr>
      <w:spacing w:before="160"/>
      <w:contextualSpacing/>
    </w:pPr>
  </w:style>
  <w:style w:type="paragraph" w:styleId="ListNumber2">
    <w:name w:val="List Number 2"/>
    <w:basedOn w:val="Normal"/>
    <w:uiPriority w:val="99"/>
    <w:unhideWhenUsed/>
    <w:rsid w:val="00585FAB"/>
    <w:pPr>
      <w:numPr>
        <w:ilvl w:val="1"/>
        <w:numId w:val="25"/>
      </w:numPr>
      <w:spacing w:before="160"/>
      <w:contextualSpacing/>
    </w:pPr>
  </w:style>
  <w:style w:type="paragraph" w:styleId="ListNumber3">
    <w:name w:val="List Number 3"/>
    <w:basedOn w:val="Normal"/>
    <w:uiPriority w:val="99"/>
    <w:unhideWhenUsed/>
    <w:rsid w:val="00585FAB"/>
    <w:pPr>
      <w:numPr>
        <w:ilvl w:val="2"/>
        <w:numId w:val="25"/>
      </w:numPr>
      <w:spacing w:before="160"/>
      <w:contextualSpacing/>
    </w:pPr>
  </w:style>
  <w:style w:type="paragraph" w:styleId="ListBullet">
    <w:name w:val="List Bullet"/>
    <w:basedOn w:val="Normal"/>
    <w:uiPriority w:val="99"/>
    <w:unhideWhenUsed/>
    <w:rsid w:val="00585FAB"/>
    <w:pPr>
      <w:numPr>
        <w:numId w:val="20"/>
      </w:numPr>
      <w:spacing w:before="160"/>
      <w:contextualSpacing/>
    </w:pPr>
    <w:rPr>
      <w:lang w:eastAsia="en-AU"/>
    </w:rPr>
  </w:style>
  <w:style w:type="paragraph" w:styleId="ListBullet2">
    <w:name w:val="List Bullet 2"/>
    <w:basedOn w:val="Normal"/>
    <w:uiPriority w:val="99"/>
    <w:unhideWhenUsed/>
    <w:rsid w:val="00585FAB"/>
    <w:pPr>
      <w:numPr>
        <w:numId w:val="21"/>
      </w:numPr>
      <w:tabs>
        <w:tab w:val="left" w:pos="160"/>
      </w:tabs>
      <w:spacing w:before="160"/>
      <w:contextualSpacing/>
    </w:pPr>
  </w:style>
  <w:style w:type="paragraph" w:styleId="ListBullet3">
    <w:name w:val="List Bullet 3"/>
    <w:basedOn w:val="Normal"/>
    <w:autoRedefine/>
    <w:uiPriority w:val="99"/>
    <w:unhideWhenUsed/>
    <w:rsid w:val="00585FAB"/>
    <w:pPr>
      <w:numPr>
        <w:numId w:val="22"/>
      </w:numPr>
      <w:tabs>
        <w:tab w:val="num" w:pos="1701"/>
      </w:tabs>
      <w:spacing w:before="160"/>
      <w:contextualSpacing/>
    </w:pPr>
  </w:style>
  <w:style w:type="paragraph" w:styleId="EnvelopeAddress">
    <w:name w:val="envelope address"/>
    <w:basedOn w:val="Normal"/>
    <w:uiPriority w:val="99"/>
    <w:semiHidden/>
    <w:unhideWhenUsed/>
    <w:rsid w:val="00585FAB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5FAB"/>
    <w:rPr>
      <w:rFonts w:ascii="Arial" w:eastAsiaTheme="majorEastAsia" w:hAnsi="Arial" w:cstheme="majorBidi"/>
      <w:color w:val="003E69"/>
      <w:sz w:val="6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85FAB"/>
    <w:rPr>
      <w:rFonts w:ascii="Arial" w:eastAsiaTheme="majorEastAsia" w:hAnsi="Arial" w:cstheme="majorBidi"/>
      <w:color w:val="003E69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85FAB"/>
    <w:rPr>
      <w:rFonts w:ascii="Arial" w:eastAsiaTheme="majorEastAsia" w:hAnsi="Arial" w:cstheme="majorBidi"/>
      <w:b/>
      <w:color w:val="003E69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85FAB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FAB"/>
    <w:pPr>
      <w:spacing w:before="480" w:after="480" w:line="360" w:lineRule="atLeast"/>
      <w:jc w:val="center"/>
    </w:pPr>
    <w:rPr>
      <w:rFonts w:asciiTheme="majorHAnsi" w:eastAsiaTheme="majorEastAsia" w:hAnsiTheme="majorHAnsi" w:cstheme="majorBidi"/>
      <w:b/>
      <w:i/>
      <w:color w:val="003E69" w:themeColor="text2"/>
      <w:spacing w:val="-6"/>
      <w:sz w:val="28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FAB"/>
    <w:rPr>
      <w:rFonts w:asciiTheme="majorHAnsi" w:eastAsiaTheme="majorEastAsia" w:hAnsiTheme="majorHAnsi" w:cstheme="majorBidi"/>
      <w:b/>
      <w:i/>
      <w:color w:val="003E69" w:themeColor="text2"/>
      <w:spacing w:val="-6"/>
      <w:sz w:val="28"/>
      <w:szCs w:val="32"/>
    </w:rPr>
  </w:style>
  <w:style w:type="paragraph" w:styleId="ListParagraph">
    <w:name w:val="List Paragraph"/>
    <w:basedOn w:val="Normal"/>
    <w:uiPriority w:val="34"/>
    <w:rsid w:val="00585F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85FAB"/>
    <w:rPr>
      <w:rFonts w:ascii="Arial" w:eastAsiaTheme="majorEastAsia" w:hAnsi="Arial" w:cstheme="majorBidi"/>
      <w:color w:val="041C2C" w:themeColor="background2" w:themeShade="1A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FAB"/>
    <w:rPr>
      <w:rFonts w:asciiTheme="majorHAnsi" w:eastAsiaTheme="majorEastAsia" w:hAnsiTheme="majorHAnsi" w:cstheme="majorBidi"/>
      <w:caps/>
      <w:color w:val="002E4E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FAB"/>
    <w:rPr>
      <w:rFonts w:asciiTheme="majorHAnsi" w:eastAsiaTheme="majorEastAsia" w:hAnsiTheme="majorHAnsi" w:cstheme="majorBidi"/>
      <w:i/>
      <w:iCs/>
      <w:caps/>
      <w:color w:val="001E34" w:themeColor="accent1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FAB"/>
    <w:rPr>
      <w:rFonts w:asciiTheme="majorHAnsi" w:eastAsiaTheme="majorEastAsia" w:hAnsiTheme="majorHAnsi" w:cstheme="majorBidi"/>
      <w:b/>
      <w:bCs/>
      <w:color w:val="001E34" w:themeColor="accent1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FAB"/>
    <w:rPr>
      <w:rFonts w:asciiTheme="majorHAnsi" w:eastAsiaTheme="majorEastAsia" w:hAnsiTheme="majorHAnsi" w:cstheme="majorBidi"/>
      <w:b/>
      <w:bCs/>
      <w:i/>
      <w:iCs/>
      <w:color w:val="001E34" w:themeColor="accent1" w:themeShade="8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FAB"/>
    <w:rPr>
      <w:rFonts w:asciiTheme="majorHAnsi" w:eastAsiaTheme="majorEastAsia" w:hAnsiTheme="majorHAnsi" w:cstheme="majorBidi"/>
      <w:i/>
      <w:iCs/>
      <w:color w:val="001E34" w:themeColor="accent1" w:themeShade="80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85FAB"/>
    <w:pPr>
      <w:spacing w:before="160" w:line="280" w:lineRule="atLeast"/>
    </w:pPr>
    <w:rPr>
      <w:bCs/>
      <w:color w:val="808080" w:themeColor="background1" w:themeShade="80"/>
      <w:sz w:val="20"/>
    </w:rPr>
  </w:style>
  <w:style w:type="paragraph" w:styleId="Subtitle">
    <w:name w:val="Subtitle"/>
    <w:basedOn w:val="Normal"/>
    <w:next w:val="Normal"/>
    <w:link w:val="SubtitleChar"/>
    <w:uiPriority w:val="8"/>
    <w:qFormat/>
    <w:rsid w:val="00585FAB"/>
    <w:pPr>
      <w:numPr>
        <w:ilvl w:val="1"/>
      </w:numPr>
      <w:spacing w:before="0" w:line="520" w:lineRule="exact"/>
    </w:pPr>
    <w:rPr>
      <w:rFonts w:eastAsiaTheme="majorEastAsia" w:cstheme="majorBidi"/>
      <w:color w:val="041C2C" w:themeColor="background2" w:themeShade="1A"/>
      <w:sz w:val="44"/>
      <w:szCs w:val="28"/>
    </w:rPr>
  </w:style>
  <w:style w:type="character" w:customStyle="1" w:styleId="SubtitleChar">
    <w:name w:val="Subtitle Char"/>
    <w:basedOn w:val="DefaultParagraphFont"/>
    <w:link w:val="Subtitle"/>
    <w:uiPriority w:val="8"/>
    <w:rsid w:val="00585FAB"/>
    <w:rPr>
      <w:rFonts w:ascii="Arial" w:eastAsiaTheme="majorEastAsia" w:hAnsi="Arial" w:cstheme="majorBidi"/>
      <w:color w:val="041C2C" w:themeColor="background2" w:themeShade="1A"/>
      <w:sz w:val="44"/>
      <w:szCs w:val="28"/>
    </w:rPr>
  </w:style>
  <w:style w:type="character" w:styleId="Strong">
    <w:name w:val="Strong"/>
    <w:basedOn w:val="DefaultParagraphFont"/>
    <w:uiPriority w:val="22"/>
    <w:qFormat/>
    <w:rsid w:val="00585FAB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585FA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85FAB"/>
    <w:pPr>
      <w:spacing w:before="480" w:after="480"/>
      <w:jc w:val="center"/>
    </w:pPr>
    <w:rPr>
      <w:i/>
      <w:color w:val="003E69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5FAB"/>
    <w:rPr>
      <w:rFonts w:ascii="Arial" w:hAnsi="Arial"/>
      <w:i/>
      <w:color w:val="003E69" w:themeColor="text2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85FAB"/>
    <w:rPr>
      <w:i/>
      <w:iCs/>
      <w:color w:val="324B5E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85FAB"/>
    <w:rPr>
      <w:caps w:val="0"/>
      <w:smallCaps w:val="0"/>
      <w:color w:val="324B5E" w:themeColor="text1" w:themeTint="BF"/>
      <w:u w:val="none" w:color="5F89AA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85FAB"/>
    <w:rPr>
      <w:b/>
      <w:bCs/>
      <w:i/>
      <w:caps w:val="0"/>
      <w:smallCaps w:val="0"/>
      <w:color w:val="003E69" w:themeColor="text2"/>
      <w:u w:val="none"/>
    </w:rPr>
  </w:style>
  <w:style w:type="character" w:styleId="BookTitle">
    <w:name w:val="Book Title"/>
    <w:basedOn w:val="DefaultParagraphFont"/>
    <w:uiPriority w:val="33"/>
    <w:qFormat/>
    <w:locked/>
    <w:rsid w:val="00B56A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585FAB"/>
    <w:pPr>
      <w:spacing w:line="520" w:lineRule="atLeast"/>
      <w:outlineLvl w:val="9"/>
    </w:pPr>
    <w:rPr>
      <w:color w:val="041C2C" w:themeColor="background2" w:themeShade="1A"/>
      <w:sz w:val="44"/>
    </w:rPr>
  </w:style>
  <w:style w:type="table" w:styleId="TableGrid">
    <w:name w:val="Table Grid"/>
    <w:basedOn w:val="TableNormal"/>
    <w:locked/>
    <w:rsid w:val="0058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MR">
    <w:name w:val="TMR"/>
    <w:basedOn w:val="TableNormal"/>
    <w:uiPriority w:val="99"/>
    <w:rsid w:val="003533A6"/>
    <w:pPr>
      <w:spacing w:after="0" w:line="240" w:lineRule="auto"/>
    </w:pPr>
    <w:tblPr>
      <w:tblStyleRowBandSize w:val="1"/>
    </w:tblPr>
    <w:tblStylePr w:type="firstRow">
      <w:tblPr/>
      <w:tcPr>
        <w:tcBorders>
          <w:top w:val="nil"/>
          <w:left w:val="nil"/>
          <w:bottom w:val="nil"/>
          <w:right w:val="nil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003E69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</w:tcBorders>
        <w:shd w:val="clear" w:color="auto" w:fill="003E69"/>
      </w:tcPr>
    </w:tblStylePr>
    <w:tblStylePr w:type="band1Horz">
      <w:tblPr/>
      <w:tcPr>
        <w:shd w:val="clear" w:color="auto" w:fill="ECF6FD"/>
      </w:tcPr>
    </w:tblStylePr>
  </w:style>
  <w:style w:type="paragraph" w:styleId="Title">
    <w:name w:val="Title"/>
    <w:basedOn w:val="Heading1"/>
    <w:next w:val="Normal"/>
    <w:link w:val="TitleChar"/>
    <w:uiPriority w:val="9"/>
    <w:qFormat/>
    <w:locked/>
    <w:rsid w:val="00585FAB"/>
    <w:pPr>
      <w:spacing w:before="0" w:line="240" w:lineRule="auto"/>
      <w:contextualSpacing/>
    </w:pPr>
    <w:rPr>
      <w:rFonts w:asciiTheme="majorHAnsi" w:hAnsiTheme="majorHAnsi"/>
      <w:b/>
      <w:color w:val="003E69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9"/>
    <w:rsid w:val="00585FAB"/>
    <w:rPr>
      <w:rFonts w:asciiTheme="majorHAnsi" w:eastAsiaTheme="majorEastAsia" w:hAnsiTheme="majorHAnsi" w:cstheme="majorBidi"/>
      <w:b/>
      <w:color w:val="003E69" w:themeColor="accent1"/>
      <w:spacing w:val="-10"/>
      <w:kern w:val="28"/>
      <w:sz w:val="72"/>
      <w:szCs w:val="56"/>
    </w:rPr>
  </w:style>
  <w:style w:type="paragraph" w:styleId="NoSpacing">
    <w:name w:val="No Spacing"/>
    <w:link w:val="NoSpacingChar"/>
    <w:uiPriority w:val="1"/>
    <w:qFormat/>
    <w:locked/>
    <w:rsid w:val="00585FAB"/>
    <w:pPr>
      <w:spacing w:after="0" w:line="240" w:lineRule="auto"/>
    </w:pPr>
    <w:rPr>
      <w:rFonts w:ascii="Arial" w:hAnsi="Arial"/>
      <w:color w:val="18242E" w:themeColor="text1" w:themeTint="E6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280E"/>
    <w:rPr>
      <w:rFonts w:ascii="Arial" w:hAnsi="Arial"/>
      <w:color w:val="18242E" w:themeColor="text1" w:themeTint="E6"/>
      <w:sz w:val="24"/>
    </w:rPr>
  </w:style>
  <w:style w:type="character" w:customStyle="1" w:styleId="ui-provider">
    <w:name w:val="ui-provider"/>
    <w:basedOn w:val="DefaultParagraphFont"/>
    <w:rsid w:val="00EB3C3D"/>
  </w:style>
  <w:style w:type="paragraph" w:customStyle="1" w:styleId="FigureCaption">
    <w:name w:val="Figure Caption"/>
    <w:basedOn w:val="Caption"/>
    <w:next w:val="Normal"/>
    <w:qFormat/>
    <w:rsid w:val="00585FAB"/>
    <w:pPr>
      <w:keepNext/>
      <w:spacing w:before="320"/>
    </w:pPr>
    <w:rPr>
      <w:b/>
      <w:color w:val="324B5E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585FAB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585FAB"/>
  </w:style>
  <w:style w:type="paragraph" w:styleId="BlockText">
    <w:name w:val="Block Text"/>
    <w:basedOn w:val="Normal"/>
    <w:uiPriority w:val="99"/>
    <w:unhideWhenUsed/>
    <w:rsid w:val="00585FAB"/>
    <w:pPr>
      <w:framePr w:wrap="around" w:vAnchor="text" w:hAnchor="text" w:y="1"/>
      <w:pBdr>
        <w:top w:val="single" w:sz="2" w:space="8" w:color="AFC4D4" w:themeColor="text1" w:themeTint="40"/>
        <w:left w:val="single" w:sz="2" w:space="8" w:color="AFC4D4" w:themeColor="text1" w:themeTint="40"/>
        <w:bottom w:val="single" w:sz="2" w:space="8" w:color="AFC4D4" w:themeColor="text1" w:themeTint="40"/>
        <w:right w:val="single" w:sz="2" w:space="8" w:color="AFC4D4" w:themeColor="text1" w:themeTint="40"/>
      </w:pBdr>
      <w:ind w:left="640" w:right="640"/>
    </w:pPr>
    <w:rPr>
      <w:rFonts w:asciiTheme="minorHAnsi" w:eastAsiaTheme="minorEastAsia" w:hAnsiTheme="minorHAnsi"/>
      <w:iCs/>
      <w:color w:val="041C2C" w:themeColor="background2" w:themeShade="1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5FAB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5FAB"/>
    <w:rPr>
      <w:rFonts w:ascii="Consolas" w:hAnsi="Consolas"/>
      <w:color w:val="18242E" w:themeColor="text1" w:themeTint="E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5FAB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585FAB"/>
    <w:pPr>
      <w:spacing w:before="160"/>
      <w:ind w:left="318"/>
      <w:contextualSpacing/>
    </w:pPr>
  </w:style>
  <w:style w:type="paragraph" w:styleId="List2">
    <w:name w:val="List 2"/>
    <w:basedOn w:val="Normal"/>
    <w:uiPriority w:val="99"/>
    <w:unhideWhenUsed/>
    <w:rsid w:val="00585FAB"/>
    <w:pPr>
      <w:spacing w:before="160"/>
      <w:ind w:left="879"/>
      <w:contextualSpacing/>
    </w:pPr>
  </w:style>
  <w:style w:type="paragraph" w:styleId="List3">
    <w:name w:val="List 3"/>
    <w:basedOn w:val="Normal"/>
    <w:uiPriority w:val="99"/>
    <w:unhideWhenUsed/>
    <w:rsid w:val="00585FAB"/>
    <w:pPr>
      <w:spacing w:before="160"/>
      <w:ind w:left="1480"/>
      <w:contextualSpacing/>
    </w:pPr>
  </w:style>
  <w:style w:type="paragraph" w:styleId="List4">
    <w:name w:val="List 4"/>
    <w:basedOn w:val="Normal"/>
    <w:uiPriority w:val="99"/>
    <w:unhideWhenUsed/>
    <w:rsid w:val="00585FAB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585FAB"/>
    <w:pPr>
      <w:ind w:left="1415" w:hanging="283"/>
      <w:contextualSpacing/>
    </w:pPr>
  </w:style>
  <w:style w:type="paragraph" w:styleId="ListContinue5">
    <w:name w:val="List Continue 5"/>
    <w:basedOn w:val="Normal"/>
    <w:uiPriority w:val="99"/>
    <w:unhideWhenUsed/>
    <w:rsid w:val="00585FAB"/>
    <w:pPr>
      <w:spacing w:after="120"/>
      <w:ind w:left="1415"/>
      <w:contextualSpacing/>
    </w:pPr>
  </w:style>
  <w:style w:type="table" w:styleId="ListTable3-Accent1">
    <w:name w:val="List Table 3 Accent 1"/>
    <w:basedOn w:val="TableNormal"/>
    <w:uiPriority w:val="48"/>
    <w:locked/>
    <w:rsid w:val="00585FAB"/>
    <w:pPr>
      <w:spacing w:after="0" w:line="240" w:lineRule="auto"/>
    </w:pPr>
    <w:tblPr>
      <w:tblStyleRowBandSize w:val="1"/>
      <w:tblStyleColBandSize w:val="1"/>
      <w:tblBorders>
        <w:top w:val="single" w:sz="4" w:space="0" w:color="003E69" w:themeColor="accent1"/>
        <w:left w:val="single" w:sz="4" w:space="0" w:color="003E69" w:themeColor="accent1"/>
        <w:bottom w:val="single" w:sz="4" w:space="0" w:color="003E69" w:themeColor="accent1"/>
        <w:right w:val="single" w:sz="4" w:space="0" w:color="003E6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E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E6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E69" w:themeColor="accent1"/>
          <w:right w:val="single" w:sz="4" w:space="0" w:color="003E69" w:themeColor="accent1"/>
        </w:tcBorders>
      </w:tcPr>
    </w:tblStylePr>
    <w:tblStylePr w:type="band1Horz">
      <w:tblPr/>
      <w:tcPr>
        <w:tcBorders>
          <w:top w:val="single" w:sz="4" w:space="0" w:color="003E69" w:themeColor="accent1"/>
          <w:bottom w:val="single" w:sz="4" w:space="0" w:color="003E6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E69" w:themeColor="accent1"/>
          <w:left w:val="nil"/>
        </w:tcBorders>
      </w:tcPr>
    </w:tblStylePr>
    <w:tblStylePr w:type="swCell">
      <w:tblPr/>
      <w:tcPr>
        <w:tcBorders>
          <w:top w:val="double" w:sz="4" w:space="0" w:color="003E69" w:themeColor="accent1"/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585FAB"/>
    <w:pPr>
      <w:pBdr>
        <w:top w:val="single" w:sz="6" w:space="8" w:color="AFC4D4" w:themeColor="text1" w:themeTint="40"/>
        <w:left w:val="single" w:sz="6" w:space="8" w:color="AFC4D4" w:themeColor="text1" w:themeTint="40"/>
        <w:bottom w:val="single" w:sz="6" w:space="8" w:color="AFC4D4" w:themeColor="text1" w:themeTint="40"/>
        <w:right w:val="single" w:sz="6" w:space="8" w:color="AFC4D4" w:themeColor="text1" w:themeTint="40"/>
      </w:pBdr>
      <w:shd w:val="clear" w:color="auto" w:fill="ECF6FD" w:themeFill="background2"/>
      <w:spacing w:before="480" w:after="4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85FAB"/>
    <w:rPr>
      <w:rFonts w:asciiTheme="majorHAnsi" w:eastAsiaTheme="majorEastAsia" w:hAnsiTheme="majorHAnsi" w:cstheme="majorBidi"/>
      <w:color w:val="18242E" w:themeColor="text1" w:themeTint="E6"/>
      <w:sz w:val="24"/>
      <w:szCs w:val="24"/>
      <w:shd w:val="clear" w:color="auto" w:fill="ECF6FD" w:themeFill="background2"/>
    </w:rPr>
  </w:style>
  <w:style w:type="paragraph" w:styleId="NormalWeb">
    <w:name w:val="Normal (Web)"/>
    <w:basedOn w:val="Normal"/>
    <w:uiPriority w:val="99"/>
    <w:semiHidden/>
    <w:unhideWhenUsed/>
    <w:rsid w:val="0058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qg-blank-notice">
    <w:name w:val="qg-blank-notice"/>
    <w:basedOn w:val="DefaultParagraphFont"/>
    <w:rsid w:val="00585FAB"/>
  </w:style>
  <w:style w:type="paragraph" w:styleId="TableofAuthorities">
    <w:name w:val="table of authorities"/>
    <w:basedOn w:val="Normal"/>
    <w:next w:val="Normal"/>
    <w:uiPriority w:val="99"/>
    <w:unhideWhenUsed/>
    <w:rsid w:val="00585FA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585FAB"/>
  </w:style>
  <w:style w:type="table" w:customStyle="1" w:styleId="TMRDefault">
    <w:name w:val="TMR – Default"/>
    <w:basedOn w:val="TableNormal"/>
    <w:uiPriority w:val="99"/>
    <w:rsid w:val="00585FAB"/>
    <w:pPr>
      <w:spacing w:after="0" w:line="240" w:lineRule="atLeast"/>
    </w:pPr>
    <w:rPr>
      <w:color w:val="001E34" w:themeColor="text2" w:themeShade="80"/>
      <w:sz w:val="20"/>
    </w:rPr>
    <w:tblPr>
      <w:tblStyleRowBandSize w:val="1"/>
      <w:tblBorders>
        <w:top w:val="dotted" w:sz="4" w:space="0" w:color="324B5E" w:themeColor="text1" w:themeTint="BF"/>
        <w:left w:val="dotted" w:sz="4" w:space="0" w:color="324B5E" w:themeColor="text1" w:themeTint="BF"/>
        <w:bottom w:val="dotted" w:sz="4" w:space="0" w:color="324B5E" w:themeColor="text1" w:themeTint="BF"/>
        <w:right w:val="dotted" w:sz="4" w:space="0" w:color="324B5E" w:themeColor="text1" w:themeTint="BF"/>
        <w:insideH w:val="dotted" w:sz="4" w:space="0" w:color="324B5E" w:themeColor="text1" w:themeTint="BF"/>
        <w:insideV w:val="dotted" w:sz="4" w:space="0" w:color="324B5E" w:themeColor="text1" w:themeTint="BF"/>
      </w:tblBorders>
    </w:tblPr>
    <w:tcPr>
      <w:tcMar>
        <w:top w:w="159" w:type="dxa"/>
        <w:left w:w="159" w:type="dxa"/>
        <w:bottom w:w="160" w:type="dxa"/>
        <w:right w:w="159" w:type="dxa"/>
      </w:tcMar>
    </w:tcPr>
    <w:tblStylePr w:type="firstRow">
      <w:rPr>
        <w:b/>
        <w:color w:val="ECF6FD" w:themeColor="background2"/>
      </w:rPr>
      <w:tblPr/>
      <w:tcPr>
        <w:tcBorders>
          <w:top w:val="nil"/>
          <w:left w:val="nil"/>
          <w:bottom w:val="nil"/>
          <w:right w:val="nil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003E69"/>
      </w:tcPr>
    </w:tblStylePr>
    <w:tblStylePr w:type="lastRow">
      <w:rPr>
        <w:rFonts w:ascii="Arial" w:hAnsi="Arial"/>
        <w:b/>
        <w:sz w:val="20"/>
      </w:rPr>
      <w:tblPr/>
      <w:tcPr>
        <w:tcBorders>
          <w:top w:val="thinThickSmallGap" w:sz="12" w:space="0" w:color="324B5E" w:themeColor="text1" w:themeTint="BF"/>
        </w:tcBorders>
        <w:shd w:val="clear" w:color="auto" w:fill="FFFFFF" w:themeFill="background1"/>
      </w:tcPr>
    </w:tblStylePr>
    <w:tblStylePr w:type="band1Horz">
      <w:tblPr/>
      <w:tcPr>
        <w:shd w:val="clear" w:color="auto" w:fill="ECF6FD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585FAB"/>
    <w:pPr>
      <w:tabs>
        <w:tab w:val="right" w:leader="dot" w:pos="9060"/>
      </w:tabs>
      <w:spacing w:before="80"/>
    </w:pPr>
  </w:style>
  <w:style w:type="paragraph" w:styleId="TOC2">
    <w:name w:val="toc 2"/>
    <w:basedOn w:val="Normal"/>
    <w:next w:val="Normal"/>
    <w:autoRedefine/>
    <w:uiPriority w:val="39"/>
    <w:unhideWhenUsed/>
    <w:rsid w:val="00585FAB"/>
    <w:pPr>
      <w:spacing w:before="80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585FAB"/>
    <w:pPr>
      <w:spacing w:before="80"/>
      <w:ind w:left="482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85FAB"/>
    <w:pPr>
      <w:spacing w:before="8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85FAB"/>
    <w:pPr>
      <w:spacing w:before="80"/>
      <w:ind w:left="95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85FAB"/>
    <w:pPr>
      <w:spacing w:before="80"/>
      <w:ind w:left="1202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85FAB"/>
    <w:pPr>
      <w:spacing w:before="8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85FAB"/>
    <w:pPr>
      <w:spacing w:before="80"/>
      <w:ind w:left="167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85FAB"/>
    <w:pPr>
      <w:spacing w:before="80"/>
      <w:ind w:left="1922"/>
    </w:pPr>
  </w:style>
  <w:style w:type="paragraph" w:customStyle="1" w:styleId="Default">
    <w:name w:val="Default"/>
    <w:rsid w:val="00F05F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0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mr.qld.gov.au/About-us/Contact-us/Compliments-and-complain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orgov.qld.gov.au/pay-benefits-and-policy/directives-policies-circulars-and-guidelines/queensland-public-service-customer-complaint-management-guide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mbudsman.qld.gov.au/improve-public-administration/public-administration-resources/managing-unreasonable-complainant-conduc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TMR Colours">
      <a:dk1>
        <a:srgbClr val="080C0F"/>
      </a:dk1>
      <a:lt1>
        <a:sysClr val="window" lastClr="FFFFFF"/>
      </a:lt1>
      <a:dk2>
        <a:srgbClr val="003E69"/>
      </a:dk2>
      <a:lt2>
        <a:srgbClr val="ECF6FD"/>
      </a:lt2>
      <a:accent1>
        <a:srgbClr val="003E69"/>
      </a:accent1>
      <a:accent2>
        <a:srgbClr val="071E30"/>
      </a:accent2>
      <a:accent3>
        <a:srgbClr val="85C446"/>
      </a:accent3>
      <a:accent4>
        <a:srgbClr val="E08724"/>
      </a:accent4>
      <a:accent5>
        <a:srgbClr val="9C1D37"/>
      </a:accent5>
      <a:accent6>
        <a:srgbClr val="830E26"/>
      </a:accent6>
      <a:hlink>
        <a:srgbClr val="0563C1"/>
      </a:hlink>
      <a:folHlink>
        <a:srgbClr val="0563C1"/>
      </a:folHlink>
    </a:clrScheme>
    <a:fontScheme name="TMR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FB130-02EE-47ED-84D9-ADB0DB5C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Unreasonable Complainant Conduct Information Sheet</dc:title>
  <dc:subject/>
  <dc:creator/>
  <cp:keywords>TMR; information; sheet; complainant; conduct; unreasonable;</cp:keywords>
  <dc:description/>
  <cp:lastModifiedBy/>
  <cp:revision>1</cp:revision>
  <dcterms:created xsi:type="dcterms:W3CDTF">2024-12-09T02:55:00Z</dcterms:created>
  <dcterms:modified xsi:type="dcterms:W3CDTF">2024-12-09T02:56:00Z</dcterms:modified>
</cp:coreProperties>
</file>