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2CD6F" w14:textId="77777777" w:rsidR="00537396" w:rsidRDefault="00537396" w:rsidP="00383CB2">
      <w:pPr>
        <w:pStyle w:val="Heading2"/>
        <w:ind w:left="-142"/>
        <w:jc w:val="both"/>
        <w:rPr>
          <w:b/>
          <w:sz w:val="32"/>
          <w:szCs w:val="32"/>
        </w:rPr>
      </w:pPr>
    </w:p>
    <w:p w14:paraId="58FFE92C" w14:textId="77777777" w:rsidR="00383CB2" w:rsidRPr="00E60EBE" w:rsidRDefault="00383CB2" w:rsidP="00383CB2">
      <w:pPr>
        <w:pStyle w:val="Heading2"/>
        <w:ind w:left="-142"/>
        <w:jc w:val="both"/>
        <w:rPr>
          <w:b/>
          <w:sz w:val="28"/>
          <w:szCs w:val="28"/>
        </w:rPr>
      </w:pPr>
      <w:r w:rsidRPr="00E60EBE">
        <w:rPr>
          <w:b/>
          <w:sz w:val="28"/>
          <w:szCs w:val="28"/>
        </w:rPr>
        <w:t xml:space="preserve">RIGHT TO INFORMATION AND PRIVACY: </w:t>
      </w:r>
      <w:r w:rsidR="00E60EBE" w:rsidRPr="00E60EBE">
        <w:rPr>
          <w:b/>
          <w:sz w:val="28"/>
          <w:szCs w:val="28"/>
        </w:rPr>
        <w:t>ACCESS AND AMENDMENT</w:t>
      </w:r>
    </w:p>
    <w:p w14:paraId="6CA1329F" w14:textId="65A135D5" w:rsidR="00E60EBE" w:rsidRPr="00E60EBE" w:rsidRDefault="00E60EBE" w:rsidP="00E60EBE">
      <w:pPr>
        <w:pStyle w:val="Heading2"/>
        <w:ind w:left="-142"/>
        <w:jc w:val="both"/>
        <w:rPr>
          <w:color w:val="auto"/>
          <w:sz w:val="22"/>
          <w:szCs w:val="22"/>
        </w:rPr>
      </w:pPr>
      <w:r w:rsidRPr="00E60EBE">
        <w:rPr>
          <w:color w:val="auto"/>
          <w:sz w:val="22"/>
          <w:szCs w:val="22"/>
        </w:rPr>
        <w:t xml:space="preserve">The </w:t>
      </w:r>
      <w:hyperlink r:id="rId7" w:history="1">
        <w:r w:rsidRPr="00E60EBE">
          <w:rPr>
            <w:rStyle w:val="Hyperlink"/>
            <w:i/>
            <w:color w:val="auto"/>
            <w:szCs w:val="22"/>
            <w:u w:val="none"/>
          </w:rPr>
          <w:t>Right to Information Act 2009</w:t>
        </w:r>
      </w:hyperlink>
      <w:r w:rsidRPr="00E60EBE">
        <w:rPr>
          <w:color w:val="auto"/>
          <w:sz w:val="22"/>
          <w:szCs w:val="22"/>
        </w:rPr>
        <w:t xml:space="preserve"> (RTI Act) and the </w:t>
      </w:r>
      <w:hyperlink r:id="rId8" w:history="1">
        <w:r w:rsidRPr="00E60EBE">
          <w:rPr>
            <w:rStyle w:val="Hyperlink"/>
            <w:i/>
            <w:color w:val="auto"/>
            <w:szCs w:val="22"/>
            <w:u w:val="none"/>
          </w:rPr>
          <w:t>Information Privacy Act 2009</w:t>
        </w:r>
      </w:hyperlink>
      <w:r w:rsidRPr="00E60EBE">
        <w:rPr>
          <w:color w:val="auto"/>
          <w:sz w:val="22"/>
          <w:szCs w:val="22"/>
        </w:rPr>
        <w:t xml:space="preserve"> (IP Act) provide members of the community, including you, a right to be given access to</w:t>
      </w:r>
      <w:r w:rsidR="00942BD1">
        <w:rPr>
          <w:color w:val="auto"/>
          <w:sz w:val="22"/>
          <w:szCs w:val="22"/>
        </w:rPr>
        <w:t xml:space="preserve"> (RTI and IP Acts)</w:t>
      </w:r>
      <w:r w:rsidRPr="00E60EBE">
        <w:rPr>
          <w:color w:val="auto"/>
          <w:sz w:val="22"/>
          <w:szCs w:val="22"/>
        </w:rPr>
        <w:t xml:space="preserve"> and to amend</w:t>
      </w:r>
      <w:r w:rsidR="00942BD1">
        <w:rPr>
          <w:color w:val="auto"/>
          <w:sz w:val="22"/>
          <w:szCs w:val="22"/>
        </w:rPr>
        <w:t xml:space="preserve"> (IP Act)</w:t>
      </w:r>
      <w:r w:rsidRPr="00E60EBE">
        <w:rPr>
          <w:color w:val="auto"/>
          <w:sz w:val="22"/>
          <w:szCs w:val="22"/>
        </w:rPr>
        <w:t>, documents of agencies and ministers, subject to certain restrictions.  This includes documents held by the Department of Justice and Attorney-General (DJAG).</w:t>
      </w:r>
    </w:p>
    <w:p w14:paraId="7F1FDE57" w14:textId="77777777" w:rsidR="00E60EBE" w:rsidRPr="00E60EBE" w:rsidRDefault="00E60EBE" w:rsidP="00E60EBE">
      <w:pPr>
        <w:pStyle w:val="Heading2"/>
        <w:ind w:left="-142"/>
        <w:jc w:val="both"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 xml:space="preserve">A ‘document’ includes not only paper, but also electronic records, SMS messages, emails, CCTV footage, audio tapes and information held in databases.  For the full definition of ‘document’ - see the </w:t>
      </w:r>
      <w:r w:rsidRPr="00E60EBE">
        <w:rPr>
          <w:i/>
          <w:color w:val="auto"/>
          <w:sz w:val="22"/>
          <w:szCs w:val="22"/>
          <w:lang w:val="en-AU"/>
        </w:rPr>
        <w:t xml:space="preserve">Acts Interpretation Act 1954.  </w:t>
      </w:r>
    </w:p>
    <w:p w14:paraId="04A1B50F" w14:textId="77777777" w:rsidR="00E60EBE" w:rsidRPr="00E60EBE" w:rsidRDefault="00E60EBE" w:rsidP="00E60EBE">
      <w:pPr>
        <w:pStyle w:val="Heading2"/>
        <w:ind w:left="-142"/>
        <w:jc w:val="both"/>
        <w:rPr>
          <w:color w:val="auto"/>
          <w:sz w:val="22"/>
          <w:szCs w:val="22"/>
        </w:rPr>
      </w:pPr>
      <w:r w:rsidRPr="00E60EBE">
        <w:rPr>
          <w:color w:val="auto"/>
          <w:sz w:val="22"/>
          <w:szCs w:val="22"/>
        </w:rPr>
        <w:t xml:space="preserve">The access provisions of the Acts are ‘pro-disclosure’ which means that generally, unless information is excluded from the scope of the Acts; exempt from disclosure; or contrary to the public interest to release, documents requested by an applicant must be disclosed to the applicant.  </w:t>
      </w:r>
    </w:p>
    <w:p w14:paraId="4AABA0E5" w14:textId="77777777" w:rsidR="00E60EBE" w:rsidRPr="00E60EBE" w:rsidRDefault="00E60EBE" w:rsidP="00E60EBE">
      <w:pPr>
        <w:pStyle w:val="Heading2"/>
        <w:ind w:left="-142"/>
        <w:jc w:val="both"/>
        <w:rPr>
          <w:color w:val="auto"/>
          <w:sz w:val="22"/>
          <w:szCs w:val="22"/>
        </w:rPr>
      </w:pPr>
      <w:r w:rsidRPr="00E60EBE">
        <w:rPr>
          <w:color w:val="auto"/>
          <w:sz w:val="22"/>
          <w:szCs w:val="22"/>
        </w:rPr>
        <w:t xml:space="preserve">However, accessing documents using formal mechanisms under the RTI and IP Acts is a method of last resort because formal access mechanisms can take time and become costly to applicants.  </w:t>
      </w:r>
    </w:p>
    <w:p w14:paraId="35483D9F" w14:textId="77777777" w:rsidR="00E60EBE" w:rsidRPr="00E60EBE" w:rsidRDefault="00E60EBE" w:rsidP="00E60EBE">
      <w:pPr>
        <w:pStyle w:val="Heading2"/>
        <w:ind w:left="-142"/>
        <w:jc w:val="both"/>
        <w:rPr>
          <w:color w:val="auto"/>
          <w:sz w:val="22"/>
          <w:szCs w:val="22"/>
        </w:rPr>
      </w:pPr>
      <w:r w:rsidRPr="00E60EBE">
        <w:rPr>
          <w:color w:val="auto"/>
          <w:sz w:val="22"/>
          <w:szCs w:val="22"/>
        </w:rPr>
        <w:t>This means if there is another way to access information held by Government, a potential applicant should be given that option before being asked to make a formal application under the RTI and IP Acts.  This is the case even if fees or charges apply to the alternative access mechanism.</w:t>
      </w:r>
    </w:p>
    <w:p w14:paraId="2F70BABB" w14:textId="55C0B7E1" w:rsidR="00E60EBE" w:rsidRPr="00E60EBE" w:rsidRDefault="00E60EBE" w:rsidP="00E60EBE">
      <w:pPr>
        <w:pStyle w:val="Heading2"/>
        <w:ind w:left="-142"/>
        <w:jc w:val="both"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>Any person has a right to apply to access document</w:t>
      </w:r>
      <w:r w:rsidR="00F22274">
        <w:rPr>
          <w:color w:val="auto"/>
          <w:sz w:val="22"/>
          <w:szCs w:val="22"/>
          <w:lang w:val="en-AU"/>
        </w:rPr>
        <w:t>s</w:t>
      </w:r>
      <w:r w:rsidRPr="00E60EBE">
        <w:rPr>
          <w:color w:val="auto"/>
          <w:sz w:val="22"/>
          <w:szCs w:val="22"/>
          <w:lang w:val="en-AU"/>
        </w:rPr>
        <w:t xml:space="preserve"> in DJAG’s possession or control under the RTI Act</w:t>
      </w:r>
      <w:r w:rsidR="00942BD1">
        <w:rPr>
          <w:color w:val="auto"/>
          <w:sz w:val="22"/>
          <w:szCs w:val="22"/>
          <w:lang w:val="en-AU"/>
        </w:rPr>
        <w:t xml:space="preserve"> or,</w:t>
      </w:r>
      <w:r w:rsidRPr="00E60EBE">
        <w:rPr>
          <w:color w:val="auto"/>
          <w:sz w:val="22"/>
          <w:szCs w:val="22"/>
          <w:lang w:val="en-AU"/>
        </w:rPr>
        <w:t xml:space="preserve"> to apply to access </w:t>
      </w:r>
      <w:r w:rsidR="00942BD1">
        <w:rPr>
          <w:color w:val="auto"/>
          <w:sz w:val="22"/>
          <w:szCs w:val="22"/>
          <w:lang w:val="en-AU"/>
        </w:rPr>
        <w:t>or</w:t>
      </w:r>
      <w:r w:rsidRPr="00E60EBE">
        <w:rPr>
          <w:color w:val="auto"/>
          <w:sz w:val="22"/>
          <w:szCs w:val="22"/>
          <w:lang w:val="en-AU"/>
        </w:rPr>
        <w:t xml:space="preserve"> amend their own personal information under the IP Act.  The main difference to note is that </w:t>
      </w:r>
      <w:r w:rsidR="00F22274">
        <w:rPr>
          <w:color w:val="auto"/>
          <w:sz w:val="22"/>
          <w:szCs w:val="22"/>
          <w:lang w:val="en-AU"/>
        </w:rPr>
        <w:t xml:space="preserve">there is often no charge </w:t>
      </w:r>
      <w:r w:rsidRPr="00E60EBE">
        <w:rPr>
          <w:color w:val="auto"/>
          <w:sz w:val="22"/>
          <w:szCs w:val="22"/>
          <w:lang w:val="en-AU"/>
        </w:rPr>
        <w:t xml:space="preserve">to access </w:t>
      </w:r>
      <w:r w:rsidR="00942BD1">
        <w:rPr>
          <w:color w:val="auto"/>
          <w:sz w:val="22"/>
          <w:szCs w:val="22"/>
          <w:lang w:val="en-AU"/>
        </w:rPr>
        <w:t>your</w:t>
      </w:r>
      <w:r w:rsidRPr="00E60EBE">
        <w:rPr>
          <w:color w:val="auto"/>
          <w:sz w:val="22"/>
          <w:szCs w:val="22"/>
          <w:lang w:val="en-AU"/>
        </w:rPr>
        <w:t xml:space="preserve"> </w:t>
      </w:r>
      <w:r w:rsidR="00F22274">
        <w:rPr>
          <w:color w:val="auto"/>
          <w:sz w:val="22"/>
          <w:szCs w:val="22"/>
          <w:lang w:val="en-AU"/>
        </w:rPr>
        <w:t xml:space="preserve">own </w:t>
      </w:r>
      <w:r w:rsidRPr="00E60EBE">
        <w:rPr>
          <w:color w:val="auto"/>
          <w:sz w:val="22"/>
          <w:szCs w:val="22"/>
          <w:lang w:val="en-AU"/>
        </w:rPr>
        <w:t>personal information under the IP Act.</w:t>
      </w:r>
    </w:p>
    <w:p w14:paraId="12B853BB" w14:textId="77777777" w:rsidR="00E60EBE" w:rsidRPr="00E60EBE" w:rsidRDefault="00E60EBE" w:rsidP="00E60EBE">
      <w:pPr>
        <w:pStyle w:val="Heading2"/>
        <w:ind w:left="-142"/>
        <w:jc w:val="both"/>
        <w:rPr>
          <w:bCs/>
          <w:color w:val="auto"/>
          <w:sz w:val="22"/>
          <w:szCs w:val="22"/>
          <w:lang w:val="en-AU"/>
        </w:rPr>
      </w:pPr>
      <w:r w:rsidRPr="00E60EBE">
        <w:rPr>
          <w:bCs/>
          <w:color w:val="auto"/>
          <w:sz w:val="22"/>
          <w:szCs w:val="22"/>
          <w:lang w:val="en-AU"/>
        </w:rPr>
        <w:t xml:space="preserve">DJAG receives around 500 RTI and IP information access applications every year. </w:t>
      </w:r>
      <w:r w:rsidRPr="00E60EBE">
        <w:rPr>
          <w:color w:val="auto"/>
          <w:sz w:val="22"/>
          <w:szCs w:val="22"/>
          <w:lang w:val="en-AU"/>
        </w:rPr>
        <w:t>Right to Information (RTI) and Privacy is responsible for processing access and amendment applications received by DJAG</w:t>
      </w:r>
    </w:p>
    <w:p w14:paraId="4470DE76" w14:textId="77777777" w:rsidR="00383CB2" w:rsidRPr="00E60EBE" w:rsidRDefault="00E60EBE" w:rsidP="00383CB2">
      <w:pPr>
        <w:pStyle w:val="Heading2"/>
        <w:ind w:left="-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What to do:</w:t>
      </w:r>
    </w:p>
    <w:p w14:paraId="3913312E" w14:textId="5B677C52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t xml:space="preserve">Be </w:t>
      </w:r>
      <w:r w:rsidR="00F22274">
        <w:rPr>
          <w:color w:val="auto"/>
          <w:sz w:val="22"/>
          <w:szCs w:val="22"/>
          <w:lang w:val="en-AU"/>
        </w:rPr>
        <w:t>familiar with</w:t>
      </w:r>
      <w:r w:rsidRPr="00D83A7F">
        <w:rPr>
          <w:color w:val="auto"/>
          <w:sz w:val="22"/>
          <w:szCs w:val="22"/>
          <w:lang w:val="en-AU"/>
        </w:rPr>
        <w:t xml:space="preserve"> administrative access policies your business unit may have in place and the DJAG </w:t>
      </w:r>
      <w:hyperlink r:id="rId9" w:history="1">
        <w:r w:rsidRPr="00D83A7F">
          <w:rPr>
            <w:rStyle w:val="Hyperlink"/>
            <w:color w:val="auto"/>
            <w:szCs w:val="22"/>
            <w:lang w:val="en-AU"/>
          </w:rPr>
          <w:t>Administrative Release Policy</w:t>
        </w:r>
      </w:hyperlink>
      <w:r w:rsidRPr="00D83A7F">
        <w:rPr>
          <w:color w:val="auto"/>
          <w:sz w:val="22"/>
          <w:szCs w:val="22"/>
          <w:lang w:val="en-AU"/>
        </w:rPr>
        <w:t>.  These will provide you with guidance on whether and when it is appropriate to provide information outside of the formal access mechanisms in the RTI and IP Acts.</w:t>
      </w:r>
    </w:p>
    <w:p w14:paraId="30528329" w14:textId="5EB4F49B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t>Act quickly - if you get a search request, note that there are short timeframes for providing documents to RTI and Privacy because of the statutory decision-making timeframes under the legislation. Advise RTI and Privacy immediately if your business unit cannot meet that timeframe.</w:t>
      </w:r>
    </w:p>
    <w:p w14:paraId="687E8060" w14:textId="6853A071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t xml:space="preserve">Act immediately – if a formal access application is misdirected to you instead of RTI and Privacy, immediately forward that application to RTI and Privacy.  The timeframes start running as soon as a valid application is </w:t>
      </w:r>
      <w:r w:rsidR="00F22274">
        <w:rPr>
          <w:color w:val="auto"/>
          <w:sz w:val="22"/>
          <w:szCs w:val="22"/>
          <w:lang w:val="en-AU"/>
        </w:rPr>
        <w:t>received in</w:t>
      </w:r>
      <w:r w:rsidRPr="00D83A7F">
        <w:rPr>
          <w:color w:val="auto"/>
          <w:sz w:val="22"/>
          <w:szCs w:val="22"/>
          <w:lang w:val="en-AU"/>
        </w:rPr>
        <w:t xml:space="preserve"> DJAG so any delays in providing RTI and Privacy with the application will be likely to impact on DJAG’s ability to meet the statutory timeframes.</w:t>
      </w:r>
    </w:p>
    <w:p w14:paraId="580FE3D3" w14:textId="77777777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t xml:space="preserve">Look for responsive documents in </w:t>
      </w:r>
      <w:r w:rsidRPr="00D83A7F">
        <w:rPr>
          <w:color w:val="auto"/>
          <w:sz w:val="22"/>
          <w:szCs w:val="22"/>
          <w:u w:val="single"/>
          <w:lang w:val="en-AU"/>
        </w:rPr>
        <w:t>every place</w:t>
      </w:r>
      <w:r w:rsidRPr="00D83A7F">
        <w:rPr>
          <w:color w:val="auto"/>
          <w:sz w:val="22"/>
          <w:szCs w:val="22"/>
          <w:lang w:val="en-AU"/>
        </w:rPr>
        <w:t xml:space="preserve"> (including email accounts and work devices) a person ought reasonably to expect to find the documents.  </w:t>
      </w:r>
    </w:p>
    <w:p w14:paraId="74A406A4" w14:textId="77777777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lastRenderedPageBreak/>
        <w:t xml:space="preserve">Do NOT mark, delete or obliterate any information from the documents before providing them to RTI and Privacy.  </w:t>
      </w:r>
    </w:p>
    <w:p w14:paraId="539FBE7C" w14:textId="77777777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bCs/>
          <w:color w:val="auto"/>
          <w:sz w:val="22"/>
          <w:szCs w:val="22"/>
          <w:lang w:val="en-AU"/>
        </w:rPr>
        <w:t xml:space="preserve">Check the scope of what the applicant is asking for with RTI and Privacy </w:t>
      </w:r>
      <w:r w:rsidRPr="00D83A7F">
        <w:rPr>
          <w:bCs/>
          <w:i/>
          <w:color w:val="auto"/>
          <w:sz w:val="22"/>
          <w:szCs w:val="22"/>
          <w:lang w:val="en-AU"/>
        </w:rPr>
        <w:t>before</w:t>
      </w:r>
      <w:r w:rsidRPr="00D83A7F">
        <w:rPr>
          <w:bCs/>
          <w:color w:val="auto"/>
          <w:sz w:val="22"/>
          <w:szCs w:val="22"/>
          <w:lang w:val="en-AU"/>
        </w:rPr>
        <w:t xml:space="preserve"> deciding not to provide documents to RTI and Privacy.  If in doubt, provide us with everything you think may be relevant to the subject matter of the application.</w:t>
      </w:r>
    </w:p>
    <w:p w14:paraId="325B6D18" w14:textId="7B7E9F5F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t xml:space="preserve">Advise RTI and Privacy of any concerns your business unit may have about the release of any document—your input will </w:t>
      </w:r>
      <w:r w:rsidR="00F22274">
        <w:rPr>
          <w:color w:val="auto"/>
          <w:sz w:val="22"/>
          <w:szCs w:val="22"/>
          <w:lang w:val="en-AU"/>
        </w:rPr>
        <w:t>help inform our</w:t>
      </w:r>
      <w:r w:rsidRPr="00D83A7F">
        <w:rPr>
          <w:color w:val="auto"/>
          <w:sz w:val="22"/>
          <w:szCs w:val="22"/>
          <w:lang w:val="en-AU"/>
        </w:rPr>
        <w:t xml:space="preserve"> decision.</w:t>
      </w:r>
    </w:p>
    <w:p w14:paraId="78750795" w14:textId="77777777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t xml:space="preserve">Keep up-to-date, readily available and accurate records to ensure that information can be provided where appropriate. </w:t>
      </w:r>
    </w:p>
    <w:p w14:paraId="3CB0E57A" w14:textId="7348118E" w:rsidR="00E60EBE" w:rsidRPr="00D83A7F" w:rsidRDefault="00E60EBE" w:rsidP="00E60EBE">
      <w:pPr>
        <w:pStyle w:val="Heading2"/>
        <w:numPr>
          <w:ilvl w:val="0"/>
          <w:numId w:val="16"/>
        </w:numPr>
        <w:ind w:left="284" w:hanging="426"/>
        <w:jc w:val="both"/>
        <w:rPr>
          <w:color w:val="auto"/>
          <w:sz w:val="22"/>
          <w:szCs w:val="22"/>
          <w:lang w:val="en-AU"/>
        </w:rPr>
      </w:pPr>
      <w:r w:rsidRPr="00D83A7F">
        <w:rPr>
          <w:color w:val="auto"/>
          <w:sz w:val="22"/>
          <w:szCs w:val="22"/>
          <w:lang w:val="en-AU"/>
        </w:rPr>
        <w:t xml:space="preserve">Keep records for as long as they are required to be kept under a General Retention and Disposal Schedule </w:t>
      </w:r>
      <w:proofErr w:type="gramStart"/>
      <w:r w:rsidRPr="00D83A7F">
        <w:rPr>
          <w:color w:val="auto"/>
          <w:sz w:val="22"/>
          <w:szCs w:val="22"/>
          <w:lang w:val="en-AU"/>
        </w:rPr>
        <w:t>e.g.</w:t>
      </w:r>
      <w:proofErr w:type="gramEnd"/>
      <w:r w:rsidRPr="00D83A7F">
        <w:rPr>
          <w:color w:val="auto"/>
          <w:sz w:val="22"/>
          <w:szCs w:val="22"/>
          <w:lang w:val="en-AU"/>
        </w:rPr>
        <w:t xml:space="preserve"> </w:t>
      </w:r>
      <w:r w:rsidRPr="00D83A7F">
        <w:rPr>
          <w:i/>
          <w:color w:val="auto"/>
          <w:sz w:val="22"/>
          <w:szCs w:val="22"/>
          <w:lang w:val="en-AU"/>
        </w:rPr>
        <w:t>Public Records Act 2002</w:t>
      </w:r>
      <w:r w:rsidRPr="00D83A7F">
        <w:rPr>
          <w:color w:val="auto"/>
          <w:sz w:val="22"/>
          <w:szCs w:val="22"/>
          <w:lang w:val="en-AU"/>
        </w:rPr>
        <w:t xml:space="preserve"> (Qld)</w:t>
      </w:r>
      <w:r w:rsidR="00F22274">
        <w:rPr>
          <w:color w:val="auto"/>
          <w:sz w:val="22"/>
          <w:szCs w:val="22"/>
          <w:lang w:val="en-AU"/>
        </w:rPr>
        <w:t xml:space="preserve"> or other retention and disposal schedule approved by the archivist</w:t>
      </w:r>
      <w:r w:rsidRPr="00D83A7F">
        <w:rPr>
          <w:color w:val="auto"/>
          <w:sz w:val="22"/>
          <w:szCs w:val="22"/>
          <w:lang w:val="en-AU"/>
        </w:rPr>
        <w:t xml:space="preserve">. </w:t>
      </w:r>
    </w:p>
    <w:p w14:paraId="69604705" w14:textId="77777777" w:rsidR="00383CB2" w:rsidRPr="00E60EBE" w:rsidRDefault="00E60EBE" w:rsidP="00E60EBE">
      <w:pPr>
        <w:pStyle w:val="Heading2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Enquiries</w:t>
      </w:r>
    </w:p>
    <w:p w14:paraId="2D917285" w14:textId="77777777" w:rsidR="00E60EBE" w:rsidRPr="00E60EBE" w:rsidRDefault="00E60EBE" w:rsidP="00E60EBE">
      <w:pPr>
        <w:pStyle w:val="Heading2"/>
        <w:ind w:hanging="142"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>All enquiries should be directed to:</w:t>
      </w:r>
    </w:p>
    <w:p w14:paraId="3FE31AC7" w14:textId="77777777" w:rsidR="00E60EBE" w:rsidRPr="00E60EBE" w:rsidRDefault="00E60EBE" w:rsidP="00E60EBE">
      <w:pPr>
        <w:pStyle w:val="Heading2"/>
        <w:ind w:hanging="142"/>
        <w:contextualSpacing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>Right to Information and Privacy</w:t>
      </w:r>
    </w:p>
    <w:p w14:paraId="0687228E" w14:textId="77777777" w:rsidR="00E60EBE" w:rsidRPr="00E60EBE" w:rsidRDefault="00E60EBE" w:rsidP="00E60EBE">
      <w:pPr>
        <w:pStyle w:val="Heading2"/>
        <w:ind w:hanging="142"/>
        <w:contextualSpacing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>Department of Justice and Attorney-General</w:t>
      </w:r>
    </w:p>
    <w:p w14:paraId="09456866" w14:textId="77777777" w:rsidR="00E60EBE" w:rsidRPr="00E60EBE" w:rsidRDefault="00E60EBE" w:rsidP="00E60EBE">
      <w:pPr>
        <w:pStyle w:val="Heading2"/>
        <w:spacing w:before="0" w:after="0" w:line="240" w:lineRule="auto"/>
        <w:ind w:left="-142"/>
        <w:contextualSpacing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>Level 17, State Law Building</w:t>
      </w:r>
    </w:p>
    <w:p w14:paraId="46C2B71E" w14:textId="77777777" w:rsidR="00E60EBE" w:rsidRPr="00E60EBE" w:rsidRDefault="00E60EBE" w:rsidP="00E60EBE">
      <w:pPr>
        <w:pStyle w:val="Heading2"/>
        <w:spacing w:before="0" w:after="0" w:line="240" w:lineRule="auto"/>
        <w:ind w:left="360" w:hanging="502"/>
        <w:contextualSpacing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>50 Ann Street</w:t>
      </w:r>
    </w:p>
    <w:p w14:paraId="36F7DE3A" w14:textId="77777777" w:rsidR="00E60EBE" w:rsidRPr="00E60EBE" w:rsidRDefault="00E60EBE" w:rsidP="00E60EBE">
      <w:pPr>
        <w:pStyle w:val="Heading2"/>
        <w:spacing w:before="0" w:after="0" w:line="240" w:lineRule="auto"/>
        <w:ind w:left="360" w:hanging="502"/>
        <w:contextualSpacing/>
        <w:rPr>
          <w:color w:val="auto"/>
          <w:sz w:val="22"/>
          <w:szCs w:val="22"/>
          <w:lang w:val="en-AU"/>
        </w:rPr>
      </w:pPr>
      <w:proofErr w:type="gramStart"/>
      <w:r w:rsidRPr="00E60EBE">
        <w:rPr>
          <w:color w:val="auto"/>
          <w:sz w:val="22"/>
          <w:szCs w:val="22"/>
          <w:lang w:val="en-AU"/>
        </w:rPr>
        <w:t>BRISBANE  QLD</w:t>
      </w:r>
      <w:proofErr w:type="gramEnd"/>
      <w:r w:rsidRPr="00E60EBE">
        <w:rPr>
          <w:color w:val="auto"/>
          <w:sz w:val="22"/>
          <w:szCs w:val="22"/>
          <w:lang w:val="en-AU"/>
        </w:rPr>
        <w:t xml:space="preserve">  4000</w:t>
      </w:r>
    </w:p>
    <w:p w14:paraId="5E15393A" w14:textId="77777777" w:rsidR="00E60EBE" w:rsidRPr="00E60EBE" w:rsidRDefault="00E60EBE" w:rsidP="00E60EBE">
      <w:pPr>
        <w:ind w:hanging="502"/>
        <w:rPr>
          <w:sz w:val="22"/>
          <w:szCs w:val="22"/>
          <w:lang w:val="en-AU"/>
        </w:rPr>
      </w:pPr>
    </w:p>
    <w:p w14:paraId="6F413DF5" w14:textId="77777777" w:rsidR="00E60EBE" w:rsidRPr="00E60EBE" w:rsidRDefault="00E60EBE" w:rsidP="00E60EBE">
      <w:pPr>
        <w:pStyle w:val="Heading2"/>
        <w:ind w:left="360" w:hanging="502"/>
        <w:contextualSpacing/>
        <w:rPr>
          <w:color w:val="auto"/>
          <w:sz w:val="22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 xml:space="preserve">Phone:  (07) 3738 9893 or </w:t>
      </w:r>
    </w:p>
    <w:p w14:paraId="34F2E2AE" w14:textId="77777777" w:rsidR="00E60EBE" w:rsidRDefault="00E60EBE" w:rsidP="00E60EBE">
      <w:pPr>
        <w:pStyle w:val="Heading2"/>
        <w:ind w:left="360" w:hanging="502"/>
        <w:contextualSpacing/>
        <w:rPr>
          <w:rStyle w:val="Hyperlink"/>
          <w:color w:val="auto"/>
          <w:szCs w:val="22"/>
          <w:lang w:val="en-AU"/>
        </w:rPr>
      </w:pPr>
      <w:r w:rsidRPr="00E60EBE">
        <w:rPr>
          <w:color w:val="auto"/>
          <w:sz w:val="22"/>
          <w:szCs w:val="22"/>
          <w:lang w:val="en-AU"/>
        </w:rPr>
        <w:t xml:space="preserve">Email:  </w:t>
      </w:r>
      <w:hyperlink r:id="rId10" w:history="1">
        <w:r w:rsidRPr="00E60EBE">
          <w:rPr>
            <w:rStyle w:val="Hyperlink"/>
            <w:color w:val="auto"/>
            <w:szCs w:val="22"/>
            <w:lang w:val="en-AU"/>
          </w:rPr>
          <w:t>RTIAdministration@justice.qld.gov.au</w:t>
        </w:r>
      </w:hyperlink>
    </w:p>
    <w:p w14:paraId="64EEFEA8" w14:textId="77777777" w:rsidR="00E60EBE" w:rsidRPr="00E60EBE" w:rsidRDefault="00E60EBE" w:rsidP="00E60EBE">
      <w:pPr>
        <w:ind w:hanging="142"/>
        <w:rPr>
          <w:lang w:val="en-AU"/>
        </w:rPr>
      </w:pPr>
    </w:p>
    <w:sectPr w:rsidR="00E60EBE" w:rsidRPr="00E60EBE" w:rsidSect="00F565C6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40" w:right="1021" w:bottom="1440" w:left="102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D1F7B" w14:textId="77777777" w:rsidR="008721A8" w:rsidRDefault="008721A8" w:rsidP="00F565C6">
      <w:pPr>
        <w:spacing w:after="0" w:line="240" w:lineRule="auto"/>
      </w:pPr>
      <w:r>
        <w:separator/>
      </w:r>
    </w:p>
  </w:endnote>
  <w:endnote w:type="continuationSeparator" w:id="0">
    <w:p w14:paraId="690AB83B" w14:textId="77777777" w:rsidR="008721A8" w:rsidRDefault="008721A8" w:rsidP="00F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1603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0D47E3D" w14:textId="379926DC" w:rsidR="003D14A4" w:rsidRDefault="003D14A4" w:rsidP="003D14A4">
        <w:pPr>
          <w:pBdr>
            <w:top w:val="single" w:sz="4" w:space="1" w:color="auto"/>
          </w:pBdr>
          <w:spacing w:after="0" w:line="240" w:lineRule="auto"/>
        </w:pPr>
        <w:r>
          <w:t>Fact Sheet:  Right to Information and Privacy: Access and Amendment</w:t>
        </w:r>
      </w:p>
      <w:p w14:paraId="6888ADC2" w14:textId="196B468A" w:rsidR="00BB302C" w:rsidRPr="003D14A4" w:rsidRDefault="003D14A4" w:rsidP="003D14A4">
        <w:pPr>
          <w:pBdr>
            <w:top w:val="single" w:sz="4" w:space="1" w:color="auto"/>
          </w:pBdr>
          <w:spacing w:after="0" w:line="240" w:lineRule="auto"/>
        </w:pPr>
        <w:r>
          <w:t xml:space="preserve">eDocs #5211377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</w:t>
        </w:r>
        <w:r w:rsidR="00BB302C" w:rsidRPr="00570822">
          <w:fldChar w:fldCharType="begin"/>
        </w:r>
        <w:r w:rsidR="00BB302C" w:rsidRPr="00570822">
          <w:instrText xml:space="preserve"> PAGE   \* MERGEFORMAT </w:instrText>
        </w:r>
        <w:r w:rsidR="00BB302C" w:rsidRPr="00570822">
          <w:fldChar w:fldCharType="separate"/>
        </w:r>
        <w:r w:rsidR="00D83A7F">
          <w:rPr>
            <w:noProof/>
          </w:rPr>
          <w:t>2</w:t>
        </w:r>
        <w:r w:rsidR="00BB302C" w:rsidRPr="00570822">
          <w:fldChar w:fldCharType="end"/>
        </w:r>
        <w:r w:rsidR="00BB302C" w:rsidRPr="00570822">
          <w:t xml:space="preserve"> | </w:t>
        </w:r>
        <w:r w:rsidR="0011422C" w:rsidRPr="00570822">
          <w:t>Page</w:t>
        </w:r>
      </w:p>
    </w:sdtContent>
  </w:sdt>
  <w:p w14:paraId="5E7EDCB1" w14:textId="77777777" w:rsidR="00BB302C" w:rsidRPr="004A31F3" w:rsidRDefault="00BB302C" w:rsidP="003B7FCB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A7CD" w14:textId="77777777" w:rsidR="00BB302C" w:rsidRDefault="00BB302C" w:rsidP="003B7FCB">
    <w:pPr>
      <w:pStyle w:val="Footer"/>
      <w:tabs>
        <w:tab w:val="clear" w:pos="9026"/>
      </w:tabs>
    </w:pPr>
  </w:p>
  <w:p w14:paraId="76E54D58" w14:textId="77777777" w:rsidR="00BB302C" w:rsidRPr="00541E30" w:rsidRDefault="00BB302C" w:rsidP="003B7FC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1" layoutInCell="1" allowOverlap="1" wp14:anchorId="0C724847" wp14:editId="174B73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56400"/>
          <wp:effectExtent l="0" t="0" r="3175" b="127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3E40A" w14:textId="77777777" w:rsidR="008721A8" w:rsidRDefault="008721A8" w:rsidP="00F565C6">
      <w:pPr>
        <w:spacing w:after="0" w:line="240" w:lineRule="auto"/>
      </w:pPr>
      <w:r>
        <w:separator/>
      </w:r>
    </w:p>
  </w:footnote>
  <w:footnote w:type="continuationSeparator" w:id="0">
    <w:p w14:paraId="1C72286C" w14:textId="77777777" w:rsidR="008721A8" w:rsidRDefault="008721A8" w:rsidP="00F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A92F" w14:textId="77777777" w:rsidR="00BB302C" w:rsidRDefault="008721A8">
    <w:pPr>
      <w:pStyle w:val="Header"/>
    </w:pPr>
    <w:r>
      <w:rPr>
        <w:noProof/>
      </w:rPr>
      <w:pict w14:anchorId="4B48F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2480pt;height:489pt;z-index:-251656704;mso-position-horizontal:center;mso-position-horizontal-relative:margin;mso-position-vertical:center;mso-position-vertical-relative:margin" o:allowincell="f">
          <v:imagedata r:id="rId1" o:title="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545C" w14:textId="77777777" w:rsidR="00F33405" w:rsidRPr="00897277" w:rsidRDefault="00F33405" w:rsidP="00F33405">
    <w:pPr>
      <w:pStyle w:val="DJAGnamein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9A9620" wp14:editId="4A7E25C9">
              <wp:simplePos x="0" y="0"/>
              <wp:positionH relativeFrom="margin">
                <wp:posOffset>-343535</wp:posOffset>
              </wp:positionH>
              <wp:positionV relativeFrom="paragraph">
                <wp:posOffset>168910</wp:posOffset>
              </wp:positionV>
              <wp:extent cx="66008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825" cy="190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E7873B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05pt,13.3pt" to="492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" strokecolor="white [3212]" strokeweight=".5pt">
              <v:stroke joinstyle="miter"/>
              <w10:wrap anchorx="margin"/>
            </v:line>
          </w:pict>
        </mc:Fallback>
      </mc:AlternateContent>
    </w:r>
    <w:r w:rsidRPr="00897277">
      <w:t>Department of Justice and Attorney-General</w:t>
    </w:r>
  </w:p>
  <w:p w14:paraId="2B931D72" w14:textId="77777777" w:rsidR="00BB302C" w:rsidRPr="00541E30" w:rsidRDefault="00BB302C" w:rsidP="003B7FC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C79E4" wp14:editId="165D12EC">
              <wp:simplePos x="0" y="0"/>
              <wp:positionH relativeFrom="column">
                <wp:posOffset>-126061</wp:posOffset>
              </wp:positionH>
              <wp:positionV relativeFrom="paragraph">
                <wp:posOffset>-351790</wp:posOffset>
              </wp:positionV>
              <wp:extent cx="2009775" cy="429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0BFC9" w14:textId="77777777" w:rsidR="00BB302C" w:rsidRPr="009C4922" w:rsidRDefault="00BB302C" w:rsidP="003B7FCB">
                          <w:pPr>
                            <w:pStyle w:val="Documenttypein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2FA5CD" id="Text Box 1" o:spid="_x0000_s1027" type="#_x0000_t202" style="position:absolute;margin-left:-9.95pt;margin-top:-27.7pt;width:158.25pt;height:3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" filled="f" stroked="f" strokeweight=".5pt">
              <v:textbox>
                <w:txbxContent>
                  <w:p w:rsidR="00BB302C" w:rsidRPr="009C4922" w:rsidRDefault="00BB302C" w:rsidP="003B7FCB">
                    <w:pPr>
                      <w:pStyle w:val="Documenttypeinhead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0BAB9B37" wp14:editId="516E38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88800"/>
          <wp:effectExtent l="0" t="0" r="3175" b="698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631"/>
    <w:multiLevelType w:val="hybridMultilevel"/>
    <w:tmpl w:val="553C3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5EF6"/>
    <w:multiLevelType w:val="hybridMultilevel"/>
    <w:tmpl w:val="A0D8027C"/>
    <w:lvl w:ilvl="0" w:tplc="4E6AC4A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372E"/>
    <w:multiLevelType w:val="hybridMultilevel"/>
    <w:tmpl w:val="4BA20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7211"/>
    <w:multiLevelType w:val="hybridMultilevel"/>
    <w:tmpl w:val="6DEEBB48"/>
    <w:lvl w:ilvl="0" w:tplc="4C304BB2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0545"/>
    <w:multiLevelType w:val="hybridMultilevel"/>
    <w:tmpl w:val="B3684E50"/>
    <w:lvl w:ilvl="0" w:tplc="44B43B36"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3540"/>
    <w:multiLevelType w:val="hybridMultilevel"/>
    <w:tmpl w:val="79EA6C64"/>
    <w:lvl w:ilvl="0" w:tplc="A112D0B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B226B"/>
    <w:multiLevelType w:val="hybridMultilevel"/>
    <w:tmpl w:val="36083C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923E6"/>
    <w:multiLevelType w:val="hybridMultilevel"/>
    <w:tmpl w:val="E2EC2882"/>
    <w:lvl w:ilvl="0" w:tplc="E096988C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50633"/>
    <w:multiLevelType w:val="hybridMultilevel"/>
    <w:tmpl w:val="7BFAB704"/>
    <w:lvl w:ilvl="0" w:tplc="ABB6D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23A2"/>
    <w:multiLevelType w:val="hybridMultilevel"/>
    <w:tmpl w:val="1D8E1C8C"/>
    <w:lvl w:ilvl="0" w:tplc="A42E25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3B5B"/>
    <w:multiLevelType w:val="hybridMultilevel"/>
    <w:tmpl w:val="D196F9BE"/>
    <w:lvl w:ilvl="0" w:tplc="B8BA46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22B4"/>
    <w:multiLevelType w:val="hybridMultilevel"/>
    <w:tmpl w:val="FC086A4A"/>
    <w:lvl w:ilvl="0" w:tplc="32844D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456BB"/>
    <w:multiLevelType w:val="hybridMultilevel"/>
    <w:tmpl w:val="F25428F8"/>
    <w:lvl w:ilvl="0" w:tplc="0096EDAC">
      <w:start w:val="33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F026A"/>
    <w:multiLevelType w:val="hybridMultilevel"/>
    <w:tmpl w:val="B9BE2B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E5027"/>
    <w:multiLevelType w:val="hybridMultilevel"/>
    <w:tmpl w:val="C99E3BEE"/>
    <w:lvl w:ilvl="0" w:tplc="7FC8A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97F12"/>
    <w:multiLevelType w:val="hybridMultilevel"/>
    <w:tmpl w:val="593E3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14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A"/>
    <w:rsid w:val="0004031C"/>
    <w:rsid w:val="000E4E00"/>
    <w:rsid w:val="000F2109"/>
    <w:rsid w:val="0011422C"/>
    <w:rsid w:val="00370E7E"/>
    <w:rsid w:val="00383CB2"/>
    <w:rsid w:val="00392A30"/>
    <w:rsid w:val="003B7FCB"/>
    <w:rsid w:val="003D14A4"/>
    <w:rsid w:val="0042495F"/>
    <w:rsid w:val="00537396"/>
    <w:rsid w:val="00570822"/>
    <w:rsid w:val="00655CB4"/>
    <w:rsid w:val="008721A8"/>
    <w:rsid w:val="008E6DB9"/>
    <w:rsid w:val="00942BD1"/>
    <w:rsid w:val="00985E5E"/>
    <w:rsid w:val="00990D0C"/>
    <w:rsid w:val="00A535FA"/>
    <w:rsid w:val="00AD6A14"/>
    <w:rsid w:val="00B43B1B"/>
    <w:rsid w:val="00BB302C"/>
    <w:rsid w:val="00C564AA"/>
    <w:rsid w:val="00CE7E20"/>
    <w:rsid w:val="00D11E00"/>
    <w:rsid w:val="00D11F92"/>
    <w:rsid w:val="00D53EDE"/>
    <w:rsid w:val="00D6721A"/>
    <w:rsid w:val="00D83A7F"/>
    <w:rsid w:val="00DE2DD0"/>
    <w:rsid w:val="00E60EBE"/>
    <w:rsid w:val="00E71FFE"/>
    <w:rsid w:val="00F22274"/>
    <w:rsid w:val="00F33405"/>
    <w:rsid w:val="00F565C6"/>
    <w:rsid w:val="00F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B2F163"/>
  <w15:chartTrackingRefBased/>
  <w15:docId w15:val="{9B6CE9BF-A7F6-46CB-8256-7C683543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C6"/>
    <w:pPr>
      <w:spacing w:after="120" w:line="260" w:lineRule="exact"/>
    </w:pPr>
    <w:rPr>
      <w:rFonts w:ascii="Arial" w:hAnsi="Arial"/>
      <w:sz w:val="21"/>
      <w:szCs w:val="24"/>
      <w:lang w:val="en-US"/>
    </w:rPr>
  </w:style>
  <w:style w:type="paragraph" w:styleId="Heading1">
    <w:name w:val="heading 1"/>
    <w:next w:val="Normal"/>
    <w:link w:val="Heading1Char"/>
    <w:autoRedefine/>
    <w:uiPriority w:val="9"/>
    <w:qFormat/>
    <w:rsid w:val="0011422C"/>
    <w:pPr>
      <w:keepNext/>
      <w:keepLines/>
      <w:spacing w:before="240" w:after="120" w:line="280" w:lineRule="exact"/>
      <w:ind w:left="-142"/>
      <w:jc w:val="both"/>
      <w:outlineLvl w:val="0"/>
    </w:pPr>
    <w:rPr>
      <w:rFonts w:ascii="Arial" w:eastAsiaTheme="majorEastAsia" w:hAnsi="Arial" w:cstheme="majorBidi"/>
      <w:b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F565C6"/>
    <w:pPr>
      <w:keepNext/>
      <w:keepLines/>
      <w:spacing w:before="240" w:after="120" w:line="280" w:lineRule="exact"/>
      <w:outlineLvl w:val="1"/>
    </w:pPr>
    <w:rPr>
      <w:rFonts w:ascii="Arial" w:eastAsiaTheme="majorEastAsia" w:hAnsi="Arial" w:cstheme="majorBidi"/>
      <w:color w:val="AF4C64"/>
      <w:sz w:val="26"/>
      <w:szCs w:val="26"/>
      <w:lang w:val="en-US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F565C6"/>
    <w:pPr>
      <w:keepNext/>
      <w:keepLines/>
      <w:spacing w:before="180" w:after="120" w:line="280" w:lineRule="exact"/>
      <w:outlineLvl w:val="2"/>
    </w:pPr>
    <w:rPr>
      <w:rFonts w:ascii="Arial" w:eastAsiaTheme="majorEastAsia" w:hAnsi="Arial" w:cstheme="majorBidi"/>
      <w:color w:val="AF4C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2C"/>
    <w:rPr>
      <w:rFonts w:ascii="Arial" w:eastAsiaTheme="majorEastAsia" w:hAnsi="Arial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5C6"/>
    <w:rPr>
      <w:rFonts w:ascii="Arial" w:eastAsiaTheme="majorEastAsia" w:hAnsi="Arial" w:cstheme="majorBidi"/>
      <w:color w:val="AF4C64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565C6"/>
    <w:rPr>
      <w:rFonts w:ascii="Arial" w:eastAsiaTheme="majorEastAsia" w:hAnsi="Arial" w:cstheme="majorBidi"/>
      <w:color w:val="AF4C6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C6"/>
    <w:rPr>
      <w:rFonts w:ascii="Arial" w:hAnsi="Arial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C6"/>
    <w:rPr>
      <w:rFonts w:ascii="Arial" w:hAnsi="Arial"/>
      <w:sz w:val="21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F56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le">
    <w:name w:val="Title"/>
    <w:next w:val="Normal"/>
    <w:link w:val="TitleChar"/>
    <w:autoRedefine/>
    <w:uiPriority w:val="10"/>
    <w:qFormat/>
    <w:rsid w:val="00F565C6"/>
    <w:pPr>
      <w:spacing w:after="360" w:line="600" w:lineRule="exact"/>
      <w:ind w:left="-142" w:right="-65"/>
    </w:pPr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65C6"/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paragraph" w:customStyle="1" w:styleId="continuednextpage">
    <w:name w:val="continued next page"/>
    <w:basedOn w:val="Normal"/>
    <w:qFormat/>
    <w:rsid w:val="00F565C6"/>
    <w:pPr>
      <w:jc w:val="right"/>
    </w:pPr>
    <w:rPr>
      <w:i/>
      <w:sz w:val="18"/>
      <w:szCs w:val="18"/>
    </w:rPr>
  </w:style>
  <w:style w:type="paragraph" w:customStyle="1" w:styleId="normalbeforebullet">
    <w:name w:val="normal before bullet"/>
    <w:basedOn w:val="Normal"/>
    <w:autoRedefine/>
    <w:qFormat/>
    <w:rsid w:val="00F565C6"/>
    <w:pPr>
      <w:spacing w:after="60"/>
    </w:pPr>
  </w:style>
  <w:style w:type="paragraph" w:customStyle="1" w:styleId="bullet">
    <w:name w:val="bullet"/>
    <w:basedOn w:val="Normal"/>
    <w:autoRedefine/>
    <w:qFormat/>
    <w:rsid w:val="00F565C6"/>
    <w:pPr>
      <w:numPr>
        <w:numId w:val="1"/>
      </w:numPr>
      <w:spacing w:after="60"/>
      <w:ind w:left="357" w:hanging="357"/>
    </w:pPr>
  </w:style>
  <w:style w:type="paragraph" w:customStyle="1" w:styleId="bulletlast">
    <w:name w:val="bullet last"/>
    <w:basedOn w:val="bullet"/>
    <w:next w:val="Normal"/>
    <w:autoRedefine/>
    <w:qFormat/>
    <w:rsid w:val="00F565C6"/>
    <w:pPr>
      <w:spacing w:after="120"/>
    </w:pPr>
  </w:style>
  <w:style w:type="paragraph" w:customStyle="1" w:styleId="Contactdetailsname">
    <w:name w:val="Contact details (name)"/>
    <w:basedOn w:val="Heading3"/>
    <w:qFormat/>
    <w:rsid w:val="00F565C6"/>
    <w:pPr>
      <w:spacing w:before="400"/>
    </w:pPr>
    <w:rPr>
      <w:rFonts w:ascii="Calibri" w:hAnsi="Calibri"/>
      <w:b/>
    </w:rPr>
  </w:style>
  <w:style w:type="paragraph" w:customStyle="1" w:styleId="Contactdetails">
    <w:name w:val="Contact details"/>
    <w:autoRedefine/>
    <w:qFormat/>
    <w:rsid w:val="00F565C6"/>
    <w:pPr>
      <w:spacing w:after="0" w:line="240" w:lineRule="auto"/>
    </w:pPr>
    <w:rPr>
      <w:rFonts w:eastAsiaTheme="majorEastAsia" w:cstheme="majorBidi"/>
      <w:color w:val="AF4C64"/>
      <w:lang w:val="en-US"/>
    </w:rPr>
  </w:style>
  <w:style w:type="paragraph" w:customStyle="1" w:styleId="DJAGnameinheader">
    <w:name w:val="DJAG name in header"/>
    <w:qFormat/>
    <w:rsid w:val="00F565C6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F565C6"/>
    <w:rPr>
      <w:rFonts w:ascii="Arial" w:hAnsi="Arial" w:cs="Arial"/>
      <w:color w:val="FFFFFF" w:themeColor="background1"/>
      <w:sz w:val="36"/>
      <w:szCs w:val="36"/>
      <w:lang w:val="en-US"/>
    </w:rPr>
  </w:style>
  <w:style w:type="paragraph" w:customStyle="1" w:styleId="Boxtextheading">
    <w:name w:val="Box text heading"/>
    <w:basedOn w:val="Heading2"/>
    <w:qFormat/>
    <w:rsid w:val="00F565C6"/>
    <w:pPr>
      <w:spacing w:before="60"/>
    </w:pPr>
  </w:style>
  <w:style w:type="character" w:styleId="Hyperlink">
    <w:name w:val="Hyperlink"/>
    <w:rsid w:val="00392A30"/>
    <w:rPr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985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BE"/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B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qld/consol_act/ipa2009231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ustlii.edu.au/au/legis/qld/consol_act/rtia200923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TIAdministration@justice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.qld.gov.au/__data/assets/word_doc/0003/608646/administrative-release-policy.doc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rti-privacy-access-and-amendment.docx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Lewry</dc:creator>
  <cp:keywords/>
  <dc:description/>
  <cp:lastModifiedBy>Ashley Tweddle</cp:lastModifiedBy>
  <cp:revision>2</cp:revision>
  <dcterms:created xsi:type="dcterms:W3CDTF">2022-01-24T05:37:00Z</dcterms:created>
  <dcterms:modified xsi:type="dcterms:W3CDTF">2022-01-24T05:37:00Z</dcterms:modified>
</cp:coreProperties>
</file>