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096A8" w14:textId="77777777" w:rsidR="00FE2C42" w:rsidRPr="00CA56EC" w:rsidRDefault="00FE2C42" w:rsidP="00286026">
      <w:pPr>
        <w:jc w:val="center"/>
        <w:rPr>
          <w:rFonts w:ascii="Arial" w:hAnsi="Arial" w:cs="Arial"/>
          <w:b/>
          <w:bCs/>
          <w:u w:val="single"/>
        </w:rPr>
      </w:pPr>
      <w:bookmarkStart w:id="0" w:name="_Hlk120175908"/>
      <w:r w:rsidRPr="00CA56EC">
        <w:rPr>
          <w:rFonts w:ascii="Arial" w:hAnsi="Arial" w:cs="Arial"/>
          <w:b/>
          <w:bCs/>
          <w:u w:val="single"/>
        </w:rPr>
        <w:t xml:space="preserve">TERMS OF REFERENCE </w:t>
      </w:r>
    </w:p>
    <w:p w14:paraId="289FF1C2" w14:textId="3175D0A4" w:rsidR="006D78AF" w:rsidRPr="00CA56EC" w:rsidRDefault="006D78AF" w:rsidP="00286026">
      <w:pPr>
        <w:jc w:val="center"/>
        <w:rPr>
          <w:rFonts w:ascii="Arial" w:hAnsi="Arial" w:cs="Arial"/>
          <w:b/>
          <w:bCs/>
          <w:i/>
          <w:iCs/>
        </w:rPr>
      </w:pPr>
      <w:r w:rsidRPr="00CA56EC">
        <w:rPr>
          <w:rFonts w:ascii="Arial" w:hAnsi="Arial" w:cs="Arial"/>
          <w:b/>
          <w:bCs/>
          <w:i/>
          <w:iCs/>
        </w:rPr>
        <w:t xml:space="preserve">Statutory Review </w:t>
      </w:r>
      <w:r w:rsidR="00286026" w:rsidRPr="00CA56EC">
        <w:rPr>
          <w:rFonts w:ascii="Arial" w:hAnsi="Arial" w:cs="Arial"/>
          <w:b/>
          <w:bCs/>
          <w:i/>
          <w:iCs/>
        </w:rPr>
        <w:t>of the Queensland Civil and Administrative Tribunal Act 2009</w:t>
      </w:r>
    </w:p>
    <w:p w14:paraId="1036F552" w14:textId="3CF39314" w:rsidR="00A34E5B" w:rsidRPr="00CA56EC" w:rsidRDefault="00FE2C42" w:rsidP="00FE2C42">
      <w:pPr>
        <w:rPr>
          <w:rFonts w:ascii="Arial" w:hAnsi="Arial" w:cs="Arial"/>
        </w:rPr>
      </w:pPr>
      <w:bookmarkStart w:id="1" w:name="_Hlk119923825"/>
      <w:r w:rsidRPr="00CA56EC">
        <w:rPr>
          <w:rFonts w:ascii="Arial" w:hAnsi="Arial" w:cs="Arial"/>
        </w:rPr>
        <w:t xml:space="preserve">Section 240 of the </w:t>
      </w:r>
      <w:r w:rsidRPr="00CA56EC">
        <w:rPr>
          <w:rFonts w:ascii="Arial" w:hAnsi="Arial" w:cs="Arial"/>
          <w:i/>
          <w:iCs/>
        </w:rPr>
        <w:t>Queensland Civil and Administrative Tribunal Act</w:t>
      </w:r>
      <w:r w:rsidRPr="00CA56EC">
        <w:rPr>
          <w:rFonts w:ascii="Arial" w:hAnsi="Arial" w:cs="Arial"/>
        </w:rPr>
        <w:t xml:space="preserve"> 2009 (</w:t>
      </w:r>
      <w:proofErr w:type="spellStart"/>
      <w:r w:rsidRPr="00CA56EC">
        <w:rPr>
          <w:rFonts w:ascii="Arial" w:hAnsi="Arial" w:cs="Arial"/>
        </w:rPr>
        <w:t>QCAT</w:t>
      </w:r>
      <w:proofErr w:type="spellEnd"/>
      <w:r w:rsidRPr="00CA56EC">
        <w:rPr>
          <w:rFonts w:ascii="Arial" w:hAnsi="Arial" w:cs="Arial"/>
        </w:rPr>
        <w:t xml:space="preserve"> Act) requires the Minister</w:t>
      </w:r>
      <w:r w:rsidR="00386F2C" w:rsidRPr="00CA56EC">
        <w:rPr>
          <w:rFonts w:ascii="Arial" w:hAnsi="Arial" w:cs="Arial"/>
        </w:rPr>
        <w:t xml:space="preserve"> to </w:t>
      </w:r>
      <w:r w:rsidR="00A34E5B" w:rsidRPr="00CA56EC">
        <w:rPr>
          <w:rFonts w:ascii="Arial" w:hAnsi="Arial" w:cs="Arial"/>
        </w:rPr>
        <w:t xml:space="preserve">review the </w:t>
      </w:r>
      <w:proofErr w:type="spellStart"/>
      <w:r w:rsidR="00A34E5B" w:rsidRPr="00CA56EC">
        <w:rPr>
          <w:rFonts w:ascii="Arial" w:hAnsi="Arial" w:cs="Arial"/>
        </w:rPr>
        <w:t>QCAT</w:t>
      </w:r>
      <w:proofErr w:type="spellEnd"/>
      <w:r w:rsidR="00A34E5B" w:rsidRPr="00CA56EC">
        <w:rPr>
          <w:rFonts w:ascii="Arial" w:hAnsi="Arial" w:cs="Arial"/>
        </w:rPr>
        <w:t xml:space="preserve"> Act within three years after its commencement and at further intervals of five years. The first statutory review of the </w:t>
      </w:r>
      <w:proofErr w:type="spellStart"/>
      <w:r w:rsidR="00A34E5B" w:rsidRPr="00CA56EC">
        <w:rPr>
          <w:rFonts w:ascii="Arial" w:hAnsi="Arial" w:cs="Arial"/>
        </w:rPr>
        <w:t>QCAT</w:t>
      </w:r>
      <w:proofErr w:type="spellEnd"/>
      <w:r w:rsidR="00A34E5B" w:rsidRPr="00CA56EC">
        <w:rPr>
          <w:rFonts w:ascii="Arial" w:hAnsi="Arial" w:cs="Arial"/>
        </w:rPr>
        <w:t xml:space="preserve"> Act</w:t>
      </w:r>
      <w:r w:rsidR="00D665CA" w:rsidRPr="00CA56EC">
        <w:rPr>
          <w:rFonts w:ascii="Arial" w:hAnsi="Arial" w:cs="Arial"/>
        </w:rPr>
        <w:t xml:space="preserve"> (the review)</w:t>
      </w:r>
      <w:r w:rsidR="00A34E5B" w:rsidRPr="00CA56EC">
        <w:rPr>
          <w:rFonts w:ascii="Arial" w:hAnsi="Arial" w:cs="Arial"/>
        </w:rPr>
        <w:t xml:space="preserve"> was completed in 2018 with its report tabled by the responsible Minister on 21 September 2018.</w:t>
      </w:r>
    </w:p>
    <w:p w14:paraId="7C26F1AE" w14:textId="2F44B6EB" w:rsidR="002341F1" w:rsidRPr="00CA56EC" w:rsidRDefault="00A34E5B" w:rsidP="00822486">
      <w:pPr>
        <w:rPr>
          <w:rFonts w:ascii="Arial" w:hAnsi="Arial" w:cs="Arial"/>
        </w:rPr>
      </w:pPr>
      <w:bookmarkStart w:id="2" w:name="_Hlk119923874"/>
      <w:bookmarkEnd w:id="1"/>
      <w:r w:rsidRPr="00CA56EC">
        <w:rPr>
          <w:rFonts w:ascii="Arial" w:hAnsi="Arial" w:cs="Arial"/>
        </w:rPr>
        <w:t>The</w:t>
      </w:r>
      <w:r w:rsidR="00D46D66" w:rsidRPr="00CA56EC">
        <w:rPr>
          <w:rFonts w:ascii="Arial" w:hAnsi="Arial" w:cs="Arial"/>
          <w:bCs/>
        </w:rPr>
        <w:t xml:space="preserve"> Honourable Shannon </w:t>
      </w:r>
      <w:proofErr w:type="spellStart"/>
      <w:r w:rsidR="00D46D66" w:rsidRPr="00CA56EC">
        <w:rPr>
          <w:rFonts w:ascii="Arial" w:hAnsi="Arial" w:cs="Arial"/>
          <w:bCs/>
        </w:rPr>
        <w:t>Fentiman</w:t>
      </w:r>
      <w:proofErr w:type="spellEnd"/>
      <w:r w:rsidR="00D46D66" w:rsidRPr="00CA56EC">
        <w:rPr>
          <w:rFonts w:ascii="Arial" w:hAnsi="Arial" w:cs="Arial"/>
          <w:bCs/>
        </w:rPr>
        <w:t xml:space="preserve"> MP, Attorney-General and Minister for Justice, Minister for Women and Minister for the Prevention of Domestic and Family Violence</w:t>
      </w:r>
      <w:r w:rsidRPr="00CA56EC">
        <w:rPr>
          <w:rFonts w:ascii="Arial" w:hAnsi="Arial" w:cs="Arial"/>
          <w:bCs/>
        </w:rPr>
        <w:t xml:space="preserve"> has commissioned the second review, </w:t>
      </w:r>
      <w:r w:rsidRPr="00CA56EC">
        <w:rPr>
          <w:rFonts w:ascii="Arial" w:hAnsi="Arial" w:cs="Arial"/>
        </w:rPr>
        <w:t xml:space="preserve">to be </w:t>
      </w:r>
      <w:r w:rsidR="00FE2C42" w:rsidRPr="00CA56EC">
        <w:rPr>
          <w:rFonts w:ascii="Arial" w:hAnsi="Arial" w:cs="Arial"/>
        </w:rPr>
        <w:t>undertaken by</w:t>
      </w:r>
      <w:r w:rsidR="00E129F6" w:rsidRPr="00CA56EC">
        <w:rPr>
          <w:rFonts w:ascii="Arial" w:hAnsi="Arial" w:cs="Arial"/>
        </w:rPr>
        <w:t xml:space="preserve"> a review team within the</w:t>
      </w:r>
      <w:r w:rsidR="00FE2C42" w:rsidRPr="00CA56EC">
        <w:rPr>
          <w:rFonts w:ascii="Arial" w:hAnsi="Arial" w:cs="Arial"/>
        </w:rPr>
        <w:t xml:space="preserve"> Department of Justice and Attorney-General (</w:t>
      </w:r>
      <w:r w:rsidR="002A4FA5" w:rsidRPr="00CA56EC">
        <w:rPr>
          <w:rFonts w:ascii="Arial" w:hAnsi="Arial" w:cs="Arial"/>
        </w:rPr>
        <w:t>DJAG</w:t>
      </w:r>
      <w:r w:rsidR="00FE2C42" w:rsidRPr="00CA56EC">
        <w:rPr>
          <w:rFonts w:ascii="Arial" w:hAnsi="Arial" w:cs="Arial"/>
        </w:rPr>
        <w:t>)</w:t>
      </w:r>
      <w:r w:rsidR="008F547B" w:rsidRPr="00CA56EC">
        <w:rPr>
          <w:rFonts w:ascii="Arial" w:hAnsi="Arial" w:cs="Arial"/>
        </w:rPr>
        <w:t xml:space="preserve">, overseen by a government </w:t>
      </w:r>
      <w:r w:rsidR="004A7366" w:rsidRPr="00CA56EC">
        <w:rPr>
          <w:rFonts w:ascii="Arial" w:hAnsi="Arial" w:cs="Arial"/>
        </w:rPr>
        <w:t>s</w:t>
      </w:r>
      <w:r w:rsidR="008F547B" w:rsidRPr="00CA56EC">
        <w:rPr>
          <w:rFonts w:ascii="Arial" w:hAnsi="Arial" w:cs="Arial"/>
        </w:rPr>
        <w:t xml:space="preserve">teering </w:t>
      </w:r>
      <w:r w:rsidR="004A7366" w:rsidRPr="00CA56EC">
        <w:rPr>
          <w:rFonts w:ascii="Arial" w:hAnsi="Arial" w:cs="Arial"/>
        </w:rPr>
        <w:t>c</w:t>
      </w:r>
      <w:r w:rsidR="00185880" w:rsidRPr="00CA56EC">
        <w:rPr>
          <w:rFonts w:ascii="Arial" w:hAnsi="Arial" w:cs="Arial"/>
        </w:rPr>
        <w:t xml:space="preserve">ommittee. </w:t>
      </w:r>
      <w:r w:rsidR="00FE2C42" w:rsidRPr="00CA56EC">
        <w:rPr>
          <w:rFonts w:ascii="Arial" w:hAnsi="Arial" w:cs="Arial"/>
        </w:rPr>
        <w:t xml:space="preserve"> </w:t>
      </w:r>
      <w:bookmarkEnd w:id="2"/>
    </w:p>
    <w:p w14:paraId="337B1C10" w14:textId="7BA92E74" w:rsidR="00B34352" w:rsidRPr="00CA56EC" w:rsidRDefault="00B34352" w:rsidP="00B34352">
      <w:pPr>
        <w:jc w:val="both"/>
        <w:rPr>
          <w:rFonts w:ascii="Arial" w:hAnsi="Arial" w:cs="Arial"/>
          <w:b/>
          <w:bCs/>
        </w:rPr>
      </w:pPr>
      <w:r w:rsidRPr="00CA56EC">
        <w:rPr>
          <w:rFonts w:ascii="Arial" w:hAnsi="Arial" w:cs="Arial"/>
          <w:b/>
          <w:bCs/>
        </w:rPr>
        <w:t xml:space="preserve">Background </w:t>
      </w:r>
    </w:p>
    <w:p w14:paraId="185FD384" w14:textId="0B1FBF47" w:rsidR="00B60084" w:rsidRPr="00CA56EC" w:rsidRDefault="00386F2C" w:rsidP="00B34352">
      <w:pPr>
        <w:jc w:val="both"/>
        <w:rPr>
          <w:rFonts w:ascii="Arial" w:hAnsi="Arial" w:cs="Arial"/>
        </w:rPr>
      </w:pPr>
      <w:proofErr w:type="spellStart"/>
      <w:r w:rsidRPr="00CA56EC">
        <w:rPr>
          <w:rFonts w:ascii="Arial" w:hAnsi="Arial" w:cs="Arial"/>
        </w:rPr>
        <w:t>QCAT</w:t>
      </w:r>
      <w:proofErr w:type="spellEnd"/>
      <w:r w:rsidRPr="00CA56EC">
        <w:rPr>
          <w:rFonts w:ascii="Arial" w:hAnsi="Arial" w:cs="Arial"/>
        </w:rPr>
        <w:t xml:space="preserve"> </w:t>
      </w:r>
      <w:r w:rsidR="003576CE" w:rsidRPr="00CA56EC">
        <w:rPr>
          <w:rFonts w:ascii="Arial" w:hAnsi="Arial" w:cs="Arial"/>
        </w:rPr>
        <w:t>is an independent tribunal</w:t>
      </w:r>
      <w:r w:rsidR="00B60084" w:rsidRPr="00CA56EC">
        <w:rPr>
          <w:rFonts w:ascii="Arial" w:hAnsi="Arial" w:cs="Arial"/>
        </w:rPr>
        <w:t xml:space="preserve"> </w:t>
      </w:r>
      <w:r w:rsidR="003576CE" w:rsidRPr="00CA56EC">
        <w:rPr>
          <w:rFonts w:ascii="Arial" w:hAnsi="Arial" w:cs="Arial"/>
        </w:rPr>
        <w:t>established</w:t>
      </w:r>
      <w:r w:rsidR="00D46D66" w:rsidRPr="00CA56EC">
        <w:rPr>
          <w:rFonts w:ascii="Arial" w:hAnsi="Arial" w:cs="Arial"/>
        </w:rPr>
        <w:t xml:space="preserve"> under the </w:t>
      </w:r>
      <w:proofErr w:type="spellStart"/>
      <w:r w:rsidR="00D46D66" w:rsidRPr="00CA56EC">
        <w:rPr>
          <w:rFonts w:ascii="Arial" w:hAnsi="Arial" w:cs="Arial"/>
        </w:rPr>
        <w:t>QCAT</w:t>
      </w:r>
      <w:proofErr w:type="spellEnd"/>
      <w:r w:rsidR="00D46D66" w:rsidRPr="00CA56EC">
        <w:rPr>
          <w:rFonts w:ascii="Arial" w:hAnsi="Arial" w:cs="Arial"/>
        </w:rPr>
        <w:t xml:space="preserve"> Act</w:t>
      </w:r>
      <w:r w:rsidRPr="00CA56EC">
        <w:rPr>
          <w:rFonts w:ascii="Arial" w:hAnsi="Arial" w:cs="Arial"/>
        </w:rPr>
        <w:t xml:space="preserve"> in 2009. </w:t>
      </w:r>
      <w:proofErr w:type="spellStart"/>
      <w:r w:rsidR="006A2572" w:rsidRPr="00CA56EC">
        <w:rPr>
          <w:rFonts w:ascii="Arial" w:hAnsi="Arial" w:cs="Arial"/>
        </w:rPr>
        <w:t>QCAT</w:t>
      </w:r>
      <w:proofErr w:type="spellEnd"/>
      <w:r w:rsidR="006A2572" w:rsidRPr="00CA56EC">
        <w:rPr>
          <w:rFonts w:ascii="Arial" w:hAnsi="Arial" w:cs="Arial"/>
        </w:rPr>
        <w:t xml:space="preserve"> </w:t>
      </w:r>
      <w:r w:rsidR="00B60084" w:rsidRPr="00CA56EC">
        <w:rPr>
          <w:rFonts w:ascii="Arial" w:hAnsi="Arial" w:cs="Arial"/>
        </w:rPr>
        <w:t xml:space="preserve">has a broad </w:t>
      </w:r>
      <w:r w:rsidR="005B0344" w:rsidRPr="00CA56EC">
        <w:rPr>
          <w:rFonts w:ascii="Arial" w:hAnsi="Arial" w:cs="Arial"/>
        </w:rPr>
        <w:t xml:space="preserve">remit </w:t>
      </w:r>
      <w:r w:rsidR="00B60084" w:rsidRPr="00CA56EC">
        <w:rPr>
          <w:rFonts w:ascii="Arial" w:hAnsi="Arial" w:cs="Arial"/>
        </w:rPr>
        <w:t xml:space="preserve">with over 180 enabling Acts conferring jurisdiction ranging from guardianship, </w:t>
      </w:r>
      <w:r w:rsidR="005B0344" w:rsidRPr="00CA56EC">
        <w:rPr>
          <w:rFonts w:ascii="Arial" w:hAnsi="Arial" w:cs="Arial"/>
        </w:rPr>
        <w:t>child protection</w:t>
      </w:r>
      <w:r w:rsidR="00B60084" w:rsidRPr="00CA56EC">
        <w:rPr>
          <w:rFonts w:ascii="Arial" w:hAnsi="Arial" w:cs="Arial"/>
        </w:rPr>
        <w:t xml:space="preserve">, civil, </w:t>
      </w:r>
      <w:r w:rsidR="005B0344" w:rsidRPr="00CA56EC">
        <w:rPr>
          <w:rFonts w:ascii="Arial" w:hAnsi="Arial" w:cs="Arial"/>
        </w:rPr>
        <w:t xml:space="preserve">and </w:t>
      </w:r>
      <w:r w:rsidR="00B60084" w:rsidRPr="00CA56EC">
        <w:rPr>
          <w:rFonts w:ascii="Arial" w:hAnsi="Arial" w:cs="Arial"/>
        </w:rPr>
        <w:t xml:space="preserve">administrative </w:t>
      </w:r>
      <w:r w:rsidR="005B0344" w:rsidRPr="00CA56EC">
        <w:rPr>
          <w:rFonts w:ascii="Arial" w:hAnsi="Arial" w:cs="Arial"/>
        </w:rPr>
        <w:t>to</w:t>
      </w:r>
      <w:r w:rsidR="00B60084" w:rsidRPr="00CA56EC">
        <w:rPr>
          <w:rFonts w:ascii="Arial" w:hAnsi="Arial" w:cs="Arial"/>
        </w:rPr>
        <w:t xml:space="preserve"> disciplinary matters. </w:t>
      </w:r>
    </w:p>
    <w:p w14:paraId="1D67736B" w14:textId="5BF9C80E" w:rsidR="00C96EF6" w:rsidRPr="00CA56EC" w:rsidRDefault="00386F2C" w:rsidP="00B34352">
      <w:pPr>
        <w:jc w:val="both"/>
        <w:rPr>
          <w:rFonts w:ascii="Arial" w:hAnsi="Arial" w:cs="Arial"/>
        </w:rPr>
      </w:pPr>
      <w:r w:rsidRPr="00CA56EC">
        <w:rPr>
          <w:rFonts w:ascii="Arial" w:hAnsi="Arial" w:cs="Arial"/>
        </w:rPr>
        <w:t xml:space="preserve">The Honourable </w:t>
      </w:r>
      <w:r w:rsidR="007D37CD" w:rsidRPr="00CA56EC">
        <w:rPr>
          <w:rFonts w:ascii="Arial" w:hAnsi="Arial" w:cs="Arial"/>
        </w:rPr>
        <w:t xml:space="preserve">Justice </w:t>
      </w:r>
      <w:proofErr w:type="spellStart"/>
      <w:r w:rsidR="007D37CD" w:rsidRPr="00CA56EC">
        <w:rPr>
          <w:rFonts w:ascii="Arial" w:hAnsi="Arial" w:cs="Arial"/>
        </w:rPr>
        <w:t>Mellifont</w:t>
      </w:r>
      <w:proofErr w:type="spellEnd"/>
      <w:r w:rsidR="007D37CD" w:rsidRPr="00CA56EC">
        <w:rPr>
          <w:rFonts w:ascii="Arial" w:hAnsi="Arial" w:cs="Arial"/>
        </w:rPr>
        <w:t>, President</w:t>
      </w:r>
      <w:r w:rsidR="00E129F6" w:rsidRPr="00CA56EC">
        <w:rPr>
          <w:rFonts w:ascii="Arial" w:hAnsi="Arial" w:cs="Arial"/>
        </w:rPr>
        <w:t xml:space="preserve"> of </w:t>
      </w:r>
      <w:proofErr w:type="spellStart"/>
      <w:r w:rsidR="00E129F6" w:rsidRPr="00CA56EC">
        <w:rPr>
          <w:rFonts w:ascii="Arial" w:hAnsi="Arial" w:cs="Arial"/>
        </w:rPr>
        <w:t>QCAT</w:t>
      </w:r>
      <w:proofErr w:type="spellEnd"/>
      <w:r w:rsidR="007D37CD" w:rsidRPr="00CA56EC">
        <w:rPr>
          <w:rFonts w:ascii="Arial" w:hAnsi="Arial" w:cs="Arial"/>
        </w:rPr>
        <w:t xml:space="preserve">, leads the tribunal which consists of members, adjudicators and registry staff. The registry provides support to the tribunal. </w:t>
      </w:r>
      <w:proofErr w:type="spellStart"/>
      <w:r w:rsidR="00C96EF6" w:rsidRPr="00CA56EC">
        <w:rPr>
          <w:rFonts w:ascii="Arial" w:hAnsi="Arial" w:cs="Arial"/>
        </w:rPr>
        <w:t>QCAT</w:t>
      </w:r>
      <w:proofErr w:type="spellEnd"/>
      <w:r w:rsidR="00C96EF6" w:rsidRPr="00CA56EC">
        <w:rPr>
          <w:rFonts w:ascii="Arial" w:hAnsi="Arial" w:cs="Arial"/>
        </w:rPr>
        <w:t xml:space="preserve"> provides access to </w:t>
      </w:r>
      <w:r w:rsidR="00E129F6" w:rsidRPr="00CA56EC">
        <w:rPr>
          <w:rFonts w:ascii="Arial" w:hAnsi="Arial" w:cs="Arial"/>
        </w:rPr>
        <w:t xml:space="preserve">civil </w:t>
      </w:r>
      <w:r w:rsidR="00C96EF6" w:rsidRPr="00CA56EC">
        <w:rPr>
          <w:rFonts w:ascii="Arial" w:hAnsi="Arial" w:cs="Arial"/>
        </w:rPr>
        <w:t>justice services</w:t>
      </w:r>
      <w:r w:rsidR="00B60084" w:rsidRPr="00CA56EC">
        <w:rPr>
          <w:rFonts w:ascii="Arial" w:hAnsi="Arial" w:cs="Arial"/>
        </w:rPr>
        <w:t xml:space="preserve"> to more than 60,000 Queenslanders annually</w:t>
      </w:r>
      <w:r w:rsidR="00E129F6" w:rsidRPr="00CA56EC">
        <w:rPr>
          <w:rFonts w:ascii="Arial" w:hAnsi="Arial" w:cs="Arial"/>
        </w:rPr>
        <w:t>.</w:t>
      </w:r>
    </w:p>
    <w:p w14:paraId="5E8A79CD" w14:textId="5EC0494B" w:rsidR="007D37CD" w:rsidRPr="00CA56EC" w:rsidRDefault="009811FB" w:rsidP="007D37CD">
      <w:pPr>
        <w:spacing w:before="120" w:after="120" w:line="240" w:lineRule="auto"/>
        <w:jc w:val="both"/>
        <w:rPr>
          <w:rFonts w:ascii="Arial" w:hAnsi="Arial" w:cs="Arial"/>
        </w:rPr>
      </w:pPr>
      <w:r w:rsidRPr="00CA56EC">
        <w:rPr>
          <w:rFonts w:ascii="Arial" w:hAnsi="Arial" w:cs="Arial"/>
        </w:rPr>
        <w:t xml:space="preserve">The objects of the </w:t>
      </w:r>
      <w:proofErr w:type="spellStart"/>
      <w:r w:rsidRPr="00CA56EC">
        <w:rPr>
          <w:rFonts w:ascii="Arial" w:hAnsi="Arial" w:cs="Arial"/>
        </w:rPr>
        <w:t>QCAT</w:t>
      </w:r>
      <w:proofErr w:type="spellEnd"/>
      <w:r w:rsidRPr="00CA56EC">
        <w:rPr>
          <w:rFonts w:ascii="Arial" w:hAnsi="Arial" w:cs="Arial"/>
        </w:rPr>
        <w:t xml:space="preserve"> Act as</w:t>
      </w:r>
      <w:r w:rsidR="007D37CD" w:rsidRPr="00CA56EC">
        <w:rPr>
          <w:rFonts w:ascii="Arial" w:hAnsi="Arial" w:cs="Arial"/>
        </w:rPr>
        <w:t xml:space="preserve"> outlined in section 3 </w:t>
      </w:r>
      <w:r w:rsidRPr="00CA56EC">
        <w:rPr>
          <w:rFonts w:ascii="Arial" w:hAnsi="Arial" w:cs="Arial"/>
        </w:rPr>
        <w:t>of the Act are</w:t>
      </w:r>
      <w:r w:rsidR="007D37CD" w:rsidRPr="00CA56EC">
        <w:rPr>
          <w:rFonts w:ascii="Arial" w:hAnsi="Arial" w:cs="Arial"/>
        </w:rPr>
        <w:t>:</w:t>
      </w:r>
    </w:p>
    <w:p w14:paraId="74359C88" w14:textId="127B2C22" w:rsidR="007D37CD" w:rsidRPr="00CA56EC" w:rsidRDefault="007D37CD" w:rsidP="007D37CD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CA56EC">
        <w:rPr>
          <w:rFonts w:ascii="Arial" w:eastAsia="Times New Roman" w:hAnsi="Arial" w:cs="Arial"/>
          <w:color w:val="000000"/>
          <w:lang w:eastAsia="en-AU"/>
        </w:rPr>
        <w:t>to establish an independent tribunal to deal with the matters it is empowered to deal with under this Act or an enabling Act</w:t>
      </w:r>
    </w:p>
    <w:p w14:paraId="47C3103B" w14:textId="1A58D3AB" w:rsidR="007D37CD" w:rsidRPr="00CA56EC" w:rsidRDefault="007D37CD" w:rsidP="007D37CD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CA56EC">
        <w:rPr>
          <w:rFonts w:ascii="Arial" w:eastAsia="Times New Roman" w:hAnsi="Arial" w:cs="Arial"/>
          <w:color w:val="000000"/>
          <w:lang w:eastAsia="en-AU"/>
        </w:rPr>
        <w:t xml:space="preserve">to have the tribunal deal with matters in a way that is </w:t>
      </w:r>
      <w:bookmarkStart w:id="3" w:name="_Hlk119664962"/>
      <w:r w:rsidRPr="00CA56EC">
        <w:rPr>
          <w:rFonts w:ascii="Arial" w:eastAsia="Times New Roman" w:hAnsi="Arial" w:cs="Arial"/>
          <w:color w:val="000000"/>
          <w:lang w:eastAsia="en-AU"/>
        </w:rPr>
        <w:t>accessible, fair, just, economical, informal and quick</w:t>
      </w:r>
      <w:bookmarkEnd w:id="3"/>
    </w:p>
    <w:p w14:paraId="215286F8" w14:textId="5CBD0D41" w:rsidR="007D37CD" w:rsidRPr="00CA56EC" w:rsidRDefault="007D37CD" w:rsidP="007D37CD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CA56EC">
        <w:rPr>
          <w:rFonts w:ascii="Arial" w:eastAsia="Times New Roman" w:hAnsi="Arial" w:cs="Arial"/>
          <w:color w:val="000000"/>
          <w:lang w:eastAsia="en-AU"/>
        </w:rPr>
        <w:t>to promote the quality and consistency of tribunal decisions</w:t>
      </w:r>
    </w:p>
    <w:p w14:paraId="7610A245" w14:textId="56BF636B" w:rsidR="007D37CD" w:rsidRPr="00CA56EC" w:rsidRDefault="007D37CD" w:rsidP="007D37CD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CA56EC">
        <w:rPr>
          <w:rFonts w:ascii="Arial" w:eastAsia="Times New Roman" w:hAnsi="Arial" w:cs="Arial"/>
          <w:color w:val="000000"/>
          <w:lang w:eastAsia="en-AU"/>
        </w:rPr>
        <w:t>to enhance the quality and consistency of decisions made by decision-makers</w:t>
      </w:r>
    </w:p>
    <w:p w14:paraId="772E2A86" w14:textId="6D795FBA" w:rsidR="007D37CD" w:rsidRPr="00CA56EC" w:rsidRDefault="007D37CD" w:rsidP="007D37CD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CA56EC">
        <w:rPr>
          <w:rFonts w:ascii="Arial" w:eastAsia="Times New Roman" w:hAnsi="Arial" w:cs="Arial"/>
          <w:color w:val="000000"/>
          <w:lang w:eastAsia="en-AU"/>
        </w:rPr>
        <w:t>to enhance the openness and accountability of public administration</w:t>
      </w:r>
    </w:p>
    <w:p w14:paraId="3586267C" w14:textId="75D1E425" w:rsidR="00065BC6" w:rsidRPr="00CA56EC" w:rsidRDefault="00065BC6" w:rsidP="007D37CD">
      <w:pPr>
        <w:spacing w:before="120" w:after="120" w:line="240" w:lineRule="auto"/>
        <w:jc w:val="both"/>
        <w:rPr>
          <w:rFonts w:ascii="Arial" w:hAnsi="Arial" w:cs="Arial"/>
        </w:rPr>
      </w:pPr>
      <w:r w:rsidRPr="00CA56EC">
        <w:rPr>
          <w:rFonts w:ascii="Arial" w:hAnsi="Arial" w:cs="Arial"/>
        </w:rPr>
        <w:t>To achieve these objects</w:t>
      </w:r>
      <w:r w:rsidR="007D37CD" w:rsidRPr="00CA56EC">
        <w:rPr>
          <w:rFonts w:ascii="Arial" w:hAnsi="Arial" w:cs="Arial"/>
        </w:rPr>
        <w:t>,</w:t>
      </w:r>
      <w:r w:rsidRPr="00CA56EC">
        <w:rPr>
          <w:rFonts w:ascii="Arial" w:hAnsi="Arial" w:cs="Arial"/>
        </w:rPr>
        <w:t xml:space="preserve"> under section 4, </w:t>
      </w:r>
      <w:proofErr w:type="spellStart"/>
      <w:r w:rsidR="007D37CD" w:rsidRPr="00CA56EC">
        <w:rPr>
          <w:rFonts w:ascii="Arial" w:hAnsi="Arial" w:cs="Arial"/>
        </w:rPr>
        <w:t>QCAT</w:t>
      </w:r>
      <w:proofErr w:type="spellEnd"/>
      <w:r w:rsidR="007D37CD" w:rsidRPr="00CA56EC">
        <w:rPr>
          <w:rFonts w:ascii="Arial" w:hAnsi="Arial" w:cs="Arial"/>
        </w:rPr>
        <w:t xml:space="preserve"> must</w:t>
      </w:r>
      <w:r w:rsidRPr="00CA56EC">
        <w:rPr>
          <w:rFonts w:ascii="Arial" w:hAnsi="Arial" w:cs="Arial"/>
        </w:rPr>
        <w:t>:</w:t>
      </w:r>
    </w:p>
    <w:p w14:paraId="174BF180" w14:textId="7EC0B317" w:rsidR="00065BC6" w:rsidRPr="00CA56EC" w:rsidRDefault="00065BC6" w:rsidP="00065BC6">
      <w:pPr>
        <w:pStyle w:val="ListParagraph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</w:rPr>
      </w:pPr>
      <w:r w:rsidRPr="00CA56EC">
        <w:rPr>
          <w:rFonts w:ascii="Arial" w:hAnsi="Arial" w:cs="Arial"/>
        </w:rPr>
        <w:t>facilitate access to its services through Queensland</w:t>
      </w:r>
    </w:p>
    <w:p w14:paraId="2BD03458" w14:textId="3505B0F2" w:rsidR="00065BC6" w:rsidRPr="00CA56EC" w:rsidRDefault="00065BC6" w:rsidP="00065BC6">
      <w:pPr>
        <w:pStyle w:val="ListParagraph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</w:rPr>
      </w:pPr>
      <w:r w:rsidRPr="00CA56EC">
        <w:rPr>
          <w:rFonts w:ascii="Arial" w:hAnsi="Arial" w:cs="Arial"/>
        </w:rPr>
        <w:t>encourage the early and economical resolution of disputes before the tribunal, including if appropriate, through alternative dispute resolution processes</w:t>
      </w:r>
    </w:p>
    <w:p w14:paraId="17FAE2E4" w14:textId="69AAC1BC" w:rsidR="00065BC6" w:rsidRPr="00CA56EC" w:rsidRDefault="00065BC6" w:rsidP="00065BC6">
      <w:pPr>
        <w:pStyle w:val="ListParagraph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</w:rPr>
      </w:pPr>
      <w:r w:rsidRPr="00CA56EC">
        <w:rPr>
          <w:rFonts w:ascii="Arial" w:hAnsi="Arial" w:cs="Arial"/>
        </w:rPr>
        <w:t>ensure proceedings are conduc</w:t>
      </w:r>
      <w:r w:rsidR="00C1773F" w:rsidRPr="00CA56EC">
        <w:rPr>
          <w:rFonts w:ascii="Arial" w:hAnsi="Arial" w:cs="Arial"/>
        </w:rPr>
        <w:t>t</w:t>
      </w:r>
      <w:r w:rsidRPr="00CA56EC">
        <w:rPr>
          <w:rFonts w:ascii="Arial" w:hAnsi="Arial" w:cs="Arial"/>
        </w:rPr>
        <w:t>ed in an informal way that minimises costs to parties and is as quick as is consistent with achieving justice</w:t>
      </w:r>
    </w:p>
    <w:p w14:paraId="4E690876" w14:textId="597AAB62" w:rsidR="00065BC6" w:rsidRPr="00CA56EC" w:rsidRDefault="00065BC6" w:rsidP="00065BC6">
      <w:pPr>
        <w:pStyle w:val="ListParagraph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</w:rPr>
      </w:pPr>
      <w:r w:rsidRPr="00CA56EC">
        <w:rPr>
          <w:rFonts w:ascii="Arial" w:hAnsi="Arial" w:cs="Arial"/>
        </w:rPr>
        <w:t>ensure like cases are treated alike</w:t>
      </w:r>
    </w:p>
    <w:p w14:paraId="6566C7F2" w14:textId="746AC189" w:rsidR="00065BC6" w:rsidRPr="00CA56EC" w:rsidRDefault="00065BC6" w:rsidP="00065BC6">
      <w:pPr>
        <w:pStyle w:val="ListParagraph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</w:rPr>
      </w:pPr>
      <w:r w:rsidRPr="00CA56EC">
        <w:rPr>
          <w:rFonts w:ascii="Arial" w:hAnsi="Arial" w:cs="Arial"/>
        </w:rPr>
        <w:t xml:space="preserve">ensure the tribunal is accessible and responsive to the diverse needs of persons who use the tribunal </w:t>
      </w:r>
    </w:p>
    <w:p w14:paraId="18671D18" w14:textId="247FBB3F" w:rsidR="00065BC6" w:rsidRPr="00CA56EC" w:rsidRDefault="00065BC6" w:rsidP="00065BC6">
      <w:pPr>
        <w:pStyle w:val="ListParagraph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</w:rPr>
      </w:pPr>
      <w:r w:rsidRPr="00CA56EC">
        <w:rPr>
          <w:rFonts w:ascii="Arial" w:hAnsi="Arial" w:cs="Arial"/>
        </w:rPr>
        <w:t xml:space="preserve">maintain specialist knowledge expertise and experience of members and adjudicators </w:t>
      </w:r>
    </w:p>
    <w:p w14:paraId="1FC642DE" w14:textId="3A8B1245" w:rsidR="00065BC6" w:rsidRPr="00CA56EC" w:rsidRDefault="00065BC6" w:rsidP="00065BC6">
      <w:pPr>
        <w:pStyle w:val="ListParagraph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</w:rPr>
      </w:pPr>
      <w:r w:rsidRPr="00CA56EC">
        <w:rPr>
          <w:rFonts w:ascii="Arial" w:hAnsi="Arial" w:cs="Arial"/>
        </w:rPr>
        <w:t>ensure the appropriate use of the knowledge expertise and experience of members and adjudicators</w:t>
      </w:r>
    </w:p>
    <w:p w14:paraId="53AEB323" w14:textId="0755D272" w:rsidR="00065BC6" w:rsidRPr="00CA56EC" w:rsidRDefault="00065BC6" w:rsidP="00065BC6">
      <w:pPr>
        <w:pStyle w:val="ListParagraph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</w:rPr>
      </w:pPr>
      <w:r w:rsidRPr="00CA56EC">
        <w:rPr>
          <w:rFonts w:ascii="Arial" w:hAnsi="Arial" w:cs="Arial"/>
        </w:rPr>
        <w:t>encourage members an</w:t>
      </w:r>
      <w:r w:rsidR="00E129F6" w:rsidRPr="00CA56EC">
        <w:rPr>
          <w:rFonts w:ascii="Arial" w:hAnsi="Arial" w:cs="Arial"/>
        </w:rPr>
        <w:t>d</w:t>
      </w:r>
      <w:r w:rsidRPr="00CA56EC">
        <w:rPr>
          <w:rFonts w:ascii="Arial" w:hAnsi="Arial" w:cs="Arial"/>
        </w:rPr>
        <w:t xml:space="preserve"> adjudicators to act in a way that promotes the collegiate nature of the tribunal </w:t>
      </w:r>
    </w:p>
    <w:p w14:paraId="699DCDC9" w14:textId="07D76C4C" w:rsidR="007D37CD" w:rsidRPr="00CA56EC" w:rsidRDefault="00065BC6" w:rsidP="00065BC6">
      <w:pPr>
        <w:pStyle w:val="ListParagraph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</w:rPr>
      </w:pPr>
      <w:r w:rsidRPr="00CA56EC">
        <w:rPr>
          <w:rFonts w:ascii="Arial" w:hAnsi="Arial" w:cs="Arial"/>
        </w:rPr>
        <w:t>maintain a cohesive organisational structur</w:t>
      </w:r>
      <w:r w:rsidR="004D7CF5" w:rsidRPr="00CA56EC">
        <w:rPr>
          <w:rFonts w:ascii="Arial" w:hAnsi="Arial" w:cs="Arial"/>
        </w:rPr>
        <w:t>e</w:t>
      </w:r>
      <w:r w:rsidR="007D37CD" w:rsidRPr="00CA56EC">
        <w:rPr>
          <w:rFonts w:ascii="Arial" w:hAnsi="Arial" w:cs="Arial"/>
        </w:rPr>
        <w:t xml:space="preserve"> </w:t>
      </w:r>
    </w:p>
    <w:p w14:paraId="72462915" w14:textId="187CA2F2" w:rsidR="00403B95" w:rsidRPr="00CA56EC" w:rsidRDefault="001A1694" w:rsidP="00753796">
      <w:pPr>
        <w:spacing w:before="120" w:after="120" w:line="240" w:lineRule="auto"/>
        <w:jc w:val="both"/>
        <w:rPr>
          <w:rFonts w:ascii="Arial" w:hAnsi="Arial" w:cs="Arial"/>
        </w:rPr>
      </w:pPr>
      <w:r w:rsidRPr="00CA56EC">
        <w:rPr>
          <w:rFonts w:ascii="Arial" w:hAnsi="Arial" w:cs="Arial"/>
        </w:rPr>
        <w:t xml:space="preserve">Over time, </w:t>
      </w:r>
      <w:proofErr w:type="spellStart"/>
      <w:r w:rsidR="00753796" w:rsidRPr="00CA56EC">
        <w:rPr>
          <w:rFonts w:ascii="Arial" w:hAnsi="Arial" w:cs="Arial"/>
        </w:rPr>
        <w:t>QCAT</w:t>
      </w:r>
      <w:proofErr w:type="spellEnd"/>
      <w:r w:rsidR="00753796" w:rsidRPr="00CA56EC">
        <w:rPr>
          <w:rFonts w:ascii="Arial" w:hAnsi="Arial" w:cs="Arial"/>
        </w:rPr>
        <w:t xml:space="preserve"> has </w:t>
      </w:r>
      <w:r w:rsidR="00E129F6" w:rsidRPr="00CA56EC">
        <w:rPr>
          <w:rFonts w:ascii="Arial" w:hAnsi="Arial" w:cs="Arial"/>
        </w:rPr>
        <w:t>experienced</w:t>
      </w:r>
      <w:r w:rsidR="00753796" w:rsidRPr="00CA56EC">
        <w:rPr>
          <w:rFonts w:ascii="Arial" w:hAnsi="Arial" w:cs="Arial"/>
        </w:rPr>
        <w:t xml:space="preserve"> workload pressures </w:t>
      </w:r>
      <w:r w:rsidR="00E129F6" w:rsidRPr="00CA56EC">
        <w:rPr>
          <w:rFonts w:ascii="Arial" w:hAnsi="Arial" w:cs="Arial"/>
        </w:rPr>
        <w:t>due to</w:t>
      </w:r>
      <w:r w:rsidR="00753796" w:rsidRPr="00CA56EC">
        <w:rPr>
          <w:rFonts w:ascii="Arial" w:hAnsi="Arial" w:cs="Arial"/>
        </w:rPr>
        <w:t xml:space="preserve"> </w:t>
      </w:r>
      <w:r w:rsidR="0036319C" w:rsidRPr="00CA56EC">
        <w:rPr>
          <w:rFonts w:ascii="Arial" w:hAnsi="Arial" w:cs="Arial"/>
        </w:rPr>
        <w:t xml:space="preserve">increased </w:t>
      </w:r>
      <w:r w:rsidR="00753796" w:rsidRPr="00CA56EC">
        <w:rPr>
          <w:rFonts w:ascii="Arial" w:hAnsi="Arial" w:cs="Arial"/>
        </w:rPr>
        <w:t>demand</w:t>
      </w:r>
      <w:r w:rsidR="0036319C" w:rsidRPr="00CA56EC">
        <w:rPr>
          <w:rFonts w:ascii="Arial" w:hAnsi="Arial" w:cs="Arial"/>
        </w:rPr>
        <w:t xml:space="preserve"> for </w:t>
      </w:r>
      <w:r w:rsidR="00E129F6" w:rsidRPr="00CA56EC">
        <w:rPr>
          <w:rFonts w:ascii="Arial" w:hAnsi="Arial" w:cs="Arial"/>
        </w:rPr>
        <w:t>its</w:t>
      </w:r>
      <w:r w:rsidR="0036319C" w:rsidRPr="00CA56EC">
        <w:rPr>
          <w:rFonts w:ascii="Arial" w:hAnsi="Arial" w:cs="Arial"/>
        </w:rPr>
        <w:t xml:space="preserve"> services</w:t>
      </w:r>
      <w:r w:rsidR="00E129F6" w:rsidRPr="00CA56EC">
        <w:rPr>
          <w:rFonts w:ascii="Arial" w:hAnsi="Arial" w:cs="Arial"/>
        </w:rPr>
        <w:t>,</w:t>
      </w:r>
      <w:r w:rsidR="0036319C" w:rsidRPr="00CA56EC">
        <w:rPr>
          <w:rFonts w:ascii="Arial" w:hAnsi="Arial" w:cs="Arial"/>
        </w:rPr>
        <w:t xml:space="preserve"> increased complexity in matters</w:t>
      </w:r>
      <w:r w:rsidR="00E129F6" w:rsidRPr="00CA56EC">
        <w:rPr>
          <w:rFonts w:ascii="Arial" w:hAnsi="Arial" w:cs="Arial"/>
        </w:rPr>
        <w:t xml:space="preserve"> and jurisdictions and budgetary constraints,</w:t>
      </w:r>
      <w:r w:rsidR="00D46D66" w:rsidRPr="00CA56EC">
        <w:rPr>
          <w:rFonts w:ascii="Arial" w:hAnsi="Arial" w:cs="Arial"/>
        </w:rPr>
        <w:t xml:space="preserve"> resulting </w:t>
      </w:r>
      <w:r w:rsidR="00E129F6" w:rsidRPr="00CA56EC">
        <w:rPr>
          <w:rFonts w:ascii="Arial" w:hAnsi="Arial" w:cs="Arial"/>
        </w:rPr>
        <w:t xml:space="preserve">in </w:t>
      </w:r>
      <w:r w:rsidR="00D46D66" w:rsidRPr="00CA56EC">
        <w:rPr>
          <w:rFonts w:ascii="Arial" w:hAnsi="Arial" w:cs="Arial"/>
        </w:rPr>
        <w:t>backlogs</w:t>
      </w:r>
      <w:r w:rsidR="00B514EB" w:rsidRPr="00CA56EC">
        <w:rPr>
          <w:rFonts w:ascii="Arial" w:hAnsi="Arial" w:cs="Arial"/>
        </w:rPr>
        <w:t xml:space="preserve"> and delays</w:t>
      </w:r>
      <w:r w:rsidR="00E129F6" w:rsidRPr="00CA56EC">
        <w:rPr>
          <w:rFonts w:ascii="Arial" w:hAnsi="Arial" w:cs="Arial"/>
        </w:rPr>
        <w:t xml:space="preserve"> in resolving </w:t>
      </w:r>
      <w:r w:rsidR="005B0344" w:rsidRPr="00CA56EC">
        <w:rPr>
          <w:rFonts w:ascii="Arial" w:hAnsi="Arial" w:cs="Arial"/>
        </w:rPr>
        <w:t>some</w:t>
      </w:r>
      <w:r w:rsidR="00C1773F" w:rsidRPr="00CA56EC">
        <w:rPr>
          <w:rFonts w:ascii="Arial" w:hAnsi="Arial" w:cs="Arial"/>
        </w:rPr>
        <w:t xml:space="preserve"> </w:t>
      </w:r>
      <w:r w:rsidR="00E129F6" w:rsidRPr="00CA56EC">
        <w:rPr>
          <w:rFonts w:ascii="Arial" w:hAnsi="Arial" w:cs="Arial"/>
        </w:rPr>
        <w:t>matters</w:t>
      </w:r>
      <w:r w:rsidR="0036319C" w:rsidRPr="00CA56EC">
        <w:rPr>
          <w:rFonts w:ascii="Arial" w:hAnsi="Arial" w:cs="Arial"/>
        </w:rPr>
        <w:t>.</w:t>
      </w:r>
      <w:r w:rsidR="00753796" w:rsidRPr="00CA56EC">
        <w:rPr>
          <w:rFonts w:ascii="Arial" w:hAnsi="Arial" w:cs="Arial"/>
        </w:rPr>
        <w:t xml:space="preserve"> </w:t>
      </w:r>
    </w:p>
    <w:p w14:paraId="7E48E296" w14:textId="4D298928" w:rsidR="00F71215" w:rsidRPr="00CA56EC" w:rsidRDefault="00F71215" w:rsidP="00753796">
      <w:pPr>
        <w:spacing w:before="120" w:after="120" w:line="240" w:lineRule="auto"/>
        <w:jc w:val="both"/>
        <w:rPr>
          <w:rFonts w:ascii="Arial" w:hAnsi="Arial" w:cs="Arial"/>
        </w:rPr>
      </w:pPr>
    </w:p>
    <w:p w14:paraId="4D7F9654" w14:textId="77777777" w:rsidR="00F71215" w:rsidRPr="00CA56EC" w:rsidRDefault="00F71215" w:rsidP="00753796">
      <w:pPr>
        <w:spacing w:before="120" w:after="120" w:line="240" w:lineRule="auto"/>
        <w:jc w:val="both"/>
        <w:rPr>
          <w:rFonts w:ascii="Arial" w:hAnsi="Arial" w:cs="Arial"/>
        </w:rPr>
      </w:pPr>
    </w:p>
    <w:p w14:paraId="160051E7" w14:textId="12311152" w:rsidR="0068514F" w:rsidRPr="00CA56EC" w:rsidRDefault="0068514F" w:rsidP="0068514F">
      <w:pPr>
        <w:jc w:val="both"/>
        <w:rPr>
          <w:rFonts w:ascii="Arial" w:hAnsi="Arial" w:cs="Arial"/>
          <w:b/>
          <w:bCs/>
        </w:rPr>
      </w:pPr>
      <w:r w:rsidRPr="00CA56EC">
        <w:rPr>
          <w:rFonts w:ascii="Arial" w:hAnsi="Arial" w:cs="Arial"/>
          <w:b/>
          <w:bCs/>
        </w:rPr>
        <w:lastRenderedPageBreak/>
        <w:t>Scope</w:t>
      </w:r>
      <w:r w:rsidR="00E129F6" w:rsidRPr="00CA56EC">
        <w:rPr>
          <w:rFonts w:ascii="Arial" w:hAnsi="Arial" w:cs="Arial"/>
          <w:b/>
          <w:bCs/>
        </w:rPr>
        <w:t xml:space="preserve"> of the review </w:t>
      </w:r>
      <w:r w:rsidRPr="00CA56EC">
        <w:rPr>
          <w:rFonts w:ascii="Arial" w:hAnsi="Arial" w:cs="Arial"/>
          <w:b/>
          <w:bCs/>
        </w:rPr>
        <w:t xml:space="preserve"> </w:t>
      </w:r>
    </w:p>
    <w:p w14:paraId="1335A375" w14:textId="0B669C59" w:rsidR="0068514F" w:rsidRPr="00CA56EC" w:rsidRDefault="0068514F" w:rsidP="0068514F">
      <w:pPr>
        <w:jc w:val="both"/>
        <w:rPr>
          <w:rFonts w:ascii="Arial" w:hAnsi="Arial" w:cs="Arial"/>
        </w:rPr>
      </w:pPr>
      <w:r w:rsidRPr="00CA56EC">
        <w:rPr>
          <w:rFonts w:ascii="Arial" w:hAnsi="Arial" w:cs="Arial"/>
        </w:rPr>
        <w:t xml:space="preserve">Section 240 of the </w:t>
      </w:r>
      <w:proofErr w:type="spellStart"/>
      <w:r w:rsidRPr="00CA56EC">
        <w:rPr>
          <w:rFonts w:ascii="Arial" w:hAnsi="Arial" w:cs="Arial"/>
        </w:rPr>
        <w:t>QCAT</w:t>
      </w:r>
      <w:proofErr w:type="spellEnd"/>
      <w:r w:rsidRPr="00CA56EC">
        <w:rPr>
          <w:rFonts w:ascii="Arial" w:hAnsi="Arial" w:cs="Arial"/>
        </w:rPr>
        <w:t xml:space="preserve"> Act provides that the objects of the review include:</w:t>
      </w:r>
    </w:p>
    <w:p w14:paraId="68A25277" w14:textId="573C96D7" w:rsidR="0068514F" w:rsidRPr="00CA56EC" w:rsidRDefault="0068514F" w:rsidP="0068514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A56EC">
        <w:rPr>
          <w:rFonts w:ascii="Arial" w:hAnsi="Arial" w:cs="Arial"/>
        </w:rPr>
        <w:t xml:space="preserve">deciding whether the objects of the </w:t>
      </w:r>
      <w:proofErr w:type="spellStart"/>
      <w:r w:rsidRPr="00CA56EC">
        <w:rPr>
          <w:rFonts w:ascii="Arial" w:hAnsi="Arial" w:cs="Arial"/>
        </w:rPr>
        <w:t>QCAT</w:t>
      </w:r>
      <w:proofErr w:type="spellEnd"/>
      <w:r w:rsidRPr="00CA56EC">
        <w:rPr>
          <w:rFonts w:ascii="Arial" w:hAnsi="Arial" w:cs="Arial"/>
        </w:rPr>
        <w:t xml:space="preserve"> Act remain valid </w:t>
      </w:r>
    </w:p>
    <w:p w14:paraId="364291A6" w14:textId="4A73987C" w:rsidR="0068514F" w:rsidRPr="00CA56EC" w:rsidRDefault="0068514F" w:rsidP="0068514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A56EC">
        <w:rPr>
          <w:rFonts w:ascii="Arial" w:hAnsi="Arial" w:cs="Arial"/>
        </w:rPr>
        <w:t xml:space="preserve">deciding whether the </w:t>
      </w:r>
      <w:proofErr w:type="spellStart"/>
      <w:r w:rsidRPr="00CA56EC">
        <w:rPr>
          <w:rFonts w:ascii="Arial" w:hAnsi="Arial" w:cs="Arial"/>
        </w:rPr>
        <w:t>QCAT</w:t>
      </w:r>
      <w:proofErr w:type="spellEnd"/>
      <w:r w:rsidRPr="00CA56EC">
        <w:rPr>
          <w:rFonts w:ascii="Arial" w:hAnsi="Arial" w:cs="Arial"/>
        </w:rPr>
        <w:t xml:space="preserve"> Act is meeting its objects </w:t>
      </w:r>
    </w:p>
    <w:p w14:paraId="1FADA24E" w14:textId="4FADB9D8" w:rsidR="0068514F" w:rsidRPr="00CA56EC" w:rsidRDefault="0068514F" w:rsidP="0068514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A56EC">
        <w:rPr>
          <w:rFonts w:ascii="Arial" w:hAnsi="Arial" w:cs="Arial"/>
        </w:rPr>
        <w:t xml:space="preserve">deciding whether the provisions of the </w:t>
      </w:r>
      <w:proofErr w:type="spellStart"/>
      <w:r w:rsidRPr="00CA56EC">
        <w:rPr>
          <w:rFonts w:ascii="Arial" w:hAnsi="Arial" w:cs="Arial"/>
        </w:rPr>
        <w:t>QCAT</w:t>
      </w:r>
      <w:proofErr w:type="spellEnd"/>
      <w:r w:rsidRPr="00CA56EC">
        <w:rPr>
          <w:rFonts w:ascii="Arial" w:hAnsi="Arial" w:cs="Arial"/>
        </w:rPr>
        <w:t xml:space="preserve"> Act are appropriate for meeting its objects </w:t>
      </w:r>
    </w:p>
    <w:p w14:paraId="7A88BAC0" w14:textId="6AE045B7" w:rsidR="0068514F" w:rsidRPr="00CA56EC" w:rsidRDefault="0068514F" w:rsidP="0068514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A56EC">
        <w:rPr>
          <w:rFonts w:ascii="Arial" w:hAnsi="Arial" w:cs="Arial"/>
        </w:rPr>
        <w:t xml:space="preserve">investigating any specific issue recommended by the Minister or the </w:t>
      </w:r>
      <w:proofErr w:type="spellStart"/>
      <w:r w:rsidRPr="00CA56EC">
        <w:rPr>
          <w:rFonts w:ascii="Arial" w:hAnsi="Arial" w:cs="Arial"/>
        </w:rPr>
        <w:t>QCAT</w:t>
      </w:r>
      <w:proofErr w:type="spellEnd"/>
      <w:r w:rsidRPr="00CA56EC">
        <w:rPr>
          <w:rFonts w:ascii="Arial" w:hAnsi="Arial" w:cs="Arial"/>
        </w:rPr>
        <w:t xml:space="preserve"> President</w:t>
      </w:r>
      <w:r w:rsidR="005B0344" w:rsidRPr="00CA56EC">
        <w:rPr>
          <w:rFonts w:ascii="Arial" w:hAnsi="Arial" w:cs="Arial"/>
        </w:rPr>
        <w:t xml:space="preserve">, including, for example, whether any provision of an enabling Act affects the effective operation of the tribunal. </w:t>
      </w:r>
      <w:r w:rsidR="00386F2C" w:rsidRPr="00CA56EC">
        <w:rPr>
          <w:rFonts w:ascii="Arial" w:hAnsi="Arial" w:cs="Arial"/>
        </w:rPr>
        <w:t xml:space="preserve"> </w:t>
      </w:r>
    </w:p>
    <w:p w14:paraId="4FB324DA" w14:textId="4909319E" w:rsidR="005B0344" w:rsidRPr="00CA56EC" w:rsidRDefault="00E129F6" w:rsidP="00AE0FAE">
      <w:pPr>
        <w:jc w:val="both"/>
        <w:rPr>
          <w:rFonts w:ascii="Arial" w:hAnsi="Arial" w:cs="Arial"/>
        </w:rPr>
      </w:pPr>
      <w:r w:rsidRPr="00CA56EC">
        <w:rPr>
          <w:rFonts w:ascii="Arial" w:hAnsi="Arial" w:cs="Arial"/>
        </w:rPr>
        <w:t xml:space="preserve">In response to the current workload challenges facing </w:t>
      </w:r>
      <w:proofErr w:type="spellStart"/>
      <w:r w:rsidRPr="00CA56EC">
        <w:rPr>
          <w:rFonts w:ascii="Arial" w:hAnsi="Arial" w:cs="Arial"/>
        </w:rPr>
        <w:t>QCAT</w:t>
      </w:r>
      <w:proofErr w:type="spellEnd"/>
      <w:r w:rsidR="0068514F" w:rsidRPr="00CA56EC">
        <w:rPr>
          <w:rFonts w:ascii="Arial" w:hAnsi="Arial" w:cs="Arial"/>
        </w:rPr>
        <w:t xml:space="preserve">, </w:t>
      </w:r>
      <w:r w:rsidR="00B514EB" w:rsidRPr="00CA56EC">
        <w:rPr>
          <w:rFonts w:ascii="Arial" w:hAnsi="Arial" w:cs="Arial"/>
        </w:rPr>
        <w:t>the review</w:t>
      </w:r>
      <w:r w:rsidR="00FE4F76" w:rsidRPr="00CA56EC">
        <w:rPr>
          <w:rFonts w:ascii="Arial" w:hAnsi="Arial" w:cs="Arial"/>
        </w:rPr>
        <w:t xml:space="preserve"> will</w:t>
      </w:r>
      <w:r w:rsidR="00B514EB" w:rsidRPr="00CA56EC">
        <w:rPr>
          <w:rFonts w:ascii="Arial" w:hAnsi="Arial" w:cs="Arial"/>
        </w:rPr>
        <w:t xml:space="preserve"> focus</w:t>
      </w:r>
      <w:r w:rsidR="00C96EF6" w:rsidRPr="00CA56EC">
        <w:rPr>
          <w:rFonts w:ascii="Arial" w:hAnsi="Arial" w:cs="Arial"/>
        </w:rPr>
        <w:t xml:space="preserve"> on</w:t>
      </w:r>
      <w:r w:rsidR="00305BB3" w:rsidRPr="00CA56EC">
        <w:rPr>
          <w:rFonts w:ascii="Arial" w:hAnsi="Arial" w:cs="Arial"/>
        </w:rPr>
        <w:t xml:space="preserve"> </w:t>
      </w:r>
      <w:r w:rsidR="006A2572" w:rsidRPr="00CA56EC">
        <w:rPr>
          <w:rFonts w:ascii="Arial" w:hAnsi="Arial" w:cs="Arial"/>
        </w:rPr>
        <w:t xml:space="preserve">procedural reform to the </w:t>
      </w:r>
      <w:proofErr w:type="spellStart"/>
      <w:r w:rsidR="006A2572" w:rsidRPr="00CA56EC">
        <w:rPr>
          <w:rFonts w:ascii="Arial" w:hAnsi="Arial" w:cs="Arial"/>
        </w:rPr>
        <w:t>QCAT</w:t>
      </w:r>
      <w:proofErr w:type="spellEnd"/>
      <w:r w:rsidR="006A2572" w:rsidRPr="00CA56EC">
        <w:rPr>
          <w:rFonts w:ascii="Arial" w:hAnsi="Arial" w:cs="Arial"/>
        </w:rPr>
        <w:t xml:space="preserve"> A</w:t>
      </w:r>
      <w:r w:rsidR="00305BB3" w:rsidRPr="00CA56EC">
        <w:rPr>
          <w:rFonts w:ascii="Arial" w:hAnsi="Arial" w:cs="Arial"/>
        </w:rPr>
        <w:t>ct</w:t>
      </w:r>
      <w:r w:rsidR="00386F2C" w:rsidRPr="00CA56EC">
        <w:rPr>
          <w:rFonts w:ascii="Arial" w:hAnsi="Arial" w:cs="Arial"/>
        </w:rPr>
        <w:t xml:space="preserve">. </w:t>
      </w:r>
      <w:r w:rsidR="0000012D" w:rsidRPr="00CA56EC">
        <w:rPr>
          <w:rFonts w:ascii="Arial" w:hAnsi="Arial" w:cs="Arial"/>
        </w:rPr>
        <w:t xml:space="preserve">The review may consider </w:t>
      </w:r>
      <w:r w:rsidR="005B0344" w:rsidRPr="00CA56EC">
        <w:rPr>
          <w:rFonts w:ascii="Arial" w:hAnsi="Arial" w:cs="Arial"/>
        </w:rPr>
        <w:t xml:space="preserve">procedural provisions </w:t>
      </w:r>
      <w:r w:rsidR="0000012D" w:rsidRPr="00CA56EC">
        <w:rPr>
          <w:rFonts w:ascii="Arial" w:hAnsi="Arial" w:cs="Arial"/>
        </w:rPr>
        <w:t xml:space="preserve">of an enabling Act </w:t>
      </w:r>
      <w:r w:rsidR="005B0344" w:rsidRPr="00CA56EC">
        <w:rPr>
          <w:rFonts w:ascii="Arial" w:hAnsi="Arial" w:cs="Arial"/>
        </w:rPr>
        <w:t xml:space="preserve">which </w:t>
      </w:r>
      <w:r w:rsidR="0000012D" w:rsidRPr="00CA56EC">
        <w:rPr>
          <w:rFonts w:ascii="Arial" w:hAnsi="Arial" w:cs="Arial"/>
        </w:rPr>
        <w:t>impede</w:t>
      </w:r>
      <w:r w:rsidR="005B0344" w:rsidRPr="00CA56EC">
        <w:rPr>
          <w:rFonts w:ascii="Arial" w:hAnsi="Arial" w:cs="Arial"/>
        </w:rPr>
        <w:t>s</w:t>
      </w:r>
      <w:r w:rsidR="0000012D" w:rsidRPr="00CA56EC">
        <w:rPr>
          <w:rFonts w:ascii="Arial" w:hAnsi="Arial" w:cs="Arial"/>
        </w:rPr>
        <w:t xml:space="preserve"> the effective operation of the tribunal</w:t>
      </w:r>
      <w:r w:rsidR="005B0344" w:rsidRPr="00CA56EC">
        <w:rPr>
          <w:rFonts w:ascii="Arial" w:hAnsi="Arial" w:cs="Arial"/>
        </w:rPr>
        <w:t xml:space="preserve">. </w:t>
      </w:r>
    </w:p>
    <w:p w14:paraId="6F3743F3" w14:textId="484D59AE" w:rsidR="006420C2" w:rsidRPr="00CA56EC" w:rsidRDefault="006420C2" w:rsidP="00AE0FAE">
      <w:pPr>
        <w:jc w:val="both"/>
        <w:rPr>
          <w:rFonts w:ascii="Arial" w:hAnsi="Arial" w:cs="Arial"/>
        </w:rPr>
      </w:pPr>
      <w:r w:rsidRPr="00CA56EC">
        <w:rPr>
          <w:rFonts w:ascii="Arial" w:hAnsi="Arial" w:cs="Arial"/>
        </w:rPr>
        <w:t xml:space="preserve">The review will not </w:t>
      </w:r>
      <w:r w:rsidR="005B0344" w:rsidRPr="00CA56EC">
        <w:rPr>
          <w:rFonts w:ascii="Arial" w:hAnsi="Arial" w:cs="Arial"/>
        </w:rPr>
        <w:t xml:space="preserve">examine the type or extent of </w:t>
      </w:r>
      <w:r w:rsidRPr="00CA56EC">
        <w:rPr>
          <w:rFonts w:ascii="Arial" w:hAnsi="Arial" w:cs="Arial"/>
        </w:rPr>
        <w:t>jurisdiction</w:t>
      </w:r>
      <w:r w:rsidR="00F31256" w:rsidRPr="00CA56EC">
        <w:rPr>
          <w:rFonts w:ascii="Arial" w:hAnsi="Arial" w:cs="Arial"/>
        </w:rPr>
        <w:t xml:space="preserve"> conferred on </w:t>
      </w:r>
      <w:proofErr w:type="spellStart"/>
      <w:r w:rsidR="00F31256" w:rsidRPr="00CA56EC">
        <w:rPr>
          <w:rFonts w:ascii="Arial" w:hAnsi="Arial" w:cs="Arial"/>
        </w:rPr>
        <w:t>QCAT</w:t>
      </w:r>
      <w:proofErr w:type="spellEnd"/>
      <w:r w:rsidR="00F31256" w:rsidRPr="00CA56EC">
        <w:rPr>
          <w:rFonts w:ascii="Arial" w:hAnsi="Arial" w:cs="Arial"/>
        </w:rPr>
        <w:t xml:space="preserve"> through</w:t>
      </w:r>
      <w:r w:rsidRPr="00CA56EC">
        <w:rPr>
          <w:rFonts w:ascii="Arial" w:hAnsi="Arial" w:cs="Arial"/>
        </w:rPr>
        <w:t xml:space="preserve"> enabling Acts</w:t>
      </w:r>
      <w:r w:rsidR="005B0344" w:rsidRPr="00CA56EC">
        <w:rPr>
          <w:rFonts w:ascii="Arial" w:hAnsi="Arial" w:cs="Arial"/>
        </w:rPr>
        <w:t xml:space="preserve"> (that is, the type of matters that </w:t>
      </w:r>
      <w:proofErr w:type="spellStart"/>
      <w:r w:rsidR="005B0344" w:rsidRPr="00CA56EC">
        <w:rPr>
          <w:rFonts w:ascii="Arial" w:hAnsi="Arial" w:cs="Arial"/>
        </w:rPr>
        <w:t>QCAT</w:t>
      </w:r>
      <w:proofErr w:type="spellEnd"/>
      <w:r w:rsidR="005B0344" w:rsidRPr="00CA56EC">
        <w:rPr>
          <w:rFonts w:ascii="Arial" w:hAnsi="Arial" w:cs="Arial"/>
        </w:rPr>
        <w:t xml:space="preserve"> has jurisdiction to hear and determine)</w:t>
      </w:r>
      <w:r w:rsidRPr="00CA56EC">
        <w:rPr>
          <w:rFonts w:ascii="Arial" w:hAnsi="Arial" w:cs="Arial"/>
        </w:rPr>
        <w:t xml:space="preserve">. </w:t>
      </w:r>
    </w:p>
    <w:p w14:paraId="23244F17" w14:textId="77777777" w:rsidR="004A7366" w:rsidRPr="00CA56EC" w:rsidRDefault="004A7366" w:rsidP="004A73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56EC">
        <w:rPr>
          <w:rFonts w:ascii="Arial" w:hAnsi="Arial" w:cs="Arial"/>
        </w:rPr>
        <w:t xml:space="preserve">The review will include (but is not limited to) consideration to the following issues:  </w:t>
      </w:r>
    </w:p>
    <w:p w14:paraId="42FAF8AD" w14:textId="77777777" w:rsidR="004A7366" w:rsidRPr="00CA56EC" w:rsidRDefault="004A7366" w:rsidP="004A73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22DE17" w14:textId="707E0511" w:rsidR="004A7366" w:rsidRPr="00AC1DC9" w:rsidRDefault="004A7366" w:rsidP="00AC1DC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67" w:line="240" w:lineRule="auto"/>
        <w:rPr>
          <w:rFonts w:ascii="Arial" w:hAnsi="Arial" w:cs="Arial"/>
        </w:rPr>
      </w:pPr>
      <w:r w:rsidRPr="00CA56EC">
        <w:rPr>
          <w:rFonts w:ascii="Arial" w:hAnsi="Arial" w:cs="Arial"/>
        </w:rPr>
        <w:t xml:space="preserve">whether the provisions relating to establishment and administration of the tribunal are appropriate to meet the needs of the tribunal </w:t>
      </w:r>
      <w:r w:rsidRPr="00712252">
        <w:rPr>
          <w:rFonts w:ascii="Arial" w:hAnsi="Arial" w:cs="Arial"/>
        </w:rPr>
        <w:t>including</w:t>
      </w:r>
      <w:r w:rsidR="00AC1DC9">
        <w:rPr>
          <w:rFonts w:ascii="Arial" w:hAnsi="Arial" w:cs="Arial"/>
        </w:rPr>
        <w:t xml:space="preserve"> </w:t>
      </w:r>
      <w:r w:rsidRPr="00AC1DC9">
        <w:rPr>
          <w:rFonts w:ascii="Arial" w:hAnsi="Arial" w:cs="Arial"/>
        </w:rPr>
        <w:t xml:space="preserve">the </w:t>
      </w:r>
      <w:r w:rsidR="00AC1DC9">
        <w:rPr>
          <w:rFonts w:ascii="Arial" w:hAnsi="Arial" w:cs="Arial"/>
        </w:rPr>
        <w:t xml:space="preserve">current </w:t>
      </w:r>
      <w:r w:rsidRPr="00AC1DC9">
        <w:rPr>
          <w:rFonts w:ascii="Arial" w:hAnsi="Arial" w:cs="Arial"/>
        </w:rPr>
        <w:t xml:space="preserve">statutory decision maker categories </w:t>
      </w:r>
      <w:bookmarkStart w:id="4" w:name="_Hlk121125028"/>
      <w:r w:rsidR="00AC1DC9">
        <w:rPr>
          <w:rFonts w:ascii="Arial" w:hAnsi="Arial" w:cs="Arial"/>
        </w:rPr>
        <w:t xml:space="preserve">and </w:t>
      </w:r>
      <w:r w:rsidR="0028154E">
        <w:rPr>
          <w:rFonts w:ascii="Arial" w:hAnsi="Arial" w:cs="Arial"/>
        </w:rPr>
        <w:t>whether the</w:t>
      </w:r>
      <w:r w:rsidR="00CF29D5" w:rsidRPr="00AC1DC9">
        <w:rPr>
          <w:rFonts w:ascii="Arial" w:hAnsi="Arial" w:cs="Arial"/>
        </w:rPr>
        <w:t xml:space="preserve"> current</w:t>
      </w:r>
      <w:r w:rsidR="000C215F" w:rsidRPr="00AC1DC9">
        <w:rPr>
          <w:rFonts w:ascii="Arial" w:hAnsi="Arial" w:cs="Arial"/>
        </w:rPr>
        <w:t xml:space="preserve"> </w:t>
      </w:r>
      <w:r w:rsidRPr="00AC1DC9">
        <w:rPr>
          <w:rFonts w:ascii="Arial" w:hAnsi="Arial" w:cs="Arial"/>
        </w:rPr>
        <w:t xml:space="preserve">maximum term of appointment for decision makers should be retained or </w:t>
      </w:r>
      <w:r w:rsidR="000C215F" w:rsidRPr="00AC1DC9">
        <w:rPr>
          <w:rFonts w:ascii="Arial" w:hAnsi="Arial" w:cs="Arial"/>
        </w:rPr>
        <w:t>increased</w:t>
      </w:r>
      <w:bookmarkEnd w:id="4"/>
      <w:r w:rsidRPr="00AC1DC9">
        <w:rPr>
          <w:rFonts w:ascii="Arial" w:hAnsi="Arial" w:cs="Arial"/>
        </w:rPr>
        <w:t xml:space="preserve"> </w:t>
      </w:r>
    </w:p>
    <w:p w14:paraId="21AED8A5" w14:textId="77777777" w:rsidR="004A7366" w:rsidRPr="00CA56EC" w:rsidRDefault="004A7366" w:rsidP="004A736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67" w:line="240" w:lineRule="auto"/>
        <w:rPr>
          <w:rFonts w:ascii="Arial" w:hAnsi="Arial" w:cs="Arial"/>
        </w:rPr>
      </w:pPr>
      <w:r w:rsidRPr="00CA56EC">
        <w:rPr>
          <w:rFonts w:ascii="Arial" w:hAnsi="Arial" w:cs="Arial"/>
        </w:rPr>
        <w:t xml:space="preserve">whether, and if so, in what cases, the need to get leave to be legally represented should be retained </w:t>
      </w:r>
    </w:p>
    <w:p w14:paraId="4BBA05F0" w14:textId="77777777" w:rsidR="004A7366" w:rsidRPr="00CA56EC" w:rsidRDefault="004A7366" w:rsidP="004A736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67" w:line="240" w:lineRule="auto"/>
        <w:rPr>
          <w:rFonts w:ascii="Arial" w:hAnsi="Arial" w:cs="Arial"/>
        </w:rPr>
      </w:pPr>
      <w:r w:rsidRPr="00CA56EC">
        <w:rPr>
          <w:rFonts w:ascii="Arial" w:hAnsi="Arial" w:cs="Arial"/>
        </w:rPr>
        <w:t xml:space="preserve">the current appeal structure for </w:t>
      </w:r>
      <w:proofErr w:type="spellStart"/>
      <w:r w:rsidRPr="00CA56EC">
        <w:rPr>
          <w:rFonts w:ascii="Arial" w:hAnsi="Arial" w:cs="Arial"/>
        </w:rPr>
        <w:t>QCAT</w:t>
      </w:r>
      <w:proofErr w:type="spellEnd"/>
      <w:r w:rsidRPr="00CA56EC">
        <w:rPr>
          <w:rFonts w:ascii="Arial" w:hAnsi="Arial" w:cs="Arial"/>
        </w:rPr>
        <w:t xml:space="preserve"> decisions </w:t>
      </w:r>
    </w:p>
    <w:p w14:paraId="57E19432" w14:textId="77777777" w:rsidR="00A717F5" w:rsidRPr="00CA56EC" w:rsidRDefault="004A7366" w:rsidP="004A736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67" w:line="240" w:lineRule="auto"/>
        <w:rPr>
          <w:rFonts w:ascii="Arial" w:hAnsi="Arial" w:cs="Arial"/>
        </w:rPr>
      </w:pPr>
      <w:r w:rsidRPr="00CA56EC">
        <w:rPr>
          <w:rFonts w:ascii="Arial" w:hAnsi="Arial" w:cs="Arial"/>
        </w:rPr>
        <w:t>whether the current legislation creates hurdles to procedural efficiency, in particular, in minor civil disputes</w:t>
      </w:r>
    </w:p>
    <w:p w14:paraId="3A82936B" w14:textId="20EA1949" w:rsidR="004A7366" w:rsidRPr="00CA56EC" w:rsidRDefault="00A717F5" w:rsidP="004A736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67" w:line="240" w:lineRule="auto"/>
        <w:rPr>
          <w:rFonts w:ascii="Arial" w:hAnsi="Arial" w:cs="Arial"/>
        </w:rPr>
      </w:pPr>
      <w:r w:rsidRPr="00CA56EC">
        <w:rPr>
          <w:rFonts w:ascii="Arial" w:hAnsi="Arial" w:cs="Arial"/>
        </w:rPr>
        <w:t xml:space="preserve">compatibility of the </w:t>
      </w:r>
      <w:proofErr w:type="spellStart"/>
      <w:r w:rsidRPr="00CA56EC">
        <w:rPr>
          <w:rFonts w:ascii="Arial" w:hAnsi="Arial" w:cs="Arial"/>
        </w:rPr>
        <w:t>QCAT</w:t>
      </w:r>
      <w:proofErr w:type="spellEnd"/>
      <w:r w:rsidRPr="00CA56EC">
        <w:rPr>
          <w:rFonts w:ascii="Arial" w:hAnsi="Arial" w:cs="Arial"/>
        </w:rPr>
        <w:t xml:space="preserve"> Act, and any recommendations for legislative reform, with the </w:t>
      </w:r>
      <w:r w:rsidRPr="00CA56EC">
        <w:rPr>
          <w:rFonts w:ascii="Arial" w:hAnsi="Arial" w:cs="Arial"/>
          <w:i/>
          <w:iCs/>
        </w:rPr>
        <w:t>Human Rights Act 2019.</w:t>
      </w:r>
      <w:r w:rsidR="004A7366" w:rsidRPr="00CA56EC">
        <w:rPr>
          <w:rFonts w:ascii="Arial" w:hAnsi="Arial" w:cs="Arial"/>
        </w:rPr>
        <w:t xml:space="preserve"> </w:t>
      </w:r>
    </w:p>
    <w:p w14:paraId="119AEC94" w14:textId="77777777" w:rsidR="00D542F5" w:rsidRPr="00CA56EC" w:rsidRDefault="00D542F5" w:rsidP="00CA56EC">
      <w:pPr>
        <w:autoSpaceDE w:val="0"/>
        <w:autoSpaceDN w:val="0"/>
        <w:adjustRightInd w:val="0"/>
        <w:spacing w:after="67" w:line="240" w:lineRule="auto"/>
        <w:ind w:left="360"/>
        <w:rPr>
          <w:rFonts w:ascii="Arial" w:hAnsi="Arial" w:cs="Arial"/>
        </w:rPr>
      </w:pPr>
    </w:p>
    <w:p w14:paraId="70A34E8D" w14:textId="4FD8C369" w:rsidR="00D542F5" w:rsidRPr="00CA56EC" w:rsidRDefault="00D542F5" w:rsidP="00AE0FAE">
      <w:pPr>
        <w:jc w:val="both"/>
        <w:rPr>
          <w:rFonts w:ascii="Arial" w:hAnsi="Arial" w:cs="Arial"/>
        </w:rPr>
      </w:pPr>
      <w:r w:rsidRPr="00CA56EC">
        <w:rPr>
          <w:rFonts w:ascii="Arial" w:hAnsi="Arial" w:cs="Arial"/>
        </w:rPr>
        <w:t xml:space="preserve">In making review recommendations, the review team will consider whether </w:t>
      </w:r>
      <w:r w:rsidR="00FC30A6" w:rsidRPr="00CA56EC">
        <w:rPr>
          <w:rFonts w:ascii="Arial" w:hAnsi="Arial" w:cs="Arial"/>
        </w:rPr>
        <w:t xml:space="preserve">the proposed </w:t>
      </w:r>
      <w:r w:rsidRPr="00CA56EC">
        <w:rPr>
          <w:rFonts w:ascii="Arial" w:hAnsi="Arial" w:cs="Arial"/>
        </w:rPr>
        <w:t>legislative change will be likely to</w:t>
      </w:r>
      <w:r w:rsidR="00FC30A6" w:rsidRPr="00CA56EC">
        <w:rPr>
          <w:rFonts w:ascii="Arial" w:hAnsi="Arial" w:cs="Arial"/>
        </w:rPr>
        <w:t xml:space="preserve"> </w:t>
      </w:r>
      <w:r w:rsidRPr="00CA56EC">
        <w:rPr>
          <w:rFonts w:ascii="Arial" w:hAnsi="Arial" w:cs="Arial"/>
        </w:rPr>
        <w:t xml:space="preserve">assist </w:t>
      </w:r>
      <w:proofErr w:type="spellStart"/>
      <w:r w:rsidRPr="00CA56EC">
        <w:rPr>
          <w:rFonts w:ascii="Arial" w:hAnsi="Arial" w:cs="Arial"/>
        </w:rPr>
        <w:t>QCAT</w:t>
      </w:r>
      <w:proofErr w:type="spellEnd"/>
      <w:r w:rsidRPr="00CA56EC">
        <w:rPr>
          <w:rFonts w:ascii="Arial" w:hAnsi="Arial" w:cs="Arial"/>
        </w:rPr>
        <w:t xml:space="preserve"> to meet its statutory objectives, and thus promote the efficient and effective operation of the tribunal</w:t>
      </w:r>
      <w:r w:rsidR="00FC30A6" w:rsidRPr="00CA56EC">
        <w:rPr>
          <w:rFonts w:ascii="Arial" w:hAnsi="Arial" w:cs="Arial"/>
        </w:rPr>
        <w:t xml:space="preserve">. </w:t>
      </w:r>
    </w:p>
    <w:p w14:paraId="37AF95C4" w14:textId="690E8EE3" w:rsidR="00DF0152" w:rsidRPr="00CA56EC" w:rsidRDefault="00DF0152" w:rsidP="001771A2">
      <w:pPr>
        <w:jc w:val="both"/>
        <w:rPr>
          <w:rFonts w:ascii="Arial" w:hAnsi="Arial" w:cs="Arial"/>
          <w:b/>
          <w:bCs/>
        </w:rPr>
      </w:pPr>
      <w:r w:rsidRPr="00CA56EC">
        <w:rPr>
          <w:rFonts w:ascii="Arial" w:hAnsi="Arial" w:cs="Arial"/>
          <w:b/>
          <w:bCs/>
        </w:rPr>
        <w:t xml:space="preserve">Consultation </w:t>
      </w:r>
    </w:p>
    <w:p w14:paraId="3F906E02" w14:textId="33B98D51" w:rsidR="00DF0152" w:rsidRPr="00CA56EC" w:rsidRDefault="00DF0152" w:rsidP="001771A2">
      <w:pPr>
        <w:jc w:val="both"/>
        <w:rPr>
          <w:rFonts w:ascii="Arial" w:hAnsi="Arial" w:cs="Arial"/>
        </w:rPr>
      </w:pPr>
      <w:r w:rsidRPr="00CA56EC">
        <w:rPr>
          <w:rFonts w:ascii="Arial" w:hAnsi="Arial" w:cs="Arial"/>
        </w:rPr>
        <w:t xml:space="preserve">The review will be informed by consultation with </w:t>
      </w:r>
      <w:r w:rsidR="001F58C8" w:rsidRPr="00CA56EC">
        <w:rPr>
          <w:rFonts w:ascii="Arial" w:hAnsi="Arial" w:cs="Arial"/>
        </w:rPr>
        <w:t xml:space="preserve">key </w:t>
      </w:r>
      <w:r w:rsidRPr="00CA56EC">
        <w:rPr>
          <w:rFonts w:ascii="Arial" w:hAnsi="Arial" w:cs="Arial"/>
        </w:rPr>
        <w:t xml:space="preserve">stakeholders including: </w:t>
      </w:r>
    </w:p>
    <w:p w14:paraId="7BBC0AF0" w14:textId="16CA7A1E" w:rsidR="00CD3272" w:rsidRPr="00CA56EC" w:rsidRDefault="001F58C8" w:rsidP="00DF0152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CA56EC">
        <w:rPr>
          <w:rFonts w:ascii="Arial" w:hAnsi="Arial" w:cs="Arial"/>
        </w:rPr>
        <w:t xml:space="preserve">President, Deputy President and </w:t>
      </w:r>
      <w:proofErr w:type="spellStart"/>
      <w:r w:rsidRPr="00CA56EC">
        <w:rPr>
          <w:rFonts w:ascii="Arial" w:hAnsi="Arial" w:cs="Arial"/>
        </w:rPr>
        <w:t>Q</w:t>
      </w:r>
      <w:r w:rsidR="00CD3272" w:rsidRPr="00CA56EC">
        <w:rPr>
          <w:rFonts w:ascii="Arial" w:hAnsi="Arial" w:cs="Arial"/>
        </w:rPr>
        <w:t>CAT</w:t>
      </w:r>
      <w:proofErr w:type="spellEnd"/>
      <w:r w:rsidR="00CD3272" w:rsidRPr="00CA56EC">
        <w:rPr>
          <w:rFonts w:ascii="Arial" w:hAnsi="Arial" w:cs="Arial"/>
        </w:rPr>
        <w:t xml:space="preserve"> </w:t>
      </w:r>
      <w:r w:rsidR="008F547B" w:rsidRPr="00CA56EC">
        <w:rPr>
          <w:rFonts w:ascii="Arial" w:hAnsi="Arial" w:cs="Arial"/>
        </w:rPr>
        <w:t>decision makers</w:t>
      </w:r>
      <w:r w:rsidR="00CD3272" w:rsidRPr="00CA56EC">
        <w:rPr>
          <w:rFonts w:ascii="Arial" w:hAnsi="Arial" w:cs="Arial"/>
        </w:rPr>
        <w:t xml:space="preserve"> and registry staff</w:t>
      </w:r>
      <w:r w:rsidRPr="00CA56EC">
        <w:rPr>
          <w:rFonts w:ascii="Arial" w:hAnsi="Arial" w:cs="Arial"/>
        </w:rPr>
        <w:t xml:space="preserve"> </w:t>
      </w:r>
    </w:p>
    <w:p w14:paraId="121F6A15" w14:textId="6BF77A0D" w:rsidR="00A52205" w:rsidRPr="00CA56EC" w:rsidRDefault="001F58C8" w:rsidP="00DF0152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CA56EC">
        <w:rPr>
          <w:rFonts w:ascii="Arial" w:hAnsi="Arial" w:cs="Arial"/>
        </w:rPr>
        <w:t xml:space="preserve">Chief Magistrate, </w:t>
      </w:r>
      <w:r w:rsidR="00A52205" w:rsidRPr="00CA56EC">
        <w:rPr>
          <w:rFonts w:ascii="Arial" w:hAnsi="Arial" w:cs="Arial"/>
        </w:rPr>
        <w:t>Magistrates and Queensland Court Services</w:t>
      </w:r>
    </w:p>
    <w:p w14:paraId="3C0288F3" w14:textId="2E13BB61" w:rsidR="00DF0152" w:rsidRPr="00CA56EC" w:rsidRDefault="00DF0152" w:rsidP="00DF0152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CA56EC">
        <w:rPr>
          <w:rFonts w:ascii="Arial" w:hAnsi="Arial" w:cs="Arial"/>
        </w:rPr>
        <w:t>legal</w:t>
      </w:r>
      <w:r w:rsidR="00896C2D" w:rsidRPr="00CA56EC">
        <w:rPr>
          <w:rFonts w:ascii="Arial" w:hAnsi="Arial" w:cs="Arial"/>
        </w:rPr>
        <w:t xml:space="preserve"> and community</w:t>
      </w:r>
      <w:r w:rsidRPr="00CA56EC">
        <w:rPr>
          <w:rFonts w:ascii="Arial" w:hAnsi="Arial" w:cs="Arial"/>
        </w:rPr>
        <w:t xml:space="preserve"> stakeholders</w:t>
      </w:r>
    </w:p>
    <w:p w14:paraId="42FF3DE7" w14:textId="70BB9202" w:rsidR="00DF0152" w:rsidRPr="00CA56EC" w:rsidRDefault="00DF0152" w:rsidP="00DF0152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CA56EC">
        <w:rPr>
          <w:rFonts w:ascii="Arial" w:hAnsi="Arial" w:cs="Arial"/>
        </w:rPr>
        <w:t xml:space="preserve">government departments, agencies, local governments and relevant statutory bodies </w:t>
      </w:r>
      <w:r w:rsidR="00FC30A6" w:rsidRPr="00CA56EC">
        <w:rPr>
          <w:rFonts w:ascii="Arial" w:hAnsi="Arial" w:cs="Arial"/>
        </w:rPr>
        <w:t xml:space="preserve">that </w:t>
      </w:r>
      <w:r w:rsidRPr="00CA56EC">
        <w:rPr>
          <w:rFonts w:ascii="Arial" w:hAnsi="Arial" w:cs="Arial"/>
        </w:rPr>
        <w:t xml:space="preserve">access </w:t>
      </w:r>
      <w:proofErr w:type="spellStart"/>
      <w:r w:rsidRPr="00CA56EC">
        <w:rPr>
          <w:rFonts w:ascii="Arial" w:hAnsi="Arial" w:cs="Arial"/>
        </w:rPr>
        <w:t>QCAT’s</w:t>
      </w:r>
      <w:proofErr w:type="spellEnd"/>
      <w:r w:rsidRPr="00CA56EC">
        <w:rPr>
          <w:rFonts w:ascii="Arial" w:hAnsi="Arial" w:cs="Arial"/>
        </w:rPr>
        <w:t xml:space="preserve"> service</w:t>
      </w:r>
      <w:r w:rsidR="00F6722A" w:rsidRPr="00CA56EC">
        <w:rPr>
          <w:rFonts w:ascii="Arial" w:hAnsi="Arial" w:cs="Arial"/>
        </w:rPr>
        <w:t>s</w:t>
      </w:r>
    </w:p>
    <w:p w14:paraId="0E419766" w14:textId="46D1C27E" w:rsidR="00DF0152" w:rsidRPr="00CA56EC" w:rsidRDefault="00DF0152" w:rsidP="00DF0152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CA56EC">
        <w:rPr>
          <w:rFonts w:ascii="Arial" w:hAnsi="Arial" w:cs="Arial"/>
        </w:rPr>
        <w:t xml:space="preserve">the public generally </w:t>
      </w:r>
    </w:p>
    <w:p w14:paraId="507E7064" w14:textId="6DF2F6C2" w:rsidR="00F139D5" w:rsidRPr="00CA56EC" w:rsidRDefault="00DF0152" w:rsidP="001771A2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CA56EC">
        <w:rPr>
          <w:rFonts w:ascii="Arial" w:hAnsi="Arial" w:cs="Arial"/>
        </w:rPr>
        <w:t>any other group or individual, considered appropriate given the scope of the review</w:t>
      </w:r>
    </w:p>
    <w:p w14:paraId="1E10C659" w14:textId="46FF7027" w:rsidR="00DF0152" w:rsidRPr="00CA56EC" w:rsidRDefault="00DF0152" w:rsidP="001771A2">
      <w:pPr>
        <w:jc w:val="both"/>
        <w:rPr>
          <w:rFonts w:ascii="Arial" w:hAnsi="Arial" w:cs="Arial"/>
          <w:b/>
          <w:bCs/>
        </w:rPr>
      </w:pPr>
      <w:r w:rsidRPr="00CA56EC">
        <w:rPr>
          <w:rFonts w:ascii="Arial" w:hAnsi="Arial" w:cs="Arial"/>
          <w:b/>
          <w:bCs/>
        </w:rPr>
        <w:t xml:space="preserve">Report </w:t>
      </w:r>
    </w:p>
    <w:p w14:paraId="162348F6" w14:textId="1844D686" w:rsidR="00F814AB" w:rsidRPr="00CA5362" w:rsidRDefault="00CD3272" w:rsidP="001771A2">
      <w:pPr>
        <w:jc w:val="both"/>
        <w:rPr>
          <w:rFonts w:ascii="Arial" w:hAnsi="Arial" w:cs="Arial"/>
        </w:rPr>
      </w:pPr>
      <w:r w:rsidRPr="00CA56EC">
        <w:rPr>
          <w:rFonts w:ascii="Arial" w:hAnsi="Arial" w:cs="Arial"/>
        </w:rPr>
        <w:t xml:space="preserve">The review team will provide the Minister </w:t>
      </w:r>
      <w:r w:rsidR="00E714BD" w:rsidRPr="00CA56EC">
        <w:rPr>
          <w:rFonts w:ascii="Arial" w:hAnsi="Arial" w:cs="Arial"/>
        </w:rPr>
        <w:t xml:space="preserve">with a report on the review of the </w:t>
      </w:r>
      <w:proofErr w:type="spellStart"/>
      <w:r w:rsidR="00E714BD" w:rsidRPr="00CA56EC">
        <w:rPr>
          <w:rFonts w:ascii="Arial" w:hAnsi="Arial" w:cs="Arial"/>
        </w:rPr>
        <w:t>QCAT</w:t>
      </w:r>
      <w:proofErr w:type="spellEnd"/>
      <w:r w:rsidR="00E714BD" w:rsidRPr="00CA56EC">
        <w:rPr>
          <w:rFonts w:ascii="Arial" w:hAnsi="Arial" w:cs="Arial"/>
        </w:rPr>
        <w:t xml:space="preserve"> Act</w:t>
      </w:r>
      <w:r w:rsidR="00F31256" w:rsidRPr="00CA56EC">
        <w:rPr>
          <w:rFonts w:ascii="Arial" w:hAnsi="Arial" w:cs="Arial"/>
        </w:rPr>
        <w:t xml:space="preserve"> in </w:t>
      </w:r>
      <w:r w:rsidR="00E82F28" w:rsidRPr="00CA56EC">
        <w:rPr>
          <w:rFonts w:ascii="Arial" w:hAnsi="Arial" w:cs="Arial"/>
        </w:rPr>
        <w:t xml:space="preserve">early </w:t>
      </w:r>
      <w:r w:rsidR="00F31256" w:rsidRPr="00CA56EC">
        <w:rPr>
          <w:rFonts w:ascii="Arial" w:hAnsi="Arial" w:cs="Arial"/>
        </w:rPr>
        <w:t>2024</w:t>
      </w:r>
      <w:r w:rsidR="006420C2" w:rsidRPr="00CA56EC">
        <w:rPr>
          <w:rFonts w:ascii="Arial" w:hAnsi="Arial" w:cs="Arial"/>
        </w:rPr>
        <w:t xml:space="preserve">. </w:t>
      </w:r>
      <w:r w:rsidR="00E714BD" w:rsidRPr="00CA56EC">
        <w:rPr>
          <w:rFonts w:ascii="Arial" w:hAnsi="Arial" w:cs="Arial"/>
        </w:rPr>
        <w:t xml:space="preserve">Under section 240(3) of the </w:t>
      </w:r>
      <w:proofErr w:type="spellStart"/>
      <w:r w:rsidR="00E714BD" w:rsidRPr="00CA56EC">
        <w:rPr>
          <w:rFonts w:ascii="Arial" w:hAnsi="Arial" w:cs="Arial"/>
        </w:rPr>
        <w:t>QCAT</w:t>
      </w:r>
      <w:proofErr w:type="spellEnd"/>
      <w:r w:rsidR="00E714BD" w:rsidRPr="00CA56EC">
        <w:rPr>
          <w:rFonts w:ascii="Arial" w:hAnsi="Arial" w:cs="Arial"/>
        </w:rPr>
        <w:t xml:space="preserve"> Act, the Minister must</w:t>
      </w:r>
      <w:r w:rsidRPr="00CA56EC">
        <w:rPr>
          <w:rFonts w:ascii="Arial" w:hAnsi="Arial" w:cs="Arial"/>
        </w:rPr>
        <w:t xml:space="preserve"> as soon as practicable after receiving the report,</w:t>
      </w:r>
      <w:r w:rsidR="00E714BD" w:rsidRPr="00CA56EC">
        <w:rPr>
          <w:rFonts w:ascii="Arial" w:hAnsi="Arial" w:cs="Arial"/>
        </w:rPr>
        <w:t xml:space="preserve"> table a report about the outcome of the review in the Legislative Assembly.</w:t>
      </w:r>
      <w:bookmarkEnd w:id="0"/>
    </w:p>
    <w:sectPr w:rsidR="00F814AB" w:rsidRPr="00CA5362" w:rsidSect="00DA2D7C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3B0E" w14:textId="77777777" w:rsidR="00DA2D7C" w:rsidRDefault="00DA2D7C" w:rsidP="00DA2D7C">
      <w:pPr>
        <w:spacing w:after="0" w:line="240" w:lineRule="auto"/>
      </w:pPr>
      <w:r>
        <w:separator/>
      </w:r>
    </w:p>
  </w:endnote>
  <w:endnote w:type="continuationSeparator" w:id="0">
    <w:p w14:paraId="38FEF8F4" w14:textId="77777777" w:rsidR="00DA2D7C" w:rsidRDefault="00DA2D7C" w:rsidP="00DA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181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4FEA63" w14:textId="49642A1C" w:rsidR="0088082D" w:rsidRDefault="008808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12FDE1" w14:textId="77777777" w:rsidR="00DA2D7C" w:rsidRDefault="00DA2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AD5A3" w14:textId="77777777" w:rsidR="00DA2D7C" w:rsidRDefault="00DA2D7C" w:rsidP="00DA2D7C">
      <w:pPr>
        <w:spacing w:after="0" w:line="240" w:lineRule="auto"/>
      </w:pPr>
      <w:r>
        <w:separator/>
      </w:r>
    </w:p>
  </w:footnote>
  <w:footnote w:type="continuationSeparator" w:id="0">
    <w:p w14:paraId="756BA2CD" w14:textId="77777777" w:rsidR="00DA2D7C" w:rsidRDefault="00DA2D7C" w:rsidP="00DA2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CC89" w14:textId="1274ABA8" w:rsidR="00DA2D7C" w:rsidRDefault="00DA2D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43C1BC"/>
    <w:multiLevelType w:val="hybridMultilevel"/>
    <w:tmpl w:val="793EC8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A8D65B"/>
    <w:multiLevelType w:val="hybridMultilevel"/>
    <w:tmpl w:val="6A86F3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294641"/>
    <w:multiLevelType w:val="hybridMultilevel"/>
    <w:tmpl w:val="CCDA5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7EA0"/>
    <w:multiLevelType w:val="hybridMultilevel"/>
    <w:tmpl w:val="4EA43786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12FF6350"/>
    <w:multiLevelType w:val="multilevel"/>
    <w:tmpl w:val="6AE2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E225B1"/>
    <w:multiLevelType w:val="hybridMultilevel"/>
    <w:tmpl w:val="E3F6E300"/>
    <w:lvl w:ilvl="0" w:tplc="0B90FA1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B538E"/>
    <w:multiLevelType w:val="hybridMultilevel"/>
    <w:tmpl w:val="65563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51634"/>
    <w:multiLevelType w:val="hybridMultilevel"/>
    <w:tmpl w:val="E682C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723D4"/>
    <w:multiLevelType w:val="hybridMultilevel"/>
    <w:tmpl w:val="4FA6E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10B58"/>
    <w:multiLevelType w:val="hybridMultilevel"/>
    <w:tmpl w:val="A9F46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C409E"/>
    <w:multiLevelType w:val="hybridMultilevel"/>
    <w:tmpl w:val="57363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A256F"/>
    <w:multiLevelType w:val="hybridMultilevel"/>
    <w:tmpl w:val="ABAA0E60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520254A9"/>
    <w:multiLevelType w:val="hybridMultilevel"/>
    <w:tmpl w:val="2BD63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26DFC"/>
    <w:multiLevelType w:val="multilevel"/>
    <w:tmpl w:val="4DF8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CC3FDF"/>
    <w:multiLevelType w:val="hybridMultilevel"/>
    <w:tmpl w:val="3E14D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64D3B"/>
    <w:multiLevelType w:val="hybridMultilevel"/>
    <w:tmpl w:val="4B08E0C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8134D9"/>
    <w:multiLevelType w:val="hybridMultilevel"/>
    <w:tmpl w:val="380EE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536419">
    <w:abstractNumId w:val="4"/>
  </w:num>
  <w:num w:numId="2" w16cid:durableId="524900518">
    <w:abstractNumId w:val="13"/>
  </w:num>
  <w:num w:numId="3" w16cid:durableId="40861609">
    <w:abstractNumId w:val="7"/>
  </w:num>
  <w:num w:numId="4" w16cid:durableId="1381831515">
    <w:abstractNumId w:val="12"/>
  </w:num>
  <w:num w:numId="5" w16cid:durableId="1871449315">
    <w:abstractNumId w:val="16"/>
  </w:num>
  <w:num w:numId="6" w16cid:durableId="998577990">
    <w:abstractNumId w:val="2"/>
  </w:num>
  <w:num w:numId="7" w16cid:durableId="121310905">
    <w:abstractNumId w:val="10"/>
  </w:num>
  <w:num w:numId="8" w16cid:durableId="1337539052">
    <w:abstractNumId w:val="3"/>
  </w:num>
  <w:num w:numId="9" w16cid:durableId="843788002">
    <w:abstractNumId w:val="11"/>
  </w:num>
  <w:num w:numId="10" w16cid:durableId="1939554577">
    <w:abstractNumId w:val="5"/>
  </w:num>
  <w:num w:numId="11" w16cid:durableId="1882548988">
    <w:abstractNumId w:val="9"/>
  </w:num>
  <w:num w:numId="12" w16cid:durableId="1841505350">
    <w:abstractNumId w:val="14"/>
  </w:num>
  <w:num w:numId="13" w16cid:durableId="147868434">
    <w:abstractNumId w:val="6"/>
  </w:num>
  <w:num w:numId="14" w16cid:durableId="1201819166">
    <w:abstractNumId w:val="0"/>
  </w:num>
  <w:num w:numId="15" w16cid:durableId="1771732528">
    <w:abstractNumId w:val="1"/>
  </w:num>
  <w:num w:numId="16" w16cid:durableId="1306088326">
    <w:abstractNumId w:val="8"/>
  </w:num>
  <w:num w:numId="17" w16cid:durableId="1483288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A9"/>
    <w:rsid w:val="0000012D"/>
    <w:rsid w:val="00065BC6"/>
    <w:rsid w:val="000B0D79"/>
    <w:rsid w:val="000C215F"/>
    <w:rsid w:val="000D0E61"/>
    <w:rsid w:val="000D2A71"/>
    <w:rsid w:val="000E03CB"/>
    <w:rsid w:val="000F6F59"/>
    <w:rsid w:val="00121517"/>
    <w:rsid w:val="00123B06"/>
    <w:rsid w:val="001771A2"/>
    <w:rsid w:val="001774A1"/>
    <w:rsid w:val="00185880"/>
    <w:rsid w:val="00194146"/>
    <w:rsid w:val="001A1694"/>
    <w:rsid w:val="001C3BA9"/>
    <w:rsid w:val="001F58C8"/>
    <w:rsid w:val="001F69DE"/>
    <w:rsid w:val="002341F1"/>
    <w:rsid w:val="00262AF5"/>
    <w:rsid w:val="0028154E"/>
    <w:rsid w:val="00286026"/>
    <w:rsid w:val="00294D42"/>
    <w:rsid w:val="002A4385"/>
    <w:rsid w:val="002A4FA5"/>
    <w:rsid w:val="002E7E72"/>
    <w:rsid w:val="00305BB3"/>
    <w:rsid w:val="003576CE"/>
    <w:rsid w:val="0036319C"/>
    <w:rsid w:val="00386F2C"/>
    <w:rsid w:val="003B12DA"/>
    <w:rsid w:val="003B6E36"/>
    <w:rsid w:val="003C22DA"/>
    <w:rsid w:val="003D53AA"/>
    <w:rsid w:val="003E0A05"/>
    <w:rsid w:val="003F7FBA"/>
    <w:rsid w:val="00403B95"/>
    <w:rsid w:val="00423073"/>
    <w:rsid w:val="00463E2F"/>
    <w:rsid w:val="004A7366"/>
    <w:rsid w:val="004D3444"/>
    <w:rsid w:val="004D56EE"/>
    <w:rsid w:val="004D7CF5"/>
    <w:rsid w:val="00550A0D"/>
    <w:rsid w:val="00570A36"/>
    <w:rsid w:val="005A05C7"/>
    <w:rsid w:val="005B0344"/>
    <w:rsid w:val="005D662F"/>
    <w:rsid w:val="005F7242"/>
    <w:rsid w:val="0063280B"/>
    <w:rsid w:val="00640A69"/>
    <w:rsid w:val="006420C2"/>
    <w:rsid w:val="00665010"/>
    <w:rsid w:val="0068514F"/>
    <w:rsid w:val="0068664A"/>
    <w:rsid w:val="006A2572"/>
    <w:rsid w:val="006B1D88"/>
    <w:rsid w:val="006D78AF"/>
    <w:rsid w:val="00712252"/>
    <w:rsid w:val="007125CA"/>
    <w:rsid w:val="00713C43"/>
    <w:rsid w:val="00751191"/>
    <w:rsid w:val="00753796"/>
    <w:rsid w:val="007B44F4"/>
    <w:rsid w:val="007D37CD"/>
    <w:rsid w:val="007E622B"/>
    <w:rsid w:val="00822486"/>
    <w:rsid w:val="00874841"/>
    <w:rsid w:val="0088082D"/>
    <w:rsid w:val="00896C2D"/>
    <w:rsid w:val="008B48FE"/>
    <w:rsid w:val="008F2D15"/>
    <w:rsid w:val="008F547B"/>
    <w:rsid w:val="00901728"/>
    <w:rsid w:val="00922200"/>
    <w:rsid w:val="009811FB"/>
    <w:rsid w:val="009A678C"/>
    <w:rsid w:val="009B354E"/>
    <w:rsid w:val="009C44A2"/>
    <w:rsid w:val="00A16F99"/>
    <w:rsid w:val="00A2787E"/>
    <w:rsid w:val="00A304EA"/>
    <w:rsid w:val="00A34E5B"/>
    <w:rsid w:val="00A4040B"/>
    <w:rsid w:val="00A52205"/>
    <w:rsid w:val="00A717F5"/>
    <w:rsid w:val="00A717FC"/>
    <w:rsid w:val="00AB64C1"/>
    <w:rsid w:val="00AC1DC9"/>
    <w:rsid w:val="00AC7763"/>
    <w:rsid w:val="00AD6F21"/>
    <w:rsid w:val="00AE0FAE"/>
    <w:rsid w:val="00AE4F85"/>
    <w:rsid w:val="00B05225"/>
    <w:rsid w:val="00B34352"/>
    <w:rsid w:val="00B514EB"/>
    <w:rsid w:val="00B60084"/>
    <w:rsid w:val="00C1773F"/>
    <w:rsid w:val="00C94A7F"/>
    <w:rsid w:val="00C96EF6"/>
    <w:rsid w:val="00CA5362"/>
    <w:rsid w:val="00CA56EC"/>
    <w:rsid w:val="00CD3272"/>
    <w:rsid w:val="00CF29D5"/>
    <w:rsid w:val="00D01BF8"/>
    <w:rsid w:val="00D46D66"/>
    <w:rsid w:val="00D542F5"/>
    <w:rsid w:val="00D665CA"/>
    <w:rsid w:val="00D926AF"/>
    <w:rsid w:val="00DA2D7C"/>
    <w:rsid w:val="00DF0152"/>
    <w:rsid w:val="00E129F6"/>
    <w:rsid w:val="00E13906"/>
    <w:rsid w:val="00E714BD"/>
    <w:rsid w:val="00E82F28"/>
    <w:rsid w:val="00EB490E"/>
    <w:rsid w:val="00F139D5"/>
    <w:rsid w:val="00F20639"/>
    <w:rsid w:val="00F2416D"/>
    <w:rsid w:val="00F31256"/>
    <w:rsid w:val="00F6722A"/>
    <w:rsid w:val="00F71215"/>
    <w:rsid w:val="00F814AB"/>
    <w:rsid w:val="00FC30A6"/>
    <w:rsid w:val="00FC719B"/>
    <w:rsid w:val="00FE2C42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DEEDBA6"/>
  <w15:chartTrackingRefBased/>
  <w15:docId w15:val="{3BA1B9B4-E3C5-492C-804B-7E1E71A2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C3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3BA9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1C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1C3BA9"/>
    <w:rPr>
      <w:i/>
      <w:iCs/>
    </w:rPr>
  </w:style>
  <w:style w:type="character" w:styleId="Strong">
    <w:name w:val="Strong"/>
    <w:basedOn w:val="DefaultParagraphFont"/>
    <w:uiPriority w:val="22"/>
    <w:qFormat/>
    <w:rsid w:val="001C3BA9"/>
    <w:rPr>
      <w:b/>
      <w:bCs/>
    </w:rPr>
  </w:style>
  <w:style w:type="paragraph" w:customStyle="1" w:styleId="Default">
    <w:name w:val="Default"/>
    <w:rsid w:val="002860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Bullets,List Paragraph11,bullet point list,Bullet point,Bulleted Para,NFP GP Bulleted List,FooterText,numbered,Paragraphe de liste1,Bulletr List Paragraph,列出段落,列出段落1,List Paragraph2,List Paragraph21,Listeafsnit1,Parágrafo da Lista1,リスト段落1"/>
    <w:basedOn w:val="Normal"/>
    <w:link w:val="ListParagraphChar"/>
    <w:uiPriority w:val="34"/>
    <w:qFormat/>
    <w:rsid w:val="00665010"/>
    <w:pPr>
      <w:ind w:left="720"/>
      <w:contextualSpacing/>
    </w:pPr>
  </w:style>
  <w:style w:type="character" w:customStyle="1" w:styleId="listnumber">
    <w:name w:val="listnumber"/>
    <w:basedOn w:val="DefaultParagraphFont"/>
    <w:rsid w:val="00B34352"/>
  </w:style>
  <w:style w:type="character" w:styleId="CommentReference">
    <w:name w:val="annotation reference"/>
    <w:basedOn w:val="DefaultParagraphFont"/>
    <w:uiPriority w:val="99"/>
    <w:semiHidden/>
    <w:unhideWhenUsed/>
    <w:rsid w:val="00234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1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1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1F1"/>
    <w:rPr>
      <w:b/>
      <w:bCs/>
      <w:sz w:val="20"/>
      <w:szCs w:val="20"/>
    </w:rPr>
  </w:style>
  <w:style w:type="character" w:customStyle="1" w:styleId="ListParagraphChar">
    <w:name w:val="List Paragraph Char"/>
    <w:aliases w:val="Bullets Char,List Paragraph11 Char,bullet point list Char,Bullet point Char,Bulleted Para Char,NFP GP Bulleted List Char,FooterText Char,numbered Char,Paragraphe de liste1 Char,Bulletr List Paragraph Char,列出段落 Char,列出段落1 Char"/>
    <w:link w:val="ListParagraph"/>
    <w:uiPriority w:val="34"/>
    <w:locked/>
    <w:rsid w:val="007D37CD"/>
  </w:style>
  <w:style w:type="paragraph" w:styleId="Header">
    <w:name w:val="header"/>
    <w:basedOn w:val="Normal"/>
    <w:link w:val="HeaderChar"/>
    <w:uiPriority w:val="99"/>
    <w:unhideWhenUsed/>
    <w:rsid w:val="00DA2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D7C"/>
  </w:style>
  <w:style w:type="paragraph" w:styleId="Footer">
    <w:name w:val="footer"/>
    <w:basedOn w:val="Normal"/>
    <w:link w:val="FooterChar"/>
    <w:uiPriority w:val="99"/>
    <w:unhideWhenUsed/>
    <w:rsid w:val="00DA2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D7C"/>
  </w:style>
  <w:style w:type="paragraph" w:styleId="Revision">
    <w:name w:val="Revision"/>
    <w:hidden/>
    <w:uiPriority w:val="99"/>
    <w:semiHidden/>
    <w:rsid w:val="007122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5834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3930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285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995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114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9A04A-CB54-4F94-89FF-6944A313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QCAT Act 2009 review - Terms of Reference</dc:title>
  <dc:subject>QCAT Act 2009 review - Terms of Reference</dc:subject>
  <dc:creator>Queensland Government</dc:creator>
  <cp:keywords>QCAT Act 2009 review; Terms of Reference</cp:keywords>
  <dc:description/>
  <cp:lastModifiedBy>Amanda Schneider</cp:lastModifiedBy>
  <cp:revision>5</cp:revision>
  <cp:lastPrinted>2022-11-22T22:17:00Z</cp:lastPrinted>
  <dcterms:created xsi:type="dcterms:W3CDTF">2023-02-14T05:50:00Z</dcterms:created>
  <dcterms:modified xsi:type="dcterms:W3CDTF">2023-02-21T01:06:00Z</dcterms:modified>
</cp:coreProperties>
</file>