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E784" w14:textId="77777777" w:rsidR="00F565C6" w:rsidRDefault="00F565C6" w:rsidP="00F565C6">
      <w:pPr>
        <w:sectPr w:rsidR="00F565C6" w:rsidSect="00F565C6">
          <w:headerReference w:type="even" r:id="rId7"/>
          <w:footerReference w:type="default" r:id="rId8"/>
          <w:headerReference w:type="first" r:id="rId9"/>
          <w:footerReference w:type="first" r:id="rId10"/>
          <w:pgSz w:w="11900" w:h="16840"/>
          <w:pgMar w:top="1440" w:right="1021" w:bottom="1440" w:left="1021" w:header="1531" w:footer="1020" w:gutter="0"/>
          <w:cols w:num="2" w:space="708"/>
          <w:titlePg/>
          <w:docGrid w:linePitch="360"/>
        </w:sectPr>
      </w:pPr>
    </w:p>
    <w:p w14:paraId="20A9647C" w14:textId="233A67CC" w:rsidR="00F565C6" w:rsidRPr="00CF7A41" w:rsidRDefault="00A770E6" w:rsidP="00F565C6">
      <w:pPr>
        <w:pStyle w:val="Heading1"/>
        <w:ind w:left="-142"/>
      </w:pPr>
      <w:r>
        <w:t>Submission</w:t>
      </w:r>
      <w:r w:rsidRPr="00A770E6">
        <w:t xml:space="preserve"> to the Department of Justice and Attorney-General on the Consultation Paper – Proposed changes to Queensland’s Information Privacy and Right to Information Framework</w:t>
      </w:r>
    </w:p>
    <w:p w14:paraId="1D809EFF" w14:textId="330EDD1F" w:rsidR="00F565C6" w:rsidRDefault="00A770E6" w:rsidP="00F565C6">
      <w:pPr>
        <w:ind w:left="-142"/>
      </w:pPr>
      <w:r w:rsidRPr="00A770E6">
        <w:t xml:space="preserve">You may use this template to </w:t>
      </w:r>
      <w:r>
        <w:t>make a submission</w:t>
      </w:r>
      <w:r w:rsidRPr="00A770E6">
        <w:t xml:space="preserve"> to the consultation questions in the </w:t>
      </w:r>
      <w:r w:rsidRPr="00A770E6">
        <w:rPr>
          <w:i/>
          <w:iCs/>
        </w:rPr>
        <w:t>Consultation Paper – Proposed changes to Queensland’s Information Privacy and Right to Information Framework</w:t>
      </w:r>
      <w:r w:rsidRPr="00A770E6">
        <w:t xml:space="preserve"> (Consultation Paper).</w:t>
      </w:r>
    </w:p>
    <w:p w14:paraId="6A606E15" w14:textId="4A1DBDE3" w:rsidR="00F565C6" w:rsidRDefault="00A770E6" w:rsidP="00F565C6">
      <w:pPr>
        <w:pStyle w:val="Heading2"/>
        <w:ind w:left="-142"/>
      </w:pPr>
      <w:r>
        <w:t>How to make a submission?</w:t>
      </w:r>
    </w:p>
    <w:p w14:paraId="5690DF1B" w14:textId="77777777" w:rsidR="00A770E6" w:rsidRDefault="00A770E6" w:rsidP="00F565C6">
      <w:pPr>
        <w:ind w:left="-142"/>
      </w:pPr>
      <w:r w:rsidRPr="00A770E6">
        <w:t>You may provide comments or make a submission on the Consultation Paper by</w:t>
      </w:r>
      <w:r>
        <w:t>:</w:t>
      </w:r>
    </w:p>
    <w:p w14:paraId="1F2B15FB" w14:textId="3C86B001" w:rsidR="00A770E6" w:rsidRDefault="00A770E6" w:rsidP="00F565C6">
      <w:pPr>
        <w:ind w:left="-142"/>
      </w:pPr>
      <w:r>
        <w:t>E</w:t>
      </w:r>
      <w:r w:rsidRPr="00A770E6">
        <w:t>mail</w:t>
      </w:r>
      <w:r>
        <w:t>:</w:t>
      </w:r>
      <w:r>
        <w:tab/>
      </w:r>
      <w:r>
        <w:tab/>
      </w:r>
      <w:hyperlink r:id="rId11" w:history="1">
        <w:r w:rsidRPr="00D834B3">
          <w:rPr>
            <w:rStyle w:val="Hyperlink"/>
          </w:rPr>
          <w:t>PrivacyandRTIreforms@justice.qld.gov.au</w:t>
        </w:r>
      </w:hyperlink>
      <w:r w:rsidRPr="00A770E6">
        <w:t xml:space="preserve"> or </w:t>
      </w:r>
    </w:p>
    <w:p w14:paraId="1E95360F" w14:textId="77777777" w:rsidR="00A770E6" w:rsidRDefault="00A770E6" w:rsidP="00A770E6">
      <w:pPr>
        <w:ind w:left="1433" w:hanging="1575"/>
      </w:pPr>
      <w:r>
        <w:t>M</w:t>
      </w:r>
      <w:r w:rsidRPr="00A770E6">
        <w:t xml:space="preserve">ail to: </w:t>
      </w:r>
      <w:r>
        <w:tab/>
      </w:r>
      <w:r>
        <w:tab/>
      </w:r>
      <w:r w:rsidRPr="00A770E6">
        <w:t>Privacy and Right to Information Reforms</w:t>
      </w:r>
      <w:r>
        <w:br/>
      </w:r>
      <w:r w:rsidRPr="00A770E6">
        <w:t>Strategic Policy and Legal Services</w:t>
      </w:r>
      <w:r>
        <w:br/>
      </w:r>
      <w:r w:rsidRPr="00A770E6">
        <w:t>Department of Justice and Attorney-General</w:t>
      </w:r>
      <w:r>
        <w:br/>
      </w:r>
      <w:r w:rsidRPr="00A770E6">
        <w:t>GPO Box 149</w:t>
      </w:r>
      <w:r>
        <w:br/>
      </w:r>
      <w:r w:rsidRPr="00A770E6">
        <w:t xml:space="preserve">BRISBANE QLD 400. </w:t>
      </w:r>
    </w:p>
    <w:p w14:paraId="1B4150E9" w14:textId="436541AC" w:rsidR="00F565C6" w:rsidRPr="00C6527B" w:rsidRDefault="00A770E6" w:rsidP="00A770E6">
      <w:pPr>
        <w:ind w:left="1433" w:hanging="1575"/>
      </w:pPr>
      <w:r w:rsidRPr="00A770E6">
        <w:t xml:space="preserve">Submissions close at </w:t>
      </w:r>
      <w:r w:rsidRPr="00A770E6">
        <w:rPr>
          <w:b/>
          <w:bCs/>
        </w:rPr>
        <w:t>5pm on Friday 22 July 2022</w:t>
      </w:r>
      <w:r w:rsidRPr="00A770E6">
        <w:t>.</w:t>
      </w:r>
      <w:r w:rsidR="00F565C6" w:rsidRPr="00C6527B">
        <w:t xml:space="preserve"> </w:t>
      </w:r>
    </w:p>
    <w:p w14:paraId="33C9C546" w14:textId="0A184ADF" w:rsidR="00F565C6" w:rsidRPr="005C69BF" w:rsidRDefault="00A770E6" w:rsidP="00686C9D">
      <w:pPr>
        <w:pStyle w:val="Heading2"/>
        <w:ind w:left="-142"/>
      </w:pPr>
      <w:r>
        <w:t>Privacy</w:t>
      </w:r>
    </w:p>
    <w:p w14:paraId="1718C1E2" w14:textId="77777777" w:rsidR="00A770E6" w:rsidRDefault="00A770E6" w:rsidP="00F565C6">
      <w:pPr>
        <w:ind w:left="-142"/>
      </w:pPr>
      <w:r w:rsidRPr="00A770E6">
        <w:t>Your submission will be treated as a public document and may be published on the Department of Justice and Attorney-General website. If you would like your submission—or any part of it—to be treated as confidential, please indicate this clearly.</w:t>
      </w:r>
    </w:p>
    <w:p w14:paraId="02308C3E" w14:textId="5C45C6FA" w:rsidR="00A770E6" w:rsidRDefault="00A770E6" w:rsidP="00A770E6">
      <w:pPr>
        <w:ind w:left="-142"/>
      </w:pPr>
      <w:r w:rsidRPr="00A770E6">
        <w:rPr>
          <w:b/>
          <w:bCs/>
        </w:rPr>
        <w:t>Privacy statement:</w:t>
      </w:r>
      <w:r w:rsidRPr="00A770E6">
        <w:t xml:space="preserve"> Personal information in your comments or submission will be collected by the Department of Justice and Attorney-General (DJAG) for the purpose of informing reforms to right to information, </w:t>
      </w:r>
      <w:proofErr w:type="gramStart"/>
      <w:r w:rsidRPr="00A770E6">
        <w:t>privacy</w:t>
      </w:r>
      <w:proofErr w:type="gramEnd"/>
      <w:r w:rsidRPr="00A770E6">
        <w:t xml:space="preserve"> and other legislation in Queensland. DJAG may contact you for further information on the issues your raise. Your comments or submission may also be provided to others with an interest in the reforms, for example, Parliament’s Legal Affairs and Safety Committee. Comments and submissions in relation to this consultation paper will be treated as public documents and may be published on DJAG’s website. If you would like your submission, or any part of it, to be treated as confidential, please indicate this clearly. Please note however that all submissions may be subject to disclosure under the </w:t>
      </w:r>
      <w:r w:rsidRPr="00A770E6">
        <w:rPr>
          <w:i/>
          <w:iCs/>
        </w:rPr>
        <w:t>Right to Information Act 2009</w:t>
      </w:r>
      <w:r w:rsidRPr="00A770E6">
        <w:t>.</w:t>
      </w:r>
    </w:p>
    <w:p w14:paraId="7BEF410E" w14:textId="62A94D69" w:rsidR="00A770E6" w:rsidRDefault="00A770E6" w:rsidP="00A770E6">
      <w:pPr>
        <w:pStyle w:val="Heading2"/>
      </w:pPr>
      <w:r>
        <w:t>Submitter details:</w:t>
      </w:r>
    </w:p>
    <w:tbl>
      <w:tblPr>
        <w:tblStyle w:val="TableGrid"/>
        <w:tblW w:w="0" w:type="auto"/>
        <w:tblInd w:w="-142" w:type="dxa"/>
        <w:tblLook w:val="04A0" w:firstRow="1" w:lastRow="0" w:firstColumn="1" w:lastColumn="0" w:noHBand="0" w:noVBand="1"/>
      </w:tblPr>
      <w:tblGrid>
        <w:gridCol w:w="3823"/>
        <w:gridCol w:w="6025"/>
      </w:tblGrid>
      <w:tr w:rsidR="00A770E6" w14:paraId="578F808C" w14:textId="77777777" w:rsidTr="004F2145">
        <w:tc>
          <w:tcPr>
            <w:tcW w:w="3823" w:type="dxa"/>
          </w:tcPr>
          <w:p w14:paraId="1A3DC57E" w14:textId="50BA536A" w:rsidR="00A770E6" w:rsidRDefault="00A770E6" w:rsidP="00A770E6">
            <w:r>
              <w:t>Name:</w:t>
            </w:r>
          </w:p>
        </w:tc>
        <w:tc>
          <w:tcPr>
            <w:tcW w:w="6025" w:type="dxa"/>
          </w:tcPr>
          <w:p w14:paraId="4ECE3336" w14:textId="77777777" w:rsidR="00A770E6" w:rsidRDefault="00A770E6" w:rsidP="00A770E6"/>
        </w:tc>
      </w:tr>
      <w:tr w:rsidR="00A770E6" w14:paraId="4AB6D3C9" w14:textId="77777777" w:rsidTr="004F2145">
        <w:tc>
          <w:tcPr>
            <w:tcW w:w="3823" w:type="dxa"/>
          </w:tcPr>
          <w:p w14:paraId="37436436" w14:textId="3A56D3E7" w:rsidR="00A770E6" w:rsidRDefault="00A770E6" w:rsidP="00A770E6">
            <w:r>
              <w:t>Position (if applicable)</w:t>
            </w:r>
          </w:p>
        </w:tc>
        <w:tc>
          <w:tcPr>
            <w:tcW w:w="6025" w:type="dxa"/>
          </w:tcPr>
          <w:p w14:paraId="2F682DEE" w14:textId="77777777" w:rsidR="00A770E6" w:rsidRDefault="00A770E6" w:rsidP="00A770E6"/>
        </w:tc>
      </w:tr>
      <w:tr w:rsidR="00A770E6" w14:paraId="083EEC5B" w14:textId="77777777" w:rsidTr="004F2145">
        <w:tc>
          <w:tcPr>
            <w:tcW w:w="3823" w:type="dxa"/>
          </w:tcPr>
          <w:p w14:paraId="62E79511" w14:textId="3516CA99" w:rsidR="00A770E6" w:rsidRDefault="00A770E6" w:rsidP="00A770E6">
            <w:r>
              <w:t xml:space="preserve">Agency / </w:t>
            </w:r>
            <w:proofErr w:type="spellStart"/>
            <w:r>
              <w:t>organisation</w:t>
            </w:r>
            <w:proofErr w:type="spellEnd"/>
            <w:r>
              <w:t xml:space="preserve"> (if applicable)</w:t>
            </w:r>
          </w:p>
        </w:tc>
        <w:tc>
          <w:tcPr>
            <w:tcW w:w="6025" w:type="dxa"/>
          </w:tcPr>
          <w:p w14:paraId="694E9F37" w14:textId="77777777" w:rsidR="00A770E6" w:rsidRDefault="00A770E6" w:rsidP="00A770E6"/>
        </w:tc>
      </w:tr>
      <w:tr w:rsidR="00A770E6" w14:paraId="7C863AE7" w14:textId="77777777" w:rsidTr="004F2145">
        <w:tc>
          <w:tcPr>
            <w:tcW w:w="3823" w:type="dxa"/>
          </w:tcPr>
          <w:p w14:paraId="51D69924" w14:textId="371C3CD0" w:rsidR="00A770E6" w:rsidRDefault="00A770E6" w:rsidP="00A770E6">
            <w:r>
              <w:t>Email address:</w:t>
            </w:r>
          </w:p>
        </w:tc>
        <w:tc>
          <w:tcPr>
            <w:tcW w:w="6025" w:type="dxa"/>
          </w:tcPr>
          <w:p w14:paraId="30BDCDA0" w14:textId="77777777" w:rsidR="00A770E6" w:rsidRDefault="00A770E6" w:rsidP="00A770E6"/>
        </w:tc>
      </w:tr>
      <w:tr w:rsidR="00A770E6" w14:paraId="7AE21EB9" w14:textId="77777777" w:rsidTr="004F2145">
        <w:tc>
          <w:tcPr>
            <w:tcW w:w="3823" w:type="dxa"/>
          </w:tcPr>
          <w:p w14:paraId="3EBC33C4" w14:textId="0B1EF0DA" w:rsidR="00A770E6" w:rsidRDefault="00A770E6" w:rsidP="00A770E6">
            <w:r>
              <w:t>Phone number:</w:t>
            </w:r>
          </w:p>
        </w:tc>
        <w:tc>
          <w:tcPr>
            <w:tcW w:w="6025" w:type="dxa"/>
          </w:tcPr>
          <w:p w14:paraId="551AA96A" w14:textId="77777777" w:rsidR="00A770E6" w:rsidRDefault="00A770E6" w:rsidP="00A770E6"/>
        </w:tc>
      </w:tr>
      <w:tr w:rsidR="004F2145" w14:paraId="78EFBAC2" w14:textId="77777777" w:rsidTr="00063DEA">
        <w:trPr>
          <w:cantSplit/>
        </w:trPr>
        <w:tc>
          <w:tcPr>
            <w:tcW w:w="3823" w:type="dxa"/>
          </w:tcPr>
          <w:p w14:paraId="39171B1B" w14:textId="5550FE17" w:rsidR="004F2145" w:rsidRPr="004F2145" w:rsidRDefault="00063DEA" w:rsidP="00A770E6">
            <w:r>
              <w:lastRenderedPageBreak/>
              <w:t>Please advise if you want your submission, or</w:t>
            </w:r>
            <w:r w:rsidR="004F2145">
              <w:t xml:space="preserve"> any part of </w:t>
            </w:r>
            <w:r>
              <w:t xml:space="preserve">it, </w:t>
            </w:r>
            <w:r w:rsidR="004F2145">
              <w:t>to be treated as confidential</w:t>
            </w:r>
            <w:r w:rsidR="00251DF2">
              <w:t xml:space="preserve"> (noting that </w:t>
            </w:r>
            <w:r w:rsidR="00251DF2" w:rsidRPr="00A770E6">
              <w:t xml:space="preserve">all submissions may be subject to disclosure under the </w:t>
            </w:r>
            <w:r w:rsidR="00251DF2" w:rsidRPr="00A770E6">
              <w:rPr>
                <w:i/>
                <w:iCs/>
              </w:rPr>
              <w:t>Right to Information Act 2009</w:t>
            </w:r>
            <w:r w:rsidR="00251DF2">
              <w:t>)?</w:t>
            </w:r>
          </w:p>
        </w:tc>
        <w:tc>
          <w:tcPr>
            <w:tcW w:w="6025" w:type="dxa"/>
          </w:tcPr>
          <w:p w14:paraId="4677B1E0" w14:textId="20DFF54B" w:rsidR="004F2145" w:rsidRDefault="004F2145" w:rsidP="00A770E6"/>
        </w:tc>
      </w:tr>
    </w:tbl>
    <w:p w14:paraId="140BA863" w14:textId="77777777" w:rsidR="00A770E6" w:rsidRDefault="00A770E6" w:rsidP="00A770E6">
      <w:pPr>
        <w:ind w:left="-142"/>
      </w:pPr>
    </w:p>
    <w:tbl>
      <w:tblPr>
        <w:tblStyle w:val="TableGrid"/>
        <w:tblW w:w="0" w:type="auto"/>
        <w:tblInd w:w="-142" w:type="dxa"/>
        <w:tblLook w:val="04A0" w:firstRow="1" w:lastRow="0" w:firstColumn="1" w:lastColumn="0" w:noHBand="0" w:noVBand="1"/>
      </w:tblPr>
      <w:tblGrid>
        <w:gridCol w:w="846"/>
        <w:gridCol w:w="2835"/>
        <w:gridCol w:w="6167"/>
      </w:tblGrid>
      <w:tr w:rsidR="004F2145" w:rsidRPr="004F2145" w14:paraId="5E0F08CA" w14:textId="77777777" w:rsidTr="00063DEA">
        <w:trPr>
          <w:tblHeader/>
        </w:trPr>
        <w:tc>
          <w:tcPr>
            <w:tcW w:w="846" w:type="dxa"/>
            <w:shd w:val="clear" w:color="auto" w:fill="C00000"/>
          </w:tcPr>
          <w:p w14:paraId="31DB4FE8" w14:textId="4BCFA246" w:rsidR="004F2145" w:rsidRPr="004F2145" w:rsidRDefault="004F2145" w:rsidP="00A770E6">
            <w:pPr>
              <w:rPr>
                <w:b/>
                <w:bCs/>
              </w:rPr>
            </w:pPr>
            <w:r w:rsidRPr="004F2145">
              <w:rPr>
                <w:b/>
                <w:bCs/>
              </w:rPr>
              <w:t>No.</w:t>
            </w:r>
          </w:p>
        </w:tc>
        <w:tc>
          <w:tcPr>
            <w:tcW w:w="2835" w:type="dxa"/>
            <w:shd w:val="clear" w:color="auto" w:fill="C00000"/>
          </w:tcPr>
          <w:p w14:paraId="45954D4D" w14:textId="4B48D563" w:rsidR="004F2145" w:rsidRPr="004F2145" w:rsidRDefault="004F2145" w:rsidP="00A770E6">
            <w:pPr>
              <w:rPr>
                <w:b/>
                <w:bCs/>
              </w:rPr>
            </w:pPr>
            <w:r w:rsidRPr="004F2145">
              <w:rPr>
                <w:b/>
                <w:bCs/>
              </w:rPr>
              <w:t>Question</w:t>
            </w:r>
          </w:p>
        </w:tc>
        <w:tc>
          <w:tcPr>
            <w:tcW w:w="6167" w:type="dxa"/>
            <w:shd w:val="clear" w:color="auto" w:fill="C00000"/>
          </w:tcPr>
          <w:p w14:paraId="0BC34A88" w14:textId="16B101AA" w:rsidR="004F2145" w:rsidRPr="004F2145" w:rsidRDefault="004F2145" w:rsidP="00A770E6">
            <w:pPr>
              <w:rPr>
                <w:b/>
                <w:bCs/>
              </w:rPr>
            </w:pPr>
            <w:r w:rsidRPr="004F2145">
              <w:rPr>
                <w:b/>
                <w:bCs/>
              </w:rPr>
              <w:t>Response</w:t>
            </w:r>
          </w:p>
        </w:tc>
      </w:tr>
      <w:tr w:rsidR="00600AA8" w14:paraId="1D49F367" w14:textId="77777777" w:rsidTr="00251DF2">
        <w:tc>
          <w:tcPr>
            <w:tcW w:w="846" w:type="dxa"/>
          </w:tcPr>
          <w:p w14:paraId="01D10EDE" w14:textId="4460CB33" w:rsidR="00600AA8" w:rsidRDefault="00600AA8" w:rsidP="00600AA8">
            <w:r w:rsidRPr="00BD455D">
              <w:rPr>
                <w:sz w:val="20"/>
                <w:szCs w:val="20"/>
              </w:rPr>
              <w:t>1</w:t>
            </w:r>
          </w:p>
        </w:tc>
        <w:tc>
          <w:tcPr>
            <w:tcW w:w="2835" w:type="dxa"/>
          </w:tcPr>
          <w:p w14:paraId="4C341A30" w14:textId="0842E996" w:rsidR="00600AA8" w:rsidRDefault="00600AA8" w:rsidP="00600AA8">
            <w:r w:rsidRPr="00BD455D">
              <w:rPr>
                <w:sz w:val="20"/>
                <w:szCs w:val="20"/>
              </w:rPr>
              <w:t xml:space="preserve">Should the definition of personal information in the </w:t>
            </w:r>
            <w:r w:rsidRPr="00BD455D">
              <w:rPr>
                <w:i/>
                <w:iCs/>
                <w:sz w:val="20"/>
                <w:szCs w:val="20"/>
              </w:rPr>
              <w:t>Information Privacy Act 2009</w:t>
            </w:r>
            <w:r w:rsidRPr="00BD455D">
              <w:rPr>
                <w:sz w:val="20"/>
                <w:szCs w:val="20"/>
              </w:rPr>
              <w:t xml:space="preserve"> (IP Act) be amended to reflect the definition which is currently in the </w:t>
            </w:r>
            <w:r w:rsidRPr="00BD455D">
              <w:rPr>
                <w:i/>
                <w:iCs/>
                <w:sz w:val="20"/>
                <w:szCs w:val="20"/>
              </w:rPr>
              <w:t>Privacy Act 1988</w:t>
            </w:r>
            <w:r w:rsidRPr="00BD455D">
              <w:rPr>
                <w:sz w:val="20"/>
                <w:szCs w:val="20"/>
              </w:rPr>
              <w:t xml:space="preserve"> (</w:t>
            </w:r>
            <w:proofErr w:type="spellStart"/>
            <w:r w:rsidRPr="00BD455D">
              <w:rPr>
                <w:sz w:val="20"/>
                <w:szCs w:val="20"/>
              </w:rPr>
              <w:t>Cth</w:t>
            </w:r>
            <w:proofErr w:type="spellEnd"/>
            <w:r w:rsidRPr="00BD455D">
              <w:rPr>
                <w:sz w:val="20"/>
                <w:szCs w:val="20"/>
              </w:rPr>
              <w:t>) (Privacy Act)?</w:t>
            </w:r>
          </w:p>
        </w:tc>
        <w:tc>
          <w:tcPr>
            <w:tcW w:w="6167" w:type="dxa"/>
          </w:tcPr>
          <w:p w14:paraId="05DD7E7B" w14:textId="77777777" w:rsidR="00600AA8" w:rsidRDefault="00600AA8" w:rsidP="00600AA8"/>
        </w:tc>
      </w:tr>
      <w:tr w:rsidR="00600AA8" w14:paraId="19F18886" w14:textId="77777777" w:rsidTr="00251DF2">
        <w:tc>
          <w:tcPr>
            <w:tcW w:w="846" w:type="dxa"/>
          </w:tcPr>
          <w:p w14:paraId="390B6B2B" w14:textId="50603E7E" w:rsidR="00600AA8" w:rsidRDefault="00600AA8" w:rsidP="00600AA8">
            <w:r w:rsidRPr="00BD455D">
              <w:rPr>
                <w:sz w:val="20"/>
                <w:szCs w:val="20"/>
              </w:rPr>
              <w:t>2</w:t>
            </w:r>
          </w:p>
        </w:tc>
        <w:tc>
          <w:tcPr>
            <w:tcW w:w="2835" w:type="dxa"/>
          </w:tcPr>
          <w:p w14:paraId="061B25AB" w14:textId="0A07C21D" w:rsidR="00600AA8" w:rsidRDefault="00600AA8" w:rsidP="00600AA8">
            <w:r w:rsidRPr="00BD455D">
              <w:rPr>
                <w:sz w:val="20"/>
                <w:szCs w:val="20"/>
              </w:rPr>
              <w:t>Should the proposed Queensland Privacy Principles (QPPs) be adopted in Queensland?</w:t>
            </w:r>
          </w:p>
        </w:tc>
        <w:tc>
          <w:tcPr>
            <w:tcW w:w="6167" w:type="dxa"/>
          </w:tcPr>
          <w:p w14:paraId="5A80CAD1" w14:textId="77777777" w:rsidR="00600AA8" w:rsidRDefault="00600AA8" w:rsidP="00600AA8"/>
        </w:tc>
      </w:tr>
      <w:tr w:rsidR="00600AA8" w14:paraId="29180409" w14:textId="77777777" w:rsidTr="00251DF2">
        <w:tc>
          <w:tcPr>
            <w:tcW w:w="846" w:type="dxa"/>
          </w:tcPr>
          <w:p w14:paraId="620F32ED" w14:textId="174A45E3" w:rsidR="00600AA8" w:rsidRDefault="00600AA8" w:rsidP="00600AA8">
            <w:r w:rsidRPr="00BD455D">
              <w:rPr>
                <w:sz w:val="20"/>
                <w:szCs w:val="20"/>
              </w:rPr>
              <w:t>3</w:t>
            </w:r>
          </w:p>
        </w:tc>
        <w:tc>
          <w:tcPr>
            <w:tcW w:w="2835" w:type="dxa"/>
          </w:tcPr>
          <w:p w14:paraId="7C219B6A" w14:textId="66AE82DD" w:rsidR="00600AA8" w:rsidRDefault="00600AA8" w:rsidP="00600AA8">
            <w:r w:rsidRPr="00BD455D">
              <w:rPr>
                <w:sz w:val="20"/>
                <w:szCs w:val="20"/>
              </w:rPr>
              <w:t>If not, in what ways should they be changed?</w:t>
            </w:r>
          </w:p>
        </w:tc>
        <w:tc>
          <w:tcPr>
            <w:tcW w:w="6167" w:type="dxa"/>
          </w:tcPr>
          <w:p w14:paraId="3054323C" w14:textId="77777777" w:rsidR="00600AA8" w:rsidRDefault="00600AA8" w:rsidP="00600AA8"/>
        </w:tc>
      </w:tr>
      <w:tr w:rsidR="00600AA8" w14:paraId="26A4F21F" w14:textId="77777777" w:rsidTr="00251DF2">
        <w:tc>
          <w:tcPr>
            <w:tcW w:w="846" w:type="dxa"/>
          </w:tcPr>
          <w:p w14:paraId="4C9707C4" w14:textId="1767CE57" w:rsidR="00600AA8" w:rsidRDefault="00600AA8" w:rsidP="00600AA8">
            <w:r w:rsidRPr="00BD455D">
              <w:rPr>
                <w:sz w:val="20"/>
                <w:szCs w:val="20"/>
              </w:rPr>
              <w:t>4</w:t>
            </w:r>
          </w:p>
        </w:tc>
        <w:tc>
          <w:tcPr>
            <w:tcW w:w="2835" w:type="dxa"/>
          </w:tcPr>
          <w:p w14:paraId="5911C191" w14:textId="4FDF3831" w:rsidR="00600AA8" w:rsidRDefault="00600AA8" w:rsidP="00600AA8">
            <w:r w:rsidRPr="00BD455D">
              <w:rPr>
                <w:sz w:val="20"/>
                <w:szCs w:val="20"/>
              </w:rPr>
              <w:t>What are the benefits and disadvantages of defining the factors that must be considered in ‘reasonable steps’ for proposed QPP 9 in the IP Act?</w:t>
            </w:r>
          </w:p>
        </w:tc>
        <w:tc>
          <w:tcPr>
            <w:tcW w:w="6167" w:type="dxa"/>
          </w:tcPr>
          <w:p w14:paraId="193BCFF0" w14:textId="77777777" w:rsidR="00600AA8" w:rsidRDefault="00600AA8" w:rsidP="00600AA8"/>
        </w:tc>
      </w:tr>
      <w:tr w:rsidR="00600AA8" w14:paraId="00953A5D" w14:textId="77777777" w:rsidTr="00251DF2">
        <w:tc>
          <w:tcPr>
            <w:tcW w:w="846" w:type="dxa"/>
          </w:tcPr>
          <w:p w14:paraId="0DE2583A" w14:textId="04638DEA" w:rsidR="00600AA8" w:rsidRDefault="00600AA8" w:rsidP="00600AA8">
            <w:r w:rsidRPr="00BD455D">
              <w:rPr>
                <w:sz w:val="20"/>
                <w:szCs w:val="20"/>
              </w:rPr>
              <w:t>5</w:t>
            </w:r>
          </w:p>
        </w:tc>
        <w:tc>
          <w:tcPr>
            <w:tcW w:w="2835" w:type="dxa"/>
          </w:tcPr>
          <w:p w14:paraId="3F5F5CD9" w14:textId="417B9CD2" w:rsidR="00600AA8" w:rsidRDefault="00600AA8" w:rsidP="00600AA8">
            <w:r w:rsidRPr="00BD455D">
              <w:rPr>
                <w:sz w:val="20"/>
                <w:szCs w:val="20"/>
              </w:rPr>
              <w:t>Could these factors be applied to other relevant parts of the IP Act?</w:t>
            </w:r>
          </w:p>
        </w:tc>
        <w:tc>
          <w:tcPr>
            <w:tcW w:w="6167" w:type="dxa"/>
          </w:tcPr>
          <w:p w14:paraId="4879B804" w14:textId="77777777" w:rsidR="00600AA8" w:rsidRDefault="00600AA8" w:rsidP="00600AA8"/>
        </w:tc>
      </w:tr>
      <w:tr w:rsidR="00600AA8" w14:paraId="60773D21" w14:textId="77777777" w:rsidTr="00251DF2">
        <w:tc>
          <w:tcPr>
            <w:tcW w:w="846" w:type="dxa"/>
          </w:tcPr>
          <w:p w14:paraId="6A215E7D" w14:textId="7A480739" w:rsidR="00600AA8" w:rsidRDefault="00600AA8" w:rsidP="00600AA8">
            <w:r w:rsidRPr="00BD455D">
              <w:rPr>
                <w:sz w:val="20"/>
                <w:szCs w:val="20"/>
              </w:rPr>
              <w:t>6</w:t>
            </w:r>
          </w:p>
        </w:tc>
        <w:tc>
          <w:tcPr>
            <w:tcW w:w="2835" w:type="dxa"/>
          </w:tcPr>
          <w:p w14:paraId="1D32C9A3" w14:textId="3E3C0925" w:rsidR="00600AA8" w:rsidRDefault="00600AA8" w:rsidP="00600AA8">
            <w:r w:rsidRPr="00BD455D">
              <w:rPr>
                <w:sz w:val="20"/>
                <w:szCs w:val="20"/>
              </w:rPr>
              <w:t>Would statutory guidelines produced by Office of the Information Commissioner (OIC) be more flexible and useful?</w:t>
            </w:r>
          </w:p>
        </w:tc>
        <w:tc>
          <w:tcPr>
            <w:tcW w:w="6167" w:type="dxa"/>
          </w:tcPr>
          <w:p w14:paraId="406E3F17" w14:textId="77777777" w:rsidR="00600AA8" w:rsidRDefault="00600AA8" w:rsidP="00600AA8"/>
        </w:tc>
      </w:tr>
      <w:tr w:rsidR="00600AA8" w14:paraId="1DF18819" w14:textId="77777777" w:rsidTr="00251DF2">
        <w:tc>
          <w:tcPr>
            <w:tcW w:w="846" w:type="dxa"/>
          </w:tcPr>
          <w:p w14:paraId="55BB6F26" w14:textId="3849FEE8" w:rsidR="00600AA8" w:rsidRDefault="00600AA8" w:rsidP="00600AA8">
            <w:r w:rsidRPr="00BD455D">
              <w:rPr>
                <w:sz w:val="20"/>
                <w:szCs w:val="20"/>
              </w:rPr>
              <w:t>7</w:t>
            </w:r>
          </w:p>
        </w:tc>
        <w:tc>
          <w:tcPr>
            <w:tcW w:w="2835" w:type="dxa"/>
          </w:tcPr>
          <w:p w14:paraId="12A3FAF8" w14:textId="203796A7" w:rsidR="00600AA8" w:rsidRDefault="00600AA8" w:rsidP="00600AA8">
            <w:r w:rsidRPr="00BD455D">
              <w:rPr>
                <w:sz w:val="20"/>
                <w:szCs w:val="20"/>
              </w:rPr>
              <w:t>Should the Information Commissioner be given a power to conduct an ‘own motion’ investigation into whether there has been a breach of the privacy principles?</w:t>
            </w:r>
          </w:p>
        </w:tc>
        <w:tc>
          <w:tcPr>
            <w:tcW w:w="6167" w:type="dxa"/>
          </w:tcPr>
          <w:p w14:paraId="37DFC0BB" w14:textId="77777777" w:rsidR="00600AA8" w:rsidRDefault="00600AA8" w:rsidP="00600AA8"/>
        </w:tc>
      </w:tr>
      <w:tr w:rsidR="00600AA8" w14:paraId="50B6EEF2" w14:textId="77777777" w:rsidTr="00251DF2">
        <w:tc>
          <w:tcPr>
            <w:tcW w:w="846" w:type="dxa"/>
          </w:tcPr>
          <w:p w14:paraId="071690BF" w14:textId="09C4E506" w:rsidR="00600AA8" w:rsidRDefault="00600AA8" w:rsidP="00600AA8">
            <w:r w:rsidRPr="00BD455D">
              <w:rPr>
                <w:sz w:val="20"/>
                <w:szCs w:val="20"/>
              </w:rPr>
              <w:t>8</w:t>
            </w:r>
          </w:p>
        </w:tc>
        <w:tc>
          <w:tcPr>
            <w:tcW w:w="2835" w:type="dxa"/>
          </w:tcPr>
          <w:p w14:paraId="07BBB0E1" w14:textId="0F9B3FB7" w:rsidR="00600AA8" w:rsidRDefault="00600AA8" w:rsidP="00600AA8">
            <w:r w:rsidRPr="00BD455D">
              <w:rPr>
                <w:sz w:val="20"/>
                <w:szCs w:val="20"/>
              </w:rPr>
              <w:t xml:space="preserve">Should the Information Commissioner be given a power to make declarations, based on the Commonwealth model, after an own-motion </w:t>
            </w:r>
            <w:r w:rsidRPr="00BD455D">
              <w:rPr>
                <w:sz w:val="20"/>
                <w:szCs w:val="20"/>
              </w:rPr>
              <w:lastRenderedPageBreak/>
              <w:t>investigation has been conducted?</w:t>
            </w:r>
          </w:p>
        </w:tc>
        <w:tc>
          <w:tcPr>
            <w:tcW w:w="6167" w:type="dxa"/>
          </w:tcPr>
          <w:p w14:paraId="467D51C6" w14:textId="77777777" w:rsidR="00600AA8" w:rsidRDefault="00600AA8" w:rsidP="00600AA8"/>
        </w:tc>
      </w:tr>
      <w:tr w:rsidR="00600AA8" w14:paraId="693D867B" w14:textId="77777777" w:rsidTr="00251DF2">
        <w:tc>
          <w:tcPr>
            <w:tcW w:w="846" w:type="dxa"/>
          </w:tcPr>
          <w:p w14:paraId="0272DCB7" w14:textId="065CE1F9" w:rsidR="00600AA8" w:rsidRDefault="00600AA8" w:rsidP="00600AA8">
            <w:r w:rsidRPr="00BD455D">
              <w:rPr>
                <w:sz w:val="20"/>
                <w:szCs w:val="20"/>
              </w:rPr>
              <w:t>9</w:t>
            </w:r>
          </w:p>
        </w:tc>
        <w:tc>
          <w:tcPr>
            <w:tcW w:w="2835" w:type="dxa"/>
          </w:tcPr>
          <w:p w14:paraId="0B8A0D29" w14:textId="3455BB17" w:rsidR="00600AA8" w:rsidRDefault="00600AA8" w:rsidP="00600AA8">
            <w:r w:rsidRPr="00BD455D">
              <w:rPr>
                <w:sz w:val="20"/>
                <w:szCs w:val="20"/>
              </w:rPr>
              <w:t>Should the OIC have the power to intervene in tribunal or court proceedings, involving the IP Act?</w:t>
            </w:r>
          </w:p>
        </w:tc>
        <w:tc>
          <w:tcPr>
            <w:tcW w:w="6167" w:type="dxa"/>
          </w:tcPr>
          <w:p w14:paraId="4A27859C" w14:textId="77777777" w:rsidR="00600AA8" w:rsidRDefault="00600AA8" w:rsidP="00600AA8"/>
        </w:tc>
      </w:tr>
      <w:tr w:rsidR="00600AA8" w14:paraId="3727BB5F" w14:textId="77777777" w:rsidTr="00251DF2">
        <w:tc>
          <w:tcPr>
            <w:tcW w:w="846" w:type="dxa"/>
          </w:tcPr>
          <w:p w14:paraId="3A7192AB" w14:textId="57F72C95" w:rsidR="00600AA8" w:rsidRDefault="00600AA8" w:rsidP="00600AA8">
            <w:r w:rsidRPr="00BD455D">
              <w:rPr>
                <w:sz w:val="20"/>
                <w:szCs w:val="20"/>
              </w:rPr>
              <w:t>10</w:t>
            </w:r>
          </w:p>
        </w:tc>
        <w:tc>
          <w:tcPr>
            <w:tcW w:w="2835" w:type="dxa"/>
          </w:tcPr>
          <w:p w14:paraId="32148935" w14:textId="4076380E" w:rsidR="00600AA8" w:rsidRDefault="00600AA8" w:rsidP="00600AA8">
            <w:r w:rsidRPr="00BD455D">
              <w:rPr>
                <w:sz w:val="20"/>
                <w:szCs w:val="20"/>
              </w:rPr>
              <w:t>Do you have any other comments about the powers and roles of the OIC, including the current range of support services provided by the OIC?</w:t>
            </w:r>
          </w:p>
        </w:tc>
        <w:tc>
          <w:tcPr>
            <w:tcW w:w="6167" w:type="dxa"/>
          </w:tcPr>
          <w:p w14:paraId="58E07CFC" w14:textId="77777777" w:rsidR="00600AA8" w:rsidRDefault="00600AA8" w:rsidP="00600AA8"/>
        </w:tc>
      </w:tr>
      <w:tr w:rsidR="00600AA8" w14:paraId="08AE7CD1" w14:textId="77777777" w:rsidTr="00251DF2">
        <w:tc>
          <w:tcPr>
            <w:tcW w:w="846" w:type="dxa"/>
          </w:tcPr>
          <w:p w14:paraId="79865614" w14:textId="12514875" w:rsidR="00600AA8" w:rsidRDefault="00600AA8" w:rsidP="00600AA8">
            <w:r w:rsidRPr="00BD455D">
              <w:rPr>
                <w:sz w:val="20"/>
                <w:szCs w:val="20"/>
              </w:rPr>
              <w:t>11</w:t>
            </w:r>
          </w:p>
        </w:tc>
        <w:tc>
          <w:tcPr>
            <w:tcW w:w="2835" w:type="dxa"/>
          </w:tcPr>
          <w:p w14:paraId="31A13334" w14:textId="53555C09" w:rsidR="00600AA8" w:rsidRDefault="00600AA8" w:rsidP="00600AA8">
            <w:r w:rsidRPr="00BD455D">
              <w:rPr>
                <w:sz w:val="20"/>
                <w:szCs w:val="20"/>
              </w:rPr>
              <w:t xml:space="preserve">Is the mandatory </w:t>
            </w:r>
            <w:r>
              <w:rPr>
                <w:sz w:val="20"/>
                <w:szCs w:val="20"/>
              </w:rPr>
              <w:t>data breach notification</w:t>
            </w:r>
            <w:r w:rsidRPr="00BD455D">
              <w:rPr>
                <w:sz w:val="20"/>
                <w:szCs w:val="20"/>
              </w:rPr>
              <w:t xml:space="preserve"> scheme as outlined in this Consultation Paper suitable for adoption in Queensland?</w:t>
            </w:r>
          </w:p>
        </w:tc>
        <w:tc>
          <w:tcPr>
            <w:tcW w:w="6167" w:type="dxa"/>
          </w:tcPr>
          <w:p w14:paraId="10362823" w14:textId="77777777" w:rsidR="00600AA8" w:rsidRDefault="00600AA8" w:rsidP="00600AA8"/>
        </w:tc>
      </w:tr>
      <w:tr w:rsidR="00600AA8" w14:paraId="1C99F6BD" w14:textId="77777777" w:rsidTr="00251DF2">
        <w:tc>
          <w:tcPr>
            <w:tcW w:w="846" w:type="dxa"/>
          </w:tcPr>
          <w:p w14:paraId="488D399E" w14:textId="0CB8B391" w:rsidR="00600AA8" w:rsidRDefault="00600AA8" w:rsidP="00600AA8">
            <w:r w:rsidRPr="00BD455D">
              <w:rPr>
                <w:sz w:val="20"/>
                <w:szCs w:val="20"/>
              </w:rPr>
              <w:t>12</w:t>
            </w:r>
          </w:p>
        </w:tc>
        <w:tc>
          <w:tcPr>
            <w:tcW w:w="2835" w:type="dxa"/>
          </w:tcPr>
          <w:p w14:paraId="6CE83617" w14:textId="24CD838A" w:rsidR="00600AA8" w:rsidRDefault="00600AA8" w:rsidP="00600AA8">
            <w:r w:rsidRPr="00BD455D">
              <w:rPr>
                <w:sz w:val="20"/>
                <w:szCs w:val="20"/>
              </w:rPr>
              <w:t>If not, in what ways should it be changed?</w:t>
            </w:r>
          </w:p>
        </w:tc>
        <w:tc>
          <w:tcPr>
            <w:tcW w:w="6167" w:type="dxa"/>
          </w:tcPr>
          <w:p w14:paraId="23700C70" w14:textId="77777777" w:rsidR="00600AA8" w:rsidRDefault="00600AA8" w:rsidP="00600AA8"/>
        </w:tc>
      </w:tr>
      <w:tr w:rsidR="00600AA8" w14:paraId="0A88C13E" w14:textId="77777777" w:rsidTr="00251DF2">
        <w:tc>
          <w:tcPr>
            <w:tcW w:w="846" w:type="dxa"/>
          </w:tcPr>
          <w:p w14:paraId="7A7DED89" w14:textId="7B3C1202" w:rsidR="00600AA8" w:rsidRDefault="00600AA8" w:rsidP="00600AA8">
            <w:r w:rsidRPr="00BD455D">
              <w:rPr>
                <w:sz w:val="20"/>
                <w:szCs w:val="20"/>
              </w:rPr>
              <w:t>13</w:t>
            </w:r>
          </w:p>
        </w:tc>
        <w:tc>
          <w:tcPr>
            <w:tcW w:w="2835" w:type="dxa"/>
          </w:tcPr>
          <w:p w14:paraId="4C0E8DCA" w14:textId="4A8BBE80" w:rsidR="00600AA8" w:rsidRDefault="00600AA8" w:rsidP="00600AA8">
            <w:r w:rsidRPr="00BD455D">
              <w:rPr>
                <w:sz w:val="20"/>
                <w:szCs w:val="20"/>
              </w:rPr>
              <w:t>Would the Information Commissioner require any additional powers to monitor and provide oversight to the mandatory DBN scheme?</w:t>
            </w:r>
          </w:p>
        </w:tc>
        <w:tc>
          <w:tcPr>
            <w:tcW w:w="6167" w:type="dxa"/>
          </w:tcPr>
          <w:p w14:paraId="6562634F" w14:textId="77777777" w:rsidR="00600AA8" w:rsidRDefault="00600AA8" w:rsidP="00600AA8"/>
        </w:tc>
      </w:tr>
      <w:tr w:rsidR="00600AA8" w14:paraId="5726828D" w14:textId="77777777" w:rsidTr="00251DF2">
        <w:tc>
          <w:tcPr>
            <w:tcW w:w="846" w:type="dxa"/>
          </w:tcPr>
          <w:p w14:paraId="3D0E2C01" w14:textId="6E18245E" w:rsidR="00600AA8" w:rsidRDefault="00600AA8" w:rsidP="00600AA8">
            <w:r w:rsidRPr="00BD455D">
              <w:rPr>
                <w:sz w:val="20"/>
                <w:szCs w:val="20"/>
              </w:rPr>
              <w:t>14</w:t>
            </w:r>
          </w:p>
        </w:tc>
        <w:tc>
          <w:tcPr>
            <w:tcW w:w="2835" w:type="dxa"/>
          </w:tcPr>
          <w:p w14:paraId="63BAEC8A" w14:textId="153138EB" w:rsidR="00600AA8" w:rsidRPr="00686C9D" w:rsidRDefault="00600AA8" w:rsidP="00600AA8">
            <w:pPr>
              <w:rPr>
                <w:sz w:val="20"/>
                <w:szCs w:val="20"/>
              </w:rPr>
            </w:pPr>
            <w:r w:rsidRPr="00BD455D">
              <w:rPr>
                <w:sz w:val="20"/>
                <w:szCs w:val="20"/>
              </w:rPr>
              <w:t xml:space="preserve">Is a new criminal offence required to prosecute offences for misuse of confidential information, or are existing provisions in the </w:t>
            </w:r>
            <w:r w:rsidRPr="00BD455D">
              <w:rPr>
                <w:i/>
                <w:iCs/>
                <w:sz w:val="20"/>
                <w:szCs w:val="20"/>
              </w:rPr>
              <w:t>Criminal Code Act 1899</w:t>
            </w:r>
            <w:r w:rsidRPr="00BD455D">
              <w:rPr>
                <w:sz w:val="20"/>
                <w:szCs w:val="20"/>
              </w:rPr>
              <w:t xml:space="preserve"> (Criminal Code) and other legislation adequate?</w:t>
            </w:r>
          </w:p>
        </w:tc>
        <w:tc>
          <w:tcPr>
            <w:tcW w:w="6167" w:type="dxa"/>
          </w:tcPr>
          <w:p w14:paraId="15116398" w14:textId="77777777" w:rsidR="00600AA8" w:rsidRDefault="00600AA8" w:rsidP="00600AA8"/>
        </w:tc>
      </w:tr>
      <w:tr w:rsidR="00686C9D" w14:paraId="64BE957F" w14:textId="77777777" w:rsidTr="00251DF2">
        <w:tc>
          <w:tcPr>
            <w:tcW w:w="846" w:type="dxa"/>
          </w:tcPr>
          <w:p w14:paraId="277DB8CF" w14:textId="2B101423" w:rsidR="00686C9D" w:rsidRPr="00BD455D" w:rsidRDefault="00686C9D" w:rsidP="00600AA8">
            <w:pPr>
              <w:rPr>
                <w:sz w:val="20"/>
                <w:szCs w:val="20"/>
              </w:rPr>
            </w:pPr>
            <w:r>
              <w:rPr>
                <w:sz w:val="20"/>
                <w:szCs w:val="20"/>
              </w:rPr>
              <w:t>15</w:t>
            </w:r>
          </w:p>
        </w:tc>
        <w:tc>
          <w:tcPr>
            <w:tcW w:w="2835" w:type="dxa"/>
          </w:tcPr>
          <w:p w14:paraId="1D27A402" w14:textId="3EE0C182" w:rsidR="00686C9D" w:rsidRPr="00BD455D" w:rsidRDefault="007D333A" w:rsidP="00600AA8">
            <w:pPr>
              <w:rPr>
                <w:sz w:val="20"/>
                <w:szCs w:val="20"/>
              </w:rPr>
            </w:pPr>
            <w:r>
              <w:rPr>
                <w:sz w:val="20"/>
                <w:szCs w:val="20"/>
              </w:rPr>
              <w:t>Do you have any other comments about this issue?</w:t>
            </w:r>
          </w:p>
        </w:tc>
        <w:tc>
          <w:tcPr>
            <w:tcW w:w="6167" w:type="dxa"/>
          </w:tcPr>
          <w:p w14:paraId="14CBAD28" w14:textId="77777777" w:rsidR="00686C9D" w:rsidRDefault="00686C9D" w:rsidP="00600AA8"/>
        </w:tc>
      </w:tr>
      <w:tr w:rsidR="00600AA8" w14:paraId="3E361972" w14:textId="77777777" w:rsidTr="00251DF2">
        <w:tc>
          <w:tcPr>
            <w:tcW w:w="846" w:type="dxa"/>
          </w:tcPr>
          <w:p w14:paraId="5118C8C8" w14:textId="4F6C7A28" w:rsidR="00600AA8" w:rsidRDefault="00600AA8" w:rsidP="00600AA8"/>
        </w:tc>
        <w:tc>
          <w:tcPr>
            <w:tcW w:w="2835" w:type="dxa"/>
          </w:tcPr>
          <w:p w14:paraId="3EDB9086" w14:textId="442EA8A2" w:rsidR="00600AA8" w:rsidRDefault="00600AA8" w:rsidP="00600AA8">
            <w:r w:rsidRPr="00BD455D">
              <w:rPr>
                <w:sz w:val="20"/>
                <w:szCs w:val="20"/>
              </w:rPr>
              <w:t xml:space="preserve">Do you have any feedback on </w:t>
            </w:r>
            <w:r>
              <w:rPr>
                <w:sz w:val="20"/>
                <w:szCs w:val="20"/>
              </w:rPr>
              <w:t xml:space="preserve">the </w:t>
            </w:r>
            <w:r w:rsidRPr="00BD455D">
              <w:rPr>
                <w:sz w:val="20"/>
                <w:szCs w:val="20"/>
              </w:rPr>
              <w:t xml:space="preserve">proposed </w:t>
            </w:r>
            <w:r>
              <w:rPr>
                <w:sz w:val="20"/>
                <w:szCs w:val="20"/>
              </w:rPr>
              <w:t>r</w:t>
            </w:r>
            <w:r w:rsidRPr="00BD455D">
              <w:rPr>
                <w:sz w:val="20"/>
                <w:szCs w:val="20"/>
              </w:rPr>
              <w:t xml:space="preserve">ight to information and </w:t>
            </w:r>
            <w:r>
              <w:rPr>
                <w:sz w:val="20"/>
                <w:szCs w:val="20"/>
              </w:rPr>
              <w:t>i</w:t>
            </w:r>
            <w:r w:rsidRPr="00BD455D">
              <w:rPr>
                <w:sz w:val="20"/>
                <w:szCs w:val="20"/>
              </w:rPr>
              <w:t xml:space="preserve">nformation privacy reforms outlined in </w:t>
            </w:r>
            <w:r w:rsidRPr="008D4C80">
              <w:rPr>
                <w:b/>
                <w:bCs/>
                <w:sz w:val="20"/>
                <w:szCs w:val="20"/>
              </w:rPr>
              <w:t>Part B</w:t>
            </w:r>
            <w:r w:rsidRPr="00BD455D">
              <w:rPr>
                <w:sz w:val="20"/>
                <w:szCs w:val="20"/>
              </w:rPr>
              <w:t xml:space="preserve"> of the consultation paper</w:t>
            </w:r>
            <w:r>
              <w:rPr>
                <w:sz w:val="20"/>
                <w:szCs w:val="20"/>
              </w:rPr>
              <w:t>?</w:t>
            </w:r>
          </w:p>
        </w:tc>
        <w:tc>
          <w:tcPr>
            <w:tcW w:w="6167" w:type="dxa"/>
          </w:tcPr>
          <w:p w14:paraId="084445CA" w14:textId="77777777" w:rsidR="00600AA8" w:rsidRDefault="00600AA8" w:rsidP="00600AA8"/>
        </w:tc>
      </w:tr>
    </w:tbl>
    <w:p w14:paraId="09386B51" w14:textId="77777777" w:rsidR="004F2145" w:rsidRDefault="004F2145" w:rsidP="00A770E6">
      <w:pPr>
        <w:ind w:left="-142"/>
      </w:pPr>
    </w:p>
    <w:p w14:paraId="5C6C6EC7" w14:textId="77777777" w:rsidR="004F2145" w:rsidRDefault="004F2145" w:rsidP="00A770E6">
      <w:pPr>
        <w:ind w:left="-142"/>
      </w:pPr>
    </w:p>
    <w:p w14:paraId="1C5BC5FE" w14:textId="5479B6F3" w:rsidR="004F2145" w:rsidRDefault="004F2145" w:rsidP="00A770E6">
      <w:pPr>
        <w:ind w:left="-142"/>
        <w:sectPr w:rsidR="004F2145" w:rsidSect="00F565C6">
          <w:type w:val="continuous"/>
          <w:pgSz w:w="11900" w:h="16840"/>
          <w:pgMar w:top="1440" w:right="1021" w:bottom="1440" w:left="1021" w:header="709" w:footer="624" w:gutter="0"/>
          <w:cols w:space="708"/>
          <w:titlePg/>
          <w:docGrid w:linePitch="360"/>
        </w:sectPr>
      </w:pPr>
    </w:p>
    <w:p w14:paraId="1B80CDA3" w14:textId="407966A6" w:rsidR="00A770E6" w:rsidRDefault="00A770E6" w:rsidP="00A770E6">
      <w:pPr>
        <w:ind w:left="-142"/>
      </w:pPr>
    </w:p>
    <w:p w14:paraId="0C63CC0C" w14:textId="714F786F" w:rsidR="00A770E6" w:rsidRDefault="00A770E6" w:rsidP="00A770E6">
      <w:pPr>
        <w:ind w:left="-142"/>
      </w:pPr>
    </w:p>
    <w:p w14:paraId="10CC2E2B" w14:textId="0413D435" w:rsidR="00251DF2" w:rsidRDefault="00251DF2" w:rsidP="00A770E6">
      <w:pPr>
        <w:ind w:left="-142"/>
      </w:pPr>
    </w:p>
    <w:p w14:paraId="07C0ABA8" w14:textId="0585FA91" w:rsidR="00251DF2" w:rsidRDefault="00251DF2" w:rsidP="00A770E6">
      <w:pPr>
        <w:ind w:left="-142"/>
      </w:pPr>
    </w:p>
    <w:p w14:paraId="7FEA386E" w14:textId="40385309" w:rsidR="00251DF2" w:rsidRDefault="00251DF2" w:rsidP="00251DF2">
      <w:pPr>
        <w:ind w:left="-142"/>
        <w:jc w:val="center"/>
      </w:pPr>
      <w:r>
        <w:t>Thank you for making your submission.</w:t>
      </w:r>
    </w:p>
    <w:sectPr w:rsidR="00251DF2" w:rsidSect="00A770E6">
      <w:pgSz w:w="11900" w:h="16840"/>
      <w:pgMar w:top="1440" w:right="1021" w:bottom="1440"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C02F" w14:textId="77777777" w:rsidR="00A770E6" w:rsidRDefault="00A770E6" w:rsidP="00F565C6">
      <w:pPr>
        <w:spacing w:after="0" w:line="240" w:lineRule="auto"/>
      </w:pPr>
      <w:r>
        <w:separator/>
      </w:r>
    </w:p>
  </w:endnote>
  <w:endnote w:type="continuationSeparator" w:id="0">
    <w:p w14:paraId="78DD90B6" w14:textId="77777777" w:rsidR="00A770E6" w:rsidRDefault="00A770E6"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B1CD" w14:textId="77777777" w:rsidR="004A31F3" w:rsidRDefault="00990D0C" w:rsidP="004A31F3">
    <w:pPr>
      <w:pStyle w:val="Footer"/>
      <w:tabs>
        <w:tab w:val="clear" w:pos="9026"/>
      </w:tabs>
    </w:pPr>
    <w:r>
      <w:rPr>
        <w:noProof/>
        <w:lang w:val="en-AU" w:eastAsia="en-AU"/>
      </w:rPr>
      <w:drawing>
        <wp:anchor distT="0" distB="0" distL="114300" distR="114300" simplePos="0" relativeHeight="251658752" behindDoc="1" locked="1" layoutInCell="1" allowOverlap="1" wp14:anchorId="21EB7EBE" wp14:editId="6269FEB6">
          <wp:simplePos x="0" y="0"/>
          <wp:positionH relativeFrom="page">
            <wp:align>center</wp:align>
          </wp:positionH>
          <wp:positionV relativeFrom="page">
            <wp:align>bottom</wp:align>
          </wp:positionV>
          <wp:extent cx="7560000" cy="125640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7660F710" w14:textId="77777777" w:rsidR="004A31F3" w:rsidRPr="00541E30" w:rsidRDefault="00063DEA" w:rsidP="004A31F3">
    <w:pPr>
      <w:pStyle w:val="Footer"/>
    </w:pPr>
  </w:p>
  <w:p w14:paraId="00F308BE" w14:textId="77777777" w:rsidR="004A31F3" w:rsidRPr="004A31F3" w:rsidRDefault="00063DEA" w:rsidP="009E4419">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A9CA" w14:textId="77777777" w:rsidR="00541E30" w:rsidRDefault="00063DEA" w:rsidP="00541E30">
    <w:pPr>
      <w:pStyle w:val="Footer"/>
      <w:tabs>
        <w:tab w:val="clear" w:pos="9026"/>
      </w:tabs>
    </w:pPr>
  </w:p>
  <w:p w14:paraId="3CF19D19" w14:textId="77777777" w:rsidR="00541E30" w:rsidRPr="00541E30" w:rsidRDefault="00990D0C" w:rsidP="00541E30">
    <w:pPr>
      <w:pStyle w:val="Footer"/>
    </w:pPr>
    <w:r>
      <w:rPr>
        <w:noProof/>
        <w:lang w:val="en-AU" w:eastAsia="en-AU"/>
      </w:rPr>
      <w:drawing>
        <wp:anchor distT="0" distB="0" distL="114300" distR="114300" simplePos="0" relativeHeight="251656704" behindDoc="1" locked="1" layoutInCell="1" allowOverlap="1" wp14:anchorId="33A6EF21" wp14:editId="26308547">
          <wp:simplePos x="0" y="0"/>
          <wp:positionH relativeFrom="page">
            <wp:align>left</wp:align>
          </wp:positionH>
          <wp:positionV relativeFrom="page">
            <wp:align>bottom</wp:align>
          </wp:positionV>
          <wp:extent cx="7560000" cy="1256400"/>
          <wp:effectExtent l="0" t="0" r="317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A8DC" w14:textId="77777777" w:rsidR="00A770E6" w:rsidRDefault="00A770E6" w:rsidP="00F565C6">
      <w:pPr>
        <w:spacing w:after="0" w:line="240" w:lineRule="auto"/>
      </w:pPr>
      <w:r>
        <w:separator/>
      </w:r>
    </w:p>
  </w:footnote>
  <w:footnote w:type="continuationSeparator" w:id="0">
    <w:p w14:paraId="0671ADCC" w14:textId="77777777" w:rsidR="00A770E6" w:rsidRDefault="00A770E6"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204" w14:textId="77777777" w:rsidR="00A03323" w:rsidRDefault="00063DEA">
    <w:pPr>
      <w:pStyle w:val="Header"/>
    </w:pPr>
    <w:r>
      <w:rPr>
        <w:noProof/>
      </w:rPr>
      <w:pict w14:anchorId="24245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6704;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4850" w14:textId="77777777" w:rsidR="00A03323" w:rsidRPr="00541E30" w:rsidRDefault="00990D0C" w:rsidP="005C69BF">
    <w:pPr>
      <w:pStyle w:val="Header"/>
    </w:pPr>
    <w:r>
      <w:rPr>
        <w:noProof/>
        <w:lang w:val="en-AU" w:eastAsia="en-AU"/>
      </w:rPr>
      <mc:AlternateContent>
        <mc:Choice Requires="wps">
          <w:drawing>
            <wp:anchor distT="0" distB="0" distL="114300" distR="114300" simplePos="0" relativeHeight="251655680" behindDoc="0" locked="0" layoutInCell="1" allowOverlap="1" wp14:anchorId="175D7518" wp14:editId="7761DF8D">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2E75C8CA" w14:textId="77777777" w:rsidR="00541E30" w:rsidRPr="009C4922" w:rsidRDefault="00063DEA" w:rsidP="005C69BF">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D7518" id="_x0000_t202" coordsize="21600,21600" o:spt="202" path="m,l,21600r21600,l21600,xe">
              <v:stroke joinstyle="miter"/>
              <v:path gradientshapeok="t" o:connecttype="rect"/>
            </v:shapetype>
            <v:shape id="Text Box 1" o:spid="_x0000_s1026" type="#_x0000_t202" style="position:absolute;margin-left:-9.95pt;margin-top:-27.7pt;width:158.25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2E75C8CA" w14:textId="77777777" w:rsidR="00541E30" w:rsidRPr="009C4922" w:rsidRDefault="00063DEA" w:rsidP="005C69BF">
                    <w:pPr>
                      <w:pStyle w:val="Documenttypeinheader"/>
                    </w:pPr>
                  </w:p>
                </w:txbxContent>
              </v:textbox>
            </v:shape>
          </w:pict>
        </mc:Fallback>
      </mc:AlternateContent>
    </w:r>
    <w:r>
      <w:rPr>
        <w:noProof/>
        <w:lang w:val="en-AU" w:eastAsia="en-AU"/>
      </w:rPr>
      <w:drawing>
        <wp:anchor distT="0" distB="0" distL="114300" distR="114300" simplePos="0" relativeHeight="251657728" behindDoc="1" locked="1" layoutInCell="1" allowOverlap="1" wp14:anchorId="00CA0928" wp14:editId="61CDEA6B">
          <wp:simplePos x="0" y="0"/>
          <wp:positionH relativeFrom="page">
            <wp:align>center</wp:align>
          </wp:positionH>
          <wp:positionV relativeFrom="page">
            <wp:posOffset>0</wp:posOffset>
          </wp:positionV>
          <wp:extent cx="7560000" cy="1288800"/>
          <wp:effectExtent l="0" t="0" r="317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E6"/>
    <w:rsid w:val="0004031C"/>
    <w:rsid w:val="00063DEA"/>
    <w:rsid w:val="000E4E00"/>
    <w:rsid w:val="000F2109"/>
    <w:rsid w:val="00251DF2"/>
    <w:rsid w:val="0042495F"/>
    <w:rsid w:val="004F2145"/>
    <w:rsid w:val="00600AA8"/>
    <w:rsid w:val="00655CB4"/>
    <w:rsid w:val="00686C9D"/>
    <w:rsid w:val="007D333A"/>
    <w:rsid w:val="00990D0C"/>
    <w:rsid w:val="00A535FA"/>
    <w:rsid w:val="00A770E6"/>
    <w:rsid w:val="00CE7E20"/>
    <w:rsid w:val="00D11F92"/>
    <w:rsid w:val="00D53EDE"/>
    <w:rsid w:val="00E71FFE"/>
    <w:rsid w:val="00F56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E6700B"/>
  <w15:chartTrackingRefBased/>
  <w15:docId w15:val="{84744A5E-BDE3-4ED3-9C4D-7311A05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F565C6"/>
    <w:pPr>
      <w:keepNext/>
      <w:keepLines/>
      <w:spacing w:before="360" w:after="120" w:line="340" w:lineRule="exact"/>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C6"/>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F565C6"/>
    <w:pPr>
      <w:spacing w:after="360" w:line="600" w:lineRule="exact"/>
      <w:ind w:left="-142"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F565C6"/>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styleId="Hyperlink">
    <w:name w:val="Hyperlink"/>
    <w:basedOn w:val="DefaultParagraphFont"/>
    <w:uiPriority w:val="99"/>
    <w:unhideWhenUsed/>
    <w:rsid w:val="00A770E6"/>
    <w:rPr>
      <w:color w:val="0563C1" w:themeColor="hyperlink"/>
      <w:u w:val="single"/>
    </w:rPr>
  </w:style>
  <w:style w:type="character" w:styleId="UnresolvedMention">
    <w:name w:val="Unresolved Mention"/>
    <w:basedOn w:val="DefaultParagraphFont"/>
    <w:uiPriority w:val="99"/>
    <w:semiHidden/>
    <w:unhideWhenUsed/>
    <w:rsid w:val="00A770E6"/>
    <w:rPr>
      <w:color w:val="605E5C"/>
      <w:shd w:val="clear" w:color="auto" w:fill="E1DFDD"/>
    </w:rPr>
  </w:style>
  <w:style w:type="table" w:styleId="TableGrid">
    <w:name w:val="Table Grid"/>
    <w:basedOn w:val="TableNormal"/>
    <w:uiPriority w:val="39"/>
    <w:rsid w:val="00A7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andRTIreforms@justice.qld.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bolecMe\Downloads\A4-document-external-Option-1%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A4-document-external-Option-1 (4)</Template>
  <TotalTime>44</TotalTime>
  <Pages>4</Pages>
  <Words>637</Words>
  <Characters>3633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2022-06-28T06:38:00Z</dcterms:created>
  <dcterms:modified xsi:type="dcterms:W3CDTF">2022-06-28T07:28:00Z</dcterms:modified>
</cp:coreProperties>
</file>