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3981" w14:textId="2A09B167" w:rsidR="00B909C7" w:rsidRPr="00196AF2" w:rsidRDefault="00B909C7" w:rsidP="00196AF2">
      <w:pPr>
        <w:pStyle w:val="Heading1"/>
      </w:pPr>
      <w:r w:rsidRPr="00196AF2">
        <w:t>QUEENSLAND GOVERNMENT BUILDING AND CONSTRUCTION TRAINING POLICY</w:t>
      </w:r>
      <w:r w:rsidR="001D79FC" w:rsidRPr="00196AF2">
        <w:t xml:space="preserve"> </w:t>
      </w:r>
      <w:r w:rsidRPr="00196AF2">
        <w:t xml:space="preserve">PROCESS – </w:t>
      </w:r>
      <w:r w:rsidR="009E16CC" w:rsidRPr="00196AF2">
        <w:t xml:space="preserve">SELECTED </w:t>
      </w:r>
      <w:r w:rsidRPr="00196AF2">
        <w:t>PROJECTS OUTSIDE DISCRETE INDIGENOUS COMMUNITIES</w:t>
      </w:r>
    </w:p>
    <w:p w14:paraId="50E7821A" w14:textId="77777777" w:rsidR="005908FA" w:rsidRDefault="005908FA" w:rsidP="001D79FC">
      <w:pPr>
        <w:pStyle w:val="NoSpacing"/>
        <w:jc w:val="center"/>
        <w:rPr>
          <w:b/>
        </w:rPr>
      </w:pPr>
    </w:p>
    <w:p w14:paraId="4691E833" w14:textId="77777777" w:rsidR="004207C3" w:rsidRPr="004207C3" w:rsidRDefault="004207C3" w:rsidP="004207C3">
      <w:pPr>
        <w:pStyle w:val="NoSpacing"/>
        <w:rPr>
          <w:b/>
        </w:rPr>
      </w:pP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2382"/>
        <w:gridCol w:w="8534"/>
      </w:tblGrid>
      <w:tr w:rsidR="00B909C7" w:rsidRPr="004207C3" w14:paraId="03A212D2" w14:textId="77777777" w:rsidTr="002B6F9E">
        <w:tc>
          <w:tcPr>
            <w:tcW w:w="2382" w:type="dxa"/>
          </w:tcPr>
          <w:p w14:paraId="6685BA4D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Whole Of</w:t>
            </w:r>
          </w:p>
          <w:p w14:paraId="33490AA5" w14:textId="77777777" w:rsidR="00B909C7" w:rsidRPr="004207C3" w:rsidRDefault="00B909C7" w:rsidP="004207C3">
            <w:pPr>
              <w:ind w:left="-709" w:firstLine="709"/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Government</w:t>
            </w:r>
          </w:p>
          <w:p w14:paraId="142A1A49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Coordination</w:t>
            </w:r>
          </w:p>
          <w:p w14:paraId="2E3F1ACB" w14:textId="77777777" w:rsidR="00B909C7" w:rsidRPr="004207C3" w:rsidRDefault="00B909C7" w:rsidP="00B909C7">
            <w:pPr>
              <w:rPr>
                <w:sz w:val="20"/>
                <w:szCs w:val="20"/>
              </w:rPr>
            </w:pPr>
          </w:p>
          <w:p w14:paraId="45F3A108" w14:textId="77777777" w:rsidR="00B909C7" w:rsidRPr="004207C3" w:rsidRDefault="00B909C7" w:rsidP="00B909C7">
            <w:pPr>
              <w:rPr>
                <w:sz w:val="20"/>
                <w:szCs w:val="20"/>
              </w:rPr>
            </w:pPr>
          </w:p>
        </w:tc>
        <w:tc>
          <w:tcPr>
            <w:tcW w:w="8534" w:type="dxa"/>
          </w:tcPr>
          <w:p w14:paraId="2E758E18" w14:textId="76CEEE7B" w:rsidR="00B909C7" w:rsidRDefault="000D1683" w:rsidP="00B90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Queensland </w:t>
            </w:r>
            <w:r w:rsidR="00B909C7" w:rsidRPr="004207C3">
              <w:rPr>
                <w:sz w:val="20"/>
                <w:szCs w:val="20"/>
              </w:rPr>
              <w:t>Government agencies</w:t>
            </w:r>
            <w:r w:rsidR="00AD1AD3">
              <w:rPr>
                <w:sz w:val="20"/>
                <w:szCs w:val="20"/>
              </w:rPr>
              <w:t xml:space="preserve"> and government owned corporations are</w:t>
            </w:r>
            <w:r w:rsidR="00B909C7" w:rsidRPr="004207C3">
              <w:rPr>
                <w:sz w:val="20"/>
                <w:szCs w:val="20"/>
              </w:rPr>
              <w:t xml:space="preserve"> to determine suitability of the project using the </w:t>
            </w:r>
            <w:r>
              <w:rPr>
                <w:sz w:val="20"/>
                <w:szCs w:val="20"/>
              </w:rPr>
              <w:t>criteria</w:t>
            </w:r>
            <w:r w:rsidRPr="004207C3">
              <w:rPr>
                <w:sz w:val="20"/>
                <w:szCs w:val="20"/>
              </w:rPr>
              <w:t xml:space="preserve"> </w:t>
            </w:r>
            <w:r w:rsidR="00B909C7" w:rsidRPr="004207C3">
              <w:rPr>
                <w:sz w:val="20"/>
                <w:szCs w:val="20"/>
              </w:rPr>
              <w:t xml:space="preserve">on the </w:t>
            </w:r>
            <w:r w:rsidR="00C5737B" w:rsidRPr="00C5737B">
              <w:rPr>
                <w:sz w:val="20"/>
                <w:szCs w:val="20"/>
              </w:rPr>
              <w:t>Department of Treaty, Aboriginal and Torres Strait Islander Partnerships, Communities and the Arts</w:t>
            </w:r>
            <w:r w:rsidR="00C5737B">
              <w:rPr>
                <w:sz w:val="20"/>
                <w:szCs w:val="20"/>
              </w:rPr>
              <w:t xml:space="preserve"> </w:t>
            </w:r>
            <w:r w:rsidR="00AD1AD3">
              <w:rPr>
                <w:sz w:val="20"/>
                <w:szCs w:val="20"/>
              </w:rPr>
              <w:t>(</w:t>
            </w:r>
            <w:r w:rsidR="00C5737B">
              <w:rPr>
                <w:sz w:val="20"/>
                <w:szCs w:val="20"/>
              </w:rPr>
              <w:t>DTATSIPCA</w:t>
            </w:r>
            <w:r w:rsidR="00AD1AD3">
              <w:rPr>
                <w:sz w:val="20"/>
                <w:szCs w:val="20"/>
              </w:rPr>
              <w:t>)</w:t>
            </w:r>
            <w:r w:rsidR="00B909C7" w:rsidRPr="004207C3">
              <w:rPr>
                <w:sz w:val="20"/>
                <w:szCs w:val="20"/>
              </w:rPr>
              <w:t xml:space="preserve"> website </w:t>
            </w:r>
            <w:r w:rsidR="00553B50">
              <w:rPr>
                <w:sz w:val="20"/>
                <w:szCs w:val="20"/>
              </w:rPr>
              <w:t>–</w:t>
            </w:r>
          </w:p>
          <w:p w14:paraId="1344B480" w14:textId="11674AB3" w:rsidR="00093931" w:rsidRPr="00C5737B" w:rsidRDefault="005B38B5" w:rsidP="00B909C7">
            <w:pPr>
              <w:rPr>
                <w:sz w:val="20"/>
                <w:szCs w:val="20"/>
              </w:rPr>
            </w:pPr>
            <w:hyperlink r:id="rId8" w:history="1">
              <w:r w:rsidR="002B6F9E" w:rsidRPr="00C5737B">
                <w:rPr>
                  <w:rStyle w:val="Hyperlink"/>
                  <w:sz w:val="20"/>
                  <w:szCs w:val="20"/>
                </w:rPr>
                <w:t>https://www.</w:t>
              </w:r>
              <w:r w:rsidR="00C5737B" w:rsidRPr="00C5737B">
                <w:rPr>
                  <w:rStyle w:val="Hyperlink"/>
                  <w:sz w:val="20"/>
                  <w:szCs w:val="20"/>
                </w:rPr>
                <w:t>DTATSIPCA</w:t>
              </w:r>
              <w:r w:rsidR="002B6F9E" w:rsidRPr="00C5737B">
                <w:rPr>
                  <w:rStyle w:val="Hyperlink"/>
                  <w:sz w:val="20"/>
                  <w:szCs w:val="20"/>
                </w:rPr>
                <w:t>.qld.gov.au/our-work/aboriginal-torres-strait-islander-partnerships/business-econo</w:t>
              </w:r>
              <w:r w:rsidR="002B6F9E" w:rsidRPr="00C5737B">
                <w:rPr>
                  <w:rStyle w:val="Hyperlink"/>
                  <w:sz w:val="20"/>
                  <w:szCs w:val="20"/>
                </w:rPr>
                <w:t>m</w:t>
              </w:r>
              <w:r w:rsidR="002B6F9E" w:rsidRPr="00C5737B">
                <w:rPr>
                  <w:rStyle w:val="Hyperlink"/>
                  <w:sz w:val="20"/>
                  <w:szCs w:val="20"/>
                </w:rPr>
                <w:t>ic-development/building-construction-training-policy</w:t>
              </w:r>
            </w:hyperlink>
          </w:p>
          <w:p w14:paraId="0CD77CD8" w14:textId="77777777" w:rsidR="002B6F9E" w:rsidRDefault="002B6F9E" w:rsidP="00B909C7">
            <w:pPr>
              <w:rPr>
                <w:sz w:val="20"/>
                <w:szCs w:val="20"/>
              </w:rPr>
            </w:pPr>
          </w:p>
          <w:p w14:paraId="4DCD502A" w14:textId="6A1E01F8" w:rsidR="001649D9" w:rsidRDefault="00C5737B" w:rsidP="00B90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DTATSIPCA</w:t>
            </w:r>
            <w:r w:rsidR="001649D9">
              <w:rPr>
                <w:sz w:val="20"/>
                <w:szCs w:val="20"/>
              </w:rPr>
              <w:t xml:space="preserve"> Economic Participation unit can also assist in determining the suitability of a project.</w:t>
            </w:r>
            <w:r w:rsidR="001D79FC">
              <w:rPr>
                <w:sz w:val="20"/>
                <w:szCs w:val="20"/>
              </w:rPr>
              <w:t xml:space="preserve"> Contact - </w:t>
            </w:r>
            <w:hyperlink r:id="rId9" w:history="1">
              <w:r w:rsidR="00C67FC1" w:rsidRPr="005A393D">
                <w:rPr>
                  <w:rStyle w:val="Hyperlink"/>
                  <w:sz w:val="20"/>
                  <w:szCs w:val="20"/>
                </w:rPr>
                <w:t>enterprise@</w:t>
              </w:r>
              <w:r>
                <w:rPr>
                  <w:rStyle w:val="Hyperlink"/>
                  <w:sz w:val="20"/>
                  <w:szCs w:val="20"/>
                </w:rPr>
                <w:t>DTATSIPCA</w:t>
              </w:r>
              <w:r w:rsidR="00C67FC1" w:rsidRPr="005A393D">
                <w:rPr>
                  <w:rStyle w:val="Hyperlink"/>
                  <w:sz w:val="20"/>
                  <w:szCs w:val="20"/>
                </w:rPr>
                <w:t>.qld.gov.au</w:t>
              </w:r>
            </w:hyperlink>
            <w:r w:rsidR="001D79FC">
              <w:rPr>
                <w:sz w:val="20"/>
                <w:szCs w:val="20"/>
              </w:rPr>
              <w:t xml:space="preserve"> or </w:t>
            </w:r>
            <w:r w:rsidR="00D065C3">
              <w:rPr>
                <w:sz w:val="20"/>
                <w:szCs w:val="20"/>
              </w:rPr>
              <w:t>3003 6376</w:t>
            </w:r>
            <w:r w:rsidR="001D79FC">
              <w:rPr>
                <w:sz w:val="20"/>
                <w:szCs w:val="20"/>
              </w:rPr>
              <w:t>.</w:t>
            </w:r>
          </w:p>
          <w:p w14:paraId="588947E7" w14:textId="77777777" w:rsidR="009E16CC" w:rsidRPr="004207C3" w:rsidRDefault="009E16CC" w:rsidP="00B909C7">
            <w:pPr>
              <w:rPr>
                <w:sz w:val="20"/>
                <w:szCs w:val="20"/>
              </w:rPr>
            </w:pPr>
          </w:p>
          <w:p w14:paraId="2598514C" w14:textId="25384787" w:rsidR="004207C3" w:rsidRPr="004207C3" w:rsidRDefault="004207C3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 xml:space="preserve">If </w:t>
            </w:r>
            <w:r w:rsidR="000D1683">
              <w:rPr>
                <w:sz w:val="20"/>
                <w:szCs w:val="20"/>
              </w:rPr>
              <w:t>the Queensland Government agency</w:t>
            </w:r>
            <w:r w:rsidR="00AD1AD3">
              <w:rPr>
                <w:sz w:val="20"/>
                <w:szCs w:val="20"/>
              </w:rPr>
              <w:t xml:space="preserve"> or government owned corporation</w:t>
            </w:r>
            <w:r w:rsidR="000D1683">
              <w:rPr>
                <w:sz w:val="20"/>
                <w:szCs w:val="20"/>
              </w:rPr>
              <w:t xml:space="preserve"> identifies a project to be selected as </w:t>
            </w:r>
            <w:r w:rsidRPr="004207C3">
              <w:rPr>
                <w:sz w:val="20"/>
                <w:szCs w:val="20"/>
              </w:rPr>
              <w:t>a</w:t>
            </w:r>
            <w:r w:rsidR="000D1683">
              <w:rPr>
                <w:sz w:val="20"/>
                <w:szCs w:val="20"/>
              </w:rPr>
              <w:t>n</w:t>
            </w:r>
            <w:r w:rsidRPr="004207C3">
              <w:rPr>
                <w:sz w:val="20"/>
                <w:szCs w:val="20"/>
              </w:rPr>
              <w:t xml:space="preserve"> </w:t>
            </w:r>
            <w:r w:rsidR="000D1683" w:rsidRPr="004207C3">
              <w:rPr>
                <w:sz w:val="20"/>
                <w:szCs w:val="20"/>
              </w:rPr>
              <w:t xml:space="preserve">Indigenous </w:t>
            </w:r>
            <w:r w:rsidR="00552C8E" w:rsidRPr="004207C3">
              <w:rPr>
                <w:sz w:val="20"/>
                <w:szCs w:val="20"/>
              </w:rPr>
              <w:t>project,</w:t>
            </w:r>
            <w:r w:rsidRPr="004207C3">
              <w:rPr>
                <w:sz w:val="20"/>
                <w:szCs w:val="20"/>
              </w:rPr>
              <w:t xml:space="preserve"> then they should contact </w:t>
            </w:r>
            <w:r w:rsidR="00C5737B">
              <w:rPr>
                <w:sz w:val="20"/>
                <w:szCs w:val="20"/>
              </w:rPr>
              <w:t>DTATSIPCA</w:t>
            </w:r>
            <w:r w:rsidR="00B909C7" w:rsidRPr="004207C3">
              <w:rPr>
                <w:sz w:val="20"/>
                <w:szCs w:val="20"/>
              </w:rPr>
              <w:t xml:space="preserve">'s </w:t>
            </w:r>
            <w:r w:rsidR="001649D9">
              <w:rPr>
                <w:sz w:val="20"/>
                <w:szCs w:val="20"/>
              </w:rPr>
              <w:t>DG requesting the project be selected as an Indigenous project under the Training Policy.</w:t>
            </w:r>
          </w:p>
          <w:p w14:paraId="5F73850F" w14:textId="77777777" w:rsidR="004207C3" w:rsidRPr="004207C3" w:rsidRDefault="004207C3" w:rsidP="00B909C7">
            <w:pPr>
              <w:rPr>
                <w:sz w:val="20"/>
                <w:szCs w:val="20"/>
              </w:rPr>
            </w:pPr>
          </w:p>
          <w:p w14:paraId="2408E0BA" w14:textId="180BB4BB" w:rsidR="004207C3" w:rsidRPr="004207C3" w:rsidRDefault="004207C3" w:rsidP="002B6F9E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 xml:space="preserve">If </w:t>
            </w:r>
            <w:r w:rsidR="000D1683">
              <w:rPr>
                <w:sz w:val="20"/>
                <w:szCs w:val="20"/>
              </w:rPr>
              <w:t xml:space="preserve">the </w:t>
            </w:r>
            <w:r w:rsidRPr="004207C3">
              <w:rPr>
                <w:sz w:val="20"/>
                <w:szCs w:val="20"/>
              </w:rPr>
              <w:t>project is deemed suitable</w:t>
            </w:r>
            <w:r w:rsidR="000D1683">
              <w:rPr>
                <w:sz w:val="20"/>
                <w:szCs w:val="20"/>
              </w:rPr>
              <w:t>,</w:t>
            </w:r>
            <w:r w:rsidRPr="004207C3">
              <w:rPr>
                <w:sz w:val="20"/>
                <w:szCs w:val="20"/>
              </w:rPr>
              <w:t xml:space="preserve"> the </w:t>
            </w:r>
            <w:r w:rsidR="00C5737B">
              <w:rPr>
                <w:sz w:val="20"/>
                <w:szCs w:val="20"/>
              </w:rPr>
              <w:t>DTATSIPCA</w:t>
            </w:r>
            <w:r w:rsidRPr="004207C3">
              <w:rPr>
                <w:sz w:val="20"/>
                <w:szCs w:val="20"/>
              </w:rPr>
              <w:t xml:space="preserve"> Director General will </w:t>
            </w:r>
            <w:r w:rsidR="00B16C90">
              <w:rPr>
                <w:sz w:val="20"/>
                <w:szCs w:val="20"/>
              </w:rPr>
              <w:t>send correspondence</w:t>
            </w:r>
            <w:r w:rsidR="009E16CC">
              <w:rPr>
                <w:sz w:val="20"/>
                <w:szCs w:val="20"/>
              </w:rPr>
              <w:t xml:space="preserve"> </w:t>
            </w:r>
            <w:r w:rsidR="00B16C90">
              <w:rPr>
                <w:sz w:val="20"/>
                <w:szCs w:val="20"/>
              </w:rPr>
              <w:t xml:space="preserve">to </w:t>
            </w:r>
            <w:r w:rsidR="000D1683">
              <w:rPr>
                <w:sz w:val="20"/>
                <w:szCs w:val="20"/>
              </w:rPr>
              <w:t xml:space="preserve">the relevant </w:t>
            </w:r>
            <w:r w:rsidRPr="004207C3">
              <w:rPr>
                <w:sz w:val="20"/>
                <w:szCs w:val="20"/>
              </w:rPr>
              <w:t>Government agenc</w:t>
            </w:r>
            <w:r w:rsidR="000D1683">
              <w:rPr>
                <w:sz w:val="20"/>
                <w:szCs w:val="20"/>
              </w:rPr>
              <w:t>y’s</w:t>
            </w:r>
            <w:r w:rsidRPr="004207C3">
              <w:rPr>
                <w:sz w:val="20"/>
                <w:szCs w:val="20"/>
              </w:rPr>
              <w:t xml:space="preserve"> Director Genera</w:t>
            </w:r>
            <w:r w:rsidR="00AD1AD3">
              <w:rPr>
                <w:sz w:val="20"/>
                <w:szCs w:val="20"/>
              </w:rPr>
              <w:t>l or Chief Executive Officer to</w:t>
            </w:r>
            <w:r w:rsidR="00B16C90">
              <w:rPr>
                <w:sz w:val="20"/>
                <w:szCs w:val="20"/>
              </w:rPr>
              <w:t xml:space="preserve"> confirm the selection of the </w:t>
            </w:r>
            <w:r w:rsidRPr="004207C3">
              <w:rPr>
                <w:sz w:val="20"/>
                <w:szCs w:val="20"/>
              </w:rPr>
              <w:t>project as an Indigenous Project under the Training Policy.</w:t>
            </w:r>
          </w:p>
        </w:tc>
      </w:tr>
      <w:tr w:rsidR="00B909C7" w:rsidRPr="004207C3" w14:paraId="3D4A8000" w14:textId="77777777" w:rsidTr="002B6F9E">
        <w:trPr>
          <w:trHeight w:val="501"/>
        </w:trPr>
        <w:tc>
          <w:tcPr>
            <w:tcW w:w="2382" w:type="dxa"/>
          </w:tcPr>
          <w:p w14:paraId="7BB8AE32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Project Needs</w:t>
            </w:r>
          </w:p>
          <w:p w14:paraId="478130E2" w14:textId="0366771A" w:rsidR="00B909C7" w:rsidRPr="004207C3" w:rsidRDefault="00B909C7" w:rsidP="002B6F9E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Assessment</w:t>
            </w:r>
          </w:p>
        </w:tc>
        <w:tc>
          <w:tcPr>
            <w:tcW w:w="8534" w:type="dxa"/>
          </w:tcPr>
          <w:p w14:paraId="423D23E5" w14:textId="77777777" w:rsidR="00B909C7" w:rsidRPr="004207C3" w:rsidRDefault="004207C3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T</w:t>
            </w:r>
            <w:r w:rsidR="00B909C7" w:rsidRPr="004207C3">
              <w:rPr>
                <w:sz w:val="20"/>
                <w:szCs w:val="20"/>
              </w:rPr>
              <w:t>he Principal identifies the project's requirements/scope of</w:t>
            </w:r>
            <w:r w:rsidRPr="004207C3">
              <w:rPr>
                <w:sz w:val="20"/>
                <w:szCs w:val="20"/>
              </w:rPr>
              <w:t xml:space="preserve"> </w:t>
            </w:r>
            <w:r w:rsidR="00B909C7" w:rsidRPr="004207C3">
              <w:rPr>
                <w:sz w:val="20"/>
                <w:szCs w:val="20"/>
              </w:rPr>
              <w:t>works.</w:t>
            </w:r>
          </w:p>
          <w:p w14:paraId="3E96E135" w14:textId="77777777" w:rsidR="00B909C7" w:rsidRPr="004207C3" w:rsidRDefault="00B909C7" w:rsidP="00B909C7">
            <w:pPr>
              <w:rPr>
                <w:sz w:val="20"/>
                <w:szCs w:val="20"/>
              </w:rPr>
            </w:pPr>
          </w:p>
        </w:tc>
      </w:tr>
      <w:tr w:rsidR="00B909C7" w:rsidRPr="004207C3" w14:paraId="721EC518" w14:textId="77777777" w:rsidTr="002B6F9E">
        <w:tc>
          <w:tcPr>
            <w:tcW w:w="2382" w:type="dxa"/>
          </w:tcPr>
          <w:p w14:paraId="6E1D605B" w14:textId="77777777" w:rsidR="00B909C7" w:rsidRPr="004207C3" w:rsidRDefault="009D3161" w:rsidP="00B90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Pre-tender and the </w:t>
            </w:r>
            <w:r w:rsidR="00B909C7" w:rsidRPr="004207C3">
              <w:rPr>
                <w:sz w:val="20"/>
                <w:szCs w:val="20"/>
              </w:rPr>
              <w:t>Indigenous</w:t>
            </w:r>
          </w:p>
          <w:p w14:paraId="78067386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Economic</w:t>
            </w:r>
          </w:p>
          <w:p w14:paraId="2A8ACE3F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Opportunities</w:t>
            </w:r>
          </w:p>
          <w:p w14:paraId="2A171663" w14:textId="77777777" w:rsidR="00B909C7" w:rsidRPr="004207C3" w:rsidRDefault="009D3161" w:rsidP="00B909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Overview </w:t>
            </w:r>
          </w:p>
          <w:p w14:paraId="52C2A317" w14:textId="77777777" w:rsidR="00B909C7" w:rsidRPr="004207C3" w:rsidRDefault="00B909C7" w:rsidP="00B909C7">
            <w:pPr>
              <w:rPr>
                <w:sz w:val="20"/>
                <w:szCs w:val="20"/>
              </w:rPr>
            </w:pPr>
          </w:p>
        </w:tc>
        <w:tc>
          <w:tcPr>
            <w:tcW w:w="8534" w:type="dxa"/>
          </w:tcPr>
          <w:p w14:paraId="0FF77C01" w14:textId="59E4639A" w:rsidR="009D3161" w:rsidRPr="009D3161" w:rsidRDefault="00C5737B" w:rsidP="009D31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DTATSIPCA</w:t>
            </w:r>
            <w:r w:rsidR="00D96FBD">
              <w:rPr>
                <w:sz w:val="20"/>
                <w:szCs w:val="20"/>
              </w:rPr>
              <w:t xml:space="preserve"> </w:t>
            </w:r>
            <w:r w:rsidR="003621F0">
              <w:rPr>
                <w:sz w:val="20"/>
                <w:szCs w:val="20"/>
              </w:rPr>
              <w:t xml:space="preserve">will </w:t>
            </w:r>
            <w:r w:rsidR="00D96FBD" w:rsidRPr="00D96FBD">
              <w:rPr>
                <w:sz w:val="20"/>
                <w:szCs w:val="20"/>
              </w:rPr>
              <w:t>provide information and advice</w:t>
            </w:r>
            <w:r w:rsidR="003621F0">
              <w:rPr>
                <w:sz w:val="20"/>
                <w:szCs w:val="20"/>
              </w:rPr>
              <w:t xml:space="preserve"> to the Principal </w:t>
            </w:r>
            <w:r w:rsidR="00D96FBD" w:rsidRPr="00D96FBD">
              <w:rPr>
                <w:sz w:val="20"/>
                <w:szCs w:val="20"/>
              </w:rPr>
              <w:t xml:space="preserve">regarding the available workforce, training, businesses, </w:t>
            </w:r>
            <w:r w:rsidR="00552C8E" w:rsidRPr="00D96FBD">
              <w:rPr>
                <w:sz w:val="20"/>
                <w:szCs w:val="20"/>
              </w:rPr>
              <w:t>goods,</w:t>
            </w:r>
            <w:r w:rsidR="00D96FBD" w:rsidRPr="00D96FBD">
              <w:rPr>
                <w:sz w:val="20"/>
                <w:szCs w:val="20"/>
              </w:rPr>
              <w:t xml:space="preserve"> and services that could be utilised to meet compliance under the Training Policy. This </w:t>
            </w:r>
            <w:r w:rsidR="003621F0">
              <w:rPr>
                <w:sz w:val="20"/>
                <w:szCs w:val="20"/>
              </w:rPr>
              <w:t xml:space="preserve">information </w:t>
            </w:r>
            <w:r w:rsidR="00D96FBD" w:rsidRPr="00D96FBD">
              <w:rPr>
                <w:sz w:val="20"/>
                <w:szCs w:val="20"/>
              </w:rPr>
              <w:t>will be based on project's scope of works</w:t>
            </w:r>
            <w:r w:rsidR="00054C6D">
              <w:rPr>
                <w:sz w:val="20"/>
                <w:szCs w:val="20"/>
              </w:rPr>
              <w:t xml:space="preserve"> and w</w:t>
            </w:r>
            <w:r w:rsidR="003621F0">
              <w:rPr>
                <w:sz w:val="20"/>
                <w:szCs w:val="20"/>
              </w:rPr>
              <w:t xml:space="preserve">ill </w:t>
            </w:r>
            <w:r w:rsidR="009D3161" w:rsidRPr="009D3161">
              <w:rPr>
                <w:sz w:val="20"/>
                <w:szCs w:val="20"/>
              </w:rPr>
              <w:t xml:space="preserve">assist the Principal to develop an Indigenous Employment Opportunities (IEO) Overview to be included in the tender documents. </w:t>
            </w:r>
          </w:p>
          <w:p w14:paraId="245CF341" w14:textId="77777777" w:rsidR="00D96FBD" w:rsidRDefault="00D96FBD" w:rsidP="009D3161">
            <w:pPr>
              <w:rPr>
                <w:sz w:val="20"/>
                <w:szCs w:val="20"/>
              </w:rPr>
            </w:pPr>
          </w:p>
          <w:p w14:paraId="4219C81C" w14:textId="0CF3CD68" w:rsidR="00B909C7" w:rsidRPr="004207C3" w:rsidRDefault="003621F0" w:rsidP="002B6F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IEO Overview</w:t>
            </w:r>
            <w:r w:rsidR="009D3161" w:rsidRPr="009D3161">
              <w:rPr>
                <w:sz w:val="20"/>
                <w:szCs w:val="20"/>
              </w:rPr>
              <w:t xml:space="preserve"> is project specific and provides contractors with information about what is available </w:t>
            </w:r>
            <w:r w:rsidR="007F769E">
              <w:rPr>
                <w:sz w:val="20"/>
                <w:szCs w:val="20"/>
              </w:rPr>
              <w:t xml:space="preserve">to </w:t>
            </w:r>
            <w:r w:rsidR="009D3161" w:rsidRPr="009D3161">
              <w:rPr>
                <w:sz w:val="20"/>
                <w:szCs w:val="20"/>
              </w:rPr>
              <w:t>meet the I</w:t>
            </w:r>
            <w:r w:rsidR="00054C6D">
              <w:rPr>
                <w:sz w:val="20"/>
                <w:szCs w:val="20"/>
              </w:rPr>
              <w:t xml:space="preserve">ndigenous </w:t>
            </w:r>
            <w:r w:rsidR="009D3161" w:rsidRPr="009D3161">
              <w:rPr>
                <w:sz w:val="20"/>
                <w:szCs w:val="20"/>
              </w:rPr>
              <w:t>E</w:t>
            </w:r>
            <w:r w:rsidR="00054C6D">
              <w:rPr>
                <w:sz w:val="20"/>
                <w:szCs w:val="20"/>
              </w:rPr>
              <w:t xml:space="preserve">conomic </w:t>
            </w:r>
            <w:r w:rsidR="009D3161" w:rsidRPr="009D3161">
              <w:rPr>
                <w:sz w:val="20"/>
                <w:szCs w:val="20"/>
              </w:rPr>
              <w:t>O</w:t>
            </w:r>
            <w:r w:rsidR="00054C6D">
              <w:rPr>
                <w:sz w:val="20"/>
                <w:szCs w:val="20"/>
              </w:rPr>
              <w:t>pportunities</w:t>
            </w:r>
            <w:r w:rsidR="009D3161" w:rsidRPr="009D3161">
              <w:rPr>
                <w:sz w:val="20"/>
                <w:szCs w:val="20"/>
              </w:rPr>
              <w:t xml:space="preserve"> Plan.</w:t>
            </w:r>
            <w:r w:rsidR="00054C6D">
              <w:rPr>
                <w:sz w:val="20"/>
                <w:szCs w:val="20"/>
              </w:rPr>
              <w:t xml:space="preserve"> </w:t>
            </w:r>
          </w:p>
        </w:tc>
      </w:tr>
      <w:tr w:rsidR="00B909C7" w:rsidRPr="004207C3" w14:paraId="5863BE5D" w14:textId="77777777" w:rsidTr="002B6F9E">
        <w:trPr>
          <w:trHeight w:val="528"/>
        </w:trPr>
        <w:tc>
          <w:tcPr>
            <w:tcW w:w="2382" w:type="dxa"/>
          </w:tcPr>
          <w:p w14:paraId="217C0B47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Invitation to</w:t>
            </w:r>
          </w:p>
          <w:p w14:paraId="7FDF45A1" w14:textId="0CF9B131" w:rsidR="00B909C7" w:rsidRPr="004207C3" w:rsidRDefault="00B909C7" w:rsidP="002B6F9E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tender</w:t>
            </w:r>
          </w:p>
        </w:tc>
        <w:tc>
          <w:tcPr>
            <w:tcW w:w="8534" w:type="dxa"/>
          </w:tcPr>
          <w:p w14:paraId="2EB106EF" w14:textId="620F6769" w:rsidR="00B909C7" w:rsidRPr="004207C3" w:rsidRDefault="00B909C7" w:rsidP="002B6F9E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Tender documentation provides guidance for contractors seeking</w:t>
            </w:r>
            <w:r w:rsidR="004207C3" w:rsidRPr="004207C3">
              <w:rPr>
                <w:sz w:val="20"/>
                <w:szCs w:val="20"/>
              </w:rPr>
              <w:t xml:space="preserve"> </w:t>
            </w:r>
            <w:r w:rsidRPr="004207C3">
              <w:rPr>
                <w:sz w:val="20"/>
                <w:szCs w:val="20"/>
              </w:rPr>
              <w:t>information about the project’s requirements</w:t>
            </w:r>
            <w:r w:rsidR="00F034A1">
              <w:rPr>
                <w:sz w:val="20"/>
                <w:szCs w:val="20"/>
              </w:rPr>
              <w:t>. The IEO Overview is to be included in the tender documentation.</w:t>
            </w:r>
          </w:p>
        </w:tc>
      </w:tr>
      <w:tr w:rsidR="00B909C7" w:rsidRPr="004207C3" w14:paraId="4560644D" w14:textId="77777777" w:rsidTr="002B6F9E">
        <w:tc>
          <w:tcPr>
            <w:tcW w:w="2382" w:type="dxa"/>
          </w:tcPr>
          <w:p w14:paraId="058AD0D4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Close of Tender</w:t>
            </w:r>
          </w:p>
          <w:p w14:paraId="3979FCBA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– Post</w:t>
            </w:r>
          </w:p>
          <w:p w14:paraId="17E14FC1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Negotiations</w:t>
            </w:r>
            <w:r w:rsidR="00054C6D">
              <w:rPr>
                <w:sz w:val="20"/>
                <w:szCs w:val="20"/>
              </w:rPr>
              <w:t xml:space="preserve"> and the I</w:t>
            </w:r>
            <w:r w:rsidR="00B42335">
              <w:rPr>
                <w:sz w:val="20"/>
                <w:szCs w:val="20"/>
              </w:rPr>
              <w:t>EO Plan</w:t>
            </w:r>
            <w:r w:rsidR="00054C6D">
              <w:rPr>
                <w:sz w:val="20"/>
                <w:szCs w:val="20"/>
              </w:rPr>
              <w:t xml:space="preserve"> </w:t>
            </w:r>
          </w:p>
          <w:p w14:paraId="39BD4CF8" w14:textId="77777777" w:rsidR="00B909C7" w:rsidRPr="004207C3" w:rsidRDefault="00B909C7" w:rsidP="00B909C7">
            <w:pPr>
              <w:rPr>
                <w:sz w:val="20"/>
                <w:szCs w:val="20"/>
              </w:rPr>
            </w:pPr>
          </w:p>
        </w:tc>
        <w:tc>
          <w:tcPr>
            <w:tcW w:w="8534" w:type="dxa"/>
          </w:tcPr>
          <w:p w14:paraId="2E3EA63A" w14:textId="5D63E6F2" w:rsidR="00B909C7" w:rsidRDefault="00B909C7" w:rsidP="004207C3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 xml:space="preserve">The Principal is responsible for </w:t>
            </w:r>
            <w:r w:rsidR="00B42335">
              <w:rPr>
                <w:sz w:val="20"/>
                <w:szCs w:val="20"/>
              </w:rPr>
              <w:t xml:space="preserve">leading the </w:t>
            </w:r>
            <w:r w:rsidRPr="004207C3">
              <w:rPr>
                <w:sz w:val="20"/>
                <w:szCs w:val="20"/>
              </w:rPr>
              <w:t>preferred tenderer negotiations and forming</w:t>
            </w:r>
            <w:r w:rsidR="004207C3">
              <w:rPr>
                <w:sz w:val="20"/>
                <w:szCs w:val="20"/>
              </w:rPr>
              <w:t xml:space="preserve"> </w:t>
            </w:r>
            <w:r w:rsidRPr="004207C3">
              <w:rPr>
                <w:sz w:val="20"/>
                <w:szCs w:val="20"/>
              </w:rPr>
              <w:t>agreement on the Indigenous Economic Opportunities</w:t>
            </w:r>
            <w:r w:rsidR="00B16C90">
              <w:rPr>
                <w:sz w:val="20"/>
                <w:szCs w:val="20"/>
              </w:rPr>
              <w:t xml:space="preserve"> (IEO)</w:t>
            </w:r>
            <w:r w:rsidRPr="004207C3">
              <w:rPr>
                <w:sz w:val="20"/>
                <w:szCs w:val="20"/>
              </w:rPr>
              <w:t xml:space="preserve"> Plan with </w:t>
            </w:r>
            <w:r w:rsidR="00C5737B">
              <w:rPr>
                <w:sz w:val="20"/>
                <w:szCs w:val="20"/>
              </w:rPr>
              <w:t>DTATSIPCA</w:t>
            </w:r>
            <w:r w:rsidRPr="004207C3">
              <w:rPr>
                <w:sz w:val="20"/>
                <w:szCs w:val="20"/>
              </w:rPr>
              <w:t xml:space="preserve"> and the preferred tenderer(s).</w:t>
            </w:r>
            <w:r w:rsidR="00B42335">
              <w:rPr>
                <w:sz w:val="20"/>
                <w:szCs w:val="20"/>
              </w:rPr>
              <w:t xml:space="preserve"> The</w:t>
            </w:r>
            <w:r w:rsidR="00B42335" w:rsidRPr="004207C3">
              <w:rPr>
                <w:sz w:val="20"/>
                <w:szCs w:val="20"/>
              </w:rPr>
              <w:t xml:space="preserve"> IEO Overview </w:t>
            </w:r>
            <w:r w:rsidR="00B42335">
              <w:rPr>
                <w:sz w:val="20"/>
                <w:szCs w:val="20"/>
              </w:rPr>
              <w:t xml:space="preserve">supplied in the tender documents </w:t>
            </w:r>
            <w:r w:rsidR="00B42335" w:rsidRPr="004207C3">
              <w:rPr>
                <w:sz w:val="20"/>
                <w:szCs w:val="20"/>
              </w:rPr>
              <w:t xml:space="preserve">support </w:t>
            </w:r>
            <w:r w:rsidR="00B42335">
              <w:rPr>
                <w:sz w:val="20"/>
                <w:szCs w:val="20"/>
              </w:rPr>
              <w:t>this process</w:t>
            </w:r>
            <w:r w:rsidR="00B42335" w:rsidRPr="004207C3">
              <w:rPr>
                <w:sz w:val="20"/>
                <w:szCs w:val="20"/>
              </w:rPr>
              <w:t>.</w:t>
            </w:r>
          </w:p>
          <w:p w14:paraId="347BDAA2" w14:textId="77777777" w:rsidR="00B42335" w:rsidRDefault="00B42335" w:rsidP="004207C3">
            <w:pPr>
              <w:rPr>
                <w:rFonts w:cs="Calibri"/>
                <w:sz w:val="20"/>
                <w:szCs w:val="20"/>
                <w:lang w:val="en-US"/>
              </w:rPr>
            </w:pPr>
          </w:p>
          <w:p w14:paraId="0E7F5158" w14:textId="5A7A7BA4" w:rsidR="00B909C7" w:rsidRPr="004207C3" w:rsidRDefault="002D2912" w:rsidP="002D2912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 xml:space="preserve">The </w:t>
            </w:r>
            <w:r w:rsidRPr="00B42335">
              <w:rPr>
                <w:rFonts w:cs="Calibri"/>
                <w:sz w:val="20"/>
                <w:szCs w:val="20"/>
                <w:lang w:val="en-US"/>
              </w:rPr>
              <w:t>preferred tenderer(s</w:t>
            </w:r>
            <w:r>
              <w:rPr>
                <w:sz w:val="20"/>
                <w:szCs w:val="20"/>
              </w:rPr>
              <w:t xml:space="preserve">) develops and </w:t>
            </w:r>
            <w:r w:rsidRPr="004207C3">
              <w:rPr>
                <w:sz w:val="20"/>
                <w:szCs w:val="20"/>
              </w:rPr>
              <w:t xml:space="preserve">finalises the IEO Plan with </w:t>
            </w:r>
            <w:r w:rsidR="00C5737B">
              <w:rPr>
                <w:sz w:val="20"/>
                <w:szCs w:val="20"/>
              </w:rPr>
              <w:t>DTATSIPCA</w:t>
            </w:r>
            <w:r w:rsidRPr="004207C3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the </w:t>
            </w:r>
            <w:r w:rsidRPr="004207C3">
              <w:rPr>
                <w:sz w:val="20"/>
                <w:szCs w:val="20"/>
              </w:rPr>
              <w:t>Principal.</w:t>
            </w:r>
            <w:r>
              <w:rPr>
                <w:sz w:val="20"/>
                <w:szCs w:val="20"/>
              </w:rPr>
              <w:t xml:space="preserve"> </w:t>
            </w:r>
            <w:r w:rsidRPr="004207C3">
              <w:rPr>
                <w:sz w:val="20"/>
                <w:szCs w:val="20"/>
              </w:rPr>
              <w:t xml:space="preserve">The agreed IEO Plan is signed off by the Principal, Contractor and </w:t>
            </w:r>
            <w:r w:rsidR="00C5737B">
              <w:rPr>
                <w:sz w:val="20"/>
                <w:szCs w:val="20"/>
              </w:rPr>
              <w:t>DTATSIPCA</w:t>
            </w:r>
            <w:r>
              <w:rPr>
                <w:sz w:val="20"/>
                <w:szCs w:val="20"/>
              </w:rPr>
              <w:t xml:space="preserve"> </w:t>
            </w:r>
            <w:r w:rsidRPr="00B42335">
              <w:rPr>
                <w:rFonts w:cs="Calibri"/>
                <w:sz w:val="20"/>
                <w:szCs w:val="20"/>
                <w:lang w:val="en-US"/>
              </w:rPr>
              <w:t>prior to the awarding of the contract.</w:t>
            </w:r>
          </w:p>
        </w:tc>
      </w:tr>
      <w:tr w:rsidR="00B909C7" w:rsidRPr="004207C3" w14:paraId="63F168C0" w14:textId="77777777" w:rsidTr="002B6F9E">
        <w:tc>
          <w:tcPr>
            <w:tcW w:w="2382" w:type="dxa"/>
          </w:tcPr>
          <w:p w14:paraId="1DF4B4D1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Tender</w:t>
            </w:r>
            <w:r w:rsidR="00462BB8">
              <w:rPr>
                <w:sz w:val="20"/>
                <w:szCs w:val="20"/>
              </w:rPr>
              <w:t xml:space="preserve"> </w:t>
            </w:r>
            <w:r w:rsidRPr="004207C3">
              <w:rPr>
                <w:sz w:val="20"/>
                <w:szCs w:val="20"/>
              </w:rPr>
              <w:t>awarded</w:t>
            </w:r>
          </w:p>
          <w:p w14:paraId="4FC97D68" w14:textId="77777777" w:rsidR="00B909C7" w:rsidRPr="004207C3" w:rsidRDefault="00B909C7" w:rsidP="00B909C7">
            <w:pPr>
              <w:rPr>
                <w:sz w:val="20"/>
                <w:szCs w:val="20"/>
              </w:rPr>
            </w:pPr>
          </w:p>
        </w:tc>
        <w:tc>
          <w:tcPr>
            <w:tcW w:w="8534" w:type="dxa"/>
          </w:tcPr>
          <w:p w14:paraId="5812CA8D" w14:textId="43E130AF" w:rsidR="00B909C7" w:rsidRPr="004207C3" w:rsidRDefault="002D2912" w:rsidP="002B6F9E">
            <w:pPr>
              <w:rPr>
                <w:sz w:val="20"/>
                <w:szCs w:val="20"/>
              </w:rPr>
            </w:pPr>
            <w:r w:rsidRPr="002D2912">
              <w:rPr>
                <w:sz w:val="20"/>
                <w:szCs w:val="20"/>
              </w:rPr>
              <w:t xml:space="preserve">The signed IEO Plan forms part of the contract with the successful Contractor.  </w:t>
            </w:r>
          </w:p>
        </w:tc>
      </w:tr>
      <w:tr w:rsidR="00B909C7" w:rsidRPr="004207C3" w14:paraId="1357A23A" w14:textId="77777777" w:rsidTr="002B6F9E">
        <w:tc>
          <w:tcPr>
            <w:tcW w:w="2382" w:type="dxa"/>
          </w:tcPr>
          <w:p w14:paraId="3F4C6C4F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Compliance</w:t>
            </w:r>
          </w:p>
          <w:p w14:paraId="71E3F561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Plan lodged</w:t>
            </w:r>
          </w:p>
          <w:p w14:paraId="51496C8B" w14:textId="77777777" w:rsidR="00B909C7" w:rsidRPr="004207C3" w:rsidRDefault="00B909C7" w:rsidP="00B909C7">
            <w:pPr>
              <w:rPr>
                <w:sz w:val="20"/>
                <w:szCs w:val="20"/>
              </w:rPr>
            </w:pPr>
          </w:p>
        </w:tc>
        <w:tc>
          <w:tcPr>
            <w:tcW w:w="8534" w:type="dxa"/>
          </w:tcPr>
          <w:p w14:paraId="08D5F654" w14:textId="0AEEF360" w:rsidR="00B909C7" w:rsidRPr="004207C3" w:rsidRDefault="000A2503" w:rsidP="00E949A6">
            <w:pPr>
              <w:rPr>
                <w:sz w:val="20"/>
                <w:szCs w:val="20"/>
              </w:rPr>
            </w:pPr>
            <w:r w:rsidRPr="000A2503">
              <w:rPr>
                <w:sz w:val="20"/>
                <w:szCs w:val="20"/>
              </w:rPr>
              <w:t>The successful contractor submits the Compliance Plan information and uploads a copy of the signed IEO Plan online using the Training Policy’s Administration System (TPAS)</w:t>
            </w:r>
            <w:r w:rsidR="00E949A6">
              <w:rPr>
                <w:sz w:val="20"/>
                <w:szCs w:val="20"/>
              </w:rPr>
              <w:t xml:space="preserve"> portal</w:t>
            </w:r>
            <w:r w:rsidRPr="000A2503">
              <w:rPr>
                <w:sz w:val="20"/>
                <w:szCs w:val="20"/>
              </w:rPr>
              <w:t xml:space="preserve"> located on the website at </w:t>
            </w:r>
            <w:r w:rsidR="004200D9" w:rsidRPr="004200D9">
              <w:rPr>
                <w:rStyle w:val="Hyperlink"/>
                <w:sz w:val="20"/>
                <w:szCs w:val="20"/>
              </w:rPr>
              <w:t>https://tpa.csq.org.au</w:t>
            </w:r>
          </w:p>
        </w:tc>
      </w:tr>
      <w:tr w:rsidR="00B909C7" w:rsidRPr="004207C3" w14:paraId="0AC2E35C" w14:textId="77777777" w:rsidTr="002B6F9E">
        <w:trPr>
          <w:trHeight w:val="511"/>
        </w:trPr>
        <w:tc>
          <w:tcPr>
            <w:tcW w:w="2382" w:type="dxa"/>
          </w:tcPr>
          <w:p w14:paraId="23F736E8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Monitoring IEO</w:t>
            </w:r>
          </w:p>
          <w:p w14:paraId="5E021FB9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Plan</w:t>
            </w:r>
          </w:p>
          <w:p w14:paraId="1287D3F3" w14:textId="77777777" w:rsidR="00B909C7" w:rsidRPr="004207C3" w:rsidRDefault="00B909C7" w:rsidP="00B909C7">
            <w:pPr>
              <w:rPr>
                <w:sz w:val="20"/>
                <w:szCs w:val="20"/>
              </w:rPr>
            </w:pPr>
          </w:p>
        </w:tc>
        <w:tc>
          <w:tcPr>
            <w:tcW w:w="8534" w:type="dxa"/>
          </w:tcPr>
          <w:p w14:paraId="7FDADFA6" w14:textId="4549BF19" w:rsidR="00E949A6" w:rsidRPr="004207C3" w:rsidRDefault="00405167" w:rsidP="00E949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B909C7" w:rsidRPr="004207C3">
              <w:rPr>
                <w:sz w:val="20"/>
                <w:szCs w:val="20"/>
              </w:rPr>
              <w:t>he Principal and the contractor are responsible for</w:t>
            </w:r>
            <w:r>
              <w:rPr>
                <w:sz w:val="20"/>
                <w:szCs w:val="20"/>
              </w:rPr>
              <w:t xml:space="preserve"> </w:t>
            </w:r>
            <w:r w:rsidR="007B6D29">
              <w:rPr>
                <w:sz w:val="20"/>
                <w:szCs w:val="20"/>
              </w:rPr>
              <w:t xml:space="preserve">providing </w:t>
            </w:r>
            <w:r w:rsidR="00C5737B">
              <w:rPr>
                <w:sz w:val="20"/>
                <w:szCs w:val="20"/>
              </w:rPr>
              <w:t>DTATSIPCA</w:t>
            </w:r>
            <w:r w:rsidR="00B909C7" w:rsidRPr="004207C3">
              <w:rPr>
                <w:sz w:val="20"/>
                <w:szCs w:val="20"/>
              </w:rPr>
              <w:t xml:space="preserve"> </w:t>
            </w:r>
            <w:r w:rsidR="002D2912">
              <w:rPr>
                <w:sz w:val="20"/>
                <w:szCs w:val="20"/>
              </w:rPr>
              <w:t xml:space="preserve">with </w:t>
            </w:r>
            <w:r>
              <w:rPr>
                <w:sz w:val="20"/>
                <w:szCs w:val="20"/>
              </w:rPr>
              <w:t xml:space="preserve">an </w:t>
            </w:r>
            <w:r w:rsidR="000A2503" w:rsidRPr="004207C3">
              <w:rPr>
                <w:sz w:val="20"/>
                <w:szCs w:val="20"/>
              </w:rPr>
              <w:t>update</w:t>
            </w:r>
            <w:r w:rsidR="00B909C7" w:rsidRPr="004207C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r w:rsidR="009E16CC">
              <w:rPr>
                <w:sz w:val="20"/>
                <w:szCs w:val="20"/>
              </w:rPr>
              <w:t>the</w:t>
            </w:r>
            <w:r w:rsidR="009E16CC" w:rsidRPr="004207C3">
              <w:rPr>
                <w:sz w:val="20"/>
                <w:szCs w:val="20"/>
              </w:rPr>
              <w:t xml:space="preserve"> progress</w:t>
            </w:r>
            <w:r w:rsidR="00B909C7" w:rsidRPr="004207C3">
              <w:rPr>
                <w:sz w:val="20"/>
                <w:szCs w:val="20"/>
              </w:rPr>
              <w:t xml:space="preserve"> against the </w:t>
            </w:r>
            <w:r w:rsidR="00230120">
              <w:rPr>
                <w:sz w:val="20"/>
                <w:szCs w:val="20"/>
              </w:rPr>
              <w:t xml:space="preserve">agreed </w:t>
            </w:r>
            <w:r w:rsidR="00B909C7" w:rsidRPr="004207C3">
              <w:rPr>
                <w:sz w:val="20"/>
                <w:szCs w:val="20"/>
              </w:rPr>
              <w:t>IEO Plan</w:t>
            </w:r>
            <w:r w:rsidR="007B6D29">
              <w:rPr>
                <w:sz w:val="20"/>
                <w:szCs w:val="20"/>
              </w:rPr>
              <w:t xml:space="preserve"> throughout the </w:t>
            </w:r>
            <w:r w:rsidR="00552C8E">
              <w:rPr>
                <w:sz w:val="20"/>
                <w:szCs w:val="20"/>
              </w:rPr>
              <w:t>project’s</w:t>
            </w:r>
            <w:r w:rsidR="007B6D29">
              <w:rPr>
                <w:sz w:val="20"/>
                <w:szCs w:val="20"/>
              </w:rPr>
              <w:t xml:space="preserve"> construction</w:t>
            </w:r>
            <w:r w:rsidR="00B909C7" w:rsidRPr="004207C3">
              <w:rPr>
                <w:sz w:val="20"/>
                <w:szCs w:val="20"/>
              </w:rPr>
              <w:t>.</w:t>
            </w:r>
          </w:p>
        </w:tc>
      </w:tr>
      <w:tr w:rsidR="00B909C7" w:rsidRPr="004207C3" w14:paraId="13196A83" w14:textId="77777777" w:rsidTr="002B6F9E">
        <w:trPr>
          <w:trHeight w:val="620"/>
        </w:trPr>
        <w:tc>
          <w:tcPr>
            <w:tcW w:w="2382" w:type="dxa"/>
          </w:tcPr>
          <w:p w14:paraId="7199043B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Practical</w:t>
            </w:r>
          </w:p>
          <w:p w14:paraId="16443409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Completion</w:t>
            </w:r>
          </w:p>
          <w:p w14:paraId="518D06A0" w14:textId="77777777" w:rsidR="00B909C7" w:rsidRPr="004207C3" w:rsidRDefault="00B909C7" w:rsidP="00B909C7">
            <w:pPr>
              <w:rPr>
                <w:sz w:val="20"/>
                <w:szCs w:val="20"/>
              </w:rPr>
            </w:pPr>
            <w:r w:rsidRPr="004207C3">
              <w:rPr>
                <w:sz w:val="20"/>
                <w:szCs w:val="20"/>
              </w:rPr>
              <w:t>report</w:t>
            </w:r>
          </w:p>
          <w:p w14:paraId="2A43FB4C" w14:textId="77777777" w:rsidR="00B909C7" w:rsidRPr="004207C3" w:rsidRDefault="00B909C7" w:rsidP="00B909C7">
            <w:pPr>
              <w:rPr>
                <w:sz w:val="20"/>
                <w:szCs w:val="20"/>
              </w:rPr>
            </w:pPr>
          </w:p>
        </w:tc>
        <w:tc>
          <w:tcPr>
            <w:tcW w:w="8534" w:type="dxa"/>
          </w:tcPr>
          <w:p w14:paraId="0D0C5DEA" w14:textId="41FBEF89" w:rsidR="000A2503" w:rsidRDefault="000A2503" w:rsidP="000A2503">
            <w:pPr>
              <w:rPr>
                <w:sz w:val="20"/>
                <w:szCs w:val="20"/>
              </w:rPr>
            </w:pPr>
            <w:r w:rsidRPr="000A2503">
              <w:rPr>
                <w:sz w:val="20"/>
                <w:szCs w:val="20"/>
              </w:rPr>
              <w:t>Upon completion of project, the achievement of outcomes against the IEO Plan are reviewed and signed off by the Principal, Contractor and</w:t>
            </w:r>
            <w:r>
              <w:rPr>
                <w:sz w:val="20"/>
                <w:szCs w:val="20"/>
              </w:rPr>
              <w:t xml:space="preserve"> </w:t>
            </w:r>
            <w:r w:rsidR="00C5737B">
              <w:rPr>
                <w:sz w:val="20"/>
                <w:szCs w:val="20"/>
              </w:rPr>
              <w:t>DTATSIPCA</w:t>
            </w:r>
            <w:r w:rsidRPr="000A2503">
              <w:rPr>
                <w:sz w:val="20"/>
                <w:szCs w:val="20"/>
              </w:rPr>
              <w:t>.</w:t>
            </w:r>
          </w:p>
          <w:p w14:paraId="2E7BA28A" w14:textId="77777777" w:rsidR="000A2503" w:rsidRPr="000A2503" w:rsidRDefault="000A2503" w:rsidP="000A2503">
            <w:pPr>
              <w:rPr>
                <w:sz w:val="20"/>
                <w:szCs w:val="20"/>
              </w:rPr>
            </w:pPr>
          </w:p>
          <w:p w14:paraId="58175B61" w14:textId="0E2A3A16" w:rsidR="00B909C7" w:rsidRPr="004207C3" w:rsidRDefault="000A2503" w:rsidP="004200D9">
            <w:pPr>
              <w:rPr>
                <w:sz w:val="20"/>
                <w:szCs w:val="20"/>
              </w:rPr>
            </w:pPr>
            <w:r w:rsidRPr="000A2503">
              <w:rPr>
                <w:sz w:val="20"/>
                <w:szCs w:val="20"/>
              </w:rPr>
              <w:t xml:space="preserve">The contractor submits the Practical Completion </w:t>
            </w:r>
            <w:r w:rsidR="00552C8E" w:rsidRPr="000A2503">
              <w:rPr>
                <w:sz w:val="20"/>
                <w:szCs w:val="20"/>
              </w:rPr>
              <w:t>Report information</w:t>
            </w:r>
            <w:r w:rsidRPr="000A2503">
              <w:rPr>
                <w:sz w:val="20"/>
                <w:szCs w:val="20"/>
              </w:rPr>
              <w:t xml:space="preserve"> and uploads a copy of the signed IEO Plan with final outcomes using the Training Policy Administration System (TPAS)</w:t>
            </w:r>
            <w:r w:rsidR="00E949A6">
              <w:rPr>
                <w:sz w:val="20"/>
                <w:szCs w:val="20"/>
              </w:rPr>
              <w:t xml:space="preserve"> portal</w:t>
            </w:r>
            <w:r w:rsidRPr="000A2503">
              <w:rPr>
                <w:sz w:val="20"/>
                <w:szCs w:val="20"/>
              </w:rPr>
              <w:t xml:space="preserve"> located on the website at </w:t>
            </w:r>
            <w:r w:rsidR="004200D9" w:rsidRPr="004200D9">
              <w:rPr>
                <w:rStyle w:val="Hyperlink"/>
                <w:sz w:val="20"/>
                <w:szCs w:val="20"/>
              </w:rPr>
              <w:t>https://tpa.csq.org.au</w:t>
            </w:r>
          </w:p>
        </w:tc>
      </w:tr>
    </w:tbl>
    <w:p w14:paraId="5117E800" w14:textId="77777777" w:rsidR="00B909C7" w:rsidRDefault="00B909C7" w:rsidP="002B6F9E"/>
    <w:sectPr w:rsidR="00B909C7" w:rsidSect="005908FA">
      <w:footerReference w:type="default" r:id="rId10"/>
      <w:pgSz w:w="11906" w:h="16838"/>
      <w:pgMar w:top="993" w:right="1440" w:bottom="1440" w:left="144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D9709" w14:textId="77777777" w:rsidR="00D67AE8" w:rsidRDefault="00D67AE8" w:rsidP="00D67AE8">
      <w:pPr>
        <w:spacing w:after="0" w:line="240" w:lineRule="auto"/>
      </w:pPr>
      <w:r>
        <w:separator/>
      </w:r>
    </w:p>
  </w:endnote>
  <w:endnote w:type="continuationSeparator" w:id="0">
    <w:p w14:paraId="1EF4C174" w14:textId="77777777" w:rsidR="00D67AE8" w:rsidRDefault="00D67AE8" w:rsidP="00D6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E845" w14:textId="1F5D2288" w:rsidR="00D67AE8" w:rsidRDefault="00D67AE8" w:rsidP="00D67AE8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DF9108" wp14:editId="42DB259A">
          <wp:simplePos x="0" y="0"/>
          <wp:positionH relativeFrom="column">
            <wp:posOffset>5367894</wp:posOffset>
          </wp:positionH>
          <wp:positionV relativeFrom="paragraph">
            <wp:posOffset>-365125</wp:posOffset>
          </wp:positionV>
          <wp:extent cx="573405" cy="723265"/>
          <wp:effectExtent l="0" t="0" r="0" b="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A1698" w14:textId="35AD8E8B" w:rsidR="00D67AE8" w:rsidRDefault="00D67AE8">
    <w:pPr>
      <w:pStyle w:val="Footer"/>
    </w:pPr>
  </w:p>
  <w:p w14:paraId="5AF16BDB" w14:textId="77777777" w:rsidR="00D67AE8" w:rsidRDefault="00D67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75E0A" w14:textId="77777777" w:rsidR="00D67AE8" w:rsidRDefault="00D67AE8" w:rsidP="00D67AE8">
      <w:pPr>
        <w:spacing w:after="0" w:line="240" w:lineRule="auto"/>
      </w:pPr>
      <w:r>
        <w:separator/>
      </w:r>
    </w:p>
  </w:footnote>
  <w:footnote w:type="continuationSeparator" w:id="0">
    <w:p w14:paraId="688F9AC7" w14:textId="77777777" w:rsidR="00D67AE8" w:rsidRDefault="00D67AE8" w:rsidP="00D6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F3566"/>
    <w:multiLevelType w:val="hybridMultilevel"/>
    <w:tmpl w:val="28444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4884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C7"/>
    <w:rsid w:val="0000182A"/>
    <w:rsid w:val="00054C6D"/>
    <w:rsid w:val="00093931"/>
    <w:rsid w:val="000A2503"/>
    <w:rsid w:val="000D1683"/>
    <w:rsid w:val="001649D9"/>
    <w:rsid w:val="00181429"/>
    <w:rsid w:val="00196AF2"/>
    <w:rsid w:val="001D5596"/>
    <w:rsid w:val="001D79FC"/>
    <w:rsid w:val="00230120"/>
    <w:rsid w:val="002B6F9E"/>
    <w:rsid w:val="002C3F54"/>
    <w:rsid w:val="002D2912"/>
    <w:rsid w:val="003621F0"/>
    <w:rsid w:val="00382D48"/>
    <w:rsid w:val="00405167"/>
    <w:rsid w:val="004200D9"/>
    <w:rsid w:val="004207C3"/>
    <w:rsid w:val="00462BB8"/>
    <w:rsid w:val="00552C8E"/>
    <w:rsid w:val="00553B50"/>
    <w:rsid w:val="005908FA"/>
    <w:rsid w:val="005B38B5"/>
    <w:rsid w:val="00661AB8"/>
    <w:rsid w:val="007B6D29"/>
    <w:rsid w:val="007F769E"/>
    <w:rsid w:val="0085413A"/>
    <w:rsid w:val="0087020F"/>
    <w:rsid w:val="008A273C"/>
    <w:rsid w:val="00911C9B"/>
    <w:rsid w:val="009D3161"/>
    <w:rsid w:val="009E16CC"/>
    <w:rsid w:val="009F5DE6"/>
    <w:rsid w:val="00AD1AD3"/>
    <w:rsid w:val="00B16C90"/>
    <w:rsid w:val="00B41419"/>
    <w:rsid w:val="00B42335"/>
    <w:rsid w:val="00B909C7"/>
    <w:rsid w:val="00C5737B"/>
    <w:rsid w:val="00C67FC1"/>
    <w:rsid w:val="00CF7039"/>
    <w:rsid w:val="00D065C3"/>
    <w:rsid w:val="00D308C8"/>
    <w:rsid w:val="00D67AE8"/>
    <w:rsid w:val="00D96FBD"/>
    <w:rsid w:val="00DB7B93"/>
    <w:rsid w:val="00E949A6"/>
    <w:rsid w:val="00EC1520"/>
    <w:rsid w:val="00EC76CE"/>
    <w:rsid w:val="00F034A1"/>
    <w:rsid w:val="00FD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02C7183"/>
  <w14:defaultImageDpi w14:val="0"/>
  <w15:docId w15:val="{8E011325-124E-41B4-B653-05E550F6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196AF2"/>
    <w:pPr>
      <w:jc w:val="center"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0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09C7"/>
    <w:rPr>
      <w:rFonts w:cs="Times New Roman"/>
      <w:color w:val="0000FF" w:themeColor="hyperlink"/>
      <w:u w:val="single"/>
    </w:rPr>
  </w:style>
  <w:style w:type="paragraph" w:styleId="NoSpacing">
    <w:name w:val="No Spacing"/>
    <w:uiPriority w:val="1"/>
    <w:qFormat/>
    <w:rsid w:val="004207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D168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6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D168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6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D168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1683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A2503"/>
    <w:rPr>
      <w:rFonts w:cs="Times New Roman"/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F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49A6"/>
    <w:pPr>
      <w:spacing w:after="0" w:line="240" w:lineRule="auto"/>
      <w:ind w:left="720"/>
    </w:pPr>
    <w:rPr>
      <w:rFonts w:ascii="Calibri" w:eastAsiaTheme="minorHAns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67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AE8"/>
  </w:style>
  <w:style w:type="paragraph" w:styleId="Footer">
    <w:name w:val="footer"/>
    <w:basedOn w:val="Normal"/>
    <w:link w:val="FooterChar"/>
    <w:unhideWhenUsed/>
    <w:rsid w:val="00D67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67AE8"/>
  </w:style>
  <w:style w:type="character" w:customStyle="1" w:styleId="Heading1Char">
    <w:name w:val="Heading 1 Char"/>
    <w:basedOn w:val="DefaultParagraphFont"/>
    <w:link w:val="Heading1"/>
    <w:uiPriority w:val="9"/>
    <w:rsid w:val="00196AF2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footer1.xml" Type="http://schemas.openxmlformats.org/officeDocument/2006/relationships/footer"/>
<Relationship Id="rId11" Target="fontTable.xml" Type="http://schemas.openxmlformats.org/officeDocument/2006/relationships/fontTable"/>
<Relationship Id="rId12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ttps://www.dsdsatsip.qld.gov.au/our-work/aboriginal-torres-strait-islander-partnerships/business-economic-development/building-construction-training-policy" TargetMode="External" Type="http://schemas.openxmlformats.org/officeDocument/2006/relationships/hyperlink"/>
<Relationship Id="rId9" Target="mailto:enterprise@dsdsatsip.qld.gov.au" TargetMode="External" Type="http://schemas.openxmlformats.org/officeDocument/2006/relationships/hyperlink"/>
</Relationships>

</file>

<file path=word/_rels/footer1.xml.rels><?xml version="1.0" encoding="UTF-8" standalone="yes"?>
<Relationships xmlns="http://schemas.openxmlformats.org/package/2006/relationships">
<Relationship Id="rId1" Target="media/image1.jpe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01214-98AC-4829-8320-B083C18D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493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– SELECTED PROJECTS OUTSIDE REMOTE DISCRETE INDIGENOUS COMMUNITIES</vt:lpstr>
    </vt:vector>
  </TitlesOfParts>
  <Company>Queensland Government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2023-06-11T22:43:00Z</dcterms:created>
  <dc:creator>Queensland Government</dc:creator>
  <cp:keywords>Process, Indigenous, Training Policy, Designated, DG, Indigenous business, Indigenous employment, Queensland Government projects</cp:keywords>
  <cp:lastModifiedBy>Russell W Black</cp:lastModifiedBy>
  <cp:lastPrinted>2023-06-11T22:44:00Z</cp:lastPrinted>
  <dcterms:modified xsi:type="dcterms:W3CDTF">2023-06-11T22:44:00Z</dcterms:modified>
  <cp:revision>3</cp:revision>
  <dc:subject>Guideline process for selecting a project as Indigenous</dc:subject>
  <dc:title>Selected Indigenous projects process</dc:title>
</cp:coreProperties>
</file>