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4D0B" w14:textId="38946B6C" w:rsidR="00F544B8" w:rsidRPr="00BD77D8" w:rsidRDefault="00F544B8">
      <w:pPr>
        <w:spacing w:after="0" w:line="240" w:lineRule="auto"/>
        <w:rPr>
          <w:rFonts w:eastAsia="Calibri"/>
          <w:bCs/>
          <w:noProof/>
          <w:kern w:val="32"/>
          <w:sz w:val="18"/>
          <w:szCs w:val="18"/>
          <w:lang w:eastAsia="en-US"/>
        </w:rPr>
      </w:pPr>
      <w:bookmarkStart w:id="0" w:name="_Toc81308561"/>
    </w:p>
    <w:p w14:paraId="30E9F291" w14:textId="1A0B6079" w:rsidR="00F544B8" w:rsidRPr="00BD77D8" w:rsidRDefault="00F544B8">
      <w:pPr>
        <w:spacing w:after="0" w:line="240" w:lineRule="auto"/>
        <w:rPr>
          <w:rFonts w:eastAsia="Calibri"/>
          <w:bCs/>
          <w:noProof/>
          <w:kern w:val="32"/>
          <w:sz w:val="18"/>
          <w:szCs w:val="18"/>
          <w:lang w:eastAsia="en-US"/>
        </w:rPr>
      </w:pPr>
    </w:p>
    <w:p w14:paraId="4180B37C" w14:textId="0172785D" w:rsidR="00F544B8" w:rsidRPr="00BD77D8" w:rsidRDefault="00F544B8">
      <w:pPr>
        <w:spacing w:after="0" w:line="240" w:lineRule="auto"/>
        <w:rPr>
          <w:rFonts w:eastAsia="Calibri"/>
          <w:bCs/>
          <w:noProof/>
          <w:kern w:val="32"/>
          <w:sz w:val="18"/>
          <w:szCs w:val="18"/>
          <w:lang w:eastAsia="en-US"/>
        </w:rPr>
      </w:pPr>
    </w:p>
    <w:p w14:paraId="1F8032DF" w14:textId="142C5980" w:rsidR="00F544B8" w:rsidRPr="00BD77D8" w:rsidRDefault="00F544B8">
      <w:pPr>
        <w:spacing w:after="0" w:line="240" w:lineRule="auto"/>
        <w:rPr>
          <w:rFonts w:eastAsia="Calibri"/>
          <w:bCs/>
          <w:noProof/>
          <w:kern w:val="32"/>
          <w:sz w:val="18"/>
          <w:szCs w:val="18"/>
          <w:lang w:eastAsia="en-US"/>
        </w:rPr>
      </w:pPr>
    </w:p>
    <w:p w14:paraId="0472433B" w14:textId="2E89E159" w:rsidR="00F544B8" w:rsidRPr="00BD77D8" w:rsidRDefault="00F544B8">
      <w:pPr>
        <w:spacing w:after="0" w:line="240" w:lineRule="auto"/>
        <w:rPr>
          <w:rFonts w:eastAsia="Calibri"/>
          <w:bCs/>
          <w:noProof/>
          <w:kern w:val="32"/>
          <w:sz w:val="18"/>
          <w:szCs w:val="18"/>
          <w:lang w:eastAsia="en-US"/>
        </w:rPr>
      </w:pPr>
    </w:p>
    <w:p w14:paraId="2F570C51" w14:textId="77777777" w:rsidR="00D8367C" w:rsidRPr="00BD77D8" w:rsidRDefault="00D8367C" w:rsidP="00D8367C">
      <w:pPr>
        <w:pStyle w:val="BasicParagraph"/>
        <w:spacing w:before="240"/>
        <w:rPr>
          <w:rFonts w:ascii="Arial" w:hAnsi="Arial" w:cs="Arial"/>
          <w:color w:val="auto"/>
          <w:w w:val="105"/>
          <w:sz w:val="20"/>
          <w:szCs w:val="20"/>
          <w14:textOutline w14:w="9525" w14:cap="flat" w14:cmpd="sng" w14:algn="ctr">
            <w14:solidFill>
              <w14:srgbClr w14:val="000000"/>
            </w14:solidFill>
            <w14:prstDash w14:val="solid"/>
            <w14:round/>
          </w14:textOutline>
        </w:rPr>
      </w:pPr>
      <w:r w:rsidRPr="00BD77D8">
        <w:rPr>
          <w:noProof/>
          <w:color w:val="auto"/>
        </w:rPr>
        <mc:AlternateContent>
          <mc:Choice Requires="wps">
            <w:drawing>
              <wp:anchor distT="0" distB="0" distL="114300" distR="114300" simplePos="0" relativeHeight="251672576" behindDoc="0" locked="0" layoutInCell="1" allowOverlap="1" wp14:anchorId="0DBD9174" wp14:editId="6C59880B">
                <wp:simplePos x="0" y="0"/>
                <wp:positionH relativeFrom="column">
                  <wp:posOffset>2813684</wp:posOffset>
                </wp:positionH>
                <wp:positionV relativeFrom="paragraph">
                  <wp:posOffset>-537211</wp:posOffset>
                </wp:positionV>
                <wp:extent cx="3486785" cy="4857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86785" cy="485775"/>
                        </a:xfrm>
                        <a:prstGeom prst="rect">
                          <a:avLst/>
                        </a:prstGeom>
                        <a:noFill/>
                        <a:ln w="6350">
                          <a:noFill/>
                        </a:ln>
                      </wps:spPr>
                      <wps:txbx>
                        <w:txbxContent>
                          <w:p w14:paraId="4D1AC2DC" w14:textId="77777777" w:rsidR="00D8367C" w:rsidRPr="008836F9" w:rsidRDefault="00D8367C" w:rsidP="00D8367C">
                            <w:pPr>
                              <w:spacing w:after="0" w:line="240" w:lineRule="auto"/>
                              <w:jc w:val="right"/>
                              <w:rPr>
                                <w:rFonts w:ascii="Calibri" w:hAnsi="Calibri" w:cs="Calibri"/>
                                <w:b/>
                                <w:bCs/>
                                <w:color w:val="FFFFFF" w:themeColor="background1"/>
                                <w:sz w:val="22"/>
                                <w:szCs w:val="22"/>
                                <w:lang w:eastAsia="en-GB"/>
                              </w:rPr>
                            </w:pPr>
                            <w:r w:rsidRPr="008836F9">
                              <w:rPr>
                                <w:rFonts w:ascii="Calibri" w:hAnsi="Calibri" w:cs="Calibri"/>
                                <w:b/>
                                <w:bCs/>
                                <w:color w:val="FFFFFF" w:themeColor="background1"/>
                                <w:sz w:val="22"/>
                                <w:szCs w:val="22"/>
                                <w:lang w:eastAsia="en-GB"/>
                              </w:rPr>
                              <w:t>Department of Seniors, Disability Services and Aboriginal and Torres Strait Islander Partnerships</w:t>
                            </w:r>
                          </w:p>
                          <w:p w14:paraId="16B25940" w14:textId="77777777" w:rsidR="00D8367C" w:rsidRPr="008836F9" w:rsidRDefault="00D8367C" w:rsidP="00D8367C">
                            <w:pPr>
                              <w:jc w:val="right"/>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D9174" id="_x0000_t202" coordsize="21600,21600" o:spt="202" path="m,l,21600r21600,l21600,xe">
                <v:stroke joinstyle="miter"/>
                <v:path gradientshapeok="t" o:connecttype="rect"/>
              </v:shapetype>
              <v:shape id="Text Box 4" o:spid="_x0000_s1026" type="#_x0000_t202" style="position:absolute;margin-left:221.55pt;margin-top:-42.3pt;width:274.5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J/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wbz6ez+YQSjrHxfDKbTUK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" filled="f" stroked="f" strokeweight=".5pt">
                <v:textbox>
                  <w:txbxContent>
                    <w:p w14:paraId="4D1AC2DC" w14:textId="77777777" w:rsidR="00D8367C" w:rsidRPr="008836F9" w:rsidRDefault="00D8367C" w:rsidP="00D8367C">
                      <w:pPr>
                        <w:spacing w:after="0" w:line="240" w:lineRule="auto"/>
                        <w:jc w:val="right"/>
                        <w:rPr>
                          <w:rFonts w:ascii="Calibri" w:hAnsi="Calibri" w:cs="Calibri"/>
                          <w:b/>
                          <w:bCs/>
                          <w:color w:val="FFFFFF" w:themeColor="background1"/>
                          <w:sz w:val="22"/>
                          <w:szCs w:val="22"/>
                          <w:lang w:eastAsia="en-GB"/>
                        </w:rPr>
                      </w:pPr>
                      <w:r w:rsidRPr="008836F9">
                        <w:rPr>
                          <w:rFonts w:ascii="Calibri" w:hAnsi="Calibri" w:cs="Calibri"/>
                          <w:b/>
                          <w:bCs/>
                          <w:color w:val="FFFFFF" w:themeColor="background1"/>
                          <w:sz w:val="22"/>
                          <w:szCs w:val="22"/>
                          <w:lang w:eastAsia="en-GB"/>
                        </w:rPr>
                        <w:t>Department of Seniors, Disability Services and Aboriginal and Torres Strait Islander Partnerships</w:t>
                      </w:r>
                    </w:p>
                    <w:p w14:paraId="16B25940" w14:textId="77777777" w:rsidR="00D8367C" w:rsidRPr="008836F9" w:rsidRDefault="00D8367C" w:rsidP="00D8367C">
                      <w:pPr>
                        <w:jc w:val="right"/>
                        <w:rPr>
                          <w:b/>
                          <w:bCs/>
                          <w:color w:val="FFFFFF" w:themeColor="background1"/>
                        </w:rPr>
                      </w:pPr>
                    </w:p>
                  </w:txbxContent>
                </v:textbox>
              </v:shape>
            </w:pict>
          </mc:Fallback>
        </mc:AlternateContent>
      </w:r>
      <w:r w:rsidRPr="00BD77D8">
        <w:rPr>
          <w:noProof/>
          <w:color w:val="auto"/>
        </w:rPr>
        <w:drawing>
          <wp:anchor distT="0" distB="0" distL="114300" distR="114300" simplePos="0" relativeHeight="251669504" behindDoc="0" locked="0" layoutInCell="1" allowOverlap="1" wp14:anchorId="5BF6B7D5" wp14:editId="29AE566D">
            <wp:simplePos x="0" y="0"/>
            <wp:positionH relativeFrom="column">
              <wp:posOffset>-120015</wp:posOffset>
            </wp:positionH>
            <wp:positionV relativeFrom="page">
              <wp:posOffset>360680</wp:posOffset>
            </wp:positionV>
            <wp:extent cx="1663065" cy="381000"/>
            <wp:effectExtent l="0" t="0" r="63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065" cy="381000"/>
                    </a:xfrm>
                    <a:prstGeom prst="rect">
                      <a:avLst/>
                    </a:prstGeom>
                  </pic:spPr>
                </pic:pic>
              </a:graphicData>
            </a:graphic>
            <wp14:sizeRelH relativeFrom="margin">
              <wp14:pctWidth>0</wp14:pctWidth>
            </wp14:sizeRelH>
            <wp14:sizeRelV relativeFrom="margin">
              <wp14:pctHeight>0</wp14:pctHeight>
            </wp14:sizeRelV>
          </wp:anchor>
        </w:drawing>
      </w:r>
      <w:r w:rsidRPr="00BD77D8">
        <w:rPr>
          <w:noProof/>
          <w:color w:val="auto"/>
        </w:rPr>
        <w:drawing>
          <wp:anchor distT="0" distB="0" distL="114300" distR="114300" simplePos="0" relativeHeight="251670528" behindDoc="1" locked="0" layoutInCell="1" allowOverlap="1" wp14:anchorId="0497FCCD" wp14:editId="55C9F985">
            <wp:simplePos x="0" y="0"/>
            <wp:positionH relativeFrom="page">
              <wp:align>left</wp:align>
            </wp:positionH>
            <wp:positionV relativeFrom="page">
              <wp:align>top</wp:align>
            </wp:positionV>
            <wp:extent cx="7556400" cy="10692000"/>
            <wp:effectExtent l="0" t="0" r="635"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sidRPr="00BD77D8">
        <w:rPr>
          <w:noProof/>
          <w:color w:val="auto"/>
        </w:rPr>
        <w:drawing>
          <wp:anchor distT="0" distB="0" distL="114300" distR="114300" simplePos="0" relativeHeight="251668480" behindDoc="0" locked="0" layoutInCell="1" allowOverlap="1" wp14:anchorId="4076543C" wp14:editId="37EA2055">
            <wp:simplePos x="0" y="0"/>
            <wp:positionH relativeFrom="column">
              <wp:posOffset>4556760</wp:posOffset>
            </wp:positionH>
            <wp:positionV relativeFrom="page">
              <wp:posOffset>9676765</wp:posOffset>
            </wp:positionV>
            <wp:extent cx="1652400" cy="532800"/>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2400" cy="532800"/>
                    </a:xfrm>
                    <a:prstGeom prst="rect">
                      <a:avLst/>
                    </a:prstGeom>
                  </pic:spPr>
                </pic:pic>
              </a:graphicData>
            </a:graphic>
            <wp14:sizeRelH relativeFrom="margin">
              <wp14:pctWidth>0</wp14:pctWidth>
            </wp14:sizeRelH>
            <wp14:sizeRelV relativeFrom="margin">
              <wp14:pctHeight>0</wp14:pctHeight>
            </wp14:sizeRelV>
          </wp:anchor>
        </w:drawing>
      </w:r>
    </w:p>
    <w:p w14:paraId="0BB3D9F7" w14:textId="77777777" w:rsidR="00D8367C" w:rsidRPr="00BD77D8" w:rsidRDefault="00D8367C" w:rsidP="00D8367C">
      <w:pPr>
        <w:spacing w:after="0" w:line="240" w:lineRule="auto"/>
      </w:pPr>
      <w:r w:rsidRPr="00BD77D8">
        <w:rPr>
          <w:noProof/>
        </w:rPr>
        <mc:AlternateContent>
          <mc:Choice Requires="wps">
            <w:drawing>
              <wp:anchor distT="0" distB="0" distL="114300" distR="114300" simplePos="0" relativeHeight="251671552" behindDoc="0" locked="0" layoutInCell="1" allowOverlap="1" wp14:anchorId="53607F9A" wp14:editId="74C68A29">
                <wp:simplePos x="0" y="0"/>
                <wp:positionH relativeFrom="page">
                  <wp:posOffset>2406650</wp:posOffset>
                </wp:positionH>
                <wp:positionV relativeFrom="page">
                  <wp:posOffset>3239247</wp:posOffset>
                </wp:positionV>
                <wp:extent cx="2725200" cy="2358000"/>
                <wp:effectExtent l="25400" t="25400" r="43815" b="42545"/>
                <wp:wrapNone/>
                <wp:docPr id="8" name="Text Box 8"/>
                <wp:cNvGraphicFramePr/>
                <a:graphic xmlns:a="http://schemas.openxmlformats.org/drawingml/2006/main">
                  <a:graphicData uri="http://schemas.microsoft.com/office/word/2010/wordprocessingShape">
                    <wps:wsp>
                      <wps:cNvSpPr txBox="1"/>
                      <wps:spPr>
                        <a:xfrm>
                          <a:off x="0" y="0"/>
                          <a:ext cx="2725200" cy="2358000"/>
                        </a:xfrm>
                        <a:prstGeom prst="rect">
                          <a:avLst/>
                        </a:prstGeom>
                        <a:solidFill>
                          <a:schemeClr val="tx1">
                            <a:alpha val="55000"/>
                          </a:schemeClr>
                        </a:solidFill>
                        <a:ln w="60325">
                          <a:solidFill>
                            <a:schemeClr val="bg1"/>
                          </a:solidFill>
                        </a:ln>
                      </wps:spPr>
                      <wps:txbx>
                        <w:txbxContent>
                          <w:p w14:paraId="5316B23B" w14:textId="77777777" w:rsidR="00D8367C" w:rsidRPr="005851EE" w:rsidRDefault="00D8367C" w:rsidP="00D8367C">
                            <w:pPr>
                              <w:snapToGrid w:val="0"/>
                              <w:spacing w:after="0" w:line="240" w:lineRule="auto"/>
                              <w:jc w:val="center"/>
                              <w:rPr>
                                <w:rFonts w:ascii="Arial Narrow" w:hAnsi="Arial Narrow"/>
                                <w:b/>
                                <w:bCs/>
                                <w:noProof/>
                                <w:sz w:val="96"/>
                                <w:szCs w:val="96"/>
                              </w:rPr>
                            </w:pPr>
                            <w:r w:rsidRPr="005851EE">
                              <w:rPr>
                                <w:rFonts w:ascii="Arial Narrow" w:hAnsi="Arial Narrow"/>
                                <w:b/>
                                <w:bCs/>
                                <w:noProof/>
                                <w:sz w:val="96"/>
                                <w:szCs w:val="96"/>
                              </w:rPr>
                              <w:t>ANNUAL</w:t>
                            </w:r>
                            <w:r>
                              <w:rPr>
                                <w:rFonts w:ascii="Arial Narrow" w:hAnsi="Arial Narrow"/>
                                <w:b/>
                                <w:bCs/>
                                <w:noProof/>
                                <w:sz w:val="96"/>
                                <w:szCs w:val="96"/>
                              </w:rPr>
                              <w:br/>
                            </w:r>
                            <w:r w:rsidRPr="005851EE">
                              <w:rPr>
                                <w:rFonts w:ascii="Arial Narrow" w:hAnsi="Arial Narrow"/>
                                <w:b/>
                                <w:bCs/>
                                <w:noProof/>
                                <w:sz w:val="96"/>
                                <w:szCs w:val="96"/>
                              </w:rPr>
                              <w:t>REPORT</w:t>
                            </w:r>
                          </w:p>
                          <w:p w14:paraId="28C0744D" w14:textId="77777777" w:rsidR="00D8367C" w:rsidRPr="005851EE" w:rsidRDefault="00D8367C" w:rsidP="00D8367C">
                            <w:pPr>
                              <w:snapToGrid w:val="0"/>
                              <w:spacing w:after="0" w:line="240" w:lineRule="auto"/>
                              <w:jc w:val="center"/>
                              <w:rPr>
                                <w:noProof/>
                                <w:sz w:val="64"/>
                                <w:szCs w:val="64"/>
                              </w:rPr>
                            </w:pPr>
                            <w:r w:rsidRPr="005851EE">
                              <w:rPr>
                                <w:noProof/>
                                <w:sz w:val="64"/>
                                <w:szCs w:val="64"/>
                              </w:rPr>
                              <w:t>2021–2022</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7F9A" id="Text Box 8" o:spid="_x0000_s1027" type="#_x0000_t202" style="position:absolute;margin-left:189.5pt;margin-top:255.05pt;width:214.6pt;height:185.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" fillcolor="black [3213]" strokecolor="white [3212]" strokeweight="4.75pt">
                <v:fill opacity="35980f"/>
                <v:textbox inset=",5mm">
                  <w:txbxContent>
                    <w:p w14:paraId="5316B23B" w14:textId="77777777" w:rsidR="00D8367C" w:rsidRPr="005851EE" w:rsidRDefault="00D8367C" w:rsidP="00D8367C">
                      <w:pPr>
                        <w:snapToGrid w:val="0"/>
                        <w:spacing w:after="0" w:line="240" w:lineRule="auto"/>
                        <w:jc w:val="center"/>
                        <w:rPr>
                          <w:rFonts w:ascii="Arial Narrow" w:hAnsi="Arial Narrow"/>
                          <w:b/>
                          <w:bCs/>
                          <w:noProof/>
                          <w:sz w:val="96"/>
                          <w:szCs w:val="96"/>
                        </w:rPr>
                      </w:pPr>
                      <w:r w:rsidRPr="005851EE">
                        <w:rPr>
                          <w:rFonts w:ascii="Arial Narrow" w:hAnsi="Arial Narrow"/>
                          <w:b/>
                          <w:bCs/>
                          <w:noProof/>
                          <w:sz w:val="96"/>
                          <w:szCs w:val="96"/>
                        </w:rPr>
                        <w:t>ANNUAL</w:t>
                      </w:r>
                      <w:r>
                        <w:rPr>
                          <w:rFonts w:ascii="Arial Narrow" w:hAnsi="Arial Narrow"/>
                          <w:b/>
                          <w:bCs/>
                          <w:noProof/>
                          <w:sz w:val="96"/>
                          <w:szCs w:val="96"/>
                        </w:rPr>
                        <w:br/>
                      </w:r>
                      <w:r w:rsidRPr="005851EE">
                        <w:rPr>
                          <w:rFonts w:ascii="Arial Narrow" w:hAnsi="Arial Narrow"/>
                          <w:b/>
                          <w:bCs/>
                          <w:noProof/>
                          <w:sz w:val="96"/>
                          <w:szCs w:val="96"/>
                        </w:rPr>
                        <w:t>REPORT</w:t>
                      </w:r>
                    </w:p>
                    <w:p w14:paraId="28C0744D" w14:textId="77777777" w:rsidR="00D8367C" w:rsidRPr="005851EE" w:rsidRDefault="00D8367C" w:rsidP="00D8367C">
                      <w:pPr>
                        <w:snapToGrid w:val="0"/>
                        <w:spacing w:after="0" w:line="240" w:lineRule="auto"/>
                        <w:jc w:val="center"/>
                        <w:rPr>
                          <w:noProof/>
                          <w:sz w:val="64"/>
                          <w:szCs w:val="64"/>
                        </w:rPr>
                      </w:pPr>
                      <w:r w:rsidRPr="005851EE">
                        <w:rPr>
                          <w:noProof/>
                          <w:sz w:val="64"/>
                          <w:szCs w:val="64"/>
                        </w:rPr>
                        <w:t>2021–2022</w:t>
                      </w:r>
                    </w:p>
                  </w:txbxContent>
                </v:textbox>
                <w10:wrap anchorx="page" anchory="page"/>
              </v:shape>
            </w:pict>
          </mc:Fallback>
        </mc:AlternateContent>
      </w:r>
    </w:p>
    <w:p w14:paraId="7A96EA48" w14:textId="0BBC53C2" w:rsidR="00F544B8" w:rsidRPr="00BD77D8" w:rsidRDefault="00F544B8">
      <w:pPr>
        <w:spacing w:after="0" w:line="240" w:lineRule="auto"/>
        <w:rPr>
          <w:rFonts w:eastAsia="Calibri"/>
          <w:bCs/>
          <w:noProof/>
          <w:kern w:val="32"/>
          <w:sz w:val="18"/>
          <w:szCs w:val="18"/>
          <w:lang w:eastAsia="en-US"/>
        </w:rPr>
      </w:pPr>
    </w:p>
    <w:p w14:paraId="52E5F51E" w14:textId="5AF97037" w:rsidR="00F544B8" w:rsidRPr="00BD77D8" w:rsidRDefault="00F544B8">
      <w:pPr>
        <w:spacing w:after="0" w:line="240" w:lineRule="auto"/>
        <w:rPr>
          <w:rFonts w:eastAsia="Calibri"/>
          <w:bCs/>
          <w:noProof/>
          <w:kern w:val="32"/>
          <w:sz w:val="18"/>
          <w:szCs w:val="18"/>
          <w:lang w:eastAsia="en-US"/>
        </w:rPr>
      </w:pPr>
    </w:p>
    <w:p w14:paraId="2E52D289" w14:textId="3A63A278" w:rsidR="00F544B8" w:rsidRPr="00BD77D8" w:rsidRDefault="00F544B8">
      <w:pPr>
        <w:spacing w:after="0" w:line="240" w:lineRule="auto"/>
        <w:rPr>
          <w:rFonts w:eastAsia="Calibri"/>
          <w:bCs/>
          <w:noProof/>
          <w:kern w:val="32"/>
          <w:sz w:val="18"/>
          <w:szCs w:val="18"/>
          <w:lang w:eastAsia="en-US"/>
        </w:rPr>
      </w:pPr>
    </w:p>
    <w:p w14:paraId="1B5CA120" w14:textId="4B9DFFB2" w:rsidR="00F544B8" w:rsidRPr="00BD77D8" w:rsidRDefault="00F544B8">
      <w:pPr>
        <w:spacing w:after="0" w:line="240" w:lineRule="auto"/>
        <w:rPr>
          <w:rFonts w:eastAsia="Calibri"/>
          <w:bCs/>
          <w:noProof/>
          <w:kern w:val="32"/>
          <w:sz w:val="18"/>
          <w:szCs w:val="18"/>
          <w:lang w:eastAsia="en-US"/>
        </w:rPr>
      </w:pPr>
    </w:p>
    <w:p w14:paraId="7CE20092" w14:textId="77777777" w:rsidR="00D8367C" w:rsidRPr="00BD77D8" w:rsidRDefault="00D8367C">
      <w:pPr>
        <w:spacing w:after="0" w:line="240" w:lineRule="auto"/>
        <w:rPr>
          <w:b/>
          <w:bCs/>
          <w:sz w:val="18"/>
          <w:szCs w:val="18"/>
        </w:rPr>
      </w:pPr>
      <w:r w:rsidRPr="00BD77D8">
        <w:rPr>
          <w:b/>
          <w:bCs/>
          <w:sz w:val="18"/>
          <w:szCs w:val="18"/>
        </w:rPr>
        <w:br w:type="page"/>
      </w:r>
    </w:p>
    <w:p w14:paraId="14B95D8C" w14:textId="1D3E5F7D" w:rsidR="00CE3C32" w:rsidRPr="00BD77D8" w:rsidRDefault="00CE3C32" w:rsidP="00CE3C32">
      <w:pPr>
        <w:spacing w:after="120"/>
        <w:rPr>
          <w:b/>
          <w:bCs/>
          <w:spacing w:val="-2"/>
          <w:sz w:val="18"/>
          <w:szCs w:val="18"/>
        </w:rPr>
      </w:pPr>
      <w:r w:rsidRPr="00BD77D8">
        <w:rPr>
          <w:b/>
          <w:bCs/>
          <w:sz w:val="18"/>
          <w:szCs w:val="18"/>
        </w:rPr>
        <w:lastRenderedPageBreak/>
        <w:t>P</w:t>
      </w:r>
      <w:r w:rsidRPr="00BD77D8">
        <w:rPr>
          <w:b/>
          <w:bCs/>
          <w:spacing w:val="-4"/>
          <w:sz w:val="18"/>
          <w:szCs w:val="18"/>
        </w:rPr>
        <w:t>u</w:t>
      </w:r>
      <w:r w:rsidRPr="00BD77D8">
        <w:rPr>
          <w:b/>
          <w:bCs/>
          <w:sz w:val="18"/>
          <w:szCs w:val="18"/>
        </w:rPr>
        <w:t>blic</w:t>
      </w:r>
      <w:r w:rsidRPr="00BD77D8">
        <w:rPr>
          <w:b/>
          <w:bCs/>
          <w:spacing w:val="-25"/>
          <w:sz w:val="18"/>
          <w:szCs w:val="18"/>
        </w:rPr>
        <w:t xml:space="preserve"> </w:t>
      </w:r>
      <w:r w:rsidRPr="00BD77D8">
        <w:rPr>
          <w:b/>
          <w:bCs/>
          <w:sz w:val="18"/>
          <w:szCs w:val="18"/>
        </w:rPr>
        <w:t>a</w:t>
      </w:r>
      <w:r w:rsidRPr="00BD77D8">
        <w:rPr>
          <w:b/>
          <w:bCs/>
          <w:spacing w:val="-4"/>
          <w:sz w:val="18"/>
          <w:szCs w:val="18"/>
        </w:rPr>
        <w:t>v</w:t>
      </w:r>
      <w:r w:rsidRPr="00BD77D8">
        <w:rPr>
          <w:b/>
          <w:bCs/>
          <w:sz w:val="18"/>
          <w:szCs w:val="18"/>
        </w:rPr>
        <w:t>ailabi</w:t>
      </w:r>
      <w:r w:rsidRPr="00BD77D8">
        <w:rPr>
          <w:b/>
          <w:bCs/>
          <w:spacing w:val="-4"/>
          <w:sz w:val="18"/>
          <w:szCs w:val="18"/>
        </w:rPr>
        <w:t>lity</w:t>
      </w:r>
      <w:r w:rsidRPr="00BD77D8">
        <w:rPr>
          <w:b/>
          <w:bCs/>
          <w:spacing w:val="-24"/>
          <w:sz w:val="18"/>
          <w:szCs w:val="18"/>
        </w:rPr>
        <w:t xml:space="preserve"> </w:t>
      </w:r>
      <w:r w:rsidRPr="00BD77D8">
        <w:rPr>
          <w:b/>
          <w:bCs/>
          <w:spacing w:val="-2"/>
          <w:sz w:val="18"/>
          <w:szCs w:val="18"/>
        </w:rPr>
        <w:t>of</w:t>
      </w:r>
      <w:r w:rsidRPr="00BD77D8">
        <w:rPr>
          <w:b/>
          <w:bCs/>
          <w:spacing w:val="-24"/>
          <w:sz w:val="18"/>
          <w:szCs w:val="18"/>
        </w:rPr>
        <w:t xml:space="preserve"> </w:t>
      </w:r>
      <w:r w:rsidRPr="00BD77D8">
        <w:rPr>
          <w:b/>
          <w:bCs/>
          <w:spacing w:val="-2"/>
          <w:sz w:val="18"/>
          <w:szCs w:val="18"/>
        </w:rPr>
        <w:t>report</w:t>
      </w:r>
    </w:p>
    <w:p w14:paraId="264671F1" w14:textId="77777777" w:rsidR="00CE3C32" w:rsidRPr="00BD77D8" w:rsidRDefault="00CE3C32" w:rsidP="00CE3C32">
      <w:pPr>
        <w:spacing w:after="0" w:line="240" w:lineRule="auto"/>
        <w:rPr>
          <w:rFonts w:eastAsia="Calibri"/>
          <w:sz w:val="18"/>
          <w:szCs w:val="18"/>
        </w:rPr>
      </w:pPr>
      <w:r w:rsidRPr="00BD77D8">
        <w:rPr>
          <w:rFonts w:eastAsia="Calibri"/>
          <w:sz w:val="18"/>
          <w:szCs w:val="18"/>
        </w:rPr>
        <w:t xml:space="preserve">This annual report is available at </w:t>
      </w:r>
      <w:hyperlink r:id="rId14" w:history="1">
        <w:r w:rsidRPr="00BD77D8">
          <w:rPr>
            <w:rFonts w:eastAsia="Calibri"/>
            <w:sz w:val="18"/>
            <w:szCs w:val="18"/>
            <w:u w:val="single"/>
          </w:rPr>
          <w:t>www.dsdsatsip.qld.gov.au</w:t>
        </w:r>
      </w:hyperlink>
    </w:p>
    <w:p w14:paraId="778DF939" w14:textId="77777777" w:rsidR="00CE3C32" w:rsidRPr="00BD77D8" w:rsidRDefault="00CE3C32" w:rsidP="00CE3C32">
      <w:pPr>
        <w:spacing w:after="0" w:line="240" w:lineRule="auto"/>
        <w:rPr>
          <w:rFonts w:eastAsia="Calibri"/>
          <w:sz w:val="18"/>
          <w:szCs w:val="18"/>
        </w:rPr>
      </w:pPr>
      <w:r w:rsidRPr="00BD77D8">
        <w:rPr>
          <w:rFonts w:eastAsia="Calibri"/>
          <w:sz w:val="18"/>
          <w:szCs w:val="18"/>
        </w:rPr>
        <w:t>For enquiries or further information about this report:</w:t>
      </w:r>
    </w:p>
    <w:p w14:paraId="1C9EF546" w14:textId="77777777" w:rsidR="00CE3C32" w:rsidRPr="00BD77D8" w:rsidRDefault="00CE3C32" w:rsidP="00CE3C32">
      <w:pPr>
        <w:spacing w:after="0" w:line="240" w:lineRule="auto"/>
        <w:rPr>
          <w:rFonts w:eastAsia="Calibri"/>
          <w:sz w:val="18"/>
          <w:szCs w:val="18"/>
        </w:rPr>
      </w:pPr>
      <w:r w:rsidRPr="00BD77D8">
        <w:rPr>
          <w:rFonts w:eastAsia="Calibri"/>
          <w:sz w:val="18"/>
          <w:szCs w:val="18"/>
        </w:rPr>
        <w:t xml:space="preserve">Telephone: </w:t>
      </w:r>
      <w:r w:rsidRPr="00BD77D8">
        <w:rPr>
          <w:rFonts w:eastAsia="Calibri"/>
          <w:sz w:val="18"/>
          <w:szCs w:val="18"/>
        </w:rPr>
        <w:tab/>
        <w:t>13 QGOV (13 74 68)</w:t>
      </w:r>
    </w:p>
    <w:p w14:paraId="193431C2" w14:textId="77777777" w:rsidR="00CE3C32" w:rsidRPr="00BD77D8" w:rsidRDefault="00CE3C32" w:rsidP="00CE3C32">
      <w:pPr>
        <w:spacing w:after="0" w:line="240" w:lineRule="auto"/>
        <w:rPr>
          <w:rFonts w:eastAsia="Calibri"/>
          <w:sz w:val="18"/>
          <w:szCs w:val="18"/>
        </w:rPr>
      </w:pPr>
      <w:r w:rsidRPr="00BD77D8">
        <w:rPr>
          <w:rFonts w:eastAsia="Calibri"/>
          <w:sz w:val="18"/>
          <w:szCs w:val="18"/>
        </w:rPr>
        <w:t>Email:</w:t>
      </w:r>
      <w:r w:rsidRPr="00BD77D8">
        <w:rPr>
          <w:rFonts w:eastAsia="Calibri"/>
          <w:sz w:val="18"/>
          <w:szCs w:val="18"/>
        </w:rPr>
        <w:tab/>
      </w:r>
      <w:hyperlink r:id="rId15" w:history="1">
        <w:r w:rsidRPr="00BD77D8">
          <w:rPr>
            <w:rFonts w:eastAsia="Calibri"/>
            <w:sz w:val="18"/>
            <w:szCs w:val="18"/>
          </w:rPr>
          <w:t>enquiries@dsdsatsip.qld.gov.au</w:t>
        </w:r>
      </w:hyperlink>
    </w:p>
    <w:p w14:paraId="0265A337" w14:textId="77777777" w:rsidR="00CE3C32" w:rsidRPr="00BD77D8" w:rsidRDefault="00CE3C32" w:rsidP="00CE3C32">
      <w:pPr>
        <w:spacing w:after="0" w:line="240" w:lineRule="auto"/>
        <w:rPr>
          <w:rFonts w:eastAsia="Calibri"/>
          <w:sz w:val="18"/>
          <w:szCs w:val="18"/>
        </w:rPr>
      </w:pPr>
      <w:r w:rsidRPr="00BD77D8">
        <w:rPr>
          <w:rFonts w:eastAsia="Calibri"/>
          <w:sz w:val="18"/>
          <w:szCs w:val="18"/>
        </w:rPr>
        <w:t>ISSN 2653-0201(Online)</w:t>
      </w:r>
    </w:p>
    <w:p w14:paraId="10333041" w14:textId="77777777" w:rsidR="00CE3C32" w:rsidRPr="00BD77D8" w:rsidRDefault="00CE3C32" w:rsidP="00CE3C32">
      <w:pPr>
        <w:spacing w:after="0" w:line="240" w:lineRule="auto"/>
        <w:rPr>
          <w:rFonts w:eastAsia="Calibri"/>
          <w:sz w:val="18"/>
          <w:szCs w:val="18"/>
        </w:rPr>
      </w:pPr>
      <w:r w:rsidRPr="00BD77D8">
        <w:rPr>
          <w:rFonts w:eastAsia="Calibri"/>
          <w:sz w:val="18"/>
          <w:szCs w:val="18"/>
        </w:rPr>
        <w:t>ISSN 2653-0198 (Print)</w:t>
      </w:r>
    </w:p>
    <w:p w14:paraId="16CED4BB" w14:textId="41740CC4" w:rsidR="00CE3C32" w:rsidRPr="00BD77D8" w:rsidRDefault="00CE3C32" w:rsidP="00697C58">
      <w:pPr>
        <w:spacing w:before="240" w:after="120"/>
        <w:rPr>
          <w:rFonts w:eastAsia="Calibri"/>
          <w:b/>
          <w:bCs/>
          <w:sz w:val="18"/>
          <w:szCs w:val="18"/>
        </w:rPr>
      </w:pPr>
      <w:r w:rsidRPr="00BD77D8">
        <w:rPr>
          <w:rFonts w:eastAsia="Calibri"/>
          <w:b/>
          <w:bCs/>
          <w:sz w:val="18"/>
          <w:szCs w:val="18"/>
        </w:rPr>
        <w:t>Other languages and formats</w:t>
      </w:r>
    </w:p>
    <w:p w14:paraId="17C3CD5F" w14:textId="77777777" w:rsidR="00CE3C32" w:rsidRPr="00BD77D8" w:rsidRDefault="00CE3C32" w:rsidP="00CE3C32">
      <w:pPr>
        <w:spacing w:after="120"/>
        <w:rPr>
          <w:rFonts w:eastAsia="Calibri"/>
          <w:sz w:val="18"/>
          <w:szCs w:val="18"/>
        </w:rPr>
      </w:pPr>
      <w:r w:rsidRPr="00BD77D8">
        <w:rPr>
          <w:rFonts w:ascii="Calibri" w:eastAsia="Calibri" w:hAnsi="Calibri" w:cs="Times New Roman"/>
          <w:noProof/>
          <w:sz w:val="22"/>
          <w:szCs w:val="22"/>
          <w:lang w:eastAsia="en-US"/>
        </w:rPr>
        <w:drawing>
          <wp:inline distT="0" distB="0" distL="0" distR="0" wp14:anchorId="443F8307" wp14:editId="3F1F55CF">
            <wp:extent cx="585216" cy="585216"/>
            <wp:effectExtent l="0" t="0" r="5715" b="5715"/>
            <wp:docPr id="5" name="Picture 5" descr="Image for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for interpre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397" cy="596397"/>
                    </a:xfrm>
                    <a:prstGeom prst="rect">
                      <a:avLst/>
                    </a:prstGeom>
                    <a:noFill/>
                    <a:ln>
                      <a:noFill/>
                    </a:ln>
                  </pic:spPr>
                </pic:pic>
              </a:graphicData>
            </a:graphic>
          </wp:inline>
        </w:drawing>
      </w:r>
    </w:p>
    <w:p w14:paraId="4DAA7B45" w14:textId="77777777" w:rsidR="00CE3C32" w:rsidRPr="00BD77D8" w:rsidRDefault="00CE3C32" w:rsidP="00CE3C32">
      <w:pPr>
        <w:spacing w:after="120"/>
        <w:rPr>
          <w:rFonts w:eastAsia="Calibri"/>
          <w:spacing w:val="-2"/>
          <w:sz w:val="18"/>
          <w:szCs w:val="18"/>
          <w:lang w:val="en-US" w:eastAsia="en-US"/>
        </w:rPr>
      </w:pPr>
      <w:r w:rsidRPr="00BD77D8">
        <w:rPr>
          <w:rFonts w:eastAsia="Calibri"/>
          <w:sz w:val="18"/>
          <w:szCs w:val="18"/>
          <w:lang w:val="en-US" w:eastAsia="en-US"/>
        </w:rPr>
        <w:t>The Queensland Government is committed to providing accessible services to Queenslanders from all culturally and linguistically diverse backgrounds. If you have difficulty in understanding the annual report, we will arrange an interpreter to effectively communicate the report to you.</w:t>
      </w:r>
    </w:p>
    <w:p w14:paraId="2047E407" w14:textId="30DF7357" w:rsidR="00CE3C32" w:rsidRPr="00BD77D8" w:rsidRDefault="00CE3C32" w:rsidP="00F75CE6">
      <w:pPr>
        <w:spacing w:after="120"/>
        <w:jc w:val="both"/>
        <w:rPr>
          <w:rFonts w:eastAsia="Calibri"/>
          <w:sz w:val="18"/>
          <w:szCs w:val="18"/>
          <w:lang w:val="en-US" w:eastAsia="en-US"/>
        </w:rPr>
      </w:pPr>
      <w:r w:rsidRPr="00BD77D8">
        <w:rPr>
          <w:rFonts w:eastAsia="Calibri"/>
          <w:spacing w:val="-2"/>
          <w:sz w:val="18"/>
          <w:szCs w:val="18"/>
          <w:lang w:val="en-US" w:eastAsia="en-US"/>
        </w:rPr>
        <w:t>Alternative</w:t>
      </w:r>
      <w:r w:rsidRPr="00BD77D8">
        <w:rPr>
          <w:rFonts w:eastAsia="Calibri"/>
          <w:spacing w:val="-15"/>
          <w:sz w:val="18"/>
          <w:szCs w:val="18"/>
          <w:lang w:val="en-US" w:eastAsia="en-US"/>
        </w:rPr>
        <w:t xml:space="preserve"> </w:t>
      </w:r>
      <w:r w:rsidRPr="00BD77D8">
        <w:rPr>
          <w:rFonts w:eastAsia="Calibri"/>
          <w:spacing w:val="-2"/>
          <w:sz w:val="18"/>
          <w:szCs w:val="18"/>
          <w:lang w:val="en-US" w:eastAsia="en-US"/>
        </w:rPr>
        <w:t>form</w:t>
      </w:r>
      <w:r w:rsidRPr="00BD77D8">
        <w:rPr>
          <w:rFonts w:eastAsia="Calibri"/>
          <w:spacing w:val="-1"/>
          <w:sz w:val="18"/>
          <w:szCs w:val="18"/>
          <w:lang w:val="en-US" w:eastAsia="en-US"/>
        </w:rPr>
        <w:t>ats</w:t>
      </w:r>
      <w:r w:rsidRPr="00BD77D8">
        <w:rPr>
          <w:rFonts w:eastAsia="Calibri"/>
          <w:spacing w:val="-15"/>
          <w:sz w:val="18"/>
          <w:szCs w:val="18"/>
          <w:lang w:val="en-US" w:eastAsia="en-US"/>
        </w:rPr>
        <w:t xml:space="preserve"> </w:t>
      </w:r>
      <w:r w:rsidRPr="00BD77D8">
        <w:rPr>
          <w:rFonts w:eastAsia="Calibri"/>
          <w:spacing w:val="-1"/>
          <w:sz w:val="18"/>
          <w:szCs w:val="18"/>
          <w:lang w:val="en-US" w:eastAsia="en-US"/>
        </w:rPr>
        <w:t>(including</w:t>
      </w:r>
      <w:r w:rsidRPr="00BD77D8">
        <w:rPr>
          <w:rFonts w:eastAsia="Calibri"/>
          <w:spacing w:val="-15"/>
          <w:sz w:val="18"/>
          <w:szCs w:val="18"/>
          <w:lang w:val="en-US" w:eastAsia="en-US"/>
        </w:rPr>
        <w:t xml:space="preserve"> </w:t>
      </w:r>
      <w:r w:rsidRPr="00BD77D8">
        <w:rPr>
          <w:rFonts w:eastAsia="Calibri"/>
          <w:spacing w:val="-1"/>
          <w:sz w:val="18"/>
          <w:szCs w:val="18"/>
          <w:lang w:val="en-US" w:eastAsia="en-US"/>
        </w:rPr>
        <w:t>large</w:t>
      </w:r>
      <w:r w:rsidRPr="00BD77D8">
        <w:rPr>
          <w:rFonts w:eastAsia="Calibri"/>
          <w:spacing w:val="-14"/>
          <w:sz w:val="18"/>
          <w:szCs w:val="18"/>
          <w:lang w:val="en-US" w:eastAsia="en-US"/>
        </w:rPr>
        <w:t xml:space="preserve"> </w:t>
      </w:r>
      <w:r w:rsidRPr="00BD77D8">
        <w:rPr>
          <w:rFonts w:eastAsia="Calibri"/>
          <w:sz w:val="18"/>
          <w:szCs w:val="18"/>
          <w:lang w:val="en-US" w:eastAsia="en-US"/>
        </w:rPr>
        <w:t>print)</w:t>
      </w:r>
      <w:r w:rsidRPr="00BD77D8">
        <w:rPr>
          <w:rFonts w:eastAsia="Calibri"/>
          <w:spacing w:val="-14"/>
          <w:sz w:val="18"/>
          <w:szCs w:val="18"/>
          <w:lang w:val="en-US" w:eastAsia="en-US"/>
        </w:rPr>
        <w:t xml:space="preserve"> </w:t>
      </w:r>
      <w:r w:rsidRPr="00BD77D8">
        <w:rPr>
          <w:rFonts w:eastAsia="Calibri"/>
          <w:sz w:val="18"/>
          <w:szCs w:val="18"/>
          <w:lang w:val="en-US" w:eastAsia="en-US"/>
        </w:rPr>
        <w:t>are</w:t>
      </w:r>
      <w:r w:rsidRPr="00BD77D8">
        <w:rPr>
          <w:rFonts w:eastAsia="Calibri"/>
          <w:spacing w:val="-15"/>
          <w:sz w:val="18"/>
          <w:szCs w:val="18"/>
          <w:lang w:val="en-US" w:eastAsia="en-US"/>
        </w:rPr>
        <w:t xml:space="preserve"> </w:t>
      </w:r>
      <w:r w:rsidRPr="00BD77D8">
        <w:rPr>
          <w:rFonts w:eastAsia="Calibri"/>
          <w:spacing w:val="-1"/>
          <w:sz w:val="18"/>
          <w:szCs w:val="18"/>
          <w:lang w:val="en-US" w:eastAsia="en-US"/>
        </w:rPr>
        <w:t>a</w:t>
      </w:r>
      <w:r w:rsidRPr="00BD77D8">
        <w:rPr>
          <w:rFonts w:eastAsia="Calibri"/>
          <w:spacing w:val="-2"/>
          <w:sz w:val="18"/>
          <w:szCs w:val="18"/>
          <w:lang w:val="en-US" w:eastAsia="en-US"/>
        </w:rPr>
        <w:t>v</w:t>
      </w:r>
      <w:r w:rsidRPr="00BD77D8">
        <w:rPr>
          <w:rFonts w:eastAsia="Calibri"/>
          <w:spacing w:val="-1"/>
          <w:sz w:val="18"/>
          <w:szCs w:val="18"/>
          <w:lang w:val="en-US" w:eastAsia="en-US"/>
        </w:rPr>
        <w:t>ailabl</w:t>
      </w:r>
      <w:r w:rsidRPr="00BD77D8">
        <w:rPr>
          <w:rFonts w:eastAsia="Calibri"/>
          <w:spacing w:val="-2"/>
          <w:sz w:val="18"/>
          <w:szCs w:val="18"/>
          <w:lang w:val="en-US" w:eastAsia="en-US"/>
        </w:rPr>
        <w:t>e on</w:t>
      </w:r>
      <w:r w:rsidRPr="00BD77D8">
        <w:rPr>
          <w:rFonts w:eastAsia="Calibri"/>
          <w:spacing w:val="-12"/>
          <w:sz w:val="18"/>
          <w:szCs w:val="18"/>
          <w:lang w:val="en-US" w:eastAsia="en-US"/>
        </w:rPr>
        <w:t xml:space="preserve"> </w:t>
      </w:r>
      <w:r w:rsidRPr="00BD77D8">
        <w:rPr>
          <w:rFonts w:eastAsia="Calibri"/>
          <w:spacing w:val="-2"/>
          <w:sz w:val="18"/>
          <w:szCs w:val="18"/>
          <w:lang w:val="en-US" w:eastAsia="en-US"/>
        </w:rPr>
        <w:t>reque</w:t>
      </w:r>
      <w:r w:rsidRPr="00BD77D8">
        <w:rPr>
          <w:rFonts w:eastAsia="Calibri"/>
          <w:spacing w:val="-1"/>
          <w:sz w:val="18"/>
          <w:szCs w:val="18"/>
          <w:lang w:val="en-US" w:eastAsia="en-US"/>
        </w:rPr>
        <w:t>s</w:t>
      </w:r>
      <w:r w:rsidRPr="00BD77D8">
        <w:rPr>
          <w:rFonts w:eastAsia="Calibri"/>
          <w:spacing w:val="-2"/>
          <w:sz w:val="18"/>
          <w:szCs w:val="18"/>
          <w:lang w:val="en-US" w:eastAsia="en-US"/>
        </w:rPr>
        <w:t>t.</w:t>
      </w:r>
      <w:r w:rsidRPr="00BD77D8">
        <w:rPr>
          <w:rFonts w:eastAsia="Calibri"/>
          <w:spacing w:val="-13"/>
          <w:sz w:val="18"/>
          <w:szCs w:val="18"/>
          <w:lang w:val="en-US" w:eastAsia="en-US"/>
        </w:rPr>
        <w:t xml:space="preserve"> </w:t>
      </w:r>
      <w:r w:rsidRPr="00BD77D8">
        <w:rPr>
          <w:rFonts w:eastAsia="Calibri"/>
          <w:sz w:val="18"/>
          <w:szCs w:val="18"/>
          <w:lang w:val="en-US" w:eastAsia="en-US"/>
        </w:rPr>
        <w:t>If</w:t>
      </w:r>
      <w:r w:rsidRPr="00BD77D8">
        <w:rPr>
          <w:rFonts w:eastAsia="Calibri"/>
          <w:spacing w:val="-14"/>
          <w:sz w:val="18"/>
          <w:szCs w:val="18"/>
          <w:lang w:val="en-US" w:eastAsia="en-US"/>
        </w:rPr>
        <w:t xml:space="preserve"> </w:t>
      </w:r>
      <w:r w:rsidRPr="00BD77D8">
        <w:rPr>
          <w:rFonts w:eastAsia="Calibri"/>
          <w:spacing w:val="-2"/>
          <w:sz w:val="18"/>
          <w:szCs w:val="18"/>
          <w:lang w:val="en-US" w:eastAsia="en-US"/>
        </w:rPr>
        <w:t>y</w:t>
      </w:r>
      <w:r w:rsidRPr="00BD77D8">
        <w:rPr>
          <w:rFonts w:eastAsia="Calibri"/>
          <w:spacing w:val="-1"/>
          <w:sz w:val="18"/>
          <w:szCs w:val="18"/>
          <w:lang w:val="en-US" w:eastAsia="en-US"/>
        </w:rPr>
        <w:t>ou</w:t>
      </w:r>
      <w:r w:rsidRPr="00BD77D8">
        <w:rPr>
          <w:rFonts w:eastAsia="Calibri"/>
          <w:spacing w:val="-12"/>
          <w:sz w:val="18"/>
          <w:szCs w:val="18"/>
          <w:lang w:val="en-US" w:eastAsia="en-US"/>
        </w:rPr>
        <w:t xml:space="preserve"> </w:t>
      </w:r>
      <w:r w:rsidRPr="00BD77D8">
        <w:rPr>
          <w:rFonts w:eastAsia="Calibri"/>
          <w:spacing w:val="-2"/>
          <w:sz w:val="18"/>
          <w:szCs w:val="18"/>
          <w:lang w:val="en-US" w:eastAsia="en-US"/>
        </w:rPr>
        <w:t>w</w:t>
      </w:r>
      <w:r w:rsidRPr="00BD77D8">
        <w:rPr>
          <w:rFonts w:eastAsia="Calibri"/>
          <w:spacing w:val="-1"/>
          <w:sz w:val="18"/>
          <w:szCs w:val="18"/>
          <w:lang w:val="en-US" w:eastAsia="en-US"/>
        </w:rPr>
        <w:t>ould</w:t>
      </w:r>
      <w:r w:rsidRPr="00BD77D8">
        <w:rPr>
          <w:rFonts w:eastAsia="Calibri"/>
          <w:spacing w:val="-14"/>
          <w:sz w:val="18"/>
          <w:szCs w:val="18"/>
          <w:lang w:val="en-US" w:eastAsia="en-US"/>
        </w:rPr>
        <w:t xml:space="preserve"> </w:t>
      </w:r>
      <w:r w:rsidRPr="00BD77D8">
        <w:rPr>
          <w:rFonts w:eastAsia="Calibri"/>
          <w:spacing w:val="-1"/>
          <w:sz w:val="18"/>
          <w:szCs w:val="18"/>
          <w:lang w:val="en-US" w:eastAsia="en-US"/>
        </w:rPr>
        <w:t>like</w:t>
      </w:r>
      <w:r w:rsidRPr="00BD77D8">
        <w:rPr>
          <w:rFonts w:eastAsia="Calibri"/>
          <w:spacing w:val="-12"/>
          <w:sz w:val="18"/>
          <w:szCs w:val="18"/>
          <w:lang w:val="en-US" w:eastAsia="en-US"/>
        </w:rPr>
        <w:t xml:space="preserve"> </w:t>
      </w:r>
      <w:r w:rsidRPr="00BD77D8">
        <w:rPr>
          <w:rFonts w:eastAsia="Calibri"/>
          <w:spacing w:val="-2"/>
          <w:sz w:val="18"/>
          <w:szCs w:val="18"/>
          <w:lang w:val="en-US" w:eastAsia="en-US"/>
        </w:rPr>
        <w:t>thi</w:t>
      </w:r>
      <w:r w:rsidRPr="00BD77D8">
        <w:rPr>
          <w:rFonts w:eastAsia="Calibri"/>
          <w:spacing w:val="-1"/>
          <w:sz w:val="18"/>
          <w:szCs w:val="18"/>
          <w:lang w:val="en-US" w:eastAsia="en-US"/>
        </w:rPr>
        <w:t>s</w:t>
      </w:r>
      <w:r w:rsidRPr="00BD77D8">
        <w:rPr>
          <w:rFonts w:eastAsia="Calibri"/>
          <w:spacing w:val="-13"/>
          <w:sz w:val="18"/>
          <w:szCs w:val="18"/>
          <w:lang w:val="en-US" w:eastAsia="en-US"/>
        </w:rPr>
        <w:t xml:space="preserve"> </w:t>
      </w:r>
      <w:r w:rsidRPr="00BD77D8">
        <w:rPr>
          <w:rFonts w:eastAsia="Calibri"/>
          <w:sz w:val="18"/>
          <w:szCs w:val="18"/>
          <w:lang w:val="en-US" w:eastAsia="en-US"/>
        </w:rPr>
        <w:t>annual</w:t>
      </w:r>
      <w:r w:rsidRPr="00BD77D8">
        <w:rPr>
          <w:rFonts w:eastAsia="Calibri"/>
          <w:spacing w:val="-14"/>
          <w:sz w:val="18"/>
          <w:szCs w:val="18"/>
          <w:lang w:val="en-US" w:eastAsia="en-US"/>
        </w:rPr>
        <w:t xml:space="preserve"> </w:t>
      </w:r>
      <w:r w:rsidRPr="00BD77D8">
        <w:rPr>
          <w:rFonts w:eastAsia="Calibri"/>
          <w:sz w:val="18"/>
          <w:szCs w:val="18"/>
          <w:lang w:val="en-US" w:eastAsia="en-US"/>
        </w:rPr>
        <w:t>report</w:t>
      </w:r>
      <w:r w:rsidRPr="00BD77D8">
        <w:rPr>
          <w:rFonts w:eastAsia="Calibri"/>
          <w:spacing w:val="-13"/>
          <w:sz w:val="18"/>
          <w:szCs w:val="18"/>
          <w:lang w:val="en-US" w:eastAsia="en-US"/>
        </w:rPr>
        <w:t xml:space="preserve"> </w:t>
      </w:r>
      <w:r w:rsidRPr="00BD77D8">
        <w:rPr>
          <w:rFonts w:eastAsia="Calibri"/>
          <w:sz w:val="18"/>
          <w:szCs w:val="18"/>
          <w:lang w:val="en-US" w:eastAsia="en-US"/>
        </w:rPr>
        <w:t>in</w:t>
      </w:r>
      <w:r w:rsidRPr="00BD77D8">
        <w:rPr>
          <w:rFonts w:eastAsia="Calibri"/>
          <w:spacing w:val="-12"/>
          <w:sz w:val="18"/>
          <w:szCs w:val="18"/>
          <w:lang w:val="en-US" w:eastAsia="en-US"/>
        </w:rPr>
        <w:t xml:space="preserve"> </w:t>
      </w:r>
      <w:r w:rsidRPr="00BD77D8">
        <w:rPr>
          <w:rFonts w:eastAsia="Calibri"/>
          <w:sz w:val="18"/>
          <w:szCs w:val="18"/>
          <w:lang w:val="en-US" w:eastAsia="en-US"/>
        </w:rPr>
        <w:t>another</w:t>
      </w:r>
      <w:r w:rsidR="00F75CE6" w:rsidRPr="00BD77D8">
        <w:rPr>
          <w:rFonts w:eastAsia="Calibri"/>
          <w:sz w:val="18"/>
          <w:szCs w:val="18"/>
          <w:lang w:val="en-US" w:eastAsia="en-US"/>
        </w:rPr>
        <w:t xml:space="preserve"> </w:t>
      </w:r>
      <w:r w:rsidRPr="00BD77D8">
        <w:rPr>
          <w:rFonts w:eastAsia="Calibri"/>
          <w:spacing w:val="-2"/>
          <w:sz w:val="18"/>
          <w:szCs w:val="18"/>
          <w:lang w:val="en-US" w:eastAsia="en-US"/>
        </w:rPr>
        <w:t>format,</w:t>
      </w:r>
      <w:r w:rsidRPr="00BD77D8">
        <w:rPr>
          <w:rFonts w:eastAsia="Calibri"/>
          <w:spacing w:val="-8"/>
          <w:sz w:val="18"/>
          <w:szCs w:val="18"/>
          <w:lang w:val="en-US" w:eastAsia="en-US"/>
        </w:rPr>
        <w:t xml:space="preserve"> </w:t>
      </w:r>
      <w:r w:rsidRPr="00BD77D8">
        <w:rPr>
          <w:rFonts w:eastAsia="Calibri"/>
          <w:spacing w:val="-1"/>
          <w:sz w:val="18"/>
          <w:szCs w:val="18"/>
          <w:lang w:val="en-US" w:eastAsia="en-US"/>
        </w:rPr>
        <w:t>pl</w:t>
      </w:r>
      <w:r w:rsidRPr="00BD77D8">
        <w:rPr>
          <w:rFonts w:eastAsia="Calibri"/>
          <w:spacing w:val="-2"/>
          <w:sz w:val="18"/>
          <w:szCs w:val="18"/>
          <w:lang w:val="en-US" w:eastAsia="en-US"/>
        </w:rPr>
        <w:t>e</w:t>
      </w:r>
      <w:r w:rsidRPr="00BD77D8">
        <w:rPr>
          <w:rFonts w:eastAsia="Calibri"/>
          <w:spacing w:val="-1"/>
          <w:sz w:val="18"/>
          <w:szCs w:val="18"/>
          <w:lang w:val="en-US" w:eastAsia="en-US"/>
        </w:rPr>
        <w:t>ase</w:t>
      </w:r>
      <w:r w:rsidRPr="00BD77D8">
        <w:rPr>
          <w:rFonts w:eastAsia="Calibri"/>
          <w:spacing w:val="-7"/>
          <w:sz w:val="18"/>
          <w:szCs w:val="18"/>
          <w:lang w:val="en-US" w:eastAsia="en-US"/>
        </w:rPr>
        <w:t xml:space="preserve"> </w:t>
      </w:r>
      <w:r w:rsidRPr="00BD77D8">
        <w:rPr>
          <w:rFonts w:eastAsia="Calibri"/>
          <w:spacing w:val="-1"/>
          <w:sz w:val="18"/>
          <w:szCs w:val="18"/>
          <w:lang w:val="en-US" w:eastAsia="en-US"/>
        </w:rPr>
        <w:t>c</w:t>
      </w:r>
      <w:r w:rsidRPr="00BD77D8">
        <w:rPr>
          <w:rFonts w:eastAsia="Calibri"/>
          <w:spacing w:val="-2"/>
          <w:sz w:val="18"/>
          <w:szCs w:val="18"/>
          <w:lang w:val="en-US" w:eastAsia="en-US"/>
        </w:rPr>
        <w:t>ont</w:t>
      </w:r>
      <w:r w:rsidRPr="00BD77D8">
        <w:rPr>
          <w:rFonts w:eastAsia="Calibri"/>
          <w:spacing w:val="-1"/>
          <w:sz w:val="18"/>
          <w:szCs w:val="18"/>
          <w:lang w:val="en-US" w:eastAsia="en-US"/>
        </w:rPr>
        <w:t>act</w:t>
      </w:r>
      <w:r w:rsidRPr="00BD77D8">
        <w:rPr>
          <w:rFonts w:eastAsia="Calibri"/>
          <w:spacing w:val="-8"/>
          <w:sz w:val="18"/>
          <w:szCs w:val="18"/>
          <w:lang w:val="en-US" w:eastAsia="en-US"/>
        </w:rPr>
        <w:t xml:space="preserve"> </w:t>
      </w:r>
      <w:r w:rsidRPr="00BD77D8">
        <w:rPr>
          <w:rFonts w:eastAsia="Calibri"/>
          <w:spacing w:val="-1"/>
          <w:sz w:val="18"/>
          <w:szCs w:val="18"/>
          <w:lang w:val="en-US" w:eastAsia="en-US"/>
        </w:rPr>
        <w:t>us</w:t>
      </w:r>
      <w:r w:rsidRPr="00BD77D8">
        <w:rPr>
          <w:rFonts w:eastAsia="Calibri"/>
          <w:spacing w:val="-9"/>
          <w:sz w:val="18"/>
          <w:szCs w:val="18"/>
          <w:lang w:val="en-US" w:eastAsia="en-US"/>
        </w:rPr>
        <w:t xml:space="preserve"> </w:t>
      </w:r>
      <w:r w:rsidRPr="00BD77D8">
        <w:rPr>
          <w:rFonts w:eastAsia="Calibri"/>
          <w:spacing w:val="-1"/>
          <w:sz w:val="18"/>
          <w:szCs w:val="18"/>
          <w:lang w:val="en-US" w:eastAsia="en-US"/>
        </w:rPr>
        <w:t>(calls</w:t>
      </w:r>
      <w:r w:rsidRPr="00BD77D8">
        <w:rPr>
          <w:rFonts w:eastAsia="Calibri"/>
          <w:spacing w:val="-9"/>
          <w:sz w:val="18"/>
          <w:szCs w:val="18"/>
          <w:lang w:val="en-US" w:eastAsia="en-US"/>
        </w:rPr>
        <w:t xml:space="preserve"> </w:t>
      </w:r>
      <w:r w:rsidRPr="00BD77D8">
        <w:rPr>
          <w:rFonts w:eastAsia="Calibri"/>
          <w:spacing w:val="-2"/>
          <w:sz w:val="18"/>
          <w:szCs w:val="18"/>
          <w:lang w:val="en-US" w:eastAsia="en-US"/>
        </w:rPr>
        <w:t>from</w:t>
      </w:r>
      <w:r w:rsidRPr="00BD77D8">
        <w:rPr>
          <w:rFonts w:eastAsia="Calibri"/>
          <w:spacing w:val="-7"/>
          <w:sz w:val="18"/>
          <w:szCs w:val="18"/>
          <w:lang w:val="en-US" w:eastAsia="en-US"/>
        </w:rPr>
        <w:t xml:space="preserve"> </w:t>
      </w:r>
      <w:r w:rsidRPr="00BD77D8">
        <w:rPr>
          <w:rFonts w:eastAsia="Calibri"/>
          <w:spacing w:val="-2"/>
          <w:sz w:val="18"/>
          <w:szCs w:val="18"/>
          <w:lang w:val="en-US" w:eastAsia="en-US"/>
        </w:rPr>
        <w:t>mo</w:t>
      </w:r>
      <w:r w:rsidRPr="00BD77D8">
        <w:rPr>
          <w:rFonts w:eastAsia="Calibri"/>
          <w:spacing w:val="-1"/>
          <w:sz w:val="18"/>
          <w:szCs w:val="18"/>
          <w:lang w:val="en-US" w:eastAsia="en-US"/>
        </w:rPr>
        <w:t>bil</w:t>
      </w:r>
      <w:r w:rsidRPr="00BD77D8">
        <w:rPr>
          <w:rFonts w:eastAsia="Calibri"/>
          <w:spacing w:val="-2"/>
          <w:sz w:val="18"/>
          <w:szCs w:val="18"/>
          <w:lang w:val="en-US" w:eastAsia="en-US"/>
        </w:rPr>
        <w:t>e</w:t>
      </w:r>
      <w:r w:rsidRPr="00BD77D8">
        <w:rPr>
          <w:rFonts w:eastAsia="Calibri"/>
          <w:spacing w:val="-7"/>
          <w:sz w:val="18"/>
          <w:szCs w:val="18"/>
          <w:lang w:val="en-US" w:eastAsia="en-US"/>
        </w:rPr>
        <w:t xml:space="preserve"> </w:t>
      </w:r>
      <w:r w:rsidRPr="00BD77D8">
        <w:rPr>
          <w:rFonts w:eastAsia="Calibri"/>
          <w:spacing w:val="-1"/>
          <w:sz w:val="18"/>
          <w:szCs w:val="18"/>
          <w:lang w:val="en-US" w:eastAsia="en-US"/>
        </w:rPr>
        <w:t>phones</w:t>
      </w:r>
      <w:r w:rsidRPr="00BD77D8">
        <w:rPr>
          <w:rFonts w:eastAsia="Calibri"/>
          <w:spacing w:val="-9"/>
          <w:sz w:val="18"/>
          <w:szCs w:val="18"/>
          <w:lang w:val="en-US" w:eastAsia="en-US"/>
        </w:rPr>
        <w:t xml:space="preserve"> </w:t>
      </w:r>
      <w:r w:rsidRPr="00BD77D8">
        <w:rPr>
          <w:rFonts w:eastAsia="Calibri"/>
          <w:sz w:val="18"/>
          <w:szCs w:val="18"/>
          <w:lang w:val="en-US" w:eastAsia="en-US"/>
        </w:rPr>
        <w:t>are</w:t>
      </w:r>
      <w:r w:rsidR="00F75CE6" w:rsidRPr="00BD77D8">
        <w:rPr>
          <w:rFonts w:eastAsia="Calibri"/>
          <w:spacing w:val="33"/>
          <w:w w:val="96"/>
          <w:sz w:val="18"/>
          <w:szCs w:val="18"/>
          <w:lang w:val="en-US" w:eastAsia="en-US"/>
        </w:rPr>
        <w:t xml:space="preserve"> </w:t>
      </w:r>
      <w:r w:rsidRPr="00BD77D8">
        <w:rPr>
          <w:rFonts w:eastAsia="Calibri"/>
          <w:spacing w:val="-1"/>
          <w:sz w:val="18"/>
          <w:szCs w:val="18"/>
          <w:lang w:val="en-US" w:eastAsia="en-US"/>
        </w:rPr>
        <w:t>charged</w:t>
      </w:r>
      <w:r w:rsidRPr="00BD77D8">
        <w:rPr>
          <w:rFonts w:eastAsia="Calibri"/>
          <w:spacing w:val="-8"/>
          <w:sz w:val="18"/>
          <w:szCs w:val="18"/>
          <w:lang w:val="en-US" w:eastAsia="en-US"/>
        </w:rPr>
        <w:t xml:space="preserve"> </w:t>
      </w:r>
      <w:r w:rsidRPr="00BD77D8">
        <w:rPr>
          <w:rFonts w:eastAsia="Calibri"/>
          <w:sz w:val="18"/>
          <w:szCs w:val="18"/>
          <w:lang w:val="en-US" w:eastAsia="en-US"/>
        </w:rPr>
        <w:t>at</w:t>
      </w:r>
      <w:r w:rsidRPr="00BD77D8">
        <w:rPr>
          <w:rFonts w:eastAsia="Calibri"/>
          <w:spacing w:val="-8"/>
          <w:sz w:val="18"/>
          <w:szCs w:val="18"/>
          <w:lang w:val="en-US" w:eastAsia="en-US"/>
        </w:rPr>
        <w:t xml:space="preserve"> </w:t>
      </w:r>
      <w:r w:rsidRPr="00BD77D8">
        <w:rPr>
          <w:rFonts w:eastAsia="Calibri"/>
          <w:spacing w:val="-1"/>
          <w:sz w:val="18"/>
          <w:szCs w:val="18"/>
          <w:lang w:val="en-US" w:eastAsia="en-US"/>
        </w:rPr>
        <w:t>applicabl</w:t>
      </w:r>
      <w:r w:rsidRPr="00BD77D8">
        <w:rPr>
          <w:rFonts w:eastAsia="Calibri"/>
          <w:spacing w:val="-2"/>
          <w:sz w:val="18"/>
          <w:szCs w:val="18"/>
          <w:lang w:val="en-US" w:eastAsia="en-US"/>
        </w:rPr>
        <w:t>e</w:t>
      </w:r>
      <w:r w:rsidRPr="00BD77D8">
        <w:rPr>
          <w:rFonts w:eastAsia="Calibri"/>
          <w:spacing w:val="-5"/>
          <w:sz w:val="18"/>
          <w:szCs w:val="18"/>
          <w:lang w:val="en-US" w:eastAsia="en-US"/>
        </w:rPr>
        <w:t xml:space="preserve"> </w:t>
      </w:r>
      <w:r w:rsidRPr="00BD77D8">
        <w:rPr>
          <w:rFonts w:eastAsia="Calibri"/>
          <w:spacing w:val="-2"/>
          <w:sz w:val="18"/>
          <w:szCs w:val="18"/>
          <w:lang w:val="en-US" w:eastAsia="en-US"/>
        </w:rPr>
        <w:t>rate</w:t>
      </w:r>
      <w:r w:rsidRPr="00BD77D8">
        <w:rPr>
          <w:rFonts w:eastAsia="Calibri"/>
          <w:spacing w:val="-1"/>
          <w:sz w:val="18"/>
          <w:szCs w:val="18"/>
          <w:lang w:val="en-US" w:eastAsia="en-US"/>
        </w:rPr>
        <w:t>s).</w:t>
      </w:r>
    </w:p>
    <w:p w14:paraId="0103B1D8" w14:textId="77777777" w:rsidR="00CE3C32" w:rsidRPr="00BD77D8" w:rsidRDefault="00CE3C32" w:rsidP="00CE3C32">
      <w:pPr>
        <w:spacing w:after="0" w:line="240" w:lineRule="auto"/>
        <w:rPr>
          <w:rFonts w:eastAsia="Calibri"/>
          <w:sz w:val="18"/>
          <w:szCs w:val="18"/>
        </w:rPr>
      </w:pPr>
      <w:r w:rsidRPr="00BD77D8">
        <w:rPr>
          <w:rFonts w:eastAsia="Calibri"/>
          <w:sz w:val="18"/>
          <w:szCs w:val="18"/>
        </w:rPr>
        <w:t>Telephone:</w:t>
      </w:r>
      <w:r w:rsidRPr="00BD77D8">
        <w:rPr>
          <w:rFonts w:eastAsia="Calibri"/>
          <w:sz w:val="18"/>
          <w:szCs w:val="18"/>
        </w:rPr>
        <w:tab/>
        <w:t>13 QGOV (13 74 68)</w:t>
      </w:r>
    </w:p>
    <w:p w14:paraId="05CA6205" w14:textId="77777777" w:rsidR="00CE3C32" w:rsidRPr="00BD77D8" w:rsidRDefault="00CE3C32" w:rsidP="00CE3C32">
      <w:pPr>
        <w:spacing w:after="0" w:line="240" w:lineRule="auto"/>
        <w:rPr>
          <w:rFonts w:eastAsia="Calibri"/>
          <w:sz w:val="18"/>
          <w:szCs w:val="18"/>
        </w:rPr>
      </w:pPr>
      <w:r w:rsidRPr="00BD77D8">
        <w:rPr>
          <w:rFonts w:eastAsia="Calibri"/>
          <w:sz w:val="18"/>
          <w:szCs w:val="18"/>
        </w:rPr>
        <w:t>Free call:</w:t>
      </w:r>
      <w:r w:rsidRPr="00BD77D8">
        <w:rPr>
          <w:rFonts w:eastAsia="Calibri"/>
          <w:sz w:val="18"/>
          <w:szCs w:val="18"/>
        </w:rPr>
        <w:tab/>
        <w:t>1800 177 120</w:t>
      </w:r>
    </w:p>
    <w:p w14:paraId="401F1649" w14:textId="1ACBD346" w:rsidR="00CE3C32" w:rsidRPr="00BD77D8" w:rsidRDefault="00CE3C32" w:rsidP="00CE3C32">
      <w:pPr>
        <w:spacing w:after="0" w:line="240" w:lineRule="auto"/>
        <w:rPr>
          <w:rFonts w:eastAsia="Calibri"/>
          <w:sz w:val="18"/>
          <w:szCs w:val="18"/>
        </w:rPr>
      </w:pPr>
      <w:r w:rsidRPr="00BD77D8">
        <w:rPr>
          <w:rFonts w:eastAsia="Calibri"/>
          <w:sz w:val="18"/>
          <w:szCs w:val="18"/>
        </w:rPr>
        <w:t xml:space="preserve">For more information visit the website </w:t>
      </w:r>
      <w:hyperlink r:id="rId17" w:history="1">
        <w:r w:rsidR="00F75CE6" w:rsidRPr="00BD77D8">
          <w:rPr>
            <w:rStyle w:val="Hyperlink"/>
            <w:rFonts w:eastAsia="Calibri"/>
            <w:color w:val="auto"/>
            <w:sz w:val="18"/>
            <w:szCs w:val="18"/>
          </w:rPr>
          <w:t>www.qld.gov.au/help/languages</w:t>
        </w:r>
      </w:hyperlink>
    </w:p>
    <w:p w14:paraId="03A6C3E6" w14:textId="74144E68" w:rsidR="00CE3C32" w:rsidRPr="00BD77D8" w:rsidRDefault="00CE3C32" w:rsidP="00697C58">
      <w:pPr>
        <w:spacing w:before="240" w:after="120"/>
        <w:rPr>
          <w:rFonts w:eastAsia="Calibri"/>
          <w:b/>
          <w:bCs/>
          <w:sz w:val="18"/>
          <w:szCs w:val="18"/>
        </w:rPr>
      </w:pPr>
      <w:r w:rsidRPr="00BD77D8">
        <w:rPr>
          <w:rFonts w:eastAsia="Calibri"/>
          <w:b/>
          <w:bCs/>
          <w:sz w:val="18"/>
          <w:szCs w:val="18"/>
        </w:rPr>
        <w:t>Copyright</w:t>
      </w:r>
    </w:p>
    <w:p w14:paraId="2FB60CD2" w14:textId="77777777" w:rsidR="00CE3C32" w:rsidRPr="00BD77D8" w:rsidRDefault="00CE3C32" w:rsidP="00CE3C32">
      <w:pPr>
        <w:spacing w:after="120"/>
        <w:rPr>
          <w:rFonts w:eastAsia="Calibri"/>
          <w:sz w:val="18"/>
          <w:szCs w:val="18"/>
          <w:lang w:val="en-US" w:eastAsia="en-US"/>
        </w:rPr>
      </w:pPr>
      <w:r w:rsidRPr="00BD77D8">
        <w:rPr>
          <w:rFonts w:eastAsia="Calibri"/>
          <w:sz w:val="18"/>
          <w:szCs w:val="18"/>
          <w:lang w:val="en-US" w:eastAsia="en-US"/>
        </w:rPr>
        <w:t>©</w:t>
      </w:r>
      <w:r w:rsidRPr="00BD77D8">
        <w:rPr>
          <w:rFonts w:eastAsia="Calibri"/>
          <w:spacing w:val="-18"/>
          <w:sz w:val="18"/>
          <w:szCs w:val="18"/>
          <w:lang w:val="en-US" w:eastAsia="en-US"/>
        </w:rPr>
        <w:t xml:space="preserve"> </w:t>
      </w:r>
      <w:r w:rsidRPr="00BD77D8">
        <w:rPr>
          <w:rFonts w:eastAsia="Calibri"/>
          <w:sz w:val="18"/>
          <w:szCs w:val="18"/>
          <w:lang w:val="en-US" w:eastAsia="en-US"/>
        </w:rPr>
        <w:t>The</w:t>
      </w:r>
      <w:r w:rsidRPr="00BD77D8">
        <w:rPr>
          <w:rFonts w:eastAsia="Calibri"/>
          <w:spacing w:val="-17"/>
          <w:sz w:val="18"/>
          <w:szCs w:val="18"/>
          <w:lang w:val="en-US" w:eastAsia="en-US"/>
        </w:rPr>
        <w:t xml:space="preserve"> </w:t>
      </w:r>
      <w:r w:rsidRPr="00BD77D8">
        <w:rPr>
          <w:rFonts w:eastAsia="Calibri"/>
          <w:spacing w:val="-1"/>
          <w:sz w:val="18"/>
          <w:szCs w:val="18"/>
          <w:lang w:val="en-US" w:eastAsia="en-US"/>
        </w:rPr>
        <w:t>St</w:t>
      </w:r>
      <w:r w:rsidRPr="00BD77D8">
        <w:rPr>
          <w:rFonts w:eastAsia="Calibri"/>
          <w:spacing w:val="-2"/>
          <w:sz w:val="18"/>
          <w:szCs w:val="18"/>
          <w:lang w:val="en-US" w:eastAsia="en-US"/>
        </w:rPr>
        <w:t>ate</w:t>
      </w:r>
      <w:r w:rsidRPr="00BD77D8">
        <w:rPr>
          <w:rFonts w:eastAsia="Calibri"/>
          <w:spacing w:val="-14"/>
          <w:sz w:val="18"/>
          <w:szCs w:val="18"/>
          <w:lang w:val="en-US" w:eastAsia="en-US"/>
        </w:rPr>
        <w:t xml:space="preserve"> </w:t>
      </w:r>
      <w:r w:rsidRPr="00BD77D8">
        <w:rPr>
          <w:rFonts w:eastAsia="Calibri"/>
          <w:sz w:val="18"/>
          <w:szCs w:val="18"/>
          <w:lang w:val="en-US" w:eastAsia="en-US"/>
        </w:rPr>
        <w:t>of</w:t>
      </w:r>
      <w:r w:rsidRPr="00BD77D8">
        <w:rPr>
          <w:rFonts w:eastAsia="Calibri"/>
          <w:spacing w:val="-16"/>
          <w:sz w:val="18"/>
          <w:szCs w:val="18"/>
          <w:lang w:val="en-US" w:eastAsia="en-US"/>
        </w:rPr>
        <w:t xml:space="preserve"> </w:t>
      </w:r>
      <w:r w:rsidRPr="00BD77D8">
        <w:rPr>
          <w:rFonts w:eastAsia="Calibri"/>
          <w:spacing w:val="-2"/>
          <w:sz w:val="18"/>
          <w:szCs w:val="18"/>
          <w:lang w:val="en-US" w:eastAsia="en-US"/>
        </w:rPr>
        <w:t>Queen</w:t>
      </w:r>
      <w:r w:rsidRPr="00BD77D8">
        <w:rPr>
          <w:rFonts w:eastAsia="Calibri"/>
          <w:spacing w:val="-1"/>
          <w:sz w:val="18"/>
          <w:szCs w:val="18"/>
          <w:lang w:val="en-US" w:eastAsia="en-US"/>
        </w:rPr>
        <w:t>sland</w:t>
      </w:r>
      <w:r w:rsidRPr="00BD77D8">
        <w:rPr>
          <w:rFonts w:eastAsia="Calibri"/>
          <w:spacing w:val="-15"/>
          <w:sz w:val="18"/>
          <w:szCs w:val="18"/>
          <w:lang w:val="en-US" w:eastAsia="en-US"/>
        </w:rPr>
        <w:t xml:space="preserve"> </w:t>
      </w:r>
      <w:r w:rsidRPr="00BD77D8">
        <w:rPr>
          <w:rFonts w:eastAsia="Calibri"/>
          <w:sz w:val="18"/>
          <w:szCs w:val="18"/>
          <w:lang w:val="en-US" w:eastAsia="en-US"/>
        </w:rPr>
        <w:t>(Department</w:t>
      </w:r>
      <w:r w:rsidRPr="00BD77D8">
        <w:rPr>
          <w:rFonts w:eastAsia="Calibri"/>
          <w:spacing w:val="-16"/>
          <w:sz w:val="18"/>
          <w:szCs w:val="18"/>
          <w:lang w:val="en-US" w:eastAsia="en-US"/>
        </w:rPr>
        <w:t xml:space="preserve"> </w:t>
      </w:r>
      <w:r w:rsidRPr="00BD77D8">
        <w:rPr>
          <w:rFonts w:eastAsia="Calibri"/>
          <w:sz w:val="18"/>
          <w:szCs w:val="18"/>
          <w:lang w:val="en-US" w:eastAsia="en-US"/>
        </w:rPr>
        <w:t>of Seniors, Disability Services and</w:t>
      </w:r>
      <w:r w:rsidRPr="00BD77D8">
        <w:rPr>
          <w:rFonts w:eastAsia="Calibri"/>
          <w:spacing w:val="-16"/>
          <w:sz w:val="18"/>
          <w:szCs w:val="18"/>
          <w:lang w:val="en-US" w:eastAsia="en-US"/>
        </w:rPr>
        <w:t xml:space="preserve"> </w:t>
      </w:r>
      <w:r w:rsidRPr="00BD77D8">
        <w:rPr>
          <w:rFonts w:eastAsia="Calibri"/>
          <w:spacing w:val="-2"/>
          <w:sz w:val="18"/>
          <w:szCs w:val="18"/>
          <w:lang w:val="en-US" w:eastAsia="en-US"/>
        </w:rPr>
        <w:t>A</w:t>
      </w:r>
      <w:r w:rsidRPr="00BD77D8">
        <w:rPr>
          <w:rFonts w:eastAsia="Calibri"/>
          <w:spacing w:val="-1"/>
          <w:sz w:val="18"/>
          <w:szCs w:val="18"/>
          <w:lang w:val="en-US" w:eastAsia="en-US"/>
        </w:rPr>
        <w:t>boriginal</w:t>
      </w:r>
      <w:r w:rsidRPr="00BD77D8">
        <w:rPr>
          <w:rFonts w:eastAsia="Calibri"/>
          <w:spacing w:val="31"/>
          <w:w w:val="102"/>
          <w:sz w:val="18"/>
          <w:szCs w:val="18"/>
          <w:lang w:val="en-US" w:eastAsia="en-US"/>
        </w:rPr>
        <w:t xml:space="preserve"> </w:t>
      </w:r>
      <w:r w:rsidRPr="00BD77D8">
        <w:rPr>
          <w:rFonts w:eastAsia="Calibri"/>
          <w:sz w:val="18"/>
          <w:szCs w:val="18"/>
          <w:lang w:val="en-US" w:eastAsia="en-US"/>
        </w:rPr>
        <w:t>and</w:t>
      </w:r>
      <w:r w:rsidRPr="00BD77D8">
        <w:rPr>
          <w:rFonts w:eastAsia="Calibri"/>
          <w:spacing w:val="-16"/>
          <w:sz w:val="18"/>
          <w:szCs w:val="18"/>
          <w:lang w:val="en-US" w:eastAsia="en-US"/>
        </w:rPr>
        <w:t xml:space="preserve"> </w:t>
      </w:r>
      <w:r w:rsidRPr="00BD77D8">
        <w:rPr>
          <w:rFonts w:eastAsia="Calibri"/>
          <w:spacing w:val="-3"/>
          <w:sz w:val="18"/>
          <w:szCs w:val="18"/>
          <w:lang w:val="en-US" w:eastAsia="en-US"/>
        </w:rPr>
        <w:t>Torre</w:t>
      </w:r>
      <w:r w:rsidRPr="00BD77D8">
        <w:rPr>
          <w:rFonts w:eastAsia="Calibri"/>
          <w:spacing w:val="-2"/>
          <w:sz w:val="18"/>
          <w:szCs w:val="18"/>
          <w:lang w:val="en-US" w:eastAsia="en-US"/>
        </w:rPr>
        <w:t>s</w:t>
      </w:r>
      <w:r w:rsidRPr="00BD77D8">
        <w:rPr>
          <w:rFonts w:eastAsia="Calibri"/>
          <w:spacing w:val="-15"/>
          <w:sz w:val="18"/>
          <w:szCs w:val="18"/>
          <w:lang w:val="en-US" w:eastAsia="en-US"/>
        </w:rPr>
        <w:t xml:space="preserve"> </w:t>
      </w:r>
      <w:r w:rsidRPr="00BD77D8">
        <w:rPr>
          <w:rFonts w:eastAsia="Calibri"/>
          <w:spacing w:val="-1"/>
          <w:sz w:val="18"/>
          <w:szCs w:val="18"/>
          <w:lang w:val="en-US" w:eastAsia="en-US"/>
        </w:rPr>
        <w:t>St</w:t>
      </w:r>
      <w:r w:rsidRPr="00BD77D8">
        <w:rPr>
          <w:rFonts w:eastAsia="Calibri"/>
          <w:spacing w:val="-2"/>
          <w:sz w:val="18"/>
          <w:szCs w:val="18"/>
          <w:lang w:val="en-US" w:eastAsia="en-US"/>
        </w:rPr>
        <w:t>rait</w:t>
      </w:r>
      <w:r w:rsidRPr="00BD77D8">
        <w:rPr>
          <w:rFonts w:eastAsia="Calibri"/>
          <w:spacing w:val="-12"/>
          <w:sz w:val="18"/>
          <w:szCs w:val="18"/>
          <w:lang w:val="en-US" w:eastAsia="en-US"/>
        </w:rPr>
        <w:t xml:space="preserve"> </w:t>
      </w:r>
      <w:r w:rsidRPr="00BD77D8">
        <w:rPr>
          <w:rFonts w:eastAsia="Calibri"/>
          <w:spacing w:val="-1"/>
          <w:sz w:val="18"/>
          <w:szCs w:val="18"/>
          <w:lang w:val="en-US" w:eastAsia="en-US"/>
        </w:rPr>
        <w:t>Island</w:t>
      </w:r>
      <w:r w:rsidRPr="00BD77D8">
        <w:rPr>
          <w:rFonts w:eastAsia="Calibri"/>
          <w:spacing w:val="-2"/>
          <w:sz w:val="18"/>
          <w:szCs w:val="18"/>
          <w:lang w:val="en-US" w:eastAsia="en-US"/>
        </w:rPr>
        <w:t>er</w:t>
      </w:r>
      <w:r w:rsidRPr="00BD77D8">
        <w:rPr>
          <w:rFonts w:eastAsia="Calibri"/>
          <w:spacing w:val="-11"/>
          <w:sz w:val="18"/>
          <w:szCs w:val="18"/>
          <w:lang w:val="en-US" w:eastAsia="en-US"/>
        </w:rPr>
        <w:t xml:space="preserve"> </w:t>
      </w:r>
      <w:r w:rsidRPr="00BD77D8">
        <w:rPr>
          <w:rFonts w:eastAsia="Calibri"/>
          <w:spacing w:val="-1"/>
          <w:sz w:val="18"/>
          <w:szCs w:val="18"/>
          <w:lang w:val="en-US" w:eastAsia="en-US"/>
        </w:rPr>
        <w:t>P</w:t>
      </w:r>
      <w:r w:rsidRPr="00BD77D8">
        <w:rPr>
          <w:rFonts w:eastAsia="Calibri"/>
          <w:spacing w:val="-2"/>
          <w:sz w:val="18"/>
          <w:szCs w:val="18"/>
          <w:lang w:val="en-US" w:eastAsia="en-US"/>
        </w:rPr>
        <w:t>artner</w:t>
      </w:r>
      <w:r w:rsidRPr="00BD77D8">
        <w:rPr>
          <w:rFonts w:eastAsia="Calibri"/>
          <w:spacing w:val="-1"/>
          <w:sz w:val="18"/>
          <w:szCs w:val="18"/>
          <w:lang w:val="en-US" w:eastAsia="en-US"/>
        </w:rPr>
        <w:t>ships)</w:t>
      </w:r>
      <w:r w:rsidRPr="00BD77D8">
        <w:rPr>
          <w:rFonts w:eastAsia="Calibri"/>
          <w:spacing w:val="-13"/>
          <w:sz w:val="18"/>
          <w:szCs w:val="18"/>
          <w:lang w:val="en-US" w:eastAsia="en-US"/>
        </w:rPr>
        <w:t xml:space="preserve"> </w:t>
      </w:r>
      <w:r w:rsidRPr="00BD77D8">
        <w:rPr>
          <w:rFonts w:eastAsia="Calibri"/>
          <w:spacing w:val="-1"/>
          <w:sz w:val="18"/>
          <w:szCs w:val="18"/>
          <w:lang w:val="en-US" w:eastAsia="en-US"/>
        </w:rPr>
        <w:t>2022</w:t>
      </w:r>
      <w:r w:rsidRPr="00BD77D8">
        <w:rPr>
          <w:rFonts w:eastAsia="Calibri"/>
          <w:spacing w:val="-2"/>
          <w:sz w:val="18"/>
          <w:szCs w:val="18"/>
          <w:lang w:val="en-US" w:eastAsia="en-US"/>
        </w:rPr>
        <w:t>.</w:t>
      </w:r>
    </w:p>
    <w:p w14:paraId="7616ABF4" w14:textId="77777777" w:rsidR="00CE3C32" w:rsidRPr="00BD77D8" w:rsidRDefault="00CE3C32" w:rsidP="00CE3C32">
      <w:pPr>
        <w:spacing w:after="120"/>
        <w:rPr>
          <w:rFonts w:eastAsia="Calibri"/>
          <w:b/>
          <w:bCs/>
          <w:sz w:val="18"/>
          <w:szCs w:val="18"/>
        </w:rPr>
      </w:pPr>
      <w:r w:rsidRPr="00BD77D8">
        <w:rPr>
          <w:rFonts w:eastAsia="Calibri"/>
          <w:b/>
          <w:bCs/>
          <w:sz w:val="18"/>
          <w:szCs w:val="18"/>
        </w:rPr>
        <w:t>Licence</w:t>
      </w:r>
    </w:p>
    <w:p w14:paraId="5ECF9D69" w14:textId="77777777" w:rsidR="00CE3C32" w:rsidRPr="00BD77D8" w:rsidRDefault="00CE3C32" w:rsidP="00CE3C32">
      <w:pPr>
        <w:spacing w:after="0" w:line="240" w:lineRule="auto"/>
        <w:rPr>
          <w:rFonts w:eastAsia="Calibri"/>
          <w:spacing w:val="-1"/>
          <w:sz w:val="18"/>
          <w:szCs w:val="18"/>
          <w:lang w:val="en-US" w:eastAsia="en-US"/>
        </w:rPr>
      </w:pPr>
      <w:r w:rsidRPr="00BD77D8">
        <w:rPr>
          <w:rFonts w:eastAsia="Calibri"/>
          <w:spacing w:val="-1"/>
          <w:sz w:val="18"/>
          <w:szCs w:val="18"/>
          <w:lang w:val="en-US" w:eastAsia="en-US"/>
        </w:rPr>
        <w:t xml:space="preserve">This annual report is licensed by the State of Queensland (Department of Seniors, Disability Services and Aboriginal and Torres Strait Islander Partnerships) under a Creative Commons Attribution (CC BY) 4.0 International </w:t>
      </w:r>
      <w:proofErr w:type="spellStart"/>
      <w:r w:rsidRPr="00BD77D8">
        <w:rPr>
          <w:rFonts w:eastAsia="Calibri"/>
          <w:spacing w:val="-1"/>
          <w:sz w:val="18"/>
          <w:szCs w:val="18"/>
          <w:lang w:val="en-US" w:eastAsia="en-US"/>
        </w:rPr>
        <w:t>licence</w:t>
      </w:r>
      <w:proofErr w:type="spellEnd"/>
      <w:r w:rsidRPr="00BD77D8">
        <w:rPr>
          <w:rFonts w:eastAsia="Calibri"/>
          <w:spacing w:val="-1"/>
          <w:sz w:val="18"/>
          <w:szCs w:val="18"/>
          <w:lang w:val="en-US" w:eastAsia="en-US"/>
        </w:rPr>
        <w:t>.</w:t>
      </w:r>
    </w:p>
    <w:p w14:paraId="0E39343D" w14:textId="77777777" w:rsidR="00CE3C32" w:rsidRPr="00BD77D8" w:rsidRDefault="00CE3C32" w:rsidP="00697C58">
      <w:pPr>
        <w:spacing w:before="240" w:after="0" w:line="240" w:lineRule="auto"/>
        <w:rPr>
          <w:rFonts w:eastAsia="Calibri"/>
          <w:b/>
          <w:bCs/>
          <w:spacing w:val="-1"/>
          <w:sz w:val="18"/>
          <w:szCs w:val="18"/>
          <w:lang w:val="en-US" w:eastAsia="en-US"/>
        </w:rPr>
      </w:pPr>
      <w:r w:rsidRPr="00BD77D8">
        <w:rPr>
          <w:rFonts w:eastAsia="Calibri"/>
          <w:noProof/>
          <w:spacing w:val="-1"/>
          <w:sz w:val="18"/>
          <w:szCs w:val="18"/>
          <w:lang w:val="en-US" w:eastAsia="en-US"/>
        </w:rPr>
        <w:drawing>
          <wp:inline distT="0" distB="0" distL="0" distR="0" wp14:anchorId="38538E15" wp14:editId="170C706D">
            <wp:extent cx="826617" cy="289316"/>
            <wp:effectExtent l="0" t="0" r="0" b="0"/>
            <wp:docPr id="7" name="Graphic 7" descr="Image for copy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Image for copy licenc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42727" cy="294955"/>
                    </a:xfrm>
                    <a:prstGeom prst="rect">
                      <a:avLst/>
                    </a:prstGeom>
                  </pic:spPr>
                </pic:pic>
              </a:graphicData>
            </a:graphic>
          </wp:inline>
        </w:drawing>
      </w:r>
    </w:p>
    <w:p w14:paraId="63602178" w14:textId="77777777" w:rsidR="00CE3C32" w:rsidRPr="00BD77D8" w:rsidRDefault="00CE3C32" w:rsidP="00697C58">
      <w:pPr>
        <w:spacing w:before="240" w:after="0" w:line="240" w:lineRule="auto"/>
        <w:rPr>
          <w:rFonts w:eastAsia="Calibri"/>
          <w:sz w:val="18"/>
          <w:szCs w:val="18"/>
        </w:rPr>
      </w:pPr>
      <w:r w:rsidRPr="00BD77D8">
        <w:rPr>
          <w:rFonts w:eastAsia="Calibri"/>
          <w:b/>
          <w:bCs/>
          <w:sz w:val="18"/>
          <w:szCs w:val="18"/>
        </w:rPr>
        <w:t xml:space="preserve">CC BY Licence Summary Statement: </w:t>
      </w:r>
    </w:p>
    <w:p w14:paraId="2AA85140" w14:textId="77777777" w:rsidR="00CE3C32" w:rsidRPr="00BD77D8" w:rsidRDefault="00CE3C32" w:rsidP="00697C58">
      <w:pPr>
        <w:spacing w:before="240" w:after="0" w:line="240" w:lineRule="auto"/>
        <w:rPr>
          <w:rFonts w:eastAsia="Calibri"/>
          <w:sz w:val="18"/>
          <w:szCs w:val="18"/>
        </w:rPr>
      </w:pPr>
      <w:r w:rsidRPr="00BD77D8">
        <w:rPr>
          <w:rFonts w:eastAsia="Calibri"/>
          <w:sz w:val="18"/>
          <w:szCs w:val="18"/>
        </w:rPr>
        <w:t>In essence, you are free to copy, communicate and adapt this annual report, as long as you attribute the work to</w:t>
      </w:r>
    </w:p>
    <w:p w14:paraId="1641D733" w14:textId="77777777" w:rsidR="00CE3C32" w:rsidRPr="00BD77D8" w:rsidRDefault="00CE3C32" w:rsidP="00CE3C32">
      <w:pPr>
        <w:spacing w:after="0" w:line="240" w:lineRule="auto"/>
        <w:rPr>
          <w:rFonts w:eastAsia="Calibri"/>
          <w:sz w:val="18"/>
          <w:szCs w:val="18"/>
        </w:rPr>
      </w:pPr>
      <w:r w:rsidRPr="00BD77D8">
        <w:rPr>
          <w:rFonts w:eastAsia="Calibri"/>
          <w:sz w:val="18"/>
          <w:szCs w:val="18"/>
        </w:rPr>
        <w:t>the State of Queensland  (Department of Seniors, Disability Services and Aboriginal and Torres Strait Islander Partnerships) Annual Report 2021–2022.</w:t>
      </w:r>
    </w:p>
    <w:p w14:paraId="755DD9FD" w14:textId="457C64BF" w:rsidR="00CE3C32" w:rsidRPr="00BD77D8" w:rsidRDefault="00CE3C32" w:rsidP="00697C58">
      <w:pPr>
        <w:spacing w:before="240" w:after="0" w:line="240" w:lineRule="auto"/>
        <w:rPr>
          <w:rFonts w:eastAsia="Calibri"/>
          <w:sz w:val="18"/>
          <w:szCs w:val="18"/>
          <w:lang w:eastAsia="en-US"/>
        </w:rPr>
      </w:pPr>
      <w:r w:rsidRPr="00BD77D8">
        <w:rPr>
          <w:rFonts w:eastAsia="Calibri"/>
          <w:sz w:val="18"/>
          <w:szCs w:val="18"/>
          <w:lang w:eastAsia="en-US"/>
        </w:rPr>
        <w:t>To view a copy of this licen</w:t>
      </w:r>
      <w:r w:rsidR="00F75CE6" w:rsidRPr="00BD77D8">
        <w:rPr>
          <w:rFonts w:eastAsia="Calibri"/>
          <w:sz w:val="18"/>
          <w:szCs w:val="18"/>
          <w:lang w:eastAsia="en-US"/>
        </w:rPr>
        <w:t>c</w:t>
      </w:r>
      <w:r w:rsidRPr="00BD77D8">
        <w:rPr>
          <w:rFonts w:eastAsia="Calibri"/>
          <w:sz w:val="18"/>
          <w:szCs w:val="18"/>
          <w:lang w:eastAsia="en-US"/>
        </w:rPr>
        <w:t xml:space="preserve">e, visit </w:t>
      </w:r>
      <w:hyperlink r:id="rId20" w:history="1">
        <w:r w:rsidRPr="00BD77D8">
          <w:rPr>
            <w:rFonts w:eastAsia="Calibri"/>
            <w:sz w:val="18"/>
            <w:szCs w:val="18"/>
            <w:u w:val="single"/>
            <w:lang w:eastAsia="en-US"/>
          </w:rPr>
          <w:t>https://creativecommons.org/licenses/by/4.0</w:t>
        </w:r>
      </w:hyperlink>
    </w:p>
    <w:p w14:paraId="610B5A79" w14:textId="77777777" w:rsidR="00CE3C32" w:rsidRPr="00BD77D8" w:rsidRDefault="00CE3C32" w:rsidP="00697C58">
      <w:pPr>
        <w:spacing w:before="200" w:after="0" w:line="240" w:lineRule="auto"/>
        <w:rPr>
          <w:rFonts w:eastAsia="Calibri"/>
          <w:sz w:val="18"/>
          <w:szCs w:val="18"/>
        </w:rPr>
      </w:pPr>
      <w:r w:rsidRPr="00BD77D8">
        <w:rPr>
          <w:rFonts w:eastAsia="Calibri"/>
          <w:b/>
          <w:bCs/>
          <w:sz w:val="18"/>
          <w:szCs w:val="18"/>
        </w:rPr>
        <w:t>Attribution</w:t>
      </w:r>
    </w:p>
    <w:p w14:paraId="48C51460" w14:textId="77777777" w:rsidR="00CE3C32" w:rsidRPr="00BD77D8" w:rsidRDefault="00CE3C32" w:rsidP="00697C58">
      <w:pPr>
        <w:spacing w:before="120" w:after="0" w:line="240" w:lineRule="auto"/>
        <w:rPr>
          <w:rFonts w:eastAsia="Calibri"/>
          <w:sz w:val="18"/>
          <w:szCs w:val="18"/>
        </w:rPr>
      </w:pPr>
      <w:r w:rsidRPr="00BD77D8">
        <w:rPr>
          <w:rFonts w:eastAsia="Calibri"/>
          <w:sz w:val="18"/>
          <w:szCs w:val="18"/>
        </w:rPr>
        <w:t>Content from the annual report should be attributed as:</w:t>
      </w:r>
    </w:p>
    <w:p w14:paraId="0D7E5DC5" w14:textId="77777777" w:rsidR="00CE3C32" w:rsidRPr="00BD77D8" w:rsidRDefault="00CE3C32" w:rsidP="00697C58">
      <w:pPr>
        <w:spacing w:before="120" w:after="0" w:line="240" w:lineRule="auto"/>
        <w:rPr>
          <w:rFonts w:eastAsia="Calibri"/>
          <w:sz w:val="18"/>
          <w:szCs w:val="18"/>
        </w:rPr>
      </w:pPr>
      <w:r w:rsidRPr="00BD77D8">
        <w:rPr>
          <w:rFonts w:eastAsia="Calibri"/>
          <w:sz w:val="18"/>
          <w:szCs w:val="18"/>
        </w:rPr>
        <w:t>The State of Queensland (Department of Seniors, Disability Services and Aboriginal and Torres Strait Islander Partnerships) Annual Report 2021–2022.</w:t>
      </w:r>
    </w:p>
    <w:p w14:paraId="01CFA7C9" w14:textId="77777777" w:rsidR="00CE3C32" w:rsidRPr="00BD77D8" w:rsidRDefault="00CE3C32" w:rsidP="00697C58">
      <w:pPr>
        <w:spacing w:before="240" w:after="120"/>
        <w:rPr>
          <w:b/>
          <w:bCs/>
          <w:sz w:val="18"/>
          <w:szCs w:val="18"/>
        </w:rPr>
      </w:pPr>
      <w:bookmarkStart w:id="1" w:name="_Toc78287418"/>
      <w:bookmarkStart w:id="2" w:name="_Toc78355825"/>
      <w:bookmarkStart w:id="3" w:name="_Toc100666125"/>
      <w:r w:rsidRPr="00BD77D8">
        <w:rPr>
          <w:b/>
          <w:bCs/>
          <w:sz w:val="18"/>
          <w:szCs w:val="18"/>
        </w:rPr>
        <w:t>Contact details</w:t>
      </w:r>
      <w:bookmarkEnd w:id="1"/>
      <w:bookmarkEnd w:id="2"/>
      <w:bookmarkEnd w:id="3"/>
    </w:p>
    <w:p w14:paraId="16648B36" w14:textId="77777777" w:rsidR="00CE3C32" w:rsidRPr="00BD77D8" w:rsidRDefault="00CE3C32" w:rsidP="00CE3C32">
      <w:pPr>
        <w:spacing w:after="120"/>
        <w:rPr>
          <w:rFonts w:eastAsia="Calibri"/>
          <w:sz w:val="18"/>
          <w:szCs w:val="18"/>
        </w:rPr>
      </w:pPr>
      <w:r w:rsidRPr="00BD77D8">
        <w:rPr>
          <w:rFonts w:eastAsia="Calibri"/>
          <w:sz w:val="18"/>
          <w:szCs w:val="18"/>
        </w:rPr>
        <w:t>Department of Seniors, Disability Services and Aboriginal and Torres Strait Islander Partnerships</w:t>
      </w:r>
    </w:p>
    <w:p w14:paraId="2A3D4B25" w14:textId="77777777" w:rsidR="00CE3C32" w:rsidRPr="00BD77D8" w:rsidRDefault="00CE3C32" w:rsidP="00CE3C32">
      <w:pPr>
        <w:spacing w:after="0" w:line="240" w:lineRule="auto"/>
        <w:rPr>
          <w:rFonts w:eastAsia="Calibri"/>
          <w:sz w:val="18"/>
          <w:szCs w:val="18"/>
        </w:rPr>
      </w:pPr>
      <w:r w:rsidRPr="00BD77D8">
        <w:rPr>
          <w:rFonts w:eastAsia="Calibri"/>
          <w:sz w:val="18"/>
          <w:szCs w:val="18"/>
        </w:rPr>
        <w:t>PO Box 15397</w:t>
      </w:r>
      <w:r w:rsidRPr="00BD77D8">
        <w:rPr>
          <w:rFonts w:eastAsia="Calibri"/>
          <w:sz w:val="18"/>
          <w:szCs w:val="18"/>
        </w:rPr>
        <w:br/>
        <w:t>CITY EAST QLD 4002</w:t>
      </w:r>
    </w:p>
    <w:p w14:paraId="0C78A196" w14:textId="77777777" w:rsidR="00CE3C32" w:rsidRPr="00BD77D8" w:rsidRDefault="00CE3C32" w:rsidP="00CE3C32">
      <w:pPr>
        <w:spacing w:after="0" w:line="240" w:lineRule="auto"/>
        <w:rPr>
          <w:rFonts w:eastAsia="Calibri"/>
          <w:sz w:val="18"/>
          <w:szCs w:val="18"/>
        </w:rPr>
      </w:pPr>
      <w:r w:rsidRPr="00BD77D8">
        <w:rPr>
          <w:rFonts w:eastAsia="Calibri"/>
          <w:sz w:val="18"/>
          <w:szCs w:val="18"/>
        </w:rPr>
        <w:t>Phone:</w:t>
      </w:r>
      <w:r w:rsidRPr="00BD77D8">
        <w:rPr>
          <w:rFonts w:eastAsia="Calibri"/>
          <w:sz w:val="18"/>
          <w:szCs w:val="18"/>
        </w:rPr>
        <w:tab/>
        <w:t>13 QGOV (13 74 68)</w:t>
      </w:r>
    </w:p>
    <w:p w14:paraId="0ADBB47D" w14:textId="77777777" w:rsidR="00CE3C32" w:rsidRPr="00BD77D8" w:rsidRDefault="00CE3C32" w:rsidP="00CE3C32">
      <w:pPr>
        <w:spacing w:after="0" w:line="240" w:lineRule="auto"/>
        <w:rPr>
          <w:rFonts w:eastAsia="Calibri"/>
          <w:sz w:val="18"/>
          <w:szCs w:val="18"/>
        </w:rPr>
      </w:pPr>
      <w:r w:rsidRPr="00BD77D8">
        <w:rPr>
          <w:rFonts w:eastAsia="Calibri"/>
          <w:sz w:val="18"/>
          <w:szCs w:val="18"/>
        </w:rPr>
        <w:t>Email:</w:t>
      </w:r>
      <w:r w:rsidRPr="00BD77D8">
        <w:rPr>
          <w:rFonts w:eastAsia="Calibri"/>
          <w:sz w:val="18"/>
          <w:szCs w:val="18"/>
        </w:rPr>
        <w:tab/>
      </w:r>
      <w:hyperlink r:id="rId21" w:history="1">
        <w:r w:rsidRPr="00BD77D8">
          <w:rPr>
            <w:rFonts w:eastAsia="Calibri"/>
            <w:sz w:val="18"/>
            <w:szCs w:val="18"/>
          </w:rPr>
          <w:t>enquiries@dsdsatsip.qld.gov.au</w:t>
        </w:r>
      </w:hyperlink>
    </w:p>
    <w:p w14:paraId="29A7CD58" w14:textId="77777777" w:rsidR="00CE3C32" w:rsidRPr="00BD77D8" w:rsidRDefault="00CE3C32" w:rsidP="00CE3C32">
      <w:pPr>
        <w:spacing w:after="0" w:line="240" w:lineRule="auto"/>
        <w:rPr>
          <w:rFonts w:eastAsia="Calibri"/>
          <w:sz w:val="18"/>
          <w:szCs w:val="18"/>
        </w:rPr>
      </w:pPr>
      <w:r w:rsidRPr="00BD77D8">
        <w:rPr>
          <w:rFonts w:eastAsia="Calibri"/>
          <w:sz w:val="18"/>
          <w:szCs w:val="18"/>
        </w:rPr>
        <w:t xml:space="preserve">Web: </w:t>
      </w:r>
      <w:hyperlink r:id="rId22" w:history="1">
        <w:r w:rsidRPr="00BD77D8">
          <w:rPr>
            <w:rFonts w:eastAsia="Calibri"/>
            <w:sz w:val="18"/>
            <w:szCs w:val="18"/>
            <w:u w:val="single"/>
          </w:rPr>
          <w:t>www.dsdsatsip.qld.gov.au</w:t>
        </w:r>
      </w:hyperlink>
    </w:p>
    <w:p w14:paraId="257D69B5" w14:textId="5031D5EB" w:rsidR="00CE3C32" w:rsidRPr="00BD77D8" w:rsidRDefault="00CE3C32" w:rsidP="00697C58">
      <w:pPr>
        <w:spacing w:before="240" w:after="120"/>
        <w:rPr>
          <w:b/>
          <w:bCs/>
          <w:sz w:val="18"/>
          <w:szCs w:val="18"/>
        </w:rPr>
      </w:pPr>
      <w:r w:rsidRPr="00BD77D8">
        <w:rPr>
          <w:b/>
          <w:bCs/>
          <w:sz w:val="18"/>
          <w:szCs w:val="18"/>
        </w:rPr>
        <w:t>We value your feedback</w:t>
      </w:r>
    </w:p>
    <w:p w14:paraId="574D1C32" w14:textId="49A07CBB" w:rsidR="00CE3C32" w:rsidRPr="00BD77D8" w:rsidRDefault="00CE3C32" w:rsidP="00CE3C32">
      <w:pPr>
        <w:spacing w:after="160" w:line="259" w:lineRule="auto"/>
        <w:rPr>
          <w:rFonts w:ascii="Calibri" w:eastAsia="Calibri" w:hAnsi="Calibri" w:cs="Times New Roman"/>
          <w:sz w:val="22"/>
          <w:szCs w:val="22"/>
          <w:lang w:eastAsia="en-US"/>
        </w:rPr>
      </w:pPr>
      <w:r w:rsidRPr="00BD77D8">
        <w:rPr>
          <w:rFonts w:eastAsia="Calibri"/>
          <w:sz w:val="18"/>
          <w:szCs w:val="18"/>
        </w:rPr>
        <w:t>Your feedback about this annual report is valuable and helps us to continually improve our reports. To provide your feedback on this report</w:t>
      </w:r>
      <w:r w:rsidR="00F75CE6" w:rsidRPr="00BD77D8">
        <w:rPr>
          <w:rFonts w:eastAsia="Calibri"/>
          <w:sz w:val="18"/>
          <w:szCs w:val="18"/>
        </w:rPr>
        <w:t>,</w:t>
      </w:r>
      <w:r w:rsidRPr="00BD77D8">
        <w:rPr>
          <w:rFonts w:eastAsia="Calibri"/>
          <w:sz w:val="18"/>
          <w:szCs w:val="18"/>
        </w:rPr>
        <w:t xml:space="preserve"> please visit the Get Involved website  </w:t>
      </w:r>
      <w:hyperlink r:id="rId23" w:history="1">
        <w:r w:rsidRPr="00BD77D8">
          <w:rPr>
            <w:rFonts w:eastAsia="Calibri"/>
            <w:sz w:val="18"/>
            <w:szCs w:val="18"/>
            <w:u w:val="single"/>
          </w:rPr>
          <w:t>https://www.getinvolved.qld.gov.au/gi/</w:t>
        </w:r>
      </w:hyperlink>
    </w:p>
    <w:p w14:paraId="345F3508" w14:textId="77777777" w:rsidR="00697C58" w:rsidRPr="00BD77D8" w:rsidRDefault="00697C58">
      <w:pPr>
        <w:spacing w:after="0" w:line="240" w:lineRule="auto"/>
        <w:rPr>
          <w:rFonts w:eastAsia="Calibri"/>
        </w:rPr>
      </w:pPr>
      <w:bookmarkStart w:id="4" w:name="_Toc100666126"/>
      <w:r w:rsidRPr="00BD77D8">
        <w:rPr>
          <w:rFonts w:eastAsia="Calibri"/>
        </w:rPr>
        <w:br w:type="page"/>
      </w:r>
    </w:p>
    <w:p w14:paraId="035D02E5" w14:textId="49CF64EA" w:rsidR="00B7032D" w:rsidRPr="00BD77D8" w:rsidRDefault="00A62D66" w:rsidP="00604D3C">
      <w:pPr>
        <w:rPr>
          <w:rFonts w:eastAsia="Calibri"/>
        </w:rPr>
      </w:pPr>
      <w:r w:rsidRPr="00BD77D8">
        <w:rPr>
          <w:rFonts w:eastAsia="Calibri"/>
        </w:rPr>
        <w:lastRenderedPageBreak/>
        <w:t xml:space="preserve">Department of </w:t>
      </w:r>
      <w:bookmarkStart w:id="5" w:name="_Hlk113971135"/>
      <w:r w:rsidRPr="00BD77D8">
        <w:rPr>
          <w:rFonts w:eastAsia="Calibri"/>
        </w:rPr>
        <w:t>Seniors, Disability Services and Aboriginal and Torres Strait Islander Partnerships</w:t>
      </w:r>
      <w:bookmarkEnd w:id="0"/>
      <w:bookmarkEnd w:id="4"/>
      <w:r w:rsidR="00306F4C" w:rsidRPr="00BD77D8">
        <w:rPr>
          <w:rFonts w:eastAsia="Calibri"/>
        </w:rPr>
        <w:t xml:space="preserve"> </w:t>
      </w:r>
      <w:bookmarkEnd w:id="5"/>
    </w:p>
    <w:p w14:paraId="41426414" w14:textId="350006DB" w:rsidR="00B7032D" w:rsidRPr="00BD77D8" w:rsidRDefault="008068FA" w:rsidP="0041619F">
      <w:pPr>
        <w:spacing w:before="1200"/>
      </w:pPr>
      <w:r w:rsidRPr="00BD77D8">
        <w:t xml:space="preserve">16 </w:t>
      </w:r>
      <w:r w:rsidR="006B2C94" w:rsidRPr="00BD77D8">
        <w:t>September</w:t>
      </w:r>
      <w:r w:rsidR="009938A2" w:rsidRPr="00BD77D8">
        <w:t xml:space="preserve"> 202</w:t>
      </w:r>
      <w:r w:rsidR="00901950" w:rsidRPr="00BD77D8">
        <w:t>2</w:t>
      </w:r>
      <w:r w:rsidR="006002CD" w:rsidRPr="00BD77D8">
        <w:t xml:space="preserve"> </w:t>
      </w:r>
    </w:p>
    <w:p w14:paraId="63E5E928" w14:textId="77777777" w:rsidR="000577E2" w:rsidRPr="00BD77D8" w:rsidRDefault="009C1ED7" w:rsidP="00E615B4">
      <w:pPr>
        <w:spacing w:before="480" w:after="0"/>
        <w:rPr>
          <w:rFonts w:eastAsia="Calibri"/>
          <w:lang w:eastAsia="en-US"/>
        </w:rPr>
      </w:pPr>
      <w:bookmarkStart w:id="6" w:name="_Hlk113971099"/>
      <w:bookmarkStart w:id="7" w:name="_Toc43444692"/>
      <w:bookmarkStart w:id="8" w:name="_Toc352236363"/>
      <w:r w:rsidRPr="00BD77D8">
        <w:rPr>
          <w:rFonts w:eastAsia="Calibri"/>
          <w:lang w:eastAsia="en-US"/>
        </w:rPr>
        <w:t>The Honourable Craig Crawford MP</w:t>
      </w:r>
      <w:r w:rsidR="008667B4" w:rsidRPr="00BD77D8">
        <w:rPr>
          <w:rFonts w:eastAsia="Calibri"/>
          <w:lang w:eastAsia="en-US"/>
        </w:rPr>
        <w:br/>
      </w:r>
      <w:r w:rsidRPr="00BD77D8">
        <w:rPr>
          <w:rFonts w:eastAsia="Calibri"/>
          <w:lang w:eastAsia="en-US"/>
        </w:rPr>
        <w:t xml:space="preserve">Minister for </w:t>
      </w:r>
      <w:r w:rsidR="006B2C94" w:rsidRPr="00BD77D8">
        <w:rPr>
          <w:rFonts w:eastAsia="Calibri"/>
          <w:lang w:eastAsia="en-US"/>
        </w:rPr>
        <w:t xml:space="preserve">Seniors, Disability Services and </w:t>
      </w:r>
    </w:p>
    <w:p w14:paraId="05984847" w14:textId="1A742D25" w:rsidR="009C1ED7" w:rsidRPr="00BD77D8" w:rsidRDefault="000577E2" w:rsidP="000577E2">
      <w:pPr>
        <w:spacing w:after="0"/>
        <w:rPr>
          <w:rFonts w:eastAsia="Calibri"/>
          <w:lang w:eastAsia="en-US"/>
        </w:rPr>
      </w:pPr>
      <w:r w:rsidRPr="00BD77D8">
        <w:rPr>
          <w:rFonts w:eastAsia="Calibri"/>
          <w:lang w:eastAsia="en-US"/>
        </w:rPr>
        <w:t xml:space="preserve">Minister for </w:t>
      </w:r>
      <w:r w:rsidR="009C1ED7" w:rsidRPr="00BD77D8">
        <w:rPr>
          <w:rFonts w:eastAsia="Calibri"/>
          <w:lang w:eastAsia="en-US"/>
        </w:rPr>
        <w:t>Aboriginal and Torres</w:t>
      </w:r>
      <w:r w:rsidR="0011071A" w:rsidRPr="00BD77D8">
        <w:rPr>
          <w:rFonts w:eastAsia="Calibri"/>
          <w:lang w:eastAsia="en-US"/>
        </w:rPr>
        <w:t xml:space="preserve"> </w:t>
      </w:r>
      <w:r w:rsidR="009C1ED7" w:rsidRPr="00BD77D8">
        <w:rPr>
          <w:rFonts w:eastAsia="Calibri"/>
          <w:lang w:eastAsia="en-US"/>
        </w:rPr>
        <w:t xml:space="preserve">Strait Islander Partnerships </w:t>
      </w:r>
      <w:r w:rsidR="008667B4" w:rsidRPr="00BD77D8">
        <w:rPr>
          <w:rFonts w:eastAsia="Calibri"/>
          <w:lang w:eastAsia="en-US"/>
        </w:rPr>
        <w:br/>
      </w:r>
      <w:r w:rsidR="009C1ED7" w:rsidRPr="00BD77D8">
        <w:rPr>
          <w:rFonts w:eastAsia="Calibri"/>
          <w:lang w:eastAsia="en-US"/>
        </w:rPr>
        <w:t>PO Box 15457</w:t>
      </w:r>
      <w:r w:rsidR="008667B4" w:rsidRPr="00BD77D8">
        <w:rPr>
          <w:rFonts w:eastAsia="Calibri"/>
          <w:lang w:eastAsia="en-US"/>
        </w:rPr>
        <w:br/>
      </w:r>
      <w:r w:rsidR="009C1ED7" w:rsidRPr="00BD77D8">
        <w:rPr>
          <w:rFonts w:eastAsia="Calibri"/>
          <w:lang w:eastAsia="en-US"/>
        </w:rPr>
        <w:t>CITY EAST QLD 4002</w:t>
      </w:r>
    </w:p>
    <w:p w14:paraId="65BC8003" w14:textId="1A7EB38D" w:rsidR="009C1ED7" w:rsidRPr="00BD77D8" w:rsidRDefault="009C1ED7" w:rsidP="00E615B4">
      <w:pPr>
        <w:spacing w:before="720"/>
        <w:rPr>
          <w:rFonts w:eastAsia="Calibri"/>
          <w:lang w:eastAsia="en-US"/>
        </w:rPr>
      </w:pPr>
      <w:r w:rsidRPr="00BD77D8">
        <w:rPr>
          <w:rFonts w:eastAsia="Calibri"/>
          <w:lang w:eastAsia="en-US"/>
        </w:rPr>
        <w:t>Dear Minister</w:t>
      </w:r>
      <w:r w:rsidR="003D215E" w:rsidRPr="00BD77D8">
        <w:rPr>
          <w:rFonts w:eastAsia="Calibri"/>
          <w:lang w:eastAsia="en-US"/>
        </w:rPr>
        <w:t>,</w:t>
      </w:r>
    </w:p>
    <w:p w14:paraId="78F7DCA4" w14:textId="01C2FF01" w:rsidR="00051762" w:rsidRPr="00BD77D8" w:rsidRDefault="00051762" w:rsidP="008667B4">
      <w:pPr>
        <w:rPr>
          <w:rFonts w:eastAsia="Calibri"/>
          <w:lang w:eastAsia="en-US"/>
        </w:rPr>
      </w:pPr>
      <w:r w:rsidRPr="00BD77D8">
        <w:rPr>
          <w:rFonts w:eastAsia="Calibri"/>
          <w:lang w:eastAsia="en-US"/>
        </w:rPr>
        <w:t>I am pleased to submit for presentat</w:t>
      </w:r>
      <w:r w:rsidR="006B2C94" w:rsidRPr="00BD77D8">
        <w:rPr>
          <w:rFonts w:eastAsia="Calibri"/>
          <w:lang w:eastAsia="en-US"/>
        </w:rPr>
        <w:t xml:space="preserve">ion to the Parliament, </w:t>
      </w:r>
      <w:r w:rsidR="002B1C76" w:rsidRPr="00BD77D8">
        <w:rPr>
          <w:rFonts w:eastAsia="Calibri"/>
          <w:lang w:eastAsia="en-US"/>
        </w:rPr>
        <w:t xml:space="preserve">the </w:t>
      </w:r>
      <w:r w:rsidR="00E27F96" w:rsidRPr="00BD77D8">
        <w:rPr>
          <w:rFonts w:eastAsia="Calibri"/>
          <w:lang w:eastAsia="en-US"/>
        </w:rPr>
        <w:t>Annual Report for</w:t>
      </w:r>
      <w:r w:rsidRPr="00BD77D8">
        <w:rPr>
          <w:rFonts w:eastAsia="Calibri"/>
          <w:lang w:eastAsia="en-US"/>
        </w:rPr>
        <w:t xml:space="preserve"> 202</w:t>
      </w:r>
      <w:r w:rsidR="00901950" w:rsidRPr="00BD77D8">
        <w:rPr>
          <w:rFonts w:eastAsia="Calibri"/>
          <w:lang w:eastAsia="en-US"/>
        </w:rPr>
        <w:t>1</w:t>
      </w:r>
      <w:r w:rsidR="006B2C94" w:rsidRPr="00BD77D8">
        <w:rPr>
          <w:rFonts w:eastAsia="Calibri"/>
          <w:lang w:eastAsia="en-US"/>
        </w:rPr>
        <w:t>-</w:t>
      </w:r>
      <w:r w:rsidR="001E5C6A" w:rsidRPr="00BD77D8">
        <w:rPr>
          <w:rFonts w:eastAsia="Calibri"/>
          <w:lang w:eastAsia="en-US"/>
        </w:rPr>
        <w:t>20</w:t>
      </w:r>
      <w:r w:rsidR="006B2C94" w:rsidRPr="00BD77D8">
        <w:rPr>
          <w:rFonts w:eastAsia="Calibri"/>
          <w:lang w:eastAsia="en-US"/>
        </w:rPr>
        <w:t>2</w:t>
      </w:r>
      <w:r w:rsidR="00896A3F" w:rsidRPr="00BD77D8">
        <w:rPr>
          <w:rFonts w:eastAsia="Calibri"/>
          <w:lang w:eastAsia="en-US"/>
        </w:rPr>
        <w:t>2</w:t>
      </w:r>
      <w:r w:rsidR="002B1C76" w:rsidRPr="00BD77D8">
        <w:rPr>
          <w:rFonts w:eastAsia="Calibri"/>
          <w:lang w:eastAsia="en-US"/>
        </w:rPr>
        <w:t xml:space="preserve"> and financial statements for the Department of Seniors, Disability Services and Aboriginal and Torres Strait Islander Partnerships</w:t>
      </w:r>
      <w:r w:rsidRPr="00BD77D8">
        <w:rPr>
          <w:rFonts w:eastAsia="Calibri"/>
          <w:lang w:eastAsia="en-US"/>
        </w:rPr>
        <w:t xml:space="preserve">. </w:t>
      </w:r>
    </w:p>
    <w:p w14:paraId="301FDECD" w14:textId="6EB965E4" w:rsidR="009C1ED7" w:rsidRPr="00BD77D8" w:rsidRDefault="009C1ED7" w:rsidP="008667B4">
      <w:pPr>
        <w:rPr>
          <w:rFonts w:eastAsia="Calibri"/>
          <w:lang w:eastAsia="en-US"/>
        </w:rPr>
      </w:pPr>
      <w:r w:rsidRPr="00BD77D8">
        <w:rPr>
          <w:rFonts w:eastAsia="Calibri"/>
          <w:lang w:eastAsia="en-US"/>
        </w:rPr>
        <w:t xml:space="preserve">I certify that this </w:t>
      </w:r>
      <w:r w:rsidR="00B076BB" w:rsidRPr="00BD77D8">
        <w:rPr>
          <w:rFonts w:eastAsia="Calibri"/>
          <w:lang w:eastAsia="en-US"/>
        </w:rPr>
        <w:t>Annual R</w:t>
      </w:r>
      <w:r w:rsidRPr="00BD77D8">
        <w:rPr>
          <w:rFonts w:eastAsia="Calibri"/>
          <w:lang w:eastAsia="en-US"/>
        </w:rPr>
        <w:t>eport complies with:</w:t>
      </w:r>
    </w:p>
    <w:p w14:paraId="609E8819" w14:textId="1272E599" w:rsidR="009C1ED7" w:rsidRPr="00BD77D8" w:rsidRDefault="00E337C2" w:rsidP="008667B4">
      <w:pPr>
        <w:pStyle w:val="ListBullet"/>
        <w:rPr>
          <w:rFonts w:eastAsia="Calibri"/>
          <w:lang w:eastAsia="en-US"/>
        </w:rPr>
      </w:pPr>
      <w:r w:rsidRPr="00BD77D8">
        <w:rPr>
          <w:rFonts w:eastAsia="Calibri"/>
          <w:spacing w:val="-2"/>
          <w:lang w:eastAsia="en-US"/>
        </w:rPr>
        <w:t>t</w:t>
      </w:r>
      <w:r w:rsidR="00B076BB" w:rsidRPr="00BD77D8">
        <w:rPr>
          <w:rFonts w:eastAsia="Calibri"/>
          <w:spacing w:val="-2"/>
          <w:lang w:eastAsia="en-US"/>
        </w:rPr>
        <w:t xml:space="preserve">he </w:t>
      </w:r>
      <w:r w:rsidR="009C1ED7" w:rsidRPr="00BD77D8">
        <w:rPr>
          <w:rFonts w:eastAsia="Calibri"/>
          <w:spacing w:val="-2"/>
          <w:lang w:eastAsia="en-US"/>
        </w:rPr>
        <w:t>pre</w:t>
      </w:r>
      <w:r w:rsidR="009C1ED7" w:rsidRPr="00BD77D8">
        <w:rPr>
          <w:rFonts w:eastAsia="Calibri"/>
          <w:lang w:eastAsia="en-US"/>
        </w:rPr>
        <w:t>sc</w:t>
      </w:r>
      <w:r w:rsidR="009C1ED7" w:rsidRPr="00BD77D8">
        <w:rPr>
          <w:rFonts w:eastAsia="Calibri"/>
          <w:spacing w:val="-2"/>
          <w:lang w:eastAsia="en-US"/>
        </w:rPr>
        <w:t>ri</w:t>
      </w:r>
      <w:r w:rsidR="009C1ED7" w:rsidRPr="00BD77D8">
        <w:rPr>
          <w:rFonts w:eastAsia="Calibri"/>
          <w:lang w:eastAsia="en-US"/>
        </w:rPr>
        <w:t>bed</w:t>
      </w:r>
      <w:r w:rsidR="009C1ED7" w:rsidRPr="00BD77D8">
        <w:rPr>
          <w:rFonts w:eastAsia="Calibri"/>
          <w:spacing w:val="-15"/>
          <w:lang w:eastAsia="en-US"/>
        </w:rPr>
        <w:t xml:space="preserve"> </w:t>
      </w:r>
      <w:r w:rsidR="009C1ED7" w:rsidRPr="00BD77D8">
        <w:rPr>
          <w:rFonts w:eastAsia="Calibri"/>
          <w:lang w:eastAsia="en-US"/>
        </w:rPr>
        <w:t>requirements</w:t>
      </w:r>
      <w:r w:rsidR="009C1ED7" w:rsidRPr="00BD77D8">
        <w:rPr>
          <w:rFonts w:eastAsia="Calibri"/>
          <w:spacing w:val="-15"/>
          <w:lang w:eastAsia="en-US"/>
        </w:rPr>
        <w:t xml:space="preserve"> </w:t>
      </w:r>
      <w:r w:rsidR="009C1ED7" w:rsidRPr="00BD77D8">
        <w:rPr>
          <w:rFonts w:eastAsia="Calibri"/>
          <w:lang w:eastAsia="en-US"/>
        </w:rPr>
        <w:t>of</w:t>
      </w:r>
      <w:r w:rsidR="009C1ED7" w:rsidRPr="00BD77D8">
        <w:rPr>
          <w:rFonts w:eastAsia="Calibri"/>
          <w:spacing w:val="-14"/>
          <w:lang w:eastAsia="en-US"/>
        </w:rPr>
        <w:t xml:space="preserve"> </w:t>
      </w:r>
      <w:r w:rsidR="009C1ED7" w:rsidRPr="00BD77D8">
        <w:rPr>
          <w:rFonts w:eastAsia="Calibri"/>
          <w:lang w:eastAsia="en-US"/>
        </w:rPr>
        <w:t>the</w:t>
      </w:r>
      <w:r w:rsidR="009C1ED7" w:rsidRPr="00BD77D8">
        <w:rPr>
          <w:rFonts w:eastAsia="Calibri"/>
          <w:spacing w:val="-14"/>
          <w:lang w:eastAsia="en-US"/>
        </w:rPr>
        <w:t xml:space="preserve"> </w:t>
      </w:r>
      <w:r w:rsidR="009C1ED7" w:rsidRPr="00BD77D8">
        <w:rPr>
          <w:rFonts w:eastAsia="Calibri"/>
          <w:i/>
          <w:iCs/>
          <w:lang w:eastAsia="en-US"/>
        </w:rPr>
        <w:t>Financial</w:t>
      </w:r>
      <w:r w:rsidR="009C1ED7" w:rsidRPr="00BD77D8">
        <w:rPr>
          <w:rFonts w:eastAsia="Calibri"/>
          <w:i/>
          <w:iCs/>
          <w:spacing w:val="-14"/>
          <w:lang w:eastAsia="en-US"/>
        </w:rPr>
        <w:t xml:space="preserve"> </w:t>
      </w:r>
      <w:r w:rsidR="009C1ED7" w:rsidRPr="00BD77D8">
        <w:rPr>
          <w:rFonts w:eastAsia="Calibri"/>
          <w:i/>
          <w:iCs/>
          <w:spacing w:val="-2"/>
          <w:lang w:eastAsia="en-US"/>
        </w:rPr>
        <w:t>Ac</w:t>
      </w:r>
      <w:r w:rsidR="009C1ED7" w:rsidRPr="00BD77D8">
        <w:rPr>
          <w:rFonts w:eastAsia="Calibri"/>
          <w:i/>
          <w:iCs/>
          <w:lang w:eastAsia="en-US"/>
        </w:rPr>
        <w:t>coun</w:t>
      </w:r>
      <w:r w:rsidR="009C1ED7" w:rsidRPr="00BD77D8">
        <w:rPr>
          <w:rFonts w:eastAsia="Calibri"/>
          <w:i/>
          <w:iCs/>
          <w:spacing w:val="-2"/>
          <w:lang w:eastAsia="en-US"/>
        </w:rPr>
        <w:t>tability</w:t>
      </w:r>
      <w:r w:rsidR="009C1ED7" w:rsidRPr="00BD77D8">
        <w:rPr>
          <w:rFonts w:eastAsia="Calibri"/>
          <w:i/>
          <w:iCs/>
          <w:spacing w:val="-15"/>
          <w:lang w:eastAsia="en-US"/>
        </w:rPr>
        <w:t xml:space="preserve"> </w:t>
      </w:r>
      <w:r w:rsidR="009C1ED7" w:rsidRPr="00BD77D8">
        <w:rPr>
          <w:rFonts w:eastAsia="Calibri"/>
          <w:i/>
          <w:iCs/>
          <w:lang w:eastAsia="en-US"/>
        </w:rPr>
        <w:t>Act</w:t>
      </w:r>
      <w:r w:rsidR="009C1ED7" w:rsidRPr="00BD77D8">
        <w:rPr>
          <w:rFonts w:eastAsia="Calibri"/>
          <w:i/>
          <w:iCs/>
          <w:spacing w:val="-15"/>
          <w:lang w:eastAsia="en-US"/>
        </w:rPr>
        <w:t xml:space="preserve"> </w:t>
      </w:r>
      <w:r w:rsidR="009C1ED7" w:rsidRPr="00BD77D8">
        <w:rPr>
          <w:rFonts w:eastAsia="Calibri"/>
          <w:i/>
          <w:iCs/>
          <w:spacing w:val="-3"/>
          <w:lang w:eastAsia="en-US"/>
        </w:rPr>
        <w:t>2009</w:t>
      </w:r>
      <w:r w:rsidR="009C1ED7" w:rsidRPr="00BD77D8">
        <w:rPr>
          <w:rFonts w:eastAsia="Calibri"/>
          <w:spacing w:val="-13"/>
          <w:lang w:eastAsia="en-US"/>
        </w:rPr>
        <w:t xml:space="preserve"> </w:t>
      </w:r>
      <w:r w:rsidR="009C1ED7" w:rsidRPr="00BD77D8">
        <w:rPr>
          <w:rFonts w:eastAsia="Calibri"/>
          <w:lang w:eastAsia="en-US"/>
        </w:rPr>
        <w:t>and</w:t>
      </w:r>
      <w:r w:rsidR="009C1ED7" w:rsidRPr="00BD77D8">
        <w:rPr>
          <w:rFonts w:eastAsia="Calibri"/>
          <w:spacing w:val="-15"/>
          <w:lang w:eastAsia="en-US"/>
        </w:rPr>
        <w:t xml:space="preserve"> </w:t>
      </w:r>
      <w:r w:rsidR="009C1ED7" w:rsidRPr="00BD77D8">
        <w:rPr>
          <w:rFonts w:eastAsia="Calibri"/>
          <w:lang w:eastAsia="en-US"/>
        </w:rPr>
        <w:t>the</w:t>
      </w:r>
      <w:r w:rsidR="009C1ED7" w:rsidRPr="00BD77D8">
        <w:rPr>
          <w:rFonts w:eastAsia="Calibri"/>
          <w:spacing w:val="-13"/>
          <w:lang w:eastAsia="en-US"/>
        </w:rPr>
        <w:t xml:space="preserve"> </w:t>
      </w:r>
      <w:r w:rsidR="009C1ED7" w:rsidRPr="00BD77D8">
        <w:rPr>
          <w:rFonts w:eastAsia="Calibri"/>
          <w:i/>
          <w:iCs/>
          <w:lang w:eastAsia="en-US"/>
        </w:rPr>
        <w:t>Financial</w:t>
      </w:r>
      <w:r w:rsidR="009C1ED7" w:rsidRPr="00BD77D8">
        <w:rPr>
          <w:rFonts w:eastAsia="Calibri"/>
          <w:i/>
          <w:iCs/>
          <w:spacing w:val="-14"/>
          <w:lang w:eastAsia="en-US"/>
        </w:rPr>
        <w:t xml:space="preserve"> </w:t>
      </w:r>
      <w:r w:rsidR="009C1ED7" w:rsidRPr="00BD77D8">
        <w:rPr>
          <w:rFonts w:eastAsia="Calibri"/>
          <w:i/>
          <w:iCs/>
          <w:lang w:eastAsia="en-US"/>
        </w:rPr>
        <w:t>and</w:t>
      </w:r>
      <w:r w:rsidR="009C1ED7" w:rsidRPr="00BD77D8">
        <w:rPr>
          <w:rFonts w:eastAsia="Calibri"/>
          <w:i/>
          <w:iCs/>
          <w:spacing w:val="37"/>
          <w:w w:val="104"/>
          <w:lang w:eastAsia="en-US"/>
        </w:rPr>
        <w:t xml:space="preserve"> </w:t>
      </w:r>
      <w:r w:rsidR="009C1ED7" w:rsidRPr="00BD77D8">
        <w:rPr>
          <w:rFonts w:eastAsia="Calibri"/>
          <w:i/>
          <w:iCs/>
          <w:spacing w:val="-2"/>
          <w:lang w:eastAsia="en-US"/>
        </w:rPr>
        <w:t>Perfor</w:t>
      </w:r>
      <w:r w:rsidR="009C1ED7" w:rsidRPr="00BD77D8">
        <w:rPr>
          <w:rFonts w:eastAsia="Calibri"/>
          <w:i/>
          <w:iCs/>
          <w:lang w:eastAsia="en-US"/>
        </w:rPr>
        <w:t>mance</w:t>
      </w:r>
      <w:r w:rsidR="009C1ED7" w:rsidRPr="00BD77D8">
        <w:rPr>
          <w:rFonts w:eastAsia="Calibri"/>
          <w:i/>
          <w:iCs/>
          <w:spacing w:val="-17"/>
          <w:lang w:eastAsia="en-US"/>
        </w:rPr>
        <w:t xml:space="preserve"> </w:t>
      </w:r>
      <w:r w:rsidR="009C1ED7" w:rsidRPr="00BD77D8">
        <w:rPr>
          <w:rFonts w:eastAsia="Calibri"/>
          <w:i/>
          <w:iCs/>
          <w:spacing w:val="-2"/>
          <w:lang w:eastAsia="en-US"/>
        </w:rPr>
        <w:t>M</w:t>
      </w:r>
      <w:r w:rsidR="009C1ED7" w:rsidRPr="00BD77D8">
        <w:rPr>
          <w:rFonts w:eastAsia="Calibri"/>
          <w:i/>
          <w:iCs/>
          <w:lang w:eastAsia="en-US"/>
        </w:rPr>
        <w:t>anagemen</w:t>
      </w:r>
      <w:r w:rsidR="009C1ED7" w:rsidRPr="00BD77D8">
        <w:rPr>
          <w:rFonts w:eastAsia="Calibri"/>
          <w:i/>
          <w:iCs/>
          <w:spacing w:val="-2"/>
          <w:lang w:eastAsia="en-US"/>
        </w:rPr>
        <w:t>t</w:t>
      </w:r>
      <w:r w:rsidR="009C1ED7" w:rsidRPr="00BD77D8">
        <w:rPr>
          <w:rFonts w:eastAsia="Calibri"/>
          <w:i/>
          <w:iCs/>
          <w:spacing w:val="-19"/>
          <w:lang w:eastAsia="en-US"/>
        </w:rPr>
        <w:t xml:space="preserve"> </w:t>
      </w:r>
      <w:r w:rsidR="009C1ED7" w:rsidRPr="00BD77D8">
        <w:rPr>
          <w:rFonts w:eastAsia="Calibri"/>
          <w:i/>
          <w:iCs/>
          <w:spacing w:val="-2"/>
          <w:lang w:eastAsia="en-US"/>
        </w:rPr>
        <w:t>S</w:t>
      </w:r>
      <w:r w:rsidR="009C1ED7" w:rsidRPr="00BD77D8">
        <w:rPr>
          <w:rFonts w:eastAsia="Calibri"/>
          <w:i/>
          <w:iCs/>
          <w:spacing w:val="-3"/>
          <w:lang w:eastAsia="en-US"/>
        </w:rPr>
        <w:t>t</w:t>
      </w:r>
      <w:r w:rsidR="009C1ED7" w:rsidRPr="00BD77D8">
        <w:rPr>
          <w:rFonts w:eastAsia="Calibri"/>
          <w:i/>
          <w:iCs/>
          <w:spacing w:val="-2"/>
          <w:lang w:eastAsia="en-US"/>
        </w:rPr>
        <w:t>andard</w:t>
      </w:r>
      <w:r w:rsidR="009C1ED7" w:rsidRPr="00BD77D8">
        <w:rPr>
          <w:rFonts w:eastAsia="Calibri"/>
          <w:i/>
          <w:iCs/>
          <w:spacing w:val="-17"/>
          <w:lang w:eastAsia="en-US"/>
        </w:rPr>
        <w:t xml:space="preserve"> </w:t>
      </w:r>
      <w:r w:rsidR="009C1ED7" w:rsidRPr="00BD77D8">
        <w:rPr>
          <w:rFonts w:eastAsia="Calibri"/>
          <w:i/>
          <w:iCs/>
          <w:spacing w:val="-3"/>
          <w:lang w:eastAsia="en-US"/>
        </w:rPr>
        <w:t>20</w:t>
      </w:r>
      <w:r w:rsidR="009C1ED7" w:rsidRPr="00BD77D8">
        <w:rPr>
          <w:rFonts w:eastAsia="Calibri"/>
          <w:i/>
          <w:iCs/>
          <w:spacing w:val="-4"/>
          <w:lang w:eastAsia="en-US"/>
        </w:rPr>
        <w:t>1</w:t>
      </w:r>
      <w:r w:rsidR="009C1ED7" w:rsidRPr="00BD77D8">
        <w:rPr>
          <w:rFonts w:eastAsia="Calibri"/>
          <w:i/>
          <w:iCs/>
          <w:spacing w:val="-3"/>
          <w:lang w:eastAsia="en-US"/>
        </w:rPr>
        <w:t>9</w:t>
      </w:r>
      <w:r w:rsidR="002B1C76" w:rsidRPr="00BD77D8">
        <w:rPr>
          <w:rFonts w:eastAsia="Calibri"/>
          <w:iCs/>
          <w:spacing w:val="-3"/>
          <w:lang w:eastAsia="en-US"/>
        </w:rPr>
        <w:t>, and</w:t>
      </w:r>
    </w:p>
    <w:p w14:paraId="3CD81BE5" w14:textId="563B6858" w:rsidR="009C1ED7" w:rsidRPr="00BD77D8" w:rsidRDefault="00E337C2" w:rsidP="008667B4">
      <w:pPr>
        <w:pStyle w:val="ListBullet"/>
        <w:rPr>
          <w:rFonts w:eastAsia="Calibri"/>
          <w:lang w:eastAsia="en-US"/>
        </w:rPr>
      </w:pPr>
      <w:r w:rsidRPr="00BD77D8">
        <w:rPr>
          <w:rFonts w:eastAsia="Calibri"/>
          <w:spacing w:val="-2"/>
          <w:lang w:eastAsia="en-US"/>
        </w:rPr>
        <w:t>t</w:t>
      </w:r>
      <w:r w:rsidR="00B076BB" w:rsidRPr="00BD77D8">
        <w:rPr>
          <w:rFonts w:eastAsia="Calibri"/>
          <w:spacing w:val="-2"/>
          <w:lang w:eastAsia="en-US"/>
        </w:rPr>
        <w:t xml:space="preserve">he </w:t>
      </w:r>
      <w:r w:rsidR="009C1ED7" w:rsidRPr="00BD77D8">
        <w:rPr>
          <w:rFonts w:eastAsia="Calibri"/>
          <w:spacing w:val="-2"/>
          <w:lang w:eastAsia="en-US"/>
        </w:rPr>
        <w:t>d</w:t>
      </w:r>
      <w:r w:rsidR="009C1ED7" w:rsidRPr="00BD77D8">
        <w:rPr>
          <w:rFonts w:eastAsia="Calibri"/>
          <w:spacing w:val="-3"/>
          <w:lang w:eastAsia="en-US"/>
        </w:rPr>
        <w:t>et</w:t>
      </w:r>
      <w:r w:rsidR="009C1ED7" w:rsidRPr="00BD77D8">
        <w:rPr>
          <w:rFonts w:eastAsia="Calibri"/>
          <w:spacing w:val="-2"/>
          <w:lang w:eastAsia="en-US"/>
        </w:rPr>
        <w:t>ailed</w:t>
      </w:r>
      <w:r w:rsidR="009C1ED7" w:rsidRPr="00BD77D8">
        <w:rPr>
          <w:rFonts w:eastAsia="Calibri"/>
          <w:spacing w:val="-17"/>
          <w:lang w:eastAsia="en-US"/>
        </w:rPr>
        <w:t xml:space="preserve"> </w:t>
      </w:r>
      <w:r w:rsidR="009C1ED7" w:rsidRPr="00BD77D8">
        <w:rPr>
          <w:rFonts w:eastAsia="Calibri"/>
          <w:lang w:eastAsia="en-US"/>
        </w:rPr>
        <w:t>requirements</w:t>
      </w:r>
      <w:r w:rsidR="009C1ED7" w:rsidRPr="00BD77D8">
        <w:rPr>
          <w:rFonts w:eastAsia="Calibri"/>
          <w:spacing w:val="-16"/>
          <w:lang w:eastAsia="en-US"/>
        </w:rPr>
        <w:t xml:space="preserve"> </w:t>
      </w:r>
      <w:r w:rsidR="009C1ED7" w:rsidRPr="00BD77D8">
        <w:rPr>
          <w:rFonts w:eastAsia="Calibri"/>
          <w:lang w:eastAsia="en-US"/>
        </w:rPr>
        <w:t>set</w:t>
      </w:r>
      <w:r w:rsidR="009C1ED7" w:rsidRPr="00BD77D8">
        <w:rPr>
          <w:rFonts w:eastAsia="Calibri"/>
          <w:spacing w:val="-16"/>
          <w:lang w:eastAsia="en-US"/>
        </w:rPr>
        <w:t xml:space="preserve"> </w:t>
      </w:r>
      <w:r w:rsidR="009C1ED7" w:rsidRPr="00BD77D8">
        <w:rPr>
          <w:rFonts w:eastAsia="Calibri"/>
          <w:lang w:eastAsia="en-US"/>
        </w:rPr>
        <w:t>out</w:t>
      </w:r>
      <w:r w:rsidR="009C1ED7" w:rsidRPr="00BD77D8">
        <w:rPr>
          <w:rFonts w:eastAsia="Calibri"/>
          <w:spacing w:val="-16"/>
          <w:lang w:eastAsia="en-US"/>
        </w:rPr>
        <w:t xml:space="preserve"> </w:t>
      </w:r>
      <w:r w:rsidR="009C1ED7" w:rsidRPr="00BD77D8">
        <w:rPr>
          <w:rFonts w:eastAsia="Calibri"/>
          <w:lang w:eastAsia="en-US"/>
        </w:rPr>
        <w:t>in</w:t>
      </w:r>
      <w:r w:rsidR="009C1ED7" w:rsidRPr="00BD77D8">
        <w:rPr>
          <w:rFonts w:eastAsia="Calibri"/>
          <w:spacing w:val="-14"/>
          <w:lang w:eastAsia="en-US"/>
        </w:rPr>
        <w:t xml:space="preserve"> </w:t>
      </w:r>
      <w:r w:rsidR="009C1ED7" w:rsidRPr="00BD77D8">
        <w:rPr>
          <w:rFonts w:eastAsia="Calibri"/>
          <w:lang w:eastAsia="en-US"/>
        </w:rPr>
        <w:t>the</w:t>
      </w:r>
      <w:r w:rsidR="009C1ED7" w:rsidRPr="00BD77D8">
        <w:rPr>
          <w:rFonts w:eastAsia="Calibri"/>
          <w:spacing w:val="-15"/>
          <w:lang w:eastAsia="en-US"/>
        </w:rPr>
        <w:t xml:space="preserve"> </w:t>
      </w:r>
      <w:r w:rsidR="00D7742A" w:rsidRPr="00BD77D8">
        <w:rPr>
          <w:rFonts w:eastAsia="Calibri"/>
          <w:lang w:eastAsia="en-US"/>
        </w:rPr>
        <w:t>a</w:t>
      </w:r>
      <w:r w:rsidR="009C1ED7" w:rsidRPr="00BD77D8">
        <w:rPr>
          <w:rFonts w:eastAsia="Calibri"/>
          <w:lang w:eastAsia="en-US"/>
        </w:rPr>
        <w:t>nnual</w:t>
      </w:r>
      <w:r w:rsidR="009C1ED7" w:rsidRPr="00BD77D8">
        <w:rPr>
          <w:rFonts w:eastAsia="Calibri"/>
          <w:spacing w:val="-15"/>
          <w:lang w:eastAsia="en-US"/>
        </w:rPr>
        <w:t xml:space="preserve"> </w:t>
      </w:r>
      <w:r w:rsidR="00642974" w:rsidRPr="00BD77D8">
        <w:rPr>
          <w:rFonts w:eastAsia="Calibri"/>
          <w:spacing w:val="-3"/>
          <w:lang w:eastAsia="en-US"/>
        </w:rPr>
        <w:t>r</w:t>
      </w:r>
      <w:r w:rsidR="009C1ED7" w:rsidRPr="00BD77D8">
        <w:rPr>
          <w:rFonts w:eastAsia="Calibri"/>
          <w:spacing w:val="-3"/>
          <w:lang w:eastAsia="en-US"/>
        </w:rPr>
        <w:t>eport</w:t>
      </w:r>
      <w:r w:rsidR="009C1ED7" w:rsidRPr="00BD77D8">
        <w:rPr>
          <w:rFonts w:eastAsia="Calibri"/>
          <w:spacing w:val="-17"/>
          <w:lang w:eastAsia="en-US"/>
        </w:rPr>
        <w:t xml:space="preserve"> </w:t>
      </w:r>
      <w:r w:rsidR="009C1ED7" w:rsidRPr="00BD77D8">
        <w:rPr>
          <w:rFonts w:eastAsia="Calibri"/>
          <w:spacing w:val="-2"/>
          <w:lang w:eastAsia="en-US"/>
        </w:rPr>
        <w:t>r</w:t>
      </w:r>
      <w:r w:rsidR="009C1ED7" w:rsidRPr="00BD77D8">
        <w:rPr>
          <w:rFonts w:eastAsia="Calibri"/>
          <w:lang w:eastAsia="en-US"/>
        </w:rPr>
        <w:t>equiremen</w:t>
      </w:r>
      <w:r w:rsidR="009C1ED7" w:rsidRPr="00BD77D8">
        <w:rPr>
          <w:rFonts w:eastAsia="Calibri"/>
          <w:spacing w:val="-2"/>
          <w:lang w:eastAsia="en-US"/>
        </w:rPr>
        <w:t>t</w:t>
      </w:r>
      <w:r w:rsidR="009C1ED7" w:rsidRPr="00BD77D8">
        <w:rPr>
          <w:rFonts w:eastAsia="Calibri"/>
          <w:lang w:eastAsia="en-US"/>
        </w:rPr>
        <w:t>s</w:t>
      </w:r>
      <w:r w:rsidR="009C1ED7" w:rsidRPr="00BD77D8">
        <w:rPr>
          <w:rFonts w:eastAsia="Calibri"/>
          <w:spacing w:val="-17"/>
          <w:lang w:eastAsia="en-US"/>
        </w:rPr>
        <w:t xml:space="preserve"> </w:t>
      </w:r>
      <w:r w:rsidR="009C1ED7" w:rsidRPr="00BD77D8">
        <w:rPr>
          <w:rFonts w:eastAsia="Calibri"/>
          <w:lang w:eastAsia="en-US"/>
        </w:rPr>
        <w:t>for</w:t>
      </w:r>
      <w:r w:rsidR="009C1ED7" w:rsidRPr="00BD77D8">
        <w:rPr>
          <w:rFonts w:eastAsia="Calibri"/>
          <w:spacing w:val="-18"/>
          <w:lang w:eastAsia="en-US"/>
        </w:rPr>
        <w:t xml:space="preserve"> </w:t>
      </w:r>
      <w:r w:rsidR="009C1ED7" w:rsidRPr="00BD77D8">
        <w:rPr>
          <w:rFonts w:eastAsia="Calibri"/>
          <w:lang w:eastAsia="en-US"/>
        </w:rPr>
        <w:t>Queensland</w:t>
      </w:r>
      <w:r w:rsidR="009C1ED7" w:rsidRPr="00BD77D8">
        <w:rPr>
          <w:rFonts w:eastAsia="Calibri"/>
          <w:spacing w:val="-15"/>
          <w:lang w:eastAsia="en-US"/>
        </w:rPr>
        <w:t xml:space="preserve"> </w:t>
      </w:r>
      <w:r w:rsidR="009C1ED7" w:rsidRPr="00BD77D8">
        <w:rPr>
          <w:rFonts w:eastAsia="Calibri"/>
          <w:lang w:eastAsia="en-US"/>
        </w:rPr>
        <w:t>Go</w:t>
      </w:r>
      <w:r w:rsidR="009C1ED7" w:rsidRPr="00BD77D8">
        <w:rPr>
          <w:rFonts w:eastAsia="Calibri"/>
          <w:spacing w:val="-2"/>
          <w:lang w:eastAsia="en-US"/>
        </w:rPr>
        <w:t>ver</w:t>
      </w:r>
      <w:r w:rsidR="009C1ED7" w:rsidRPr="00BD77D8">
        <w:rPr>
          <w:rFonts w:eastAsia="Calibri"/>
          <w:lang w:eastAsia="en-US"/>
        </w:rPr>
        <w:t>nmen</w:t>
      </w:r>
      <w:r w:rsidR="009C1ED7" w:rsidRPr="00BD77D8">
        <w:rPr>
          <w:rFonts w:eastAsia="Calibri"/>
          <w:spacing w:val="-2"/>
          <w:lang w:eastAsia="en-US"/>
        </w:rPr>
        <w:t>t</w:t>
      </w:r>
      <w:r w:rsidR="009C1ED7" w:rsidRPr="00BD77D8">
        <w:rPr>
          <w:rFonts w:eastAsia="Calibri"/>
          <w:spacing w:val="41"/>
          <w:w w:val="84"/>
          <w:lang w:eastAsia="en-US"/>
        </w:rPr>
        <w:t xml:space="preserve"> </w:t>
      </w:r>
      <w:r w:rsidR="009C1ED7" w:rsidRPr="00BD77D8">
        <w:rPr>
          <w:rFonts w:eastAsia="Calibri"/>
          <w:spacing w:val="-2"/>
          <w:lang w:eastAsia="en-US"/>
        </w:rPr>
        <w:t>a</w:t>
      </w:r>
      <w:r w:rsidR="009C1ED7" w:rsidRPr="00BD77D8">
        <w:rPr>
          <w:rFonts w:eastAsia="Calibri"/>
          <w:lang w:eastAsia="en-US"/>
        </w:rPr>
        <w:t>gencies.</w:t>
      </w:r>
    </w:p>
    <w:p w14:paraId="73346ACE" w14:textId="53A07A5D" w:rsidR="009C1ED7" w:rsidRPr="00BD77D8" w:rsidRDefault="009C1ED7" w:rsidP="00E615B4">
      <w:pPr>
        <w:spacing w:before="480"/>
        <w:rPr>
          <w:rFonts w:eastAsia="Calibri"/>
          <w:lang w:eastAsia="en-US"/>
        </w:rPr>
      </w:pPr>
      <w:r w:rsidRPr="00BD77D8">
        <w:rPr>
          <w:rFonts w:eastAsia="Calibri"/>
          <w:lang w:eastAsia="en-US"/>
        </w:rPr>
        <w:t xml:space="preserve">A checklist outlining the annual reporting requirements is provided at page </w:t>
      </w:r>
      <w:r w:rsidR="00795C19" w:rsidRPr="00BD77D8">
        <w:rPr>
          <w:rFonts w:eastAsia="Calibri"/>
          <w:lang w:eastAsia="en-US"/>
        </w:rPr>
        <w:t>13</w:t>
      </w:r>
      <w:r w:rsidR="00D06598" w:rsidRPr="00BD77D8">
        <w:rPr>
          <w:rFonts w:eastAsia="Calibri"/>
          <w:lang w:eastAsia="en-US"/>
        </w:rPr>
        <w:t>3</w:t>
      </w:r>
      <w:r w:rsidRPr="00BD77D8">
        <w:rPr>
          <w:rFonts w:eastAsia="Calibri"/>
          <w:lang w:eastAsia="en-US"/>
        </w:rPr>
        <w:t xml:space="preserve"> of this annual report.</w:t>
      </w:r>
    </w:p>
    <w:bookmarkEnd w:id="6"/>
    <w:p w14:paraId="6A0A7097" w14:textId="393F72EC" w:rsidR="00114142" w:rsidRPr="00BD77D8" w:rsidRDefault="008805BB" w:rsidP="00E615B4">
      <w:pPr>
        <w:spacing w:before="720"/>
        <w:rPr>
          <w:rFonts w:eastAsia="Calibri"/>
          <w:lang w:eastAsia="en-US"/>
        </w:rPr>
      </w:pPr>
      <w:r w:rsidRPr="00BD77D8">
        <w:rPr>
          <w:rFonts w:eastAsia="Calibri"/>
          <w:lang w:eastAsia="en-US"/>
        </w:rPr>
        <w:t>Yours sincerely</w:t>
      </w:r>
    </w:p>
    <w:p w14:paraId="1556173F" w14:textId="59EC354A" w:rsidR="002964CD" w:rsidRPr="00BD77D8" w:rsidRDefault="008068FA" w:rsidP="002964CD">
      <w:r w:rsidRPr="00BD77D8">
        <w:rPr>
          <w:noProof/>
        </w:rPr>
        <w:drawing>
          <wp:inline distT="0" distB="0" distL="0" distR="0" wp14:anchorId="55C548F3" wp14:editId="541E4705">
            <wp:extent cx="1233149" cy="826935"/>
            <wp:effectExtent l="0" t="0" r="5715" b="0"/>
            <wp:docPr id="11" name="Picture 11" descr="Signature of Dr Chris Sarra, Director-General, Department of Seniors, Disability Services and Aboriginal and Torres Strait Islander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gnature of Dr Chris Sarra, Director-General, Department of Seniors, Disability Services and Aboriginal and Torres Strait Islander Partnerships"/>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1247258" cy="836396"/>
                    </a:xfrm>
                    <a:prstGeom prst="rect">
                      <a:avLst/>
                    </a:prstGeom>
                  </pic:spPr>
                </pic:pic>
              </a:graphicData>
            </a:graphic>
          </wp:inline>
        </w:drawing>
      </w:r>
    </w:p>
    <w:p w14:paraId="58DB951C" w14:textId="5FD182E7" w:rsidR="000577E2" w:rsidRPr="00BD77D8" w:rsidRDefault="008805BB" w:rsidP="00697C58">
      <w:pPr>
        <w:spacing w:before="240" w:after="0" w:line="240" w:lineRule="auto"/>
        <w:rPr>
          <w:rFonts w:eastAsia="Calibri"/>
          <w:lang w:eastAsia="en-US"/>
        </w:rPr>
      </w:pPr>
      <w:r w:rsidRPr="00BD77D8">
        <w:rPr>
          <w:rFonts w:eastAsia="Calibri"/>
          <w:lang w:eastAsia="en-US"/>
        </w:rPr>
        <w:t>Dr Chris Sarra</w:t>
      </w:r>
      <w:r w:rsidR="008667B4" w:rsidRPr="00BD77D8">
        <w:rPr>
          <w:rFonts w:eastAsia="Calibri"/>
          <w:lang w:eastAsia="en-US"/>
        </w:rPr>
        <w:br/>
      </w:r>
      <w:r w:rsidR="009C1ED7" w:rsidRPr="00BD77D8">
        <w:rPr>
          <w:rFonts w:eastAsia="Calibri"/>
          <w:b/>
          <w:bCs/>
          <w:lang w:eastAsia="en-US"/>
        </w:rPr>
        <w:t>Director-General</w:t>
      </w:r>
      <w:r w:rsidR="001A1C26" w:rsidRPr="00BD77D8">
        <w:rPr>
          <w:rFonts w:eastAsia="Calibri"/>
          <w:lang w:eastAsia="en-US"/>
        </w:rPr>
        <w:t xml:space="preserve"> </w:t>
      </w:r>
      <w:r w:rsidR="008667B4" w:rsidRPr="00BD77D8">
        <w:rPr>
          <w:rFonts w:eastAsia="Calibri"/>
          <w:lang w:eastAsia="en-US"/>
        </w:rPr>
        <w:br/>
      </w:r>
      <w:r w:rsidR="009C1ED7" w:rsidRPr="00BD77D8">
        <w:rPr>
          <w:rFonts w:eastAsia="Calibri"/>
          <w:lang w:eastAsia="en-US"/>
        </w:rPr>
        <w:t xml:space="preserve">Department of </w:t>
      </w:r>
      <w:r w:rsidR="006B2C94" w:rsidRPr="00BD77D8">
        <w:rPr>
          <w:rFonts w:eastAsia="Calibri"/>
          <w:lang w:eastAsia="en-US"/>
        </w:rPr>
        <w:t xml:space="preserve">Seniors, Disability Services and </w:t>
      </w:r>
    </w:p>
    <w:p w14:paraId="166213AE" w14:textId="7BC1E783" w:rsidR="009C1ED7" w:rsidRPr="00BD77D8" w:rsidRDefault="009C1ED7" w:rsidP="002964CD">
      <w:pPr>
        <w:spacing w:after="0" w:line="240" w:lineRule="auto"/>
        <w:rPr>
          <w:rFonts w:eastAsia="Calibri"/>
          <w:lang w:eastAsia="en-US"/>
        </w:rPr>
      </w:pPr>
      <w:r w:rsidRPr="00BD77D8">
        <w:rPr>
          <w:rFonts w:eastAsia="Calibri"/>
          <w:lang w:eastAsia="en-US"/>
        </w:rPr>
        <w:t>Aboriginal and Torres Strait Islander Partnerships</w:t>
      </w:r>
    </w:p>
    <w:p w14:paraId="4B99B661" w14:textId="77777777" w:rsidR="001D0756" w:rsidRPr="00BD77D8" w:rsidRDefault="001D0756">
      <w:pPr>
        <w:spacing w:after="0" w:line="240" w:lineRule="auto"/>
        <w:rPr>
          <w:lang w:val="en-US"/>
        </w:rPr>
      </w:pPr>
      <w:r w:rsidRPr="00BD77D8">
        <w:rPr>
          <w:bCs/>
          <w:iCs/>
          <w:lang w:val="en-US"/>
        </w:rPr>
        <w:br w:type="page"/>
      </w:r>
    </w:p>
    <w:sdt>
      <w:sdtPr>
        <w:rPr>
          <w:bCs w:val="0"/>
          <w:iCs w:val="0"/>
          <w:noProof w:val="0"/>
          <w:color w:val="auto"/>
          <w:sz w:val="21"/>
          <w:szCs w:val="21"/>
        </w:rPr>
        <w:id w:val="1039002858"/>
        <w:docPartObj>
          <w:docPartGallery w:val="Table of Contents"/>
          <w:docPartUnique/>
        </w:docPartObj>
      </w:sdtPr>
      <w:sdtEndPr>
        <w:rPr>
          <w:b/>
        </w:rPr>
      </w:sdtEndPr>
      <w:sdtContent>
        <w:p w14:paraId="790326EE" w14:textId="36B6C51E" w:rsidR="00A62D66" w:rsidRPr="00BD77D8" w:rsidRDefault="00A62D66" w:rsidP="00A62D66">
          <w:pPr>
            <w:pStyle w:val="TOCHeading"/>
            <w:rPr>
              <w:color w:val="auto"/>
              <w:sz w:val="20"/>
              <w:szCs w:val="20"/>
            </w:rPr>
          </w:pPr>
          <w:r w:rsidRPr="00BD77D8">
            <w:rPr>
              <w:color w:val="auto"/>
            </w:rPr>
            <w:t>Table of Contents</w:t>
          </w:r>
        </w:p>
        <w:p w14:paraId="6E1C90A6" w14:textId="30DE657D" w:rsidR="005A1C92" w:rsidRPr="00BD77D8" w:rsidRDefault="00957641">
          <w:pPr>
            <w:pStyle w:val="TOC1"/>
            <w:rPr>
              <w:rFonts w:asciiTheme="minorHAnsi" w:eastAsiaTheme="minorEastAsia" w:hAnsiTheme="minorHAnsi" w:cstheme="minorBidi"/>
              <w:b w:val="0"/>
              <w:bCs w:val="0"/>
              <w:sz w:val="22"/>
              <w:szCs w:val="22"/>
            </w:rPr>
          </w:pPr>
          <w:r w:rsidRPr="00BD77D8">
            <w:rPr>
              <w:b w:val="0"/>
              <w:bCs w:val="0"/>
            </w:rPr>
            <w:fldChar w:fldCharType="begin"/>
          </w:r>
          <w:r w:rsidRPr="00BD77D8">
            <w:rPr>
              <w:b w:val="0"/>
              <w:bCs w:val="0"/>
            </w:rPr>
            <w:instrText xml:space="preserve"> TOC \o "1-2" \h \z \u </w:instrText>
          </w:r>
          <w:r w:rsidRPr="00BD77D8">
            <w:rPr>
              <w:b w:val="0"/>
              <w:bCs w:val="0"/>
            </w:rPr>
            <w:fldChar w:fldCharType="separate"/>
          </w:r>
          <w:hyperlink w:anchor="_Toc113544365" w:history="1">
            <w:r w:rsidR="005A1C92" w:rsidRPr="00BD77D8">
              <w:rPr>
                <w:rStyle w:val="Hyperlink"/>
                <w:color w:val="auto"/>
              </w:rPr>
              <w:t>Acknowledgement</w:t>
            </w:r>
            <w:r w:rsidR="005A1C92" w:rsidRPr="00BD77D8">
              <w:rPr>
                <w:webHidden/>
              </w:rPr>
              <w:tab/>
            </w:r>
            <w:r w:rsidR="005A1C92" w:rsidRPr="00BD77D8">
              <w:rPr>
                <w:webHidden/>
              </w:rPr>
              <w:fldChar w:fldCharType="begin"/>
            </w:r>
            <w:r w:rsidR="005A1C92" w:rsidRPr="00BD77D8">
              <w:rPr>
                <w:webHidden/>
              </w:rPr>
              <w:instrText xml:space="preserve"> PAGEREF _Toc113544365 \h </w:instrText>
            </w:r>
            <w:r w:rsidR="005A1C92" w:rsidRPr="00BD77D8">
              <w:rPr>
                <w:webHidden/>
              </w:rPr>
            </w:r>
            <w:r w:rsidR="005A1C92" w:rsidRPr="00BD77D8">
              <w:rPr>
                <w:webHidden/>
              </w:rPr>
              <w:fldChar w:fldCharType="separate"/>
            </w:r>
            <w:r w:rsidR="00B375FA">
              <w:rPr>
                <w:webHidden/>
              </w:rPr>
              <w:t>6</w:t>
            </w:r>
            <w:r w:rsidR="005A1C92" w:rsidRPr="00BD77D8">
              <w:rPr>
                <w:webHidden/>
              </w:rPr>
              <w:fldChar w:fldCharType="end"/>
            </w:r>
          </w:hyperlink>
        </w:p>
        <w:p w14:paraId="58E62784" w14:textId="32BB4165" w:rsidR="005A1C92" w:rsidRPr="00BD77D8" w:rsidRDefault="00F56A31">
          <w:pPr>
            <w:pStyle w:val="TOC1"/>
            <w:rPr>
              <w:rFonts w:asciiTheme="minorHAnsi" w:eastAsiaTheme="minorEastAsia" w:hAnsiTheme="minorHAnsi" w:cstheme="minorBidi"/>
              <w:b w:val="0"/>
              <w:bCs w:val="0"/>
              <w:sz w:val="22"/>
              <w:szCs w:val="22"/>
            </w:rPr>
          </w:pPr>
          <w:hyperlink w:anchor="_Toc113544366" w:history="1">
            <w:r w:rsidR="005A1C92" w:rsidRPr="00BD77D8">
              <w:rPr>
                <w:rStyle w:val="Hyperlink"/>
                <w:color w:val="auto"/>
              </w:rPr>
              <w:t>Message from the Director-General</w:t>
            </w:r>
            <w:r w:rsidR="005A1C92" w:rsidRPr="00BD77D8">
              <w:rPr>
                <w:webHidden/>
              </w:rPr>
              <w:tab/>
            </w:r>
            <w:r w:rsidR="005A1C92" w:rsidRPr="00BD77D8">
              <w:rPr>
                <w:webHidden/>
              </w:rPr>
              <w:fldChar w:fldCharType="begin"/>
            </w:r>
            <w:r w:rsidR="005A1C92" w:rsidRPr="00BD77D8">
              <w:rPr>
                <w:webHidden/>
              </w:rPr>
              <w:instrText xml:space="preserve"> PAGEREF _Toc113544366 \h </w:instrText>
            </w:r>
            <w:r w:rsidR="005A1C92" w:rsidRPr="00BD77D8">
              <w:rPr>
                <w:webHidden/>
              </w:rPr>
            </w:r>
            <w:r w:rsidR="005A1C92" w:rsidRPr="00BD77D8">
              <w:rPr>
                <w:webHidden/>
              </w:rPr>
              <w:fldChar w:fldCharType="separate"/>
            </w:r>
            <w:r w:rsidR="00B375FA">
              <w:rPr>
                <w:webHidden/>
              </w:rPr>
              <w:t>7</w:t>
            </w:r>
            <w:r w:rsidR="005A1C92" w:rsidRPr="00BD77D8">
              <w:rPr>
                <w:webHidden/>
              </w:rPr>
              <w:fldChar w:fldCharType="end"/>
            </w:r>
          </w:hyperlink>
        </w:p>
        <w:p w14:paraId="1086CC7F" w14:textId="2E57EC59" w:rsidR="005A1C92" w:rsidRPr="00BD77D8" w:rsidRDefault="00F56A31">
          <w:pPr>
            <w:pStyle w:val="TOC1"/>
            <w:rPr>
              <w:rFonts w:asciiTheme="minorHAnsi" w:eastAsiaTheme="minorEastAsia" w:hAnsiTheme="minorHAnsi" w:cstheme="minorBidi"/>
              <w:b w:val="0"/>
              <w:bCs w:val="0"/>
              <w:sz w:val="22"/>
              <w:szCs w:val="22"/>
            </w:rPr>
          </w:pPr>
          <w:hyperlink w:anchor="_Toc113544367" w:history="1">
            <w:r w:rsidR="005A1C92" w:rsidRPr="00BD77D8">
              <w:rPr>
                <w:rStyle w:val="Hyperlink"/>
                <w:color w:val="auto"/>
              </w:rPr>
              <w:t>01 About us</w:t>
            </w:r>
            <w:r w:rsidR="005A1C92" w:rsidRPr="00BD77D8">
              <w:rPr>
                <w:webHidden/>
              </w:rPr>
              <w:tab/>
            </w:r>
            <w:r w:rsidR="005A1C92" w:rsidRPr="00BD77D8">
              <w:rPr>
                <w:webHidden/>
              </w:rPr>
              <w:fldChar w:fldCharType="begin"/>
            </w:r>
            <w:r w:rsidR="005A1C92" w:rsidRPr="00BD77D8">
              <w:rPr>
                <w:webHidden/>
              </w:rPr>
              <w:instrText xml:space="preserve"> PAGEREF _Toc113544367 \h </w:instrText>
            </w:r>
            <w:r w:rsidR="005A1C92" w:rsidRPr="00BD77D8">
              <w:rPr>
                <w:webHidden/>
              </w:rPr>
            </w:r>
            <w:r w:rsidR="005A1C92" w:rsidRPr="00BD77D8">
              <w:rPr>
                <w:webHidden/>
              </w:rPr>
              <w:fldChar w:fldCharType="separate"/>
            </w:r>
            <w:r w:rsidR="00B375FA">
              <w:rPr>
                <w:webHidden/>
              </w:rPr>
              <w:t>9</w:t>
            </w:r>
            <w:r w:rsidR="005A1C92" w:rsidRPr="00BD77D8">
              <w:rPr>
                <w:webHidden/>
              </w:rPr>
              <w:fldChar w:fldCharType="end"/>
            </w:r>
          </w:hyperlink>
        </w:p>
        <w:p w14:paraId="1E5FD9F0" w14:textId="344C2491" w:rsidR="005A1C92" w:rsidRPr="00BD77D8" w:rsidRDefault="00F56A31">
          <w:pPr>
            <w:pStyle w:val="TOC2"/>
            <w:rPr>
              <w:rFonts w:asciiTheme="minorHAnsi" w:eastAsiaTheme="minorEastAsia" w:hAnsiTheme="minorHAnsi" w:cstheme="minorBidi"/>
            </w:rPr>
          </w:pPr>
          <w:hyperlink w:anchor="_Toc113544368" w:history="1">
            <w:r w:rsidR="005A1C92" w:rsidRPr="00BD77D8">
              <w:rPr>
                <w:rStyle w:val="Hyperlink"/>
                <w:color w:val="auto"/>
              </w:rPr>
              <w:t>Our vision</w:t>
            </w:r>
            <w:r w:rsidR="005A1C92" w:rsidRPr="00BD77D8">
              <w:rPr>
                <w:webHidden/>
              </w:rPr>
              <w:tab/>
            </w:r>
            <w:r w:rsidR="005A1C92" w:rsidRPr="00BD77D8">
              <w:rPr>
                <w:webHidden/>
              </w:rPr>
              <w:fldChar w:fldCharType="begin"/>
            </w:r>
            <w:r w:rsidR="005A1C92" w:rsidRPr="00BD77D8">
              <w:rPr>
                <w:webHidden/>
              </w:rPr>
              <w:instrText xml:space="preserve"> PAGEREF _Toc113544368 \h </w:instrText>
            </w:r>
            <w:r w:rsidR="005A1C92" w:rsidRPr="00BD77D8">
              <w:rPr>
                <w:webHidden/>
              </w:rPr>
            </w:r>
            <w:r w:rsidR="005A1C92" w:rsidRPr="00BD77D8">
              <w:rPr>
                <w:webHidden/>
              </w:rPr>
              <w:fldChar w:fldCharType="separate"/>
            </w:r>
            <w:r w:rsidR="00B375FA">
              <w:rPr>
                <w:webHidden/>
              </w:rPr>
              <w:t>9</w:t>
            </w:r>
            <w:r w:rsidR="005A1C92" w:rsidRPr="00BD77D8">
              <w:rPr>
                <w:webHidden/>
              </w:rPr>
              <w:fldChar w:fldCharType="end"/>
            </w:r>
          </w:hyperlink>
        </w:p>
        <w:p w14:paraId="5E388FB2" w14:textId="391637DF" w:rsidR="005A1C92" w:rsidRPr="00BD77D8" w:rsidRDefault="00F56A31">
          <w:pPr>
            <w:pStyle w:val="TOC2"/>
            <w:rPr>
              <w:rFonts w:asciiTheme="minorHAnsi" w:eastAsiaTheme="minorEastAsia" w:hAnsiTheme="minorHAnsi" w:cstheme="minorBidi"/>
            </w:rPr>
          </w:pPr>
          <w:hyperlink w:anchor="_Toc113544369" w:history="1">
            <w:r w:rsidR="005A1C92" w:rsidRPr="00BD77D8">
              <w:rPr>
                <w:rStyle w:val="Hyperlink"/>
                <w:color w:val="auto"/>
              </w:rPr>
              <w:t>Our purpose</w:t>
            </w:r>
            <w:r w:rsidR="005A1C92" w:rsidRPr="00BD77D8">
              <w:rPr>
                <w:webHidden/>
              </w:rPr>
              <w:tab/>
            </w:r>
            <w:r w:rsidR="005A1C92" w:rsidRPr="00BD77D8">
              <w:rPr>
                <w:webHidden/>
              </w:rPr>
              <w:fldChar w:fldCharType="begin"/>
            </w:r>
            <w:r w:rsidR="005A1C92" w:rsidRPr="00BD77D8">
              <w:rPr>
                <w:webHidden/>
              </w:rPr>
              <w:instrText xml:space="preserve"> PAGEREF _Toc113544369 \h </w:instrText>
            </w:r>
            <w:r w:rsidR="005A1C92" w:rsidRPr="00BD77D8">
              <w:rPr>
                <w:webHidden/>
              </w:rPr>
            </w:r>
            <w:r w:rsidR="005A1C92" w:rsidRPr="00BD77D8">
              <w:rPr>
                <w:webHidden/>
              </w:rPr>
              <w:fldChar w:fldCharType="separate"/>
            </w:r>
            <w:r w:rsidR="00B375FA">
              <w:rPr>
                <w:webHidden/>
              </w:rPr>
              <w:t>9</w:t>
            </w:r>
            <w:r w:rsidR="005A1C92" w:rsidRPr="00BD77D8">
              <w:rPr>
                <w:webHidden/>
              </w:rPr>
              <w:fldChar w:fldCharType="end"/>
            </w:r>
          </w:hyperlink>
        </w:p>
        <w:p w14:paraId="3AED92C1" w14:textId="180CC34E" w:rsidR="005A1C92" w:rsidRPr="00BD77D8" w:rsidRDefault="00F56A31">
          <w:pPr>
            <w:pStyle w:val="TOC2"/>
            <w:rPr>
              <w:rFonts w:asciiTheme="minorHAnsi" w:eastAsiaTheme="minorEastAsia" w:hAnsiTheme="minorHAnsi" w:cstheme="minorBidi"/>
            </w:rPr>
          </w:pPr>
          <w:hyperlink w:anchor="_Toc113544370" w:history="1">
            <w:r w:rsidR="005A1C92" w:rsidRPr="00BD77D8">
              <w:rPr>
                <w:rStyle w:val="Hyperlink"/>
                <w:color w:val="auto"/>
              </w:rPr>
              <w:t>Our partners</w:t>
            </w:r>
            <w:r w:rsidR="005A1C92" w:rsidRPr="00BD77D8">
              <w:rPr>
                <w:webHidden/>
              </w:rPr>
              <w:tab/>
            </w:r>
            <w:r w:rsidR="005A1C92" w:rsidRPr="00BD77D8">
              <w:rPr>
                <w:webHidden/>
              </w:rPr>
              <w:fldChar w:fldCharType="begin"/>
            </w:r>
            <w:r w:rsidR="005A1C92" w:rsidRPr="00BD77D8">
              <w:rPr>
                <w:webHidden/>
              </w:rPr>
              <w:instrText xml:space="preserve"> PAGEREF _Toc113544370 \h </w:instrText>
            </w:r>
            <w:r w:rsidR="005A1C92" w:rsidRPr="00BD77D8">
              <w:rPr>
                <w:webHidden/>
              </w:rPr>
            </w:r>
            <w:r w:rsidR="005A1C92" w:rsidRPr="00BD77D8">
              <w:rPr>
                <w:webHidden/>
              </w:rPr>
              <w:fldChar w:fldCharType="separate"/>
            </w:r>
            <w:r w:rsidR="00B375FA">
              <w:rPr>
                <w:webHidden/>
              </w:rPr>
              <w:t>9</w:t>
            </w:r>
            <w:r w:rsidR="005A1C92" w:rsidRPr="00BD77D8">
              <w:rPr>
                <w:webHidden/>
              </w:rPr>
              <w:fldChar w:fldCharType="end"/>
            </w:r>
          </w:hyperlink>
        </w:p>
        <w:p w14:paraId="4723CFF4" w14:textId="5F22F34C" w:rsidR="005A1C92" w:rsidRPr="00BD77D8" w:rsidRDefault="00F56A31">
          <w:pPr>
            <w:pStyle w:val="TOC2"/>
            <w:rPr>
              <w:rFonts w:asciiTheme="minorHAnsi" w:eastAsiaTheme="minorEastAsia" w:hAnsiTheme="minorHAnsi" w:cstheme="minorBidi"/>
            </w:rPr>
          </w:pPr>
          <w:hyperlink w:anchor="_Toc113544371" w:history="1">
            <w:r w:rsidR="005A1C92" w:rsidRPr="00BD77D8">
              <w:rPr>
                <w:rStyle w:val="Hyperlink"/>
                <w:color w:val="auto"/>
              </w:rPr>
              <w:t>Our SOLID culture</w:t>
            </w:r>
            <w:r w:rsidR="005A1C92" w:rsidRPr="00BD77D8">
              <w:rPr>
                <w:webHidden/>
              </w:rPr>
              <w:tab/>
            </w:r>
            <w:r w:rsidR="005A1C92" w:rsidRPr="00BD77D8">
              <w:rPr>
                <w:webHidden/>
              </w:rPr>
              <w:fldChar w:fldCharType="begin"/>
            </w:r>
            <w:r w:rsidR="005A1C92" w:rsidRPr="00BD77D8">
              <w:rPr>
                <w:webHidden/>
              </w:rPr>
              <w:instrText xml:space="preserve"> PAGEREF _Toc113544371 \h </w:instrText>
            </w:r>
            <w:r w:rsidR="005A1C92" w:rsidRPr="00BD77D8">
              <w:rPr>
                <w:webHidden/>
              </w:rPr>
            </w:r>
            <w:r w:rsidR="005A1C92" w:rsidRPr="00BD77D8">
              <w:rPr>
                <w:webHidden/>
              </w:rPr>
              <w:fldChar w:fldCharType="separate"/>
            </w:r>
            <w:r w:rsidR="00B375FA">
              <w:rPr>
                <w:webHidden/>
              </w:rPr>
              <w:t>9</w:t>
            </w:r>
            <w:r w:rsidR="005A1C92" w:rsidRPr="00BD77D8">
              <w:rPr>
                <w:webHidden/>
              </w:rPr>
              <w:fldChar w:fldCharType="end"/>
            </w:r>
          </w:hyperlink>
        </w:p>
        <w:p w14:paraId="43ED9550" w14:textId="5D558D75" w:rsidR="005A1C92" w:rsidRPr="00BD77D8" w:rsidRDefault="00F56A31">
          <w:pPr>
            <w:pStyle w:val="TOC2"/>
            <w:rPr>
              <w:rFonts w:asciiTheme="minorHAnsi" w:eastAsiaTheme="minorEastAsia" w:hAnsiTheme="minorHAnsi" w:cstheme="minorBidi"/>
            </w:rPr>
          </w:pPr>
          <w:hyperlink w:anchor="_Toc113544372" w:history="1">
            <w:r w:rsidR="005A1C92" w:rsidRPr="00BD77D8">
              <w:rPr>
                <w:rStyle w:val="Hyperlink"/>
                <w:color w:val="auto"/>
              </w:rPr>
              <w:t>Embedding the Queensland public service values</w:t>
            </w:r>
            <w:r w:rsidR="005A1C92" w:rsidRPr="00BD77D8">
              <w:rPr>
                <w:webHidden/>
              </w:rPr>
              <w:tab/>
            </w:r>
            <w:r w:rsidR="005A1C92" w:rsidRPr="00BD77D8">
              <w:rPr>
                <w:webHidden/>
              </w:rPr>
              <w:fldChar w:fldCharType="begin"/>
            </w:r>
            <w:r w:rsidR="005A1C92" w:rsidRPr="00BD77D8">
              <w:rPr>
                <w:webHidden/>
              </w:rPr>
              <w:instrText xml:space="preserve"> PAGEREF _Toc113544372 \h </w:instrText>
            </w:r>
            <w:r w:rsidR="005A1C92" w:rsidRPr="00BD77D8">
              <w:rPr>
                <w:webHidden/>
              </w:rPr>
            </w:r>
            <w:r w:rsidR="005A1C92" w:rsidRPr="00BD77D8">
              <w:rPr>
                <w:webHidden/>
              </w:rPr>
              <w:fldChar w:fldCharType="separate"/>
            </w:r>
            <w:r w:rsidR="00B375FA">
              <w:rPr>
                <w:webHidden/>
              </w:rPr>
              <w:t>9</w:t>
            </w:r>
            <w:r w:rsidR="005A1C92" w:rsidRPr="00BD77D8">
              <w:rPr>
                <w:webHidden/>
              </w:rPr>
              <w:fldChar w:fldCharType="end"/>
            </w:r>
          </w:hyperlink>
        </w:p>
        <w:p w14:paraId="0C85F775" w14:textId="20949B5C" w:rsidR="005A1C92" w:rsidRPr="00BD77D8" w:rsidRDefault="00F56A31">
          <w:pPr>
            <w:pStyle w:val="TOC2"/>
            <w:rPr>
              <w:rFonts w:asciiTheme="minorHAnsi" w:eastAsiaTheme="minorEastAsia" w:hAnsiTheme="minorHAnsi" w:cstheme="minorBidi"/>
            </w:rPr>
          </w:pPr>
          <w:hyperlink w:anchor="_Toc113544373" w:history="1">
            <w:r w:rsidR="005A1C92" w:rsidRPr="00BD77D8">
              <w:rPr>
                <w:rStyle w:val="Hyperlink"/>
                <w:color w:val="auto"/>
              </w:rPr>
              <w:t>What we do</w:t>
            </w:r>
            <w:r w:rsidR="005A1C92" w:rsidRPr="00BD77D8">
              <w:rPr>
                <w:webHidden/>
              </w:rPr>
              <w:tab/>
            </w:r>
            <w:r w:rsidR="005A1C92" w:rsidRPr="00BD77D8">
              <w:rPr>
                <w:webHidden/>
              </w:rPr>
              <w:fldChar w:fldCharType="begin"/>
            </w:r>
            <w:r w:rsidR="005A1C92" w:rsidRPr="00BD77D8">
              <w:rPr>
                <w:webHidden/>
              </w:rPr>
              <w:instrText xml:space="preserve"> PAGEREF _Toc113544373 \h </w:instrText>
            </w:r>
            <w:r w:rsidR="005A1C92" w:rsidRPr="00BD77D8">
              <w:rPr>
                <w:webHidden/>
              </w:rPr>
            </w:r>
            <w:r w:rsidR="005A1C92" w:rsidRPr="00BD77D8">
              <w:rPr>
                <w:webHidden/>
              </w:rPr>
              <w:fldChar w:fldCharType="separate"/>
            </w:r>
            <w:r w:rsidR="00B375FA">
              <w:rPr>
                <w:webHidden/>
              </w:rPr>
              <w:t>10</w:t>
            </w:r>
            <w:r w:rsidR="005A1C92" w:rsidRPr="00BD77D8">
              <w:rPr>
                <w:webHidden/>
              </w:rPr>
              <w:fldChar w:fldCharType="end"/>
            </w:r>
          </w:hyperlink>
        </w:p>
        <w:p w14:paraId="0A72EB5F" w14:textId="568617DC" w:rsidR="005A1C92" w:rsidRPr="00BD77D8" w:rsidRDefault="00F56A31">
          <w:pPr>
            <w:pStyle w:val="TOC2"/>
            <w:rPr>
              <w:rFonts w:asciiTheme="minorHAnsi" w:eastAsiaTheme="minorEastAsia" w:hAnsiTheme="minorHAnsi" w:cstheme="minorBidi"/>
            </w:rPr>
          </w:pPr>
          <w:hyperlink w:anchor="_Toc113544374" w:history="1">
            <w:r w:rsidR="005A1C92" w:rsidRPr="00BD77D8">
              <w:rPr>
                <w:rStyle w:val="Hyperlink"/>
                <w:color w:val="auto"/>
              </w:rPr>
              <w:t>Our organisational structure</w:t>
            </w:r>
            <w:r w:rsidR="005A1C92" w:rsidRPr="00BD77D8">
              <w:rPr>
                <w:webHidden/>
              </w:rPr>
              <w:tab/>
            </w:r>
            <w:r w:rsidR="005A1C92" w:rsidRPr="00BD77D8">
              <w:rPr>
                <w:webHidden/>
              </w:rPr>
              <w:fldChar w:fldCharType="begin"/>
            </w:r>
            <w:r w:rsidR="005A1C92" w:rsidRPr="00BD77D8">
              <w:rPr>
                <w:webHidden/>
              </w:rPr>
              <w:instrText xml:space="preserve"> PAGEREF _Toc113544374 \h </w:instrText>
            </w:r>
            <w:r w:rsidR="005A1C92" w:rsidRPr="00BD77D8">
              <w:rPr>
                <w:webHidden/>
              </w:rPr>
            </w:r>
            <w:r w:rsidR="005A1C92" w:rsidRPr="00BD77D8">
              <w:rPr>
                <w:webHidden/>
              </w:rPr>
              <w:fldChar w:fldCharType="separate"/>
            </w:r>
            <w:r w:rsidR="00B375FA">
              <w:rPr>
                <w:webHidden/>
              </w:rPr>
              <w:t>11</w:t>
            </w:r>
            <w:r w:rsidR="005A1C92" w:rsidRPr="00BD77D8">
              <w:rPr>
                <w:webHidden/>
              </w:rPr>
              <w:fldChar w:fldCharType="end"/>
            </w:r>
          </w:hyperlink>
        </w:p>
        <w:p w14:paraId="75BC40E6" w14:textId="5E042090" w:rsidR="005A1C92" w:rsidRPr="00BD77D8" w:rsidRDefault="00F56A31">
          <w:pPr>
            <w:pStyle w:val="TOC2"/>
            <w:rPr>
              <w:rFonts w:asciiTheme="minorHAnsi" w:eastAsiaTheme="minorEastAsia" w:hAnsiTheme="minorHAnsi" w:cstheme="minorBidi"/>
            </w:rPr>
          </w:pPr>
          <w:hyperlink w:anchor="_Toc113544375" w:history="1">
            <w:r w:rsidR="005A1C92" w:rsidRPr="00BD77D8">
              <w:rPr>
                <w:rStyle w:val="Hyperlink"/>
                <w:color w:val="auto"/>
              </w:rPr>
              <w:t>Our Minister</w:t>
            </w:r>
            <w:r w:rsidR="005A1C92" w:rsidRPr="00BD77D8">
              <w:rPr>
                <w:webHidden/>
              </w:rPr>
              <w:tab/>
            </w:r>
            <w:r w:rsidR="005A1C92" w:rsidRPr="00BD77D8">
              <w:rPr>
                <w:webHidden/>
              </w:rPr>
              <w:fldChar w:fldCharType="begin"/>
            </w:r>
            <w:r w:rsidR="005A1C92" w:rsidRPr="00BD77D8">
              <w:rPr>
                <w:webHidden/>
              </w:rPr>
              <w:instrText xml:space="preserve"> PAGEREF _Toc113544375 \h </w:instrText>
            </w:r>
            <w:r w:rsidR="005A1C92" w:rsidRPr="00BD77D8">
              <w:rPr>
                <w:webHidden/>
              </w:rPr>
            </w:r>
            <w:r w:rsidR="005A1C92" w:rsidRPr="00BD77D8">
              <w:rPr>
                <w:webHidden/>
              </w:rPr>
              <w:fldChar w:fldCharType="separate"/>
            </w:r>
            <w:r w:rsidR="00B375FA">
              <w:rPr>
                <w:webHidden/>
              </w:rPr>
              <w:t>11</w:t>
            </w:r>
            <w:r w:rsidR="005A1C92" w:rsidRPr="00BD77D8">
              <w:rPr>
                <w:webHidden/>
              </w:rPr>
              <w:fldChar w:fldCharType="end"/>
            </w:r>
          </w:hyperlink>
        </w:p>
        <w:p w14:paraId="5212A9E5" w14:textId="51D6A80B" w:rsidR="005A1C92" w:rsidRPr="00BD77D8" w:rsidRDefault="00F56A31">
          <w:pPr>
            <w:pStyle w:val="TOC2"/>
            <w:rPr>
              <w:rFonts w:asciiTheme="minorHAnsi" w:eastAsiaTheme="minorEastAsia" w:hAnsiTheme="minorHAnsi" w:cstheme="minorBidi"/>
            </w:rPr>
          </w:pPr>
          <w:hyperlink w:anchor="_Toc113544376" w:history="1">
            <w:r w:rsidR="005A1C92" w:rsidRPr="00BD77D8">
              <w:rPr>
                <w:rStyle w:val="Hyperlink"/>
                <w:color w:val="auto"/>
              </w:rPr>
              <w:t>Our executive management</w:t>
            </w:r>
            <w:r w:rsidR="005A1C92" w:rsidRPr="00BD77D8">
              <w:rPr>
                <w:webHidden/>
              </w:rPr>
              <w:tab/>
            </w:r>
            <w:r w:rsidR="005A1C92" w:rsidRPr="00BD77D8">
              <w:rPr>
                <w:webHidden/>
              </w:rPr>
              <w:fldChar w:fldCharType="begin"/>
            </w:r>
            <w:r w:rsidR="005A1C92" w:rsidRPr="00BD77D8">
              <w:rPr>
                <w:webHidden/>
              </w:rPr>
              <w:instrText xml:space="preserve"> PAGEREF _Toc113544376 \h </w:instrText>
            </w:r>
            <w:r w:rsidR="005A1C92" w:rsidRPr="00BD77D8">
              <w:rPr>
                <w:webHidden/>
              </w:rPr>
            </w:r>
            <w:r w:rsidR="005A1C92" w:rsidRPr="00BD77D8">
              <w:rPr>
                <w:webHidden/>
              </w:rPr>
              <w:fldChar w:fldCharType="separate"/>
            </w:r>
            <w:r w:rsidR="00B375FA">
              <w:rPr>
                <w:webHidden/>
              </w:rPr>
              <w:t>12</w:t>
            </w:r>
            <w:r w:rsidR="005A1C92" w:rsidRPr="00BD77D8">
              <w:rPr>
                <w:webHidden/>
              </w:rPr>
              <w:fldChar w:fldCharType="end"/>
            </w:r>
          </w:hyperlink>
        </w:p>
        <w:p w14:paraId="310C973A" w14:textId="2B249FAC" w:rsidR="005A1C92" w:rsidRPr="00BD77D8" w:rsidRDefault="00F56A31">
          <w:pPr>
            <w:pStyle w:val="TOC2"/>
            <w:rPr>
              <w:rFonts w:asciiTheme="minorHAnsi" w:eastAsiaTheme="minorEastAsia" w:hAnsiTheme="minorHAnsi" w:cstheme="minorBidi"/>
            </w:rPr>
          </w:pPr>
          <w:hyperlink w:anchor="_Toc113544377" w:history="1">
            <w:r w:rsidR="005A1C92" w:rsidRPr="00BD77D8">
              <w:rPr>
                <w:rStyle w:val="Hyperlink"/>
                <w:color w:val="auto"/>
              </w:rPr>
              <w:t>Our governance</w:t>
            </w:r>
            <w:r w:rsidR="005A1C92" w:rsidRPr="00BD77D8">
              <w:rPr>
                <w:webHidden/>
              </w:rPr>
              <w:tab/>
            </w:r>
            <w:r w:rsidR="005A1C92" w:rsidRPr="00BD77D8">
              <w:rPr>
                <w:webHidden/>
              </w:rPr>
              <w:fldChar w:fldCharType="begin"/>
            </w:r>
            <w:r w:rsidR="005A1C92" w:rsidRPr="00BD77D8">
              <w:rPr>
                <w:webHidden/>
              </w:rPr>
              <w:instrText xml:space="preserve"> PAGEREF _Toc113544377 \h </w:instrText>
            </w:r>
            <w:r w:rsidR="005A1C92" w:rsidRPr="00BD77D8">
              <w:rPr>
                <w:webHidden/>
              </w:rPr>
            </w:r>
            <w:r w:rsidR="005A1C92" w:rsidRPr="00BD77D8">
              <w:rPr>
                <w:webHidden/>
              </w:rPr>
              <w:fldChar w:fldCharType="separate"/>
            </w:r>
            <w:r w:rsidR="00B375FA">
              <w:rPr>
                <w:webHidden/>
              </w:rPr>
              <w:t>15</w:t>
            </w:r>
            <w:r w:rsidR="005A1C92" w:rsidRPr="00BD77D8">
              <w:rPr>
                <w:webHidden/>
              </w:rPr>
              <w:fldChar w:fldCharType="end"/>
            </w:r>
          </w:hyperlink>
        </w:p>
        <w:p w14:paraId="4B12482A" w14:textId="3C89C9E5" w:rsidR="005A1C92" w:rsidRPr="00BD77D8" w:rsidRDefault="00F56A31">
          <w:pPr>
            <w:pStyle w:val="TOC2"/>
            <w:rPr>
              <w:rFonts w:asciiTheme="minorHAnsi" w:eastAsiaTheme="minorEastAsia" w:hAnsiTheme="minorHAnsi" w:cstheme="minorBidi"/>
            </w:rPr>
          </w:pPr>
          <w:hyperlink w:anchor="_Toc113544378" w:history="1">
            <w:r w:rsidR="005A1C92" w:rsidRPr="00BD77D8">
              <w:rPr>
                <w:rStyle w:val="Hyperlink"/>
                <w:color w:val="auto"/>
              </w:rPr>
              <w:t>National agreements</w:t>
            </w:r>
            <w:r w:rsidR="005A1C92" w:rsidRPr="00BD77D8">
              <w:rPr>
                <w:webHidden/>
              </w:rPr>
              <w:tab/>
            </w:r>
            <w:r w:rsidR="005A1C92" w:rsidRPr="00BD77D8">
              <w:rPr>
                <w:webHidden/>
              </w:rPr>
              <w:fldChar w:fldCharType="begin"/>
            </w:r>
            <w:r w:rsidR="005A1C92" w:rsidRPr="00BD77D8">
              <w:rPr>
                <w:webHidden/>
              </w:rPr>
              <w:instrText xml:space="preserve"> PAGEREF _Toc113544378 \h </w:instrText>
            </w:r>
            <w:r w:rsidR="005A1C92" w:rsidRPr="00BD77D8">
              <w:rPr>
                <w:webHidden/>
              </w:rPr>
            </w:r>
            <w:r w:rsidR="005A1C92" w:rsidRPr="00BD77D8">
              <w:rPr>
                <w:webHidden/>
              </w:rPr>
              <w:fldChar w:fldCharType="separate"/>
            </w:r>
            <w:r w:rsidR="00B375FA">
              <w:rPr>
                <w:webHidden/>
              </w:rPr>
              <w:t>17</w:t>
            </w:r>
            <w:r w:rsidR="005A1C92" w:rsidRPr="00BD77D8">
              <w:rPr>
                <w:webHidden/>
              </w:rPr>
              <w:fldChar w:fldCharType="end"/>
            </w:r>
          </w:hyperlink>
        </w:p>
        <w:p w14:paraId="176740A9" w14:textId="351DA975" w:rsidR="005A1C92" w:rsidRPr="00BD77D8" w:rsidRDefault="00F56A31">
          <w:pPr>
            <w:pStyle w:val="TOC2"/>
            <w:rPr>
              <w:rFonts w:asciiTheme="minorHAnsi" w:eastAsiaTheme="minorEastAsia" w:hAnsiTheme="minorHAnsi" w:cstheme="minorBidi"/>
            </w:rPr>
          </w:pPr>
          <w:hyperlink w:anchor="_Toc113544379" w:history="1">
            <w:r w:rsidR="005A1C92" w:rsidRPr="00BD77D8">
              <w:rPr>
                <w:rStyle w:val="Hyperlink"/>
                <w:color w:val="auto"/>
              </w:rPr>
              <w:t>Our operating environment</w:t>
            </w:r>
            <w:r w:rsidR="005A1C92" w:rsidRPr="00BD77D8">
              <w:rPr>
                <w:webHidden/>
              </w:rPr>
              <w:tab/>
            </w:r>
            <w:r w:rsidR="005A1C92" w:rsidRPr="00BD77D8">
              <w:rPr>
                <w:webHidden/>
              </w:rPr>
              <w:fldChar w:fldCharType="begin"/>
            </w:r>
            <w:r w:rsidR="005A1C92" w:rsidRPr="00BD77D8">
              <w:rPr>
                <w:webHidden/>
              </w:rPr>
              <w:instrText xml:space="preserve"> PAGEREF _Toc113544379 \h </w:instrText>
            </w:r>
            <w:r w:rsidR="005A1C92" w:rsidRPr="00BD77D8">
              <w:rPr>
                <w:webHidden/>
              </w:rPr>
            </w:r>
            <w:r w:rsidR="005A1C92" w:rsidRPr="00BD77D8">
              <w:rPr>
                <w:webHidden/>
              </w:rPr>
              <w:fldChar w:fldCharType="separate"/>
            </w:r>
            <w:r w:rsidR="00B375FA">
              <w:rPr>
                <w:webHidden/>
              </w:rPr>
              <w:t>17</w:t>
            </w:r>
            <w:r w:rsidR="005A1C92" w:rsidRPr="00BD77D8">
              <w:rPr>
                <w:webHidden/>
              </w:rPr>
              <w:fldChar w:fldCharType="end"/>
            </w:r>
          </w:hyperlink>
        </w:p>
        <w:p w14:paraId="6F285F38" w14:textId="274E5D32" w:rsidR="005A1C92" w:rsidRPr="00BD77D8" w:rsidRDefault="00F56A31">
          <w:pPr>
            <w:pStyle w:val="TOC2"/>
            <w:rPr>
              <w:rFonts w:asciiTheme="minorHAnsi" w:eastAsiaTheme="minorEastAsia" w:hAnsiTheme="minorHAnsi" w:cstheme="minorBidi"/>
            </w:rPr>
          </w:pPr>
          <w:hyperlink w:anchor="_Toc113544380" w:history="1">
            <w:r w:rsidR="005A1C92" w:rsidRPr="00BD77D8">
              <w:rPr>
                <w:rStyle w:val="Hyperlink"/>
                <w:color w:val="auto"/>
              </w:rPr>
              <w:t>Our strategic objectives</w:t>
            </w:r>
            <w:r w:rsidR="005A1C92" w:rsidRPr="00BD77D8">
              <w:rPr>
                <w:webHidden/>
              </w:rPr>
              <w:tab/>
            </w:r>
            <w:r w:rsidR="005A1C92" w:rsidRPr="00BD77D8">
              <w:rPr>
                <w:webHidden/>
              </w:rPr>
              <w:fldChar w:fldCharType="begin"/>
            </w:r>
            <w:r w:rsidR="005A1C92" w:rsidRPr="00BD77D8">
              <w:rPr>
                <w:webHidden/>
              </w:rPr>
              <w:instrText xml:space="preserve"> PAGEREF _Toc113544380 \h </w:instrText>
            </w:r>
            <w:r w:rsidR="005A1C92" w:rsidRPr="00BD77D8">
              <w:rPr>
                <w:webHidden/>
              </w:rPr>
            </w:r>
            <w:r w:rsidR="005A1C92" w:rsidRPr="00BD77D8">
              <w:rPr>
                <w:webHidden/>
              </w:rPr>
              <w:fldChar w:fldCharType="separate"/>
            </w:r>
            <w:r w:rsidR="00B375FA">
              <w:rPr>
                <w:webHidden/>
              </w:rPr>
              <w:t>17</w:t>
            </w:r>
            <w:r w:rsidR="005A1C92" w:rsidRPr="00BD77D8">
              <w:rPr>
                <w:webHidden/>
              </w:rPr>
              <w:fldChar w:fldCharType="end"/>
            </w:r>
          </w:hyperlink>
        </w:p>
        <w:p w14:paraId="7AD9E0A6" w14:textId="0F2FC65E" w:rsidR="005A1C92" w:rsidRPr="00BD77D8" w:rsidRDefault="00F56A31">
          <w:pPr>
            <w:pStyle w:val="TOC2"/>
            <w:rPr>
              <w:rFonts w:asciiTheme="minorHAnsi" w:eastAsiaTheme="minorEastAsia" w:hAnsiTheme="minorHAnsi" w:cstheme="minorBidi"/>
            </w:rPr>
          </w:pPr>
          <w:hyperlink w:anchor="_Toc113544381" w:history="1">
            <w:r w:rsidR="005A1C92" w:rsidRPr="00BD77D8">
              <w:rPr>
                <w:rStyle w:val="Hyperlink"/>
                <w:color w:val="auto"/>
              </w:rPr>
              <w:t>Our strategic risks</w:t>
            </w:r>
            <w:r w:rsidR="005A1C92" w:rsidRPr="00BD77D8">
              <w:rPr>
                <w:webHidden/>
              </w:rPr>
              <w:tab/>
            </w:r>
            <w:r w:rsidR="005A1C92" w:rsidRPr="00BD77D8">
              <w:rPr>
                <w:webHidden/>
              </w:rPr>
              <w:fldChar w:fldCharType="begin"/>
            </w:r>
            <w:r w:rsidR="005A1C92" w:rsidRPr="00BD77D8">
              <w:rPr>
                <w:webHidden/>
              </w:rPr>
              <w:instrText xml:space="preserve"> PAGEREF _Toc113544381 \h </w:instrText>
            </w:r>
            <w:r w:rsidR="005A1C92" w:rsidRPr="00BD77D8">
              <w:rPr>
                <w:webHidden/>
              </w:rPr>
            </w:r>
            <w:r w:rsidR="005A1C92" w:rsidRPr="00BD77D8">
              <w:rPr>
                <w:webHidden/>
              </w:rPr>
              <w:fldChar w:fldCharType="separate"/>
            </w:r>
            <w:r w:rsidR="00B375FA">
              <w:rPr>
                <w:webHidden/>
              </w:rPr>
              <w:t>17</w:t>
            </w:r>
            <w:r w:rsidR="005A1C92" w:rsidRPr="00BD77D8">
              <w:rPr>
                <w:webHidden/>
              </w:rPr>
              <w:fldChar w:fldCharType="end"/>
            </w:r>
          </w:hyperlink>
        </w:p>
        <w:p w14:paraId="138C4382" w14:textId="5B99AD73" w:rsidR="005A1C92" w:rsidRPr="00BD77D8" w:rsidRDefault="00F56A31">
          <w:pPr>
            <w:pStyle w:val="TOC2"/>
            <w:rPr>
              <w:rFonts w:asciiTheme="minorHAnsi" w:eastAsiaTheme="minorEastAsia" w:hAnsiTheme="minorHAnsi" w:cstheme="minorBidi"/>
            </w:rPr>
          </w:pPr>
          <w:hyperlink w:anchor="_Toc113544382" w:history="1">
            <w:r w:rsidR="005A1C92" w:rsidRPr="00BD77D8">
              <w:rPr>
                <w:rStyle w:val="Hyperlink"/>
                <w:color w:val="auto"/>
              </w:rPr>
              <w:t>Our opportunities</w:t>
            </w:r>
            <w:r w:rsidR="005A1C92" w:rsidRPr="00BD77D8">
              <w:rPr>
                <w:webHidden/>
              </w:rPr>
              <w:tab/>
            </w:r>
            <w:r w:rsidR="005A1C92" w:rsidRPr="00BD77D8">
              <w:rPr>
                <w:webHidden/>
              </w:rPr>
              <w:fldChar w:fldCharType="begin"/>
            </w:r>
            <w:r w:rsidR="005A1C92" w:rsidRPr="00BD77D8">
              <w:rPr>
                <w:webHidden/>
              </w:rPr>
              <w:instrText xml:space="preserve"> PAGEREF _Toc113544382 \h </w:instrText>
            </w:r>
            <w:r w:rsidR="005A1C92" w:rsidRPr="00BD77D8">
              <w:rPr>
                <w:webHidden/>
              </w:rPr>
            </w:r>
            <w:r w:rsidR="005A1C92" w:rsidRPr="00BD77D8">
              <w:rPr>
                <w:webHidden/>
              </w:rPr>
              <w:fldChar w:fldCharType="separate"/>
            </w:r>
            <w:r w:rsidR="00B375FA">
              <w:rPr>
                <w:webHidden/>
              </w:rPr>
              <w:t>18</w:t>
            </w:r>
            <w:r w:rsidR="005A1C92" w:rsidRPr="00BD77D8">
              <w:rPr>
                <w:webHidden/>
              </w:rPr>
              <w:fldChar w:fldCharType="end"/>
            </w:r>
          </w:hyperlink>
        </w:p>
        <w:p w14:paraId="070687CE" w14:textId="5F303977" w:rsidR="005A1C92" w:rsidRPr="00BD77D8" w:rsidRDefault="00F56A31">
          <w:pPr>
            <w:pStyle w:val="TOC1"/>
            <w:rPr>
              <w:rFonts w:asciiTheme="minorHAnsi" w:eastAsiaTheme="minorEastAsia" w:hAnsiTheme="minorHAnsi" w:cstheme="minorBidi"/>
              <w:b w:val="0"/>
              <w:bCs w:val="0"/>
              <w:sz w:val="22"/>
              <w:szCs w:val="22"/>
            </w:rPr>
          </w:pPr>
          <w:hyperlink w:anchor="_Toc113544383" w:history="1">
            <w:r w:rsidR="005A1C92" w:rsidRPr="00BD77D8">
              <w:rPr>
                <w:rStyle w:val="Hyperlink"/>
                <w:color w:val="auto"/>
              </w:rPr>
              <w:t>02 Seniors Services</w:t>
            </w:r>
            <w:r w:rsidR="005A1C92" w:rsidRPr="00BD77D8">
              <w:rPr>
                <w:webHidden/>
              </w:rPr>
              <w:tab/>
            </w:r>
            <w:r w:rsidR="005A1C92" w:rsidRPr="00BD77D8">
              <w:rPr>
                <w:webHidden/>
              </w:rPr>
              <w:fldChar w:fldCharType="begin"/>
            </w:r>
            <w:r w:rsidR="005A1C92" w:rsidRPr="00BD77D8">
              <w:rPr>
                <w:webHidden/>
              </w:rPr>
              <w:instrText xml:space="preserve"> PAGEREF _Toc113544383 \h </w:instrText>
            </w:r>
            <w:r w:rsidR="005A1C92" w:rsidRPr="00BD77D8">
              <w:rPr>
                <w:webHidden/>
              </w:rPr>
            </w:r>
            <w:r w:rsidR="005A1C92" w:rsidRPr="00BD77D8">
              <w:rPr>
                <w:webHidden/>
              </w:rPr>
              <w:fldChar w:fldCharType="separate"/>
            </w:r>
            <w:r w:rsidR="00B375FA">
              <w:rPr>
                <w:webHidden/>
              </w:rPr>
              <w:t>19</w:t>
            </w:r>
            <w:r w:rsidR="005A1C92" w:rsidRPr="00BD77D8">
              <w:rPr>
                <w:webHidden/>
              </w:rPr>
              <w:fldChar w:fldCharType="end"/>
            </w:r>
          </w:hyperlink>
        </w:p>
        <w:p w14:paraId="20949872" w14:textId="64CFADCA" w:rsidR="005A1C92" w:rsidRPr="00BD77D8" w:rsidRDefault="00F56A31">
          <w:pPr>
            <w:pStyle w:val="TOC2"/>
            <w:rPr>
              <w:rFonts w:asciiTheme="minorHAnsi" w:eastAsiaTheme="minorEastAsia" w:hAnsiTheme="minorHAnsi" w:cstheme="minorBidi"/>
            </w:rPr>
          </w:pPr>
          <w:hyperlink w:anchor="_Toc113544384" w:history="1">
            <w:r w:rsidR="005A1C92" w:rsidRPr="00BD77D8">
              <w:rPr>
                <w:rStyle w:val="Hyperlink"/>
                <w:color w:val="auto"/>
              </w:rPr>
              <w:t>Strategic Overview</w:t>
            </w:r>
            <w:r w:rsidR="005A1C92" w:rsidRPr="00BD77D8">
              <w:rPr>
                <w:webHidden/>
              </w:rPr>
              <w:tab/>
            </w:r>
            <w:r w:rsidR="005A1C92" w:rsidRPr="00BD77D8">
              <w:rPr>
                <w:webHidden/>
              </w:rPr>
              <w:fldChar w:fldCharType="begin"/>
            </w:r>
            <w:r w:rsidR="005A1C92" w:rsidRPr="00BD77D8">
              <w:rPr>
                <w:webHidden/>
              </w:rPr>
              <w:instrText xml:space="preserve"> PAGEREF _Toc113544384 \h </w:instrText>
            </w:r>
            <w:r w:rsidR="005A1C92" w:rsidRPr="00BD77D8">
              <w:rPr>
                <w:webHidden/>
              </w:rPr>
            </w:r>
            <w:r w:rsidR="005A1C92" w:rsidRPr="00BD77D8">
              <w:rPr>
                <w:webHidden/>
              </w:rPr>
              <w:fldChar w:fldCharType="separate"/>
            </w:r>
            <w:r w:rsidR="00B375FA">
              <w:rPr>
                <w:webHidden/>
              </w:rPr>
              <w:t>19</w:t>
            </w:r>
            <w:r w:rsidR="005A1C92" w:rsidRPr="00BD77D8">
              <w:rPr>
                <w:webHidden/>
              </w:rPr>
              <w:fldChar w:fldCharType="end"/>
            </w:r>
          </w:hyperlink>
        </w:p>
        <w:p w14:paraId="7FA90023" w14:textId="71770275" w:rsidR="005A1C92" w:rsidRPr="00BD77D8" w:rsidRDefault="00F56A31">
          <w:pPr>
            <w:pStyle w:val="TOC2"/>
            <w:rPr>
              <w:rFonts w:asciiTheme="minorHAnsi" w:eastAsiaTheme="minorEastAsia" w:hAnsiTheme="minorHAnsi" w:cstheme="minorBidi"/>
            </w:rPr>
          </w:pPr>
          <w:hyperlink w:anchor="_Toc113544385" w:history="1">
            <w:r w:rsidR="005A1C92" w:rsidRPr="00BD77D8">
              <w:rPr>
                <w:rStyle w:val="Hyperlink"/>
                <w:color w:val="auto"/>
              </w:rPr>
              <w:t>Our Performance—Seniors services</w:t>
            </w:r>
            <w:r w:rsidR="005A1C92" w:rsidRPr="00BD77D8">
              <w:rPr>
                <w:webHidden/>
              </w:rPr>
              <w:tab/>
            </w:r>
            <w:r w:rsidR="005A1C92" w:rsidRPr="00BD77D8">
              <w:rPr>
                <w:webHidden/>
              </w:rPr>
              <w:fldChar w:fldCharType="begin"/>
            </w:r>
            <w:r w:rsidR="005A1C92" w:rsidRPr="00BD77D8">
              <w:rPr>
                <w:webHidden/>
              </w:rPr>
              <w:instrText xml:space="preserve"> PAGEREF _Toc113544385 \h </w:instrText>
            </w:r>
            <w:r w:rsidR="005A1C92" w:rsidRPr="00BD77D8">
              <w:rPr>
                <w:webHidden/>
              </w:rPr>
            </w:r>
            <w:r w:rsidR="005A1C92" w:rsidRPr="00BD77D8">
              <w:rPr>
                <w:webHidden/>
              </w:rPr>
              <w:fldChar w:fldCharType="separate"/>
            </w:r>
            <w:r w:rsidR="00B375FA">
              <w:rPr>
                <w:webHidden/>
              </w:rPr>
              <w:t>23</w:t>
            </w:r>
            <w:r w:rsidR="005A1C92" w:rsidRPr="00BD77D8">
              <w:rPr>
                <w:webHidden/>
              </w:rPr>
              <w:fldChar w:fldCharType="end"/>
            </w:r>
          </w:hyperlink>
        </w:p>
        <w:p w14:paraId="11773DCC" w14:textId="6B9C8B0E" w:rsidR="005A1C92" w:rsidRPr="00BD77D8" w:rsidRDefault="00F56A31">
          <w:pPr>
            <w:pStyle w:val="TOC2"/>
            <w:rPr>
              <w:rFonts w:asciiTheme="minorHAnsi" w:eastAsiaTheme="minorEastAsia" w:hAnsiTheme="minorHAnsi" w:cstheme="minorBidi"/>
            </w:rPr>
          </w:pPr>
          <w:hyperlink w:anchor="_Toc113544386" w:history="1">
            <w:r w:rsidR="005A1C92" w:rsidRPr="00BD77D8">
              <w:rPr>
                <w:rStyle w:val="Hyperlink"/>
                <w:color w:val="auto"/>
              </w:rPr>
              <w:t>Future directions</w:t>
            </w:r>
            <w:r w:rsidR="005A1C92" w:rsidRPr="00BD77D8">
              <w:rPr>
                <w:webHidden/>
              </w:rPr>
              <w:tab/>
            </w:r>
            <w:r w:rsidR="005A1C92" w:rsidRPr="00BD77D8">
              <w:rPr>
                <w:webHidden/>
              </w:rPr>
              <w:fldChar w:fldCharType="begin"/>
            </w:r>
            <w:r w:rsidR="005A1C92" w:rsidRPr="00BD77D8">
              <w:rPr>
                <w:webHidden/>
              </w:rPr>
              <w:instrText xml:space="preserve"> PAGEREF _Toc113544386 \h </w:instrText>
            </w:r>
            <w:r w:rsidR="005A1C92" w:rsidRPr="00BD77D8">
              <w:rPr>
                <w:webHidden/>
              </w:rPr>
            </w:r>
            <w:r w:rsidR="005A1C92" w:rsidRPr="00BD77D8">
              <w:rPr>
                <w:webHidden/>
              </w:rPr>
              <w:fldChar w:fldCharType="separate"/>
            </w:r>
            <w:r w:rsidR="00B375FA">
              <w:rPr>
                <w:webHidden/>
              </w:rPr>
              <w:t>23</w:t>
            </w:r>
            <w:r w:rsidR="005A1C92" w:rsidRPr="00BD77D8">
              <w:rPr>
                <w:webHidden/>
              </w:rPr>
              <w:fldChar w:fldCharType="end"/>
            </w:r>
          </w:hyperlink>
        </w:p>
        <w:p w14:paraId="268A70FC" w14:textId="6F45C97E" w:rsidR="005A1C92" w:rsidRPr="00BD77D8" w:rsidRDefault="00F56A31">
          <w:pPr>
            <w:pStyle w:val="TOC1"/>
            <w:rPr>
              <w:rFonts w:asciiTheme="minorHAnsi" w:eastAsiaTheme="minorEastAsia" w:hAnsiTheme="minorHAnsi" w:cstheme="minorBidi"/>
              <w:b w:val="0"/>
              <w:bCs w:val="0"/>
              <w:sz w:val="22"/>
              <w:szCs w:val="22"/>
            </w:rPr>
          </w:pPr>
          <w:hyperlink w:anchor="_Toc113544387" w:history="1">
            <w:r w:rsidR="005A1C92" w:rsidRPr="00BD77D8">
              <w:rPr>
                <w:rStyle w:val="Hyperlink"/>
                <w:color w:val="auto"/>
              </w:rPr>
              <w:t>03 Disability Services</w:t>
            </w:r>
            <w:r w:rsidR="005A1C92" w:rsidRPr="00BD77D8">
              <w:rPr>
                <w:webHidden/>
              </w:rPr>
              <w:tab/>
            </w:r>
            <w:r w:rsidR="005A1C92" w:rsidRPr="00BD77D8">
              <w:rPr>
                <w:webHidden/>
              </w:rPr>
              <w:fldChar w:fldCharType="begin"/>
            </w:r>
            <w:r w:rsidR="005A1C92" w:rsidRPr="00BD77D8">
              <w:rPr>
                <w:webHidden/>
              </w:rPr>
              <w:instrText xml:space="preserve"> PAGEREF _Toc113544387 \h </w:instrText>
            </w:r>
            <w:r w:rsidR="005A1C92" w:rsidRPr="00BD77D8">
              <w:rPr>
                <w:webHidden/>
              </w:rPr>
            </w:r>
            <w:r w:rsidR="005A1C92" w:rsidRPr="00BD77D8">
              <w:rPr>
                <w:webHidden/>
              </w:rPr>
              <w:fldChar w:fldCharType="separate"/>
            </w:r>
            <w:r w:rsidR="00B375FA">
              <w:rPr>
                <w:webHidden/>
              </w:rPr>
              <w:t>24</w:t>
            </w:r>
            <w:r w:rsidR="005A1C92" w:rsidRPr="00BD77D8">
              <w:rPr>
                <w:webHidden/>
              </w:rPr>
              <w:fldChar w:fldCharType="end"/>
            </w:r>
          </w:hyperlink>
        </w:p>
        <w:p w14:paraId="281D3E07" w14:textId="0C094ED0" w:rsidR="005A1C92" w:rsidRPr="00BD77D8" w:rsidRDefault="00F56A31">
          <w:pPr>
            <w:pStyle w:val="TOC2"/>
            <w:rPr>
              <w:rFonts w:asciiTheme="minorHAnsi" w:eastAsiaTheme="minorEastAsia" w:hAnsiTheme="minorHAnsi" w:cstheme="minorBidi"/>
            </w:rPr>
          </w:pPr>
          <w:hyperlink w:anchor="_Toc113544388" w:history="1">
            <w:r w:rsidR="005A1C92" w:rsidRPr="00BD77D8">
              <w:rPr>
                <w:rStyle w:val="Hyperlink"/>
                <w:color w:val="auto"/>
              </w:rPr>
              <w:t>Strategic Overview</w:t>
            </w:r>
            <w:r w:rsidR="005A1C92" w:rsidRPr="00BD77D8">
              <w:rPr>
                <w:webHidden/>
              </w:rPr>
              <w:tab/>
            </w:r>
            <w:r w:rsidR="005A1C92" w:rsidRPr="00BD77D8">
              <w:rPr>
                <w:webHidden/>
              </w:rPr>
              <w:fldChar w:fldCharType="begin"/>
            </w:r>
            <w:r w:rsidR="005A1C92" w:rsidRPr="00BD77D8">
              <w:rPr>
                <w:webHidden/>
              </w:rPr>
              <w:instrText xml:space="preserve"> PAGEREF _Toc113544388 \h </w:instrText>
            </w:r>
            <w:r w:rsidR="005A1C92" w:rsidRPr="00BD77D8">
              <w:rPr>
                <w:webHidden/>
              </w:rPr>
            </w:r>
            <w:r w:rsidR="005A1C92" w:rsidRPr="00BD77D8">
              <w:rPr>
                <w:webHidden/>
              </w:rPr>
              <w:fldChar w:fldCharType="separate"/>
            </w:r>
            <w:r w:rsidR="00B375FA">
              <w:rPr>
                <w:webHidden/>
              </w:rPr>
              <w:t>24</w:t>
            </w:r>
            <w:r w:rsidR="005A1C92" w:rsidRPr="00BD77D8">
              <w:rPr>
                <w:webHidden/>
              </w:rPr>
              <w:fldChar w:fldCharType="end"/>
            </w:r>
          </w:hyperlink>
        </w:p>
        <w:p w14:paraId="04E15B27" w14:textId="7F674489" w:rsidR="005A1C92" w:rsidRPr="00BD77D8" w:rsidRDefault="00F56A31">
          <w:pPr>
            <w:pStyle w:val="TOC2"/>
            <w:rPr>
              <w:rFonts w:asciiTheme="minorHAnsi" w:eastAsiaTheme="minorEastAsia" w:hAnsiTheme="minorHAnsi" w:cstheme="minorBidi"/>
            </w:rPr>
          </w:pPr>
          <w:hyperlink w:anchor="_Toc113544389" w:history="1">
            <w:r w:rsidR="005A1C92" w:rsidRPr="00BD77D8">
              <w:rPr>
                <w:rStyle w:val="Hyperlink"/>
                <w:color w:val="auto"/>
              </w:rPr>
              <w:t>Our Performance—Disability services</w:t>
            </w:r>
            <w:r w:rsidR="005A1C92" w:rsidRPr="00BD77D8">
              <w:rPr>
                <w:webHidden/>
              </w:rPr>
              <w:tab/>
            </w:r>
            <w:r w:rsidR="005A1C92" w:rsidRPr="00BD77D8">
              <w:rPr>
                <w:webHidden/>
              </w:rPr>
              <w:fldChar w:fldCharType="begin"/>
            </w:r>
            <w:r w:rsidR="005A1C92" w:rsidRPr="00BD77D8">
              <w:rPr>
                <w:webHidden/>
              </w:rPr>
              <w:instrText xml:space="preserve"> PAGEREF _Toc113544389 \h </w:instrText>
            </w:r>
            <w:r w:rsidR="005A1C92" w:rsidRPr="00BD77D8">
              <w:rPr>
                <w:webHidden/>
              </w:rPr>
            </w:r>
            <w:r w:rsidR="005A1C92" w:rsidRPr="00BD77D8">
              <w:rPr>
                <w:webHidden/>
              </w:rPr>
              <w:fldChar w:fldCharType="separate"/>
            </w:r>
            <w:r w:rsidR="00B375FA">
              <w:rPr>
                <w:webHidden/>
              </w:rPr>
              <w:t>28</w:t>
            </w:r>
            <w:r w:rsidR="005A1C92" w:rsidRPr="00BD77D8">
              <w:rPr>
                <w:webHidden/>
              </w:rPr>
              <w:fldChar w:fldCharType="end"/>
            </w:r>
          </w:hyperlink>
        </w:p>
        <w:p w14:paraId="54729B04" w14:textId="7278E834" w:rsidR="005A1C92" w:rsidRPr="00BD77D8" w:rsidRDefault="00F56A31">
          <w:pPr>
            <w:pStyle w:val="TOC2"/>
            <w:rPr>
              <w:rFonts w:asciiTheme="minorHAnsi" w:eastAsiaTheme="minorEastAsia" w:hAnsiTheme="minorHAnsi" w:cstheme="minorBidi"/>
            </w:rPr>
          </w:pPr>
          <w:hyperlink w:anchor="_Toc113544390" w:history="1">
            <w:r w:rsidR="005A1C92" w:rsidRPr="00BD77D8">
              <w:rPr>
                <w:rStyle w:val="Hyperlink"/>
                <w:color w:val="auto"/>
              </w:rPr>
              <w:t>Future directions</w:t>
            </w:r>
            <w:r w:rsidR="005A1C92" w:rsidRPr="00BD77D8">
              <w:rPr>
                <w:webHidden/>
              </w:rPr>
              <w:tab/>
            </w:r>
            <w:r w:rsidR="005A1C92" w:rsidRPr="00BD77D8">
              <w:rPr>
                <w:webHidden/>
              </w:rPr>
              <w:fldChar w:fldCharType="begin"/>
            </w:r>
            <w:r w:rsidR="005A1C92" w:rsidRPr="00BD77D8">
              <w:rPr>
                <w:webHidden/>
              </w:rPr>
              <w:instrText xml:space="preserve"> PAGEREF _Toc113544390 \h </w:instrText>
            </w:r>
            <w:r w:rsidR="005A1C92" w:rsidRPr="00BD77D8">
              <w:rPr>
                <w:webHidden/>
              </w:rPr>
            </w:r>
            <w:r w:rsidR="005A1C92" w:rsidRPr="00BD77D8">
              <w:rPr>
                <w:webHidden/>
              </w:rPr>
              <w:fldChar w:fldCharType="separate"/>
            </w:r>
            <w:r w:rsidR="00B375FA">
              <w:rPr>
                <w:webHidden/>
              </w:rPr>
              <w:t>28</w:t>
            </w:r>
            <w:r w:rsidR="005A1C92" w:rsidRPr="00BD77D8">
              <w:rPr>
                <w:webHidden/>
              </w:rPr>
              <w:fldChar w:fldCharType="end"/>
            </w:r>
          </w:hyperlink>
        </w:p>
        <w:p w14:paraId="4BB1DCF7" w14:textId="41868D9B" w:rsidR="005A1C92" w:rsidRPr="00BD77D8" w:rsidRDefault="00F56A31">
          <w:pPr>
            <w:pStyle w:val="TOC1"/>
            <w:rPr>
              <w:rFonts w:asciiTheme="minorHAnsi" w:eastAsiaTheme="minorEastAsia" w:hAnsiTheme="minorHAnsi" w:cstheme="minorBidi"/>
              <w:b w:val="0"/>
              <w:bCs w:val="0"/>
              <w:sz w:val="22"/>
              <w:szCs w:val="22"/>
            </w:rPr>
          </w:pPr>
          <w:hyperlink w:anchor="_Toc113544391" w:history="1">
            <w:r w:rsidR="005A1C92" w:rsidRPr="00BD77D8">
              <w:rPr>
                <w:rStyle w:val="Hyperlink"/>
                <w:color w:val="auto"/>
              </w:rPr>
              <w:t>04 Aboriginal and Torres Strait Islander Partnerships</w:t>
            </w:r>
            <w:r w:rsidR="005A1C92" w:rsidRPr="00BD77D8">
              <w:rPr>
                <w:webHidden/>
              </w:rPr>
              <w:tab/>
            </w:r>
            <w:r w:rsidR="005A1C92" w:rsidRPr="00BD77D8">
              <w:rPr>
                <w:webHidden/>
              </w:rPr>
              <w:fldChar w:fldCharType="begin"/>
            </w:r>
            <w:r w:rsidR="005A1C92" w:rsidRPr="00BD77D8">
              <w:rPr>
                <w:webHidden/>
              </w:rPr>
              <w:instrText xml:space="preserve"> PAGEREF _Toc113544391 \h </w:instrText>
            </w:r>
            <w:r w:rsidR="005A1C92" w:rsidRPr="00BD77D8">
              <w:rPr>
                <w:webHidden/>
              </w:rPr>
            </w:r>
            <w:r w:rsidR="005A1C92" w:rsidRPr="00BD77D8">
              <w:rPr>
                <w:webHidden/>
              </w:rPr>
              <w:fldChar w:fldCharType="separate"/>
            </w:r>
            <w:r w:rsidR="00B375FA">
              <w:rPr>
                <w:webHidden/>
              </w:rPr>
              <w:t>30</w:t>
            </w:r>
            <w:r w:rsidR="005A1C92" w:rsidRPr="00BD77D8">
              <w:rPr>
                <w:webHidden/>
              </w:rPr>
              <w:fldChar w:fldCharType="end"/>
            </w:r>
          </w:hyperlink>
        </w:p>
        <w:p w14:paraId="0176DAE2" w14:textId="4BF232D9" w:rsidR="005A1C92" w:rsidRPr="00BD77D8" w:rsidRDefault="00F56A31">
          <w:pPr>
            <w:pStyle w:val="TOC2"/>
            <w:rPr>
              <w:rFonts w:asciiTheme="minorHAnsi" w:eastAsiaTheme="minorEastAsia" w:hAnsiTheme="minorHAnsi" w:cstheme="minorBidi"/>
            </w:rPr>
          </w:pPr>
          <w:hyperlink w:anchor="_Toc113544392" w:history="1">
            <w:r w:rsidR="005A1C92" w:rsidRPr="00BD77D8">
              <w:rPr>
                <w:rStyle w:val="Hyperlink"/>
                <w:color w:val="auto"/>
              </w:rPr>
              <w:t>Strategic Overview</w:t>
            </w:r>
            <w:r w:rsidR="005A1C92" w:rsidRPr="00BD77D8">
              <w:rPr>
                <w:webHidden/>
              </w:rPr>
              <w:tab/>
            </w:r>
            <w:r w:rsidR="005A1C92" w:rsidRPr="00BD77D8">
              <w:rPr>
                <w:webHidden/>
              </w:rPr>
              <w:fldChar w:fldCharType="begin"/>
            </w:r>
            <w:r w:rsidR="005A1C92" w:rsidRPr="00BD77D8">
              <w:rPr>
                <w:webHidden/>
              </w:rPr>
              <w:instrText xml:space="preserve"> PAGEREF _Toc113544392 \h </w:instrText>
            </w:r>
            <w:r w:rsidR="005A1C92" w:rsidRPr="00BD77D8">
              <w:rPr>
                <w:webHidden/>
              </w:rPr>
            </w:r>
            <w:r w:rsidR="005A1C92" w:rsidRPr="00BD77D8">
              <w:rPr>
                <w:webHidden/>
              </w:rPr>
              <w:fldChar w:fldCharType="separate"/>
            </w:r>
            <w:r w:rsidR="00B375FA">
              <w:rPr>
                <w:webHidden/>
              </w:rPr>
              <w:t>30</w:t>
            </w:r>
            <w:r w:rsidR="005A1C92" w:rsidRPr="00BD77D8">
              <w:rPr>
                <w:webHidden/>
              </w:rPr>
              <w:fldChar w:fldCharType="end"/>
            </w:r>
          </w:hyperlink>
        </w:p>
        <w:p w14:paraId="47B7B9D6" w14:textId="77F33A43" w:rsidR="005A1C92" w:rsidRPr="00BD77D8" w:rsidRDefault="00F56A31">
          <w:pPr>
            <w:pStyle w:val="TOC2"/>
            <w:rPr>
              <w:rFonts w:asciiTheme="minorHAnsi" w:eastAsiaTheme="minorEastAsia" w:hAnsiTheme="minorHAnsi" w:cstheme="minorBidi"/>
            </w:rPr>
          </w:pPr>
          <w:hyperlink w:anchor="_Toc113544393" w:history="1">
            <w:r w:rsidR="005A1C92" w:rsidRPr="00BD77D8">
              <w:rPr>
                <w:rStyle w:val="Hyperlink"/>
                <w:color w:val="auto"/>
              </w:rPr>
              <w:t>Our Performance—Aboriginal and Torres Strait Islander Partnerships, Community Participation</w:t>
            </w:r>
            <w:r w:rsidR="005A1C92" w:rsidRPr="00BD77D8">
              <w:rPr>
                <w:webHidden/>
              </w:rPr>
              <w:tab/>
            </w:r>
            <w:r w:rsidR="005A1C92" w:rsidRPr="00BD77D8">
              <w:rPr>
                <w:webHidden/>
              </w:rPr>
              <w:fldChar w:fldCharType="begin"/>
            </w:r>
            <w:r w:rsidR="005A1C92" w:rsidRPr="00BD77D8">
              <w:rPr>
                <w:webHidden/>
              </w:rPr>
              <w:instrText xml:space="preserve"> PAGEREF _Toc113544393 \h </w:instrText>
            </w:r>
            <w:r w:rsidR="005A1C92" w:rsidRPr="00BD77D8">
              <w:rPr>
                <w:webHidden/>
              </w:rPr>
            </w:r>
            <w:r w:rsidR="005A1C92" w:rsidRPr="00BD77D8">
              <w:rPr>
                <w:webHidden/>
              </w:rPr>
              <w:fldChar w:fldCharType="separate"/>
            </w:r>
            <w:r w:rsidR="00B375FA">
              <w:rPr>
                <w:webHidden/>
              </w:rPr>
              <w:t>44</w:t>
            </w:r>
            <w:r w:rsidR="005A1C92" w:rsidRPr="00BD77D8">
              <w:rPr>
                <w:webHidden/>
              </w:rPr>
              <w:fldChar w:fldCharType="end"/>
            </w:r>
          </w:hyperlink>
        </w:p>
        <w:p w14:paraId="6E612740" w14:textId="60FB1285" w:rsidR="005A1C92" w:rsidRPr="00BD77D8" w:rsidRDefault="00F56A31">
          <w:pPr>
            <w:pStyle w:val="TOC2"/>
            <w:rPr>
              <w:rFonts w:asciiTheme="minorHAnsi" w:eastAsiaTheme="minorEastAsia" w:hAnsiTheme="minorHAnsi" w:cstheme="minorBidi"/>
            </w:rPr>
          </w:pPr>
          <w:hyperlink w:anchor="_Toc113544394" w:history="1">
            <w:r w:rsidR="005A1C92" w:rsidRPr="00BD77D8">
              <w:rPr>
                <w:rStyle w:val="Hyperlink"/>
                <w:color w:val="auto"/>
              </w:rPr>
              <w:t>Our Performance—Aboriginal and Torres Strait Islander Partnerships, Economic Participation</w:t>
            </w:r>
            <w:r w:rsidR="005A1C92" w:rsidRPr="00BD77D8">
              <w:rPr>
                <w:webHidden/>
              </w:rPr>
              <w:tab/>
            </w:r>
            <w:r w:rsidR="005A1C92" w:rsidRPr="00BD77D8">
              <w:rPr>
                <w:webHidden/>
              </w:rPr>
              <w:fldChar w:fldCharType="begin"/>
            </w:r>
            <w:r w:rsidR="005A1C92" w:rsidRPr="00BD77D8">
              <w:rPr>
                <w:webHidden/>
              </w:rPr>
              <w:instrText xml:space="preserve"> PAGEREF _Toc113544394 \h </w:instrText>
            </w:r>
            <w:r w:rsidR="005A1C92" w:rsidRPr="00BD77D8">
              <w:rPr>
                <w:webHidden/>
              </w:rPr>
            </w:r>
            <w:r w:rsidR="005A1C92" w:rsidRPr="00BD77D8">
              <w:rPr>
                <w:webHidden/>
              </w:rPr>
              <w:fldChar w:fldCharType="separate"/>
            </w:r>
            <w:r w:rsidR="00B375FA">
              <w:rPr>
                <w:webHidden/>
              </w:rPr>
              <w:t>44</w:t>
            </w:r>
            <w:r w:rsidR="005A1C92" w:rsidRPr="00BD77D8">
              <w:rPr>
                <w:webHidden/>
              </w:rPr>
              <w:fldChar w:fldCharType="end"/>
            </w:r>
          </w:hyperlink>
        </w:p>
        <w:p w14:paraId="202BA5C2" w14:textId="43A9339C" w:rsidR="005A1C92" w:rsidRPr="00BD77D8" w:rsidRDefault="00F56A31">
          <w:pPr>
            <w:pStyle w:val="TOC2"/>
            <w:rPr>
              <w:rFonts w:asciiTheme="minorHAnsi" w:eastAsiaTheme="minorEastAsia" w:hAnsiTheme="minorHAnsi" w:cstheme="minorBidi"/>
            </w:rPr>
          </w:pPr>
          <w:hyperlink w:anchor="_Toc113544395" w:history="1">
            <w:r w:rsidR="005A1C92" w:rsidRPr="00BD77D8">
              <w:rPr>
                <w:rStyle w:val="Hyperlink"/>
                <w:color w:val="auto"/>
              </w:rPr>
              <w:t>Future directions</w:t>
            </w:r>
            <w:r w:rsidR="005A1C92" w:rsidRPr="00BD77D8">
              <w:rPr>
                <w:webHidden/>
              </w:rPr>
              <w:tab/>
            </w:r>
            <w:r w:rsidR="005A1C92" w:rsidRPr="00BD77D8">
              <w:rPr>
                <w:webHidden/>
              </w:rPr>
              <w:fldChar w:fldCharType="begin"/>
            </w:r>
            <w:r w:rsidR="005A1C92" w:rsidRPr="00BD77D8">
              <w:rPr>
                <w:webHidden/>
              </w:rPr>
              <w:instrText xml:space="preserve"> PAGEREF _Toc113544395 \h </w:instrText>
            </w:r>
            <w:r w:rsidR="005A1C92" w:rsidRPr="00BD77D8">
              <w:rPr>
                <w:webHidden/>
              </w:rPr>
            </w:r>
            <w:r w:rsidR="005A1C92" w:rsidRPr="00BD77D8">
              <w:rPr>
                <w:webHidden/>
              </w:rPr>
              <w:fldChar w:fldCharType="separate"/>
            </w:r>
            <w:r w:rsidR="00B375FA">
              <w:rPr>
                <w:webHidden/>
              </w:rPr>
              <w:t>45</w:t>
            </w:r>
            <w:r w:rsidR="005A1C92" w:rsidRPr="00BD77D8">
              <w:rPr>
                <w:webHidden/>
              </w:rPr>
              <w:fldChar w:fldCharType="end"/>
            </w:r>
          </w:hyperlink>
        </w:p>
        <w:p w14:paraId="4582BF58" w14:textId="6C9410B8" w:rsidR="005A1C92" w:rsidRPr="00BD77D8" w:rsidRDefault="00F56A31">
          <w:pPr>
            <w:pStyle w:val="TOC1"/>
            <w:rPr>
              <w:rFonts w:asciiTheme="minorHAnsi" w:eastAsiaTheme="minorEastAsia" w:hAnsiTheme="minorHAnsi" w:cstheme="minorBidi"/>
              <w:b w:val="0"/>
              <w:bCs w:val="0"/>
              <w:sz w:val="22"/>
              <w:szCs w:val="22"/>
            </w:rPr>
          </w:pPr>
          <w:hyperlink w:anchor="_Toc113544396" w:history="1">
            <w:r w:rsidR="005A1C92" w:rsidRPr="00BD77D8">
              <w:rPr>
                <w:rStyle w:val="Hyperlink"/>
                <w:color w:val="auto"/>
              </w:rPr>
              <w:t>05 Strengthen capability, innovation and governance</w:t>
            </w:r>
            <w:r w:rsidR="005A1C92" w:rsidRPr="00BD77D8">
              <w:rPr>
                <w:webHidden/>
              </w:rPr>
              <w:tab/>
            </w:r>
            <w:r w:rsidR="005A1C92" w:rsidRPr="00BD77D8">
              <w:rPr>
                <w:webHidden/>
              </w:rPr>
              <w:fldChar w:fldCharType="begin"/>
            </w:r>
            <w:r w:rsidR="005A1C92" w:rsidRPr="00BD77D8">
              <w:rPr>
                <w:webHidden/>
              </w:rPr>
              <w:instrText xml:space="preserve"> PAGEREF _Toc113544396 \h </w:instrText>
            </w:r>
            <w:r w:rsidR="005A1C92" w:rsidRPr="00BD77D8">
              <w:rPr>
                <w:webHidden/>
              </w:rPr>
            </w:r>
            <w:r w:rsidR="005A1C92" w:rsidRPr="00BD77D8">
              <w:rPr>
                <w:webHidden/>
              </w:rPr>
              <w:fldChar w:fldCharType="separate"/>
            </w:r>
            <w:r w:rsidR="00B375FA">
              <w:rPr>
                <w:webHidden/>
              </w:rPr>
              <w:t>47</w:t>
            </w:r>
            <w:r w:rsidR="005A1C92" w:rsidRPr="00BD77D8">
              <w:rPr>
                <w:webHidden/>
              </w:rPr>
              <w:fldChar w:fldCharType="end"/>
            </w:r>
          </w:hyperlink>
        </w:p>
        <w:p w14:paraId="43F371D4" w14:textId="7E66B869" w:rsidR="005A1C92" w:rsidRPr="00BD77D8" w:rsidRDefault="00F56A31">
          <w:pPr>
            <w:pStyle w:val="TOC2"/>
            <w:rPr>
              <w:rFonts w:asciiTheme="minorHAnsi" w:eastAsiaTheme="minorEastAsia" w:hAnsiTheme="minorHAnsi" w:cstheme="minorBidi"/>
            </w:rPr>
          </w:pPr>
          <w:hyperlink w:anchor="_Toc113544397" w:history="1">
            <w:r w:rsidR="005A1C92" w:rsidRPr="00BD77D8">
              <w:rPr>
                <w:rStyle w:val="Hyperlink"/>
                <w:color w:val="auto"/>
              </w:rPr>
              <w:t>Our people</w:t>
            </w:r>
            <w:r w:rsidR="005A1C92" w:rsidRPr="00BD77D8">
              <w:rPr>
                <w:webHidden/>
              </w:rPr>
              <w:tab/>
            </w:r>
            <w:r w:rsidR="005A1C92" w:rsidRPr="00BD77D8">
              <w:rPr>
                <w:webHidden/>
              </w:rPr>
              <w:fldChar w:fldCharType="begin"/>
            </w:r>
            <w:r w:rsidR="005A1C92" w:rsidRPr="00BD77D8">
              <w:rPr>
                <w:webHidden/>
              </w:rPr>
              <w:instrText xml:space="preserve"> PAGEREF _Toc113544397 \h </w:instrText>
            </w:r>
            <w:r w:rsidR="005A1C92" w:rsidRPr="00BD77D8">
              <w:rPr>
                <w:webHidden/>
              </w:rPr>
            </w:r>
            <w:r w:rsidR="005A1C92" w:rsidRPr="00BD77D8">
              <w:rPr>
                <w:webHidden/>
              </w:rPr>
              <w:fldChar w:fldCharType="separate"/>
            </w:r>
            <w:r w:rsidR="00B375FA">
              <w:rPr>
                <w:webHidden/>
              </w:rPr>
              <w:t>47</w:t>
            </w:r>
            <w:r w:rsidR="005A1C92" w:rsidRPr="00BD77D8">
              <w:rPr>
                <w:webHidden/>
              </w:rPr>
              <w:fldChar w:fldCharType="end"/>
            </w:r>
          </w:hyperlink>
        </w:p>
        <w:p w14:paraId="6D62AA34" w14:textId="152789B3" w:rsidR="005A1C92" w:rsidRPr="00BD77D8" w:rsidRDefault="00F56A31">
          <w:pPr>
            <w:pStyle w:val="TOC2"/>
            <w:rPr>
              <w:rFonts w:asciiTheme="minorHAnsi" w:eastAsiaTheme="minorEastAsia" w:hAnsiTheme="minorHAnsi" w:cstheme="minorBidi"/>
            </w:rPr>
          </w:pPr>
          <w:hyperlink w:anchor="_Toc113544398" w:history="1">
            <w:r w:rsidR="005A1C92" w:rsidRPr="00BD77D8">
              <w:rPr>
                <w:rStyle w:val="Hyperlink"/>
                <w:color w:val="auto"/>
              </w:rPr>
              <w:t>Code of Conduct and Public Sector Ethics</w:t>
            </w:r>
            <w:r w:rsidR="005A1C92" w:rsidRPr="00BD77D8">
              <w:rPr>
                <w:webHidden/>
              </w:rPr>
              <w:tab/>
            </w:r>
            <w:r w:rsidR="005A1C92" w:rsidRPr="00BD77D8">
              <w:rPr>
                <w:webHidden/>
              </w:rPr>
              <w:fldChar w:fldCharType="begin"/>
            </w:r>
            <w:r w:rsidR="005A1C92" w:rsidRPr="00BD77D8">
              <w:rPr>
                <w:webHidden/>
              </w:rPr>
              <w:instrText xml:space="preserve"> PAGEREF _Toc113544398 \h </w:instrText>
            </w:r>
            <w:r w:rsidR="005A1C92" w:rsidRPr="00BD77D8">
              <w:rPr>
                <w:webHidden/>
              </w:rPr>
            </w:r>
            <w:r w:rsidR="005A1C92" w:rsidRPr="00BD77D8">
              <w:rPr>
                <w:webHidden/>
              </w:rPr>
              <w:fldChar w:fldCharType="separate"/>
            </w:r>
            <w:r w:rsidR="00B375FA">
              <w:rPr>
                <w:webHidden/>
              </w:rPr>
              <w:t>52</w:t>
            </w:r>
            <w:r w:rsidR="005A1C92" w:rsidRPr="00BD77D8">
              <w:rPr>
                <w:webHidden/>
              </w:rPr>
              <w:fldChar w:fldCharType="end"/>
            </w:r>
          </w:hyperlink>
        </w:p>
        <w:p w14:paraId="7D288512" w14:textId="5B5870F9" w:rsidR="005A1C92" w:rsidRPr="00BD77D8" w:rsidRDefault="00F56A31">
          <w:pPr>
            <w:pStyle w:val="TOC2"/>
            <w:rPr>
              <w:rFonts w:asciiTheme="minorHAnsi" w:eastAsiaTheme="minorEastAsia" w:hAnsiTheme="minorHAnsi" w:cstheme="minorBidi"/>
            </w:rPr>
          </w:pPr>
          <w:hyperlink w:anchor="_Toc113544399" w:history="1">
            <w:r w:rsidR="005A1C92" w:rsidRPr="00BD77D8">
              <w:rPr>
                <w:rStyle w:val="Hyperlink"/>
                <w:color w:val="auto"/>
              </w:rPr>
              <w:t>Upholding human rights</w:t>
            </w:r>
            <w:r w:rsidR="005A1C92" w:rsidRPr="00BD77D8">
              <w:rPr>
                <w:webHidden/>
              </w:rPr>
              <w:tab/>
            </w:r>
            <w:r w:rsidR="005A1C92" w:rsidRPr="00BD77D8">
              <w:rPr>
                <w:webHidden/>
              </w:rPr>
              <w:fldChar w:fldCharType="begin"/>
            </w:r>
            <w:r w:rsidR="005A1C92" w:rsidRPr="00BD77D8">
              <w:rPr>
                <w:webHidden/>
              </w:rPr>
              <w:instrText xml:space="preserve"> PAGEREF _Toc113544399 \h </w:instrText>
            </w:r>
            <w:r w:rsidR="005A1C92" w:rsidRPr="00BD77D8">
              <w:rPr>
                <w:webHidden/>
              </w:rPr>
            </w:r>
            <w:r w:rsidR="005A1C92" w:rsidRPr="00BD77D8">
              <w:rPr>
                <w:webHidden/>
              </w:rPr>
              <w:fldChar w:fldCharType="separate"/>
            </w:r>
            <w:r w:rsidR="00B375FA">
              <w:rPr>
                <w:webHidden/>
              </w:rPr>
              <w:t>52</w:t>
            </w:r>
            <w:r w:rsidR="005A1C92" w:rsidRPr="00BD77D8">
              <w:rPr>
                <w:webHidden/>
              </w:rPr>
              <w:fldChar w:fldCharType="end"/>
            </w:r>
          </w:hyperlink>
        </w:p>
        <w:p w14:paraId="1686113B" w14:textId="01264D5D" w:rsidR="005A1C92" w:rsidRPr="00BD77D8" w:rsidRDefault="00F56A31">
          <w:pPr>
            <w:pStyle w:val="TOC2"/>
            <w:rPr>
              <w:rFonts w:asciiTheme="minorHAnsi" w:eastAsiaTheme="minorEastAsia" w:hAnsiTheme="minorHAnsi" w:cstheme="minorBidi"/>
            </w:rPr>
          </w:pPr>
          <w:hyperlink w:anchor="_Toc113544400" w:history="1">
            <w:r w:rsidR="005A1C92" w:rsidRPr="00BD77D8">
              <w:rPr>
                <w:rStyle w:val="Hyperlink"/>
                <w:color w:val="auto"/>
              </w:rPr>
              <w:t>Governance—risk management and accountability</w:t>
            </w:r>
            <w:r w:rsidR="005A1C92" w:rsidRPr="00BD77D8">
              <w:rPr>
                <w:webHidden/>
              </w:rPr>
              <w:tab/>
            </w:r>
            <w:r w:rsidR="005A1C92" w:rsidRPr="00BD77D8">
              <w:rPr>
                <w:webHidden/>
              </w:rPr>
              <w:fldChar w:fldCharType="begin"/>
            </w:r>
            <w:r w:rsidR="005A1C92" w:rsidRPr="00BD77D8">
              <w:rPr>
                <w:webHidden/>
              </w:rPr>
              <w:instrText xml:space="preserve"> PAGEREF _Toc113544400 \h </w:instrText>
            </w:r>
            <w:r w:rsidR="005A1C92" w:rsidRPr="00BD77D8">
              <w:rPr>
                <w:webHidden/>
              </w:rPr>
            </w:r>
            <w:r w:rsidR="005A1C92" w:rsidRPr="00BD77D8">
              <w:rPr>
                <w:webHidden/>
              </w:rPr>
              <w:fldChar w:fldCharType="separate"/>
            </w:r>
            <w:r w:rsidR="00B375FA">
              <w:rPr>
                <w:webHidden/>
              </w:rPr>
              <w:t>55</w:t>
            </w:r>
            <w:r w:rsidR="005A1C92" w:rsidRPr="00BD77D8">
              <w:rPr>
                <w:webHidden/>
              </w:rPr>
              <w:fldChar w:fldCharType="end"/>
            </w:r>
          </w:hyperlink>
        </w:p>
        <w:p w14:paraId="304FCA7E" w14:textId="091B056E" w:rsidR="005A1C92" w:rsidRPr="00BD77D8" w:rsidRDefault="00F56A31">
          <w:pPr>
            <w:pStyle w:val="TOC2"/>
            <w:rPr>
              <w:rFonts w:asciiTheme="minorHAnsi" w:eastAsiaTheme="minorEastAsia" w:hAnsiTheme="minorHAnsi" w:cstheme="minorBidi"/>
            </w:rPr>
          </w:pPr>
          <w:hyperlink w:anchor="_Toc113544401" w:history="1">
            <w:r w:rsidR="005A1C92" w:rsidRPr="00BD77D8">
              <w:rPr>
                <w:rStyle w:val="Hyperlink"/>
                <w:color w:val="auto"/>
              </w:rPr>
              <w:t>Risk management</w:t>
            </w:r>
            <w:r w:rsidR="005A1C92" w:rsidRPr="00BD77D8">
              <w:rPr>
                <w:webHidden/>
              </w:rPr>
              <w:tab/>
            </w:r>
            <w:r w:rsidR="005A1C92" w:rsidRPr="00BD77D8">
              <w:rPr>
                <w:webHidden/>
              </w:rPr>
              <w:fldChar w:fldCharType="begin"/>
            </w:r>
            <w:r w:rsidR="005A1C92" w:rsidRPr="00BD77D8">
              <w:rPr>
                <w:webHidden/>
              </w:rPr>
              <w:instrText xml:space="preserve"> PAGEREF _Toc113544401 \h </w:instrText>
            </w:r>
            <w:r w:rsidR="005A1C92" w:rsidRPr="00BD77D8">
              <w:rPr>
                <w:webHidden/>
              </w:rPr>
            </w:r>
            <w:r w:rsidR="005A1C92" w:rsidRPr="00BD77D8">
              <w:rPr>
                <w:webHidden/>
              </w:rPr>
              <w:fldChar w:fldCharType="separate"/>
            </w:r>
            <w:r w:rsidR="00B375FA">
              <w:rPr>
                <w:webHidden/>
              </w:rPr>
              <w:t>55</w:t>
            </w:r>
            <w:r w:rsidR="005A1C92" w:rsidRPr="00BD77D8">
              <w:rPr>
                <w:webHidden/>
              </w:rPr>
              <w:fldChar w:fldCharType="end"/>
            </w:r>
          </w:hyperlink>
        </w:p>
        <w:p w14:paraId="0018173F" w14:textId="1E65B12E" w:rsidR="005A1C92" w:rsidRPr="00BD77D8" w:rsidRDefault="00F56A31">
          <w:pPr>
            <w:pStyle w:val="TOC2"/>
            <w:rPr>
              <w:rFonts w:asciiTheme="minorHAnsi" w:eastAsiaTheme="minorEastAsia" w:hAnsiTheme="minorHAnsi" w:cstheme="minorBidi"/>
            </w:rPr>
          </w:pPr>
          <w:hyperlink w:anchor="_Toc113544402" w:history="1">
            <w:r w:rsidR="005A1C92" w:rsidRPr="00BD77D8">
              <w:rPr>
                <w:rStyle w:val="Hyperlink"/>
                <w:color w:val="auto"/>
              </w:rPr>
              <w:t>Fraud and corruption control</w:t>
            </w:r>
            <w:r w:rsidR="005A1C92" w:rsidRPr="00BD77D8">
              <w:rPr>
                <w:webHidden/>
              </w:rPr>
              <w:tab/>
            </w:r>
            <w:r w:rsidR="005A1C92" w:rsidRPr="00BD77D8">
              <w:rPr>
                <w:webHidden/>
              </w:rPr>
              <w:fldChar w:fldCharType="begin"/>
            </w:r>
            <w:r w:rsidR="005A1C92" w:rsidRPr="00BD77D8">
              <w:rPr>
                <w:webHidden/>
              </w:rPr>
              <w:instrText xml:space="preserve"> PAGEREF _Toc113544402 \h </w:instrText>
            </w:r>
            <w:r w:rsidR="005A1C92" w:rsidRPr="00BD77D8">
              <w:rPr>
                <w:webHidden/>
              </w:rPr>
            </w:r>
            <w:r w:rsidR="005A1C92" w:rsidRPr="00BD77D8">
              <w:rPr>
                <w:webHidden/>
              </w:rPr>
              <w:fldChar w:fldCharType="separate"/>
            </w:r>
            <w:r w:rsidR="00B375FA">
              <w:rPr>
                <w:webHidden/>
              </w:rPr>
              <w:t>55</w:t>
            </w:r>
            <w:r w:rsidR="005A1C92" w:rsidRPr="00BD77D8">
              <w:rPr>
                <w:webHidden/>
              </w:rPr>
              <w:fldChar w:fldCharType="end"/>
            </w:r>
          </w:hyperlink>
        </w:p>
        <w:p w14:paraId="37408CB3" w14:textId="5C5DDC0E" w:rsidR="005A1C92" w:rsidRPr="00BD77D8" w:rsidRDefault="00F56A31">
          <w:pPr>
            <w:pStyle w:val="TOC2"/>
            <w:rPr>
              <w:rFonts w:asciiTheme="minorHAnsi" w:eastAsiaTheme="minorEastAsia" w:hAnsiTheme="minorHAnsi" w:cstheme="minorBidi"/>
            </w:rPr>
          </w:pPr>
          <w:hyperlink w:anchor="_Toc113544403" w:history="1">
            <w:r w:rsidR="005A1C92" w:rsidRPr="00BD77D8">
              <w:rPr>
                <w:rStyle w:val="Hyperlink"/>
                <w:color w:val="auto"/>
              </w:rPr>
              <w:t>Information systems and recordkeeping</w:t>
            </w:r>
            <w:r w:rsidR="005A1C92" w:rsidRPr="00BD77D8">
              <w:rPr>
                <w:webHidden/>
              </w:rPr>
              <w:tab/>
            </w:r>
            <w:r w:rsidR="005A1C92" w:rsidRPr="00BD77D8">
              <w:rPr>
                <w:webHidden/>
              </w:rPr>
              <w:fldChar w:fldCharType="begin"/>
            </w:r>
            <w:r w:rsidR="005A1C92" w:rsidRPr="00BD77D8">
              <w:rPr>
                <w:webHidden/>
              </w:rPr>
              <w:instrText xml:space="preserve"> PAGEREF _Toc113544403 \h </w:instrText>
            </w:r>
            <w:r w:rsidR="005A1C92" w:rsidRPr="00BD77D8">
              <w:rPr>
                <w:webHidden/>
              </w:rPr>
            </w:r>
            <w:r w:rsidR="005A1C92" w:rsidRPr="00BD77D8">
              <w:rPr>
                <w:webHidden/>
              </w:rPr>
              <w:fldChar w:fldCharType="separate"/>
            </w:r>
            <w:r w:rsidR="00B375FA">
              <w:rPr>
                <w:webHidden/>
              </w:rPr>
              <w:t>56</w:t>
            </w:r>
            <w:r w:rsidR="005A1C92" w:rsidRPr="00BD77D8">
              <w:rPr>
                <w:webHidden/>
              </w:rPr>
              <w:fldChar w:fldCharType="end"/>
            </w:r>
          </w:hyperlink>
        </w:p>
        <w:p w14:paraId="42628D70" w14:textId="1CB37B41" w:rsidR="005A1C92" w:rsidRPr="00BD77D8" w:rsidRDefault="00F56A31">
          <w:pPr>
            <w:pStyle w:val="TOC2"/>
            <w:rPr>
              <w:rFonts w:asciiTheme="minorHAnsi" w:eastAsiaTheme="minorEastAsia" w:hAnsiTheme="minorHAnsi" w:cstheme="minorBidi"/>
            </w:rPr>
          </w:pPr>
          <w:hyperlink w:anchor="_Toc113544404" w:history="1">
            <w:r w:rsidR="005A1C92" w:rsidRPr="00BD77D8">
              <w:rPr>
                <w:rStyle w:val="Hyperlink"/>
                <w:color w:val="auto"/>
              </w:rPr>
              <w:t>Information Security attestation</w:t>
            </w:r>
            <w:r w:rsidR="005A1C92" w:rsidRPr="00BD77D8">
              <w:rPr>
                <w:webHidden/>
              </w:rPr>
              <w:tab/>
            </w:r>
            <w:r w:rsidR="005A1C92" w:rsidRPr="00BD77D8">
              <w:rPr>
                <w:webHidden/>
              </w:rPr>
              <w:fldChar w:fldCharType="begin"/>
            </w:r>
            <w:r w:rsidR="005A1C92" w:rsidRPr="00BD77D8">
              <w:rPr>
                <w:webHidden/>
              </w:rPr>
              <w:instrText xml:space="preserve"> PAGEREF _Toc113544404 \h </w:instrText>
            </w:r>
            <w:r w:rsidR="005A1C92" w:rsidRPr="00BD77D8">
              <w:rPr>
                <w:webHidden/>
              </w:rPr>
            </w:r>
            <w:r w:rsidR="005A1C92" w:rsidRPr="00BD77D8">
              <w:rPr>
                <w:webHidden/>
              </w:rPr>
              <w:fldChar w:fldCharType="separate"/>
            </w:r>
            <w:r w:rsidR="00B375FA">
              <w:rPr>
                <w:webHidden/>
              </w:rPr>
              <w:t>56</w:t>
            </w:r>
            <w:r w:rsidR="005A1C92" w:rsidRPr="00BD77D8">
              <w:rPr>
                <w:webHidden/>
              </w:rPr>
              <w:fldChar w:fldCharType="end"/>
            </w:r>
          </w:hyperlink>
        </w:p>
        <w:p w14:paraId="59D8E411" w14:textId="19EDFF0B" w:rsidR="005A1C92" w:rsidRPr="00BD77D8" w:rsidRDefault="00F56A31">
          <w:pPr>
            <w:pStyle w:val="TOC2"/>
            <w:rPr>
              <w:rFonts w:asciiTheme="minorHAnsi" w:eastAsiaTheme="minorEastAsia" w:hAnsiTheme="minorHAnsi" w:cstheme="minorBidi"/>
            </w:rPr>
          </w:pPr>
          <w:hyperlink w:anchor="_Toc113544405" w:history="1">
            <w:r w:rsidR="005A1C92" w:rsidRPr="00BD77D8">
              <w:rPr>
                <w:rStyle w:val="Hyperlink"/>
                <w:color w:val="auto"/>
              </w:rPr>
              <w:t>Internal Audit</w:t>
            </w:r>
            <w:r w:rsidR="005A1C92" w:rsidRPr="00BD77D8">
              <w:rPr>
                <w:webHidden/>
              </w:rPr>
              <w:tab/>
            </w:r>
            <w:r w:rsidR="005A1C92" w:rsidRPr="00BD77D8">
              <w:rPr>
                <w:webHidden/>
              </w:rPr>
              <w:fldChar w:fldCharType="begin"/>
            </w:r>
            <w:r w:rsidR="005A1C92" w:rsidRPr="00BD77D8">
              <w:rPr>
                <w:webHidden/>
              </w:rPr>
              <w:instrText xml:space="preserve"> PAGEREF _Toc113544405 \h </w:instrText>
            </w:r>
            <w:r w:rsidR="005A1C92" w:rsidRPr="00BD77D8">
              <w:rPr>
                <w:webHidden/>
              </w:rPr>
            </w:r>
            <w:r w:rsidR="005A1C92" w:rsidRPr="00BD77D8">
              <w:rPr>
                <w:webHidden/>
              </w:rPr>
              <w:fldChar w:fldCharType="separate"/>
            </w:r>
            <w:r w:rsidR="00B375FA">
              <w:rPr>
                <w:webHidden/>
              </w:rPr>
              <w:t>56</w:t>
            </w:r>
            <w:r w:rsidR="005A1C92" w:rsidRPr="00BD77D8">
              <w:rPr>
                <w:webHidden/>
              </w:rPr>
              <w:fldChar w:fldCharType="end"/>
            </w:r>
          </w:hyperlink>
        </w:p>
        <w:p w14:paraId="70B24CF8" w14:textId="64326E0A" w:rsidR="005A1C92" w:rsidRPr="00BD77D8" w:rsidRDefault="00F56A31">
          <w:pPr>
            <w:pStyle w:val="TOC2"/>
            <w:rPr>
              <w:rFonts w:asciiTheme="minorHAnsi" w:eastAsiaTheme="minorEastAsia" w:hAnsiTheme="minorHAnsi" w:cstheme="minorBidi"/>
            </w:rPr>
          </w:pPr>
          <w:hyperlink w:anchor="_Toc113544406" w:history="1">
            <w:r w:rsidR="005A1C92" w:rsidRPr="00BD77D8">
              <w:rPr>
                <w:rStyle w:val="Hyperlink"/>
                <w:color w:val="auto"/>
              </w:rPr>
              <w:t>External scrutiny</w:t>
            </w:r>
            <w:r w:rsidR="005A1C92" w:rsidRPr="00BD77D8">
              <w:rPr>
                <w:webHidden/>
              </w:rPr>
              <w:tab/>
            </w:r>
            <w:r w:rsidR="005A1C92" w:rsidRPr="00BD77D8">
              <w:rPr>
                <w:webHidden/>
              </w:rPr>
              <w:fldChar w:fldCharType="begin"/>
            </w:r>
            <w:r w:rsidR="005A1C92" w:rsidRPr="00BD77D8">
              <w:rPr>
                <w:webHidden/>
              </w:rPr>
              <w:instrText xml:space="preserve"> PAGEREF _Toc113544406 \h </w:instrText>
            </w:r>
            <w:r w:rsidR="005A1C92" w:rsidRPr="00BD77D8">
              <w:rPr>
                <w:webHidden/>
              </w:rPr>
            </w:r>
            <w:r w:rsidR="005A1C92" w:rsidRPr="00BD77D8">
              <w:rPr>
                <w:webHidden/>
              </w:rPr>
              <w:fldChar w:fldCharType="separate"/>
            </w:r>
            <w:r w:rsidR="00B375FA">
              <w:rPr>
                <w:webHidden/>
              </w:rPr>
              <w:t>57</w:t>
            </w:r>
            <w:r w:rsidR="005A1C92" w:rsidRPr="00BD77D8">
              <w:rPr>
                <w:webHidden/>
              </w:rPr>
              <w:fldChar w:fldCharType="end"/>
            </w:r>
          </w:hyperlink>
        </w:p>
        <w:p w14:paraId="033FBC69" w14:textId="0B874D8B" w:rsidR="005A1C92" w:rsidRPr="00BD77D8" w:rsidRDefault="00F56A31">
          <w:pPr>
            <w:pStyle w:val="TOC2"/>
            <w:rPr>
              <w:rFonts w:asciiTheme="minorHAnsi" w:eastAsiaTheme="minorEastAsia" w:hAnsiTheme="minorHAnsi" w:cstheme="minorBidi"/>
            </w:rPr>
          </w:pPr>
          <w:hyperlink w:anchor="_Toc113544407" w:history="1">
            <w:r w:rsidR="005A1C92" w:rsidRPr="00BD77D8">
              <w:rPr>
                <w:rStyle w:val="Hyperlink"/>
                <w:color w:val="auto"/>
              </w:rPr>
              <w:t>Open data</w:t>
            </w:r>
            <w:r w:rsidR="005A1C92" w:rsidRPr="00BD77D8">
              <w:rPr>
                <w:webHidden/>
              </w:rPr>
              <w:tab/>
            </w:r>
            <w:r w:rsidR="005A1C92" w:rsidRPr="00BD77D8">
              <w:rPr>
                <w:webHidden/>
              </w:rPr>
              <w:fldChar w:fldCharType="begin"/>
            </w:r>
            <w:r w:rsidR="005A1C92" w:rsidRPr="00BD77D8">
              <w:rPr>
                <w:webHidden/>
              </w:rPr>
              <w:instrText xml:space="preserve"> PAGEREF _Toc113544407 \h </w:instrText>
            </w:r>
            <w:r w:rsidR="005A1C92" w:rsidRPr="00BD77D8">
              <w:rPr>
                <w:webHidden/>
              </w:rPr>
            </w:r>
            <w:r w:rsidR="005A1C92" w:rsidRPr="00BD77D8">
              <w:rPr>
                <w:webHidden/>
              </w:rPr>
              <w:fldChar w:fldCharType="separate"/>
            </w:r>
            <w:r w:rsidR="00B375FA">
              <w:rPr>
                <w:webHidden/>
              </w:rPr>
              <w:t>57</w:t>
            </w:r>
            <w:r w:rsidR="005A1C92" w:rsidRPr="00BD77D8">
              <w:rPr>
                <w:webHidden/>
              </w:rPr>
              <w:fldChar w:fldCharType="end"/>
            </w:r>
          </w:hyperlink>
        </w:p>
        <w:p w14:paraId="3F2BB46D" w14:textId="5559184D" w:rsidR="005A1C92" w:rsidRPr="00BD77D8" w:rsidRDefault="00F56A31">
          <w:pPr>
            <w:pStyle w:val="TOC2"/>
            <w:rPr>
              <w:rFonts w:asciiTheme="minorHAnsi" w:eastAsiaTheme="minorEastAsia" w:hAnsiTheme="minorHAnsi" w:cstheme="minorBidi"/>
            </w:rPr>
          </w:pPr>
          <w:hyperlink w:anchor="_Toc113544408" w:history="1">
            <w:r w:rsidR="005A1C92" w:rsidRPr="00BD77D8">
              <w:rPr>
                <w:rStyle w:val="Hyperlink"/>
                <w:color w:val="auto"/>
              </w:rPr>
              <w:t>Future directions</w:t>
            </w:r>
            <w:r w:rsidR="005A1C92" w:rsidRPr="00BD77D8">
              <w:rPr>
                <w:webHidden/>
              </w:rPr>
              <w:tab/>
            </w:r>
            <w:r w:rsidR="005A1C92" w:rsidRPr="00BD77D8">
              <w:rPr>
                <w:webHidden/>
              </w:rPr>
              <w:fldChar w:fldCharType="begin"/>
            </w:r>
            <w:r w:rsidR="005A1C92" w:rsidRPr="00BD77D8">
              <w:rPr>
                <w:webHidden/>
              </w:rPr>
              <w:instrText xml:space="preserve"> PAGEREF _Toc113544408 \h </w:instrText>
            </w:r>
            <w:r w:rsidR="005A1C92" w:rsidRPr="00BD77D8">
              <w:rPr>
                <w:webHidden/>
              </w:rPr>
            </w:r>
            <w:r w:rsidR="005A1C92" w:rsidRPr="00BD77D8">
              <w:rPr>
                <w:webHidden/>
              </w:rPr>
              <w:fldChar w:fldCharType="separate"/>
            </w:r>
            <w:r w:rsidR="00B375FA">
              <w:rPr>
                <w:webHidden/>
              </w:rPr>
              <w:t>57</w:t>
            </w:r>
            <w:r w:rsidR="005A1C92" w:rsidRPr="00BD77D8">
              <w:rPr>
                <w:webHidden/>
              </w:rPr>
              <w:fldChar w:fldCharType="end"/>
            </w:r>
          </w:hyperlink>
        </w:p>
        <w:p w14:paraId="0AB5A0DB" w14:textId="426317E0" w:rsidR="005A1C92" w:rsidRPr="00BD77D8" w:rsidRDefault="00F56A31">
          <w:pPr>
            <w:pStyle w:val="TOC1"/>
            <w:rPr>
              <w:rFonts w:asciiTheme="minorHAnsi" w:eastAsiaTheme="minorEastAsia" w:hAnsiTheme="minorHAnsi" w:cstheme="minorBidi"/>
              <w:b w:val="0"/>
              <w:bCs w:val="0"/>
              <w:sz w:val="22"/>
              <w:szCs w:val="22"/>
            </w:rPr>
          </w:pPr>
          <w:hyperlink w:anchor="_Toc113544409" w:history="1">
            <w:r w:rsidR="005A1C92" w:rsidRPr="00BD77D8">
              <w:rPr>
                <w:rStyle w:val="Hyperlink"/>
                <w:color w:val="auto"/>
              </w:rPr>
              <w:t>06 Financial performance</w:t>
            </w:r>
            <w:r w:rsidR="005A1C92" w:rsidRPr="00BD77D8">
              <w:rPr>
                <w:webHidden/>
              </w:rPr>
              <w:tab/>
            </w:r>
            <w:r w:rsidR="005A1C92" w:rsidRPr="00BD77D8">
              <w:rPr>
                <w:webHidden/>
              </w:rPr>
              <w:fldChar w:fldCharType="begin"/>
            </w:r>
            <w:r w:rsidR="005A1C92" w:rsidRPr="00BD77D8">
              <w:rPr>
                <w:webHidden/>
              </w:rPr>
              <w:instrText xml:space="preserve"> PAGEREF _Toc113544409 \h </w:instrText>
            </w:r>
            <w:r w:rsidR="005A1C92" w:rsidRPr="00BD77D8">
              <w:rPr>
                <w:webHidden/>
              </w:rPr>
            </w:r>
            <w:r w:rsidR="005A1C92" w:rsidRPr="00BD77D8">
              <w:rPr>
                <w:webHidden/>
              </w:rPr>
              <w:fldChar w:fldCharType="separate"/>
            </w:r>
            <w:r w:rsidR="00B375FA">
              <w:rPr>
                <w:webHidden/>
              </w:rPr>
              <w:t>58</w:t>
            </w:r>
            <w:r w:rsidR="005A1C92" w:rsidRPr="00BD77D8">
              <w:rPr>
                <w:webHidden/>
              </w:rPr>
              <w:fldChar w:fldCharType="end"/>
            </w:r>
          </w:hyperlink>
        </w:p>
        <w:p w14:paraId="74E8A136" w14:textId="4DA2146A" w:rsidR="005A1C92" w:rsidRPr="00BD77D8" w:rsidRDefault="00F56A31">
          <w:pPr>
            <w:pStyle w:val="TOC2"/>
            <w:rPr>
              <w:rFonts w:asciiTheme="minorHAnsi" w:eastAsiaTheme="minorEastAsia" w:hAnsiTheme="minorHAnsi" w:cstheme="minorBidi"/>
            </w:rPr>
          </w:pPr>
          <w:hyperlink w:anchor="_Toc113544410" w:history="1">
            <w:r w:rsidR="005A1C92" w:rsidRPr="00BD77D8">
              <w:rPr>
                <w:rStyle w:val="Hyperlink"/>
                <w:b/>
                <w:color w:val="auto"/>
              </w:rPr>
              <w:t>Chief Finance Officer’s report</w:t>
            </w:r>
            <w:r w:rsidR="005A1C92" w:rsidRPr="00BD77D8">
              <w:rPr>
                <w:webHidden/>
              </w:rPr>
              <w:tab/>
            </w:r>
            <w:r w:rsidR="005A1C92" w:rsidRPr="00BD77D8">
              <w:rPr>
                <w:webHidden/>
              </w:rPr>
              <w:fldChar w:fldCharType="begin"/>
            </w:r>
            <w:r w:rsidR="005A1C92" w:rsidRPr="00BD77D8">
              <w:rPr>
                <w:webHidden/>
              </w:rPr>
              <w:instrText xml:space="preserve"> PAGEREF _Toc113544410 \h </w:instrText>
            </w:r>
            <w:r w:rsidR="005A1C92" w:rsidRPr="00BD77D8">
              <w:rPr>
                <w:webHidden/>
              </w:rPr>
            </w:r>
            <w:r w:rsidR="005A1C92" w:rsidRPr="00BD77D8">
              <w:rPr>
                <w:webHidden/>
              </w:rPr>
              <w:fldChar w:fldCharType="separate"/>
            </w:r>
            <w:r w:rsidR="00B375FA">
              <w:rPr>
                <w:webHidden/>
              </w:rPr>
              <w:t>58</w:t>
            </w:r>
            <w:r w:rsidR="005A1C92" w:rsidRPr="00BD77D8">
              <w:rPr>
                <w:webHidden/>
              </w:rPr>
              <w:fldChar w:fldCharType="end"/>
            </w:r>
          </w:hyperlink>
        </w:p>
        <w:p w14:paraId="1B7D828A" w14:textId="40E2AEBB" w:rsidR="005A1C92" w:rsidRPr="00BD77D8" w:rsidRDefault="00F56A31">
          <w:pPr>
            <w:pStyle w:val="TOC1"/>
            <w:rPr>
              <w:rFonts w:asciiTheme="minorHAnsi" w:eastAsiaTheme="minorEastAsia" w:hAnsiTheme="minorHAnsi" w:cstheme="minorBidi"/>
              <w:b w:val="0"/>
              <w:bCs w:val="0"/>
              <w:sz w:val="22"/>
              <w:szCs w:val="22"/>
            </w:rPr>
          </w:pPr>
          <w:hyperlink w:anchor="_Toc113544411" w:history="1">
            <w:r w:rsidR="005A1C92" w:rsidRPr="00BD77D8">
              <w:rPr>
                <w:rStyle w:val="Hyperlink"/>
                <w:color w:val="auto"/>
              </w:rPr>
              <w:t>07 Appendices</w:t>
            </w:r>
            <w:r w:rsidR="005A1C92" w:rsidRPr="00BD77D8">
              <w:rPr>
                <w:webHidden/>
              </w:rPr>
              <w:tab/>
            </w:r>
            <w:r w:rsidR="005A1C92" w:rsidRPr="00BD77D8">
              <w:rPr>
                <w:webHidden/>
              </w:rPr>
              <w:fldChar w:fldCharType="begin"/>
            </w:r>
            <w:r w:rsidR="005A1C92" w:rsidRPr="00BD77D8">
              <w:rPr>
                <w:webHidden/>
              </w:rPr>
              <w:instrText xml:space="preserve"> PAGEREF _Toc113544411 \h </w:instrText>
            </w:r>
            <w:r w:rsidR="005A1C92" w:rsidRPr="00BD77D8">
              <w:rPr>
                <w:webHidden/>
              </w:rPr>
            </w:r>
            <w:r w:rsidR="005A1C92" w:rsidRPr="00BD77D8">
              <w:rPr>
                <w:webHidden/>
              </w:rPr>
              <w:fldChar w:fldCharType="separate"/>
            </w:r>
            <w:r w:rsidR="00B375FA">
              <w:rPr>
                <w:webHidden/>
              </w:rPr>
              <w:t>60</w:t>
            </w:r>
            <w:r w:rsidR="005A1C92" w:rsidRPr="00BD77D8">
              <w:rPr>
                <w:webHidden/>
              </w:rPr>
              <w:fldChar w:fldCharType="end"/>
            </w:r>
          </w:hyperlink>
        </w:p>
        <w:p w14:paraId="3905AD98" w14:textId="261B7ACC" w:rsidR="005A1C92" w:rsidRPr="00BD77D8" w:rsidRDefault="00F56A31">
          <w:pPr>
            <w:pStyle w:val="TOC2"/>
            <w:rPr>
              <w:rFonts w:asciiTheme="minorHAnsi" w:eastAsiaTheme="minorEastAsia" w:hAnsiTheme="minorHAnsi" w:cstheme="minorBidi"/>
            </w:rPr>
          </w:pPr>
          <w:hyperlink w:anchor="_Toc113544412" w:history="1">
            <w:r w:rsidR="005A1C92" w:rsidRPr="00BD77D8">
              <w:rPr>
                <w:rStyle w:val="Hyperlink"/>
                <w:color w:val="auto"/>
              </w:rPr>
              <w:t>Appendix 1—Glossary</w:t>
            </w:r>
            <w:r w:rsidR="005A1C92" w:rsidRPr="00BD77D8">
              <w:rPr>
                <w:webHidden/>
              </w:rPr>
              <w:tab/>
            </w:r>
            <w:r w:rsidR="005A1C92" w:rsidRPr="00BD77D8">
              <w:rPr>
                <w:webHidden/>
              </w:rPr>
              <w:fldChar w:fldCharType="begin"/>
            </w:r>
            <w:r w:rsidR="005A1C92" w:rsidRPr="00BD77D8">
              <w:rPr>
                <w:webHidden/>
              </w:rPr>
              <w:instrText xml:space="preserve"> PAGEREF _Toc113544412 \h </w:instrText>
            </w:r>
            <w:r w:rsidR="005A1C92" w:rsidRPr="00BD77D8">
              <w:rPr>
                <w:webHidden/>
              </w:rPr>
            </w:r>
            <w:r w:rsidR="005A1C92" w:rsidRPr="00BD77D8">
              <w:rPr>
                <w:webHidden/>
              </w:rPr>
              <w:fldChar w:fldCharType="separate"/>
            </w:r>
            <w:r w:rsidR="00B375FA">
              <w:rPr>
                <w:webHidden/>
              </w:rPr>
              <w:t>61</w:t>
            </w:r>
            <w:r w:rsidR="005A1C92" w:rsidRPr="00BD77D8">
              <w:rPr>
                <w:webHidden/>
              </w:rPr>
              <w:fldChar w:fldCharType="end"/>
            </w:r>
          </w:hyperlink>
        </w:p>
        <w:p w14:paraId="29E1624F" w14:textId="23140C44" w:rsidR="005A1C92" w:rsidRPr="00BD77D8" w:rsidRDefault="00F56A31">
          <w:pPr>
            <w:pStyle w:val="TOC2"/>
            <w:rPr>
              <w:rFonts w:asciiTheme="minorHAnsi" w:eastAsiaTheme="minorEastAsia" w:hAnsiTheme="minorHAnsi" w:cstheme="minorBidi"/>
            </w:rPr>
          </w:pPr>
          <w:hyperlink w:anchor="_Toc113544413" w:history="1">
            <w:r w:rsidR="005A1C92" w:rsidRPr="00BD77D8">
              <w:rPr>
                <w:rStyle w:val="Hyperlink"/>
                <w:color w:val="auto"/>
              </w:rPr>
              <w:t>Appendix 2—Our legislation</w:t>
            </w:r>
            <w:r w:rsidR="005A1C92" w:rsidRPr="00BD77D8">
              <w:rPr>
                <w:webHidden/>
              </w:rPr>
              <w:tab/>
            </w:r>
            <w:r w:rsidR="005A1C92" w:rsidRPr="00BD77D8">
              <w:rPr>
                <w:webHidden/>
              </w:rPr>
              <w:fldChar w:fldCharType="begin"/>
            </w:r>
            <w:r w:rsidR="005A1C92" w:rsidRPr="00BD77D8">
              <w:rPr>
                <w:webHidden/>
              </w:rPr>
              <w:instrText xml:space="preserve"> PAGEREF _Toc113544413 \h </w:instrText>
            </w:r>
            <w:r w:rsidR="005A1C92" w:rsidRPr="00BD77D8">
              <w:rPr>
                <w:webHidden/>
              </w:rPr>
            </w:r>
            <w:r w:rsidR="005A1C92" w:rsidRPr="00BD77D8">
              <w:rPr>
                <w:webHidden/>
              </w:rPr>
              <w:fldChar w:fldCharType="separate"/>
            </w:r>
            <w:r w:rsidR="00B375FA">
              <w:rPr>
                <w:webHidden/>
              </w:rPr>
              <w:t>65</w:t>
            </w:r>
            <w:r w:rsidR="005A1C92" w:rsidRPr="00BD77D8">
              <w:rPr>
                <w:webHidden/>
              </w:rPr>
              <w:fldChar w:fldCharType="end"/>
            </w:r>
          </w:hyperlink>
        </w:p>
        <w:p w14:paraId="46852C1E" w14:textId="278A8BB5" w:rsidR="005A1C92" w:rsidRPr="00BD77D8" w:rsidRDefault="00F56A31">
          <w:pPr>
            <w:pStyle w:val="TOC2"/>
            <w:rPr>
              <w:rFonts w:asciiTheme="minorHAnsi" w:eastAsiaTheme="minorEastAsia" w:hAnsiTheme="minorHAnsi" w:cstheme="minorBidi"/>
            </w:rPr>
          </w:pPr>
          <w:hyperlink w:anchor="_Toc113544414" w:history="1">
            <w:r w:rsidR="005A1C92" w:rsidRPr="00BD77D8">
              <w:rPr>
                <w:rStyle w:val="Hyperlink"/>
                <w:color w:val="auto"/>
              </w:rPr>
              <w:t>Appendix 3—Department boards and committees</w:t>
            </w:r>
            <w:r w:rsidR="005A1C92" w:rsidRPr="00BD77D8">
              <w:rPr>
                <w:webHidden/>
              </w:rPr>
              <w:tab/>
            </w:r>
            <w:r w:rsidR="005A1C92" w:rsidRPr="00BD77D8">
              <w:rPr>
                <w:webHidden/>
              </w:rPr>
              <w:fldChar w:fldCharType="begin"/>
            </w:r>
            <w:r w:rsidR="005A1C92" w:rsidRPr="00BD77D8">
              <w:rPr>
                <w:webHidden/>
              </w:rPr>
              <w:instrText xml:space="preserve"> PAGEREF _Toc113544414 \h </w:instrText>
            </w:r>
            <w:r w:rsidR="005A1C92" w:rsidRPr="00BD77D8">
              <w:rPr>
                <w:webHidden/>
              </w:rPr>
            </w:r>
            <w:r w:rsidR="005A1C92" w:rsidRPr="00BD77D8">
              <w:rPr>
                <w:webHidden/>
              </w:rPr>
              <w:fldChar w:fldCharType="separate"/>
            </w:r>
            <w:r w:rsidR="00B375FA">
              <w:rPr>
                <w:webHidden/>
              </w:rPr>
              <w:t>67</w:t>
            </w:r>
            <w:r w:rsidR="005A1C92" w:rsidRPr="00BD77D8">
              <w:rPr>
                <w:webHidden/>
              </w:rPr>
              <w:fldChar w:fldCharType="end"/>
            </w:r>
          </w:hyperlink>
        </w:p>
        <w:p w14:paraId="7DFA564F" w14:textId="6E5ECF69" w:rsidR="005A1C92" w:rsidRPr="00BD77D8" w:rsidRDefault="00F56A31">
          <w:pPr>
            <w:pStyle w:val="TOC2"/>
            <w:rPr>
              <w:rFonts w:asciiTheme="minorHAnsi" w:eastAsiaTheme="minorEastAsia" w:hAnsiTheme="minorHAnsi" w:cstheme="minorBidi"/>
            </w:rPr>
          </w:pPr>
          <w:hyperlink w:anchor="_Toc113544415" w:history="1">
            <w:r w:rsidR="005A1C92" w:rsidRPr="00BD77D8">
              <w:rPr>
                <w:rStyle w:val="Hyperlink"/>
                <w:color w:val="auto"/>
              </w:rPr>
              <w:t>Appendix 4—Government bodies (statutory bodies and other entities)</w:t>
            </w:r>
            <w:r w:rsidR="005A1C92" w:rsidRPr="00BD77D8">
              <w:rPr>
                <w:webHidden/>
              </w:rPr>
              <w:tab/>
            </w:r>
            <w:r w:rsidR="005A1C92" w:rsidRPr="00BD77D8">
              <w:rPr>
                <w:webHidden/>
              </w:rPr>
              <w:fldChar w:fldCharType="begin"/>
            </w:r>
            <w:r w:rsidR="005A1C92" w:rsidRPr="00BD77D8">
              <w:rPr>
                <w:webHidden/>
              </w:rPr>
              <w:instrText xml:space="preserve"> PAGEREF _Toc113544415 \h </w:instrText>
            </w:r>
            <w:r w:rsidR="005A1C92" w:rsidRPr="00BD77D8">
              <w:rPr>
                <w:webHidden/>
              </w:rPr>
            </w:r>
            <w:r w:rsidR="005A1C92" w:rsidRPr="00BD77D8">
              <w:rPr>
                <w:webHidden/>
              </w:rPr>
              <w:fldChar w:fldCharType="separate"/>
            </w:r>
            <w:r w:rsidR="00B375FA">
              <w:rPr>
                <w:webHidden/>
              </w:rPr>
              <w:t>72</w:t>
            </w:r>
            <w:r w:rsidR="005A1C92" w:rsidRPr="00BD77D8">
              <w:rPr>
                <w:webHidden/>
              </w:rPr>
              <w:fldChar w:fldCharType="end"/>
            </w:r>
          </w:hyperlink>
        </w:p>
        <w:p w14:paraId="07CE059F" w14:textId="4CEA66CA" w:rsidR="005A1C92" w:rsidRPr="00BD77D8" w:rsidRDefault="00F56A31">
          <w:pPr>
            <w:pStyle w:val="TOC2"/>
            <w:rPr>
              <w:rFonts w:asciiTheme="minorHAnsi" w:eastAsiaTheme="minorEastAsia" w:hAnsiTheme="minorHAnsi" w:cstheme="minorBidi"/>
            </w:rPr>
          </w:pPr>
          <w:hyperlink w:anchor="_Toc113544416" w:history="1">
            <w:r w:rsidR="005A1C92" w:rsidRPr="00BD77D8">
              <w:rPr>
                <w:rStyle w:val="Hyperlink"/>
                <w:color w:val="auto"/>
              </w:rPr>
              <w:t>Appendix 5—Master Plan information</w:t>
            </w:r>
            <w:r w:rsidR="005A1C92" w:rsidRPr="00BD77D8">
              <w:rPr>
                <w:webHidden/>
              </w:rPr>
              <w:tab/>
            </w:r>
            <w:r w:rsidR="005A1C92" w:rsidRPr="00BD77D8">
              <w:rPr>
                <w:webHidden/>
              </w:rPr>
              <w:fldChar w:fldCharType="begin"/>
            </w:r>
            <w:r w:rsidR="005A1C92" w:rsidRPr="00BD77D8">
              <w:rPr>
                <w:webHidden/>
              </w:rPr>
              <w:instrText xml:space="preserve"> PAGEREF _Toc113544416 \h </w:instrText>
            </w:r>
            <w:r w:rsidR="005A1C92" w:rsidRPr="00BD77D8">
              <w:rPr>
                <w:webHidden/>
              </w:rPr>
            </w:r>
            <w:r w:rsidR="005A1C92" w:rsidRPr="00BD77D8">
              <w:rPr>
                <w:webHidden/>
              </w:rPr>
              <w:fldChar w:fldCharType="separate"/>
            </w:r>
            <w:r w:rsidR="00B375FA">
              <w:rPr>
                <w:webHidden/>
              </w:rPr>
              <w:t>81</w:t>
            </w:r>
            <w:r w:rsidR="005A1C92" w:rsidRPr="00BD77D8">
              <w:rPr>
                <w:webHidden/>
              </w:rPr>
              <w:fldChar w:fldCharType="end"/>
            </w:r>
          </w:hyperlink>
        </w:p>
        <w:p w14:paraId="05BA4E0D" w14:textId="6E71F5B1" w:rsidR="005A1C92" w:rsidRPr="00BD77D8" w:rsidRDefault="00F56A31">
          <w:pPr>
            <w:pStyle w:val="TOC2"/>
            <w:rPr>
              <w:rFonts w:asciiTheme="minorHAnsi" w:eastAsiaTheme="minorEastAsia" w:hAnsiTheme="minorHAnsi" w:cstheme="minorBidi"/>
            </w:rPr>
          </w:pPr>
          <w:hyperlink w:anchor="_Toc113544417" w:history="1">
            <w:r w:rsidR="005A1C92" w:rsidRPr="00BD77D8">
              <w:rPr>
                <w:rStyle w:val="Hyperlink"/>
                <w:color w:val="auto"/>
              </w:rPr>
              <w:t>Appendix 6—Financial Statements</w:t>
            </w:r>
            <w:r w:rsidR="005A1C92" w:rsidRPr="00BD77D8">
              <w:rPr>
                <w:webHidden/>
              </w:rPr>
              <w:tab/>
            </w:r>
            <w:r w:rsidR="005A1C92" w:rsidRPr="00BD77D8">
              <w:rPr>
                <w:webHidden/>
              </w:rPr>
              <w:fldChar w:fldCharType="begin"/>
            </w:r>
            <w:r w:rsidR="005A1C92" w:rsidRPr="00BD77D8">
              <w:rPr>
                <w:webHidden/>
              </w:rPr>
              <w:instrText xml:space="preserve"> PAGEREF _Toc113544417 \h </w:instrText>
            </w:r>
            <w:r w:rsidR="005A1C92" w:rsidRPr="00BD77D8">
              <w:rPr>
                <w:webHidden/>
              </w:rPr>
            </w:r>
            <w:r w:rsidR="005A1C92" w:rsidRPr="00BD77D8">
              <w:rPr>
                <w:webHidden/>
              </w:rPr>
              <w:fldChar w:fldCharType="separate"/>
            </w:r>
            <w:r w:rsidR="00B375FA">
              <w:rPr>
                <w:webHidden/>
              </w:rPr>
              <w:t>83</w:t>
            </w:r>
            <w:r w:rsidR="005A1C92" w:rsidRPr="00BD77D8">
              <w:rPr>
                <w:webHidden/>
              </w:rPr>
              <w:fldChar w:fldCharType="end"/>
            </w:r>
          </w:hyperlink>
        </w:p>
        <w:p w14:paraId="5750FF6B" w14:textId="78D4678A" w:rsidR="005A1C92" w:rsidRPr="00BD77D8" w:rsidRDefault="00F56A31">
          <w:pPr>
            <w:pStyle w:val="TOC1"/>
            <w:rPr>
              <w:rFonts w:asciiTheme="minorHAnsi" w:eastAsiaTheme="minorEastAsia" w:hAnsiTheme="minorHAnsi" w:cstheme="minorBidi"/>
              <w:b w:val="0"/>
              <w:bCs w:val="0"/>
              <w:sz w:val="22"/>
              <w:szCs w:val="22"/>
            </w:rPr>
          </w:pPr>
          <w:hyperlink w:anchor="_Toc113544418" w:history="1">
            <w:r w:rsidR="005A1C92" w:rsidRPr="00BD77D8">
              <w:rPr>
                <w:rStyle w:val="Hyperlink"/>
                <w:color w:val="auto"/>
              </w:rPr>
              <w:t>08 Compliance Checklist</w:t>
            </w:r>
            <w:r w:rsidR="005A1C92" w:rsidRPr="00BD77D8">
              <w:rPr>
                <w:webHidden/>
              </w:rPr>
              <w:tab/>
            </w:r>
            <w:r w:rsidR="005A1C92" w:rsidRPr="00BD77D8">
              <w:rPr>
                <w:webHidden/>
              </w:rPr>
              <w:fldChar w:fldCharType="begin"/>
            </w:r>
            <w:r w:rsidR="005A1C92" w:rsidRPr="00BD77D8">
              <w:rPr>
                <w:webHidden/>
              </w:rPr>
              <w:instrText xml:space="preserve"> PAGEREF _Toc113544418 \h </w:instrText>
            </w:r>
            <w:r w:rsidR="005A1C92" w:rsidRPr="00BD77D8">
              <w:rPr>
                <w:webHidden/>
              </w:rPr>
            </w:r>
            <w:r w:rsidR="005A1C92" w:rsidRPr="00BD77D8">
              <w:rPr>
                <w:webHidden/>
              </w:rPr>
              <w:fldChar w:fldCharType="separate"/>
            </w:r>
            <w:r w:rsidR="00B375FA">
              <w:rPr>
                <w:webHidden/>
              </w:rPr>
              <w:t>132</w:t>
            </w:r>
            <w:r w:rsidR="005A1C92" w:rsidRPr="00BD77D8">
              <w:rPr>
                <w:webHidden/>
              </w:rPr>
              <w:fldChar w:fldCharType="end"/>
            </w:r>
          </w:hyperlink>
        </w:p>
        <w:p w14:paraId="3F833D3D" w14:textId="23D9FC66" w:rsidR="004C3EEA" w:rsidRPr="00BD77D8" w:rsidRDefault="00957641" w:rsidP="00E615B4">
          <w:r w:rsidRPr="00BD77D8">
            <w:rPr>
              <w:rFonts w:eastAsia="Calibri"/>
              <w:b/>
              <w:bCs/>
              <w:sz w:val="24"/>
              <w:szCs w:val="24"/>
            </w:rPr>
            <w:fldChar w:fldCharType="end"/>
          </w:r>
        </w:p>
      </w:sdtContent>
    </w:sdt>
    <w:p w14:paraId="712CC8C6" w14:textId="7613770C" w:rsidR="00591BB9" w:rsidRPr="00BD77D8" w:rsidRDefault="00591BB9">
      <w:pPr>
        <w:spacing w:after="0" w:line="240" w:lineRule="auto"/>
        <w:rPr>
          <w:b/>
        </w:rPr>
      </w:pPr>
      <w:r w:rsidRPr="00BD77D8">
        <w:rPr>
          <w:b/>
        </w:rPr>
        <w:br w:type="page"/>
      </w:r>
    </w:p>
    <w:p w14:paraId="24CBD24A" w14:textId="24C1F243" w:rsidR="00340AE6" w:rsidRPr="00BD77D8" w:rsidRDefault="00A049AD" w:rsidP="008735CC">
      <w:pPr>
        <w:pStyle w:val="Heading1"/>
        <w:rPr>
          <w:b/>
          <w:color w:val="auto"/>
          <w:sz w:val="20"/>
          <w:szCs w:val="20"/>
        </w:rPr>
      </w:pPr>
      <w:bookmarkStart w:id="9" w:name="_Toc81308563"/>
      <w:bookmarkStart w:id="10" w:name="_Toc113544365"/>
      <w:r w:rsidRPr="00BD77D8">
        <w:rPr>
          <w:color w:val="auto"/>
        </w:rPr>
        <w:lastRenderedPageBreak/>
        <w:t>Acknowledgement</w:t>
      </w:r>
      <w:bookmarkEnd w:id="9"/>
      <w:bookmarkEnd w:id="10"/>
      <w:r w:rsidRPr="00BD77D8">
        <w:rPr>
          <w:color w:val="auto"/>
        </w:rPr>
        <w:t xml:space="preserve"> </w:t>
      </w:r>
    </w:p>
    <w:p w14:paraId="57CA8F32" w14:textId="7E1FFFA9" w:rsidR="005F24E6" w:rsidRPr="00BD77D8" w:rsidRDefault="005F24E6" w:rsidP="00A049AD">
      <w:r w:rsidRPr="00BD77D8">
        <w:t xml:space="preserve">We pay our respects to the Aboriginal </w:t>
      </w:r>
      <w:r w:rsidR="004C7FBB" w:rsidRPr="00BD77D8">
        <w:t xml:space="preserve">peoples </w:t>
      </w:r>
      <w:r w:rsidRPr="00BD77D8">
        <w:t xml:space="preserve">and Torres Strait Islander peoples of this land, </w:t>
      </w:r>
      <w:r w:rsidR="00B04B7C" w:rsidRPr="00BD77D8">
        <w:t>their ancestors</w:t>
      </w:r>
      <w:r w:rsidRPr="00BD77D8">
        <w:t xml:space="preserve"> and their legacy. The foundations laid by these ancestors</w:t>
      </w:r>
      <w:r w:rsidR="00EF77CB" w:rsidRPr="00BD77D8">
        <w:t>—the First Australians—</w:t>
      </w:r>
      <w:r w:rsidRPr="00BD77D8">
        <w:t>give strength, inspiration and courage to current and future generations towards creating a better Queensland.</w:t>
      </w:r>
    </w:p>
    <w:p w14:paraId="227CE742" w14:textId="77777777" w:rsidR="005F24E6" w:rsidRPr="00BD77D8" w:rsidRDefault="005F24E6" w:rsidP="00A049AD">
      <w:r w:rsidRPr="00BD77D8">
        <w:t>We recognise it is our collective efforts and responsibility as individuals, communities and governments to ensure equality, recognition and advancement of Aboriginal and Torres Strait Islander Queenslanders across all aspects of society and everyday life.</w:t>
      </w:r>
    </w:p>
    <w:p w14:paraId="756CB35B" w14:textId="03DDDA0A" w:rsidR="005F24E6" w:rsidRPr="00BD77D8" w:rsidRDefault="009C1ED7" w:rsidP="00A049AD">
      <w:r w:rsidRPr="00BD77D8">
        <w:t>We are committed to working with, representing, advocating for</w:t>
      </w:r>
      <w:r w:rsidR="00845008" w:rsidRPr="00BD77D8">
        <w:t>,</w:t>
      </w:r>
      <w:r w:rsidRPr="00BD77D8">
        <w:t xml:space="preserve"> and promoting the needs of Aboriginal and Torres S</w:t>
      </w:r>
      <w:r w:rsidR="005F24E6" w:rsidRPr="00BD77D8">
        <w:t>trait Islander Queenslanders with unwavering determination, passion and persistence.</w:t>
      </w:r>
    </w:p>
    <w:p w14:paraId="64340397" w14:textId="77777777" w:rsidR="005F24E6" w:rsidRPr="00BD77D8" w:rsidRDefault="005F24E6" w:rsidP="00A049AD">
      <w:r w:rsidRPr="00BD77D8">
        <w:t>As we reflect on the past and give hope for the future, we walk together on our shared journey of reconciliation where all Queenslanders are equal and the diversity of Aboriginal and Torres Strait Islander cultures and communities across Queensland are fully recognised, respected and valued by all Queenslanders.</w:t>
      </w:r>
    </w:p>
    <w:p w14:paraId="3EC81C73" w14:textId="509322B1" w:rsidR="0052202E" w:rsidRPr="00BD77D8" w:rsidRDefault="0052202E" w:rsidP="00A049AD">
      <w:r w:rsidRPr="00BD77D8">
        <w:br w:type="page"/>
      </w:r>
    </w:p>
    <w:p w14:paraId="0D0E7600" w14:textId="77777777" w:rsidR="00AB1573" w:rsidRPr="00BD77D8" w:rsidRDefault="00AB1573" w:rsidP="00845008">
      <w:pPr>
        <w:pStyle w:val="Heading1"/>
        <w:rPr>
          <w:color w:val="auto"/>
        </w:rPr>
      </w:pPr>
      <w:bookmarkStart w:id="11" w:name="_Toc78287322"/>
      <w:bookmarkStart w:id="12" w:name="_Toc78355729"/>
      <w:bookmarkStart w:id="13" w:name="_Toc113544366"/>
      <w:bookmarkStart w:id="14" w:name="_Hlk79147902"/>
      <w:bookmarkStart w:id="15" w:name="_Hlk79147701"/>
      <w:bookmarkStart w:id="16" w:name="_Hlk56669281"/>
      <w:bookmarkEnd w:id="7"/>
      <w:r w:rsidRPr="00BD77D8">
        <w:rPr>
          <w:color w:val="auto"/>
        </w:rPr>
        <w:lastRenderedPageBreak/>
        <w:t>Message from the Director-General</w:t>
      </w:r>
      <w:bookmarkEnd w:id="11"/>
      <w:bookmarkEnd w:id="12"/>
      <w:bookmarkEnd w:id="13"/>
      <w:r w:rsidR="008805BB" w:rsidRPr="00BD77D8">
        <w:rPr>
          <w:color w:val="auto"/>
        </w:rPr>
        <w:t xml:space="preserve"> </w:t>
      </w:r>
    </w:p>
    <w:p w14:paraId="62D7BB28" w14:textId="15AE665F" w:rsidR="000A11D1" w:rsidRPr="00BD77D8" w:rsidRDefault="00A60890" w:rsidP="0041619F">
      <w:pPr>
        <w:spacing w:before="600"/>
        <w:rPr>
          <w:b/>
          <w:bCs/>
        </w:rPr>
      </w:pPr>
      <w:bookmarkStart w:id="17" w:name="_Hlk77147024"/>
      <w:r w:rsidRPr="00BD77D8">
        <w:rPr>
          <w:i/>
          <w:iCs/>
        </w:rPr>
        <w:t xml:space="preserve">I would like to pay </w:t>
      </w:r>
      <w:r w:rsidR="00591BB9" w:rsidRPr="00BD77D8">
        <w:rPr>
          <w:i/>
          <w:iCs/>
        </w:rPr>
        <w:t>my</w:t>
      </w:r>
      <w:r w:rsidRPr="00BD77D8">
        <w:rPr>
          <w:i/>
          <w:iCs/>
        </w:rPr>
        <w:t xml:space="preserve"> respects to the Aboriginal and Torres Strait Islander ancestors of this land</w:t>
      </w:r>
      <w:r w:rsidR="00CE6F1C" w:rsidRPr="00BD77D8">
        <w:rPr>
          <w:i/>
          <w:iCs/>
        </w:rPr>
        <w:t xml:space="preserve"> </w:t>
      </w:r>
      <w:r w:rsidRPr="00BD77D8">
        <w:rPr>
          <w:i/>
          <w:iCs/>
        </w:rPr>
        <w:t xml:space="preserve">and their legacy. Our </w:t>
      </w:r>
      <w:r w:rsidR="008E3CD4" w:rsidRPr="00BD77D8">
        <w:rPr>
          <w:i/>
          <w:iCs/>
        </w:rPr>
        <w:t xml:space="preserve">Aboriginal </w:t>
      </w:r>
      <w:r w:rsidR="004C7FBB" w:rsidRPr="00BD77D8">
        <w:rPr>
          <w:i/>
          <w:iCs/>
        </w:rPr>
        <w:t xml:space="preserve">peoples </w:t>
      </w:r>
      <w:r w:rsidR="008E3CD4" w:rsidRPr="00BD77D8">
        <w:rPr>
          <w:i/>
          <w:iCs/>
        </w:rPr>
        <w:t xml:space="preserve">and Torres Strait Islander </w:t>
      </w:r>
      <w:r w:rsidRPr="00BD77D8">
        <w:rPr>
          <w:i/>
          <w:iCs/>
        </w:rPr>
        <w:t>people</w:t>
      </w:r>
      <w:r w:rsidR="00F201F6" w:rsidRPr="00BD77D8">
        <w:rPr>
          <w:i/>
          <w:iCs/>
        </w:rPr>
        <w:t xml:space="preserve">s </w:t>
      </w:r>
      <w:r w:rsidRPr="00BD77D8">
        <w:rPr>
          <w:i/>
          <w:iCs/>
        </w:rPr>
        <w:t>give</w:t>
      </w:r>
      <w:r w:rsidR="00591BB9" w:rsidRPr="00BD77D8">
        <w:rPr>
          <w:i/>
          <w:iCs/>
        </w:rPr>
        <w:t xml:space="preserve"> us the</w:t>
      </w:r>
      <w:r w:rsidRPr="00BD77D8">
        <w:rPr>
          <w:i/>
          <w:iCs/>
        </w:rPr>
        <w:t xml:space="preserve"> strength, inspiration and courage towards creating an inclusive Queensland where people of all ages, abilities and cultures can thrive</w:t>
      </w:r>
      <w:r w:rsidRPr="00BD77D8">
        <w:t>.</w:t>
      </w:r>
      <w:r w:rsidR="000A11D1" w:rsidRPr="00BD77D8">
        <w:t xml:space="preserve"> </w:t>
      </w:r>
    </w:p>
    <w:p w14:paraId="5EA819BA" w14:textId="69989B7F" w:rsidR="004059D0" w:rsidRPr="00BD77D8" w:rsidRDefault="009851C7" w:rsidP="0041619F">
      <w:pPr>
        <w:spacing w:before="600"/>
      </w:pPr>
      <w:r w:rsidRPr="00BD77D8">
        <w:t xml:space="preserve">The 2021-2022 period has been a year that has tested the resilience of our Queensland communities with </w:t>
      </w:r>
      <w:r w:rsidR="00A60B29" w:rsidRPr="00BD77D8">
        <w:t>consecutive</w:t>
      </w:r>
      <w:r w:rsidRPr="00BD77D8">
        <w:t xml:space="preserve"> flooding to many areas of the state, ongoing COVID-19 impacts and upheavals of global forces that have brought financial and supply pressures into our daily lives. But through it all</w:t>
      </w:r>
      <w:r w:rsidR="007E1B9F" w:rsidRPr="00BD77D8">
        <w:t>, the</w:t>
      </w:r>
      <w:r w:rsidRPr="00BD77D8">
        <w:t xml:space="preserve"> capacity for rebuilding </w:t>
      </w:r>
      <w:r w:rsidR="009E36CD" w:rsidRPr="00BD77D8">
        <w:t>impact</w:t>
      </w:r>
      <w:r w:rsidRPr="00BD77D8">
        <w:t>ed lives</w:t>
      </w:r>
      <w:r w:rsidR="00683FFE" w:rsidRPr="00BD77D8">
        <w:t>,</w:t>
      </w:r>
      <w:r w:rsidRPr="00BD77D8">
        <w:t xml:space="preserve"> with </w:t>
      </w:r>
      <w:r w:rsidR="007E1B9F" w:rsidRPr="00BD77D8">
        <w:t>the demonstration of strong partnership</w:t>
      </w:r>
      <w:r w:rsidR="00A77220" w:rsidRPr="00BD77D8">
        <w:t xml:space="preserve">s with </w:t>
      </w:r>
      <w:r w:rsidR="007E1B9F" w:rsidRPr="00BD77D8">
        <w:t>government</w:t>
      </w:r>
      <w:r w:rsidR="00A77220" w:rsidRPr="00BD77D8">
        <w:t xml:space="preserve"> and</w:t>
      </w:r>
      <w:r w:rsidR="007E1B9F" w:rsidRPr="00BD77D8">
        <w:t xml:space="preserve"> non-government agencies</w:t>
      </w:r>
      <w:r w:rsidR="00683FFE" w:rsidRPr="00BD77D8">
        <w:t xml:space="preserve"> and</w:t>
      </w:r>
      <w:r w:rsidR="007E1B9F" w:rsidRPr="00BD77D8">
        <w:t xml:space="preserve"> with local community </w:t>
      </w:r>
      <w:r w:rsidR="00A77220" w:rsidRPr="00BD77D8">
        <w:t xml:space="preserve">leaders and </w:t>
      </w:r>
      <w:r w:rsidR="007E1B9F" w:rsidRPr="00BD77D8">
        <w:t>resources</w:t>
      </w:r>
      <w:r w:rsidR="00683FFE" w:rsidRPr="00BD77D8">
        <w:t>,</w:t>
      </w:r>
      <w:r w:rsidRPr="00BD77D8">
        <w:t xml:space="preserve"> </w:t>
      </w:r>
      <w:r w:rsidR="00E54407" w:rsidRPr="00BD77D8">
        <w:t>ha</w:t>
      </w:r>
      <w:r w:rsidR="00845008" w:rsidRPr="00BD77D8">
        <w:t>s</w:t>
      </w:r>
      <w:r w:rsidRPr="00BD77D8">
        <w:t xml:space="preserve"> shone through. I am proud of the many ways my department has contributed and supported the government</w:t>
      </w:r>
      <w:r w:rsidR="00683FFE" w:rsidRPr="00BD77D8">
        <w:t>’s</w:t>
      </w:r>
      <w:r w:rsidRPr="00BD77D8">
        <w:t xml:space="preserve"> efforts </w:t>
      </w:r>
      <w:r w:rsidR="00E54407" w:rsidRPr="00BD77D8">
        <w:t>in recovering and rebuilding, to</w:t>
      </w:r>
      <w:r w:rsidRPr="00BD77D8">
        <w:t xml:space="preserve"> ensure a brighter future for all Queenslanders. </w:t>
      </w:r>
    </w:p>
    <w:p w14:paraId="3BB66240" w14:textId="38868122" w:rsidR="005F036C" w:rsidRPr="00BD77D8" w:rsidRDefault="005F036C" w:rsidP="005F036C">
      <w:r w:rsidRPr="00BD77D8">
        <w:t>I am proud to report that the Department of Seniors, Disability Services and Aboriginal and Torres Strait Islander Partnerships’ work during 2021-</w:t>
      </w:r>
      <w:r w:rsidR="003D100F" w:rsidRPr="00BD77D8">
        <w:t>20</w:t>
      </w:r>
      <w:r w:rsidRPr="00BD77D8">
        <w:t>22 made great strides towards the creation of an equitable, respectful, supportive and inclusive society.</w:t>
      </w:r>
    </w:p>
    <w:p w14:paraId="69E9CCCC" w14:textId="4154D9C9" w:rsidR="005F036C" w:rsidRPr="00BD77D8" w:rsidRDefault="005F036C" w:rsidP="005F036C">
      <w:r w:rsidRPr="00BD77D8">
        <w:t>In achieving tangible outcomes for Queensland, my staff and I were proud to increase the engagement of</w:t>
      </w:r>
      <w:r w:rsidR="00A77220" w:rsidRPr="00BD77D8">
        <w:t>,</w:t>
      </w:r>
      <w:r w:rsidRPr="00BD77D8">
        <w:t xml:space="preserve"> and collaboration with seniors, people with disability, Aboriginal </w:t>
      </w:r>
      <w:r w:rsidR="003D100F" w:rsidRPr="00BD77D8">
        <w:t xml:space="preserve">peoples </w:t>
      </w:r>
      <w:r w:rsidRPr="00BD77D8">
        <w:t>and Torres Strait Islander peoples, and a range of community and government organisations.</w:t>
      </w:r>
      <w:r w:rsidR="00DC23DC" w:rsidRPr="00BD77D8">
        <w:t xml:space="preserve"> </w:t>
      </w:r>
      <w:r w:rsidRPr="00BD77D8">
        <w:t>Our focus was improving opportunities for the social, economic and cultural participation of all Queenslanders, ensuring we can all contribute to</w:t>
      </w:r>
      <w:r w:rsidR="00A77220" w:rsidRPr="00BD77D8">
        <w:t>,</w:t>
      </w:r>
      <w:r w:rsidRPr="00BD77D8">
        <w:t xml:space="preserve"> and benefit from</w:t>
      </w:r>
      <w:r w:rsidR="00A77220" w:rsidRPr="00BD77D8">
        <w:t>,</w:t>
      </w:r>
      <w:r w:rsidRPr="00BD77D8">
        <w:t xml:space="preserve"> the </w:t>
      </w:r>
      <w:r w:rsidR="00A77220" w:rsidRPr="00BD77D8">
        <w:t>s</w:t>
      </w:r>
      <w:r w:rsidRPr="00BD77D8">
        <w:t>tate’s ongoing economic recovery.</w:t>
      </w:r>
    </w:p>
    <w:p w14:paraId="67F7398E" w14:textId="3AC1C825" w:rsidR="005F036C" w:rsidRPr="00BD77D8" w:rsidRDefault="005F036C" w:rsidP="005F036C">
      <w:r w:rsidRPr="00BD77D8">
        <w:t>This was our first full year with three distinct portfolios ‘under one roof’</w:t>
      </w:r>
      <w:r w:rsidR="00683FFE" w:rsidRPr="00BD77D8">
        <w:t>;</w:t>
      </w:r>
      <w:r w:rsidRPr="00BD77D8">
        <w:t xml:space="preserve"> a structure which enhances our </w:t>
      </w:r>
      <w:r w:rsidR="00F508C3" w:rsidRPr="00BD77D8">
        <w:t>vision</w:t>
      </w:r>
      <w:r w:rsidRPr="00BD77D8">
        <w:t xml:space="preserve"> to create an inclusive community that embraces people of all ages, abilities, languages, and cultures.</w:t>
      </w:r>
      <w:r w:rsidR="00DC23DC" w:rsidRPr="00BD77D8">
        <w:t xml:space="preserve"> </w:t>
      </w:r>
      <w:r w:rsidRPr="00BD77D8">
        <w:t xml:space="preserve">We did this by improving access to </w:t>
      </w:r>
      <w:r w:rsidR="00F201F6" w:rsidRPr="00BD77D8">
        <w:t>g</w:t>
      </w:r>
      <w:r w:rsidRPr="00BD77D8">
        <w:t>overnment services, empowering the community to lead decision-making and program design, and partnering with Queenslanders to influence social and economic outcomes.</w:t>
      </w:r>
    </w:p>
    <w:p w14:paraId="1B8660FF" w14:textId="6201743B" w:rsidR="005F036C" w:rsidRPr="00BD77D8" w:rsidRDefault="005F036C" w:rsidP="005F036C">
      <w:r w:rsidRPr="00BD77D8">
        <w:t>Seniors were engaged in shaping a more inclusive, respectful community in which they can safely enjoy productive, socially connected and healthier lives</w:t>
      </w:r>
      <w:r w:rsidR="00A77220" w:rsidRPr="00BD77D8">
        <w:t xml:space="preserve">. This was </w:t>
      </w:r>
      <w:r w:rsidRPr="00BD77D8">
        <w:t xml:space="preserve">enshrined in the Queensland Seniors Strategy which </w:t>
      </w:r>
      <w:r w:rsidR="00A77220" w:rsidRPr="00BD77D8">
        <w:t>commenced</w:t>
      </w:r>
      <w:r w:rsidRPr="00BD77D8">
        <w:t xml:space="preserve"> during the year.</w:t>
      </w:r>
    </w:p>
    <w:p w14:paraId="4EA8BE0C" w14:textId="731A1D98" w:rsidR="005F036C" w:rsidRPr="00BD77D8" w:rsidRDefault="005F036C" w:rsidP="005F036C">
      <w:r w:rsidRPr="00BD77D8">
        <w:t xml:space="preserve">Similarly, the </w:t>
      </w:r>
      <w:r w:rsidR="00F201F6" w:rsidRPr="00BD77D8">
        <w:t>d</w:t>
      </w:r>
      <w:r w:rsidRPr="00BD77D8">
        <w:t>epartment engaged Queenslanders with disability, their families, and their carers to ensure their views were at the forefront of decision-making at all levels of government.</w:t>
      </w:r>
      <w:r w:rsidR="00DC23DC" w:rsidRPr="00BD77D8">
        <w:t xml:space="preserve"> </w:t>
      </w:r>
      <w:r w:rsidRPr="00BD77D8">
        <w:t xml:space="preserve">The </w:t>
      </w:r>
      <w:r w:rsidR="00683FFE" w:rsidRPr="00BD77D8">
        <w:t>d</w:t>
      </w:r>
      <w:r w:rsidRPr="00BD77D8">
        <w:t>epartment partnered with the Queenslanders with Disability Network to proactively support people who are often hard to reach and experience multiple layers of disadvantage.</w:t>
      </w:r>
    </w:p>
    <w:p w14:paraId="363AB285" w14:textId="6CD4DC9D" w:rsidR="005F036C" w:rsidRPr="00BD77D8" w:rsidRDefault="005F036C" w:rsidP="005F036C">
      <w:r w:rsidRPr="00BD77D8">
        <w:t>The effectiveness of this community-led approach was evident as we co-developed the Closing the Gap implementation plan, prioritising programs and services identified by Aboriginal and Torres Strait Islander communities.</w:t>
      </w:r>
      <w:r w:rsidR="00DC23DC" w:rsidRPr="00BD77D8">
        <w:t xml:space="preserve"> </w:t>
      </w:r>
      <w:r w:rsidRPr="00BD77D8">
        <w:t>This work will continue in coming years</w:t>
      </w:r>
      <w:r w:rsidR="00A77220" w:rsidRPr="00BD77D8">
        <w:t>,</w:t>
      </w:r>
      <w:r w:rsidRPr="00BD77D8">
        <w:t xml:space="preserve"> hand-in-hand with facilitating truth-telling, establishing a state-based Indigenous Voice model, developing a new Reconciliation Action Plan, and walking the Path to Treaty.</w:t>
      </w:r>
    </w:p>
    <w:p w14:paraId="17043912" w14:textId="77777777" w:rsidR="005F036C" w:rsidRPr="00BD77D8" w:rsidRDefault="005F036C" w:rsidP="00841AAF">
      <w:pPr>
        <w:spacing w:after="1320"/>
      </w:pPr>
      <w:r w:rsidRPr="00BD77D8">
        <w:t>Across our portfolios, Queensland now stands at an historic crossroads. The coming year will no doubt afford many exciting opportunities.</w:t>
      </w:r>
    </w:p>
    <w:bookmarkEnd w:id="14"/>
    <w:bookmarkEnd w:id="17"/>
    <w:p w14:paraId="0675CD17" w14:textId="2FAF45DB" w:rsidR="0030140D" w:rsidRPr="00BD77D8" w:rsidRDefault="0030140D" w:rsidP="006F3F53">
      <w:r w:rsidRPr="00BD77D8">
        <w:lastRenderedPageBreak/>
        <w:t>I am exceptionally proud of all our key achievements as presented in this 2021-2022 Annual Report. I extend my thanks and appreciation to all staff, partners and community members who have come together, at times under difficult and stressful circumstances, to keep the focus on making the lives of seniors, people with disability, Aboriginal peoples and Torres Strait Islander peoples more inclusive and more engaged than ever before. In doing so, we are leading cultural change to ensure the benefits of living in Queensland are shared by all.</w:t>
      </w:r>
    </w:p>
    <w:p w14:paraId="642D2068" w14:textId="78564D07" w:rsidR="006F3F53" w:rsidRPr="00BD77D8" w:rsidRDefault="008068FA" w:rsidP="00841AAF">
      <w:pPr>
        <w:spacing w:before="360"/>
      </w:pPr>
      <w:r w:rsidRPr="00BD77D8">
        <w:rPr>
          <w:noProof/>
        </w:rPr>
        <w:drawing>
          <wp:inline distT="0" distB="0" distL="0" distR="0" wp14:anchorId="21D60FDD" wp14:editId="15FC3300">
            <wp:extent cx="1423283" cy="954436"/>
            <wp:effectExtent l="0" t="0" r="5715" b="0"/>
            <wp:docPr id="12" name="Picture 12" descr="Signature of Dr Chris Sarra, Director-General, Department of Seniors, Disability Services and Aboriginal and Torres Strait Islander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ature of Dr Chris Sarra, Director-General, Department of Seniors, Disability Services and Aboriginal and Torres Strait Islander Partnerships"/>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1438268" cy="964484"/>
                    </a:xfrm>
                    <a:prstGeom prst="rect">
                      <a:avLst/>
                    </a:prstGeom>
                  </pic:spPr>
                </pic:pic>
              </a:graphicData>
            </a:graphic>
          </wp:inline>
        </w:drawing>
      </w:r>
    </w:p>
    <w:p w14:paraId="2151B34E" w14:textId="77777777" w:rsidR="006F3F53" w:rsidRPr="00BD77D8" w:rsidRDefault="000C2525" w:rsidP="00841AAF">
      <w:pPr>
        <w:spacing w:before="360" w:after="0" w:line="240" w:lineRule="auto"/>
        <w:rPr>
          <w:lang w:eastAsia="en-US"/>
        </w:rPr>
      </w:pPr>
      <w:r w:rsidRPr="00BD77D8">
        <w:rPr>
          <w:lang w:eastAsia="en-US"/>
        </w:rPr>
        <w:t>Dr Chris Sarra</w:t>
      </w:r>
      <w:r w:rsidR="008667B4" w:rsidRPr="00BD77D8">
        <w:rPr>
          <w:lang w:eastAsia="en-US"/>
        </w:rPr>
        <w:br/>
      </w:r>
      <w:r w:rsidRPr="00BD77D8">
        <w:rPr>
          <w:b/>
          <w:bCs/>
          <w:lang w:eastAsia="en-US"/>
        </w:rPr>
        <w:t>Director-General</w:t>
      </w:r>
      <w:r w:rsidR="00213218" w:rsidRPr="00BD77D8">
        <w:rPr>
          <w:lang w:eastAsia="en-US"/>
        </w:rPr>
        <w:t xml:space="preserve"> </w:t>
      </w:r>
      <w:r w:rsidR="008667B4" w:rsidRPr="00BD77D8">
        <w:rPr>
          <w:lang w:eastAsia="en-US"/>
        </w:rPr>
        <w:br/>
      </w:r>
      <w:r w:rsidR="00213218" w:rsidRPr="00BD77D8">
        <w:rPr>
          <w:lang w:eastAsia="en-US"/>
        </w:rPr>
        <w:t xml:space="preserve">Department of </w:t>
      </w:r>
      <w:r w:rsidR="006D3745" w:rsidRPr="00BD77D8">
        <w:rPr>
          <w:lang w:eastAsia="en-US"/>
        </w:rPr>
        <w:t xml:space="preserve">Seniors, Disability Services and </w:t>
      </w:r>
    </w:p>
    <w:p w14:paraId="09DBA93D" w14:textId="5D2CF8CD" w:rsidR="00F94CBB" w:rsidRPr="00BD77D8" w:rsidRDefault="00213218" w:rsidP="006F3F53">
      <w:pPr>
        <w:spacing w:after="0" w:line="240" w:lineRule="auto"/>
        <w:rPr>
          <w:lang w:eastAsia="en-US"/>
        </w:rPr>
      </w:pPr>
      <w:r w:rsidRPr="00BD77D8">
        <w:rPr>
          <w:lang w:eastAsia="en-US"/>
        </w:rPr>
        <w:t>Aboriginal and Torres Strait Islander Partnerships</w:t>
      </w:r>
    </w:p>
    <w:bookmarkEnd w:id="15"/>
    <w:bookmarkEnd w:id="16"/>
    <w:p w14:paraId="5609BA04" w14:textId="76B4A651" w:rsidR="006F3F53" w:rsidRPr="00BD77D8" w:rsidRDefault="006F3F53">
      <w:pPr>
        <w:spacing w:after="0" w:line="240" w:lineRule="auto"/>
        <w:rPr>
          <w:lang w:eastAsia="en-US"/>
        </w:rPr>
      </w:pPr>
      <w:r w:rsidRPr="00BD77D8">
        <w:rPr>
          <w:lang w:eastAsia="en-US"/>
        </w:rPr>
        <w:br w:type="page"/>
      </w:r>
    </w:p>
    <w:p w14:paraId="5FB699A4" w14:textId="52BC2B21" w:rsidR="0052202E" w:rsidRPr="00BD77D8" w:rsidRDefault="00392640" w:rsidP="00F834ED">
      <w:pPr>
        <w:pStyle w:val="Heading1"/>
        <w:rPr>
          <w:rFonts w:eastAsia="Calibri"/>
          <w:color w:val="auto"/>
        </w:rPr>
      </w:pPr>
      <w:bookmarkStart w:id="18" w:name="_Toc43444695"/>
      <w:bookmarkStart w:id="19" w:name="_Toc78287323"/>
      <w:bookmarkStart w:id="20" w:name="_Toc78355730"/>
      <w:bookmarkStart w:id="21" w:name="_Toc113544367"/>
      <w:r w:rsidRPr="00BD77D8">
        <w:rPr>
          <w:rFonts w:eastAsia="Calibri"/>
          <w:color w:val="auto"/>
        </w:rPr>
        <w:lastRenderedPageBreak/>
        <w:t xml:space="preserve">01 </w:t>
      </w:r>
      <w:r w:rsidR="0052202E" w:rsidRPr="00BD77D8">
        <w:rPr>
          <w:rFonts w:eastAsia="Calibri"/>
          <w:color w:val="auto"/>
        </w:rPr>
        <w:t xml:space="preserve">About </w:t>
      </w:r>
      <w:bookmarkEnd w:id="18"/>
      <w:r w:rsidR="00DF2B65" w:rsidRPr="00BD77D8">
        <w:rPr>
          <w:rFonts w:eastAsia="Calibri"/>
          <w:color w:val="auto"/>
        </w:rPr>
        <w:t>us</w:t>
      </w:r>
      <w:bookmarkEnd w:id="19"/>
      <w:bookmarkEnd w:id="20"/>
      <w:bookmarkEnd w:id="21"/>
    </w:p>
    <w:p w14:paraId="75C1AB2F" w14:textId="65746520" w:rsidR="00B7032D" w:rsidRPr="00BD77D8" w:rsidRDefault="00B7032D" w:rsidP="00392640">
      <w:pPr>
        <w:pStyle w:val="Heading2"/>
        <w:rPr>
          <w:color w:val="auto"/>
        </w:rPr>
      </w:pPr>
      <w:bookmarkStart w:id="22" w:name="_Toc43444696"/>
      <w:bookmarkStart w:id="23" w:name="_Toc78287325"/>
      <w:bookmarkStart w:id="24" w:name="_Toc78355732"/>
      <w:bookmarkStart w:id="25" w:name="_Toc113544368"/>
      <w:r w:rsidRPr="00BD77D8">
        <w:rPr>
          <w:color w:val="auto"/>
        </w:rPr>
        <w:t>Our vision</w:t>
      </w:r>
      <w:bookmarkEnd w:id="22"/>
      <w:bookmarkEnd w:id="23"/>
      <w:bookmarkEnd w:id="24"/>
      <w:bookmarkEnd w:id="25"/>
    </w:p>
    <w:p w14:paraId="4C67917F" w14:textId="28D56A8D" w:rsidR="00C43052" w:rsidRPr="00BD77D8" w:rsidRDefault="00C43052" w:rsidP="00C43052">
      <w:bookmarkStart w:id="26" w:name="_Toc43444697"/>
      <w:bookmarkStart w:id="27" w:name="_Toc78287326"/>
      <w:bookmarkStart w:id="28" w:name="_Toc78355733"/>
      <w:r w:rsidRPr="00BD77D8">
        <w:t>Work together with seniors, people with disability, and Aboriginal and Torres Strait Islander communities so they can thrive culturally, socially and economically.</w:t>
      </w:r>
    </w:p>
    <w:p w14:paraId="712D0D81" w14:textId="432DBAE4" w:rsidR="00B7032D" w:rsidRPr="00BD77D8" w:rsidRDefault="00B7032D" w:rsidP="00392640">
      <w:pPr>
        <w:pStyle w:val="Heading2"/>
        <w:rPr>
          <w:color w:val="auto"/>
        </w:rPr>
      </w:pPr>
      <w:bookmarkStart w:id="29" w:name="_Toc113544369"/>
      <w:r w:rsidRPr="00BD77D8">
        <w:rPr>
          <w:color w:val="auto"/>
        </w:rPr>
        <w:t>Our purpose</w:t>
      </w:r>
      <w:bookmarkEnd w:id="26"/>
      <w:bookmarkEnd w:id="27"/>
      <w:bookmarkEnd w:id="28"/>
      <w:bookmarkEnd w:id="29"/>
    </w:p>
    <w:p w14:paraId="686C0333" w14:textId="2D74F8BD" w:rsidR="00A410B3" w:rsidRPr="00BD77D8" w:rsidRDefault="00C43052" w:rsidP="008667B4">
      <w:r w:rsidRPr="00BD77D8">
        <w:t>To promote respect for human rights and freedoms, enhance access to services and supports, and lead changes to improve the lives of seniors, carers, people with disability and Aboriginal and Torres Strait Islander Queenslanders.</w:t>
      </w:r>
    </w:p>
    <w:p w14:paraId="12C3A6C1" w14:textId="77777777" w:rsidR="00E17363" w:rsidRPr="00BD77D8" w:rsidRDefault="00E17363" w:rsidP="00392640">
      <w:pPr>
        <w:pStyle w:val="Heading2"/>
        <w:rPr>
          <w:color w:val="auto"/>
        </w:rPr>
      </w:pPr>
      <w:bookmarkStart w:id="30" w:name="_Toc78287327"/>
      <w:bookmarkStart w:id="31" w:name="_Toc78355734"/>
      <w:bookmarkStart w:id="32" w:name="_Toc113544370"/>
      <w:r w:rsidRPr="00BD77D8">
        <w:rPr>
          <w:color w:val="auto"/>
        </w:rPr>
        <w:t>Our partners</w:t>
      </w:r>
      <w:bookmarkEnd w:id="30"/>
      <w:bookmarkEnd w:id="31"/>
      <w:bookmarkEnd w:id="32"/>
    </w:p>
    <w:p w14:paraId="11C9D9B9" w14:textId="654E5FB5" w:rsidR="00C43052" w:rsidRPr="00BD77D8" w:rsidRDefault="00C43052" w:rsidP="00A463E0">
      <w:pPr>
        <w:pStyle w:val="ListBullet"/>
        <w:numPr>
          <w:ilvl w:val="0"/>
          <w:numId w:val="32"/>
        </w:numPr>
        <w:rPr>
          <w:rFonts w:eastAsia="Calibri"/>
        </w:rPr>
      </w:pPr>
      <w:bookmarkStart w:id="33" w:name="_Toc78287328"/>
      <w:bookmarkStart w:id="34" w:name="_Toc78355735"/>
      <w:r w:rsidRPr="00BD77D8">
        <w:rPr>
          <w:rFonts w:eastAsia="Calibri"/>
        </w:rPr>
        <w:t>Seniors, people with disability and carers throughout Queensland</w:t>
      </w:r>
    </w:p>
    <w:p w14:paraId="07B25A57" w14:textId="3463AA2D" w:rsidR="00C43052" w:rsidRPr="00BD77D8" w:rsidRDefault="00C43052" w:rsidP="00A463E0">
      <w:pPr>
        <w:pStyle w:val="ListBullet"/>
        <w:numPr>
          <w:ilvl w:val="0"/>
          <w:numId w:val="32"/>
        </w:numPr>
        <w:rPr>
          <w:rFonts w:eastAsia="Calibri"/>
        </w:rPr>
      </w:pPr>
      <w:r w:rsidRPr="00BD77D8">
        <w:rPr>
          <w:rFonts w:eastAsia="Calibri"/>
        </w:rPr>
        <w:t>Aboriginal and Torres Strait Islander Queenslanders living in urban, regional, rural and remote communities</w:t>
      </w:r>
    </w:p>
    <w:p w14:paraId="60405DB2" w14:textId="67C6A69F" w:rsidR="00C43052" w:rsidRPr="00BD77D8" w:rsidRDefault="00C43052" w:rsidP="00A463E0">
      <w:pPr>
        <w:pStyle w:val="ListBullet"/>
        <w:numPr>
          <w:ilvl w:val="0"/>
          <w:numId w:val="32"/>
        </w:numPr>
        <w:rPr>
          <w:rFonts w:eastAsia="Calibri"/>
        </w:rPr>
      </w:pPr>
      <w:r w:rsidRPr="00BD77D8">
        <w:rPr>
          <w:rFonts w:eastAsia="Calibri"/>
        </w:rPr>
        <w:t>Funded seniors and disability service providers</w:t>
      </w:r>
    </w:p>
    <w:p w14:paraId="2057684E" w14:textId="6C3154FD" w:rsidR="00C43052" w:rsidRPr="00BD77D8" w:rsidRDefault="00C43052" w:rsidP="00A463E0">
      <w:pPr>
        <w:pStyle w:val="ListBullet"/>
        <w:numPr>
          <w:ilvl w:val="0"/>
          <w:numId w:val="32"/>
        </w:numPr>
        <w:rPr>
          <w:rFonts w:eastAsia="Calibri"/>
        </w:rPr>
      </w:pPr>
      <w:r w:rsidRPr="00BD77D8">
        <w:rPr>
          <w:rFonts w:eastAsia="Calibri"/>
        </w:rPr>
        <w:t>Companies, industry, government and non-government organisations, advisory councils and peak bodies across economic, disability, seniors and community sectors</w:t>
      </w:r>
    </w:p>
    <w:p w14:paraId="252AA69C" w14:textId="10149972" w:rsidR="00C43052" w:rsidRPr="00BD77D8" w:rsidRDefault="00C43052" w:rsidP="00A463E0">
      <w:pPr>
        <w:pStyle w:val="ListBullet"/>
        <w:numPr>
          <w:ilvl w:val="0"/>
          <w:numId w:val="32"/>
        </w:numPr>
        <w:rPr>
          <w:rFonts w:eastAsia="Calibri"/>
        </w:rPr>
      </w:pPr>
      <w:r w:rsidRPr="00BD77D8">
        <w:rPr>
          <w:rFonts w:eastAsia="Calibri"/>
        </w:rPr>
        <w:t>Commonwealth, Queensland and Local Governments, and other State and Territory Governments.</w:t>
      </w:r>
    </w:p>
    <w:p w14:paraId="5DAAB85C" w14:textId="746B2A5D" w:rsidR="00FF36F0" w:rsidRPr="00BD77D8" w:rsidRDefault="00FF36F0" w:rsidP="00392640">
      <w:pPr>
        <w:pStyle w:val="Heading2"/>
        <w:rPr>
          <w:color w:val="auto"/>
          <w:sz w:val="20"/>
          <w:szCs w:val="20"/>
        </w:rPr>
      </w:pPr>
      <w:bookmarkStart w:id="35" w:name="_Toc113544371"/>
      <w:r w:rsidRPr="00BD77D8">
        <w:rPr>
          <w:color w:val="auto"/>
        </w:rPr>
        <w:t>Our SOLID culture</w:t>
      </w:r>
      <w:bookmarkEnd w:id="33"/>
      <w:bookmarkEnd w:id="34"/>
      <w:bookmarkEnd w:id="35"/>
      <w:r w:rsidR="00F75218" w:rsidRPr="00BD77D8">
        <w:rPr>
          <w:color w:val="auto"/>
        </w:rPr>
        <w:t xml:space="preserve"> </w:t>
      </w:r>
    </w:p>
    <w:p w14:paraId="5DB4AB03" w14:textId="580F8A67" w:rsidR="00FF36F0" w:rsidRPr="00BD77D8" w:rsidRDefault="00107309" w:rsidP="008667B4">
      <w:pPr>
        <w:rPr>
          <w:rFonts w:eastAsia="Calibri"/>
          <w:lang w:eastAsia="en-US"/>
        </w:rPr>
      </w:pPr>
      <w:r w:rsidRPr="00BD77D8">
        <w:rPr>
          <w:rFonts w:eastAsia="Calibri"/>
          <w:lang w:eastAsia="en-US"/>
        </w:rPr>
        <w:t>Our SOLID culture exemplifies who we are, what we do, why we do it, and the value we add.</w:t>
      </w:r>
    </w:p>
    <w:p w14:paraId="673D6E41" w14:textId="70C03316" w:rsidR="008667B4" w:rsidRPr="00BD77D8" w:rsidRDefault="008667B4" w:rsidP="00F83B1C">
      <w:pPr>
        <w:pStyle w:val="ListBullet"/>
        <w:numPr>
          <w:ilvl w:val="0"/>
          <w:numId w:val="33"/>
        </w:numPr>
        <w:rPr>
          <w:rFonts w:eastAsia="Calibri"/>
        </w:rPr>
      </w:pPr>
      <w:r w:rsidRPr="00BD77D8">
        <w:rPr>
          <w:rFonts w:eastAsia="Calibri"/>
          <w:b/>
          <w:bCs/>
          <w:sz w:val="22"/>
          <w:szCs w:val="22"/>
        </w:rPr>
        <w:t>S</w:t>
      </w:r>
      <w:r w:rsidRPr="00BD77D8">
        <w:rPr>
          <w:rFonts w:eastAsia="Calibri"/>
        </w:rPr>
        <w:t>trengths</w:t>
      </w:r>
      <w:r w:rsidR="00F3057B" w:rsidRPr="00BD77D8">
        <w:rPr>
          <w:lang w:val="en"/>
        </w:rPr>
        <w:t>-</w:t>
      </w:r>
      <w:r w:rsidRPr="00BD77D8">
        <w:rPr>
          <w:rFonts w:eastAsia="Calibri"/>
        </w:rPr>
        <w:t>based</w:t>
      </w:r>
      <w:r w:rsidR="00F3057B" w:rsidRPr="00BD77D8">
        <w:rPr>
          <w:lang w:val="en"/>
        </w:rPr>
        <w:t>—</w:t>
      </w:r>
      <w:r w:rsidR="00B7017E" w:rsidRPr="00BD77D8">
        <w:rPr>
          <w:rFonts w:eastAsia="Calibri"/>
        </w:rPr>
        <w:t>we value the strengths in each other and recognise that we can grow professionally and achieve more as a team by working together and leveraging these strengths</w:t>
      </w:r>
    </w:p>
    <w:p w14:paraId="4435BD45" w14:textId="020C2522" w:rsidR="00B7017E" w:rsidRPr="00BD77D8" w:rsidRDefault="008667B4" w:rsidP="00B7017E">
      <w:pPr>
        <w:pStyle w:val="ListBullet"/>
        <w:numPr>
          <w:ilvl w:val="0"/>
          <w:numId w:val="33"/>
        </w:numPr>
        <w:rPr>
          <w:rFonts w:eastAsia="Calibri"/>
        </w:rPr>
      </w:pPr>
      <w:r w:rsidRPr="00BD77D8">
        <w:rPr>
          <w:rFonts w:eastAsia="Calibri"/>
          <w:b/>
          <w:bCs/>
          <w:sz w:val="22"/>
          <w:szCs w:val="22"/>
        </w:rPr>
        <w:t>O</w:t>
      </w:r>
      <w:r w:rsidRPr="00BD77D8">
        <w:rPr>
          <w:rFonts w:eastAsia="Calibri"/>
        </w:rPr>
        <w:t>pen</w:t>
      </w:r>
      <w:bookmarkStart w:id="36" w:name="_Hlk115255402"/>
      <w:r w:rsidR="00F201F6" w:rsidRPr="00BD77D8">
        <w:rPr>
          <w:lang w:val="en"/>
        </w:rPr>
        <w:t>—</w:t>
      </w:r>
      <w:bookmarkEnd w:id="36"/>
      <w:r w:rsidR="00B7017E" w:rsidRPr="00BD77D8">
        <w:rPr>
          <w:rFonts w:eastAsia="Calibri"/>
        </w:rPr>
        <w:t xml:space="preserve">we value honest and respectful communication that recognises the whole person and builds </w:t>
      </w:r>
    </w:p>
    <w:p w14:paraId="20553C70" w14:textId="4ECD33FE" w:rsidR="008667B4" w:rsidRPr="00BD77D8" w:rsidRDefault="00B7017E" w:rsidP="00B7017E">
      <w:pPr>
        <w:pStyle w:val="ListBullet"/>
        <w:numPr>
          <w:ilvl w:val="0"/>
          <w:numId w:val="33"/>
        </w:numPr>
        <w:rPr>
          <w:rFonts w:eastAsia="Calibri"/>
        </w:rPr>
      </w:pPr>
      <w:r w:rsidRPr="00BD77D8">
        <w:rPr>
          <w:rFonts w:eastAsia="Calibri"/>
        </w:rPr>
        <w:t>positive workplace relationships</w:t>
      </w:r>
    </w:p>
    <w:p w14:paraId="177771E0" w14:textId="56B74718" w:rsidR="00B7017E" w:rsidRPr="00BD77D8" w:rsidRDefault="008667B4" w:rsidP="00B7017E">
      <w:pPr>
        <w:pStyle w:val="ListBullet"/>
        <w:numPr>
          <w:ilvl w:val="0"/>
          <w:numId w:val="33"/>
        </w:numPr>
        <w:rPr>
          <w:rFonts w:eastAsia="Calibri"/>
        </w:rPr>
      </w:pPr>
      <w:r w:rsidRPr="00BD77D8">
        <w:rPr>
          <w:rFonts w:eastAsia="Calibri"/>
          <w:b/>
          <w:bCs/>
          <w:sz w:val="22"/>
          <w:szCs w:val="22"/>
        </w:rPr>
        <w:t>L</w:t>
      </w:r>
      <w:r w:rsidRPr="00BD77D8">
        <w:rPr>
          <w:rFonts w:eastAsia="Calibri"/>
        </w:rPr>
        <w:t>oyal</w:t>
      </w:r>
      <w:r w:rsidR="00F201F6" w:rsidRPr="00BD77D8">
        <w:rPr>
          <w:lang w:val="en"/>
        </w:rPr>
        <w:t>—</w:t>
      </w:r>
      <w:r w:rsidR="00B7017E" w:rsidRPr="00BD77D8">
        <w:rPr>
          <w:rFonts w:eastAsia="Calibri"/>
        </w:rPr>
        <w:t xml:space="preserve">we collaborate and support each other as people and professionals, respectfully challenging </w:t>
      </w:r>
    </w:p>
    <w:p w14:paraId="7EE30962" w14:textId="315089B1" w:rsidR="008667B4" w:rsidRPr="00BD77D8" w:rsidRDefault="00B7017E" w:rsidP="00B7017E">
      <w:pPr>
        <w:pStyle w:val="ListBullet"/>
        <w:numPr>
          <w:ilvl w:val="0"/>
          <w:numId w:val="33"/>
        </w:numPr>
        <w:rPr>
          <w:rFonts w:eastAsia="Calibri"/>
        </w:rPr>
      </w:pPr>
      <w:r w:rsidRPr="00BD77D8">
        <w:rPr>
          <w:rFonts w:eastAsia="Calibri"/>
        </w:rPr>
        <w:t>each other to be exceptional in our roles</w:t>
      </w:r>
    </w:p>
    <w:p w14:paraId="5D23E99B" w14:textId="671A43FD" w:rsidR="00A33676" w:rsidRPr="00BD77D8" w:rsidRDefault="008667B4" w:rsidP="00A33676">
      <w:pPr>
        <w:pStyle w:val="ListBullet"/>
        <w:numPr>
          <w:ilvl w:val="0"/>
          <w:numId w:val="33"/>
        </w:numPr>
        <w:rPr>
          <w:rFonts w:eastAsia="Calibri"/>
        </w:rPr>
      </w:pPr>
      <w:r w:rsidRPr="00BD77D8">
        <w:rPr>
          <w:rFonts w:eastAsia="Calibri"/>
          <w:b/>
          <w:bCs/>
          <w:sz w:val="22"/>
          <w:szCs w:val="22"/>
        </w:rPr>
        <w:t>I</w:t>
      </w:r>
      <w:r w:rsidRPr="00BD77D8">
        <w:rPr>
          <w:rFonts w:eastAsia="Calibri"/>
        </w:rPr>
        <w:t>nnovative</w:t>
      </w:r>
      <w:r w:rsidR="00F201F6" w:rsidRPr="00BD77D8">
        <w:rPr>
          <w:lang w:val="en"/>
        </w:rPr>
        <w:t>—</w:t>
      </w:r>
      <w:r w:rsidR="00A33676" w:rsidRPr="00BD77D8">
        <w:rPr>
          <w:rFonts w:eastAsia="Calibri"/>
        </w:rPr>
        <w:t xml:space="preserve">we value continuous improvement that builds on what works, solves problems and identifies </w:t>
      </w:r>
    </w:p>
    <w:p w14:paraId="4C40244A" w14:textId="45C5C549" w:rsidR="008667B4" w:rsidRPr="00BD77D8" w:rsidRDefault="00A33676" w:rsidP="00A33676">
      <w:pPr>
        <w:pStyle w:val="ListBullet"/>
        <w:numPr>
          <w:ilvl w:val="0"/>
          <w:numId w:val="33"/>
        </w:numPr>
        <w:rPr>
          <w:rFonts w:eastAsia="Calibri"/>
        </w:rPr>
      </w:pPr>
      <w:r w:rsidRPr="00BD77D8">
        <w:rPr>
          <w:rFonts w:eastAsia="Calibri"/>
        </w:rPr>
        <w:t>new opportunities.</w:t>
      </w:r>
    </w:p>
    <w:p w14:paraId="03961583" w14:textId="6FBD5C7C" w:rsidR="00A33676" w:rsidRPr="00BD77D8" w:rsidRDefault="008667B4" w:rsidP="00A33676">
      <w:pPr>
        <w:pStyle w:val="ListBullet"/>
        <w:numPr>
          <w:ilvl w:val="0"/>
          <w:numId w:val="33"/>
        </w:numPr>
        <w:rPr>
          <w:rFonts w:eastAsia="Calibri"/>
        </w:rPr>
      </w:pPr>
      <w:r w:rsidRPr="00BD77D8">
        <w:rPr>
          <w:rFonts w:eastAsia="Calibri"/>
          <w:b/>
          <w:bCs/>
          <w:sz w:val="22"/>
          <w:szCs w:val="22"/>
        </w:rPr>
        <w:t>D</w:t>
      </w:r>
      <w:r w:rsidRPr="00BD77D8">
        <w:rPr>
          <w:rFonts w:eastAsia="Calibri"/>
        </w:rPr>
        <w:t>edicated</w:t>
      </w:r>
      <w:r w:rsidR="00F201F6" w:rsidRPr="00BD77D8">
        <w:rPr>
          <w:lang w:val="en"/>
        </w:rPr>
        <w:t>—</w:t>
      </w:r>
      <w:r w:rsidR="00A33676" w:rsidRPr="00BD77D8">
        <w:rPr>
          <w:rFonts w:eastAsia="Calibri"/>
        </w:rPr>
        <w:t xml:space="preserve">we are purpose-driven and passionate, bringing our best selves to our roles; and we are </w:t>
      </w:r>
    </w:p>
    <w:p w14:paraId="3D6DA29E" w14:textId="2FC3F3D2" w:rsidR="008667B4" w:rsidRPr="00BD77D8" w:rsidRDefault="00A33676" w:rsidP="00A33676">
      <w:pPr>
        <w:pStyle w:val="ListBullet"/>
        <w:numPr>
          <w:ilvl w:val="0"/>
          <w:numId w:val="33"/>
        </w:numPr>
        <w:rPr>
          <w:rFonts w:eastAsia="Calibri"/>
        </w:rPr>
      </w:pPr>
      <w:r w:rsidRPr="00BD77D8">
        <w:rPr>
          <w:rFonts w:eastAsia="Calibri"/>
        </w:rPr>
        <w:t>committed to enabling ourselves, our colleagues and the people we serve to thrive</w:t>
      </w:r>
    </w:p>
    <w:p w14:paraId="609F4DC7" w14:textId="77777777" w:rsidR="00066725" w:rsidRPr="00BD77D8" w:rsidRDefault="00066725" w:rsidP="00392640">
      <w:pPr>
        <w:pStyle w:val="Heading2"/>
        <w:rPr>
          <w:color w:val="auto"/>
        </w:rPr>
      </w:pPr>
      <w:bookmarkStart w:id="37" w:name="_Toc43444699"/>
      <w:bookmarkStart w:id="38" w:name="_Toc78287329"/>
      <w:bookmarkStart w:id="39" w:name="_Toc78355736"/>
      <w:bookmarkStart w:id="40" w:name="_Toc113544372"/>
      <w:r w:rsidRPr="00BD77D8">
        <w:rPr>
          <w:color w:val="auto"/>
        </w:rPr>
        <w:t>Embedding the Queensland public service values</w:t>
      </w:r>
      <w:bookmarkEnd w:id="37"/>
      <w:bookmarkEnd w:id="38"/>
      <w:bookmarkEnd w:id="39"/>
      <w:bookmarkEnd w:id="40"/>
    </w:p>
    <w:p w14:paraId="5A77AF9F" w14:textId="77777777" w:rsidR="00066725" w:rsidRPr="00BD77D8" w:rsidRDefault="00066725" w:rsidP="00075879">
      <w:pPr>
        <w:spacing w:after="120" w:line="240" w:lineRule="auto"/>
        <w:rPr>
          <w:rFonts w:eastAsia="Calibri"/>
          <w:lang w:eastAsia="en-US"/>
        </w:rPr>
      </w:pPr>
      <w:r w:rsidRPr="00BD77D8">
        <w:rPr>
          <w:rFonts w:eastAsia="Calibri"/>
          <w:lang w:eastAsia="en-US"/>
        </w:rPr>
        <w:t>We are committed to a way of working where:</w:t>
      </w:r>
    </w:p>
    <w:p w14:paraId="3C9948EB" w14:textId="1541330B" w:rsidR="00066725" w:rsidRPr="00BD77D8" w:rsidRDefault="00066725" w:rsidP="00A463E0">
      <w:pPr>
        <w:pStyle w:val="ListBullet"/>
        <w:numPr>
          <w:ilvl w:val="0"/>
          <w:numId w:val="34"/>
        </w:numPr>
        <w:rPr>
          <w:rFonts w:eastAsia="Calibri"/>
        </w:rPr>
      </w:pPr>
      <w:r w:rsidRPr="00BD77D8">
        <w:rPr>
          <w:rFonts w:eastAsia="Calibri"/>
        </w:rPr>
        <w:t xml:space="preserve">leaders and employees make decisions based on </w:t>
      </w:r>
      <w:r w:rsidR="00077710" w:rsidRPr="00BD77D8">
        <w:rPr>
          <w:rFonts w:eastAsia="Calibri"/>
        </w:rPr>
        <w:t>our</w:t>
      </w:r>
      <w:r w:rsidRPr="00BD77D8">
        <w:rPr>
          <w:rFonts w:eastAsia="Calibri"/>
        </w:rPr>
        <w:t xml:space="preserve"> values</w:t>
      </w:r>
    </w:p>
    <w:p w14:paraId="5F8F3743" w14:textId="77777777" w:rsidR="00066725" w:rsidRPr="00BD77D8" w:rsidRDefault="00066725" w:rsidP="00A463E0">
      <w:pPr>
        <w:pStyle w:val="ListBullet"/>
        <w:numPr>
          <w:ilvl w:val="0"/>
          <w:numId w:val="34"/>
        </w:numPr>
        <w:rPr>
          <w:rFonts w:eastAsia="Calibri"/>
        </w:rPr>
      </w:pPr>
      <w:r w:rsidRPr="00BD77D8">
        <w:rPr>
          <w:rFonts w:eastAsia="Calibri"/>
        </w:rPr>
        <w:t>leaders demonstrate the values as role models for employees</w:t>
      </w:r>
    </w:p>
    <w:p w14:paraId="1447E1A8" w14:textId="77777777" w:rsidR="00066725" w:rsidRPr="00BD77D8" w:rsidRDefault="00066725" w:rsidP="00A463E0">
      <w:pPr>
        <w:pStyle w:val="ListBullet"/>
        <w:numPr>
          <w:ilvl w:val="0"/>
          <w:numId w:val="34"/>
        </w:numPr>
        <w:spacing w:after="240"/>
        <w:ind w:left="714" w:hanging="357"/>
        <w:rPr>
          <w:rFonts w:eastAsia="Calibri"/>
        </w:rPr>
      </w:pPr>
      <w:r w:rsidRPr="00BD77D8">
        <w:rPr>
          <w:rFonts w:eastAsia="Calibri"/>
        </w:rPr>
        <w:t>we prioritise quality, inclusion, diversity, creativity, and collaboration every day.</w:t>
      </w:r>
    </w:p>
    <w:p w14:paraId="726D6461" w14:textId="0955741F" w:rsidR="00066725" w:rsidRPr="00BD77D8" w:rsidRDefault="00066725" w:rsidP="008667B4">
      <w:pPr>
        <w:rPr>
          <w:lang w:val="en"/>
        </w:rPr>
      </w:pPr>
      <w:r w:rsidRPr="00BD77D8">
        <w:rPr>
          <w:lang w:val="en"/>
        </w:rPr>
        <w:t xml:space="preserve">The following five values guide our </w:t>
      </w:r>
      <w:proofErr w:type="spellStart"/>
      <w:r w:rsidRPr="00BD77D8">
        <w:rPr>
          <w:lang w:val="en"/>
        </w:rPr>
        <w:t>behaviour</w:t>
      </w:r>
      <w:proofErr w:type="spellEnd"/>
      <w:r w:rsidRPr="00BD77D8">
        <w:rPr>
          <w:lang w:val="en"/>
        </w:rPr>
        <w:t xml:space="preserve"> and the way we do business:</w:t>
      </w:r>
    </w:p>
    <w:p w14:paraId="4148C881" w14:textId="77777777" w:rsidR="00066725" w:rsidRPr="00BD77D8" w:rsidRDefault="00066725" w:rsidP="00075879">
      <w:pPr>
        <w:spacing w:after="120" w:line="240" w:lineRule="auto"/>
        <w:rPr>
          <w:lang w:val="en"/>
        </w:rPr>
      </w:pPr>
      <w:r w:rsidRPr="00BD77D8">
        <w:rPr>
          <w:b/>
          <w:bCs/>
          <w:lang w:val="en"/>
        </w:rPr>
        <w:t>Customers first</w:t>
      </w:r>
    </w:p>
    <w:p w14:paraId="2040DA60" w14:textId="77777777" w:rsidR="00066725" w:rsidRPr="00BD77D8" w:rsidRDefault="00066725" w:rsidP="005A1C92">
      <w:pPr>
        <w:pStyle w:val="ListBullet"/>
        <w:numPr>
          <w:ilvl w:val="0"/>
          <w:numId w:val="34"/>
        </w:numPr>
        <w:rPr>
          <w:rFonts w:eastAsia="Calibri"/>
        </w:rPr>
      </w:pPr>
      <w:r w:rsidRPr="00BD77D8">
        <w:rPr>
          <w:rFonts w:eastAsia="Calibri"/>
        </w:rPr>
        <w:t>Know your customers</w:t>
      </w:r>
    </w:p>
    <w:p w14:paraId="730662B9" w14:textId="77777777" w:rsidR="00066725" w:rsidRPr="00BD77D8" w:rsidRDefault="00066725" w:rsidP="005A1C92">
      <w:pPr>
        <w:pStyle w:val="ListBullet"/>
        <w:numPr>
          <w:ilvl w:val="0"/>
          <w:numId w:val="34"/>
        </w:numPr>
        <w:rPr>
          <w:rFonts w:eastAsia="Calibri"/>
        </w:rPr>
      </w:pPr>
      <w:r w:rsidRPr="00BD77D8">
        <w:rPr>
          <w:rFonts w:eastAsia="Calibri"/>
        </w:rPr>
        <w:t>Deliver what matters</w:t>
      </w:r>
    </w:p>
    <w:p w14:paraId="570648D8" w14:textId="77777777" w:rsidR="00066725" w:rsidRPr="00BD77D8" w:rsidRDefault="00066725" w:rsidP="005A1C92">
      <w:pPr>
        <w:pStyle w:val="ListBullet"/>
        <w:numPr>
          <w:ilvl w:val="0"/>
          <w:numId w:val="34"/>
        </w:numPr>
        <w:rPr>
          <w:rFonts w:eastAsia="Calibri"/>
        </w:rPr>
      </w:pPr>
      <w:r w:rsidRPr="00BD77D8">
        <w:rPr>
          <w:rFonts w:eastAsia="Calibri"/>
        </w:rPr>
        <w:t>Make decisions with empathy.</w:t>
      </w:r>
    </w:p>
    <w:p w14:paraId="60F4FC79" w14:textId="77777777" w:rsidR="00066725" w:rsidRPr="00BD77D8" w:rsidRDefault="00066725" w:rsidP="00075879">
      <w:pPr>
        <w:spacing w:after="120" w:line="240" w:lineRule="auto"/>
        <w:rPr>
          <w:lang w:val="en"/>
        </w:rPr>
      </w:pPr>
      <w:r w:rsidRPr="00BD77D8">
        <w:rPr>
          <w:b/>
          <w:bCs/>
          <w:lang w:val="en"/>
        </w:rPr>
        <w:t>Ideas into action</w:t>
      </w:r>
    </w:p>
    <w:p w14:paraId="31868BD8" w14:textId="77777777" w:rsidR="00066725" w:rsidRPr="00BD77D8" w:rsidRDefault="00066725" w:rsidP="005A1C92">
      <w:pPr>
        <w:pStyle w:val="ListBullet"/>
        <w:numPr>
          <w:ilvl w:val="0"/>
          <w:numId w:val="34"/>
        </w:numPr>
        <w:rPr>
          <w:rFonts w:eastAsia="Calibri"/>
        </w:rPr>
      </w:pPr>
      <w:r w:rsidRPr="00BD77D8">
        <w:rPr>
          <w:rFonts w:eastAsia="Calibri"/>
        </w:rPr>
        <w:t>Challenge the norm and suggest solutions</w:t>
      </w:r>
    </w:p>
    <w:p w14:paraId="11AFA7CD" w14:textId="77777777" w:rsidR="00066725" w:rsidRPr="00BD77D8" w:rsidRDefault="00066725" w:rsidP="005A1C92">
      <w:pPr>
        <w:pStyle w:val="ListBullet"/>
        <w:numPr>
          <w:ilvl w:val="0"/>
          <w:numId w:val="34"/>
        </w:numPr>
        <w:rPr>
          <w:rFonts w:eastAsia="Calibri"/>
        </w:rPr>
      </w:pPr>
      <w:r w:rsidRPr="00BD77D8">
        <w:rPr>
          <w:rFonts w:eastAsia="Calibri"/>
        </w:rPr>
        <w:lastRenderedPageBreak/>
        <w:t>Encourage and embrace new ideas</w:t>
      </w:r>
    </w:p>
    <w:p w14:paraId="1AC51E25" w14:textId="075E166D" w:rsidR="00066725" w:rsidRPr="00BD77D8" w:rsidRDefault="00066725" w:rsidP="005A1C92">
      <w:pPr>
        <w:pStyle w:val="ListBullet"/>
        <w:numPr>
          <w:ilvl w:val="0"/>
          <w:numId w:val="34"/>
        </w:numPr>
        <w:rPr>
          <w:rFonts w:eastAsia="Calibri"/>
        </w:rPr>
      </w:pPr>
      <w:r w:rsidRPr="00BD77D8">
        <w:rPr>
          <w:rFonts w:eastAsia="Calibri"/>
        </w:rPr>
        <w:t>Work across boundaries.</w:t>
      </w:r>
    </w:p>
    <w:p w14:paraId="1539AE2C" w14:textId="77777777" w:rsidR="00066725" w:rsidRPr="00BD77D8" w:rsidRDefault="00066725" w:rsidP="00075879">
      <w:pPr>
        <w:spacing w:after="120" w:line="240" w:lineRule="auto"/>
        <w:rPr>
          <w:lang w:val="en"/>
        </w:rPr>
      </w:pPr>
      <w:r w:rsidRPr="00BD77D8">
        <w:rPr>
          <w:b/>
          <w:bCs/>
          <w:lang w:val="en"/>
        </w:rPr>
        <w:t>Unleash potential</w:t>
      </w:r>
    </w:p>
    <w:p w14:paraId="60DB99CF" w14:textId="77777777" w:rsidR="00066725" w:rsidRPr="00BD77D8" w:rsidRDefault="00066725" w:rsidP="005A1C92">
      <w:pPr>
        <w:pStyle w:val="ListBullet"/>
        <w:numPr>
          <w:ilvl w:val="0"/>
          <w:numId w:val="34"/>
        </w:numPr>
        <w:rPr>
          <w:rFonts w:eastAsia="Calibri"/>
        </w:rPr>
      </w:pPr>
      <w:r w:rsidRPr="00BD77D8">
        <w:rPr>
          <w:rFonts w:eastAsia="Calibri"/>
        </w:rPr>
        <w:t>Expect greatness</w:t>
      </w:r>
    </w:p>
    <w:p w14:paraId="63A89382" w14:textId="77777777" w:rsidR="00066725" w:rsidRPr="00BD77D8" w:rsidRDefault="00066725" w:rsidP="005A1C92">
      <w:pPr>
        <w:pStyle w:val="ListBullet"/>
        <w:numPr>
          <w:ilvl w:val="0"/>
          <w:numId w:val="34"/>
        </w:numPr>
        <w:rPr>
          <w:rFonts w:eastAsia="Calibri"/>
        </w:rPr>
      </w:pPr>
      <w:r w:rsidRPr="00BD77D8">
        <w:rPr>
          <w:rFonts w:eastAsia="Calibri"/>
        </w:rPr>
        <w:t>Lead and set clear expectations</w:t>
      </w:r>
    </w:p>
    <w:p w14:paraId="552FBEFD" w14:textId="77777777" w:rsidR="00066725" w:rsidRPr="00BD77D8" w:rsidRDefault="00066725" w:rsidP="005A1C92">
      <w:pPr>
        <w:pStyle w:val="ListBullet"/>
        <w:numPr>
          <w:ilvl w:val="0"/>
          <w:numId w:val="34"/>
        </w:numPr>
        <w:rPr>
          <w:rFonts w:eastAsia="Calibri"/>
        </w:rPr>
      </w:pPr>
      <w:r w:rsidRPr="00BD77D8">
        <w:rPr>
          <w:rFonts w:eastAsia="Calibri"/>
        </w:rPr>
        <w:t>Seek, provide and act on feedback.</w:t>
      </w:r>
    </w:p>
    <w:p w14:paraId="6890E4F5" w14:textId="77777777" w:rsidR="00066725" w:rsidRPr="00BD77D8" w:rsidRDefault="00066725" w:rsidP="00075879">
      <w:pPr>
        <w:spacing w:after="120" w:line="240" w:lineRule="auto"/>
        <w:rPr>
          <w:lang w:val="en"/>
        </w:rPr>
      </w:pPr>
      <w:r w:rsidRPr="00BD77D8">
        <w:rPr>
          <w:b/>
          <w:bCs/>
          <w:lang w:val="en"/>
        </w:rPr>
        <w:t>Be courageous</w:t>
      </w:r>
    </w:p>
    <w:p w14:paraId="19AC67D8" w14:textId="77777777" w:rsidR="00066725" w:rsidRPr="00BD77D8" w:rsidRDefault="00066725" w:rsidP="005A1C92">
      <w:pPr>
        <w:pStyle w:val="ListBullet"/>
        <w:numPr>
          <w:ilvl w:val="0"/>
          <w:numId w:val="34"/>
        </w:numPr>
        <w:rPr>
          <w:rFonts w:eastAsia="Calibri"/>
        </w:rPr>
      </w:pPr>
      <w:r w:rsidRPr="00BD77D8">
        <w:rPr>
          <w:rFonts w:eastAsia="Calibri"/>
        </w:rPr>
        <w:t>Own your actions, successes and mistakes</w:t>
      </w:r>
    </w:p>
    <w:p w14:paraId="06187EF9" w14:textId="77777777" w:rsidR="00066725" w:rsidRPr="00BD77D8" w:rsidRDefault="00066725" w:rsidP="005A1C92">
      <w:pPr>
        <w:pStyle w:val="ListBullet"/>
        <w:numPr>
          <w:ilvl w:val="0"/>
          <w:numId w:val="34"/>
        </w:numPr>
        <w:rPr>
          <w:rFonts w:eastAsia="Calibri"/>
        </w:rPr>
      </w:pPr>
      <w:r w:rsidRPr="00BD77D8">
        <w:rPr>
          <w:rFonts w:eastAsia="Calibri"/>
        </w:rPr>
        <w:t>Take calculated risks</w:t>
      </w:r>
    </w:p>
    <w:p w14:paraId="74CBBE17" w14:textId="77777777" w:rsidR="00066725" w:rsidRPr="00BD77D8" w:rsidRDefault="00066725" w:rsidP="005A1C92">
      <w:pPr>
        <w:pStyle w:val="ListBullet"/>
        <w:numPr>
          <w:ilvl w:val="0"/>
          <w:numId w:val="34"/>
        </w:numPr>
        <w:rPr>
          <w:rFonts w:eastAsia="Calibri"/>
        </w:rPr>
      </w:pPr>
      <w:r w:rsidRPr="00BD77D8">
        <w:rPr>
          <w:rFonts w:eastAsia="Calibri"/>
        </w:rPr>
        <w:t>Act with transparency.</w:t>
      </w:r>
    </w:p>
    <w:p w14:paraId="42C731CD" w14:textId="41E1E632" w:rsidR="00066725" w:rsidRPr="00BD77D8" w:rsidRDefault="00066725" w:rsidP="00075879">
      <w:pPr>
        <w:spacing w:after="120" w:line="240" w:lineRule="auto"/>
        <w:rPr>
          <w:lang w:val="en"/>
        </w:rPr>
      </w:pPr>
      <w:r w:rsidRPr="00BD77D8">
        <w:rPr>
          <w:b/>
          <w:bCs/>
          <w:lang w:val="en"/>
        </w:rPr>
        <w:t>Empower people</w:t>
      </w:r>
    </w:p>
    <w:p w14:paraId="6ECE653A" w14:textId="77777777" w:rsidR="00066725" w:rsidRPr="00BD77D8" w:rsidRDefault="00066725" w:rsidP="005A1C92">
      <w:pPr>
        <w:pStyle w:val="ListBullet"/>
        <w:numPr>
          <w:ilvl w:val="0"/>
          <w:numId w:val="34"/>
        </w:numPr>
        <w:rPr>
          <w:rFonts w:eastAsia="Calibri"/>
        </w:rPr>
      </w:pPr>
      <w:r w:rsidRPr="00BD77D8">
        <w:rPr>
          <w:rFonts w:eastAsia="Calibri"/>
        </w:rPr>
        <w:t>Lead, empower and trust</w:t>
      </w:r>
    </w:p>
    <w:p w14:paraId="7F0E6784" w14:textId="77777777" w:rsidR="00066725" w:rsidRPr="00BD77D8" w:rsidRDefault="00066725" w:rsidP="005A1C92">
      <w:pPr>
        <w:pStyle w:val="ListBullet"/>
        <w:numPr>
          <w:ilvl w:val="0"/>
          <w:numId w:val="34"/>
        </w:numPr>
        <w:rPr>
          <w:rFonts w:eastAsia="Calibri"/>
        </w:rPr>
      </w:pPr>
      <w:r w:rsidRPr="00BD77D8">
        <w:rPr>
          <w:rFonts w:eastAsia="Calibri"/>
        </w:rPr>
        <w:t>Play to everyone's strengths</w:t>
      </w:r>
    </w:p>
    <w:p w14:paraId="66A6201F" w14:textId="77777777" w:rsidR="00066725" w:rsidRPr="00BD77D8" w:rsidRDefault="00066725" w:rsidP="005A1C92">
      <w:pPr>
        <w:pStyle w:val="ListBullet"/>
        <w:numPr>
          <w:ilvl w:val="0"/>
          <w:numId w:val="34"/>
        </w:numPr>
        <w:rPr>
          <w:rFonts w:eastAsia="Calibri"/>
        </w:rPr>
      </w:pPr>
      <w:r w:rsidRPr="00BD77D8">
        <w:rPr>
          <w:rFonts w:eastAsia="Calibri"/>
        </w:rPr>
        <w:t>Develop yourself and those around you.</w:t>
      </w:r>
    </w:p>
    <w:p w14:paraId="2B150EED" w14:textId="11D72F31" w:rsidR="00066725" w:rsidRPr="00BD77D8" w:rsidRDefault="006D7B43" w:rsidP="00392640">
      <w:pPr>
        <w:pStyle w:val="Heading2"/>
        <w:rPr>
          <w:color w:val="auto"/>
        </w:rPr>
      </w:pPr>
      <w:bookmarkStart w:id="41" w:name="_Toc78287330"/>
      <w:bookmarkStart w:id="42" w:name="_Toc78355737"/>
      <w:bookmarkStart w:id="43" w:name="_Toc113544373"/>
      <w:r w:rsidRPr="00BD77D8">
        <w:rPr>
          <w:color w:val="auto"/>
        </w:rPr>
        <w:t>What we do</w:t>
      </w:r>
      <w:bookmarkEnd w:id="41"/>
      <w:bookmarkEnd w:id="42"/>
      <w:bookmarkEnd w:id="43"/>
    </w:p>
    <w:p w14:paraId="5C044323" w14:textId="6FEF1088" w:rsidR="00F44C76" w:rsidRPr="00BD77D8" w:rsidRDefault="00F44C76" w:rsidP="00377345">
      <w:pPr>
        <w:spacing w:after="120" w:line="240" w:lineRule="auto"/>
        <w:rPr>
          <w:lang w:eastAsia="en-US"/>
        </w:rPr>
      </w:pPr>
      <w:r w:rsidRPr="00BD77D8">
        <w:rPr>
          <w:lang w:eastAsia="en-US"/>
        </w:rPr>
        <w:t>Our department contributes to the following Queensland Government objectives for the community:</w:t>
      </w:r>
    </w:p>
    <w:p w14:paraId="2A9070C1" w14:textId="2884E9B3" w:rsidR="00F44C76" w:rsidRPr="00BD77D8" w:rsidRDefault="00F44C76" w:rsidP="00377345">
      <w:pPr>
        <w:pStyle w:val="ListBullet"/>
        <w:ind w:left="357" w:hanging="357"/>
        <w:rPr>
          <w:lang w:val="en"/>
        </w:rPr>
      </w:pPr>
      <w:r w:rsidRPr="00BD77D8">
        <w:rPr>
          <w:b/>
          <w:bCs/>
          <w:lang w:val="en"/>
        </w:rPr>
        <w:t>Supporting jobs</w:t>
      </w:r>
      <w:r w:rsidR="00F201F6" w:rsidRPr="00BD77D8">
        <w:rPr>
          <w:lang w:val="en"/>
        </w:rPr>
        <w:t>—</w:t>
      </w:r>
      <w:r w:rsidRPr="00BD77D8">
        <w:rPr>
          <w:lang w:val="en"/>
        </w:rPr>
        <w:t xml:space="preserve">facilitating, brokering and connecting Aboriginal and Torres Strait Islander Queenslanders and people with disability to open new employment opportunities, and communicating the latest information to </w:t>
      </w:r>
      <w:proofErr w:type="spellStart"/>
      <w:r w:rsidRPr="00BD77D8">
        <w:rPr>
          <w:lang w:val="en"/>
        </w:rPr>
        <w:t>realise</w:t>
      </w:r>
      <w:proofErr w:type="spellEnd"/>
      <w:r w:rsidRPr="00BD77D8">
        <w:rPr>
          <w:lang w:val="en"/>
        </w:rPr>
        <w:t xml:space="preserve"> the opportunities provided by the National Disability Insurance Scheme (NDIS).</w:t>
      </w:r>
    </w:p>
    <w:p w14:paraId="02426A31" w14:textId="5E581092" w:rsidR="00F44C76" w:rsidRPr="00BD77D8" w:rsidRDefault="00F44C76" w:rsidP="006002CD">
      <w:pPr>
        <w:pStyle w:val="ListBullet"/>
        <w:rPr>
          <w:lang w:val="en"/>
        </w:rPr>
      </w:pPr>
      <w:r w:rsidRPr="00BD77D8">
        <w:rPr>
          <w:b/>
          <w:bCs/>
          <w:lang w:val="en"/>
        </w:rPr>
        <w:t>Backing small business</w:t>
      </w:r>
      <w:r w:rsidR="00F201F6" w:rsidRPr="00BD77D8">
        <w:rPr>
          <w:lang w:val="en"/>
        </w:rPr>
        <w:t>—</w:t>
      </w:r>
      <w:r w:rsidRPr="00BD77D8">
        <w:rPr>
          <w:lang w:val="en"/>
        </w:rPr>
        <w:t>engaging, facilitating and empowering Aboriginal and Torres Strait Islander owned businesses and communities to grow their economic aspirations, and providing disability service providers with the latest and most strategic information to support them to grow under the NDIS.</w:t>
      </w:r>
    </w:p>
    <w:p w14:paraId="48F0979E" w14:textId="30F16882" w:rsidR="00F44C76" w:rsidRPr="00BD77D8" w:rsidRDefault="00F44C76" w:rsidP="006002CD">
      <w:pPr>
        <w:pStyle w:val="ListBullet"/>
        <w:rPr>
          <w:lang w:val="en"/>
        </w:rPr>
      </w:pPr>
      <w:r w:rsidRPr="00BD77D8">
        <w:rPr>
          <w:b/>
          <w:bCs/>
          <w:lang w:val="en"/>
        </w:rPr>
        <w:t>Backing our frontline services</w:t>
      </w:r>
      <w:r w:rsidR="00F201F6" w:rsidRPr="00BD77D8">
        <w:rPr>
          <w:lang w:val="en"/>
        </w:rPr>
        <w:t>—</w:t>
      </w:r>
      <w:r w:rsidRPr="00BD77D8">
        <w:rPr>
          <w:lang w:val="en"/>
        </w:rPr>
        <w:t>enabling people with disability to access services that assist them with their core activities of daily living; delivering disability accommodation support, respite and forensic disability services; delivering programs and services for seniors to enhance their social and economic outcomes; advocating about and contributing to systems that safeguard and protect seniors and people with disability; working with our strategic partners to close the gap in health, education, justice, employment, child protection and housing outcomes for Aboriginal and Torres Strait Islander Queenslanders; and supporting strategies that improve the cultural capability of the public sector.</w:t>
      </w:r>
    </w:p>
    <w:p w14:paraId="222A2036" w14:textId="4242F94B" w:rsidR="008A47CE" w:rsidRPr="00BD77D8" w:rsidRDefault="00F44C76" w:rsidP="006002CD">
      <w:pPr>
        <w:pStyle w:val="ListBullet"/>
        <w:rPr>
          <w:lang w:eastAsia="en-US"/>
        </w:rPr>
      </w:pPr>
      <w:r w:rsidRPr="00BD77D8">
        <w:rPr>
          <w:b/>
          <w:bCs/>
          <w:lang w:val="en"/>
        </w:rPr>
        <w:t>Growing our regions</w:t>
      </w:r>
      <w:r w:rsidR="00F201F6" w:rsidRPr="00BD77D8">
        <w:rPr>
          <w:lang w:val="en"/>
        </w:rPr>
        <w:t>—</w:t>
      </w:r>
      <w:r w:rsidRPr="00BD77D8">
        <w:rPr>
          <w:lang w:val="en"/>
        </w:rPr>
        <w:t xml:space="preserve">helping Queensland’s regions grow by removing barriers in land administration to support home ownership and economic development in remote and discrete communities; acknowledging the existing leadership in Aboriginal and Torres Strait Islander communities to co-design, with Government, efficiencies and outcomes that meet the needs and aspirations of each community; reinforcing local leadership to support Aboriginal and Torres Strait Islander communities to locally manage their Alcohol Management Plans; </w:t>
      </w:r>
      <w:proofErr w:type="spellStart"/>
      <w:r w:rsidRPr="00BD77D8">
        <w:rPr>
          <w:lang w:val="en"/>
        </w:rPr>
        <w:t>recognising</w:t>
      </w:r>
      <w:proofErr w:type="spellEnd"/>
      <w:r w:rsidRPr="00BD77D8">
        <w:rPr>
          <w:lang w:val="en"/>
        </w:rPr>
        <w:t xml:space="preserve"> past wrongs and connecting Aboriginal and Torres Strait Islander Queenslanders to their community and family histories; providing services supporting access to the NDIS for people with disability in rural, remote and regional locations, including promoting the development and maturation of NDIS markets in these locations, and overseeing the implementation of Queensland’s NDIS Full Scheme Agreement to ensure improved outcomes for participants and that their economic opportunities are </w:t>
      </w:r>
      <w:proofErr w:type="spellStart"/>
      <w:r w:rsidRPr="00BD77D8">
        <w:rPr>
          <w:lang w:val="en"/>
        </w:rPr>
        <w:t>realised</w:t>
      </w:r>
      <w:proofErr w:type="spellEnd"/>
      <w:r w:rsidRPr="00BD77D8">
        <w:rPr>
          <w:lang w:val="en"/>
        </w:rPr>
        <w:t>.</w:t>
      </w:r>
      <w:r w:rsidR="008A47CE" w:rsidRPr="00BD77D8">
        <w:rPr>
          <w:lang w:eastAsia="en-US"/>
        </w:rPr>
        <w:br w:type="page"/>
      </w:r>
    </w:p>
    <w:p w14:paraId="3073888E" w14:textId="3CAA5D21" w:rsidR="00901F6A" w:rsidRPr="00BD77D8" w:rsidRDefault="00901F6A" w:rsidP="00392640">
      <w:pPr>
        <w:pStyle w:val="Heading2"/>
        <w:rPr>
          <w:color w:val="auto"/>
        </w:rPr>
      </w:pPr>
      <w:bookmarkStart w:id="44" w:name="_Toc43444704"/>
      <w:bookmarkStart w:id="45" w:name="_Toc78287331"/>
      <w:bookmarkStart w:id="46" w:name="_Toc78355738"/>
      <w:bookmarkStart w:id="47" w:name="_Toc113544374"/>
      <w:r w:rsidRPr="00BD77D8">
        <w:rPr>
          <w:color w:val="auto"/>
        </w:rPr>
        <w:lastRenderedPageBreak/>
        <w:t>Our organisational structure</w:t>
      </w:r>
      <w:bookmarkEnd w:id="44"/>
      <w:bookmarkEnd w:id="45"/>
      <w:bookmarkEnd w:id="46"/>
      <w:bookmarkEnd w:id="47"/>
      <w:r w:rsidRPr="00BD77D8">
        <w:rPr>
          <w:color w:val="auto"/>
        </w:rPr>
        <w:t xml:space="preserve"> </w:t>
      </w:r>
    </w:p>
    <w:p w14:paraId="6C367618" w14:textId="12A6CB9C" w:rsidR="00031C7F" w:rsidRPr="00BD77D8" w:rsidRDefault="00031C7F" w:rsidP="00802A6D">
      <w:pPr>
        <w:rPr>
          <w:lang w:eastAsia="en-US"/>
        </w:rPr>
      </w:pPr>
      <w:r w:rsidRPr="00BD77D8">
        <w:rPr>
          <w:lang w:eastAsia="en-US"/>
        </w:rPr>
        <w:t>Organisational structure as at 30 June 202</w:t>
      </w:r>
      <w:r w:rsidR="00901950" w:rsidRPr="00BD77D8">
        <w:rPr>
          <w:lang w:eastAsia="en-US"/>
        </w:rPr>
        <w:t>2</w:t>
      </w:r>
      <w:r w:rsidRPr="00BD77D8">
        <w:rPr>
          <w:lang w:eastAsia="en-US"/>
        </w:rPr>
        <w:t>.</w:t>
      </w:r>
    </w:p>
    <w:tbl>
      <w:tblPr>
        <w:tblStyle w:val="TableGrid20"/>
        <w:tblW w:w="0" w:type="auto"/>
        <w:tblLook w:val="04A0" w:firstRow="1" w:lastRow="0" w:firstColumn="1" w:lastColumn="0" w:noHBand="0" w:noVBand="1"/>
      </w:tblPr>
      <w:tblGrid>
        <w:gridCol w:w="2092"/>
        <w:gridCol w:w="597"/>
        <w:gridCol w:w="1495"/>
        <w:gridCol w:w="2092"/>
        <w:gridCol w:w="1516"/>
        <w:gridCol w:w="576"/>
        <w:gridCol w:w="2092"/>
      </w:tblGrid>
      <w:tr w:rsidR="00BD77D8" w:rsidRPr="00BD77D8" w14:paraId="767376CA" w14:textId="77777777" w:rsidTr="004607C5">
        <w:trPr>
          <w:trHeight w:val="1134"/>
        </w:trPr>
        <w:tc>
          <w:tcPr>
            <w:tcW w:w="2689" w:type="dxa"/>
            <w:gridSpan w:val="2"/>
            <w:tcBorders>
              <w:top w:val="nil"/>
              <w:left w:val="nil"/>
              <w:bottom w:val="nil"/>
              <w:right w:val="nil"/>
            </w:tcBorders>
            <w:shd w:val="clear" w:color="auto" w:fill="F2F2F2"/>
            <w:tcMar>
              <w:top w:w="28" w:type="dxa"/>
              <w:bottom w:w="28" w:type="dxa"/>
            </w:tcMar>
            <w:vAlign w:val="center"/>
          </w:tcPr>
          <w:p w14:paraId="0A388D15" w14:textId="77777777" w:rsidR="00FD614C" w:rsidRPr="00BD77D8" w:rsidRDefault="00FD614C" w:rsidP="004607C5">
            <w:pPr>
              <w:spacing w:after="0" w:line="240" w:lineRule="auto"/>
              <w:jc w:val="center"/>
              <w:rPr>
                <w:sz w:val="20"/>
                <w:szCs w:val="20"/>
              </w:rPr>
            </w:pPr>
            <w:r w:rsidRPr="00BD77D8">
              <w:rPr>
                <w:sz w:val="20"/>
                <w:szCs w:val="20"/>
              </w:rPr>
              <w:t>OFFICE OF THE DIRECTOR</w:t>
            </w:r>
          </w:p>
          <w:p w14:paraId="3689261D" w14:textId="77777777" w:rsidR="00FD614C" w:rsidRPr="00BD77D8" w:rsidRDefault="00FD614C" w:rsidP="004607C5">
            <w:pPr>
              <w:spacing w:after="0" w:line="240" w:lineRule="auto"/>
              <w:jc w:val="center"/>
              <w:rPr>
                <w:sz w:val="20"/>
                <w:szCs w:val="20"/>
              </w:rPr>
            </w:pPr>
            <w:r w:rsidRPr="00BD77D8">
              <w:rPr>
                <w:sz w:val="20"/>
                <w:szCs w:val="20"/>
              </w:rPr>
              <w:t>Forensic Disability</w:t>
            </w:r>
          </w:p>
        </w:tc>
        <w:tc>
          <w:tcPr>
            <w:tcW w:w="5103" w:type="dxa"/>
            <w:gridSpan w:val="3"/>
            <w:tcBorders>
              <w:top w:val="nil"/>
              <w:left w:val="nil"/>
              <w:bottom w:val="nil"/>
              <w:right w:val="nil"/>
            </w:tcBorders>
            <w:shd w:val="clear" w:color="auto" w:fill="BFBFBF"/>
            <w:tcMar>
              <w:top w:w="28" w:type="dxa"/>
              <w:bottom w:w="28" w:type="dxa"/>
            </w:tcMar>
            <w:vAlign w:val="center"/>
          </w:tcPr>
          <w:p w14:paraId="4687E4F3" w14:textId="77777777" w:rsidR="00FD614C" w:rsidRPr="00BD77D8" w:rsidRDefault="00FD614C" w:rsidP="004607C5">
            <w:pPr>
              <w:spacing w:after="0" w:line="240" w:lineRule="auto"/>
              <w:jc w:val="center"/>
              <w:rPr>
                <w:b/>
                <w:bCs/>
                <w:sz w:val="20"/>
                <w:szCs w:val="20"/>
              </w:rPr>
            </w:pPr>
            <w:r w:rsidRPr="00BD77D8">
              <w:rPr>
                <w:b/>
                <w:bCs/>
                <w:sz w:val="20"/>
                <w:szCs w:val="20"/>
              </w:rPr>
              <w:t>MINISTER</w:t>
            </w:r>
          </w:p>
          <w:p w14:paraId="666723E1" w14:textId="77777777" w:rsidR="00FD614C" w:rsidRPr="00BD77D8" w:rsidRDefault="00FD614C" w:rsidP="004607C5">
            <w:pPr>
              <w:spacing w:after="0" w:line="240" w:lineRule="auto"/>
              <w:jc w:val="center"/>
              <w:rPr>
                <w:b/>
                <w:bCs/>
                <w:sz w:val="20"/>
                <w:szCs w:val="20"/>
              </w:rPr>
            </w:pPr>
            <w:r w:rsidRPr="00BD77D8">
              <w:rPr>
                <w:b/>
                <w:bCs/>
                <w:sz w:val="20"/>
                <w:szCs w:val="20"/>
              </w:rPr>
              <w:t>for Seniors and Disability Services and Minister for Aboriginal and Torres Strait Islander Partnerships</w:t>
            </w:r>
          </w:p>
        </w:tc>
        <w:tc>
          <w:tcPr>
            <w:tcW w:w="2668" w:type="dxa"/>
            <w:gridSpan w:val="2"/>
            <w:tcBorders>
              <w:top w:val="nil"/>
              <w:left w:val="nil"/>
              <w:bottom w:val="nil"/>
              <w:right w:val="nil"/>
            </w:tcBorders>
            <w:shd w:val="clear" w:color="auto" w:fill="F2F2F2"/>
            <w:vAlign w:val="center"/>
          </w:tcPr>
          <w:p w14:paraId="1DD85445" w14:textId="77777777" w:rsidR="00FD614C" w:rsidRPr="00BD77D8" w:rsidRDefault="00FD614C" w:rsidP="004607C5">
            <w:pPr>
              <w:spacing w:after="0" w:line="240" w:lineRule="auto"/>
              <w:jc w:val="center"/>
              <w:rPr>
                <w:sz w:val="20"/>
                <w:szCs w:val="20"/>
              </w:rPr>
            </w:pPr>
            <w:bookmarkStart w:id="48" w:name="_Hlk81912259"/>
          </w:p>
          <w:p w14:paraId="0F259344" w14:textId="77777777" w:rsidR="00FD614C" w:rsidRPr="00BD77D8" w:rsidRDefault="00FD614C" w:rsidP="004607C5">
            <w:pPr>
              <w:spacing w:after="0" w:line="240" w:lineRule="auto"/>
              <w:jc w:val="center"/>
              <w:rPr>
                <w:sz w:val="20"/>
                <w:szCs w:val="20"/>
              </w:rPr>
            </w:pPr>
            <w:r w:rsidRPr="00BD77D8">
              <w:rPr>
                <w:sz w:val="20"/>
                <w:szCs w:val="20"/>
              </w:rPr>
              <w:t>COMMISSIONERS</w:t>
            </w:r>
          </w:p>
          <w:p w14:paraId="2F8F5406" w14:textId="77777777" w:rsidR="00FD614C" w:rsidRPr="00BD77D8" w:rsidRDefault="00FD614C" w:rsidP="004607C5">
            <w:pPr>
              <w:spacing w:after="0" w:line="240" w:lineRule="auto"/>
              <w:jc w:val="center"/>
              <w:rPr>
                <w:sz w:val="20"/>
                <w:szCs w:val="20"/>
              </w:rPr>
            </w:pPr>
          </w:p>
          <w:p w14:paraId="28972620" w14:textId="77777777" w:rsidR="00FD614C" w:rsidRPr="00BD77D8" w:rsidRDefault="00FD614C" w:rsidP="004607C5">
            <w:pPr>
              <w:spacing w:after="60" w:line="240" w:lineRule="auto"/>
              <w:jc w:val="center"/>
              <w:rPr>
                <w:sz w:val="20"/>
                <w:szCs w:val="20"/>
              </w:rPr>
            </w:pPr>
            <w:r w:rsidRPr="00BD77D8">
              <w:rPr>
                <w:sz w:val="20"/>
                <w:szCs w:val="20"/>
              </w:rPr>
              <w:t>Family Responsibilities Commission</w:t>
            </w:r>
            <w:bookmarkEnd w:id="48"/>
            <w:r w:rsidRPr="00BD77D8">
              <w:rPr>
                <w:sz w:val="20"/>
                <w:szCs w:val="20"/>
              </w:rPr>
              <w:t xml:space="preserve"> </w:t>
            </w:r>
          </w:p>
          <w:p w14:paraId="499E5917" w14:textId="77777777" w:rsidR="00FD614C" w:rsidRPr="00BD77D8" w:rsidRDefault="00FD614C" w:rsidP="004607C5">
            <w:pPr>
              <w:spacing w:after="60" w:line="240" w:lineRule="auto"/>
              <w:jc w:val="center"/>
              <w:rPr>
                <w:sz w:val="20"/>
                <w:szCs w:val="20"/>
              </w:rPr>
            </w:pPr>
            <w:proofErr w:type="spellStart"/>
            <w:r w:rsidRPr="00BD77D8">
              <w:rPr>
                <w:sz w:val="20"/>
                <w:szCs w:val="20"/>
              </w:rPr>
              <w:t>Meriba</w:t>
            </w:r>
            <w:proofErr w:type="spellEnd"/>
            <w:r w:rsidRPr="00BD77D8">
              <w:rPr>
                <w:sz w:val="20"/>
                <w:szCs w:val="20"/>
              </w:rPr>
              <w:t xml:space="preserve"> </w:t>
            </w:r>
            <w:proofErr w:type="spellStart"/>
            <w:r w:rsidRPr="00BD77D8">
              <w:rPr>
                <w:sz w:val="20"/>
                <w:szCs w:val="20"/>
              </w:rPr>
              <w:t>Omasker</w:t>
            </w:r>
            <w:proofErr w:type="spellEnd"/>
            <w:r w:rsidRPr="00BD77D8">
              <w:rPr>
                <w:sz w:val="20"/>
                <w:szCs w:val="20"/>
              </w:rPr>
              <w:t xml:space="preserve"> </w:t>
            </w:r>
            <w:proofErr w:type="spellStart"/>
            <w:r w:rsidRPr="00BD77D8">
              <w:rPr>
                <w:sz w:val="20"/>
                <w:szCs w:val="20"/>
              </w:rPr>
              <w:t>Kaziw</w:t>
            </w:r>
            <w:proofErr w:type="spellEnd"/>
            <w:r w:rsidRPr="00BD77D8">
              <w:rPr>
                <w:sz w:val="20"/>
                <w:szCs w:val="20"/>
              </w:rPr>
              <w:t xml:space="preserve"> </w:t>
            </w:r>
            <w:proofErr w:type="spellStart"/>
            <w:r w:rsidRPr="00BD77D8">
              <w:rPr>
                <w:sz w:val="20"/>
                <w:szCs w:val="20"/>
              </w:rPr>
              <w:t>Kazipa</w:t>
            </w:r>
            <w:proofErr w:type="spellEnd"/>
          </w:p>
          <w:p w14:paraId="5ACC9B6C" w14:textId="77777777" w:rsidR="00FD614C" w:rsidRPr="00BD77D8" w:rsidRDefault="00FD614C" w:rsidP="004607C5">
            <w:pPr>
              <w:spacing w:after="0" w:line="240" w:lineRule="auto"/>
              <w:jc w:val="center"/>
              <w:rPr>
                <w:sz w:val="20"/>
                <w:szCs w:val="20"/>
              </w:rPr>
            </w:pPr>
          </w:p>
        </w:tc>
      </w:tr>
      <w:tr w:rsidR="00BD77D8" w:rsidRPr="00BD77D8" w14:paraId="752F366F" w14:textId="77777777" w:rsidTr="004607C5">
        <w:trPr>
          <w:trHeight w:val="1134"/>
        </w:trPr>
        <w:tc>
          <w:tcPr>
            <w:tcW w:w="2689" w:type="dxa"/>
            <w:gridSpan w:val="2"/>
            <w:tcBorders>
              <w:top w:val="nil"/>
              <w:left w:val="nil"/>
              <w:bottom w:val="nil"/>
              <w:right w:val="nil"/>
            </w:tcBorders>
            <w:shd w:val="clear" w:color="auto" w:fill="F2F2F2"/>
            <w:tcMar>
              <w:top w:w="28" w:type="dxa"/>
              <w:bottom w:w="28" w:type="dxa"/>
            </w:tcMar>
            <w:vAlign w:val="center"/>
          </w:tcPr>
          <w:p w14:paraId="46A12D8D" w14:textId="77777777" w:rsidR="00FD614C" w:rsidRPr="00BD77D8" w:rsidRDefault="00FD614C" w:rsidP="004607C5">
            <w:pPr>
              <w:spacing w:after="0" w:line="240" w:lineRule="auto"/>
              <w:jc w:val="center"/>
              <w:rPr>
                <w:sz w:val="20"/>
                <w:szCs w:val="20"/>
              </w:rPr>
            </w:pPr>
            <w:r w:rsidRPr="00BD77D8">
              <w:rPr>
                <w:sz w:val="20"/>
                <w:szCs w:val="20"/>
              </w:rPr>
              <w:t>INTERNAL AUDIT</w:t>
            </w:r>
          </w:p>
          <w:p w14:paraId="305D51F7" w14:textId="77777777" w:rsidR="00FD614C" w:rsidRPr="00BD77D8" w:rsidRDefault="00FD614C" w:rsidP="004607C5">
            <w:pPr>
              <w:spacing w:after="0" w:line="240" w:lineRule="auto"/>
              <w:jc w:val="center"/>
              <w:rPr>
                <w:sz w:val="20"/>
                <w:szCs w:val="20"/>
              </w:rPr>
            </w:pPr>
            <w:r w:rsidRPr="00BD77D8">
              <w:rPr>
                <w:sz w:val="20"/>
                <w:szCs w:val="20"/>
              </w:rPr>
              <w:t>LEGAL AFFAIRS UNIT</w:t>
            </w:r>
          </w:p>
        </w:tc>
        <w:tc>
          <w:tcPr>
            <w:tcW w:w="5103" w:type="dxa"/>
            <w:gridSpan w:val="3"/>
            <w:tcBorders>
              <w:top w:val="nil"/>
              <w:left w:val="nil"/>
              <w:bottom w:val="nil"/>
              <w:right w:val="nil"/>
            </w:tcBorders>
            <w:shd w:val="clear" w:color="auto" w:fill="BFBFBF"/>
            <w:tcMar>
              <w:top w:w="28" w:type="dxa"/>
              <w:bottom w:w="28" w:type="dxa"/>
            </w:tcMar>
            <w:vAlign w:val="center"/>
          </w:tcPr>
          <w:p w14:paraId="071E3F1C" w14:textId="77777777" w:rsidR="00FD614C" w:rsidRPr="00BD77D8" w:rsidRDefault="00FD614C" w:rsidP="004607C5">
            <w:pPr>
              <w:spacing w:after="0" w:line="240" w:lineRule="auto"/>
              <w:jc w:val="center"/>
              <w:rPr>
                <w:b/>
                <w:bCs/>
                <w:sz w:val="20"/>
                <w:szCs w:val="20"/>
              </w:rPr>
            </w:pPr>
            <w:r w:rsidRPr="00BD77D8">
              <w:rPr>
                <w:b/>
                <w:bCs/>
                <w:sz w:val="20"/>
                <w:szCs w:val="20"/>
              </w:rPr>
              <w:t>DIRECTOR-GENERAL</w:t>
            </w:r>
          </w:p>
          <w:p w14:paraId="2E67C880" w14:textId="77777777" w:rsidR="00FD614C" w:rsidRPr="00BD77D8" w:rsidRDefault="00FD614C" w:rsidP="004607C5">
            <w:pPr>
              <w:spacing w:after="0" w:line="240" w:lineRule="auto"/>
              <w:jc w:val="center"/>
              <w:rPr>
                <w:b/>
                <w:bCs/>
                <w:sz w:val="20"/>
                <w:szCs w:val="20"/>
              </w:rPr>
            </w:pPr>
            <w:r w:rsidRPr="00BD77D8">
              <w:rPr>
                <w:b/>
                <w:bCs/>
                <w:sz w:val="20"/>
                <w:szCs w:val="20"/>
              </w:rPr>
              <w:t>Department of Seniors, Disability Services and Aboriginal and Torres Strait Islander Partnerships</w:t>
            </w:r>
          </w:p>
        </w:tc>
        <w:tc>
          <w:tcPr>
            <w:tcW w:w="2668" w:type="dxa"/>
            <w:gridSpan w:val="2"/>
            <w:tcBorders>
              <w:top w:val="nil"/>
              <w:left w:val="nil"/>
              <w:bottom w:val="nil"/>
              <w:right w:val="nil"/>
            </w:tcBorders>
            <w:shd w:val="clear" w:color="auto" w:fill="F2F2F2"/>
            <w:vAlign w:val="center"/>
          </w:tcPr>
          <w:p w14:paraId="5E839A3C" w14:textId="77777777" w:rsidR="00FD614C" w:rsidRPr="00BD77D8" w:rsidRDefault="00FD614C" w:rsidP="004607C5">
            <w:pPr>
              <w:spacing w:after="0" w:line="240" w:lineRule="auto"/>
              <w:jc w:val="center"/>
              <w:rPr>
                <w:sz w:val="20"/>
                <w:szCs w:val="20"/>
              </w:rPr>
            </w:pPr>
            <w:r w:rsidRPr="00BD77D8">
              <w:rPr>
                <w:sz w:val="20"/>
                <w:szCs w:val="20"/>
              </w:rPr>
              <w:t>EXECUTIVE DIRECTOR</w:t>
            </w:r>
          </w:p>
          <w:p w14:paraId="79C0D16D" w14:textId="77777777" w:rsidR="00FD614C" w:rsidRPr="00BD77D8" w:rsidRDefault="00FD614C" w:rsidP="004607C5">
            <w:pPr>
              <w:spacing w:after="0" w:line="240" w:lineRule="auto"/>
              <w:jc w:val="center"/>
              <w:rPr>
                <w:sz w:val="20"/>
                <w:szCs w:val="20"/>
              </w:rPr>
            </w:pPr>
            <w:r w:rsidRPr="00BD77D8">
              <w:rPr>
                <w:sz w:val="20"/>
                <w:szCs w:val="20"/>
              </w:rPr>
              <w:t>Strategic Transition</w:t>
            </w:r>
          </w:p>
        </w:tc>
      </w:tr>
      <w:tr w:rsidR="00BD77D8" w:rsidRPr="00BD77D8" w14:paraId="030C520B" w14:textId="77777777" w:rsidTr="004607C5">
        <w:tc>
          <w:tcPr>
            <w:tcW w:w="2092" w:type="dxa"/>
            <w:tcBorders>
              <w:top w:val="nil"/>
              <w:left w:val="nil"/>
              <w:bottom w:val="nil"/>
              <w:right w:val="single" w:sz="4" w:space="0" w:color="auto"/>
            </w:tcBorders>
            <w:shd w:val="clear" w:color="auto" w:fill="D9D9D9"/>
            <w:tcMar>
              <w:top w:w="28" w:type="dxa"/>
              <w:bottom w:w="28" w:type="dxa"/>
            </w:tcMar>
            <w:vAlign w:val="center"/>
          </w:tcPr>
          <w:p w14:paraId="2F4839A2" w14:textId="77777777" w:rsidR="00FD614C" w:rsidRPr="00BD77D8" w:rsidRDefault="00FD614C" w:rsidP="004607C5">
            <w:pPr>
              <w:spacing w:after="0" w:line="240" w:lineRule="auto"/>
              <w:jc w:val="center"/>
              <w:rPr>
                <w:sz w:val="20"/>
                <w:szCs w:val="20"/>
              </w:rPr>
            </w:pPr>
            <w:r w:rsidRPr="00BD77D8">
              <w:rPr>
                <w:sz w:val="20"/>
                <w:szCs w:val="20"/>
              </w:rPr>
              <w:t>DEPUTY DIRECTOR-GENERAL</w:t>
            </w:r>
          </w:p>
          <w:p w14:paraId="00D7D8B1" w14:textId="77777777" w:rsidR="00FD614C" w:rsidRPr="00BD77D8" w:rsidRDefault="00FD614C" w:rsidP="004607C5">
            <w:pPr>
              <w:spacing w:after="0" w:line="240" w:lineRule="auto"/>
              <w:jc w:val="center"/>
              <w:rPr>
                <w:sz w:val="20"/>
                <w:szCs w:val="20"/>
              </w:rPr>
            </w:pPr>
            <w:r w:rsidRPr="00BD77D8">
              <w:rPr>
                <w:sz w:val="20"/>
                <w:szCs w:val="20"/>
              </w:rPr>
              <w:t>Disability and Seniors Connect</w:t>
            </w:r>
          </w:p>
        </w:tc>
        <w:tc>
          <w:tcPr>
            <w:tcW w:w="2092" w:type="dxa"/>
            <w:gridSpan w:val="2"/>
            <w:tcBorders>
              <w:top w:val="nil"/>
              <w:left w:val="single" w:sz="4" w:space="0" w:color="auto"/>
              <w:bottom w:val="nil"/>
              <w:right w:val="single" w:sz="4" w:space="0" w:color="auto"/>
            </w:tcBorders>
            <w:shd w:val="clear" w:color="auto" w:fill="D9D9D9"/>
            <w:tcMar>
              <w:top w:w="28" w:type="dxa"/>
              <w:bottom w:w="28" w:type="dxa"/>
            </w:tcMar>
            <w:vAlign w:val="center"/>
          </w:tcPr>
          <w:p w14:paraId="73A0B3CC" w14:textId="77777777" w:rsidR="00FD614C" w:rsidRPr="00BD77D8" w:rsidRDefault="00FD614C" w:rsidP="004607C5">
            <w:pPr>
              <w:spacing w:after="0" w:line="240" w:lineRule="auto"/>
              <w:jc w:val="center"/>
              <w:rPr>
                <w:sz w:val="20"/>
                <w:szCs w:val="20"/>
              </w:rPr>
            </w:pPr>
            <w:r w:rsidRPr="00BD77D8">
              <w:rPr>
                <w:sz w:val="20"/>
                <w:szCs w:val="20"/>
              </w:rPr>
              <w:t>DEPUTY DIRECTOR-GENERAL</w:t>
            </w:r>
          </w:p>
          <w:p w14:paraId="771E8D79" w14:textId="77777777" w:rsidR="00FD614C" w:rsidRPr="00BD77D8" w:rsidRDefault="00FD614C" w:rsidP="004607C5">
            <w:pPr>
              <w:spacing w:after="0" w:line="240" w:lineRule="auto"/>
              <w:jc w:val="center"/>
              <w:rPr>
                <w:sz w:val="20"/>
                <w:szCs w:val="20"/>
              </w:rPr>
            </w:pPr>
            <w:r w:rsidRPr="00BD77D8">
              <w:rPr>
                <w:sz w:val="20"/>
                <w:szCs w:val="20"/>
              </w:rPr>
              <w:t>Disability Accommodation, Respite and Forensic Services</w:t>
            </w:r>
          </w:p>
        </w:tc>
        <w:tc>
          <w:tcPr>
            <w:tcW w:w="2092" w:type="dxa"/>
            <w:tcBorders>
              <w:top w:val="nil"/>
              <w:left w:val="single" w:sz="4" w:space="0" w:color="auto"/>
              <w:bottom w:val="nil"/>
              <w:right w:val="single" w:sz="4" w:space="0" w:color="auto"/>
            </w:tcBorders>
            <w:shd w:val="clear" w:color="auto" w:fill="D9D9D9"/>
            <w:tcMar>
              <w:top w:w="28" w:type="dxa"/>
              <w:bottom w:w="28" w:type="dxa"/>
            </w:tcMar>
            <w:vAlign w:val="center"/>
          </w:tcPr>
          <w:p w14:paraId="6A2643C8" w14:textId="77777777" w:rsidR="00FD614C" w:rsidRPr="00BD77D8" w:rsidRDefault="00FD614C" w:rsidP="004607C5">
            <w:pPr>
              <w:spacing w:after="0" w:line="240" w:lineRule="auto"/>
              <w:jc w:val="center"/>
              <w:rPr>
                <w:sz w:val="20"/>
                <w:szCs w:val="20"/>
              </w:rPr>
            </w:pPr>
            <w:r w:rsidRPr="00BD77D8">
              <w:rPr>
                <w:sz w:val="20"/>
                <w:szCs w:val="20"/>
              </w:rPr>
              <w:t>DEPUTY DIRECTOR-GENERAL</w:t>
            </w:r>
          </w:p>
          <w:p w14:paraId="59032DFD" w14:textId="77777777" w:rsidR="00FD614C" w:rsidRPr="00BD77D8" w:rsidRDefault="00FD614C" w:rsidP="004607C5">
            <w:pPr>
              <w:spacing w:after="0" w:line="240" w:lineRule="auto"/>
              <w:jc w:val="center"/>
              <w:rPr>
                <w:sz w:val="20"/>
                <w:szCs w:val="20"/>
              </w:rPr>
            </w:pPr>
            <w:r w:rsidRPr="00BD77D8">
              <w:rPr>
                <w:sz w:val="20"/>
                <w:szCs w:val="20"/>
              </w:rPr>
              <w:t>Strategic Policy, Legislation and Program Reform</w:t>
            </w:r>
          </w:p>
        </w:tc>
        <w:tc>
          <w:tcPr>
            <w:tcW w:w="2092" w:type="dxa"/>
            <w:gridSpan w:val="2"/>
            <w:tcBorders>
              <w:top w:val="nil"/>
              <w:left w:val="single" w:sz="4" w:space="0" w:color="auto"/>
              <w:bottom w:val="nil"/>
              <w:right w:val="single" w:sz="4" w:space="0" w:color="auto"/>
            </w:tcBorders>
            <w:shd w:val="clear" w:color="auto" w:fill="D9D9D9"/>
            <w:tcMar>
              <w:top w:w="28" w:type="dxa"/>
              <w:bottom w:w="28" w:type="dxa"/>
            </w:tcMar>
            <w:vAlign w:val="center"/>
          </w:tcPr>
          <w:p w14:paraId="6A08370C" w14:textId="77777777" w:rsidR="00FD614C" w:rsidRPr="00BD77D8" w:rsidRDefault="00FD614C" w:rsidP="004607C5">
            <w:pPr>
              <w:spacing w:after="0" w:line="240" w:lineRule="auto"/>
              <w:jc w:val="center"/>
              <w:rPr>
                <w:sz w:val="20"/>
                <w:szCs w:val="20"/>
              </w:rPr>
            </w:pPr>
            <w:r w:rsidRPr="00BD77D8">
              <w:rPr>
                <w:sz w:val="20"/>
                <w:szCs w:val="20"/>
              </w:rPr>
              <w:t>DEPUTY DIRECTOR-GENERAL</w:t>
            </w:r>
          </w:p>
          <w:p w14:paraId="5834B607" w14:textId="77777777" w:rsidR="00FD614C" w:rsidRPr="00BD77D8" w:rsidRDefault="00FD614C" w:rsidP="004607C5">
            <w:pPr>
              <w:spacing w:after="0" w:line="240" w:lineRule="auto"/>
              <w:jc w:val="center"/>
              <w:rPr>
                <w:sz w:val="20"/>
                <w:szCs w:val="20"/>
              </w:rPr>
            </w:pPr>
            <w:r w:rsidRPr="00BD77D8">
              <w:rPr>
                <w:sz w:val="20"/>
                <w:szCs w:val="20"/>
              </w:rPr>
              <w:t>Culture and Economic Participation (Aboriginal and Torres Strait Islander Partnerships)</w:t>
            </w:r>
          </w:p>
        </w:tc>
        <w:tc>
          <w:tcPr>
            <w:tcW w:w="2092" w:type="dxa"/>
            <w:tcBorders>
              <w:top w:val="nil"/>
              <w:left w:val="single" w:sz="4" w:space="0" w:color="auto"/>
              <w:bottom w:val="nil"/>
              <w:right w:val="nil"/>
            </w:tcBorders>
            <w:shd w:val="clear" w:color="auto" w:fill="D9D9D9"/>
            <w:vAlign w:val="center"/>
          </w:tcPr>
          <w:p w14:paraId="79380F3E" w14:textId="77777777" w:rsidR="00FD614C" w:rsidRPr="00BD77D8" w:rsidRDefault="00FD614C" w:rsidP="004607C5">
            <w:pPr>
              <w:spacing w:after="0" w:line="240" w:lineRule="auto"/>
              <w:jc w:val="center"/>
              <w:rPr>
                <w:sz w:val="20"/>
                <w:szCs w:val="20"/>
              </w:rPr>
            </w:pPr>
            <w:r w:rsidRPr="00BD77D8">
              <w:rPr>
                <w:sz w:val="20"/>
                <w:szCs w:val="20"/>
              </w:rPr>
              <w:t>DEPUTY DIRECTOR-GENERAL</w:t>
            </w:r>
          </w:p>
          <w:p w14:paraId="76ADC285" w14:textId="77777777" w:rsidR="00FD614C" w:rsidRPr="00BD77D8" w:rsidRDefault="00FD614C" w:rsidP="004607C5">
            <w:pPr>
              <w:spacing w:after="0" w:line="240" w:lineRule="auto"/>
              <w:jc w:val="center"/>
              <w:rPr>
                <w:sz w:val="20"/>
                <w:szCs w:val="20"/>
              </w:rPr>
            </w:pPr>
            <w:r w:rsidRPr="00BD77D8">
              <w:rPr>
                <w:sz w:val="20"/>
                <w:szCs w:val="20"/>
              </w:rPr>
              <w:t>Corporate Services</w:t>
            </w:r>
          </w:p>
        </w:tc>
      </w:tr>
      <w:tr w:rsidR="00BD77D8" w:rsidRPr="00BD77D8" w14:paraId="16FCD031" w14:textId="77777777" w:rsidTr="004607C5">
        <w:trPr>
          <w:trHeight w:val="1077"/>
        </w:trPr>
        <w:tc>
          <w:tcPr>
            <w:tcW w:w="2092" w:type="dxa"/>
            <w:tcBorders>
              <w:top w:val="nil"/>
              <w:left w:val="nil"/>
              <w:bottom w:val="nil"/>
              <w:right w:val="single" w:sz="4" w:space="0" w:color="auto"/>
            </w:tcBorders>
            <w:shd w:val="clear" w:color="auto" w:fill="F2F2F2"/>
            <w:tcMar>
              <w:top w:w="28" w:type="dxa"/>
              <w:bottom w:w="28" w:type="dxa"/>
            </w:tcMar>
            <w:vAlign w:val="center"/>
          </w:tcPr>
          <w:p w14:paraId="0AB42EDD" w14:textId="77777777" w:rsidR="00FD614C" w:rsidRPr="00BD77D8" w:rsidRDefault="00FD614C" w:rsidP="004607C5">
            <w:pPr>
              <w:spacing w:after="0" w:line="240" w:lineRule="auto"/>
              <w:jc w:val="center"/>
              <w:rPr>
                <w:sz w:val="20"/>
                <w:szCs w:val="20"/>
              </w:rPr>
            </w:pPr>
            <w:r w:rsidRPr="00BD77D8">
              <w:rPr>
                <w:sz w:val="20"/>
                <w:szCs w:val="20"/>
              </w:rPr>
              <w:t xml:space="preserve">EXECUTIVE DIRECTOR </w:t>
            </w:r>
          </w:p>
          <w:p w14:paraId="3D7696F9" w14:textId="77777777" w:rsidR="00FD614C" w:rsidRPr="00BD77D8" w:rsidRDefault="00FD614C" w:rsidP="004607C5">
            <w:pPr>
              <w:spacing w:after="0" w:line="240" w:lineRule="auto"/>
              <w:jc w:val="center"/>
              <w:rPr>
                <w:sz w:val="20"/>
                <w:szCs w:val="20"/>
              </w:rPr>
            </w:pPr>
            <w:r w:rsidRPr="00BD77D8">
              <w:rPr>
                <w:sz w:val="20"/>
                <w:szCs w:val="20"/>
              </w:rPr>
              <w:t>Inclusion, Programs and Safeguards</w:t>
            </w:r>
          </w:p>
          <w:p w14:paraId="098AB241" w14:textId="77777777" w:rsidR="00FD614C" w:rsidRPr="00BD77D8" w:rsidRDefault="00FD614C" w:rsidP="004607C5">
            <w:pPr>
              <w:spacing w:after="0" w:line="240" w:lineRule="auto"/>
              <w:jc w:val="center"/>
              <w:rPr>
                <w:sz w:val="20"/>
                <w:szCs w:val="20"/>
              </w:rPr>
            </w:pPr>
          </w:p>
        </w:tc>
        <w:tc>
          <w:tcPr>
            <w:tcW w:w="2092" w:type="dxa"/>
            <w:gridSpan w:val="2"/>
            <w:tcBorders>
              <w:top w:val="nil"/>
              <w:left w:val="single" w:sz="4" w:space="0" w:color="auto"/>
              <w:bottom w:val="nil"/>
              <w:right w:val="single" w:sz="4" w:space="0" w:color="auto"/>
            </w:tcBorders>
            <w:shd w:val="clear" w:color="auto" w:fill="F2F2F2"/>
            <w:tcMar>
              <w:top w:w="28" w:type="dxa"/>
              <w:bottom w:w="28" w:type="dxa"/>
            </w:tcMar>
            <w:vAlign w:val="center"/>
          </w:tcPr>
          <w:p w14:paraId="28E53012" w14:textId="77777777" w:rsidR="00FD614C" w:rsidRPr="00BD77D8" w:rsidRDefault="00FD614C" w:rsidP="004607C5">
            <w:pPr>
              <w:spacing w:after="0" w:line="240" w:lineRule="auto"/>
              <w:jc w:val="center"/>
              <w:rPr>
                <w:sz w:val="20"/>
                <w:szCs w:val="20"/>
              </w:rPr>
            </w:pPr>
            <w:r w:rsidRPr="00BD77D8">
              <w:rPr>
                <w:sz w:val="20"/>
                <w:szCs w:val="20"/>
              </w:rPr>
              <w:t>ADMINISTRATOR</w:t>
            </w:r>
          </w:p>
          <w:p w14:paraId="7B71EED0" w14:textId="77777777" w:rsidR="00FD614C" w:rsidRPr="00BD77D8" w:rsidRDefault="00FD614C" w:rsidP="004607C5">
            <w:pPr>
              <w:spacing w:after="0" w:line="240" w:lineRule="auto"/>
              <w:jc w:val="center"/>
              <w:rPr>
                <w:sz w:val="20"/>
                <w:szCs w:val="20"/>
              </w:rPr>
            </w:pPr>
            <w:r w:rsidRPr="00BD77D8">
              <w:rPr>
                <w:sz w:val="20"/>
                <w:szCs w:val="20"/>
              </w:rPr>
              <w:t>Forensic Disability Service</w:t>
            </w:r>
          </w:p>
        </w:tc>
        <w:tc>
          <w:tcPr>
            <w:tcW w:w="2092" w:type="dxa"/>
            <w:tcBorders>
              <w:top w:val="nil"/>
              <w:left w:val="single" w:sz="4" w:space="0" w:color="auto"/>
              <w:bottom w:val="nil"/>
              <w:right w:val="single" w:sz="4" w:space="0" w:color="auto"/>
            </w:tcBorders>
            <w:shd w:val="clear" w:color="auto" w:fill="F2F2F2"/>
            <w:tcMar>
              <w:top w:w="28" w:type="dxa"/>
              <w:bottom w:w="28" w:type="dxa"/>
            </w:tcMar>
            <w:vAlign w:val="center"/>
          </w:tcPr>
          <w:p w14:paraId="5CE39E51" w14:textId="77777777" w:rsidR="00FD614C" w:rsidRPr="00BD77D8" w:rsidRDefault="00FD614C" w:rsidP="004607C5">
            <w:pPr>
              <w:spacing w:after="0" w:line="240" w:lineRule="auto"/>
              <w:jc w:val="center"/>
              <w:rPr>
                <w:sz w:val="20"/>
                <w:szCs w:val="20"/>
              </w:rPr>
            </w:pPr>
            <w:r w:rsidRPr="00BD77D8">
              <w:rPr>
                <w:sz w:val="20"/>
                <w:szCs w:val="20"/>
              </w:rPr>
              <w:t>EXECUTIVE DIRECTOR</w:t>
            </w:r>
          </w:p>
          <w:p w14:paraId="233D73E7" w14:textId="77777777" w:rsidR="00FD614C" w:rsidRPr="00BD77D8" w:rsidRDefault="00FD614C" w:rsidP="004607C5">
            <w:pPr>
              <w:spacing w:after="0" w:line="240" w:lineRule="auto"/>
              <w:jc w:val="center"/>
              <w:rPr>
                <w:sz w:val="20"/>
                <w:szCs w:val="20"/>
              </w:rPr>
            </w:pPr>
            <w:r w:rsidRPr="00BD77D8">
              <w:rPr>
                <w:sz w:val="20"/>
                <w:szCs w:val="20"/>
              </w:rPr>
              <w:t>Strategic Policy and Legislation - Seniors and Disability Services</w:t>
            </w:r>
          </w:p>
        </w:tc>
        <w:tc>
          <w:tcPr>
            <w:tcW w:w="2092" w:type="dxa"/>
            <w:gridSpan w:val="2"/>
            <w:tcBorders>
              <w:top w:val="nil"/>
              <w:left w:val="single" w:sz="4" w:space="0" w:color="auto"/>
              <w:bottom w:val="nil"/>
              <w:right w:val="single" w:sz="4" w:space="0" w:color="auto"/>
            </w:tcBorders>
            <w:shd w:val="clear" w:color="auto" w:fill="F2F2F2"/>
            <w:tcMar>
              <w:top w:w="28" w:type="dxa"/>
              <w:bottom w:w="28" w:type="dxa"/>
            </w:tcMar>
            <w:vAlign w:val="center"/>
          </w:tcPr>
          <w:p w14:paraId="07941CAB" w14:textId="77777777" w:rsidR="00FD614C" w:rsidRPr="00BD77D8" w:rsidRDefault="00FD614C" w:rsidP="004607C5">
            <w:pPr>
              <w:spacing w:after="0" w:line="240" w:lineRule="auto"/>
              <w:jc w:val="center"/>
              <w:rPr>
                <w:sz w:val="20"/>
                <w:szCs w:val="20"/>
              </w:rPr>
            </w:pPr>
            <w:r w:rsidRPr="00BD77D8">
              <w:rPr>
                <w:sz w:val="20"/>
                <w:szCs w:val="20"/>
              </w:rPr>
              <w:t>EXECUTIVE DIRECTOR</w:t>
            </w:r>
          </w:p>
          <w:p w14:paraId="581C84FE" w14:textId="77777777" w:rsidR="00FD614C" w:rsidRPr="00BD77D8" w:rsidRDefault="00FD614C" w:rsidP="004607C5">
            <w:pPr>
              <w:spacing w:after="0" w:line="240" w:lineRule="auto"/>
              <w:jc w:val="center"/>
              <w:rPr>
                <w:sz w:val="20"/>
                <w:szCs w:val="20"/>
              </w:rPr>
            </w:pPr>
            <w:r w:rsidRPr="00BD77D8">
              <w:rPr>
                <w:sz w:val="20"/>
                <w:szCs w:val="20"/>
              </w:rPr>
              <w:t>Culture and Economic Participation</w:t>
            </w:r>
          </w:p>
        </w:tc>
        <w:tc>
          <w:tcPr>
            <w:tcW w:w="2092" w:type="dxa"/>
            <w:tcBorders>
              <w:top w:val="nil"/>
              <w:left w:val="single" w:sz="4" w:space="0" w:color="auto"/>
              <w:bottom w:val="nil"/>
              <w:right w:val="nil"/>
            </w:tcBorders>
            <w:shd w:val="clear" w:color="auto" w:fill="F2F2F2"/>
            <w:vAlign w:val="center"/>
          </w:tcPr>
          <w:p w14:paraId="5926D8F1" w14:textId="77777777" w:rsidR="00FD614C" w:rsidRPr="00BD77D8" w:rsidRDefault="00FD614C" w:rsidP="004607C5">
            <w:pPr>
              <w:spacing w:after="0" w:line="240" w:lineRule="auto"/>
              <w:jc w:val="center"/>
              <w:rPr>
                <w:sz w:val="20"/>
                <w:szCs w:val="20"/>
              </w:rPr>
            </w:pPr>
            <w:r w:rsidRPr="00BD77D8">
              <w:rPr>
                <w:sz w:val="20"/>
                <w:szCs w:val="20"/>
              </w:rPr>
              <w:t>CHIEF HUMAN RESOURCE OFFICER</w:t>
            </w:r>
          </w:p>
          <w:p w14:paraId="425D7921" w14:textId="77777777" w:rsidR="00FD614C" w:rsidRPr="00BD77D8" w:rsidRDefault="00FD614C" w:rsidP="004607C5">
            <w:pPr>
              <w:spacing w:after="0" w:line="240" w:lineRule="auto"/>
              <w:jc w:val="center"/>
              <w:rPr>
                <w:sz w:val="20"/>
                <w:szCs w:val="20"/>
              </w:rPr>
            </w:pPr>
            <w:r w:rsidRPr="00BD77D8">
              <w:rPr>
                <w:sz w:val="20"/>
                <w:szCs w:val="20"/>
              </w:rPr>
              <w:t>Human Resources and Ethical Standards</w:t>
            </w:r>
          </w:p>
        </w:tc>
      </w:tr>
      <w:tr w:rsidR="00BD77D8" w:rsidRPr="00BD77D8" w14:paraId="435179D5" w14:textId="77777777" w:rsidTr="004607C5">
        <w:trPr>
          <w:trHeight w:val="1077"/>
        </w:trPr>
        <w:tc>
          <w:tcPr>
            <w:tcW w:w="2092" w:type="dxa"/>
            <w:tcBorders>
              <w:top w:val="nil"/>
              <w:left w:val="nil"/>
              <w:bottom w:val="nil"/>
              <w:right w:val="single" w:sz="4" w:space="0" w:color="auto"/>
            </w:tcBorders>
            <w:shd w:val="clear" w:color="auto" w:fill="F2F2F2"/>
            <w:tcMar>
              <w:top w:w="28" w:type="dxa"/>
              <w:bottom w:w="28" w:type="dxa"/>
            </w:tcMar>
            <w:vAlign w:val="center"/>
          </w:tcPr>
          <w:p w14:paraId="7BCB9C2C" w14:textId="77777777" w:rsidR="00FD614C" w:rsidRPr="00BD77D8" w:rsidRDefault="00FD614C" w:rsidP="004607C5">
            <w:pPr>
              <w:spacing w:after="0" w:line="240" w:lineRule="auto"/>
              <w:jc w:val="center"/>
              <w:rPr>
                <w:sz w:val="20"/>
                <w:szCs w:val="20"/>
              </w:rPr>
            </w:pPr>
          </w:p>
        </w:tc>
        <w:tc>
          <w:tcPr>
            <w:tcW w:w="2092" w:type="dxa"/>
            <w:gridSpan w:val="2"/>
            <w:tcBorders>
              <w:top w:val="nil"/>
              <w:left w:val="single" w:sz="4" w:space="0" w:color="auto"/>
              <w:bottom w:val="nil"/>
              <w:right w:val="single" w:sz="4" w:space="0" w:color="auto"/>
            </w:tcBorders>
            <w:shd w:val="clear" w:color="auto" w:fill="F2F2F2"/>
            <w:tcMar>
              <w:top w:w="28" w:type="dxa"/>
              <w:bottom w:w="28" w:type="dxa"/>
            </w:tcMar>
            <w:vAlign w:val="center"/>
          </w:tcPr>
          <w:p w14:paraId="4D3342EA" w14:textId="77777777" w:rsidR="00FD614C" w:rsidRPr="00BD77D8" w:rsidRDefault="00FD614C" w:rsidP="004607C5">
            <w:pPr>
              <w:spacing w:after="0" w:line="240" w:lineRule="auto"/>
              <w:jc w:val="center"/>
              <w:rPr>
                <w:sz w:val="20"/>
                <w:szCs w:val="20"/>
              </w:rPr>
            </w:pPr>
          </w:p>
        </w:tc>
        <w:tc>
          <w:tcPr>
            <w:tcW w:w="2092" w:type="dxa"/>
            <w:tcBorders>
              <w:top w:val="nil"/>
              <w:left w:val="single" w:sz="4" w:space="0" w:color="auto"/>
              <w:bottom w:val="nil"/>
              <w:right w:val="single" w:sz="4" w:space="0" w:color="auto"/>
            </w:tcBorders>
            <w:shd w:val="clear" w:color="auto" w:fill="F2F2F2"/>
            <w:tcMar>
              <w:top w:w="28" w:type="dxa"/>
              <w:bottom w:w="28" w:type="dxa"/>
            </w:tcMar>
            <w:vAlign w:val="center"/>
          </w:tcPr>
          <w:p w14:paraId="429AD975" w14:textId="77777777" w:rsidR="00FD614C" w:rsidRPr="00BD77D8" w:rsidRDefault="00FD614C" w:rsidP="004607C5">
            <w:pPr>
              <w:spacing w:after="0" w:line="240" w:lineRule="auto"/>
              <w:jc w:val="center"/>
              <w:rPr>
                <w:sz w:val="20"/>
                <w:szCs w:val="20"/>
              </w:rPr>
            </w:pPr>
            <w:r w:rsidRPr="00BD77D8">
              <w:rPr>
                <w:sz w:val="20"/>
                <w:szCs w:val="20"/>
              </w:rPr>
              <w:t>EXECUTIVE DIRECTOR</w:t>
            </w:r>
          </w:p>
          <w:p w14:paraId="49953E29" w14:textId="77777777" w:rsidR="00FD614C" w:rsidRPr="00BD77D8" w:rsidRDefault="00FD614C" w:rsidP="004607C5">
            <w:pPr>
              <w:spacing w:after="0" w:line="240" w:lineRule="auto"/>
              <w:jc w:val="center"/>
              <w:rPr>
                <w:sz w:val="20"/>
                <w:szCs w:val="20"/>
              </w:rPr>
            </w:pPr>
            <w:r w:rsidRPr="00BD77D8">
              <w:rPr>
                <w:sz w:val="20"/>
                <w:szCs w:val="20"/>
              </w:rPr>
              <w:t>Strategic Policy and Legislation -Aboriginal and Torres Strait Islander Partnerships</w:t>
            </w:r>
          </w:p>
        </w:tc>
        <w:tc>
          <w:tcPr>
            <w:tcW w:w="2092" w:type="dxa"/>
            <w:gridSpan w:val="2"/>
            <w:tcBorders>
              <w:top w:val="nil"/>
              <w:left w:val="single" w:sz="4" w:space="0" w:color="auto"/>
              <w:bottom w:val="nil"/>
              <w:right w:val="single" w:sz="4" w:space="0" w:color="auto"/>
            </w:tcBorders>
            <w:shd w:val="clear" w:color="auto" w:fill="F2F2F2"/>
            <w:tcMar>
              <w:top w:w="28" w:type="dxa"/>
              <w:bottom w:w="28" w:type="dxa"/>
            </w:tcMar>
            <w:vAlign w:val="center"/>
          </w:tcPr>
          <w:p w14:paraId="7D7E90DE" w14:textId="77777777" w:rsidR="00FD614C" w:rsidRPr="00BD77D8" w:rsidRDefault="00FD614C" w:rsidP="004607C5">
            <w:pPr>
              <w:spacing w:after="0" w:line="240" w:lineRule="auto"/>
              <w:jc w:val="center"/>
              <w:rPr>
                <w:sz w:val="20"/>
                <w:szCs w:val="20"/>
              </w:rPr>
            </w:pPr>
            <w:r w:rsidRPr="00BD77D8">
              <w:rPr>
                <w:sz w:val="20"/>
                <w:szCs w:val="20"/>
              </w:rPr>
              <w:t>EXECUTIVE DIRECTOR</w:t>
            </w:r>
          </w:p>
          <w:p w14:paraId="7B889D04" w14:textId="77777777" w:rsidR="00FD614C" w:rsidRPr="00BD77D8" w:rsidRDefault="00FD614C" w:rsidP="004607C5">
            <w:pPr>
              <w:spacing w:after="0" w:line="240" w:lineRule="auto"/>
              <w:jc w:val="center"/>
              <w:rPr>
                <w:sz w:val="20"/>
                <w:szCs w:val="20"/>
              </w:rPr>
            </w:pPr>
            <w:r w:rsidRPr="00BD77D8">
              <w:rPr>
                <w:sz w:val="20"/>
                <w:szCs w:val="20"/>
              </w:rPr>
              <w:t>Regional and Infrastructure Coordination</w:t>
            </w:r>
          </w:p>
        </w:tc>
        <w:tc>
          <w:tcPr>
            <w:tcW w:w="2092" w:type="dxa"/>
            <w:tcBorders>
              <w:top w:val="nil"/>
              <w:left w:val="single" w:sz="4" w:space="0" w:color="auto"/>
              <w:bottom w:val="nil"/>
              <w:right w:val="nil"/>
            </w:tcBorders>
            <w:shd w:val="clear" w:color="auto" w:fill="F2F2F2"/>
            <w:vAlign w:val="center"/>
          </w:tcPr>
          <w:p w14:paraId="42FC92C5" w14:textId="77777777" w:rsidR="00FD614C" w:rsidRPr="00BD77D8" w:rsidRDefault="00FD614C" w:rsidP="004607C5">
            <w:pPr>
              <w:spacing w:after="0" w:line="240" w:lineRule="auto"/>
              <w:jc w:val="center"/>
              <w:rPr>
                <w:sz w:val="20"/>
                <w:szCs w:val="20"/>
              </w:rPr>
            </w:pPr>
            <w:r w:rsidRPr="00BD77D8">
              <w:rPr>
                <w:sz w:val="20"/>
                <w:szCs w:val="20"/>
              </w:rPr>
              <w:t>CHIEF FINANCE OFFICER</w:t>
            </w:r>
          </w:p>
          <w:p w14:paraId="6E977431" w14:textId="77777777" w:rsidR="00FD614C" w:rsidRPr="00BD77D8" w:rsidRDefault="00FD614C" w:rsidP="004607C5">
            <w:pPr>
              <w:spacing w:after="0" w:line="240" w:lineRule="auto"/>
              <w:jc w:val="center"/>
              <w:rPr>
                <w:sz w:val="20"/>
                <w:szCs w:val="20"/>
              </w:rPr>
            </w:pPr>
            <w:r w:rsidRPr="00BD77D8">
              <w:rPr>
                <w:sz w:val="20"/>
                <w:szCs w:val="20"/>
              </w:rPr>
              <w:t>Finance, Procurement and Property Services</w:t>
            </w:r>
          </w:p>
        </w:tc>
      </w:tr>
      <w:tr w:rsidR="00BD77D8" w:rsidRPr="00BD77D8" w14:paraId="13DCEAC4" w14:textId="77777777" w:rsidTr="004607C5">
        <w:trPr>
          <w:trHeight w:val="1077"/>
        </w:trPr>
        <w:tc>
          <w:tcPr>
            <w:tcW w:w="2092" w:type="dxa"/>
            <w:tcBorders>
              <w:top w:val="nil"/>
              <w:left w:val="nil"/>
              <w:bottom w:val="nil"/>
              <w:right w:val="single" w:sz="4" w:space="0" w:color="auto"/>
            </w:tcBorders>
            <w:shd w:val="clear" w:color="auto" w:fill="F2F2F2"/>
            <w:tcMar>
              <w:top w:w="28" w:type="dxa"/>
              <w:bottom w:w="28" w:type="dxa"/>
            </w:tcMar>
          </w:tcPr>
          <w:p w14:paraId="27BBA7F0" w14:textId="77777777" w:rsidR="00FD614C" w:rsidRPr="00BD77D8" w:rsidRDefault="00FD614C" w:rsidP="004607C5">
            <w:pPr>
              <w:spacing w:after="0" w:line="240" w:lineRule="auto"/>
              <w:jc w:val="center"/>
              <w:rPr>
                <w:sz w:val="20"/>
                <w:szCs w:val="20"/>
              </w:rPr>
            </w:pPr>
          </w:p>
        </w:tc>
        <w:tc>
          <w:tcPr>
            <w:tcW w:w="2092" w:type="dxa"/>
            <w:gridSpan w:val="2"/>
            <w:tcBorders>
              <w:top w:val="nil"/>
              <w:left w:val="single" w:sz="4" w:space="0" w:color="auto"/>
              <w:bottom w:val="nil"/>
              <w:right w:val="single" w:sz="4" w:space="0" w:color="auto"/>
            </w:tcBorders>
            <w:shd w:val="clear" w:color="auto" w:fill="F2F2F2"/>
            <w:tcMar>
              <w:top w:w="28" w:type="dxa"/>
              <w:bottom w:w="28" w:type="dxa"/>
            </w:tcMar>
          </w:tcPr>
          <w:p w14:paraId="65266792" w14:textId="77777777" w:rsidR="00FD614C" w:rsidRPr="00BD77D8" w:rsidRDefault="00FD614C" w:rsidP="004607C5">
            <w:pPr>
              <w:spacing w:after="0" w:line="240" w:lineRule="auto"/>
              <w:jc w:val="center"/>
              <w:rPr>
                <w:sz w:val="20"/>
                <w:szCs w:val="20"/>
              </w:rPr>
            </w:pPr>
          </w:p>
        </w:tc>
        <w:tc>
          <w:tcPr>
            <w:tcW w:w="2092" w:type="dxa"/>
            <w:tcBorders>
              <w:top w:val="nil"/>
              <w:left w:val="single" w:sz="4" w:space="0" w:color="auto"/>
              <w:bottom w:val="nil"/>
              <w:right w:val="single" w:sz="4" w:space="0" w:color="auto"/>
            </w:tcBorders>
            <w:shd w:val="clear" w:color="auto" w:fill="F2F2F2"/>
            <w:tcMar>
              <w:top w:w="28" w:type="dxa"/>
              <w:bottom w:w="28" w:type="dxa"/>
            </w:tcMar>
            <w:vAlign w:val="center"/>
          </w:tcPr>
          <w:p w14:paraId="0D602D86" w14:textId="77777777" w:rsidR="00FD614C" w:rsidRPr="00BD77D8" w:rsidRDefault="00FD614C" w:rsidP="004607C5">
            <w:pPr>
              <w:spacing w:after="0" w:line="240" w:lineRule="auto"/>
              <w:jc w:val="center"/>
              <w:rPr>
                <w:sz w:val="20"/>
                <w:szCs w:val="20"/>
              </w:rPr>
            </w:pPr>
            <w:r w:rsidRPr="00BD77D8">
              <w:rPr>
                <w:sz w:val="20"/>
                <w:szCs w:val="20"/>
              </w:rPr>
              <w:t>EXECUTIVE DIRECTOR</w:t>
            </w:r>
          </w:p>
          <w:p w14:paraId="3DBF2D38" w14:textId="77777777" w:rsidR="00FD614C" w:rsidRPr="00BD77D8" w:rsidRDefault="00FD614C" w:rsidP="004607C5">
            <w:pPr>
              <w:spacing w:after="0" w:line="240" w:lineRule="auto"/>
              <w:jc w:val="center"/>
              <w:rPr>
                <w:sz w:val="20"/>
                <w:szCs w:val="20"/>
              </w:rPr>
            </w:pPr>
            <w:r w:rsidRPr="00BD77D8">
              <w:rPr>
                <w:sz w:val="20"/>
                <w:szCs w:val="20"/>
              </w:rPr>
              <w:t>Local Thriving Communities</w:t>
            </w:r>
          </w:p>
        </w:tc>
        <w:tc>
          <w:tcPr>
            <w:tcW w:w="2092" w:type="dxa"/>
            <w:gridSpan w:val="2"/>
            <w:tcBorders>
              <w:top w:val="nil"/>
              <w:left w:val="single" w:sz="4" w:space="0" w:color="auto"/>
              <w:bottom w:val="nil"/>
              <w:right w:val="single" w:sz="4" w:space="0" w:color="auto"/>
            </w:tcBorders>
            <w:shd w:val="clear" w:color="auto" w:fill="F2F2F2"/>
            <w:tcMar>
              <w:top w:w="28" w:type="dxa"/>
              <w:bottom w:w="28" w:type="dxa"/>
            </w:tcMar>
            <w:vAlign w:val="center"/>
          </w:tcPr>
          <w:p w14:paraId="6A369861" w14:textId="77777777" w:rsidR="00FD614C" w:rsidRPr="00BD77D8" w:rsidRDefault="00FD614C" w:rsidP="004607C5">
            <w:pPr>
              <w:spacing w:after="0" w:line="240" w:lineRule="auto"/>
              <w:rPr>
                <w:sz w:val="20"/>
                <w:szCs w:val="20"/>
              </w:rPr>
            </w:pPr>
          </w:p>
        </w:tc>
        <w:tc>
          <w:tcPr>
            <w:tcW w:w="2092" w:type="dxa"/>
            <w:tcBorders>
              <w:top w:val="nil"/>
              <w:left w:val="single" w:sz="4" w:space="0" w:color="auto"/>
              <w:bottom w:val="nil"/>
              <w:right w:val="nil"/>
            </w:tcBorders>
            <w:shd w:val="clear" w:color="auto" w:fill="F2F2F2"/>
          </w:tcPr>
          <w:p w14:paraId="4B80B5AD" w14:textId="77777777" w:rsidR="00FD614C" w:rsidRPr="00BD77D8" w:rsidRDefault="00FD614C" w:rsidP="004607C5">
            <w:pPr>
              <w:spacing w:after="0" w:line="240" w:lineRule="auto"/>
              <w:jc w:val="center"/>
              <w:rPr>
                <w:sz w:val="20"/>
                <w:szCs w:val="20"/>
              </w:rPr>
            </w:pPr>
            <w:r w:rsidRPr="00BD77D8">
              <w:rPr>
                <w:sz w:val="20"/>
                <w:szCs w:val="20"/>
              </w:rPr>
              <w:t>EXECUTIVE DIRECTOR</w:t>
            </w:r>
          </w:p>
          <w:p w14:paraId="23C69207" w14:textId="77777777" w:rsidR="00FD614C" w:rsidRPr="00BD77D8" w:rsidRDefault="00FD614C" w:rsidP="004607C5">
            <w:pPr>
              <w:spacing w:after="0" w:line="240" w:lineRule="auto"/>
              <w:jc w:val="center"/>
              <w:rPr>
                <w:sz w:val="20"/>
                <w:szCs w:val="20"/>
              </w:rPr>
            </w:pPr>
            <w:r w:rsidRPr="00BD77D8">
              <w:rPr>
                <w:sz w:val="20"/>
                <w:szCs w:val="20"/>
              </w:rPr>
              <w:t>Governance and Strategic Communications</w:t>
            </w:r>
          </w:p>
        </w:tc>
      </w:tr>
    </w:tbl>
    <w:p w14:paraId="23DDE608" w14:textId="560EEFFF" w:rsidR="00CD351A" w:rsidRPr="00BD77D8" w:rsidRDefault="00CD351A" w:rsidP="00802A6D">
      <w:pPr>
        <w:rPr>
          <w:lang w:eastAsia="en-US"/>
        </w:rPr>
      </w:pPr>
    </w:p>
    <w:p w14:paraId="1DCB6941" w14:textId="2582828A" w:rsidR="005D11B5" w:rsidRPr="00BD77D8" w:rsidRDefault="005D11B5" w:rsidP="000574F0">
      <w:pPr>
        <w:pStyle w:val="Heading2"/>
        <w:spacing w:before="360"/>
        <w:rPr>
          <w:color w:val="auto"/>
        </w:rPr>
      </w:pPr>
      <w:bookmarkStart w:id="49" w:name="_Toc78287332"/>
      <w:bookmarkStart w:id="50" w:name="_Toc78355739"/>
      <w:bookmarkStart w:id="51" w:name="_Toc113544375"/>
      <w:bookmarkStart w:id="52" w:name="_Hlk109998192"/>
      <w:bookmarkStart w:id="53" w:name="_Toc43444705"/>
      <w:r w:rsidRPr="00BD77D8">
        <w:rPr>
          <w:color w:val="auto"/>
        </w:rPr>
        <w:t>Our Minister</w:t>
      </w:r>
      <w:bookmarkEnd w:id="49"/>
      <w:bookmarkEnd w:id="50"/>
      <w:bookmarkEnd w:id="51"/>
    </w:p>
    <w:p w14:paraId="2FFEFCF6" w14:textId="2827BC0E" w:rsidR="005D11B5" w:rsidRPr="00BD77D8" w:rsidRDefault="005D11B5" w:rsidP="007524AB">
      <w:pPr>
        <w:pStyle w:val="Heading3"/>
        <w:rPr>
          <w:b/>
          <w:bCs w:val="0"/>
          <w:sz w:val="20"/>
          <w:szCs w:val="20"/>
        </w:rPr>
      </w:pPr>
      <w:bookmarkStart w:id="54" w:name="_Hlk80714728"/>
      <w:r w:rsidRPr="00BD77D8">
        <w:rPr>
          <w:b/>
          <w:bCs w:val="0"/>
        </w:rPr>
        <w:t>The Honourable Craig Crawford MP</w:t>
      </w:r>
      <w:r w:rsidR="00F75218" w:rsidRPr="00BD77D8">
        <w:rPr>
          <w:b/>
          <w:bCs w:val="0"/>
        </w:rPr>
        <w:t xml:space="preserve"> </w:t>
      </w:r>
    </w:p>
    <w:p w14:paraId="4C720942" w14:textId="68CA121A" w:rsidR="005D11B5" w:rsidRPr="00BD77D8" w:rsidRDefault="005D11B5" w:rsidP="002605FE">
      <w:pPr>
        <w:rPr>
          <w:lang w:eastAsia="en-US"/>
        </w:rPr>
      </w:pPr>
      <w:r w:rsidRPr="00BD77D8">
        <w:rPr>
          <w:lang w:eastAsia="en-US"/>
        </w:rPr>
        <w:t>Member for Barron River, Minister for Seniors and Disability Services and Minister for Aboriginal and Torres Strait Islander Partnership</w:t>
      </w:r>
      <w:r w:rsidR="000869BF" w:rsidRPr="00BD77D8">
        <w:rPr>
          <w:lang w:eastAsia="en-US"/>
        </w:rPr>
        <w:t>s</w:t>
      </w:r>
    </w:p>
    <w:p w14:paraId="13D13824" w14:textId="5360A6F7" w:rsidR="00985EC0" w:rsidRPr="00BD77D8" w:rsidRDefault="00985EC0" w:rsidP="002605FE">
      <w:pPr>
        <w:rPr>
          <w:bCs/>
          <w:iCs/>
          <w:sz w:val="20"/>
          <w:szCs w:val="20"/>
        </w:rPr>
      </w:pPr>
      <w:r w:rsidRPr="00BD77D8">
        <w:rPr>
          <w:bCs/>
          <w:iCs/>
          <w:sz w:val="20"/>
          <w:szCs w:val="20"/>
        </w:rPr>
        <w:t>Raised on a dairy farm in western Victoria, Mr Crawford learned at an early age the fundamental principles of country people</w:t>
      </w:r>
      <w:r w:rsidR="00FA59A0" w:rsidRPr="00BD77D8">
        <w:rPr>
          <w:bCs/>
          <w:iCs/>
          <w:sz w:val="20"/>
          <w:szCs w:val="20"/>
        </w:rPr>
        <w:t>—</w:t>
      </w:r>
      <w:r w:rsidRPr="00BD77D8">
        <w:rPr>
          <w:bCs/>
          <w:iCs/>
          <w:sz w:val="20"/>
          <w:szCs w:val="20"/>
        </w:rPr>
        <w:t>strong family values, hard work, always helping others in need and respecting the rules and laws of government.</w:t>
      </w:r>
    </w:p>
    <w:p w14:paraId="5C637101" w14:textId="77777777" w:rsidR="00985EC0" w:rsidRPr="00BD77D8" w:rsidRDefault="00985EC0" w:rsidP="002605FE">
      <w:pPr>
        <w:rPr>
          <w:bCs/>
          <w:iCs/>
          <w:sz w:val="20"/>
          <w:szCs w:val="20"/>
        </w:rPr>
      </w:pPr>
      <w:r w:rsidRPr="00BD77D8">
        <w:rPr>
          <w:bCs/>
          <w:iCs/>
          <w:sz w:val="20"/>
          <w:szCs w:val="20"/>
        </w:rPr>
        <w:t>Mr Crawford was educated in the local public-school system and began his career working in hotel management.</w:t>
      </w:r>
    </w:p>
    <w:p w14:paraId="6DF3087B" w14:textId="0ED23F77" w:rsidR="00985EC0" w:rsidRPr="00BD77D8" w:rsidRDefault="00985EC0" w:rsidP="002605FE">
      <w:pPr>
        <w:rPr>
          <w:bCs/>
          <w:iCs/>
          <w:sz w:val="20"/>
          <w:szCs w:val="20"/>
        </w:rPr>
      </w:pPr>
      <w:r w:rsidRPr="00BD77D8">
        <w:rPr>
          <w:bCs/>
          <w:iCs/>
          <w:sz w:val="20"/>
          <w:szCs w:val="20"/>
        </w:rPr>
        <w:t>During his 20 years of voluntary service to the Victorian Country Fire Authority (CFA), he was promoted to the rank of Captain and selected to be an Ambulance Paramedic. He went on</w:t>
      </w:r>
      <w:r w:rsidR="00200CB2" w:rsidRPr="00BD77D8">
        <w:rPr>
          <w:bCs/>
          <w:iCs/>
          <w:sz w:val="20"/>
          <w:szCs w:val="20"/>
        </w:rPr>
        <w:t xml:space="preserve"> </w:t>
      </w:r>
      <w:r w:rsidRPr="00BD77D8">
        <w:rPr>
          <w:bCs/>
          <w:iCs/>
          <w:sz w:val="20"/>
          <w:szCs w:val="20"/>
        </w:rPr>
        <w:t xml:space="preserve">to work for both the Victorian and Queensland </w:t>
      </w:r>
      <w:r w:rsidRPr="00BD77D8">
        <w:rPr>
          <w:bCs/>
          <w:iCs/>
          <w:sz w:val="20"/>
          <w:szCs w:val="20"/>
        </w:rPr>
        <w:lastRenderedPageBreak/>
        <w:t>Ambulance Services for 15 years. While working as a paramedic in Mareeba, Mr Crawford became passionate about ensuring that every part of Queensland</w:t>
      </w:r>
      <w:r w:rsidR="00200CB2" w:rsidRPr="00BD77D8">
        <w:rPr>
          <w:bCs/>
          <w:iCs/>
          <w:sz w:val="20"/>
          <w:szCs w:val="20"/>
        </w:rPr>
        <w:t>,</w:t>
      </w:r>
      <w:r w:rsidRPr="00BD77D8">
        <w:rPr>
          <w:bCs/>
          <w:iCs/>
          <w:sz w:val="20"/>
          <w:szCs w:val="20"/>
        </w:rPr>
        <w:t xml:space="preserve"> including remote communities</w:t>
      </w:r>
      <w:r w:rsidR="00200CB2" w:rsidRPr="00BD77D8">
        <w:rPr>
          <w:bCs/>
          <w:iCs/>
          <w:sz w:val="20"/>
          <w:szCs w:val="20"/>
        </w:rPr>
        <w:t>,</w:t>
      </w:r>
      <w:r w:rsidRPr="00BD77D8">
        <w:rPr>
          <w:bCs/>
          <w:iCs/>
          <w:sz w:val="20"/>
          <w:szCs w:val="20"/>
        </w:rPr>
        <w:t xml:space="preserve"> have access to equitable and quality healthcare.</w:t>
      </w:r>
    </w:p>
    <w:p w14:paraId="1F993DB6" w14:textId="1AD711A7" w:rsidR="00985EC0" w:rsidRPr="00BD77D8" w:rsidRDefault="00985EC0" w:rsidP="002605FE">
      <w:pPr>
        <w:rPr>
          <w:bCs/>
          <w:iCs/>
          <w:sz w:val="20"/>
          <w:szCs w:val="20"/>
        </w:rPr>
      </w:pPr>
      <w:r w:rsidRPr="00BD77D8">
        <w:rPr>
          <w:bCs/>
          <w:iCs/>
          <w:sz w:val="20"/>
          <w:szCs w:val="20"/>
        </w:rPr>
        <w:t xml:space="preserve">He </w:t>
      </w:r>
      <w:r w:rsidR="009E36CD" w:rsidRPr="00BD77D8">
        <w:rPr>
          <w:bCs/>
          <w:iCs/>
          <w:sz w:val="20"/>
          <w:szCs w:val="20"/>
        </w:rPr>
        <w:t>moved</w:t>
      </w:r>
      <w:r w:rsidRPr="00BD77D8">
        <w:rPr>
          <w:bCs/>
          <w:iCs/>
          <w:sz w:val="20"/>
          <w:szCs w:val="20"/>
        </w:rPr>
        <w:t xml:space="preserve"> into politics after many years defending the workers’ rights and entitlements of paramedics</w:t>
      </w:r>
      <w:r w:rsidR="00200CB2" w:rsidRPr="00BD77D8">
        <w:rPr>
          <w:bCs/>
          <w:iCs/>
          <w:sz w:val="20"/>
          <w:szCs w:val="20"/>
        </w:rPr>
        <w:t>,</w:t>
      </w:r>
      <w:r w:rsidRPr="00BD77D8">
        <w:rPr>
          <w:bCs/>
          <w:iCs/>
          <w:sz w:val="20"/>
          <w:szCs w:val="20"/>
        </w:rPr>
        <w:t xml:space="preserve"> as a Union Delegate both in Victoria and Queensland.</w:t>
      </w:r>
    </w:p>
    <w:p w14:paraId="54E13FAA" w14:textId="77777777" w:rsidR="00985EC0" w:rsidRPr="00BD77D8" w:rsidRDefault="00985EC0" w:rsidP="002605FE">
      <w:pPr>
        <w:rPr>
          <w:bCs/>
          <w:iCs/>
          <w:sz w:val="20"/>
          <w:szCs w:val="20"/>
        </w:rPr>
      </w:pPr>
      <w:r w:rsidRPr="00BD77D8">
        <w:rPr>
          <w:bCs/>
          <w:iCs/>
          <w:sz w:val="20"/>
          <w:szCs w:val="20"/>
        </w:rPr>
        <w:t>Mr Crawford was first appointed as the Minister for Fire and Emergency Services in 2017 and then as Minister for Aboriginal and Torres Strait Islander Partnerships in May 2020.</w:t>
      </w:r>
    </w:p>
    <w:p w14:paraId="605440B6" w14:textId="33F413D8" w:rsidR="00985EC0" w:rsidRPr="00BD77D8" w:rsidRDefault="00985EC0" w:rsidP="002605FE">
      <w:pPr>
        <w:rPr>
          <w:bCs/>
          <w:iCs/>
          <w:sz w:val="20"/>
          <w:szCs w:val="20"/>
        </w:rPr>
      </w:pPr>
      <w:r w:rsidRPr="00BD77D8">
        <w:rPr>
          <w:bCs/>
          <w:iCs/>
          <w:sz w:val="20"/>
          <w:szCs w:val="20"/>
        </w:rPr>
        <w:t xml:space="preserve">His work as the Member for Barron River and as the Ministerial Champion for Mornington Island and Palm Island has allowed him to understand first-hand the issues that impact the lives of Aboriginal </w:t>
      </w:r>
      <w:r w:rsidR="004C7FBB" w:rsidRPr="00BD77D8">
        <w:rPr>
          <w:bCs/>
          <w:iCs/>
          <w:sz w:val="20"/>
          <w:szCs w:val="20"/>
        </w:rPr>
        <w:t xml:space="preserve">peoples </w:t>
      </w:r>
      <w:r w:rsidRPr="00BD77D8">
        <w:rPr>
          <w:bCs/>
          <w:iCs/>
          <w:sz w:val="20"/>
          <w:szCs w:val="20"/>
        </w:rPr>
        <w:t>and Torres Strait Islander peoples in Queensland’s remote and discrete communities and in urban and regional settings.</w:t>
      </w:r>
    </w:p>
    <w:p w14:paraId="49940210" w14:textId="31932BC8" w:rsidR="00985EC0" w:rsidRPr="00BD77D8" w:rsidRDefault="00985EC0" w:rsidP="002605FE">
      <w:pPr>
        <w:rPr>
          <w:bCs/>
          <w:iCs/>
          <w:sz w:val="20"/>
          <w:szCs w:val="20"/>
        </w:rPr>
      </w:pPr>
      <w:r w:rsidRPr="00BD77D8">
        <w:rPr>
          <w:bCs/>
          <w:iCs/>
          <w:sz w:val="20"/>
          <w:szCs w:val="20"/>
        </w:rPr>
        <w:t>Since 12 November 2020, Mr Crawford has taken on the role as Minister for Seniors, Disability Services and Aboriginal and Torres Strait Islander Partnerships, where his focus is to improve the social and economic wellbeing of Queensland seniors, people with disability,</w:t>
      </w:r>
      <w:r w:rsidR="00200CB2" w:rsidRPr="00BD77D8">
        <w:rPr>
          <w:bCs/>
          <w:iCs/>
          <w:sz w:val="20"/>
          <w:szCs w:val="20"/>
        </w:rPr>
        <w:t xml:space="preserve"> </w:t>
      </w:r>
      <w:r w:rsidRPr="00BD77D8">
        <w:rPr>
          <w:bCs/>
          <w:iCs/>
          <w:sz w:val="20"/>
          <w:szCs w:val="20"/>
        </w:rPr>
        <w:t>Aboriginal</w:t>
      </w:r>
      <w:r w:rsidR="004C7FBB" w:rsidRPr="00BD77D8">
        <w:rPr>
          <w:bCs/>
          <w:iCs/>
          <w:sz w:val="20"/>
          <w:szCs w:val="20"/>
        </w:rPr>
        <w:t xml:space="preserve"> peoples</w:t>
      </w:r>
      <w:r w:rsidR="00A77220" w:rsidRPr="00BD77D8">
        <w:rPr>
          <w:bCs/>
          <w:iCs/>
          <w:sz w:val="20"/>
          <w:szCs w:val="20"/>
        </w:rPr>
        <w:t>,</w:t>
      </w:r>
      <w:r w:rsidRPr="00BD77D8">
        <w:rPr>
          <w:bCs/>
          <w:iCs/>
          <w:sz w:val="20"/>
          <w:szCs w:val="20"/>
        </w:rPr>
        <w:t xml:space="preserve"> and Torres Strait Islander peoples, to enable Queenslanders of all ages, abilities and locations to participate and be included in their communities, to be resilient, and to enjoy everything our </w:t>
      </w:r>
      <w:r w:rsidR="00A77220" w:rsidRPr="00BD77D8">
        <w:rPr>
          <w:bCs/>
          <w:iCs/>
          <w:sz w:val="20"/>
          <w:szCs w:val="20"/>
        </w:rPr>
        <w:t>s</w:t>
      </w:r>
      <w:r w:rsidRPr="00BD77D8">
        <w:rPr>
          <w:bCs/>
          <w:iCs/>
          <w:sz w:val="20"/>
          <w:szCs w:val="20"/>
        </w:rPr>
        <w:t>tate has to offer.</w:t>
      </w:r>
    </w:p>
    <w:p w14:paraId="234E2D73" w14:textId="0FDE8224" w:rsidR="009B2211" w:rsidRPr="00BD77D8" w:rsidRDefault="006C253E" w:rsidP="00CD1CA2">
      <w:pPr>
        <w:pStyle w:val="Heading2"/>
        <w:rPr>
          <w:color w:val="auto"/>
        </w:rPr>
      </w:pPr>
      <w:bookmarkStart w:id="55" w:name="_Toc78287333"/>
      <w:bookmarkStart w:id="56" w:name="_Toc78355740"/>
      <w:bookmarkStart w:id="57" w:name="_Toc113544376"/>
      <w:bookmarkEnd w:id="52"/>
      <w:r w:rsidRPr="00BD77D8">
        <w:rPr>
          <w:color w:val="auto"/>
        </w:rPr>
        <w:t xml:space="preserve">Our </w:t>
      </w:r>
      <w:r w:rsidR="00EB414A" w:rsidRPr="00BD77D8">
        <w:rPr>
          <w:color w:val="auto"/>
        </w:rPr>
        <w:t>e</w:t>
      </w:r>
      <w:r w:rsidRPr="00BD77D8">
        <w:rPr>
          <w:color w:val="auto"/>
        </w:rPr>
        <w:t xml:space="preserve">xecutive </w:t>
      </w:r>
      <w:r w:rsidR="00EB414A" w:rsidRPr="00BD77D8">
        <w:rPr>
          <w:color w:val="auto"/>
        </w:rPr>
        <w:t>m</w:t>
      </w:r>
      <w:r w:rsidRPr="00BD77D8">
        <w:rPr>
          <w:color w:val="auto"/>
        </w:rPr>
        <w:t>anagement</w:t>
      </w:r>
      <w:bookmarkEnd w:id="53"/>
      <w:bookmarkEnd w:id="55"/>
      <w:bookmarkEnd w:id="56"/>
      <w:bookmarkEnd w:id="57"/>
    </w:p>
    <w:p w14:paraId="4FE7AA83" w14:textId="77777777" w:rsidR="00B323D5" w:rsidRPr="00BD77D8" w:rsidRDefault="002E6E38" w:rsidP="00F834ED">
      <w:pPr>
        <w:pStyle w:val="Heading4"/>
        <w:spacing w:after="0" w:line="240" w:lineRule="auto"/>
      </w:pPr>
      <w:r w:rsidRPr="00BD77D8">
        <w:t>Dr Chris Sarra</w:t>
      </w:r>
      <w:r w:rsidR="00B323D5" w:rsidRPr="00BD77D8">
        <w:t xml:space="preserve"> </w:t>
      </w:r>
    </w:p>
    <w:p w14:paraId="75FAD119" w14:textId="17663D21" w:rsidR="00F75218" w:rsidRPr="00BD77D8" w:rsidRDefault="002E6E38" w:rsidP="00F834ED">
      <w:pPr>
        <w:pStyle w:val="Heading4"/>
        <w:spacing w:after="0" w:line="240" w:lineRule="auto"/>
        <w:rPr>
          <w:sz w:val="20"/>
          <w:szCs w:val="20"/>
        </w:rPr>
      </w:pPr>
      <w:r w:rsidRPr="00BD77D8">
        <w:t xml:space="preserve">Director-General </w:t>
      </w:r>
    </w:p>
    <w:p w14:paraId="1AFA2ADE" w14:textId="29A85F82" w:rsidR="00186B07" w:rsidRPr="00BD77D8" w:rsidRDefault="000227A4" w:rsidP="002605FE">
      <w:pPr>
        <w:rPr>
          <w:bCs/>
          <w:lang w:eastAsia="en-US"/>
        </w:rPr>
      </w:pPr>
      <w:r w:rsidRPr="00BD77D8">
        <w:rPr>
          <w:i/>
          <w:iCs/>
          <w:lang w:eastAsia="en-US"/>
        </w:rPr>
        <w:t xml:space="preserve">PhD, </w:t>
      </w:r>
      <w:r w:rsidR="00E457A6" w:rsidRPr="00BD77D8">
        <w:rPr>
          <w:i/>
          <w:iCs/>
          <w:lang w:eastAsia="en-US"/>
        </w:rPr>
        <w:t>M Ed</w:t>
      </w:r>
      <w:r w:rsidRPr="00BD77D8">
        <w:rPr>
          <w:i/>
          <w:iCs/>
          <w:lang w:eastAsia="en-US"/>
        </w:rPr>
        <w:t>, Executive Masters in Public Administration, B</w:t>
      </w:r>
      <w:r w:rsidR="00E457A6" w:rsidRPr="00BD77D8">
        <w:rPr>
          <w:i/>
          <w:iCs/>
          <w:lang w:eastAsia="en-US"/>
        </w:rPr>
        <w:t xml:space="preserve"> Ed, Dip Teaching</w:t>
      </w:r>
      <w:r w:rsidRPr="00BD77D8">
        <w:rPr>
          <w:i/>
          <w:iCs/>
          <w:lang w:eastAsia="en-US"/>
        </w:rPr>
        <w:t xml:space="preserve"> </w:t>
      </w:r>
    </w:p>
    <w:p w14:paraId="1F0BFCE2" w14:textId="08AE1F79" w:rsidR="000227A4" w:rsidRPr="00BD77D8" w:rsidRDefault="000227A4" w:rsidP="002605FE">
      <w:pPr>
        <w:rPr>
          <w:lang w:eastAsia="en-US"/>
        </w:rPr>
      </w:pPr>
      <w:r w:rsidRPr="00BD77D8">
        <w:rPr>
          <w:lang w:eastAsia="en-US"/>
        </w:rPr>
        <w:t xml:space="preserve">Dr Chris Sarra is passionate about effecting sustainable change through positive leadership and high expectations relationships. His work championing the improvement of Aboriginal and Torres Strait Islander educational outcomes throughout Australia saw him named Queenslander of the Year in 2004, and Queensland’s Australian of the Year in 2010. He was subsequently named the NAIDOC Person of the Year in </w:t>
      </w:r>
      <w:r w:rsidR="001B0E4A" w:rsidRPr="00BD77D8">
        <w:rPr>
          <w:lang w:eastAsia="en-US"/>
        </w:rPr>
        <w:t>2016 and</w:t>
      </w:r>
      <w:r w:rsidRPr="00BD77D8">
        <w:rPr>
          <w:lang w:eastAsia="en-US"/>
        </w:rPr>
        <w:t xml:space="preserve"> received the Anthony Mundine Award for Courage at the National Indigenous Human Rights Awards in 2017. </w:t>
      </w:r>
    </w:p>
    <w:p w14:paraId="26A8D328" w14:textId="38ED26A1" w:rsidR="000227A4" w:rsidRPr="00BD77D8" w:rsidRDefault="000227A4" w:rsidP="002605FE">
      <w:pPr>
        <w:rPr>
          <w:lang w:eastAsia="en-US"/>
        </w:rPr>
      </w:pPr>
      <w:r w:rsidRPr="00BD77D8">
        <w:rPr>
          <w:lang w:eastAsia="en-US"/>
        </w:rPr>
        <w:t xml:space="preserve">Commencing as Director-General of the former Department of Aboriginal and Torres Strait Islander Partnerships in August 2018, Dr Sarra led the development and implementation of Tracks to Treaty. Working in a co-design framework with </w:t>
      </w:r>
      <w:r w:rsidR="008E3CD4" w:rsidRPr="00BD77D8">
        <w:rPr>
          <w:lang w:eastAsia="en-US"/>
        </w:rPr>
        <w:t xml:space="preserve">Aboriginal and Torres Strait Islander </w:t>
      </w:r>
      <w:r w:rsidRPr="00BD77D8">
        <w:rPr>
          <w:lang w:eastAsia="en-US"/>
        </w:rPr>
        <w:t xml:space="preserve">Queenslanders, Tracks to Treaty commits to building a reframed relationship that acknowledges, embraces and celebrates the humanity of Aboriginal and Torres Strait Islander Queenslanders. </w:t>
      </w:r>
    </w:p>
    <w:p w14:paraId="26CB8308" w14:textId="76036D5F" w:rsidR="000227A4" w:rsidRPr="00BD77D8" w:rsidRDefault="000227A4" w:rsidP="002605FE">
      <w:pPr>
        <w:rPr>
          <w:lang w:eastAsia="en-US"/>
        </w:rPr>
      </w:pPr>
      <w:r w:rsidRPr="00BD77D8">
        <w:rPr>
          <w:lang w:eastAsia="en-US"/>
        </w:rPr>
        <w:t xml:space="preserve">On 14 July 2019, the Queensland Government signed the historic Statement of Commitment to give effect to a reframed relationship, marking the first steps in an historic journey to develop a process for </w:t>
      </w:r>
      <w:proofErr w:type="spellStart"/>
      <w:r w:rsidRPr="00BD77D8">
        <w:rPr>
          <w:lang w:eastAsia="en-US"/>
        </w:rPr>
        <w:t>statewide</w:t>
      </w:r>
      <w:proofErr w:type="spellEnd"/>
      <w:r w:rsidRPr="00BD77D8">
        <w:rPr>
          <w:lang w:eastAsia="en-US"/>
        </w:rPr>
        <w:t xml:space="preserve"> agreement with </w:t>
      </w:r>
      <w:r w:rsidR="008E3CD4" w:rsidRPr="00BD77D8">
        <w:rPr>
          <w:lang w:eastAsia="en-US"/>
        </w:rPr>
        <w:t xml:space="preserve">Aboriginal and Torres Strait Islander </w:t>
      </w:r>
      <w:r w:rsidRPr="00BD77D8">
        <w:rPr>
          <w:lang w:eastAsia="en-US"/>
        </w:rPr>
        <w:t>Queenslanders and fundamentally change the way services are delivered in Aboriginal and Torres Strait Islander communities by bringing decision</w:t>
      </w:r>
      <w:r w:rsidR="006D50FA" w:rsidRPr="00BD77D8">
        <w:rPr>
          <w:lang w:eastAsia="en-US"/>
        </w:rPr>
        <w:t>-</w:t>
      </w:r>
      <w:r w:rsidRPr="00BD77D8">
        <w:rPr>
          <w:lang w:eastAsia="en-US"/>
        </w:rPr>
        <w:t>making closer to</w:t>
      </w:r>
      <w:r w:rsidR="004074D8" w:rsidRPr="00BD77D8">
        <w:rPr>
          <w:lang w:eastAsia="en-US"/>
        </w:rPr>
        <w:t xml:space="preserve"> the</w:t>
      </w:r>
      <w:r w:rsidRPr="00BD77D8">
        <w:rPr>
          <w:lang w:eastAsia="en-US"/>
        </w:rPr>
        <w:t xml:space="preserve"> community.  </w:t>
      </w:r>
    </w:p>
    <w:p w14:paraId="7678B479" w14:textId="26CFD1AC" w:rsidR="000227A4" w:rsidRPr="00BD77D8" w:rsidRDefault="000227A4" w:rsidP="002605FE">
      <w:pPr>
        <w:rPr>
          <w:lang w:eastAsia="en-US"/>
        </w:rPr>
      </w:pPr>
      <w:r w:rsidRPr="00BD77D8">
        <w:rPr>
          <w:lang w:eastAsia="en-US"/>
        </w:rPr>
        <w:t xml:space="preserve">As Director-General of the new Department of Seniors, Disability Services and Aboriginal and Torres Strait Islander Partnerships, Dr </w:t>
      </w:r>
      <w:proofErr w:type="spellStart"/>
      <w:r w:rsidRPr="00BD77D8">
        <w:rPr>
          <w:lang w:eastAsia="en-US"/>
        </w:rPr>
        <w:t>Sarra’s</w:t>
      </w:r>
      <w:proofErr w:type="spellEnd"/>
      <w:r w:rsidRPr="00BD77D8">
        <w:rPr>
          <w:lang w:eastAsia="en-US"/>
        </w:rPr>
        <w:t xml:space="preserve"> focus is to strengthen services and strategies that improve the social and economic wellbeing of Queensland</w:t>
      </w:r>
      <w:r w:rsidR="00515143" w:rsidRPr="00BD77D8">
        <w:rPr>
          <w:lang w:eastAsia="en-US"/>
        </w:rPr>
        <w:t>’s</w:t>
      </w:r>
      <w:r w:rsidRPr="00BD77D8">
        <w:rPr>
          <w:lang w:eastAsia="en-US"/>
        </w:rPr>
        <w:t xml:space="preserve"> seniors; maximise employment, choice and opportunity for people with disability; and support economic prosperity and local decision-making for Aboriginal and Torres Strait Islander Queenslanders, to support an inclusive Queensland that enables everyone to thrive.</w:t>
      </w:r>
    </w:p>
    <w:p w14:paraId="7E1292F0" w14:textId="77777777" w:rsidR="000227A4" w:rsidRPr="00BD77D8" w:rsidRDefault="000227A4" w:rsidP="002605FE">
      <w:pPr>
        <w:rPr>
          <w:lang w:eastAsia="en-US"/>
        </w:rPr>
      </w:pPr>
      <w:r w:rsidRPr="00BD77D8">
        <w:rPr>
          <w:lang w:eastAsia="en-US"/>
        </w:rPr>
        <w:t>Dr Sarra is a Fellow of the Australia New Zealand School of Government (ANZSOG), and the School of Ethical Leadership at the Melbourne Business School, and has also completed the Australian Institute of Company Directors Diploma and the Australian Institute of Company Directors Diploma of International Business.</w:t>
      </w:r>
    </w:p>
    <w:p w14:paraId="35F410F7" w14:textId="7AC63DA1" w:rsidR="00093321" w:rsidRPr="00BD77D8" w:rsidRDefault="00093321" w:rsidP="00914B9D">
      <w:pPr>
        <w:pStyle w:val="Heading4"/>
        <w:spacing w:before="840" w:after="0" w:line="240" w:lineRule="auto"/>
      </w:pPr>
      <w:bookmarkStart w:id="58" w:name="_Hlk77681429"/>
      <w:bookmarkEnd w:id="54"/>
      <w:proofErr w:type="spellStart"/>
      <w:r w:rsidRPr="00BD77D8">
        <w:lastRenderedPageBreak/>
        <w:t>Ms</w:t>
      </w:r>
      <w:proofErr w:type="spellEnd"/>
      <w:r w:rsidRPr="00BD77D8">
        <w:t xml:space="preserve"> Kathy Parton</w:t>
      </w:r>
    </w:p>
    <w:p w14:paraId="65305F78" w14:textId="2C8B8C6F" w:rsidR="00F75218" w:rsidRPr="00BD77D8" w:rsidRDefault="00093321" w:rsidP="0018616D">
      <w:pPr>
        <w:pStyle w:val="Heading4"/>
        <w:spacing w:after="0" w:line="240" w:lineRule="auto"/>
        <w:rPr>
          <w:b w:val="0"/>
          <w:bCs/>
          <w:sz w:val="20"/>
          <w:szCs w:val="20"/>
        </w:rPr>
      </w:pPr>
      <w:r w:rsidRPr="00BD77D8">
        <w:t>Deputy Director-General</w:t>
      </w:r>
      <w:r w:rsidR="00FA59A0" w:rsidRPr="00BD77D8">
        <w:t xml:space="preserve">, </w:t>
      </w:r>
      <w:r w:rsidR="002154EC" w:rsidRPr="00BD77D8">
        <w:t>Strategic Policy, Legislation and Program Reform</w:t>
      </w:r>
      <w:r w:rsidR="00F75218" w:rsidRPr="00BD77D8">
        <w:t xml:space="preserve"> </w:t>
      </w:r>
    </w:p>
    <w:p w14:paraId="717A561C" w14:textId="2CB43DC7" w:rsidR="006D50FA" w:rsidRPr="00BD77D8" w:rsidRDefault="00020E37" w:rsidP="002605FE">
      <w:pPr>
        <w:rPr>
          <w:i/>
          <w:iCs/>
          <w:lang w:eastAsia="en-US"/>
        </w:rPr>
      </w:pPr>
      <w:bookmarkStart w:id="59" w:name="_Hlk78873246"/>
      <w:r w:rsidRPr="00BD77D8">
        <w:rPr>
          <w:i/>
          <w:iCs/>
          <w:lang w:eastAsia="en-US"/>
        </w:rPr>
        <w:t xml:space="preserve">Bachelor of Arts, Grad Cert Writing, Editing </w:t>
      </w:r>
      <w:r w:rsidR="007878A8" w:rsidRPr="00BD77D8">
        <w:rPr>
          <w:i/>
          <w:iCs/>
          <w:lang w:eastAsia="en-US"/>
        </w:rPr>
        <w:t>and</w:t>
      </w:r>
      <w:r w:rsidRPr="00BD77D8">
        <w:rPr>
          <w:i/>
          <w:iCs/>
          <w:lang w:eastAsia="en-US"/>
        </w:rPr>
        <w:t xml:space="preserve"> Publishing</w:t>
      </w:r>
    </w:p>
    <w:bookmarkEnd w:id="59"/>
    <w:p w14:paraId="6FDEB6EF" w14:textId="2AB4C55E" w:rsidR="00093321" w:rsidRPr="00BD77D8" w:rsidRDefault="00093321" w:rsidP="002605FE">
      <w:pPr>
        <w:rPr>
          <w:lang w:eastAsia="en-US"/>
        </w:rPr>
      </w:pPr>
      <w:r w:rsidRPr="00BD77D8">
        <w:rPr>
          <w:lang w:eastAsia="en-US"/>
        </w:rPr>
        <w:t xml:space="preserve">Ms Kathy Parton is a senior executive with more than </w:t>
      </w:r>
      <w:r w:rsidR="008D5F45" w:rsidRPr="00BD77D8">
        <w:rPr>
          <w:lang w:eastAsia="en-US"/>
        </w:rPr>
        <w:t>20</w:t>
      </w:r>
      <w:r w:rsidRPr="00BD77D8">
        <w:rPr>
          <w:lang w:eastAsia="en-US"/>
        </w:rPr>
        <w:t xml:space="preserve"> years’ experience in government, working across departments and statutory bodies. </w:t>
      </w:r>
    </w:p>
    <w:p w14:paraId="304E1047" w14:textId="12B3E6BD" w:rsidR="002C6460" w:rsidRPr="00BD77D8" w:rsidRDefault="002C6460" w:rsidP="002605FE">
      <w:pPr>
        <w:rPr>
          <w:lang w:eastAsia="en-US"/>
        </w:rPr>
      </w:pPr>
      <w:r w:rsidRPr="00BD77D8">
        <w:rPr>
          <w:lang w:eastAsia="en-US"/>
        </w:rPr>
        <w:t>Ms Parton is responsible for leading</w:t>
      </w:r>
      <w:r w:rsidR="00200845" w:rsidRPr="00BD77D8">
        <w:rPr>
          <w:lang w:eastAsia="en-US"/>
        </w:rPr>
        <w:t xml:space="preserve"> the strategic policy, legislation and program reform for </w:t>
      </w:r>
      <w:r w:rsidR="00161AA1" w:rsidRPr="00BD77D8">
        <w:rPr>
          <w:lang w:eastAsia="en-US"/>
        </w:rPr>
        <w:t>Seniors</w:t>
      </w:r>
      <w:r w:rsidR="00200845" w:rsidRPr="00BD77D8">
        <w:rPr>
          <w:lang w:eastAsia="en-US"/>
        </w:rPr>
        <w:t xml:space="preserve"> and </w:t>
      </w:r>
      <w:r w:rsidR="00161AA1" w:rsidRPr="00BD77D8">
        <w:rPr>
          <w:lang w:eastAsia="en-US"/>
        </w:rPr>
        <w:t>Disability Services</w:t>
      </w:r>
      <w:r w:rsidR="008526F1" w:rsidRPr="00BD77D8">
        <w:rPr>
          <w:lang w:eastAsia="en-US"/>
        </w:rPr>
        <w:t>,</w:t>
      </w:r>
      <w:r w:rsidR="00161AA1" w:rsidRPr="00BD77D8">
        <w:rPr>
          <w:lang w:eastAsia="en-US"/>
        </w:rPr>
        <w:t xml:space="preserve"> and </w:t>
      </w:r>
      <w:r w:rsidRPr="00BD77D8">
        <w:rPr>
          <w:lang w:eastAsia="en-US"/>
        </w:rPr>
        <w:t xml:space="preserve">Aboriginal and Torres Strait Islander </w:t>
      </w:r>
      <w:r w:rsidR="00515143" w:rsidRPr="00BD77D8">
        <w:rPr>
          <w:lang w:eastAsia="en-US"/>
        </w:rPr>
        <w:t>p</w:t>
      </w:r>
      <w:r w:rsidRPr="00BD77D8">
        <w:rPr>
          <w:lang w:eastAsia="en-US"/>
        </w:rPr>
        <w:t>olicy</w:t>
      </w:r>
      <w:r w:rsidR="00161AA1" w:rsidRPr="00BD77D8">
        <w:rPr>
          <w:lang w:eastAsia="en-US"/>
        </w:rPr>
        <w:t>.</w:t>
      </w:r>
      <w:r w:rsidRPr="00BD77D8">
        <w:rPr>
          <w:lang w:eastAsia="en-US"/>
        </w:rPr>
        <w:t xml:space="preserve"> </w:t>
      </w:r>
      <w:r w:rsidR="008D5F45" w:rsidRPr="00BD77D8">
        <w:rPr>
          <w:lang w:eastAsia="en-US"/>
        </w:rPr>
        <w:t>This has included progressing significant First Nations policy reform through the Path to Treaty, Local Thriving Communities and Indigenous Voice</w:t>
      </w:r>
      <w:r w:rsidR="003434E8" w:rsidRPr="00BD77D8">
        <w:rPr>
          <w:lang w:eastAsia="en-US"/>
        </w:rPr>
        <w:t xml:space="preserve"> initiatives</w:t>
      </w:r>
      <w:r w:rsidR="008D5F45" w:rsidRPr="00BD77D8">
        <w:rPr>
          <w:lang w:eastAsia="en-US"/>
        </w:rPr>
        <w:t>, and representing Queensland as the Deputy Department Head for disability services reform.</w:t>
      </w:r>
    </w:p>
    <w:p w14:paraId="3DD32F37" w14:textId="77777777" w:rsidR="002C6460" w:rsidRPr="00BD77D8" w:rsidRDefault="002C6460" w:rsidP="002605FE">
      <w:pPr>
        <w:rPr>
          <w:lang w:eastAsia="en-US"/>
        </w:rPr>
      </w:pPr>
      <w:r w:rsidRPr="00BD77D8">
        <w:rPr>
          <w:lang w:eastAsia="en-US"/>
        </w:rPr>
        <w:t xml:space="preserve">She holds a Bachelor of Arts in communications and journalism, has undertaken postgraduate study in writing, editing and publishing and has completed the Australian Institute of Company Directors course. </w:t>
      </w:r>
    </w:p>
    <w:p w14:paraId="04FCC794" w14:textId="69C7146A" w:rsidR="002C6460" w:rsidRPr="00BD77D8" w:rsidRDefault="002C6460" w:rsidP="002605FE">
      <w:pPr>
        <w:rPr>
          <w:i/>
          <w:iCs/>
          <w:lang w:eastAsia="en-US"/>
        </w:rPr>
      </w:pPr>
      <w:r w:rsidRPr="00BD77D8">
        <w:rPr>
          <w:lang w:eastAsia="en-US"/>
        </w:rPr>
        <w:t xml:space="preserve">Since joining the former Department of Aboriginal and Torres Strait Islander Partnerships in 2019, Ms Parton has led a significant policy reform agenda to reframe the relationship with Aboriginal and Torres Strait Islander Queenslanders, including progressing a Path to Treaty and passage of the </w:t>
      </w:r>
      <w:proofErr w:type="spellStart"/>
      <w:r w:rsidRPr="00BD77D8">
        <w:rPr>
          <w:i/>
          <w:iCs/>
          <w:lang w:eastAsia="en-US"/>
        </w:rPr>
        <w:t>Meriba</w:t>
      </w:r>
      <w:proofErr w:type="spellEnd"/>
      <w:r w:rsidRPr="00BD77D8">
        <w:rPr>
          <w:i/>
          <w:iCs/>
          <w:lang w:eastAsia="en-US"/>
        </w:rPr>
        <w:t xml:space="preserve"> </w:t>
      </w:r>
      <w:proofErr w:type="spellStart"/>
      <w:r w:rsidRPr="00BD77D8">
        <w:rPr>
          <w:i/>
          <w:iCs/>
          <w:lang w:eastAsia="en-US"/>
        </w:rPr>
        <w:t>Omasker</w:t>
      </w:r>
      <w:proofErr w:type="spellEnd"/>
      <w:r w:rsidRPr="00BD77D8">
        <w:rPr>
          <w:i/>
          <w:iCs/>
          <w:lang w:eastAsia="en-US"/>
        </w:rPr>
        <w:t xml:space="preserve"> </w:t>
      </w:r>
      <w:proofErr w:type="spellStart"/>
      <w:r w:rsidRPr="00BD77D8">
        <w:rPr>
          <w:i/>
          <w:iCs/>
          <w:lang w:eastAsia="en-US"/>
        </w:rPr>
        <w:t>Kaziw</w:t>
      </w:r>
      <w:proofErr w:type="spellEnd"/>
      <w:r w:rsidRPr="00BD77D8">
        <w:rPr>
          <w:i/>
          <w:iCs/>
          <w:lang w:eastAsia="en-US"/>
        </w:rPr>
        <w:t xml:space="preserve"> </w:t>
      </w:r>
      <w:proofErr w:type="spellStart"/>
      <w:r w:rsidRPr="00BD77D8">
        <w:rPr>
          <w:i/>
          <w:iCs/>
          <w:lang w:eastAsia="en-US"/>
        </w:rPr>
        <w:t>Kazipa</w:t>
      </w:r>
      <w:proofErr w:type="spellEnd"/>
      <w:r w:rsidRPr="00BD77D8">
        <w:rPr>
          <w:i/>
          <w:iCs/>
          <w:lang w:eastAsia="en-US"/>
        </w:rPr>
        <w:t xml:space="preserve"> (Torres Strait Islander Traditional Child Rearing Practice) Act 2020.</w:t>
      </w:r>
    </w:p>
    <w:p w14:paraId="4E1CD40D" w14:textId="143BF271" w:rsidR="00093321" w:rsidRPr="00BD77D8" w:rsidRDefault="00093321" w:rsidP="002605FE">
      <w:pPr>
        <w:rPr>
          <w:lang w:eastAsia="en-US"/>
        </w:rPr>
      </w:pPr>
      <w:r w:rsidRPr="00BD77D8">
        <w:rPr>
          <w:lang w:eastAsia="en-US"/>
        </w:rPr>
        <w:t xml:space="preserve">Ms Parton </w:t>
      </w:r>
      <w:r w:rsidR="002C6460" w:rsidRPr="00BD77D8">
        <w:rPr>
          <w:lang w:eastAsia="en-US"/>
        </w:rPr>
        <w:t xml:space="preserve">previously </w:t>
      </w:r>
      <w:r w:rsidRPr="00BD77D8">
        <w:rPr>
          <w:lang w:eastAsia="en-US"/>
        </w:rPr>
        <w:t>held Deputy Director-General roles in the Department of Local Government, Racing and Multicultural Affairs and the Department of Infrastructure, Local Government and Planning, where she specialised in leading policy and legislation reform, and overseeing governance and corporate services.</w:t>
      </w:r>
    </w:p>
    <w:p w14:paraId="6D3B5B99" w14:textId="662C27EA" w:rsidR="00093321" w:rsidRPr="00BD77D8" w:rsidRDefault="00093321" w:rsidP="002605FE">
      <w:pPr>
        <w:rPr>
          <w:sz w:val="20"/>
          <w:szCs w:val="20"/>
          <w:lang w:eastAsia="en-US"/>
        </w:rPr>
      </w:pPr>
      <w:r w:rsidRPr="00BD77D8">
        <w:rPr>
          <w:lang w:eastAsia="en-US"/>
        </w:rPr>
        <w:t xml:space="preserve">Ms Parton also spent three years leading communication and strategic engagement at the Queensland Reconstruction Authority, a statutory body established following the 2010–2011 Queensland floods. She previously managed communications and media for the Department of the Premier and Cabinet and led the Queensland Government’s Crisis Communication Network in the wake of the 2010–2011 floods and Cyclone Yasi. </w:t>
      </w:r>
    </w:p>
    <w:p w14:paraId="479CB7DA" w14:textId="77777777" w:rsidR="002E6E38" w:rsidRPr="00BD77D8" w:rsidRDefault="002E6E38" w:rsidP="0018616D">
      <w:pPr>
        <w:pStyle w:val="Heading4"/>
        <w:spacing w:after="0" w:line="240" w:lineRule="auto"/>
      </w:pPr>
      <w:bookmarkStart w:id="60" w:name="_Hlk115255532"/>
      <w:r w:rsidRPr="00BD77D8">
        <w:t>Dr Ian Mackie</w:t>
      </w:r>
    </w:p>
    <w:p w14:paraId="7FA8ACDB" w14:textId="7BFCBCA5" w:rsidR="00F75218" w:rsidRPr="00BD77D8" w:rsidRDefault="002E6E38" w:rsidP="0018616D">
      <w:pPr>
        <w:pStyle w:val="Heading4"/>
        <w:spacing w:after="0" w:line="240" w:lineRule="auto"/>
        <w:rPr>
          <w:sz w:val="20"/>
          <w:szCs w:val="20"/>
        </w:rPr>
      </w:pPr>
      <w:r w:rsidRPr="00BD77D8">
        <w:t>Deputy Director-General</w:t>
      </w:r>
      <w:r w:rsidR="00FA59A0" w:rsidRPr="00BD77D8">
        <w:t xml:space="preserve">, </w:t>
      </w:r>
      <w:r w:rsidRPr="00BD77D8">
        <w:t>Culture and Economic Participation</w:t>
      </w:r>
      <w:r w:rsidR="00515143" w:rsidRPr="00BD77D8">
        <w:t>,</w:t>
      </w:r>
      <w:r w:rsidR="00600073" w:rsidRPr="00BD77D8">
        <w:t xml:space="preserve"> Aboriginal and Torres Strait Islander Partnerships</w:t>
      </w:r>
      <w:r w:rsidR="00F75218" w:rsidRPr="00BD77D8">
        <w:t xml:space="preserve"> </w:t>
      </w:r>
    </w:p>
    <w:p w14:paraId="0A0480AB" w14:textId="67728277" w:rsidR="006D50FA" w:rsidRPr="00BD77D8" w:rsidRDefault="00CD1BAF" w:rsidP="002605FE">
      <w:pPr>
        <w:rPr>
          <w:i/>
          <w:iCs/>
          <w:lang w:eastAsia="en-US"/>
        </w:rPr>
      </w:pPr>
      <w:r w:rsidRPr="00BD77D8">
        <w:rPr>
          <w:i/>
          <w:iCs/>
          <w:lang w:eastAsia="en-US"/>
        </w:rPr>
        <w:t>PhD</w:t>
      </w:r>
      <w:r w:rsidR="00077710" w:rsidRPr="00BD77D8">
        <w:rPr>
          <w:i/>
          <w:iCs/>
          <w:lang w:eastAsia="en-US"/>
        </w:rPr>
        <w:t xml:space="preserve">, </w:t>
      </w:r>
      <w:r w:rsidRPr="00BD77D8" w:rsidDel="00CD1BAF">
        <w:rPr>
          <w:i/>
          <w:iCs/>
          <w:lang w:eastAsia="en-US"/>
        </w:rPr>
        <w:t xml:space="preserve"> </w:t>
      </w:r>
      <w:proofErr w:type="spellStart"/>
      <w:r w:rsidR="00077710" w:rsidRPr="00BD77D8">
        <w:rPr>
          <w:i/>
          <w:iCs/>
          <w:lang w:eastAsia="en-US"/>
        </w:rPr>
        <w:t>BEd</w:t>
      </w:r>
      <w:proofErr w:type="spellEnd"/>
      <w:r w:rsidR="00077710" w:rsidRPr="00BD77D8">
        <w:rPr>
          <w:i/>
          <w:iCs/>
          <w:lang w:eastAsia="en-US"/>
        </w:rPr>
        <w:t xml:space="preserve"> (1st Class Honours), Dip Teach</w:t>
      </w:r>
    </w:p>
    <w:p w14:paraId="10BD57C0" w14:textId="6F1F3DA7" w:rsidR="00EE0FE6" w:rsidRPr="00BD77D8" w:rsidRDefault="00EE0FE6" w:rsidP="00EE0FE6">
      <w:pPr>
        <w:rPr>
          <w:lang w:eastAsia="en-US"/>
        </w:rPr>
      </w:pPr>
      <w:r w:rsidRPr="00BD77D8">
        <w:rPr>
          <w:lang w:eastAsia="en-US"/>
        </w:rPr>
        <w:t>Dr Ian Mackie has significant experience working with Aboriginal</w:t>
      </w:r>
      <w:r w:rsidR="004C7FBB" w:rsidRPr="00BD77D8">
        <w:rPr>
          <w:lang w:eastAsia="en-US"/>
        </w:rPr>
        <w:t xml:space="preserve"> peoples</w:t>
      </w:r>
      <w:r w:rsidRPr="00BD77D8">
        <w:rPr>
          <w:lang w:eastAsia="en-US"/>
        </w:rPr>
        <w:t xml:space="preserve"> and Torres Strait Islander peoples, government agencies and service providers to develop services and programs that will improve outcomes for Aboriginal </w:t>
      </w:r>
      <w:r w:rsidR="004C7FBB" w:rsidRPr="00BD77D8">
        <w:rPr>
          <w:lang w:eastAsia="en-US"/>
        </w:rPr>
        <w:t xml:space="preserve">peoples </w:t>
      </w:r>
      <w:r w:rsidRPr="00BD77D8">
        <w:rPr>
          <w:lang w:eastAsia="en-US"/>
        </w:rPr>
        <w:t xml:space="preserve">and Torres Strait Islander peoples. He strives to </w:t>
      </w:r>
      <w:r w:rsidR="00AF6CB8" w:rsidRPr="00BD77D8">
        <w:rPr>
          <w:lang w:eastAsia="en-US"/>
        </w:rPr>
        <w:t>include</w:t>
      </w:r>
      <w:r w:rsidRPr="00BD77D8">
        <w:rPr>
          <w:lang w:eastAsia="en-US"/>
        </w:rPr>
        <w:t xml:space="preserve"> the voices of Aboriginal</w:t>
      </w:r>
      <w:r w:rsidR="008526F1" w:rsidRPr="00BD77D8">
        <w:rPr>
          <w:lang w:eastAsia="en-US"/>
        </w:rPr>
        <w:t xml:space="preserve"> peoples</w:t>
      </w:r>
      <w:r w:rsidRPr="00BD77D8">
        <w:rPr>
          <w:lang w:eastAsia="en-US"/>
        </w:rPr>
        <w:t xml:space="preserve"> and Torres Strait Islander peoples in the work undertaken by the department and government more broadly. Additionally, Dr Mackie is an advocate for increasing the number of Aboriginal</w:t>
      </w:r>
      <w:r w:rsidR="004C7FBB" w:rsidRPr="00BD77D8">
        <w:rPr>
          <w:lang w:eastAsia="en-US"/>
        </w:rPr>
        <w:t xml:space="preserve"> </w:t>
      </w:r>
      <w:r w:rsidRPr="00BD77D8">
        <w:rPr>
          <w:lang w:eastAsia="en-US"/>
        </w:rPr>
        <w:t xml:space="preserve">and Torres Strait Islander </w:t>
      </w:r>
      <w:r w:rsidR="008526F1" w:rsidRPr="00BD77D8">
        <w:rPr>
          <w:lang w:eastAsia="en-US"/>
        </w:rPr>
        <w:t>Queenslanders</w:t>
      </w:r>
      <w:r w:rsidRPr="00BD77D8">
        <w:rPr>
          <w:lang w:eastAsia="en-US"/>
        </w:rPr>
        <w:t xml:space="preserve"> in the public service and in decision-making roles.</w:t>
      </w:r>
    </w:p>
    <w:bookmarkEnd w:id="60"/>
    <w:p w14:paraId="4ADC1BB8" w14:textId="654FDD95" w:rsidR="00EE0FE6" w:rsidRPr="00BD77D8" w:rsidRDefault="00EE0FE6" w:rsidP="00EE0FE6">
      <w:pPr>
        <w:rPr>
          <w:lang w:eastAsia="en-US"/>
        </w:rPr>
      </w:pPr>
      <w:r w:rsidRPr="00BD77D8">
        <w:rPr>
          <w:lang w:eastAsia="en-US"/>
        </w:rPr>
        <w:t>Having worked across the public, private and community sectors, he is well-placed to influence others and negotiate outcomes that provide short, medium and long</w:t>
      </w:r>
      <w:r w:rsidR="003434E8" w:rsidRPr="00BD77D8">
        <w:rPr>
          <w:lang w:eastAsia="en-US"/>
        </w:rPr>
        <w:t>-</w:t>
      </w:r>
      <w:r w:rsidRPr="00BD77D8">
        <w:rPr>
          <w:lang w:eastAsia="en-US"/>
        </w:rPr>
        <w:t xml:space="preserve">term benefits to Aboriginal </w:t>
      </w:r>
      <w:r w:rsidR="004C7FBB" w:rsidRPr="00BD77D8">
        <w:rPr>
          <w:lang w:eastAsia="en-US"/>
        </w:rPr>
        <w:t xml:space="preserve">peoples </w:t>
      </w:r>
      <w:r w:rsidRPr="00BD77D8">
        <w:rPr>
          <w:lang w:eastAsia="en-US"/>
        </w:rPr>
        <w:t>and Torres Strait Islander peoples.</w:t>
      </w:r>
    </w:p>
    <w:p w14:paraId="792039CE" w14:textId="55D4C693" w:rsidR="00EE0FE6" w:rsidRPr="00BD77D8" w:rsidRDefault="00EE0FE6" w:rsidP="00EE0FE6">
      <w:pPr>
        <w:rPr>
          <w:lang w:eastAsia="en-US"/>
        </w:rPr>
      </w:pPr>
      <w:r w:rsidRPr="00BD77D8">
        <w:rPr>
          <w:lang w:eastAsia="en-US"/>
        </w:rPr>
        <w:t xml:space="preserve">In his former role as Assistant Director-General, Indigenous Education and Training Futures (Education Queensland), he endeavoured to bring new thinking to improve educational outcomes for Aboriginal </w:t>
      </w:r>
      <w:r w:rsidR="004C7FBB" w:rsidRPr="00BD77D8">
        <w:rPr>
          <w:lang w:eastAsia="en-US"/>
        </w:rPr>
        <w:t xml:space="preserve">peoples </w:t>
      </w:r>
      <w:r w:rsidRPr="00BD77D8">
        <w:rPr>
          <w:lang w:eastAsia="en-US"/>
        </w:rPr>
        <w:t>and Torres Strait Islander peoples. Believing in the critical importance of this</w:t>
      </w:r>
      <w:r w:rsidR="007878A8" w:rsidRPr="00BD77D8">
        <w:rPr>
          <w:lang w:eastAsia="en-US"/>
        </w:rPr>
        <w:t>,</w:t>
      </w:r>
      <w:r w:rsidRPr="00BD77D8">
        <w:rPr>
          <w:lang w:eastAsia="en-US"/>
        </w:rPr>
        <w:t xml:space="preserve"> formed the basis for his doctoral dissertation on reform and innovation in this field. Dr Mackie continues to take opportunities to influence others in this work through the delivery of public talks and published articles in refereed journals. </w:t>
      </w:r>
    </w:p>
    <w:p w14:paraId="64569D7A" w14:textId="682C25BD" w:rsidR="00EE0FE6" w:rsidRPr="00BD77D8" w:rsidRDefault="00EE0FE6" w:rsidP="00EE0FE6">
      <w:pPr>
        <w:rPr>
          <w:lang w:eastAsia="en-US"/>
        </w:rPr>
      </w:pPr>
      <w:r w:rsidRPr="00BD77D8">
        <w:rPr>
          <w:lang w:eastAsia="en-US"/>
        </w:rPr>
        <w:t xml:space="preserve">Dr Mackie took up his present position as Deputy Director-General, Culture and Economic Participation in the former Department of Aboriginal and Torres Strait Islander Partnerships in August 2018. </w:t>
      </w:r>
    </w:p>
    <w:p w14:paraId="03A5E945" w14:textId="3ACE629B" w:rsidR="009A061D" w:rsidRPr="00BD77D8" w:rsidRDefault="006668F2" w:rsidP="00914B9D">
      <w:pPr>
        <w:pStyle w:val="Heading4"/>
        <w:spacing w:before="360" w:after="0" w:line="240" w:lineRule="auto"/>
      </w:pPr>
      <w:proofErr w:type="spellStart"/>
      <w:r w:rsidRPr="00BD77D8">
        <w:lastRenderedPageBreak/>
        <w:t>Mr</w:t>
      </w:r>
      <w:proofErr w:type="spellEnd"/>
      <w:r w:rsidRPr="00BD77D8">
        <w:t xml:space="preserve"> </w:t>
      </w:r>
      <w:r w:rsidR="009A061D" w:rsidRPr="00BD77D8">
        <w:t>Max Wise</w:t>
      </w:r>
    </w:p>
    <w:p w14:paraId="51463B83" w14:textId="0410970E" w:rsidR="0083673E" w:rsidRPr="00BD77D8" w:rsidRDefault="0083673E" w:rsidP="0018616D">
      <w:pPr>
        <w:pStyle w:val="Heading4"/>
        <w:spacing w:after="0" w:line="240" w:lineRule="auto"/>
        <w:rPr>
          <w:sz w:val="20"/>
          <w:szCs w:val="20"/>
        </w:rPr>
      </w:pPr>
      <w:r w:rsidRPr="00BD77D8">
        <w:t xml:space="preserve">Deputy </w:t>
      </w:r>
      <w:r w:rsidR="009A061D" w:rsidRPr="00BD77D8">
        <w:t>Director-General</w:t>
      </w:r>
      <w:r w:rsidR="00FA59A0" w:rsidRPr="00BD77D8">
        <w:t xml:space="preserve">, </w:t>
      </w:r>
      <w:r w:rsidR="009A061D" w:rsidRPr="00BD77D8">
        <w:t>Disability and Seniors Connect</w:t>
      </w:r>
      <w:r w:rsidRPr="00BD77D8">
        <w:t xml:space="preserve"> </w:t>
      </w:r>
    </w:p>
    <w:p w14:paraId="5B735DB9" w14:textId="28E555D9" w:rsidR="00810CCE" w:rsidRPr="00BD77D8" w:rsidRDefault="00810CCE" w:rsidP="002605FE">
      <w:pPr>
        <w:rPr>
          <w:i/>
          <w:iCs/>
          <w:lang w:eastAsia="en-US"/>
        </w:rPr>
      </w:pPr>
      <w:r w:rsidRPr="00BD77D8">
        <w:rPr>
          <w:i/>
          <w:iCs/>
          <w:lang w:eastAsia="en-US"/>
        </w:rPr>
        <w:t>Master of Business Administration, Bachelor of Laws</w:t>
      </w:r>
      <w:r w:rsidR="00C75A46" w:rsidRPr="00BD77D8">
        <w:rPr>
          <w:i/>
          <w:iCs/>
          <w:lang w:eastAsia="en-US"/>
        </w:rPr>
        <w:t>, FIML</w:t>
      </w:r>
    </w:p>
    <w:p w14:paraId="73DF620A" w14:textId="7F8A179D" w:rsidR="00810CCE" w:rsidRPr="00BD77D8" w:rsidRDefault="006668F2" w:rsidP="002605FE">
      <w:pPr>
        <w:rPr>
          <w:lang w:eastAsia="en-US"/>
        </w:rPr>
      </w:pPr>
      <w:r w:rsidRPr="00BD77D8">
        <w:rPr>
          <w:lang w:eastAsia="en-US"/>
        </w:rPr>
        <w:t xml:space="preserve">Mr </w:t>
      </w:r>
      <w:r w:rsidR="00812376" w:rsidRPr="00BD77D8">
        <w:rPr>
          <w:lang w:eastAsia="en-US"/>
        </w:rPr>
        <w:t xml:space="preserve">Max </w:t>
      </w:r>
      <w:r w:rsidR="00BF0FA6" w:rsidRPr="00BD77D8">
        <w:rPr>
          <w:lang w:eastAsia="en-US"/>
        </w:rPr>
        <w:t>Wise has</w:t>
      </w:r>
      <w:r w:rsidR="00810CCE" w:rsidRPr="00BD77D8">
        <w:rPr>
          <w:lang w:eastAsia="en-US"/>
        </w:rPr>
        <w:t xml:space="preserve"> worked for the Queensland Government for over 35 years, including almost 20 years in senior leadership roles. He has extensive experience in regulatory, oversight and human service delivery, across a range of portfolios </w:t>
      </w:r>
      <w:r w:rsidR="00F6238E" w:rsidRPr="00BD77D8">
        <w:rPr>
          <w:lang w:eastAsia="en-US"/>
        </w:rPr>
        <w:t>including</w:t>
      </w:r>
      <w:r w:rsidR="00810CCE" w:rsidRPr="00BD77D8">
        <w:rPr>
          <w:lang w:eastAsia="en-US"/>
        </w:rPr>
        <w:t xml:space="preserve"> justice, treasury, health, child protection, disability and seniors. </w:t>
      </w:r>
    </w:p>
    <w:p w14:paraId="5BC0FFAF" w14:textId="48776633" w:rsidR="00810CCE" w:rsidRPr="00BD77D8" w:rsidRDefault="00810CCE" w:rsidP="002605FE">
      <w:pPr>
        <w:rPr>
          <w:lang w:eastAsia="en-US"/>
        </w:rPr>
      </w:pPr>
      <w:r w:rsidRPr="00BD77D8">
        <w:rPr>
          <w:lang w:eastAsia="en-US"/>
        </w:rPr>
        <w:t>While at the Queensland Family and Child Commission</w:t>
      </w:r>
      <w:r w:rsidR="00020E37" w:rsidRPr="00BD77D8">
        <w:rPr>
          <w:lang w:eastAsia="en-US"/>
        </w:rPr>
        <w:t>,</w:t>
      </w:r>
      <w:r w:rsidRPr="00BD77D8">
        <w:rPr>
          <w:lang w:eastAsia="en-US"/>
        </w:rPr>
        <w:t xml:space="preserve"> </w:t>
      </w:r>
      <w:r w:rsidR="006668F2" w:rsidRPr="00BD77D8">
        <w:rPr>
          <w:lang w:eastAsia="en-US"/>
        </w:rPr>
        <w:t>Mr Wise</w:t>
      </w:r>
      <w:r w:rsidRPr="00BD77D8">
        <w:rPr>
          <w:lang w:eastAsia="en-US"/>
        </w:rPr>
        <w:t xml:space="preserve"> led major reviews of the Blue Card and Foster Care systems, resulting in significant reform</w:t>
      </w:r>
      <w:r w:rsidR="00246E42" w:rsidRPr="00BD77D8">
        <w:rPr>
          <w:lang w:eastAsia="en-US"/>
        </w:rPr>
        <w:t>s</w:t>
      </w:r>
      <w:r w:rsidR="00C75A46" w:rsidRPr="00BD77D8">
        <w:rPr>
          <w:lang w:eastAsia="en-US"/>
        </w:rPr>
        <w:t xml:space="preserve"> to strengthen and streamline the systems</w:t>
      </w:r>
      <w:r w:rsidRPr="00BD77D8">
        <w:rPr>
          <w:lang w:eastAsia="en-US"/>
        </w:rPr>
        <w:t xml:space="preserve">. </w:t>
      </w:r>
      <w:r w:rsidR="00246E42" w:rsidRPr="00BD77D8">
        <w:rPr>
          <w:lang w:eastAsia="en-US"/>
        </w:rPr>
        <w:t xml:space="preserve">Following this, he </w:t>
      </w:r>
      <w:r w:rsidRPr="00BD77D8">
        <w:rPr>
          <w:lang w:eastAsia="en-US"/>
        </w:rPr>
        <w:t xml:space="preserve">successfully led the second half of Queensland’s implementation of the National Disability Insurance Scheme (NDIS), in which </w:t>
      </w:r>
      <w:r w:rsidR="00C75A46" w:rsidRPr="00BD77D8">
        <w:rPr>
          <w:lang w:eastAsia="en-US"/>
        </w:rPr>
        <w:t xml:space="preserve">participant </w:t>
      </w:r>
      <w:r w:rsidRPr="00BD77D8">
        <w:rPr>
          <w:lang w:eastAsia="en-US"/>
        </w:rPr>
        <w:t xml:space="preserve">access grew from 15,000 </w:t>
      </w:r>
      <w:r w:rsidR="00B44F20" w:rsidRPr="00BD77D8">
        <w:rPr>
          <w:lang w:eastAsia="en-US"/>
        </w:rPr>
        <w:t>i</w:t>
      </w:r>
      <w:r w:rsidRPr="00BD77D8">
        <w:rPr>
          <w:lang w:eastAsia="en-US"/>
        </w:rPr>
        <w:t xml:space="preserve">n mid-2018, to </w:t>
      </w:r>
      <w:r w:rsidR="003454F2" w:rsidRPr="00BD77D8">
        <w:rPr>
          <w:lang w:eastAsia="en-US"/>
        </w:rPr>
        <w:t>over</w:t>
      </w:r>
      <w:r w:rsidRPr="00BD77D8">
        <w:rPr>
          <w:lang w:eastAsia="en-US"/>
        </w:rPr>
        <w:t xml:space="preserve"> </w:t>
      </w:r>
      <w:r w:rsidR="003454F2" w:rsidRPr="00BD77D8">
        <w:rPr>
          <w:lang w:eastAsia="en-US"/>
        </w:rPr>
        <w:t>11</w:t>
      </w:r>
      <w:r w:rsidRPr="00BD77D8">
        <w:rPr>
          <w:lang w:eastAsia="en-US"/>
        </w:rPr>
        <w:t>0,000 by 30 June 2021, with annual plan values now in excess of $</w:t>
      </w:r>
      <w:r w:rsidR="005805F0" w:rsidRPr="00BD77D8">
        <w:rPr>
          <w:lang w:eastAsia="en-US"/>
        </w:rPr>
        <w:t>7.8</w:t>
      </w:r>
      <w:r w:rsidRPr="00BD77D8">
        <w:rPr>
          <w:lang w:eastAsia="en-US"/>
        </w:rPr>
        <w:t xml:space="preserve"> billion. </w:t>
      </w:r>
      <w:r w:rsidR="005805F0" w:rsidRPr="00BD77D8">
        <w:rPr>
          <w:lang w:eastAsia="en-US"/>
        </w:rPr>
        <w:t xml:space="preserve">This included delivery of the Assessment and Referral team, which over two years has provided end-to-end NDIS access support to 3,070 disadvantaged Queenslanders with disability resulting in annual plans valued at over $150 million.  </w:t>
      </w:r>
    </w:p>
    <w:p w14:paraId="715491B2" w14:textId="77777777" w:rsidR="0030140D" w:rsidRPr="00BD77D8" w:rsidRDefault="0030140D" w:rsidP="0030140D">
      <w:pPr>
        <w:rPr>
          <w:lang w:eastAsia="en-US"/>
        </w:rPr>
      </w:pPr>
      <w:r w:rsidRPr="00BD77D8">
        <w:rPr>
          <w:lang w:eastAsia="en-US"/>
        </w:rPr>
        <w:t xml:space="preserve">This year, Mr Wise led the successful implementation of NDIS worker screening in Queensland. Between 1 February 2021 and 30 June 2022, over 100,000 clearances to work in NDIS-related jobs have been issued to Queenslanders via a new online system.   </w:t>
      </w:r>
    </w:p>
    <w:p w14:paraId="205753F0" w14:textId="7AA76AC6" w:rsidR="00810CCE" w:rsidRPr="00BD77D8" w:rsidRDefault="00810CCE" w:rsidP="002605FE">
      <w:pPr>
        <w:rPr>
          <w:lang w:eastAsia="en-US"/>
        </w:rPr>
      </w:pPr>
      <w:r w:rsidRPr="00BD77D8">
        <w:rPr>
          <w:lang w:eastAsia="en-US"/>
        </w:rPr>
        <w:t xml:space="preserve">After commencing as Assistant Director-General of Disability Connect in 2019, </w:t>
      </w:r>
      <w:r w:rsidR="006668F2" w:rsidRPr="00BD77D8">
        <w:rPr>
          <w:lang w:eastAsia="en-US"/>
        </w:rPr>
        <w:t>Mr Wise</w:t>
      </w:r>
      <w:r w:rsidRPr="00BD77D8">
        <w:rPr>
          <w:lang w:eastAsia="en-US"/>
        </w:rPr>
        <w:t xml:space="preserve"> has taken on the additional responsibility of </w:t>
      </w:r>
      <w:r w:rsidR="00BF0FA6" w:rsidRPr="00BD77D8">
        <w:rPr>
          <w:lang w:eastAsia="en-US"/>
        </w:rPr>
        <w:t xml:space="preserve">the </w:t>
      </w:r>
      <w:r w:rsidRPr="00BD77D8">
        <w:rPr>
          <w:lang w:eastAsia="en-US"/>
        </w:rPr>
        <w:t>Seniors</w:t>
      </w:r>
      <w:r w:rsidR="00BF0FA6" w:rsidRPr="00BD77D8">
        <w:rPr>
          <w:lang w:eastAsia="en-US"/>
        </w:rPr>
        <w:t xml:space="preserve"> portfolio in 2021</w:t>
      </w:r>
      <w:r w:rsidRPr="00BD77D8">
        <w:rPr>
          <w:lang w:eastAsia="en-US"/>
        </w:rPr>
        <w:t>. His work drives the inclusion and participation of people with disability and seniors</w:t>
      </w:r>
      <w:r w:rsidR="00DE514A" w:rsidRPr="00BD77D8">
        <w:rPr>
          <w:lang w:eastAsia="en-US"/>
        </w:rPr>
        <w:t>. It also</w:t>
      </w:r>
      <w:r w:rsidRPr="00BD77D8">
        <w:rPr>
          <w:lang w:eastAsia="en-US"/>
        </w:rPr>
        <w:t xml:space="preserve"> provides key safeguards for people with disability and seniors</w:t>
      </w:r>
      <w:r w:rsidR="00BF0FA6" w:rsidRPr="00BD77D8">
        <w:rPr>
          <w:lang w:eastAsia="en-US"/>
        </w:rPr>
        <w:t xml:space="preserve"> </w:t>
      </w:r>
      <w:r w:rsidRPr="00BD77D8">
        <w:rPr>
          <w:lang w:eastAsia="en-US"/>
        </w:rPr>
        <w:t xml:space="preserve">and ensures the performance of the National Disability Insurance Scheme (NDIS).  </w:t>
      </w:r>
    </w:p>
    <w:p w14:paraId="7E0F3DD9" w14:textId="45E4DABA" w:rsidR="009A061D" w:rsidRPr="00BD77D8" w:rsidRDefault="006668F2" w:rsidP="0018616D">
      <w:pPr>
        <w:pStyle w:val="Heading4"/>
        <w:spacing w:after="0" w:line="240" w:lineRule="auto"/>
      </w:pPr>
      <w:proofErr w:type="spellStart"/>
      <w:r w:rsidRPr="00BD77D8">
        <w:t>Mr</w:t>
      </w:r>
      <w:proofErr w:type="spellEnd"/>
      <w:r w:rsidRPr="00BD77D8">
        <w:t xml:space="preserve"> </w:t>
      </w:r>
      <w:r w:rsidR="009A061D" w:rsidRPr="00BD77D8">
        <w:t>Matthew Lupi</w:t>
      </w:r>
    </w:p>
    <w:p w14:paraId="0C5B5320" w14:textId="4EFDC636" w:rsidR="0083673E" w:rsidRPr="00BD77D8" w:rsidRDefault="0083673E" w:rsidP="0018616D">
      <w:pPr>
        <w:pStyle w:val="Heading4"/>
        <w:spacing w:after="0" w:line="240" w:lineRule="auto"/>
        <w:rPr>
          <w:sz w:val="20"/>
          <w:szCs w:val="20"/>
        </w:rPr>
      </w:pPr>
      <w:r w:rsidRPr="00BD77D8">
        <w:t xml:space="preserve">Deputy </w:t>
      </w:r>
      <w:r w:rsidR="009A061D" w:rsidRPr="00BD77D8">
        <w:t>Director-General</w:t>
      </w:r>
      <w:r w:rsidR="00FA59A0" w:rsidRPr="00BD77D8">
        <w:t xml:space="preserve">, </w:t>
      </w:r>
      <w:r w:rsidR="009A061D" w:rsidRPr="00BD77D8">
        <w:t>Disability Accommodation, Respite and Forensic Services</w:t>
      </w:r>
      <w:r w:rsidRPr="00BD77D8">
        <w:t xml:space="preserve"> </w:t>
      </w:r>
    </w:p>
    <w:p w14:paraId="4AD8E95C" w14:textId="3F7902C6" w:rsidR="00C41A8F" w:rsidRPr="00BD77D8" w:rsidRDefault="00C41A8F" w:rsidP="002605FE">
      <w:pPr>
        <w:rPr>
          <w:i/>
          <w:iCs/>
          <w:lang w:eastAsia="en-US"/>
        </w:rPr>
      </w:pPr>
      <w:r w:rsidRPr="00BD77D8">
        <w:rPr>
          <w:i/>
          <w:iCs/>
          <w:lang w:eastAsia="en-US"/>
        </w:rPr>
        <w:t xml:space="preserve">Bachelor of Science (Psych), Grad Dip Soc Sci, Grad Cert </w:t>
      </w:r>
      <w:proofErr w:type="spellStart"/>
      <w:r w:rsidRPr="00BD77D8">
        <w:rPr>
          <w:i/>
          <w:iCs/>
          <w:lang w:eastAsia="en-US"/>
        </w:rPr>
        <w:t>Mgmt</w:t>
      </w:r>
      <w:proofErr w:type="spellEnd"/>
      <w:r w:rsidRPr="00BD77D8">
        <w:rPr>
          <w:i/>
          <w:iCs/>
          <w:lang w:eastAsia="en-US"/>
        </w:rPr>
        <w:t>, GAICD.</w:t>
      </w:r>
    </w:p>
    <w:p w14:paraId="7E7D464F" w14:textId="1E46A517" w:rsidR="00C41A8F" w:rsidRPr="00BD77D8" w:rsidRDefault="00C41A8F" w:rsidP="002605FE">
      <w:pPr>
        <w:rPr>
          <w:lang w:eastAsia="en-US"/>
        </w:rPr>
      </w:pPr>
      <w:r w:rsidRPr="00BD77D8">
        <w:rPr>
          <w:lang w:eastAsia="en-US"/>
        </w:rPr>
        <w:t>M</w:t>
      </w:r>
      <w:r w:rsidR="006668F2" w:rsidRPr="00BD77D8">
        <w:rPr>
          <w:lang w:eastAsia="en-US"/>
        </w:rPr>
        <w:t xml:space="preserve">r </w:t>
      </w:r>
      <w:r w:rsidR="00812376" w:rsidRPr="00BD77D8">
        <w:rPr>
          <w:lang w:eastAsia="en-US"/>
        </w:rPr>
        <w:t xml:space="preserve">Matthew </w:t>
      </w:r>
      <w:r w:rsidR="006668F2" w:rsidRPr="00BD77D8">
        <w:rPr>
          <w:lang w:eastAsia="en-US"/>
        </w:rPr>
        <w:t>Lupi</w:t>
      </w:r>
      <w:r w:rsidRPr="00BD77D8">
        <w:rPr>
          <w:lang w:eastAsia="en-US"/>
        </w:rPr>
        <w:t xml:space="preserve"> </w:t>
      </w:r>
      <w:r w:rsidR="004F2609" w:rsidRPr="00BD77D8">
        <w:rPr>
          <w:lang w:eastAsia="en-US"/>
        </w:rPr>
        <w:t>leads</w:t>
      </w:r>
      <w:r w:rsidRPr="00BD77D8">
        <w:rPr>
          <w:lang w:eastAsia="en-US"/>
        </w:rPr>
        <w:t xml:space="preserve"> the service delivery of the Accommodation Support and Respite Services as a NDIS service provider</w:t>
      </w:r>
      <w:r w:rsidR="004F2609" w:rsidRPr="00BD77D8">
        <w:rPr>
          <w:lang w:eastAsia="en-US"/>
        </w:rPr>
        <w:t xml:space="preserve"> and provides the operation</w:t>
      </w:r>
      <w:r w:rsidR="00DE514A" w:rsidRPr="00BD77D8">
        <w:rPr>
          <w:lang w:eastAsia="en-US"/>
        </w:rPr>
        <w:t>al</w:t>
      </w:r>
      <w:r w:rsidR="004F2609" w:rsidRPr="00BD77D8">
        <w:rPr>
          <w:lang w:eastAsia="en-US"/>
        </w:rPr>
        <w:t xml:space="preserve"> oversight of the Forensic Disability Service</w:t>
      </w:r>
      <w:r w:rsidRPr="00BD77D8">
        <w:rPr>
          <w:lang w:eastAsia="en-US"/>
        </w:rPr>
        <w:t>.</w:t>
      </w:r>
    </w:p>
    <w:p w14:paraId="4FE162B3" w14:textId="48A0B462" w:rsidR="004F2609" w:rsidRPr="00BD77D8" w:rsidRDefault="00C41A8F" w:rsidP="002605FE">
      <w:pPr>
        <w:rPr>
          <w:lang w:eastAsia="en-US"/>
        </w:rPr>
      </w:pPr>
      <w:r w:rsidRPr="00BD77D8">
        <w:rPr>
          <w:lang w:eastAsia="en-US"/>
        </w:rPr>
        <w:t>M</w:t>
      </w:r>
      <w:r w:rsidR="006668F2" w:rsidRPr="00BD77D8">
        <w:rPr>
          <w:lang w:eastAsia="en-US"/>
        </w:rPr>
        <w:t>r Lupi</w:t>
      </w:r>
      <w:r w:rsidRPr="00BD77D8">
        <w:rPr>
          <w:lang w:eastAsia="en-US"/>
        </w:rPr>
        <w:t xml:space="preserve"> has worked in social and human services in Queensland for over </w:t>
      </w:r>
      <w:r w:rsidR="004F2609" w:rsidRPr="00BD77D8">
        <w:rPr>
          <w:lang w:eastAsia="en-US"/>
        </w:rPr>
        <w:t>30</w:t>
      </w:r>
      <w:r w:rsidRPr="00BD77D8">
        <w:rPr>
          <w:lang w:eastAsia="en-US"/>
        </w:rPr>
        <w:t xml:space="preserve"> years, spending the last </w:t>
      </w:r>
      <w:r w:rsidR="004F2609" w:rsidRPr="00BD77D8">
        <w:rPr>
          <w:lang w:eastAsia="en-US"/>
        </w:rPr>
        <w:t>2</w:t>
      </w:r>
      <w:r w:rsidR="00DB2EF1" w:rsidRPr="00BD77D8">
        <w:rPr>
          <w:lang w:eastAsia="en-US"/>
        </w:rPr>
        <w:t>2</w:t>
      </w:r>
      <w:r w:rsidRPr="00BD77D8">
        <w:rPr>
          <w:lang w:eastAsia="en-US"/>
        </w:rPr>
        <w:t xml:space="preserve"> years with the Queensland Public Service. M</w:t>
      </w:r>
      <w:r w:rsidR="006668F2" w:rsidRPr="00BD77D8">
        <w:rPr>
          <w:lang w:eastAsia="en-US"/>
        </w:rPr>
        <w:t>r Lupi</w:t>
      </w:r>
      <w:r w:rsidRPr="00BD77D8">
        <w:rPr>
          <w:lang w:eastAsia="en-US"/>
        </w:rPr>
        <w:t xml:space="preserve"> has held a variety of senior executive roles across policy, program and service delivery throughout the state</w:t>
      </w:r>
      <w:r w:rsidR="004F2609" w:rsidRPr="00BD77D8">
        <w:rPr>
          <w:lang w:eastAsia="en-US"/>
        </w:rPr>
        <w:t xml:space="preserve"> and has led significant reform</w:t>
      </w:r>
      <w:r w:rsidR="008526F1" w:rsidRPr="00BD77D8">
        <w:rPr>
          <w:lang w:eastAsia="en-US"/>
        </w:rPr>
        <w:t>s</w:t>
      </w:r>
      <w:r w:rsidR="004F2609" w:rsidRPr="00BD77D8">
        <w:rPr>
          <w:lang w:eastAsia="en-US"/>
        </w:rPr>
        <w:t xml:space="preserve"> in child safety and community services</w:t>
      </w:r>
      <w:r w:rsidRPr="00BD77D8">
        <w:rPr>
          <w:lang w:eastAsia="en-US"/>
        </w:rPr>
        <w:t>.</w:t>
      </w:r>
    </w:p>
    <w:p w14:paraId="72A967D1" w14:textId="27988759" w:rsidR="00C41A8F" w:rsidRPr="00BD77D8" w:rsidRDefault="004F2609" w:rsidP="002605FE">
      <w:pPr>
        <w:rPr>
          <w:lang w:eastAsia="en-US"/>
        </w:rPr>
      </w:pPr>
      <w:r w:rsidRPr="00BD77D8">
        <w:rPr>
          <w:lang w:eastAsia="en-US"/>
        </w:rPr>
        <w:t>In 2020, Mr Lupi led a whole-of-government seniors support strategy and the establishment of the Queensland Care Army. Working in partnership with key government and non-government stakeholders, the Care Army attracted over 28,000 willing volunteers who provide</w:t>
      </w:r>
      <w:r w:rsidR="00DE514A" w:rsidRPr="00BD77D8">
        <w:rPr>
          <w:lang w:eastAsia="en-US"/>
        </w:rPr>
        <w:t>d</w:t>
      </w:r>
      <w:r w:rsidRPr="00BD77D8">
        <w:rPr>
          <w:lang w:eastAsia="en-US"/>
        </w:rPr>
        <w:t xml:space="preserve"> much needed support to older Queenslanders during the pandemic response. </w:t>
      </w:r>
    </w:p>
    <w:p w14:paraId="4B0FAA42" w14:textId="3F80EBE3" w:rsidR="00494237" w:rsidRPr="00BD77D8" w:rsidRDefault="00494237" w:rsidP="00494237">
      <w:pPr>
        <w:rPr>
          <w:lang w:eastAsia="en-US"/>
        </w:rPr>
      </w:pPr>
      <w:r w:rsidRPr="00BD77D8">
        <w:rPr>
          <w:lang w:eastAsia="en-US"/>
        </w:rPr>
        <w:t xml:space="preserve">During this reporting period, Mr Lupi has overseen the implementation of the new structure at the Forensic Disability Service and a raft of critical service reforms, in response to the Ombudsman’s report, </w:t>
      </w:r>
      <w:r w:rsidRPr="00BD77D8">
        <w:rPr>
          <w:i/>
          <w:iCs/>
          <w:lang w:eastAsia="en-US"/>
        </w:rPr>
        <w:t>The Forensic Disability Service report: An investigation into the detention of people at the Forensic Disability Service.</w:t>
      </w:r>
      <w:r w:rsidR="00DB2EF1" w:rsidRPr="00BD77D8">
        <w:rPr>
          <w:i/>
          <w:iCs/>
          <w:lang w:eastAsia="en-US"/>
        </w:rPr>
        <w:t xml:space="preserve"> </w:t>
      </w:r>
      <w:r w:rsidR="00DB2EF1" w:rsidRPr="00BD77D8">
        <w:rPr>
          <w:lang w:eastAsia="en-US"/>
        </w:rPr>
        <w:t>He has led the Accommodation Support and Respite Services (AS&amp;RS) service delivery area through a number of client-centred reforms as part of the ongoing transition of services into the NDIS environment.</w:t>
      </w:r>
    </w:p>
    <w:p w14:paraId="0BC4EE33" w14:textId="66E40CE4" w:rsidR="00B323D5" w:rsidRPr="00BD77D8" w:rsidRDefault="00B323D5" w:rsidP="0018616D">
      <w:pPr>
        <w:pStyle w:val="Heading4"/>
        <w:spacing w:after="0" w:line="240" w:lineRule="auto"/>
      </w:pPr>
      <w:proofErr w:type="spellStart"/>
      <w:r w:rsidRPr="00BD77D8">
        <w:t>Ms</w:t>
      </w:r>
      <w:proofErr w:type="spellEnd"/>
      <w:r w:rsidRPr="00BD77D8">
        <w:t xml:space="preserve"> Rhiannan Howell</w:t>
      </w:r>
    </w:p>
    <w:p w14:paraId="1CF2DDF7" w14:textId="134573AF" w:rsidR="00B323D5" w:rsidRPr="00BD77D8" w:rsidRDefault="00B323D5" w:rsidP="0018616D">
      <w:pPr>
        <w:pStyle w:val="Heading4"/>
        <w:spacing w:after="0" w:line="240" w:lineRule="auto"/>
        <w:rPr>
          <w:b w:val="0"/>
          <w:bCs/>
          <w:sz w:val="20"/>
          <w:szCs w:val="20"/>
        </w:rPr>
      </w:pPr>
      <w:r w:rsidRPr="00BD77D8">
        <w:t>Deputy Director-General</w:t>
      </w:r>
      <w:r w:rsidR="00FA59A0" w:rsidRPr="00BD77D8">
        <w:t xml:space="preserve">, </w:t>
      </w:r>
      <w:r w:rsidRPr="00BD77D8">
        <w:t xml:space="preserve">Corporate Services </w:t>
      </w:r>
    </w:p>
    <w:p w14:paraId="2C3A127E" w14:textId="29EF4213" w:rsidR="00B323D5" w:rsidRPr="00BD77D8" w:rsidRDefault="00B323D5" w:rsidP="00B323D5">
      <w:pPr>
        <w:rPr>
          <w:i/>
          <w:iCs/>
          <w:lang w:eastAsia="en-US"/>
        </w:rPr>
      </w:pPr>
      <w:r w:rsidRPr="00BD77D8">
        <w:rPr>
          <w:i/>
          <w:iCs/>
          <w:lang w:eastAsia="en-US"/>
        </w:rPr>
        <w:t>Executive Masters of Public Administration</w:t>
      </w:r>
    </w:p>
    <w:p w14:paraId="787D6A29" w14:textId="218D2C7D" w:rsidR="00F0626E" w:rsidRPr="00BD77D8" w:rsidRDefault="00F0626E" w:rsidP="00F0626E">
      <w:pPr>
        <w:rPr>
          <w:lang w:eastAsia="en-US"/>
        </w:rPr>
      </w:pPr>
      <w:r w:rsidRPr="00BD77D8">
        <w:rPr>
          <w:lang w:eastAsia="en-US"/>
        </w:rPr>
        <w:t>Ms Rhiannan Howell joined the department in March 2022. Ms Howell was appointed as Deputy Director</w:t>
      </w:r>
      <w:r w:rsidRPr="00BD77D8">
        <w:rPr>
          <w:lang w:eastAsia="en-US"/>
        </w:rPr>
        <w:noBreakHyphen/>
        <w:t xml:space="preserve">General, Corporate Services, leading the functions of financial management, procurement, property services, human resources and ethical standards, governance and strategic communications. Ms Howell has </w:t>
      </w:r>
      <w:r w:rsidRPr="00BD77D8">
        <w:rPr>
          <w:lang w:eastAsia="en-US"/>
        </w:rPr>
        <w:lastRenderedPageBreak/>
        <w:t>more than 20 years’ experience in a number of diverse Queensland public sector agencies in a range of management, human resources, change management, governance and communications roles.</w:t>
      </w:r>
    </w:p>
    <w:p w14:paraId="2D2DC4CF" w14:textId="32A9DC51" w:rsidR="00B323D5" w:rsidRPr="00BD77D8" w:rsidRDefault="00B323D5" w:rsidP="00B323D5">
      <w:pPr>
        <w:rPr>
          <w:lang w:eastAsia="en-US"/>
        </w:rPr>
      </w:pPr>
      <w:r w:rsidRPr="00BD77D8">
        <w:rPr>
          <w:lang w:eastAsia="en-US"/>
        </w:rPr>
        <w:t>Ms Howell was previously the Head of Corporate Services, Department of Employment, Small Business and Training. She has a diverse background across the public and private sectors in a number of service delivery and corporate service roles.</w:t>
      </w:r>
    </w:p>
    <w:p w14:paraId="33CE75C5" w14:textId="7A2976BE" w:rsidR="009A061D" w:rsidRPr="00BD77D8" w:rsidRDefault="009A061D" w:rsidP="0018616D">
      <w:pPr>
        <w:pStyle w:val="Heading4"/>
        <w:spacing w:after="0" w:line="240" w:lineRule="auto"/>
      </w:pPr>
      <w:r w:rsidRPr="00BD77D8">
        <w:t>Neil Smith</w:t>
      </w:r>
    </w:p>
    <w:p w14:paraId="7296BAA0" w14:textId="02D55CEE" w:rsidR="0083673E" w:rsidRPr="00BD77D8" w:rsidRDefault="009A061D" w:rsidP="0018616D">
      <w:pPr>
        <w:pStyle w:val="Heading4"/>
        <w:spacing w:after="0" w:line="240" w:lineRule="auto"/>
        <w:rPr>
          <w:sz w:val="20"/>
          <w:szCs w:val="20"/>
        </w:rPr>
      </w:pPr>
      <w:r w:rsidRPr="00BD77D8">
        <w:t>Chief Human Resource Officer</w:t>
      </w:r>
      <w:r w:rsidR="00FA59A0" w:rsidRPr="00BD77D8">
        <w:t xml:space="preserve">, </w:t>
      </w:r>
      <w:r w:rsidR="002154EC" w:rsidRPr="00BD77D8">
        <w:t>Human Resources and Ethical Standards</w:t>
      </w:r>
      <w:r w:rsidR="0083673E" w:rsidRPr="00BD77D8">
        <w:t xml:space="preserve"> </w:t>
      </w:r>
    </w:p>
    <w:p w14:paraId="60F1833E" w14:textId="77777777" w:rsidR="00B73E96" w:rsidRPr="00BD77D8" w:rsidRDefault="00B73E96" w:rsidP="002605FE">
      <w:pPr>
        <w:rPr>
          <w:i/>
          <w:iCs/>
          <w:lang w:eastAsia="en-US"/>
        </w:rPr>
      </w:pPr>
      <w:r w:rsidRPr="00BD77D8">
        <w:rPr>
          <w:i/>
          <w:iCs/>
          <w:lang w:eastAsia="en-US"/>
        </w:rPr>
        <w:t>Master of Health Science, Graduate Diploma (OHS), GAICD</w:t>
      </w:r>
    </w:p>
    <w:p w14:paraId="70813757" w14:textId="33E21DAD" w:rsidR="00BC0507" w:rsidRPr="00BD77D8" w:rsidRDefault="00812376" w:rsidP="002605FE">
      <w:pPr>
        <w:rPr>
          <w:lang w:eastAsia="en-US"/>
        </w:rPr>
      </w:pPr>
      <w:r w:rsidRPr="00BD77D8">
        <w:rPr>
          <w:lang w:eastAsia="en-US"/>
        </w:rPr>
        <w:t>Mr Neil Smith</w:t>
      </w:r>
      <w:r w:rsidR="00BC0507" w:rsidRPr="00BD77D8">
        <w:rPr>
          <w:lang w:eastAsia="en-US"/>
        </w:rPr>
        <w:t xml:space="preserve"> has been a human resource professional in the Queensland Public Service for over 25 years and has extensive experience and achievements in leading significant workforce change strategies including the transition to the NDIS.  He was first appointed as Chief Human Resource Officer in 2009.</w:t>
      </w:r>
    </w:p>
    <w:p w14:paraId="2074FB77" w14:textId="605DE118" w:rsidR="00BC0507" w:rsidRPr="00BD77D8" w:rsidRDefault="00BC0507" w:rsidP="002605FE">
      <w:pPr>
        <w:rPr>
          <w:lang w:eastAsia="en-US"/>
        </w:rPr>
      </w:pPr>
      <w:r w:rsidRPr="00BD77D8">
        <w:rPr>
          <w:lang w:eastAsia="en-US"/>
        </w:rPr>
        <w:t xml:space="preserve">Prior to this, </w:t>
      </w:r>
      <w:r w:rsidR="00812376" w:rsidRPr="00BD77D8">
        <w:rPr>
          <w:lang w:eastAsia="en-US"/>
        </w:rPr>
        <w:t>Mr Smith</w:t>
      </w:r>
      <w:r w:rsidRPr="00BD77D8">
        <w:rPr>
          <w:lang w:eastAsia="en-US"/>
        </w:rPr>
        <w:t xml:space="preserve"> held other senior officer and executive roles in central and line agencies of government as well as in private sector heavy engineering and construction</w:t>
      </w:r>
      <w:r w:rsidR="00246E42" w:rsidRPr="00BD77D8">
        <w:rPr>
          <w:lang w:eastAsia="en-US"/>
        </w:rPr>
        <w:t xml:space="preserve"> organisations</w:t>
      </w:r>
      <w:r w:rsidRPr="00BD77D8">
        <w:rPr>
          <w:lang w:eastAsia="en-US"/>
        </w:rPr>
        <w:t>.</w:t>
      </w:r>
    </w:p>
    <w:p w14:paraId="287F3B45" w14:textId="77777777" w:rsidR="00911A3B" w:rsidRPr="00BD77D8" w:rsidRDefault="00911A3B" w:rsidP="0018616D">
      <w:pPr>
        <w:pStyle w:val="Heading4"/>
        <w:spacing w:after="0" w:line="240" w:lineRule="auto"/>
      </w:pPr>
      <w:proofErr w:type="spellStart"/>
      <w:r w:rsidRPr="00BD77D8">
        <w:t>Mr</w:t>
      </w:r>
      <w:proofErr w:type="spellEnd"/>
      <w:r w:rsidRPr="00BD77D8">
        <w:t xml:space="preserve"> Narinder Singh</w:t>
      </w:r>
    </w:p>
    <w:p w14:paraId="468C3042" w14:textId="2E39155A" w:rsidR="0083673E" w:rsidRPr="00BD77D8" w:rsidRDefault="00911A3B" w:rsidP="0018616D">
      <w:pPr>
        <w:pStyle w:val="Heading4"/>
        <w:spacing w:after="0" w:line="240" w:lineRule="auto"/>
        <w:rPr>
          <w:sz w:val="20"/>
          <w:szCs w:val="20"/>
        </w:rPr>
      </w:pPr>
      <w:r w:rsidRPr="00BD77D8">
        <w:t>Chief Finance Officer</w:t>
      </w:r>
      <w:r w:rsidR="0083673E" w:rsidRPr="00BD77D8">
        <w:t xml:space="preserve"> </w:t>
      </w:r>
    </w:p>
    <w:p w14:paraId="21B4EA07" w14:textId="77777777" w:rsidR="00911A3B" w:rsidRPr="00BD77D8" w:rsidRDefault="00911A3B" w:rsidP="00911A3B">
      <w:pPr>
        <w:rPr>
          <w:i/>
          <w:iCs/>
          <w:lang w:eastAsia="en-US"/>
        </w:rPr>
      </w:pPr>
      <w:r w:rsidRPr="00BD77D8">
        <w:rPr>
          <w:i/>
          <w:iCs/>
          <w:lang w:eastAsia="en-US"/>
        </w:rPr>
        <w:t>Bachelor of Science (Hons), CPA, ACMA, CGMA</w:t>
      </w:r>
    </w:p>
    <w:p w14:paraId="3482C877" w14:textId="32E6F96C" w:rsidR="00911A3B" w:rsidRPr="00BD77D8" w:rsidRDefault="00911A3B" w:rsidP="00911A3B">
      <w:pPr>
        <w:rPr>
          <w:lang w:eastAsia="en-US"/>
        </w:rPr>
      </w:pPr>
      <w:r w:rsidRPr="00BD77D8">
        <w:rPr>
          <w:lang w:eastAsia="en-US"/>
        </w:rPr>
        <w:t>Mr Narinder Singh was appointed Chief Finance Officer of the former Department of Communities, Disability Services and Seniors in August 2018 and retained this position at the inception of the Department of Seniors, Disability Services and Aboriginal and Torres Strait Islander Partnerships.  Mr Singh has more than 1</w:t>
      </w:r>
      <w:r w:rsidR="00C0390B" w:rsidRPr="00BD77D8">
        <w:rPr>
          <w:lang w:eastAsia="en-US"/>
        </w:rPr>
        <w:t>5</w:t>
      </w:r>
      <w:r w:rsidRPr="00BD77D8">
        <w:rPr>
          <w:lang w:eastAsia="en-US"/>
        </w:rPr>
        <w:t xml:space="preserve"> years’ experience in the Queensland Government, including </w:t>
      </w:r>
      <w:r w:rsidR="00F6238E" w:rsidRPr="00BD77D8">
        <w:rPr>
          <w:lang w:eastAsia="en-US"/>
        </w:rPr>
        <w:t xml:space="preserve">9 </w:t>
      </w:r>
      <w:r w:rsidRPr="00BD77D8">
        <w:rPr>
          <w:lang w:eastAsia="en-US"/>
        </w:rPr>
        <w:t>years’ experience in senior management roles.</w:t>
      </w:r>
    </w:p>
    <w:p w14:paraId="1851405E" w14:textId="378E9F5D" w:rsidR="00911A3B" w:rsidRPr="00BD77D8" w:rsidRDefault="00911A3B" w:rsidP="00911A3B">
      <w:pPr>
        <w:rPr>
          <w:lang w:eastAsia="en-US"/>
        </w:rPr>
      </w:pPr>
      <w:r w:rsidRPr="00BD77D8">
        <w:rPr>
          <w:lang w:eastAsia="en-US"/>
        </w:rPr>
        <w:t>Prior to this, Mr Singh worked in the private sector, primarily in the financial services industry in a variety of senior finance roles for a number of blue</w:t>
      </w:r>
      <w:r w:rsidR="00CB387F" w:rsidRPr="00BD77D8">
        <w:rPr>
          <w:lang w:eastAsia="en-US"/>
        </w:rPr>
        <w:t>-</w:t>
      </w:r>
      <w:r w:rsidRPr="00BD77D8">
        <w:rPr>
          <w:lang w:eastAsia="en-US"/>
        </w:rPr>
        <w:t>chip organisations. Mr Singh has held positions that have provided experience in financial management and governance, business planning, commercial pricing, organisational redesign and change, shareholder relations and financial risk management.</w:t>
      </w:r>
    </w:p>
    <w:p w14:paraId="52509596" w14:textId="35B1289B" w:rsidR="001924D1" w:rsidRPr="00BD77D8" w:rsidRDefault="009E00FE" w:rsidP="00392640">
      <w:pPr>
        <w:pStyle w:val="Heading2"/>
        <w:rPr>
          <w:b/>
          <w:bCs w:val="0"/>
          <w:color w:val="auto"/>
          <w:sz w:val="20"/>
          <w:szCs w:val="20"/>
        </w:rPr>
      </w:pPr>
      <w:bookmarkStart w:id="61" w:name="_Toc43444707"/>
      <w:bookmarkStart w:id="62" w:name="_Toc78287334"/>
      <w:bookmarkStart w:id="63" w:name="_Toc78355741"/>
      <w:bookmarkStart w:id="64" w:name="_Toc113544377"/>
      <w:bookmarkEnd w:id="58"/>
      <w:r w:rsidRPr="00BD77D8">
        <w:rPr>
          <w:color w:val="auto"/>
        </w:rPr>
        <w:t xml:space="preserve">Our </w:t>
      </w:r>
      <w:r w:rsidR="002A7BEE" w:rsidRPr="00BD77D8">
        <w:rPr>
          <w:color w:val="auto"/>
        </w:rPr>
        <w:t>governance</w:t>
      </w:r>
      <w:bookmarkEnd w:id="61"/>
      <w:bookmarkEnd w:id="62"/>
      <w:bookmarkEnd w:id="63"/>
      <w:bookmarkEnd w:id="64"/>
      <w:r w:rsidR="00340AE6" w:rsidRPr="00BD77D8">
        <w:rPr>
          <w:color w:val="auto"/>
        </w:rPr>
        <w:t xml:space="preserve"> </w:t>
      </w:r>
    </w:p>
    <w:p w14:paraId="78878344" w14:textId="799E9788" w:rsidR="002A7BEE" w:rsidRPr="00BD77D8" w:rsidRDefault="002A7BEE" w:rsidP="007524AB">
      <w:pPr>
        <w:pStyle w:val="Heading3"/>
        <w:rPr>
          <w:sz w:val="20"/>
          <w:szCs w:val="20"/>
        </w:rPr>
      </w:pPr>
      <w:r w:rsidRPr="00BD77D8">
        <w:t>Our governing legislation</w:t>
      </w:r>
      <w:r w:rsidR="00515143" w:rsidRPr="00BD77D8">
        <w:t xml:space="preserve"> </w:t>
      </w:r>
    </w:p>
    <w:p w14:paraId="2BB016CA" w14:textId="752B2750" w:rsidR="000A093B" w:rsidRPr="00BD77D8" w:rsidRDefault="00B91766" w:rsidP="000A093B">
      <w:pPr>
        <w:rPr>
          <w:rFonts w:eastAsia="Calibri"/>
          <w:lang w:val="en-US"/>
        </w:rPr>
      </w:pPr>
      <w:r w:rsidRPr="00BD77D8">
        <w:rPr>
          <w:lang w:eastAsia="en-US"/>
        </w:rPr>
        <w:t>The department</w:t>
      </w:r>
      <w:r w:rsidR="00070ACD" w:rsidRPr="00BD77D8">
        <w:rPr>
          <w:lang w:eastAsia="en-US"/>
        </w:rPr>
        <w:t xml:space="preserve"> administers (or jointly administers) a number of Acts of Parliament and relevant sections of other Acts from which the department derives its functions and powers</w:t>
      </w:r>
      <w:r w:rsidR="00070ACD" w:rsidRPr="00BD77D8">
        <w:rPr>
          <w:rFonts w:eastAsia="Calibri"/>
          <w:spacing w:val="-1"/>
          <w:lang w:val="en-US"/>
        </w:rPr>
        <w:t>.</w:t>
      </w:r>
      <w:r w:rsidR="00070ACD" w:rsidRPr="00BD77D8">
        <w:rPr>
          <w:rFonts w:eastAsia="Calibri"/>
          <w:spacing w:val="-15"/>
          <w:lang w:val="en-US"/>
        </w:rPr>
        <w:t xml:space="preserve"> </w:t>
      </w:r>
      <w:r w:rsidR="00070ACD" w:rsidRPr="00BD77D8">
        <w:rPr>
          <w:lang w:eastAsia="en-US"/>
        </w:rPr>
        <w:t>These include</w:t>
      </w:r>
      <w:r w:rsidR="00070ACD" w:rsidRPr="00BD77D8">
        <w:rPr>
          <w:rFonts w:eastAsia="Calibri"/>
          <w:lang w:val="en-US"/>
        </w:rPr>
        <w:t>:</w:t>
      </w:r>
    </w:p>
    <w:p w14:paraId="2CF11541" w14:textId="45E1ECBA" w:rsidR="00515143" w:rsidRPr="00BD77D8" w:rsidRDefault="00515143" w:rsidP="00515143">
      <w:pPr>
        <w:pStyle w:val="ListBullet"/>
        <w:numPr>
          <w:ilvl w:val="0"/>
          <w:numId w:val="0"/>
        </w:numPr>
        <w:rPr>
          <w:rFonts w:eastAsia="Calibri"/>
        </w:rPr>
      </w:pPr>
      <w:r w:rsidRPr="00BD77D8">
        <w:rPr>
          <w:rFonts w:eastAsia="Calibri"/>
        </w:rPr>
        <w:t>Carers, Seniors and Disability Services</w:t>
      </w:r>
    </w:p>
    <w:p w14:paraId="40A1F1C6" w14:textId="77777777" w:rsidR="00F47331" w:rsidRPr="00BD77D8" w:rsidRDefault="00F47331" w:rsidP="00A463E0">
      <w:pPr>
        <w:pStyle w:val="ListBullet"/>
        <w:numPr>
          <w:ilvl w:val="0"/>
          <w:numId w:val="35"/>
        </w:numPr>
        <w:rPr>
          <w:rFonts w:eastAsia="Calibri"/>
          <w:i/>
          <w:iCs/>
        </w:rPr>
      </w:pPr>
      <w:r w:rsidRPr="00BD77D8">
        <w:rPr>
          <w:rFonts w:eastAsia="Calibri"/>
          <w:i/>
          <w:iCs/>
        </w:rPr>
        <w:t>Carers (Recognition) Act 2008</w:t>
      </w:r>
    </w:p>
    <w:p w14:paraId="1FC51D56" w14:textId="77777777" w:rsidR="00F47331" w:rsidRPr="00BD77D8" w:rsidRDefault="00F47331" w:rsidP="00A463E0">
      <w:pPr>
        <w:pStyle w:val="ListBullet"/>
        <w:numPr>
          <w:ilvl w:val="0"/>
          <w:numId w:val="35"/>
        </w:numPr>
        <w:rPr>
          <w:rFonts w:eastAsia="Calibri"/>
          <w:i/>
          <w:iCs/>
        </w:rPr>
      </w:pPr>
      <w:r w:rsidRPr="00BD77D8">
        <w:rPr>
          <w:rFonts w:eastAsia="Calibri"/>
          <w:i/>
          <w:iCs/>
        </w:rPr>
        <w:t>Disability Services Act 2006</w:t>
      </w:r>
    </w:p>
    <w:p w14:paraId="5D2F0D22" w14:textId="77777777" w:rsidR="00F47331" w:rsidRPr="00BD77D8" w:rsidRDefault="00F47331" w:rsidP="00A463E0">
      <w:pPr>
        <w:pStyle w:val="ListBullet"/>
        <w:numPr>
          <w:ilvl w:val="0"/>
          <w:numId w:val="35"/>
        </w:numPr>
        <w:rPr>
          <w:rFonts w:eastAsia="Calibri"/>
          <w:i/>
          <w:iCs/>
        </w:rPr>
      </w:pPr>
      <w:r w:rsidRPr="00BD77D8">
        <w:rPr>
          <w:rFonts w:eastAsia="Calibri"/>
          <w:i/>
          <w:iCs/>
        </w:rPr>
        <w:t>Forensic Disability Act 2011</w:t>
      </w:r>
    </w:p>
    <w:p w14:paraId="7117AE09" w14:textId="43F48B47" w:rsidR="00F47331" w:rsidRPr="00BD77D8" w:rsidRDefault="00F47331" w:rsidP="003A0168">
      <w:pPr>
        <w:pStyle w:val="ListBullet"/>
        <w:numPr>
          <w:ilvl w:val="0"/>
          <w:numId w:val="35"/>
        </w:numPr>
        <w:rPr>
          <w:rFonts w:eastAsia="Calibri"/>
          <w:i/>
          <w:iCs/>
        </w:rPr>
      </w:pPr>
      <w:r w:rsidRPr="00BD77D8">
        <w:rPr>
          <w:rFonts w:eastAsia="Calibri"/>
          <w:i/>
          <w:iCs/>
        </w:rPr>
        <w:t>Guide, Hearing and Assistance Dogs Act 2009</w:t>
      </w:r>
      <w:r w:rsidR="003434E8" w:rsidRPr="00BD77D8">
        <w:rPr>
          <w:rFonts w:eastAsia="Calibri"/>
          <w:i/>
          <w:iCs/>
        </w:rPr>
        <w:t>.</w:t>
      </w:r>
    </w:p>
    <w:p w14:paraId="3D784608" w14:textId="77777777" w:rsidR="003A0168" w:rsidRPr="00BD77D8" w:rsidRDefault="003A0168" w:rsidP="004F37AE">
      <w:pPr>
        <w:pStyle w:val="ListBullet"/>
        <w:numPr>
          <w:ilvl w:val="0"/>
          <w:numId w:val="0"/>
        </w:numPr>
        <w:spacing w:before="480"/>
        <w:rPr>
          <w:rFonts w:eastAsia="Calibri"/>
        </w:rPr>
      </w:pPr>
    </w:p>
    <w:p w14:paraId="360F4049" w14:textId="55D3E801" w:rsidR="00515143" w:rsidRPr="00BD77D8" w:rsidRDefault="00515143" w:rsidP="004F37AE">
      <w:pPr>
        <w:pStyle w:val="ListBullet"/>
        <w:numPr>
          <w:ilvl w:val="0"/>
          <w:numId w:val="0"/>
        </w:numPr>
        <w:spacing w:before="480"/>
        <w:rPr>
          <w:rFonts w:eastAsia="Calibri"/>
        </w:rPr>
      </w:pPr>
      <w:r w:rsidRPr="00BD77D8">
        <w:rPr>
          <w:rFonts w:eastAsia="Calibri"/>
        </w:rPr>
        <w:t>Aboriginal and Torres Strait Islander Cultural Heritage, and Aboriginal and Torres Strait Islander Policy, Rights and Culture</w:t>
      </w:r>
    </w:p>
    <w:p w14:paraId="6C825087" w14:textId="77777777" w:rsidR="00540C1F" w:rsidRPr="00BD77D8" w:rsidRDefault="00540C1F" w:rsidP="00A463E0">
      <w:pPr>
        <w:pStyle w:val="ListBullet"/>
        <w:numPr>
          <w:ilvl w:val="0"/>
          <w:numId w:val="36"/>
        </w:numPr>
        <w:rPr>
          <w:rFonts w:eastAsia="Calibri"/>
          <w:i/>
          <w:iCs/>
        </w:rPr>
      </w:pPr>
      <w:r w:rsidRPr="00BD77D8">
        <w:rPr>
          <w:rFonts w:eastAsia="Calibri"/>
          <w:i/>
          <w:iCs/>
        </w:rPr>
        <w:t xml:space="preserve">Aboriginal and Torres Strait Islander Communities (Justice, Land and Other Matters) Act 1984 </w:t>
      </w:r>
    </w:p>
    <w:p w14:paraId="5E583B82" w14:textId="77777777" w:rsidR="00540C1F" w:rsidRPr="00BD77D8" w:rsidRDefault="00540C1F" w:rsidP="00A463E0">
      <w:pPr>
        <w:pStyle w:val="ListBullet"/>
        <w:numPr>
          <w:ilvl w:val="0"/>
          <w:numId w:val="36"/>
        </w:numPr>
        <w:rPr>
          <w:rFonts w:eastAsia="Calibri"/>
          <w:i/>
          <w:iCs/>
        </w:rPr>
      </w:pPr>
      <w:r w:rsidRPr="00BD77D8">
        <w:rPr>
          <w:rFonts w:eastAsia="Calibri"/>
          <w:i/>
          <w:iCs/>
        </w:rPr>
        <w:t>Aboriginal Cultural Heritage Act 2003</w:t>
      </w:r>
    </w:p>
    <w:p w14:paraId="2F6BBAD9" w14:textId="77777777" w:rsidR="00540C1F" w:rsidRPr="00BD77D8" w:rsidRDefault="00540C1F" w:rsidP="00A463E0">
      <w:pPr>
        <w:pStyle w:val="ListBullet"/>
        <w:numPr>
          <w:ilvl w:val="0"/>
          <w:numId w:val="36"/>
        </w:numPr>
        <w:rPr>
          <w:rFonts w:eastAsia="Calibri"/>
          <w:i/>
          <w:iCs/>
        </w:rPr>
      </w:pPr>
      <w:r w:rsidRPr="00BD77D8">
        <w:rPr>
          <w:rFonts w:eastAsia="Calibri"/>
          <w:i/>
          <w:iCs/>
        </w:rPr>
        <w:t xml:space="preserve">Family Responsibilities Commission Act 2008 </w:t>
      </w:r>
    </w:p>
    <w:p w14:paraId="347C838F" w14:textId="77777777" w:rsidR="00F47331" w:rsidRPr="00BD77D8" w:rsidRDefault="00F47331" w:rsidP="00A463E0">
      <w:pPr>
        <w:pStyle w:val="ListBullet"/>
        <w:numPr>
          <w:ilvl w:val="0"/>
          <w:numId w:val="36"/>
        </w:numPr>
        <w:rPr>
          <w:i/>
          <w:iCs/>
        </w:rPr>
      </w:pPr>
      <w:proofErr w:type="spellStart"/>
      <w:r w:rsidRPr="00BD77D8">
        <w:rPr>
          <w:i/>
          <w:iCs/>
        </w:rPr>
        <w:t>Meriba</w:t>
      </w:r>
      <w:proofErr w:type="spellEnd"/>
      <w:r w:rsidRPr="00BD77D8">
        <w:rPr>
          <w:i/>
          <w:iCs/>
        </w:rPr>
        <w:t xml:space="preserve"> </w:t>
      </w:r>
      <w:proofErr w:type="spellStart"/>
      <w:r w:rsidRPr="00BD77D8">
        <w:rPr>
          <w:i/>
          <w:iCs/>
        </w:rPr>
        <w:t>Omasker</w:t>
      </w:r>
      <w:proofErr w:type="spellEnd"/>
      <w:r w:rsidRPr="00BD77D8">
        <w:rPr>
          <w:i/>
          <w:iCs/>
        </w:rPr>
        <w:t xml:space="preserve"> </w:t>
      </w:r>
      <w:proofErr w:type="spellStart"/>
      <w:r w:rsidRPr="00BD77D8">
        <w:rPr>
          <w:i/>
          <w:iCs/>
        </w:rPr>
        <w:t>Kaziw</w:t>
      </w:r>
      <w:proofErr w:type="spellEnd"/>
      <w:r w:rsidRPr="00BD77D8">
        <w:rPr>
          <w:i/>
          <w:iCs/>
        </w:rPr>
        <w:t xml:space="preserve"> </w:t>
      </w:r>
      <w:proofErr w:type="spellStart"/>
      <w:r w:rsidRPr="00BD77D8">
        <w:rPr>
          <w:i/>
          <w:iCs/>
        </w:rPr>
        <w:t>Kazipa</w:t>
      </w:r>
      <w:proofErr w:type="spellEnd"/>
      <w:r w:rsidRPr="00BD77D8">
        <w:rPr>
          <w:i/>
          <w:iCs/>
        </w:rPr>
        <w:t xml:space="preserve"> (Torres Strait Islander Traditional Child Rearing Practice) Act 2020 </w:t>
      </w:r>
    </w:p>
    <w:p w14:paraId="27CFDB32" w14:textId="77777777" w:rsidR="00F47331" w:rsidRPr="00BD77D8" w:rsidRDefault="00F47331" w:rsidP="00A463E0">
      <w:pPr>
        <w:pStyle w:val="ListBullet"/>
        <w:numPr>
          <w:ilvl w:val="0"/>
          <w:numId w:val="36"/>
        </w:numPr>
        <w:rPr>
          <w:rFonts w:eastAsia="Calibri"/>
          <w:i/>
          <w:iCs/>
        </w:rPr>
      </w:pPr>
      <w:r w:rsidRPr="00BD77D8">
        <w:rPr>
          <w:rFonts w:eastAsia="Calibri"/>
          <w:i/>
          <w:iCs/>
        </w:rPr>
        <w:t>Torres Strait Islander Cultural Heritage Act 2003.</w:t>
      </w:r>
    </w:p>
    <w:p w14:paraId="01642CD4" w14:textId="44BD20FC" w:rsidR="00680987" w:rsidRPr="00BD77D8" w:rsidRDefault="00680987" w:rsidP="002605FE">
      <w:pPr>
        <w:rPr>
          <w:b/>
          <w:lang w:eastAsia="en-US"/>
        </w:rPr>
      </w:pPr>
      <w:r w:rsidRPr="00BD77D8">
        <w:rPr>
          <w:rFonts w:eastAsia="Calibri"/>
          <w:lang w:val="en-US" w:eastAsia="en-US"/>
        </w:rPr>
        <w:t>F</w:t>
      </w:r>
      <w:r w:rsidRPr="00BD77D8">
        <w:rPr>
          <w:rFonts w:eastAsia="Calibri"/>
          <w:spacing w:val="-1"/>
          <w:lang w:val="en-US" w:eastAsia="en-US"/>
        </w:rPr>
        <w:t>u</w:t>
      </w:r>
      <w:r w:rsidRPr="00BD77D8">
        <w:rPr>
          <w:rFonts w:eastAsia="Calibri"/>
          <w:lang w:val="en-US" w:eastAsia="en-US"/>
        </w:rPr>
        <w:t>rther</w:t>
      </w:r>
      <w:r w:rsidRPr="00BD77D8">
        <w:rPr>
          <w:rFonts w:eastAsia="Calibri"/>
          <w:spacing w:val="-12"/>
          <w:lang w:val="en-US" w:eastAsia="en-US"/>
        </w:rPr>
        <w:t xml:space="preserve"> </w:t>
      </w:r>
      <w:r w:rsidRPr="00BD77D8">
        <w:rPr>
          <w:rFonts w:eastAsia="Calibri"/>
          <w:lang w:val="en-US" w:eastAsia="en-US"/>
        </w:rPr>
        <w:t>information</w:t>
      </w:r>
      <w:r w:rsidRPr="00BD77D8">
        <w:rPr>
          <w:rFonts w:eastAsia="Calibri"/>
          <w:spacing w:val="-11"/>
          <w:lang w:val="en-US" w:eastAsia="en-US"/>
        </w:rPr>
        <w:t xml:space="preserve"> </w:t>
      </w:r>
      <w:r w:rsidRPr="00BD77D8">
        <w:rPr>
          <w:rFonts w:eastAsia="Calibri"/>
          <w:lang w:val="en-US" w:eastAsia="en-US"/>
        </w:rPr>
        <w:t>on our governing legislation can be found in Appendix 2</w:t>
      </w:r>
      <w:r w:rsidR="00F6238E" w:rsidRPr="00BD77D8">
        <w:rPr>
          <w:rFonts w:eastAsia="Calibri"/>
          <w:lang w:val="en-US" w:eastAsia="en-US"/>
        </w:rPr>
        <w:t>—</w:t>
      </w:r>
      <w:r w:rsidRPr="00BD77D8">
        <w:rPr>
          <w:rFonts w:eastAsia="Calibri"/>
          <w:lang w:val="en-US" w:eastAsia="en-US"/>
        </w:rPr>
        <w:t>Our legislation on page</w:t>
      </w:r>
      <w:r w:rsidR="00795C19" w:rsidRPr="00BD77D8">
        <w:rPr>
          <w:rFonts w:eastAsia="Calibri"/>
          <w:lang w:val="en-US" w:eastAsia="en-US"/>
        </w:rPr>
        <w:t xml:space="preserve"> 65</w:t>
      </w:r>
      <w:r w:rsidR="009D190D" w:rsidRPr="00BD77D8">
        <w:rPr>
          <w:rFonts w:eastAsia="Calibri"/>
          <w:lang w:val="en-US" w:eastAsia="en-US"/>
        </w:rPr>
        <w:t>.</w:t>
      </w:r>
    </w:p>
    <w:p w14:paraId="4AC92B81" w14:textId="6352D69A" w:rsidR="00C5313E" w:rsidRPr="00BD77D8" w:rsidRDefault="002A7BEE" w:rsidP="00F8721C">
      <w:pPr>
        <w:pStyle w:val="Heading3"/>
        <w:spacing w:before="360"/>
        <w:rPr>
          <w:sz w:val="20"/>
          <w:szCs w:val="20"/>
        </w:rPr>
      </w:pPr>
      <w:r w:rsidRPr="00BD77D8">
        <w:lastRenderedPageBreak/>
        <w:t>Our governance committee structure</w:t>
      </w:r>
      <w:r w:rsidR="00C5313E" w:rsidRPr="00BD77D8">
        <w:t xml:space="preserve"> </w:t>
      </w:r>
    </w:p>
    <w:p w14:paraId="525DCA31" w14:textId="215F0963" w:rsidR="00F1028A" w:rsidRPr="00BD77D8" w:rsidRDefault="00F1028A" w:rsidP="002605FE">
      <w:pPr>
        <w:rPr>
          <w:lang w:eastAsia="en-US"/>
        </w:rPr>
      </w:pPr>
      <w:bookmarkStart w:id="65" w:name="_Toc43444709"/>
      <w:r w:rsidRPr="00BD77D8">
        <w:rPr>
          <w:lang w:eastAsia="en-US"/>
        </w:rPr>
        <w:t xml:space="preserve">The </w:t>
      </w:r>
      <w:r w:rsidR="00CE09DE" w:rsidRPr="00BD77D8">
        <w:rPr>
          <w:lang w:eastAsia="en-US"/>
        </w:rPr>
        <w:t xml:space="preserve">department’s </w:t>
      </w:r>
      <w:r w:rsidRPr="00BD77D8">
        <w:rPr>
          <w:lang w:eastAsia="en-US"/>
        </w:rPr>
        <w:t>Board of Management</w:t>
      </w:r>
      <w:r w:rsidR="0087688F" w:rsidRPr="00BD77D8">
        <w:rPr>
          <w:lang w:eastAsia="en-US"/>
        </w:rPr>
        <w:t xml:space="preserve"> (Board)</w:t>
      </w:r>
      <w:r w:rsidR="00CE09DE" w:rsidRPr="00BD77D8">
        <w:rPr>
          <w:lang w:eastAsia="en-US"/>
        </w:rPr>
        <w:t>,</w:t>
      </w:r>
      <w:r w:rsidRPr="00BD77D8">
        <w:rPr>
          <w:lang w:eastAsia="en-US"/>
        </w:rPr>
        <w:t xml:space="preserve"> and other departmental boards and committees</w:t>
      </w:r>
      <w:r w:rsidR="00CE09DE" w:rsidRPr="00BD77D8">
        <w:rPr>
          <w:lang w:eastAsia="en-US"/>
        </w:rPr>
        <w:t>,</w:t>
      </w:r>
      <w:r w:rsidRPr="00BD77D8">
        <w:rPr>
          <w:lang w:eastAsia="en-US"/>
        </w:rPr>
        <w:t xml:space="preserve"> are a significant component of the department’s</w:t>
      </w:r>
      <w:r w:rsidR="006722F7" w:rsidRPr="00BD77D8">
        <w:rPr>
          <w:lang w:eastAsia="en-US"/>
        </w:rPr>
        <w:t xml:space="preserve"> corporate governance structure</w:t>
      </w:r>
      <w:r w:rsidRPr="00BD77D8">
        <w:rPr>
          <w:lang w:eastAsia="en-US"/>
        </w:rPr>
        <w:t>.</w:t>
      </w:r>
    </w:p>
    <w:p w14:paraId="038AFA66" w14:textId="4BF884A1" w:rsidR="00F1028A" w:rsidRPr="00BD77D8" w:rsidRDefault="00F1028A" w:rsidP="002605FE">
      <w:pPr>
        <w:rPr>
          <w:rFonts w:eastAsia="Calibri"/>
          <w:lang w:val="en-US" w:eastAsia="en-US"/>
        </w:rPr>
      </w:pPr>
      <w:r w:rsidRPr="00BD77D8">
        <w:rPr>
          <w:rFonts w:eastAsia="Calibri"/>
          <w:spacing w:val="-2"/>
          <w:lang w:val="en-US" w:eastAsia="en-US"/>
        </w:rPr>
        <w:t>Under</w:t>
      </w:r>
      <w:r w:rsidRPr="00BD77D8">
        <w:rPr>
          <w:rFonts w:eastAsia="Calibri"/>
          <w:spacing w:val="-15"/>
          <w:lang w:val="en-US" w:eastAsia="en-US"/>
        </w:rPr>
        <w:t xml:space="preserve"> </w:t>
      </w:r>
      <w:r w:rsidRPr="00BD77D8">
        <w:rPr>
          <w:rFonts w:eastAsia="Calibri"/>
          <w:lang w:val="en-US" w:eastAsia="en-US"/>
        </w:rPr>
        <w:t>the</w:t>
      </w:r>
      <w:r w:rsidRPr="00BD77D8">
        <w:rPr>
          <w:rFonts w:eastAsia="Calibri"/>
          <w:spacing w:val="-14"/>
          <w:lang w:val="en-US" w:eastAsia="en-US"/>
        </w:rPr>
        <w:t xml:space="preserve"> </w:t>
      </w:r>
      <w:r w:rsidRPr="00BD77D8">
        <w:rPr>
          <w:rFonts w:eastAsia="Calibri"/>
          <w:i/>
          <w:spacing w:val="-1"/>
          <w:lang w:val="en-US" w:eastAsia="en-US"/>
        </w:rPr>
        <w:t>Financial</w:t>
      </w:r>
      <w:r w:rsidRPr="00BD77D8">
        <w:rPr>
          <w:rFonts w:eastAsia="Calibri"/>
          <w:i/>
          <w:spacing w:val="-14"/>
          <w:lang w:val="en-US" w:eastAsia="en-US"/>
        </w:rPr>
        <w:t xml:space="preserve"> </w:t>
      </w:r>
      <w:r w:rsidRPr="00BD77D8">
        <w:rPr>
          <w:rFonts w:eastAsia="Calibri"/>
          <w:i/>
          <w:spacing w:val="-2"/>
          <w:lang w:val="en-US" w:eastAsia="en-US"/>
        </w:rPr>
        <w:t>Ac</w:t>
      </w:r>
      <w:r w:rsidRPr="00BD77D8">
        <w:rPr>
          <w:rFonts w:eastAsia="Calibri"/>
          <w:i/>
          <w:spacing w:val="-1"/>
          <w:lang w:val="en-US" w:eastAsia="en-US"/>
        </w:rPr>
        <w:t>coun</w:t>
      </w:r>
      <w:r w:rsidRPr="00BD77D8">
        <w:rPr>
          <w:rFonts w:eastAsia="Calibri"/>
          <w:i/>
          <w:spacing w:val="-2"/>
          <w:lang w:val="en-US" w:eastAsia="en-US"/>
        </w:rPr>
        <w:t>tability</w:t>
      </w:r>
      <w:r w:rsidRPr="00BD77D8">
        <w:rPr>
          <w:rFonts w:eastAsia="Calibri"/>
          <w:i/>
          <w:spacing w:val="-16"/>
          <w:lang w:val="en-US" w:eastAsia="en-US"/>
        </w:rPr>
        <w:t xml:space="preserve"> </w:t>
      </w:r>
      <w:r w:rsidRPr="00BD77D8">
        <w:rPr>
          <w:rFonts w:eastAsia="Calibri"/>
          <w:i/>
          <w:lang w:val="en-US" w:eastAsia="en-US"/>
        </w:rPr>
        <w:t>Act</w:t>
      </w:r>
      <w:r w:rsidRPr="00BD77D8">
        <w:rPr>
          <w:rFonts w:eastAsia="Calibri"/>
          <w:i/>
          <w:spacing w:val="-16"/>
          <w:lang w:val="en-US" w:eastAsia="en-US"/>
        </w:rPr>
        <w:t xml:space="preserve"> </w:t>
      </w:r>
      <w:r w:rsidRPr="00BD77D8">
        <w:rPr>
          <w:rFonts w:eastAsia="Calibri"/>
          <w:i/>
          <w:spacing w:val="-2"/>
          <w:lang w:val="en-US" w:eastAsia="en-US"/>
        </w:rPr>
        <w:t>2009</w:t>
      </w:r>
      <w:r w:rsidRPr="00BD77D8">
        <w:rPr>
          <w:rFonts w:eastAsia="Calibri"/>
          <w:spacing w:val="-3"/>
          <w:lang w:val="en-US" w:eastAsia="en-US"/>
        </w:rPr>
        <w:t>,</w:t>
      </w:r>
      <w:r w:rsidRPr="00BD77D8">
        <w:rPr>
          <w:rFonts w:eastAsia="Calibri"/>
          <w:spacing w:val="-15"/>
          <w:lang w:val="en-US" w:eastAsia="en-US"/>
        </w:rPr>
        <w:t xml:space="preserve"> </w:t>
      </w:r>
      <w:r w:rsidRPr="00BD77D8">
        <w:rPr>
          <w:lang w:eastAsia="en-US"/>
        </w:rPr>
        <w:t>accountability for</w:t>
      </w:r>
      <w:r w:rsidR="00DF574C" w:rsidRPr="00BD77D8">
        <w:rPr>
          <w:lang w:eastAsia="en-US"/>
        </w:rPr>
        <w:t xml:space="preserve"> </w:t>
      </w:r>
      <w:r w:rsidRPr="00BD77D8">
        <w:rPr>
          <w:lang w:eastAsia="en-US"/>
        </w:rPr>
        <w:t>the department’s</w:t>
      </w:r>
      <w:r w:rsidRPr="00BD77D8">
        <w:rPr>
          <w:rFonts w:eastAsia="Calibri"/>
          <w:spacing w:val="-24"/>
          <w:lang w:val="en-US" w:eastAsia="en-US"/>
        </w:rPr>
        <w:t xml:space="preserve"> </w:t>
      </w:r>
      <w:r w:rsidRPr="00BD77D8">
        <w:rPr>
          <w:rFonts w:eastAsia="Calibri"/>
          <w:spacing w:val="-2"/>
          <w:lang w:val="en-US" w:eastAsia="en-US"/>
        </w:rPr>
        <w:t>operation</w:t>
      </w:r>
      <w:r w:rsidRPr="00BD77D8">
        <w:rPr>
          <w:rFonts w:eastAsia="Calibri"/>
          <w:spacing w:val="-1"/>
          <w:lang w:val="en-US" w:eastAsia="en-US"/>
        </w:rPr>
        <w:t>s</w:t>
      </w:r>
      <w:r w:rsidRPr="00BD77D8">
        <w:rPr>
          <w:rFonts w:eastAsia="Calibri"/>
          <w:spacing w:val="-23"/>
          <w:lang w:val="en-US" w:eastAsia="en-US"/>
        </w:rPr>
        <w:t xml:space="preserve"> </w:t>
      </w:r>
      <w:r w:rsidRPr="00BD77D8">
        <w:rPr>
          <w:rFonts w:eastAsia="Calibri"/>
          <w:spacing w:val="-2"/>
          <w:lang w:val="en-US" w:eastAsia="en-US"/>
        </w:rPr>
        <w:t>re</w:t>
      </w:r>
      <w:r w:rsidRPr="00BD77D8">
        <w:rPr>
          <w:rFonts w:eastAsia="Calibri"/>
          <w:spacing w:val="-1"/>
          <w:lang w:val="en-US" w:eastAsia="en-US"/>
        </w:rPr>
        <w:t>sid</w:t>
      </w:r>
      <w:r w:rsidRPr="00BD77D8">
        <w:rPr>
          <w:rFonts w:eastAsia="Calibri"/>
          <w:spacing w:val="-2"/>
          <w:lang w:val="en-US" w:eastAsia="en-US"/>
        </w:rPr>
        <w:t>e</w:t>
      </w:r>
      <w:r w:rsidRPr="00BD77D8">
        <w:rPr>
          <w:rFonts w:eastAsia="Calibri"/>
          <w:spacing w:val="-1"/>
          <w:lang w:val="en-US" w:eastAsia="en-US"/>
        </w:rPr>
        <w:t>s</w:t>
      </w:r>
      <w:r w:rsidRPr="00BD77D8">
        <w:rPr>
          <w:rFonts w:eastAsia="Calibri"/>
          <w:spacing w:val="-24"/>
          <w:lang w:val="en-US" w:eastAsia="en-US"/>
        </w:rPr>
        <w:t xml:space="preserve"> </w:t>
      </w:r>
      <w:r w:rsidRPr="00BD77D8">
        <w:rPr>
          <w:rFonts w:eastAsia="Calibri"/>
          <w:spacing w:val="-2"/>
          <w:lang w:val="en-US" w:eastAsia="en-US"/>
        </w:rPr>
        <w:t>with</w:t>
      </w:r>
      <w:r w:rsidRPr="00BD77D8">
        <w:rPr>
          <w:rFonts w:eastAsia="Calibri"/>
          <w:spacing w:val="-22"/>
          <w:lang w:val="en-US" w:eastAsia="en-US"/>
        </w:rPr>
        <w:t xml:space="preserve"> </w:t>
      </w:r>
      <w:r w:rsidRPr="00BD77D8">
        <w:rPr>
          <w:rFonts w:eastAsia="Calibri"/>
          <w:lang w:val="en-US" w:eastAsia="en-US"/>
        </w:rPr>
        <w:t>the</w:t>
      </w:r>
      <w:r w:rsidRPr="00BD77D8">
        <w:rPr>
          <w:rFonts w:eastAsia="Calibri"/>
          <w:spacing w:val="-23"/>
          <w:lang w:val="en-US" w:eastAsia="en-US"/>
        </w:rPr>
        <w:t xml:space="preserve"> </w:t>
      </w:r>
      <w:r w:rsidRPr="00BD77D8">
        <w:rPr>
          <w:rFonts w:eastAsia="Calibri"/>
          <w:spacing w:val="-2"/>
          <w:lang w:val="en-US" w:eastAsia="en-US"/>
        </w:rPr>
        <w:t>Director-Gener</w:t>
      </w:r>
      <w:r w:rsidRPr="00BD77D8">
        <w:rPr>
          <w:rFonts w:eastAsia="Calibri"/>
          <w:spacing w:val="-1"/>
          <w:lang w:val="en-US" w:eastAsia="en-US"/>
        </w:rPr>
        <w:t>al as</w:t>
      </w:r>
      <w:r w:rsidRPr="00BD77D8">
        <w:rPr>
          <w:rFonts w:eastAsia="Calibri"/>
          <w:spacing w:val="-15"/>
          <w:lang w:val="en-US" w:eastAsia="en-US"/>
        </w:rPr>
        <w:t xml:space="preserve"> </w:t>
      </w:r>
      <w:r w:rsidRPr="00BD77D8">
        <w:rPr>
          <w:rFonts w:eastAsia="Calibri"/>
          <w:lang w:val="en-US" w:eastAsia="en-US"/>
        </w:rPr>
        <w:t>the</w:t>
      </w:r>
      <w:r w:rsidRPr="00BD77D8">
        <w:rPr>
          <w:rFonts w:eastAsia="Calibri"/>
          <w:spacing w:val="-13"/>
          <w:lang w:val="en-US" w:eastAsia="en-US"/>
        </w:rPr>
        <w:t xml:space="preserve"> </w:t>
      </w:r>
      <w:r w:rsidRPr="00BD77D8">
        <w:rPr>
          <w:rFonts w:eastAsia="Calibri"/>
          <w:spacing w:val="-2"/>
          <w:lang w:val="en-US" w:eastAsia="en-US"/>
        </w:rPr>
        <w:t>acc</w:t>
      </w:r>
      <w:r w:rsidRPr="00BD77D8">
        <w:rPr>
          <w:rFonts w:eastAsia="Calibri"/>
          <w:spacing w:val="-3"/>
          <w:lang w:val="en-US" w:eastAsia="en-US"/>
        </w:rPr>
        <w:t>ount</w:t>
      </w:r>
      <w:r w:rsidRPr="00BD77D8">
        <w:rPr>
          <w:rFonts w:eastAsia="Calibri"/>
          <w:spacing w:val="-2"/>
          <w:lang w:val="en-US" w:eastAsia="en-US"/>
        </w:rPr>
        <w:t>abl</w:t>
      </w:r>
      <w:r w:rsidRPr="00BD77D8">
        <w:rPr>
          <w:rFonts w:eastAsia="Calibri"/>
          <w:spacing w:val="-3"/>
          <w:lang w:val="en-US" w:eastAsia="en-US"/>
        </w:rPr>
        <w:t>e</w:t>
      </w:r>
      <w:r w:rsidRPr="00BD77D8">
        <w:rPr>
          <w:rFonts w:eastAsia="Calibri"/>
          <w:spacing w:val="-14"/>
          <w:lang w:val="en-US" w:eastAsia="en-US"/>
        </w:rPr>
        <w:t xml:space="preserve"> </w:t>
      </w:r>
      <w:r w:rsidRPr="00BD77D8">
        <w:rPr>
          <w:rFonts w:eastAsia="Calibri"/>
          <w:spacing w:val="-2"/>
          <w:lang w:val="en-US" w:eastAsia="en-US"/>
        </w:rPr>
        <w:t>officer.</w:t>
      </w:r>
      <w:r w:rsidRPr="00BD77D8">
        <w:rPr>
          <w:rFonts w:eastAsia="Calibri"/>
          <w:spacing w:val="-16"/>
          <w:lang w:val="en-US" w:eastAsia="en-US"/>
        </w:rPr>
        <w:t xml:space="preserve"> </w:t>
      </w:r>
      <w:r w:rsidRPr="00BD77D8">
        <w:rPr>
          <w:rFonts w:eastAsia="Calibri"/>
          <w:lang w:val="en-US" w:eastAsia="en-US"/>
        </w:rPr>
        <w:t>The</w:t>
      </w:r>
      <w:r w:rsidRPr="00BD77D8">
        <w:rPr>
          <w:rFonts w:eastAsia="Calibri"/>
          <w:spacing w:val="-13"/>
          <w:lang w:val="en-US" w:eastAsia="en-US"/>
        </w:rPr>
        <w:t xml:space="preserve"> </w:t>
      </w:r>
      <w:r w:rsidRPr="00BD77D8">
        <w:rPr>
          <w:rFonts w:eastAsia="Calibri"/>
          <w:spacing w:val="-2"/>
          <w:lang w:val="en-US" w:eastAsia="en-US"/>
        </w:rPr>
        <w:t>Director-Gener</w:t>
      </w:r>
      <w:r w:rsidRPr="00BD77D8">
        <w:rPr>
          <w:rFonts w:eastAsia="Calibri"/>
          <w:spacing w:val="-1"/>
          <w:lang w:val="en-US" w:eastAsia="en-US"/>
        </w:rPr>
        <w:t>al</w:t>
      </w:r>
      <w:r w:rsidRPr="00BD77D8">
        <w:rPr>
          <w:rFonts w:eastAsia="Calibri"/>
          <w:spacing w:val="-15"/>
          <w:lang w:val="en-US" w:eastAsia="en-US"/>
        </w:rPr>
        <w:t xml:space="preserve"> </w:t>
      </w:r>
      <w:r w:rsidRPr="00BD77D8">
        <w:rPr>
          <w:rFonts w:eastAsia="Calibri"/>
          <w:spacing w:val="-1"/>
          <w:lang w:val="en-US" w:eastAsia="en-US"/>
        </w:rPr>
        <w:t>is</w:t>
      </w:r>
      <w:r w:rsidRPr="00BD77D8">
        <w:rPr>
          <w:rFonts w:eastAsia="Calibri"/>
          <w:spacing w:val="-14"/>
          <w:lang w:val="en-US" w:eastAsia="en-US"/>
        </w:rPr>
        <w:t xml:space="preserve"> </w:t>
      </w:r>
      <w:r w:rsidRPr="00BD77D8">
        <w:rPr>
          <w:rFonts w:eastAsia="Calibri"/>
          <w:lang w:val="en-US" w:eastAsia="en-US"/>
        </w:rPr>
        <w:t>the</w:t>
      </w:r>
      <w:r w:rsidRPr="00BD77D8">
        <w:rPr>
          <w:rFonts w:eastAsia="Calibri"/>
          <w:spacing w:val="-14"/>
          <w:lang w:val="en-US" w:eastAsia="en-US"/>
        </w:rPr>
        <w:t xml:space="preserve"> </w:t>
      </w:r>
      <w:r w:rsidRPr="00BD77D8">
        <w:rPr>
          <w:rFonts w:eastAsia="Calibri"/>
          <w:spacing w:val="-2"/>
          <w:lang w:val="en-US" w:eastAsia="en-US"/>
        </w:rPr>
        <w:t>Ch</w:t>
      </w:r>
      <w:r w:rsidRPr="00BD77D8">
        <w:rPr>
          <w:rFonts w:eastAsia="Calibri"/>
          <w:spacing w:val="-3"/>
          <w:lang w:val="en-US" w:eastAsia="en-US"/>
        </w:rPr>
        <w:t>air</w:t>
      </w:r>
      <w:r w:rsidRPr="00BD77D8">
        <w:rPr>
          <w:rFonts w:eastAsia="Calibri"/>
          <w:spacing w:val="-13"/>
          <w:lang w:val="en-US" w:eastAsia="en-US"/>
        </w:rPr>
        <w:t xml:space="preserve"> </w:t>
      </w:r>
      <w:r w:rsidR="000510B8" w:rsidRPr="00BD77D8">
        <w:rPr>
          <w:rFonts w:eastAsia="Calibri"/>
          <w:lang w:val="en-US" w:eastAsia="en-US"/>
        </w:rPr>
        <w:t>of</w:t>
      </w:r>
      <w:r w:rsidRPr="00BD77D8">
        <w:rPr>
          <w:rFonts w:eastAsia="Calibri"/>
          <w:spacing w:val="-6"/>
          <w:lang w:val="en-US" w:eastAsia="en-US"/>
        </w:rPr>
        <w:t xml:space="preserve"> </w:t>
      </w:r>
      <w:r w:rsidR="0087688F" w:rsidRPr="00BD77D8">
        <w:rPr>
          <w:rFonts w:eastAsia="Calibri"/>
          <w:spacing w:val="-6"/>
          <w:lang w:val="en-US" w:eastAsia="en-US"/>
        </w:rPr>
        <w:t xml:space="preserve">the </w:t>
      </w:r>
      <w:r w:rsidR="0087688F" w:rsidRPr="00BD77D8">
        <w:rPr>
          <w:rFonts w:eastAsia="Calibri"/>
          <w:spacing w:val="-1"/>
          <w:lang w:val="en-US" w:eastAsia="en-US"/>
        </w:rPr>
        <w:t>Board</w:t>
      </w:r>
      <w:r w:rsidRPr="00BD77D8">
        <w:rPr>
          <w:rFonts w:eastAsia="Calibri"/>
          <w:spacing w:val="-7"/>
          <w:lang w:val="en-US" w:eastAsia="en-US"/>
        </w:rPr>
        <w:t xml:space="preserve"> </w:t>
      </w:r>
      <w:r w:rsidR="0087688F" w:rsidRPr="00BD77D8">
        <w:rPr>
          <w:rFonts w:eastAsia="Calibri"/>
          <w:spacing w:val="-7"/>
          <w:lang w:val="en-US" w:eastAsia="en-US"/>
        </w:rPr>
        <w:t>of Management</w:t>
      </w:r>
      <w:r w:rsidR="00892255" w:rsidRPr="00BD77D8">
        <w:rPr>
          <w:rFonts w:eastAsia="Calibri"/>
          <w:spacing w:val="-7"/>
          <w:lang w:val="en-US" w:eastAsia="en-US"/>
        </w:rPr>
        <w:t>,</w:t>
      </w:r>
      <w:r w:rsidR="0087688F" w:rsidRPr="00BD77D8">
        <w:rPr>
          <w:rFonts w:eastAsia="Calibri"/>
          <w:spacing w:val="-7"/>
          <w:lang w:val="en-US" w:eastAsia="en-US"/>
        </w:rPr>
        <w:t xml:space="preserve"> </w:t>
      </w:r>
      <w:r w:rsidRPr="00BD77D8">
        <w:rPr>
          <w:rFonts w:eastAsia="Calibri"/>
          <w:lang w:val="en-US" w:eastAsia="en-US"/>
        </w:rPr>
        <w:t>and</w:t>
      </w:r>
      <w:r w:rsidRPr="00BD77D8">
        <w:rPr>
          <w:rFonts w:eastAsia="Calibri"/>
          <w:spacing w:val="-7"/>
          <w:lang w:val="en-US" w:eastAsia="en-US"/>
        </w:rPr>
        <w:t xml:space="preserve"> </w:t>
      </w:r>
      <w:r w:rsidRPr="00BD77D8">
        <w:rPr>
          <w:rFonts w:eastAsia="Calibri"/>
          <w:spacing w:val="-1"/>
          <w:lang w:val="en-US" w:eastAsia="en-US"/>
        </w:rPr>
        <w:t>all</w:t>
      </w:r>
      <w:r w:rsidRPr="00BD77D8">
        <w:rPr>
          <w:rFonts w:eastAsia="Calibri"/>
          <w:spacing w:val="-7"/>
          <w:lang w:val="en-US" w:eastAsia="en-US"/>
        </w:rPr>
        <w:t xml:space="preserve"> </w:t>
      </w:r>
      <w:r w:rsidRPr="00BD77D8">
        <w:rPr>
          <w:rFonts w:eastAsia="Calibri"/>
          <w:spacing w:val="-1"/>
          <w:lang w:val="en-US" w:eastAsia="en-US"/>
        </w:rPr>
        <w:t>decisions</w:t>
      </w:r>
      <w:r w:rsidRPr="00BD77D8">
        <w:rPr>
          <w:rFonts w:eastAsia="Calibri"/>
          <w:spacing w:val="-7"/>
          <w:lang w:val="en-US" w:eastAsia="en-US"/>
        </w:rPr>
        <w:t xml:space="preserve"> </w:t>
      </w:r>
      <w:r w:rsidRPr="00BD77D8">
        <w:rPr>
          <w:rFonts w:eastAsia="Calibri"/>
          <w:lang w:val="en-US" w:eastAsia="en-US"/>
        </w:rPr>
        <w:t>of</w:t>
      </w:r>
      <w:r w:rsidRPr="00BD77D8">
        <w:rPr>
          <w:rFonts w:eastAsia="Calibri"/>
          <w:spacing w:val="-7"/>
          <w:lang w:val="en-US" w:eastAsia="en-US"/>
        </w:rPr>
        <w:t xml:space="preserve"> </w:t>
      </w:r>
      <w:r w:rsidRPr="00BD77D8">
        <w:rPr>
          <w:rFonts w:eastAsia="Calibri"/>
          <w:lang w:val="en-US" w:eastAsia="en-US"/>
        </w:rPr>
        <w:t>the</w:t>
      </w:r>
      <w:r w:rsidRPr="00BD77D8">
        <w:rPr>
          <w:rFonts w:eastAsia="Calibri"/>
          <w:spacing w:val="-5"/>
          <w:lang w:val="en-US" w:eastAsia="en-US"/>
        </w:rPr>
        <w:t xml:space="preserve"> </w:t>
      </w:r>
      <w:r w:rsidR="0087688F" w:rsidRPr="00BD77D8">
        <w:rPr>
          <w:rFonts w:eastAsia="Calibri"/>
          <w:spacing w:val="-5"/>
          <w:lang w:val="en-US" w:eastAsia="en-US"/>
        </w:rPr>
        <w:t>Board</w:t>
      </w:r>
      <w:r w:rsidRPr="00BD77D8">
        <w:rPr>
          <w:rFonts w:eastAsia="Calibri"/>
          <w:spacing w:val="-7"/>
          <w:lang w:val="en-US" w:eastAsia="en-US"/>
        </w:rPr>
        <w:t xml:space="preserve"> </w:t>
      </w:r>
      <w:proofErr w:type="gramStart"/>
      <w:r w:rsidRPr="00BD77D8">
        <w:rPr>
          <w:rFonts w:eastAsia="Calibri"/>
          <w:lang w:val="en-US" w:eastAsia="en-US"/>
        </w:rPr>
        <w:t>are</w:t>
      </w:r>
      <w:r w:rsidRPr="00BD77D8">
        <w:rPr>
          <w:rFonts w:eastAsia="Calibri"/>
          <w:spacing w:val="-6"/>
          <w:lang w:val="en-US" w:eastAsia="en-US"/>
        </w:rPr>
        <w:t xml:space="preserve"> </w:t>
      </w:r>
      <w:r w:rsidRPr="00BD77D8">
        <w:rPr>
          <w:rFonts w:eastAsia="Calibri"/>
          <w:spacing w:val="-1"/>
          <w:lang w:val="en-US" w:eastAsia="en-US"/>
        </w:rPr>
        <w:t>consid</w:t>
      </w:r>
      <w:r w:rsidRPr="00BD77D8">
        <w:rPr>
          <w:rFonts w:eastAsia="Calibri"/>
          <w:spacing w:val="-2"/>
          <w:lang w:val="en-US" w:eastAsia="en-US"/>
        </w:rPr>
        <w:t>ered</w:t>
      </w:r>
      <w:r w:rsidRPr="00BD77D8">
        <w:rPr>
          <w:rFonts w:eastAsia="Calibri"/>
          <w:spacing w:val="-7"/>
          <w:lang w:val="en-US" w:eastAsia="en-US"/>
        </w:rPr>
        <w:t xml:space="preserve"> </w:t>
      </w:r>
      <w:r w:rsidRPr="00BD77D8">
        <w:rPr>
          <w:rFonts w:eastAsia="Calibri"/>
          <w:spacing w:val="-2"/>
          <w:lang w:val="en-US" w:eastAsia="en-US"/>
        </w:rPr>
        <w:t>t</w:t>
      </w:r>
      <w:r w:rsidRPr="00BD77D8">
        <w:rPr>
          <w:rFonts w:eastAsia="Calibri"/>
          <w:spacing w:val="-1"/>
          <w:lang w:val="en-US" w:eastAsia="en-US"/>
        </w:rPr>
        <w:t>o</w:t>
      </w:r>
      <w:r w:rsidRPr="00BD77D8">
        <w:rPr>
          <w:rFonts w:eastAsia="Calibri"/>
          <w:spacing w:val="-5"/>
          <w:lang w:val="en-US" w:eastAsia="en-US"/>
        </w:rPr>
        <w:t xml:space="preserve"> </w:t>
      </w:r>
      <w:r w:rsidRPr="00BD77D8">
        <w:rPr>
          <w:rFonts w:eastAsia="Calibri"/>
          <w:lang w:val="en-US" w:eastAsia="en-US"/>
        </w:rPr>
        <w:t>be</w:t>
      </w:r>
      <w:proofErr w:type="gramEnd"/>
      <w:r w:rsidRPr="00BD77D8">
        <w:rPr>
          <w:rFonts w:eastAsia="Calibri"/>
          <w:spacing w:val="29"/>
          <w:w w:val="99"/>
          <w:lang w:val="en-US" w:eastAsia="en-US"/>
        </w:rPr>
        <w:t xml:space="preserve"> </w:t>
      </w:r>
      <w:r w:rsidRPr="00BD77D8">
        <w:rPr>
          <w:rFonts w:eastAsia="Calibri"/>
          <w:spacing w:val="-1"/>
          <w:lang w:val="en-US" w:eastAsia="en-US"/>
        </w:rPr>
        <w:t>ap</w:t>
      </w:r>
      <w:r w:rsidRPr="00BD77D8">
        <w:rPr>
          <w:rFonts w:eastAsia="Calibri"/>
          <w:spacing w:val="-2"/>
          <w:lang w:val="en-US" w:eastAsia="en-US"/>
        </w:rPr>
        <w:t>pr</w:t>
      </w:r>
      <w:r w:rsidRPr="00BD77D8">
        <w:rPr>
          <w:rFonts w:eastAsia="Calibri"/>
          <w:spacing w:val="-1"/>
          <w:lang w:val="en-US" w:eastAsia="en-US"/>
        </w:rPr>
        <w:t>oved</w:t>
      </w:r>
      <w:r w:rsidRPr="00BD77D8">
        <w:rPr>
          <w:rFonts w:eastAsia="Calibri"/>
          <w:spacing w:val="-12"/>
          <w:lang w:val="en-US" w:eastAsia="en-US"/>
        </w:rPr>
        <w:t xml:space="preserve"> </w:t>
      </w:r>
      <w:r w:rsidRPr="00BD77D8">
        <w:rPr>
          <w:rFonts w:eastAsia="Calibri"/>
          <w:spacing w:val="-1"/>
          <w:lang w:val="en-US" w:eastAsia="en-US"/>
        </w:rPr>
        <w:t>b</w:t>
      </w:r>
      <w:r w:rsidRPr="00BD77D8">
        <w:rPr>
          <w:rFonts w:eastAsia="Calibri"/>
          <w:spacing w:val="-2"/>
          <w:lang w:val="en-US" w:eastAsia="en-US"/>
        </w:rPr>
        <w:t>y</w:t>
      </w:r>
      <w:r w:rsidRPr="00BD77D8">
        <w:rPr>
          <w:rFonts w:eastAsia="Calibri"/>
          <w:spacing w:val="-12"/>
          <w:lang w:val="en-US" w:eastAsia="en-US"/>
        </w:rPr>
        <w:t xml:space="preserve"> </w:t>
      </w:r>
      <w:r w:rsidRPr="00BD77D8">
        <w:rPr>
          <w:rFonts w:eastAsia="Calibri"/>
          <w:lang w:val="en-US" w:eastAsia="en-US"/>
        </w:rPr>
        <w:t>the</w:t>
      </w:r>
      <w:r w:rsidRPr="00BD77D8">
        <w:rPr>
          <w:rFonts w:eastAsia="Calibri"/>
          <w:spacing w:val="-11"/>
          <w:lang w:val="en-US" w:eastAsia="en-US"/>
        </w:rPr>
        <w:t xml:space="preserve"> </w:t>
      </w:r>
      <w:r w:rsidRPr="00BD77D8">
        <w:rPr>
          <w:rFonts w:eastAsia="Calibri"/>
          <w:spacing w:val="-2"/>
          <w:lang w:val="en-US" w:eastAsia="en-US"/>
        </w:rPr>
        <w:t>acc</w:t>
      </w:r>
      <w:r w:rsidRPr="00BD77D8">
        <w:rPr>
          <w:rFonts w:eastAsia="Calibri"/>
          <w:spacing w:val="-3"/>
          <w:lang w:val="en-US" w:eastAsia="en-US"/>
        </w:rPr>
        <w:t>ount</w:t>
      </w:r>
      <w:r w:rsidRPr="00BD77D8">
        <w:rPr>
          <w:rFonts w:eastAsia="Calibri"/>
          <w:spacing w:val="-2"/>
          <w:lang w:val="en-US" w:eastAsia="en-US"/>
        </w:rPr>
        <w:t>abl</w:t>
      </w:r>
      <w:r w:rsidRPr="00BD77D8">
        <w:rPr>
          <w:rFonts w:eastAsia="Calibri"/>
          <w:spacing w:val="-3"/>
          <w:lang w:val="en-US" w:eastAsia="en-US"/>
        </w:rPr>
        <w:t>e</w:t>
      </w:r>
      <w:r w:rsidRPr="00BD77D8">
        <w:rPr>
          <w:rFonts w:eastAsia="Calibri"/>
          <w:spacing w:val="-10"/>
          <w:lang w:val="en-US" w:eastAsia="en-US"/>
        </w:rPr>
        <w:t xml:space="preserve"> </w:t>
      </w:r>
      <w:r w:rsidRPr="00BD77D8">
        <w:rPr>
          <w:rFonts w:eastAsia="Calibri"/>
          <w:spacing w:val="-2"/>
          <w:lang w:val="en-US" w:eastAsia="en-US"/>
        </w:rPr>
        <w:t>officer</w:t>
      </w:r>
      <w:r w:rsidRPr="00BD77D8">
        <w:rPr>
          <w:rFonts w:eastAsia="Calibri"/>
          <w:spacing w:val="-10"/>
          <w:lang w:val="en-US" w:eastAsia="en-US"/>
        </w:rPr>
        <w:t xml:space="preserve"> </w:t>
      </w:r>
      <w:r w:rsidRPr="00BD77D8">
        <w:rPr>
          <w:rFonts w:eastAsia="Calibri"/>
          <w:lang w:val="en-US" w:eastAsia="en-US"/>
        </w:rPr>
        <w:t>and</w:t>
      </w:r>
      <w:r w:rsidRPr="00BD77D8">
        <w:rPr>
          <w:rFonts w:eastAsia="Calibri"/>
          <w:spacing w:val="-12"/>
          <w:lang w:val="en-US" w:eastAsia="en-US"/>
        </w:rPr>
        <w:t xml:space="preserve"> </w:t>
      </w:r>
      <w:r w:rsidRPr="00BD77D8">
        <w:rPr>
          <w:rFonts w:eastAsia="Calibri"/>
          <w:lang w:val="en-US" w:eastAsia="en-US"/>
        </w:rPr>
        <w:t>are</w:t>
      </w:r>
      <w:r w:rsidRPr="00BD77D8">
        <w:rPr>
          <w:rFonts w:eastAsia="Calibri"/>
          <w:spacing w:val="-11"/>
          <w:lang w:val="en-US" w:eastAsia="en-US"/>
        </w:rPr>
        <w:t xml:space="preserve"> </w:t>
      </w:r>
      <w:r w:rsidRPr="00BD77D8">
        <w:rPr>
          <w:rFonts w:eastAsia="Calibri"/>
          <w:spacing w:val="-1"/>
          <w:lang w:val="en-US" w:eastAsia="en-US"/>
        </w:rPr>
        <w:t>binding.</w:t>
      </w:r>
    </w:p>
    <w:p w14:paraId="05B4D6DA" w14:textId="407CA970" w:rsidR="00F1028A" w:rsidRPr="00BD77D8" w:rsidRDefault="00F1028A" w:rsidP="00075879">
      <w:pPr>
        <w:spacing w:after="120" w:line="240" w:lineRule="auto"/>
        <w:rPr>
          <w:lang w:val="en-US"/>
        </w:rPr>
      </w:pPr>
      <w:r w:rsidRPr="00BD77D8">
        <w:rPr>
          <w:lang w:val="en-US"/>
        </w:rPr>
        <w:t>The Director-General and th</w:t>
      </w:r>
      <w:r w:rsidR="0087688F" w:rsidRPr="00BD77D8">
        <w:rPr>
          <w:lang w:val="en-US"/>
        </w:rPr>
        <w:t>e Board</w:t>
      </w:r>
      <w:r w:rsidRPr="00BD77D8">
        <w:rPr>
          <w:lang w:val="en-US"/>
        </w:rPr>
        <w:t xml:space="preserve"> </w:t>
      </w:r>
      <w:r w:rsidR="004051BE" w:rsidRPr="00BD77D8">
        <w:rPr>
          <w:lang w:val="en-US"/>
        </w:rPr>
        <w:t xml:space="preserve">of Management </w:t>
      </w:r>
      <w:r w:rsidRPr="00BD77D8">
        <w:rPr>
          <w:lang w:val="en-US"/>
        </w:rPr>
        <w:t>are supported by the following strategic committees:</w:t>
      </w:r>
    </w:p>
    <w:p w14:paraId="1D652B53" w14:textId="7F957F02" w:rsidR="00687C32" w:rsidRPr="00BD77D8" w:rsidRDefault="00246E42" w:rsidP="00A463E0">
      <w:pPr>
        <w:pStyle w:val="ListBullet"/>
        <w:numPr>
          <w:ilvl w:val="0"/>
          <w:numId w:val="37"/>
        </w:numPr>
        <w:rPr>
          <w:rFonts w:eastAsia="Calibri"/>
          <w:lang w:val="en-US" w:eastAsia="en-US"/>
        </w:rPr>
      </w:pPr>
      <w:bookmarkStart w:id="66" w:name="_Hlk78188289"/>
      <w:r w:rsidRPr="00BD77D8">
        <w:rPr>
          <w:rFonts w:eastAsia="Calibri"/>
          <w:lang w:val="en-US" w:eastAsia="en-US"/>
        </w:rPr>
        <w:t>Accommodation Support and Respite Services (</w:t>
      </w:r>
      <w:r w:rsidR="00687C32" w:rsidRPr="00BD77D8">
        <w:rPr>
          <w:rFonts w:eastAsia="Calibri"/>
          <w:lang w:val="en-US" w:eastAsia="en-US"/>
        </w:rPr>
        <w:t>AS&amp;RS</w:t>
      </w:r>
      <w:r w:rsidRPr="00BD77D8">
        <w:rPr>
          <w:rFonts w:eastAsia="Calibri"/>
          <w:lang w:val="en-US" w:eastAsia="en-US"/>
        </w:rPr>
        <w:t>)</w:t>
      </w:r>
      <w:r w:rsidR="00687C32" w:rsidRPr="00BD77D8">
        <w:rPr>
          <w:rFonts w:eastAsia="Calibri"/>
          <w:lang w:val="en-US" w:eastAsia="en-US"/>
        </w:rPr>
        <w:t xml:space="preserve"> Senior Leadership Team Committee</w:t>
      </w:r>
    </w:p>
    <w:p w14:paraId="4D3BDA74" w14:textId="77777777" w:rsidR="00687C32" w:rsidRPr="00BD77D8" w:rsidRDefault="00687C32" w:rsidP="00A463E0">
      <w:pPr>
        <w:pStyle w:val="ListBullet"/>
        <w:numPr>
          <w:ilvl w:val="0"/>
          <w:numId w:val="37"/>
        </w:numPr>
        <w:rPr>
          <w:rFonts w:eastAsia="Calibri"/>
          <w:lang w:val="en-US" w:eastAsia="en-US"/>
        </w:rPr>
      </w:pPr>
      <w:r w:rsidRPr="00BD77D8">
        <w:rPr>
          <w:rFonts w:eastAsia="Calibri"/>
          <w:lang w:val="en-US" w:eastAsia="en-US"/>
        </w:rPr>
        <w:t>Audit</w:t>
      </w:r>
      <w:r w:rsidRPr="00BD77D8">
        <w:rPr>
          <w:rFonts w:eastAsia="Calibri"/>
          <w:spacing w:val="-18"/>
          <w:lang w:val="en-US" w:eastAsia="en-US"/>
        </w:rPr>
        <w:t xml:space="preserve"> </w:t>
      </w:r>
      <w:r w:rsidRPr="00BD77D8">
        <w:rPr>
          <w:rFonts w:eastAsia="Calibri"/>
          <w:lang w:val="en-US" w:eastAsia="en-US"/>
        </w:rPr>
        <w:t>and</w:t>
      </w:r>
      <w:r w:rsidRPr="00BD77D8">
        <w:rPr>
          <w:rFonts w:eastAsia="Calibri"/>
          <w:spacing w:val="-18"/>
          <w:lang w:val="en-US" w:eastAsia="en-US"/>
        </w:rPr>
        <w:t xml:space="preserve"> </w:t>
      </w:r>
      <w:r w:rsidRPr="00BD77D8">
        <w:rPr>
          <w:rFonts w:eastAsia="Calibri"/>
          <w:spacing w:val="-1"/>
          <w:lang w:val="en-US" w:eastAsia="en-US"/>
        </w:rPr>
        <w:t>Risk</w:t>
      </w:r>
      <w:r w:rsidRPr="00BD77D8">
        <w:rPr>
          <w:rFonts w:eastAsia="Calibri"/>
          <w:spacing w:val="-20"/>
          <w:lang w:val="en-US" w:eastAsia="en-US"/>
        </w:rPr>
        <w:t xml:space="preserve"> </w:t>
      </w:r>
      <w:r w:rsidRPr="00BD77D8">
        <w:rPr>
          <w:rFonts w:eastAsia="Calibri"/>
          <w:spacing w:val="-1"/>
          <w:lang w:val="en-US" w:eastAsia="en-US"/>
        </w:rPr>
        <w:t>C</w:t>
      </w:r>
      <w:r w:rsidRPr="00BD77D8">
        <w:rPr>
          <w:rFonts w:eastAsia="Calibri"/>
          <w:spacing w:val="-2"/>
          <w:lang w:val="en-US" w:eastAsia="en-US"/>
        </w:rPr>
        <w:t>ommittee</w:t>
      </w:r>
    </w:p>
    <w:p w14:paraId="0C38830A" w14:textId="77777777" w:rsidR="00687C32" w:rsidRPr="00BD77D8" w:rsidRDefault="00687C32" w:rsidP="00A463E0">
      <w:pPr>
        <w:pStyle w:val="ListBullet"/>
        <w:numPr>
          <w:ilvl w:val="0"/>
          <w:numId w:val="37"/>
        </w:numPr>
        <w:rPr>
          <w:rFonts w:eastAsia="Calibri"/>
          <w:lang w:val="en-US" w:eastAsia="en-US"/>
        </w:rPr>
      </w:pPr>
      <w:r w:rsidRPr="00BD77D8">
        <w:rPr>
          <w:rFonts w:eastAsia="Calibri"/>
          <w:lang w:val="en-US" w:eastAsia="en-US"/>
        </w:rPr>
        <w:t xml:space="preserve">Finance Committee </w:t>
      </w:r>
    </w:p>
    <w:p w14:paraId="6F07C383" w14:textId="77777777" w:rsidR="00687C32" w:rsidRPr="00BD77D8" w:rsidRDefault="00687C32" w:rsidP="00A463E0">
      <w:pPr>
        <w:pStyle w:val="ListBullet"/>
        <w:numPr>
          <w:ilvl w:val="0"/>
          <w:numId w:val="37"/>
        </w:numPr>
        <w:rPr>
          <w:rFonts w:eastAsia="Calibri"/>
          <w:lang w:val="en-US" w:eastAsia="en-US"/>
        </w:rPr>
      </w:pPr>
      <w:r w:rsidRPr="00BD77D8">
        <w:rPr>
          <w:rFonts w:eastAsia="Calibri"/>
          <w:lang w:val="en-US" w:eastAsia="en-US"/>
        </w:rPr>
        <w:t>Fraud and Corruption Control Sub-Committee</w:t>
      </w:r>
    </w:p>
    <w:p w14:paraId="17E4713A" w14:textId="5347587E" w:rsidR="00687C32" w:rsidRPr="00BD77D8" w:rsidRDefault="00687C32" w:rsidP="00A463E0">
      <w:pPr>
        <w:pStyle w:val="ListBullet"/>
        <w:numPr>
          <w:ilvl w:val="0"/>
          <w:numId w:val="37"/>
        </w:numPr>
        <w:rPr>
          <w:rFonts w:eastAsia="Calibri"/>
          <w:lang w:val="en-US" w:eastAsia="en-US"/>
        </w:rPr>
      </w:pPr>
      <w:r w:rsidRPr="00BD77D8">
        <w:rPr>
          <w:rFonts w:eastAsia="Calibri"/>
          <w:spacing w:val="-2"/>
          <w:lang w:val="en-US" w:eastAsia="en-US"/>
        </w:rPr>
        <w:t xml:space="preserve">Information </w:t>
      </w:r>
      <w:r w:rsidR="009F71C3" w:rsidRPr="00BD77D8">
        <w:rPr>
          <w:rFonts w:eastAsia="Calibri"/>
          <w:lang w:val="en-US" w:eastAsia="en-US"/>
        </w:rPr>
        <w:t>Steering</w:t>
      </w:r>
      <w:r w:rsidRPr="00BD77D8">
        <w:rPr>
          <w:rFonts w:eastAsia="Calibri"/>
          <w:lang w:val="en-US" w:eastAsia="en-US"/>
        </w:rPr>
        <w:t xml:space="preserve"> Committee</w:t>
      </w:r>
      <w:r w:rsidR="00EB3A3C" w:rsidRPr="00BD77D8">
        <w:rPr>
          <w:rFonts w:eastAsia="Calibri"/>
          <w:lang w:val="en-US" w:eastAsia="en-US"/>
        </w:rPr>
        <w:t xml:space="preserve"> </w:t>
      </w:r>
    </w:p>
    <w:p w14:paraId="5A183C0B" w14:textId="77777777" w:rsidR="00687C32" w:rsidRPr="00BD77D8" w:rsidRDefault="00687C32" w:rsidP="00A463E0">
      <w:pPr>
        <w:pStyle w:val="ListBullet"/>
        <w:numPr>
          <w:ilvl w:val="0"/>
          <w:numId w:val="37"/>
        </w:numPr>
        <w:rPr>
          <w:rFonts w:eastAsia="Calibri"/>
          <w:lang w:val="en-US" w:eastAsia="en-US"/>
        </w:rPr>
      </w:pPr>
      <w:r w:rsidRPr="00BD77D8">
        <w:rPr>
          <w:rFonts w:eastAsia="Calibri"/>
          <w:lang w:val="en-US" w:eastAsia="en-US"/>
        </w:rPr>
        <w:t>Regional Service Delivery Board</w:t>
      </w:r>
    </w:p>
    <w:p w14:paraId="6EC45EDD" w14:textId="349FD9CC" w:rsidR="00687C32" w:rsidRPr="00BD77D8" w:rsidRDefault="00687C32" w:rsidP="00A463E0">
      <w:pPr>
        <w:pStyle w:val="ListBullet"/>
        <w:numPr>
          <w:ilvl w:val="0"/>
          <w:numId w:val="37"/>
        </w:numPr>
        <w:rPr>
          <w:rFonts w:eastAsia="Calibri"/>
          <w:lang w:val="en-US" w:eastAsia="en-US"/>
        </w:rPr>
      </w:pPr>
      <w:r w:rsidRPr="00BD77D8">
        <w:rPr>
          <w:rFonts w:eastAsia="Calibri"/>
          <w:lang w:val="en-US" w:eastAsia="en-US"/>
        </w:rPr>
        <w:t>Workforce Capability and Culture Steering Committee.</w:t>
      </w:r>
    </w:p>
    <w:bookmarkEnd w:id="66"/>
    <w:p w14:paraId="354D1107" w14:textId="32427A52" w:rsidR="00F1028A" w:rsidRPr="00BD77D8" w:rsidRDefault="00F1028A" w:rsidP="00AA7E6A">
      <w:pPr>
        <w:spacing w:before="240"/>
        <w:rPr>
          <w:lang w:val="en-US"/>
        </w:rPr>
      </w:pPr>
      <w:r w:rsidRPr="00BD77D8">
        <w:rPr>
          <w:lang w:val="en-US"/>
        </w:rPr>
        <w:t>The Audit and Risk Committee report</w:t>
      </w:r>
      <w:r w:rsidR="00246E42" w:rsidRPr="00BD77D8">
        <w:rPr>
          <w:lang w:val="en-US"/>
        </w:rPr>
        <w:t>s</w:t>
      </w:r>
      <w:r w:rsidRPr="00BD77D8">
        <w:rPr>
          <w:lang w:val="en-US"/>
        </w:rPr>
        <w:t xml:space="preserve"> directly to the Director-General. All other Boards and Committees re</w:t>
      </w:r>
      <w:r w:rsidR="00CE09DE" w:rsidRPr="00BD77D8">
        <w:rPr>
          <w:lang w:val="en-US"/>
        </w:rPr>
        <w:t>port to the B</w:t>
      </w:r>
      <w:r w:rsidR="0087688F" w:rsidRPr="00BD77D8">
        <w:rPr>
          <w:lang w:val="en-US"/>
        </w:rPr>
        <w:t>oard</w:t>
      </w:r>
      <w:r w:rsidR="00CE09DE" w:rsidRPr="00BD77D8">
        <w:rPr>
          <w:lang w:val="en-US"/>
        </w:rPr>
        <w:t xml:space="preserve">, </w:t>
      </w:r>
      <w:r w:rsidR="00365AD1" w:rsidRPr="00BD77D8">
        <w:rPr>
          <w:lang w:val="en-US"/>
        </w:rPr>
        <w:t>except for</w:t>
      </w:r>
      <w:r w:rsidR="00CE09DE" w:rsidRPr="00BD77D8">
        <w:rPr>
          <w:lang w:val="en-US"/>
        </w:rPr>
        <w:t xml:space="preserve"> the Fraud and Corruption Control Sub-Committee which reports to the Finance Committee.</w:t>
      </w:r>
    </w:p>
    <w:p w14:paraId="68930B83" w14:textId="4953C3B4" w:rsidR="00F1028A" w:rsidRPr="00BD77D8" w:rsidRDefault="00F1028A" w:rsidP="002605FE">
      <w:pPr>
        <w:rPr>
          <w:rFonts w:eastAsia="Calibri"/>
          <w:lang w:val="en-US" w:eastAsia="en-US"/>
        </w:rPr>
      </w:pPr>
      <w:r w:rsidRPr="00BD77D8">
        <w:rPr>
          <w:rFonts w:eastAsia="Calibri"/>
          <w:spacing w:val="-2"/>
          <w:lang w:val="en-US" w:eastAsia="en-US"/>
        </w:rPr>
        <w:t>F</w:t>
      </w:r>
      <w:r w:rsidRPr="00BD77D8">
        <w:rPr>
          <w:rFonts w:eastAsia="Calibri"/>
          <w:spacing w:val="-1"/>
          <w:lang w:val="en-US" w:eastAsia="en-US"/>
        </w:rPr>
        <w:t>u</w:t>
      </w:r>
      <w:r w:rsidRPr="00BD77D8">
        <w:rPr>
          <w:rFonts w:eastAsia="Calibri"/>
          <w:spacing w:val="-2"/>
          <w:lang w:val="en-US" w:eastAsia="en-US"/>
        </w:rPr>
        <w:t>rther</w:t>
      </w:r>
      <w:r w:rsidRPr="00BD77D8">
        <w:rPr>
          <w:rFonts w:eastAsia="Calibri"/>
          <w:spacing w:val="-19"/>
          <w:lang w:val="en-US" w:eastAsia="en-US"/>
        </w:rPr>
        <w:t xml:space="preserve"> </w:t>
      </w:r>
      <w:r w:rsidRPr="00BD77D8">
        <w:rPr>
          <w:rFonts w:eastAsia="Calibri"/>
          <w:spacing w:val="-2"/>
          <w:lang w:val="en-US" w:eastAsia="en-US"/>
        </w:rPr>
        <w:t>information</w:t>
      </w:r>
      <w:r w:rsidRPr="00BD77D8">
        <w:rPr>
          <w:rFonts w:eastAsia="Calibri"/>
          <w:spacing w:val="-19"/>
          <w:lang w:val="en-US" w:eastAsia="en-US"/>
        </w:rPr>
        <w:t xml:space="preserve"> </w:t>
      </w:r>
      <w:r w:rsidRPr="00BD77D8">
        <w:rPr>
          <w:rFonts w:eastAsia="Calibri"/>
          <w:lang w:val="en-US" w:eastAsia="en-US"/>
        </w:rPr>
        <w:t>on</w:t>
      </w:r>
      <w:r w:rsidRPr="00BD77D8">
        <w:rPr>
          <w:rFonts w:eastAsia="Calibri"/>
          <w:spacing w:val="-19"/>
          <w:lang w:val="en-US" w:eastAsia="en-US"/>
        </w:rPr>
        <w:t xml:space="preserve"> </w:t>
      </w:r>
      <w:r w:rsidRPr="00BD77D8">
        <w:rPr>
          <w:rFonts w:eastAsia="Calibri"/>
          <w:lang w:val="en-US" w:eastAsia="en-US"/>
        </w:rPr>
        <w:t>the</w:t>
      </w:r>
      <w:r w:rsidRPr="00BD77D8">
        <w:rPr>
          <w:rFonts w:eastAsia="Calibri"/>
          <w:spacing w:val="-19"/>
          <w:lang w:val="en-US" w:eastAsia="en-US"/>
        </w:rPr>
        <w:t xml:space="preserve"> </w:t>
      </w:r>
      <w:r w:rsidRPr="00BD77D8">
        <w:rPr>
          <w:rFonts w:eastAsia="Calibri"/>
          <w:spacing w:val="-1"/>
          <w:lang w:val="en-US" w:eastAsia="en-US"/>
        </w:rPr>
        <w:t>dep</w:t>
      </w:r>
      <w:r w:rsidRPr="00BD77D8">
        <w:rPr>
          <w:rFonts w:eastAsia="Calibri"/>
          <w:spacing w:val="-2"/>
          <w:lang w:val="en-US" w:eastAsia="en-US"/>
        </w:rPr>
        <w:t>artment’s</w:t>
      </w:r>
      <w:r w:rsidRPr="00BD77D8">
        <w:rPr>
          <w:rFonts w:eastAsia="Calibri"/>
          <w:spacing w:val="-20"/>
          <w:lang w:val="en-US" w:eastAsia="en-US"/>
        </w:rPr>
        <w:t xml:space="preserve"> </w:t>
      </w:r>
      <w:r w:rsidRPr="00BD77D8">
        <w:rPr>
          <w:rFonts w:eastAsia="Calibri"/>
          <w:spacing w:val="-1"/>
          <w:lang w:val="en-US" w:eastAsia="en-US"/>
        </w:rPr>
        <w:t>boards</w:t>
      </w:r>
      <w:r w:rsidRPr="00BD77D8">
        <w:rPr>
          <w:rFonts w:eastAsia="Calibri"/>
          <w:spacing w:val="-20"/>
          <w:lang w:val="en-US" w:eastAsia="en-US"/>
        </w:rPr>
        <w:t xml:space="preserve"> </w:t>
      </w:r>
      <w:r w:rsidRPr="00BD77D8">
        <w:rPr>
          <w:rFonts w:eastAsia="Calibri"/>
          <w:lang w:val="en-US" w:eastAsia="en-US"/>
        </w:rPr>
        <w:t xml:space="preserve">and </w:t>
      </w:r>
      <w:r w:rsidRPr="00BD77D8">
        <w:rPr>
          <w:rFonts w:eastAsia="Calibri"/>
          <w:spacing w:val="-1"/>
          <w:lang w:val="en-US" w:eastAsia="en-US"/>
        </w:rPr>
        <w:t>c</w:t>
      </w:r>
      <w:r w:rsidRPr="00BD77D8">
        <w:rPr>
          <w:rFonts w:eastAsia="Calibri"/>
          <w:spacing w:val="-2"/>
          <w:lang w:val="en-US" w:eastAsia="en-US"/>
        </w:rPr>
        <w:t>ommittee</w:t>
      </w:r>
      <w:r w:rsidRPr="00BD77D8">
        <w:rPr>
          <w:rFonts w:eastAsia="Calibri"/>
          <w:spacing w:val="-1"/>
          <w:lang w:val="en-US" w:eastAsia="en-US"/>
        </w:rPr>
        <w:t>s</w:t>
      </w:r>
      <w:r w:rsidRPr="00BD77D8">
        <w:rPr>
          <w:rFonts w:eastAsia="Calibri"/>
          <w:spacing w:val="-11"/>
          <w:lang w:val="en-US" w:eastAsia="en-US"/>
        </w:rPr>
        <w:t xml:space="preserve"> </w:t>
      </w:r>
      <w:r w:rsidRPr="00BD77D8">
        <w:rPr>
          <w:rFonts w:eastAsia="Calibri"/>
          <w:spacing w:val="-1"/>
          <w:lang w:val="en-US" w:eastAsia="en-US"/>
        </w:rPr>
        <w:t>can</w:t>
      </w:r>
      <w:r w:rsidRPr="00BD77D8">
        <w:rPr>
          <w:rFonts w:eastAsia="Calibri"/>
          <w:spacing w:val="-8"/>
          <w:lang w:val="en-US" w:eastAsia="en-US"/>
        </w:rPr>
        <w:t xml:space="preserve"> </w:t>
      </w:r>
      <w:r w:rsidRPr="00BD77D8">
        <w:rPr>
          <w:rFonts w:eastAsia="Calibri"/>
          <w:lang w:val="en-US" w:eastAsia="en-US"/>
        </w:rPr>
        <w:t>be</w:t>
      </w:r>
      <w:r w:rsidRPr="00BD77D8">
        <w:rPr>
          <w:rFonts w:eastAsia="Calibri"/>
          <w:spacing w:val="-9"/>
          <w:lang w:val="en-US" w:eastAsia="en-US"/>
        </w:rPr>
        <w:t xml:space="preserve"> </w:t>
      </w:r>
      <w:r w:rsidRPr="00BD77D8">
        <w:rPr>
          <w:rFonts w:eastAsia="Calibri"/>
          <w:spacing w:val="-2"/>
          <w:lang w:val="en-US" w:eastAsia="en-US"/>
        </w:rPr>
        <w:t>f</w:t>
      </w:r>
      <w:r w:rsidRPr="00BD77D8">
        <w:rPr>
          <w:rFonts w:eastAsia="Calibri"/>
          <w:spacing w:val="-1"/>
          <w:lang w:val="en-US" w:eastAsia="en-US"/>
        </w:rPr>
        <w:t>ound</w:t>
      </w:r>
      <w:r w:rsidRPr="00BD77D8">
        <w:rPr>
          <w:rFonts w:eastAsia="Calibri"/>
          <w:spacing w:val="-10"/>
          <w:lang w:val="en-US" w:eastAsia="en-US"/>
        </w:rPr>
        <w:t xml:space="preserve"> </w:t>
      </w:r>
      <w:r w:rsidRPr="00BD77D8">
        <w:rPr>
          <w:rFonts w:eastAsia="Calibri"/>
          <w:lang w:val="en-US" w:eastAsia="en-US"/>
        </w:rPr>
        <w:t>in</w:t>
      </w:r>
      <w:r w:rsidRPr="00BD77D8">
        <w:rPr>
          <w:rFonts w:eastAsia="Calibri"/>
          <w:spacing w:val="-9"/>
          <w:lang w:val="en-US" w:eastAsia="en-US"/>
        </w:rPr>
        <w:t xml:space="preserve"> </w:t>
      </w:r>
      <w:r w:rsidRPr="00BD77D8">
        <w:rPr>
          <w:rFonts w:eastAsia="Calibri"/>
          <w:spacing w:val="-2"/>
          <w:lang w:val="en-US" w:eastAsia="en-US"/>
        </w:rPr>
        <w:t>Ap</w:t>
      </w:r>
      <w:r w:rsidRPr="00BD77D8">
        <w:rPr>
          <w:rFonts w:eastAsia="Calibri"/>
          <w:spacing w:val="-1"/>
          <w:lang w:val="en-US" w:eastAsia="en-US"/>
        </w:rPr>
        <w:t>pendix</w:t>
      </w:r>
      <w:r w:rsidRPr="00BD77D8">
        <w:rPr>
          <w:rFonts w:eastAsia="Calibri"/>
          <w:spacing w:val="-12"/>
          <w:lang w:val="en-US" w:eastAsia="en-US"/>
        </w:rPr>
        <w:t xml:space="preserve"> </w:t>
      </w:r>
      <w:r w:rsidRPr="00BD77D8">
        <w:rPr>
          <w:rFonts w:eastAsia="Calibri"/>
          <w:lang w:val="en-US" w:eastAsia="en-US"/>
        </w:rPr>
        <w:t>3</w:t>
      </w:r>
      <w:r w:rsidR="00F6238E" w:rsidRPr="00BD77D8">
        <w:rPr>
          <w:rFonts w:eastAsia="Calibri"/>
          <w:lang w:val="en-US" w:eastAsia="en-US"/>
        </w:rPr>
        <w:t>—</w:t>
      </w:r>
      <w:r w:rsidRPr="00BD77D8">
        <w:rPr>
          <w:rFonts w:eastAsia="Calibri"/>
          <w:lang w:val="en-US" w:eastAsia="en-US"/>
        </w:rPr>
        <w:t>Department</w:t>
      </w:r>
      <w:r w:rsidRPr="00BD77D8">
        <w:rPr>
          <w:rFonts w:eastAsia="Calibri"/>
          <w:spacing w:val="-10"/>
          <w:lang w:val="en-US" w:eastAsia="en-US"/>
        </w:rPr>
        <w:t xml:space="preserve"> </w:t>
      </w:r>
      <w:r w:rsidRPr="00BD77D8">
        <w:rPr>
          <w:rFonts w:eastAsia="Calibri"/>
          <w:spacing w:val="-2"/>
          <w:lang w:val="en-US" w:eastAsia="en-US"/>
        </w:rPr>
        <w:t xml:space="preserve">boards and committees on page </w:t>
      </w:r>
      <w:r w:rsidR="00795C19" w:rsidRPr="00BD77D8">
        <w:rPr>
          <w:rFonts w:eastAsia="Calibri"/>
          <w:spacing w:val="-2"/>
          <w:lang w:val="en-US" w:eastAsia="en-US"/>
        </w:rPr>
        <w:t>67.</w:t>
      </w:r>
    </w:p>
    <w:p w14:paraId="08C5053A" w14:textId="041359D2" w:rsidR="009E00FE" w:rsidRPr="00BD77D8" w:rsidRDefault="00924FA2" w:rsidP="007524AB">
      <w:pPr>
        <w:pStyle w:val="Heading3"/>
        <w:rPr>
          <w:sz w:val="20"/>
          <w:szCs w:val="20"/>
        </w:rPr>
      </w:pPr>
      <w:r w:rsidRPr="00BD77D8">
        <w:t xml:space="preserve">Our </w:t>
      </w:r>
      <w:r w:rsidR="00BC5C76" w:rsidRPr="00BD77D8">
        <w:t>g</w:t>
      </w:r>
      <w:r w:rsidR="009E00FE" w:rsidRPr="00BD77D8">
        <w:t>overnment bodies</w:t>
      </w:r>
      <w:bookmarkEnd w:id="65"/>
      <w:r w:rsidR="003251A6" w:rsidRPr="00BD77D8">
        <w:t xml:space="preserve"> </w:t>
      </w:r>
    </w:p>
    <w:p w14:paraId="48D9E20C" w14:textId="0344C09A" w:rsidR="00DF7F01" w:rsidRPr="00BD77D8" w:rsidRDefault="00DF7F01" w:rsidP="002605FE">
      <w:pPr>
        <w:rPr>
          <w:rFonts w:eastAsia="Calibri"/>
          <w:lang w:val="en-US" w:eastAsia="en-US"/>
        </w:rPr>
      </w:pPr>
      <w:bookmarkStart w:id="67" w:name="_Hlk80877573"/>
      <w:r w:rsidRPr="00BD77D8">
        <w:rPr>
          <w:rFonts w:eastAsia="Calibri"/>
          <w:lang w:val="en-US" w:eastAsia="en-US"/>
        </w:rPr>
        <w:t xml:space="preserve">As part of the department’s portfolio, the following bodies provide their annual report as indicated: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3602"/>
        <w:gridCol w:w="3372"/>
      </w:tblGrid>
      <w:tr w:rsidR="00BD77D8" w:rsidRPr="00BD77D8" w14:paraId="7AAB9566" w14:textId="77777777" w:rsidTr="00F24F78">
        <w:tc>
          <w:tcPr>
            <w:tcW w:w="3486" w:type="dxa"/>
            <w:shd w:val="clear" w:color="auto" w:fill="F2F2F2" w:themeFill="background1" w:themeFillShade="F2"/>
          </w:tcPr>
          <w:p w14:paraId="3B3D1345" w14:textId="2A5381D6" w:rsidR="00DF7F01" w:rsidRPr="00BD77D8" w:rsidRDefault="00DF7F01" w:rsidP="00EB270F">
            <w:pPr>
              <w:jc w:val="center"/>
              <w:rPr>
                <w:rFonts w:ascii="Arial" w:eastAsia="Calibri" w:hAnsi="Arial"/>
                <w:b/>
                <w:bCs/>
                <w:lang w:val="en-US" w:eastAsia="en-US"/>
              </w:rPr>
            </w:pPr>
            <w:r w:rsidRPr="00BD77D8">
              <w:rPr>
                <w:rFonts w:ascii="Arial" w:eastAsia="Calibri" w:hAnsi="Arial"/>
                <w:b/>
                <w:bCs/>
                <w:lang w:val="en-US" w:eastAsia="en-US"/>
              </w:rPr>
              <w:t>Name of body</w:t>
            </w:r>
          </w:p>
        </w:tc>
        <w:tc>
          <w:tcPr>
            <w:tcW w:w="3602" w:type="dxa"/>
            <w:shd w:val="clear" w:color="auto" w:fill="F2F2F2" w:themeFill="background1" w:themeFillShade="F2"/>
          </w:tcPr>
          <w:p w14:paraId="3119101D" w14:textId="607E16C4" w:rsidR="00DF7F01" w:rsidRPr="00BD77D8" w:rsidRDefault="00DF7F01" w:rsidP="00EB270F">
            <w:pPr>
              <w:jc w:val="center"/>
              <w:rPr>
                <w:rFonts w:ascii="Arial" w:eastAsia="Calibri" w:hAnsi="Arial"/>
                <w:b/>
                <w:bCs/>
                <w:lang w:val="en-US" w:eastAsia="en-US"/>
              </w:rPr>
            </w:pPr>
            <w:r w:rsidRPr="00BD77D8">
              <w:rPr>
                <w:rFonts w:ascii="Arial" w:hAnsi="Arial"/>
                <w:b/>
                <w:bCs/>
              </w:rPr>
              <w:t>Constituting</w:t>
            </w:r>
          </w:p>
        </w:tc>
        <w:tc>
          <w:tcPr>
            <w:tcW w:w="3372" w:type="dxa"/>
            <w:shd w:val="clear" w:color="auto" w:fill="F2F2F2" w:themeFill="background1" w:themeFillShade="F2"/>
          </w:tcPr>
          <w:p w14:paraId="298BFE68" w14:textId="696BB98F" w:rsidR="00DF7F01" w:rsidRPr="00BD77D8" w:rsidRDefault="00DF7F01" w:rsidP="00EB270F">
            <w:pPr>
              <w:jc w:val="center"/>
              <w:rPr>
                <w:rFonts w:ascii="Arial" w:eastAsia="Calibri" w:hAnsi="Arial"/>
                <w:b/>
                <w:bCs/>
                <w:lang w:val="en-US" w:eastAsia="en-US"/>
              </w:rPr>
            </w:pPr>
            <w:r w:rsidRPr="00BD77D8">
              <w:rPr>
                <w:rFonts w:ascii="Arial" w:eastAsia="Calibri" w:hAnsi="Arial"/>
                <w:b/>
                <w:bCs/>
                <w:lang w:val="en-US" w:eastAsia="en-US"/>
              </w:rPr>
              <w:t>Annual Report arrangements</w:t>
            </w:r>
          </w:p>
        </w:tc>
      </w:tr>
      <w:tr w:rsidR="00BD77D8" w:rsidRPr="00BD77D8" w14:paraId="25CCCDD7" w14:textId="77777777" w:rsidTr="00F24F78">
        <w:tc>
          <w:tcPr>
            <w:tcW w:w="3486" w:type="dxa"/>
            <w:tcBorders>
              <w:bottom w:val="single" w:sz="4" w:space="0" w:color="auto"/>
            </w:tcBorders>
          </w:tcPr>
          <w:p w14:paraId="238F5E0C" w14:textId="3E08D531" w:rsidR="00DF7F01" w:rsidRPr="00BD77D8" w:rsidRDefault="00DF7F01" w:rsidP="00DF7F01">
            <w:pPr>
              <w:rPr>
                <w:rFonts w:ascii="Arial" w:eastAsia="Calibri" w:hAnsi="Arial"/>
                <w:lang w:val="en-US" w:eastAsia="en-US"/>
              </w:rPr>
            </w:pPr>
            <w:r w:rsidRPr="00BD77D8">
              <w:rPr>
                <w:rFonts w:ascii="Arial" w:eastAsia="Calibri" w:hAnsi="Arial"/>
                <w:lang w:val="en-US" w:eastAsia="en-US"/>
              </w:rPr>
              <w:t xml:space="preserve">Commissioner </w:t>
            </w:r>
            <w:bookmarkStart w:id="68" w:name="_Hlk112834650"/>
            <w:r w:rsidRPr="00BD77D8">
              <w:rPr>
                <w:rFonts w:ascii="Arial" w:eastAsia="Calibri" w:hAnsi="Arial"/>
                <w:lang w:val="en-US" w:eastAsia="en-US"/>
              </w:rPr>
              <w:t>(</w:t>
            </w:r>
            <w:proofErr w:type="spellStart"/>
            <w:r w:rsidRPr="00BD77D8">
              <w:rPr>
                <w:rFonts w:ascii="Arial" w:eastAsia="Calibri" w:hAnsi="Arial"/>
                <w:lang w:val="en-US" w:eastAsia="en-US"/>
              </w:rPr>
              <w:t>Meriba</w:t>
            </w:r>
            <w:proofErr w:type="spellEnd"/>
            <w:r w:rsidRPr="00BD77D8">
              <w:rPr>
                <w:rFonts w:ascii="Arial" w:eastAsia="Calibri" w:hAnsi="Arial"/>
                <w:lang w:val="en-US" w:eastAsia="en-US"/>
              </w:rPr>
              <w:t xml:space="preserve"> </w:t>
            </w:r>
            <w:proofErr w:type="spellStart"/>
            <w:r w:rsidRPr="00BD77D8">
              <w:rPr>
                <w:rFonts w:ascii="Arial" w:eastAsia="Calibri" w:hAnsi="Arial"/>
                <w:lang w:val="en-US" w:eastAsia="en-US"/>
              </w:rPr>
              <w:t>Omasker</w:t>
            </w:r>
            <w:proofErr w:type="spellEnd"/>
            <w:r w:rsidRPr="00BD77D8">
              <w:rPr>
                <w:rFonts w:ascii="Arial" w:eastAsia="Calibri" w:hAnsi="Arial"/>
                <w:lang w:val="en-US" w:eastAsia="en-US"/>
              </w:rPr>
              <w:t xml:space="preserve"> </w:t>
            </w:r>
            <w:proofErr w:type="spellStart"/>
            <w:r w:rsidRPr="00BD77D8">
              <w:rPr>
                <w:rFonts w:ascii="Arial" w:eastAsia="Calibri" w:hAnsi="Arial"/>
                <w:lang w:val="en-US" w:eastAsia="en-US"/>
              </w:rPr>
              <w:t>Kaziw</w:t>
            </w:r>
            <w:proofErr w:type="spellEnd"/>
            <w:r w:rsidRPr="00BD77D8">
              <w:rPr>
                <w:rFonts w:ascii="Arial" w:eastAsia="Calibri" w:hAnsi="Arial"/>
                <w:lang w:val="en-US" w:eastAsia="en-US"/>
              </w:rPr>
              <w:t xml:space="preserve"> </w:t>
            </w:r>
            <w:proofErr w:type="spellStart"/>
            <w:r w:rsidRPr="00BD77D8">
              <w:rPr>
                <w:rFonts w:ascii="Arial" w:eastAsia="Calibri" w:hAnsi="Arial"/>
                <w:lang w:val="en-US" w:eastAsia="en-US"/>
              </w:rPr>
              <w:t>Kazipa</w:t>
            </w:r>
            <w:proofErr w:type="spellEnd"/>
            <w:r w:rsidRPr="00BD77D8">
              <w:rPr>
                <w:rFonts w:ascii="Arial" w:eastAsia="Calibri" w:hAnsi="Arial"/>
                <w:lang w:val="en-US" w:eastAsia="en-US"/>
              </w:rPr>
              <w:t>)</w:t>
            </w:r>
            <w:bookmarkEnd w:id="68"/>
          </w:p>
        </w:tc>
        <w:tc>
          <w:tcPr>
            <w:tcW w:w="3602" w:type="dxa"/>
            <w:tcBorders>
              <w:bottom w:val="single" w:sz="4" w:space="0" w:color="auto"/>
            </w:tcBorders>
          </w:tcPr>
          <w:p w14:paraId="4E17ACBA" w14:textId="738E63CE" w:rsidR="00DF7F01" w:rsidRPr="00BD77D8" w:rsidRDefault="00A370A8" w:rsidP="00F92BFE">
            <w:pPr>
              <w:pStyle w:val="ListBullet"/>
              <w:numPr>
                <w:ilvl w:val="0"/>
                <w:numId w:val="0"/>
              </w:numPr>
              <w:tabs>
                <w:tab w:val="left" w:pos="376"/>
              </w:tabs>
              <w:ind w:firstLine="16"/>
              <w:rPr>
                <w:rFonts w:ascii="Arial" w:eastAsia="Calibri" w:hAnsi="Arial"/>
                <w:lang w:val="en-US" w:eastAsia="en-US"/>
              </w:rPr>
            </w:pPr>
            <w:proofErr w:type="spellStart"/>
            <w:r w:rsidRPr="00BD77D8">
              <w:rPr>
                <w:rFonts w:ascii="Arial" w:hAnsi="Arial"/>
                <w:i/>
                <w:iCs/>
              </w:rPr>
              <w:t>Meriba</w:t>
            </w:r>
            <w:proofErr w:type="spellEnd"/>
            <w:r w:rsidRPr="00BD77D8">
              <w:rPr>
                <w:rFonts w:ascii="Arial" w:hAnsi="Arial"/>
                <w:i/>
                <w:iCs/>
              </w:rPr>
              <w:t xml:space="preserve"> </w:t>
            </w:r>
            <w:proofErr w:type="spellStart"/>
            <w:r w:rsidRPr="00BD77D8">
              <w:rPr>
                <w:rFonts w:ascii="Arial" w:hAnsi="Arial"/>
                <w:i/>
                <w:iCs/>
              </w:rPr>
              <w:t>Omasker</w:t>
            </w:r>
            <w:proofErr w:type="spellEnd"/>
            <w:r w:rsidRPr="00BD77D8">
              <w:rPr>
                <w:rFonts w:ascii="Arial" w:hAnsi="Arial"/>
                <w:i/>
                <w:iCs/>
              </w:rPr>
              <w:t xml:space="preserve"> </w:t>
            </w:r>
            <w:proofErr w:type="spellStart"/>
            <w:r w:rsidRPr="00BD77D8">
              <w:rPr>
                <w:rFonts w:ascii="Arial" w:hAnsi="Arial"/>
                <w:i/>
                <w:iCs/>
              </w:rPr>
              <w:t>Kaziw</w:t>
            </w:r>
            <w:proofErr w:type="spellEnd"/>
            <w:r w:rsidRPr="00BD77D8">
              <w:rPr>
                <w:rFonts w:ascii="Arial" w:hAnsi="Arial"/>
                <w:i/>
                <w:iCs/>
              </w:rPr>
              <w:t xml:space="preserve"> </w:t>
            </w:r>
            <w:proofErr w:type="spellStart"/>
            <w:r w:rsidRPr="00BD77D8">
              <w:rPr>
                <w:rFonts w:ascii="Arial" w:hAnsi="Arial"/>
                <w:i/>
                <w:iCs/>
              </w:rPr>
              <w:t>Kazipa</w:t>
            </w:r>
            <w:proofErr w:type="spellEnd"/>
            <w:r w:rsidRPr="00BD77D8">
              <w:rPr>
                <w:rFonts w:ascii="Arial" w:hAnsi="Arial"/>
                <w:i/>
                <w:iCs/>
              </w:rPr>
              <w:t xml:space="preserve"> (Torres Strait Islander Traditional Child Rearing Practice) Act 2020 </w:t>
            </w:r>
          </w:p>
        </w:tc>
        <w:tc>
          <w:tcPr>
            <w:tcW w:w="3372" w:type="dxa"/>
            <w:tcBorders>
              <w:bottom w:val="single" w:sz="4" w:space="0" w:color="auto"/>
            </w:tcBorders>
          </w:tcPr>
          <w:p w14:paraId="7D4A4883" w14:textId="49341A65" w:rsidR="00DF7F01" w:rsidRPr="00BD77D8" w:rsidRDefault="002A05D7" w:rsidP="002605FE">
            <w:pPr>
              <w:rPr>
                <w:rFonts w:ascii="Arial" w:eastAsia="Calibri" w:hAnsi="Arial"/>
                <w:lang w:val="en-US" w:eastAsia="en-US"/>
              </w:rPr>
            </w:pPr>
            <w:r w:rsidRPr="00BD77D8">
              <w:rPr>
                <w:rFonts w:ascii="Arial" w:eastAsia="Calibri" w:hAnsi="Arial"/>
                <w:lang w:val="en-US" w:eastAsia="en-US"/>
              </w:rPr>
              <w:t>Separate annual report prepared</w:t>
            </w:r>
          </w:p>
        </w:tc>
      </w:tr>
      <w:tr w:rsidR="00BD77D8" w:rsidRPr="00BD77D8" w14:paraId="71CF78A1" w14:textId="77777777" w:rsidTr="00F24F78">
        <w:tc>
          <w:tcPr>
            <w:tcW w:w="3486" w:type="dxa"/>
            <w:tcBorders>
              <w:top w:val="single" w:sz="4" w:space="0" w:color="auto"/>
              <w:bottom w:val="single" w:sz="4" w:space="0" w:color="auto"/>
            </w:tcBorders>
          </w:tcPr>
          <w:p w14:paraId="3D017B83" w14:textId="7D5CE15B" w:rsidR="00DF7F01" w:rsidRPr="00BD77D8" w:rsidRDefault="00DF7F01" w:rsidP="002605FE">
            <w:pPr>
              <w:rPr>
                <w:rFonts w:ascii="Arial" w:eastAsia="Calibri" w:hAnsi="Arial"/>
                <w:lang w:val="en-US" w:eastAsia="en-US"/>
              </w:rPr>
            </w:pPr>
            <w:r w:rsidRPr="00BD77D8">
              <w:rPr>
                <w:rFonts w:ascii="Arial" w:eastAsia="Calibri" w:hAnsi="Arial"/>
                <w:lang w:val="en-US" w:eastAsia="en-US"/>
              </w:rPr>
              <w:t xml:space="preserve">Community Enterprise </w:t>
            </w:r>
            <w:r w:rsidR="002A05D7" w:rsidRPr="00BD77D8">
              <w:rPr>
                <w:rFonts w:ascii="Arial" w:eastAsia="Calibri" w:hAnsi="Arial"/>
                <w:lang w:val="en-US" w:eastAsia="en-US"/>
              </w:rPr>
              <w:t>Queensland</w:t>
            </w:r>
            <w:r w:rsidRPr="00BD77D8">
              <w:rPr>
                <w:rFonts w:ascii="Arial" w:eastAsia="Calibri" w:hAnsi="Arial"/>
                <w:lang w:val="en-US" w:eastAsia="en-US"/>
              </w:rPr>
              <w:t xml:space="preserve"> Board of Management</w:t>
            </w:r>
          </w:p>
        </w:tc>
        <w:tc>
          <w:tcPr>
            <w:tcW w:w="3602" w:type="dxa"/>
            <w:tcBorders>
              <w:top w:val="single" w:sz="4" w:space="0" w:color="auto"/>
              <w:bottom w:val="single" w:sz="4" w:space="0" w:color="auto"/>
            </w:tcBorders>
          </w:tcPr>
          <w:p w14:paraId="7CEC1239" w14:textId="757584F0" w:rsidR="00DF7F01" w:rsidRPr="00BD77D8" w:rsidRDefault="00FC39D0" w:rsidP="00FC39D0">
            <w:pPr>
              <w:pStyle w:val="ListBullet"/>
              <w:numPr>
                <w:ilvl w:val="0"/>
                <w:numId w:val="0"/>
              </w:numPr>
              <w:tabs>
                <w:tab w:val="left" w:pos="376"/>
              </w:tabs>
              <w:ind w:firstLine="16"/>
              <w:rPr>
                <w:rFonts w:ascii="Arial" w:eastAsia="Calibri" w:hAnsi="Arial"/>
                <w:lang w:val="en-US" w:eastAsia="en-US"/>
              </w:rPr>
            </w:pPr>
            <w:r w:rsidRPr="00BD77D8">
              <w:rPr>
                <w:rFonts w:ascii="Arial" w:hAnsi="Arial"/>
                <w:i/>
                <w:iCs/>
              </w:rPr>
              <w:t>Aboriginal and Torres Strait Islander Communities (Justice, Land and Other Matters) Act 1984 (the Act)</w:t>
            </w:r>
          </w:p>
        </w:tc>
        <w:tc>
          <w:tcPr>
            <w:tcW w:w="3372" w:type="dxa"/>
            <w:tcBorders>
              <w:top w:val="single" w:sz="4" w:space="0" w:color="auto"/>
              <w:bottom w:val="single" w:sz="4" w:space="0" w:color="auto"/>
            </w:tcBorders>
          </w:tcPr>
          <w:p w14:paraId="07841969" w14:textId="3A62C24F" w:rsidR="00DF7F01" w:rsidRPr="00BD77D8" w:rsidRDefault="002A05D7" w:rsidP="002605FE">
            <w:pPr>
              <w:rPr>
                <w:rFonts w:ascii="Arial" w:eastAsia="Calibri" w:hAnsi="Arial"/>
                <w:lang w:val="en-US" w:eastAsia="en-US"/>
              </w:rPr>
            </w:pPr>
            <w:r w:rsidRPr="00BD77D8">
              <w:rPr>
                <w:rFonts w:ascii="Arial" w:eastAsia="Calibri" w:hAnsi="Arial"/>
                <w:lang w:val="en-US" w:eastAsia="en-US"/>
              </w:rPr>
              <w:t>Separate annual report prepared</w:t>
            </w:r>
          </w:p>
        </w:tc>
      </w:tr>
      <w:tr w:rsidR="00BD77D8" w:rsidRPr="00BD77D8" w14:paraId="000C3C7F" w14:textId="77777777" w:rsidTr="00F24F78">
        <w:tc>
          <w:tcPr>
            <w:tcW w:w="3486" w:type="dxa"/>
            <w:tcBorders>
              <w:top w:val="single" w:sz="4" w:space="0" w:color="auto"/>
              <w:bottom w:val="single" w:sz="4" w:space="0" w:color="auto"/>
            </w:tcBorders>
          </w:tcPr>
          <w:p w14:paraId="24B8AA07" w14:textId="4699EF34" w:rsidR="00153C37" w:rsidRPr="00BD77D8" w:rsidRDefault="00153C37" w:rsidP="002605FE">
            <w:pPr>
              <w:rPr>
                <w:rFonts w:ascii="Arial" w:eastAsia="Calibri" w:hAnsi="Arial"/>
                <w:lang w:val="en-US" w:eastAsia="en-US"/>
              </w:rPr>
            </w:pPr>
            <w:r w:rsidRPr="00BD77D8">
              <w:rPr>
                <w:rFonts w:ascii="Arial" w:eastAsia="Calibri" w:hAnsi="Arial"/>
                <w:lang w:val="en-US" w:eastAsia="en-US"/>
              </w:rPr>
              <w:t>Director (Forensic Disability)</w:t>
            </w:r>
          </w:p>
        </w:tc>
        <w:tc>
          <w:tcPr>
            <w:tcW w:w="3602" w:type="dxa"/>
            <w:tcBorders>
              <w:top w:val="single" w:sz="4" w:space="0" w:color="auto"/>
              <w:bottom w:val="single" w:sz="4" w:space="0" w:color="auto"/>
            </w:tcBorders>
          </w:tcPr>
          <w:p w14:paraId="5B5F8C82" w14:textId="4D325189" w:rsidR="00153C37" w:rsidRPr="00BD77D8" w:rsidRDefault="00153C37" w:rsidP="00FC39D0">
            <w:pPr>
              <w:pStyle w:val="ListBullet"/>
              <w:numPr>
                <w:ilvl w:val="0"/>
                <w:numId w:val="0"/>
              </w:numPr>
              <w:tabs>
                <w:tab w:val="left" w:pos="376"/>
              </w:tabs>
              <w:ind w:firstLine="16"/>
              <w:rPr>
                <w:rFonts w:ascii="Arial" w:hAnsi="Arial"/>
                <w:i/>
                <w:iCs/>
              </w:rPr>
            </w:pPr>
            <w:r w:rsidRPr="00BD77D8">
              <w:rPr>
                <w:rFonts w:ascii="Arial" w:hAnsi="Arial"/>
                <w:i/>
                <w:iCs/>
              </w:rPr>
              <w:t>Forensic Disability Act 2011</w:t>
            </w:r>
          </w:p>
        </w:tc>
        <w:tc>
          <w:tcPr>
            <w:tcW w:w="3372" w:type="dxa"/>
            <w:tcBorders>
              <w:top w:val="single" w:sz="4" w:space="0" w:color="auto"/>
              <w:bottom w:val="single" w:sz="4" w:space="0" w:color="auto"/>
            </w:tcBorders>
          </w:tcPr>
          <w:p w14:paraId="7B9E3961" w14:textId="7D384C33" w:rsidR="00153C37" w:rsidRPr="00BD77D8" w:rsidRDefault="00153C37" w:rsidP="002605FE">
            <w:pPr>
              <w:rPr>
                <w:rFonts w:ascii="Arial" w:eastAsia="Calibri" w:hAnsi="Arial"/>
                <w:lang w:val="en-US" w:eastAsia="en-US"/>
              </w:rPr>
            </w:pPr>
            <w:r w:rsidRPr="00BD77D8">
              <w:rPr>
                <w:rFonts w:ascii="Arial" w:eastAsia="Calibri" w:hAnsi="Arial"/>
                <w:lang w:val="en-US" w:eastAsia="en-US"/>
              </w:rPr>
              <w:t>Separate annual report prepared</w:t>
            </w:r>
          </w:p>
        </w:tc>
      </w:tr>
      <w:tr w:rsidR="00BD77D8" w:rsidRPr="00BD77D8" w14:paraId="0C81C640" w14:textId="77777777" w:rsidTr="00F24F78">
        <w:tc>
          <w:tcPr>
            <w:tcW w:w="3486" w:type="dxa"/>
            <w:tcBorders>
              <w:top w:val="single" w:sz="4" w:space="0" w:color="auto"/>
              <w:bottom w:val="single" w:sz="4" w:space="0" w:color="auto"/>
            </w:tcBorders>
          </w:tcPr>
          <w:p w14:paraId="3F53AE20" w14:textId="05A8C446" w:rsidR="00DF7F01" w:rsidRPr="00BD77D8" w:rsidRDefault="00DF7F01" w:rsidP="002605FE">
            <w:pPr>
              <w:rPr>
                <w:rFonts w:ascii="Arial" w:eastAsia="Calibri" w:hAnsi="Arial"/>
                <w:lang w:val="en-US" w:eastAsia="en-US"/>
              </w:rPr>
            </w:pPr>
            <w:r w:rsidRPr="00BD77D8">
              <w:rPr>
                <w:rFonts w:ascii="Arial" w:eastAsia="Calibri" w:hAnsi="Arial"/>
                <w:lang w:val="en-US" w:eastAsia="en-US"/>
              </w:rPr>
              <w:t xml:space="preserve">Family Responsibilities Board  </w:t>
            </w:r>
          </w:p>
        </w:tc>
        <w:tc>
          <w:tcPr>
            <w:tcW w:w="3602" w:type="dxa"/>
            <w:tcBorders>
              <w:top w:val="single" w:sz="4" w:space="0" w:color="auto"/>
              <w:bottom w:val="single" w:sz="4" w:space="0" w:color="auto"/>
            </w:tcBorders>
          </w:tcPr>
          <w:p w14:paraId="084BE25C" w14:textId="2C86C94E" w:rsidR="00DF7F01" w:rsidRPr="00BD77D8" w:rsidRDefault="005D0600" w:rsidP="0011557F">
            <w:pPr>
              <w:pStyle w:val="ListBullet"/>
              <w:numPr>
                <w:ilvl w:val="0"/>
                <w:numId w:val="0"/>
              </w:numPr>
              <w:tabs>
                <w:tab w:val="left" w:pos="376"/>
              </w:tabs>
              <w:ind w:firstLine="16"/>
              <w:rPr>
                <w:rFonts w:ascii="Arial" w:eastAsia="Calibri" w:hAnsi="Arial"/>
                <w:lang w:val="en-US" w:eastAsia="en-US"/>
              </w:rPr>
            </w:pPr>
            <w:r w:rsidRPr="00BD77D8">
              <w:rPr>
                <w:rFonts w:ascii="Arial" w:eastAsia="Calibri" w:hAnsi="Arial"/>
                <w:i/>
                <w:iCs/>
              </w:rPr>
              <w:t>Family Responsibilities Commission Act 2008</w:t>
            </w:r>
          </w:p>
        </w:tc>
        <w:tc>
          <w:tcPr>
            <w:tcW w:w="3372" w:type="dxa"/>
            <w:tcBorders>
              <w:top w:val="single" w:sz="4" w:space="0" w:color="auto"/>
              <w:bottom w:val="single" w:sz="4" w:space="0" w:color="auto"/>
            </w:tcBorders>
          </w:tcPr>
          <w:p w14:paraId="6237AA01" w14:textId="08B83F2E" w:rsidR="00DF7F01" w:rsidRPr="00BD77D8" w:rsidRDefault="005D0600" w:rsidP="002605FE">
            <w:pPr>
              <w:rPr>
                <w:rFonts w:ascii="Arial" w:eastAsia="Calibri" w:hAnsi="Arial"/>
                <w:lang w:val="en-US" w:eastAsia="en-US"/>
              </w:rPr>
            </w:pPr>
            <w:r w:rsidRPr="00BD77D8">
              <w:rPr>
                <w:rFonts w:ascii="Arial" w:eastAsia="Calibri" w:hAnsi="Arial"/>
                <w:lang w:val="en-US" w:eastAsia="en-US"/>
              </w:rPr>
              <w:t xml:space="preserve">See </w:t>
            </w:r>
            <w:r w:rsidR="0011557F" w:rsidRPr="00BD77D8">
              <w:rPr>
                <w:rFonts w:ascii="Arial" w:eastAsia="Calibri" w:hAnsi="Arial"/>
                <w:lang w:val="en-US" w:eastAsia="en-US"/>
              </w:rPr>
              <w:t xml:space="preserve">Appendix </w:t>
            </w:r>
            <w:r w:rsidR="002C5DCE" w:rsidRPr="00BD77D8">
              <w:rPr>
                <w:rFonts w:ascii="Arial" w:eastAsia="Calibri" w:hAnsi="Arial"/>
                <w:lang w:val="en-US" w:eastAsia="en-US"/>
              </w:rPr>
              <w:t>4</w:t>
            </w:r>
            <w:r w:rsidR="0011557F" w:rsidRPr="00BD77D8">
              <w:rPr>
                <w:rFonts w:ascii="Arial" w:eastAsia="Calibri" w:hAnsi="Arial"/>
                <w:lang w:val="en-US" w:eastAsia="en-US"/>
              </w:rPr>
              <w:t xml:space="preserve"> – Government bodies</w:t>
            </w:r>
          </w:p>
        </w:tc>
      </w:tr>
      <w:tr w:rsidR="00BD77D8" w:rsidRPr="00BD77D8" w14:paraId="31D43514" w14:textId="77777777" w:rsidTr="00F24F78">
        <w:trPr>
          <w:trHeight w:val="643"/>
        </w:trPr>
        <w:tc>
          <w:tcPr>
            <w:tcW w:w="3486" w:type="dxa"/>
            <w:tcBorders>
              <w:top w:val="single" w:sz="4" w:space="0" w:color="auto"/>
              <w:bottom w:val="single" w:sz="4" w:space="0" w:color="auto"/>
            </w:tcBorders>
          </w:tcPr>
          <w:p w14:paraId="699F4F94" w14:textId="0718C0E5" w:rsidR="00DF7F01" w:rsidRPr="00BD77D8" w:rsidRDefault="00DF7F01" w:rsidP="002605FE">
            <w:pPr>
              <w:rPr>
                <w:rFonts w:ascii="Arial" w:eastAsia="Calibri" w:hAnsi="Arial"/>
                <w:lang w:val="en-US" w:eastAsia="en-US"/>
              </w:rPr>
            </w:pPr>
            <w:r w:rsidRPr="00BD77D8">
              <w:rPr>
                <w:rFonts w:ascii="Arial" w:eastAsia="Calibri" w:hAnsi="Arial"/>
                <w:lang w:val="en-US" w:eastAsia="en-US"/>
              </w:rPr>
              <w:t>Family Responsibilities Commission</w:t>
            </w:r>
          </w:p>
        </w:tc>
        <w:tc>
          <w:tcPr>
            <w:tcW w:w="3602" w:type="dxa"/>
            <w:tcBorders>
              <w:top w:val="single" w:sz="4" w:space="0" w:color="auto"/>
              <w:bottom w:val="single" w:sz="4" w:space="0" w:color="auto"/>
            </w:tcBorders>
          </w:tcPr>
          <w:p w14:paraId="1FBCC1CD" w14:textId="785A9A8F" w:rsidR="00DF7F01" w:rsidRPr="00BD77D8" w:rsidRDefault="00A370A8" w:rsidP="00A370A8">
            <w:pPr>
              <w:tabs>
                <w:tab w:val="left" w:pos="376"/>
              </w:tabs>
              <w:ind w:firstLine="16"/>
              <w:rPr>
                <w:rFonts w:ascii="Arial" w:eastAsia="Calibri" w:hAnsi="Arial"/>
                <w:lang w:val="en-US" w:eastAsia="en-US"/>
              </w:rPr>
            </w:pPr>
            <w:r w:rsidRPr="00BD77D8">
              <w:rPr>
                <w:rFonts w:ascii="Arial" w:eastAsia="Calibri" w:hAnsi="Arial"/>
                <w:i/>
                <w:iCs/>
              </w:rPr>
              <w:t xml:space="preserve">Family Responsibilities Commission Act 2008 </w:t>
            </w:r>
          </w:p>
        </w:tc>
        <w:tc>
          <w:tcPr>
            <w:tcW w:w="3372" w:type="dxa"/>
            <w:tcBorders>
              <w:top w:val="single" w:sz="4" w:space="0" w:color="auto"/>
              <w:bottom w:val="single" w:sz="4" w:space="0" w:color="auto"/>
            </w:tcBorders>
          </w:tcPr>
          <w:p w14:paraId="27639191" w14:textId="3A9086E0" w:rsidR="00DF7F01" w:rsidRPr="00BD77D8" w:rsidRDefault="002A05D7" w:rsidP="002605FE">
            <w:pPr>
              <w:rPr>
                <w:rFonts w:ascii="Arial" w:eastAsia="Calibri" w:hAnsi="Arial"/>
                <w:lang w:val="en-US" w:eastAsia="en-US"/>
              </w:rPr>
            </w:pPr>
            <w:r w:rsidRPr="00BD77D8">
              <w:rPr>
                <w:rFonts w:ascii="Arial" w:eastAsia="Calibri" w:hAnsi="Arial"/>
                <w:lang w:val="en-US" w:eastAsia="en-US"/>
              </w:rPr>
              <w:t>Separate annual report prepared</w:t>
            </w:r>
          </w:p>
        </w:tc>
      </w:tr>
      <w:tr w:rsidR="00BD77D8" w:rsidRPr="00BD77D8" w14:paraId="3B2E4036" w14:textId="77777777" w:rsidTr="00F24F78">
        <w:tc>
          <w:tcPr>
            <w:tcW w:w="3486" w:type="dxa"/>
            <w:tcBorders>
              <w:top w:val="single" w:sz="4" w:space="0" w:color="auto"/>
              <w:bottom w:val="single" w:sz="4" w:space="0" w:color="auto"/>
            </w:tcBorders>
          </w:tcPr>
          <w:p w14:paraId="35050C18" w14:textId="56D630E8" w:rsidR="00DF7F01" w:rsidRPr="00BD77D8" w:rsidRDefault="00DF7F01" w:rsidP="002605FE">
            <w:pPr>
              <w:rPr>
                <w:rFonts w:ascii="Arial" w:eastAsia="Calibri" w:hAnsi="Arial"/>
                <w:lang w:val="en-US" w:eastAsia="en-US"/>
              </w:rPr>
            </w:pPr>
            <w:r w:rsidRPr="00BD77D8">
              <w:rPr>
                <w:rFonts w:ascii="Arial" w:eastAsia="Calibri" w:hAnsi="Arial"/>
                <w:lang w:val="en-US" w:eastAsia="en-US"/>
              </w:rPr>
              <w:t>Queensland Aboriginal and Torres Strait Islanders Foundation Board of Advice</w:t>
            </w:r>
          </w:p>
        </w:tc>
        <w:tc>
          <w:tcPr>
            <w:tcW w:w="3602" w:type="dxa"/>
            <w:tcBorders>
              <w:top w:val="single" w:sz="4" w:space="0" w:color="auto"/>
              <w:bottom w:val="single" w:sz="4" w:space="0" w:color="auto"/>
            </w:tcBorders>
          </w:tcPr>
          <w:p w14:paraId="1DADC7AB" w14:textId="6F3596B9" w:rsidR="00DF7F01" w:rsidRPr="00BD77D8" w:rsidRDefault="005D0600" w:rsidP="00A370A8">
            <w:pPr>
              <w:tabs>
                <w:tab w:val="left" w:pos="376"/>
              </w:tabs>
              <w:ind w:firstLine="16"/>
              <w:rPr>
                <w:rFonts w:ascii="Arial" w:eastAsia="Calibri" w:hAnsi="Arial"/>
                <w:lang w:val="en-US" w:eastAsia="en-US"/>
              </w:rPr>
            </w:pPr>
            <w:r w:rsidRPr="00BD77D8">
              <w:rPr>
                <w:rFonts w:ascii="Arial" w:eastAsia="Calibri" w:hAnsi="Arial"/>
                <w:lang w:val="en-US" w:eastAsia="en-US"/>
              </w:rPr>
              <w:t>Trust Deed</w:t>
            </w:r>
          </w:p>
        </w:tc>
        <w:tc>
          <w:tcPr>
            <w:tcW w:w="3372" w:type="dxa"/>
            <w:tcBorders>
              <w:top w:val="single" w:sz="4" w:space="0" w:color="auto"/>
              <w:bottom w:val="single" w:sz="4" w:space="0" w:color="auto"/>
            </w:tcBorders>
          </w:tcPr>
          <w:p w14:paraId="2ED1A185" w14:textId="42C6D1C4" w:rsidR="00DF7F01" w:rsidRPr="00BD77D8" w:rsidRDefault="002A05D7" w:rsidP="002605FE">
            <w:pPr>
              <w:rPr>
                <w:rFonts w:ascii="Arial" w:eastAsia="Calibri" w:hAnsi="Arial"/>
                <w:lang w:val="en-US" w:eastAsia="en-US"/>
              </w:rPr>
            </w:pPr>
            <w:r w:rsidRPr="00BD77D8">
              <w:rPr>
                <w:rFonts w:ascii="Arial" w:eastAsia="Calibri" w:hAnsi="Arial"/>
                <w:lang w:val="en-US" w:eastAsia="en-US"/>
              </w:rPr>
              <w:t>Separate annual report prepared</w:t>
            </w:r>
          </w:p>
        </w:tc>
      </w:tr>
      <w:tr w:rsidR="00BD77D8" w:rsidRPr="00BD77D8" w14:paraId="13D906D5" w14:textId="77777777" w:rsidTr="00F24F78">
        <w:tc>
          <w:tcPr>
            <w:tcW w:w="3486" w:type="dxa"/>
            <w:tcBorders>
              <w:top w:val="single" w:sz="4" w:space="0" w:color="auto"/>
              <w:bottom w:val="single" w:sz="4" w:space="0" w:color="auto"/>
            </w:tcBorders>
          </w:tcPr>
          <w:p w14:paraId="0F14851B" w14:textId="1C3675F2" w:rsidR="00DF7F01" w:rsidRPr="00BD77D8" w:rsidRDefault="00DF7F01" w:rsidP="002605FE">
            <w:pPr>
              <w:rPr>
                <w:rFonts w:ascii="Arial" w:eastAsia="Calibri" w:hAnsi="Arial"/>
                <w:lang w:val="en-US" w:eastAsia="en-US"/>
              </w:rPr>
            </w:pPr>
            <w:r w:rsidRPr="00BD77D8">
              <w:rPr>
                <w:rFonts w:ascii="Arial" w:eastAsia="Calibri" w:hAnsi="Arial"/>
                <w:lang w:val="en-US" w:eastAsia="en-US"/>
              </w:rPr>
              <w:t>Queensland Disability Advisory Council</w:t>
            </w:r>
          </w:p>
        </w:tc>
        <w:tc>
          <w:tcPr>
            <w:tcW w:w="3602" w:type="dxa"/>
            <w:tcBorders>
              <w:top w:val="single" w:sz="4" w:space="0" w:color="auto"/>
              <w:bottom w:val="single" w:sz="4" w:space="0" w:color="auto"/>
            </w:tcBorders>
          </w:tcPr>
          <w:p w14:paraId="21430F2A" w14:textId="5F7ACBAA" w:rsidR="00DF7F01" w:rsidRPr="00BD77D8" w:rsidRDefault="005D0600" w:rsidP="005D0600">
            <w:pPr>
              <w:pStyle w:val="ListBullet"/>
              <w:numPr>
                <w:ilvl w:val="0"/>
                <w:numId w:val="0"/>
              </w:numPr>
              <w:tabs>
                <w:tab w:val="left" w:pos="376"/>
              </w:tabs>
              <w:ind w:firstLine="16"/>
              <w:rPr>
                <w:rFonts w:ascii="Arial" w:eastAsia="Calibri" w:hAnsi="Arial"/>
                <w:i/>
                <w:iCs/>
              </w:rPr>
            </w:pPr>
            <w:r w:rsidRPr="00BD77D8">
              <w:rPr>
                <w:rFonts w:ascii="Arial" w:eastAsia="Calibri" w:hAnsi="Arial"/>
                <w:i/>
                <w:iCs/>
              </w:rPr>
              <w:t>Disability Services Act 2006</w:t>
            </w:r>
          </w:p>
        </w:tc>
        <w:tc>
          <w:tcPr>
            <w:tcW w:w="3372" w:type="dxa"/>
            <w:tcBorders>
              <w:top w:val="single" w:sz="4" w:space="0" w:color="auto"/>
              <w:bottom w:val="single" w:sz="4" w:space="0" w:color="auto"/>
            </w:tcBorders>
          </w:tcPr>
          <w:p w14:paraId="24A97422" w14:textId="51FE480E" w:rsidR="00DF7F01" w:rsidRPr="00BD77D8" w:rsidRDefault="005D0600" w:rsidP="002605FE">
            <w:pPr>
              <w:rPr>
                <w:rFonts w:ascii="Arial" w:eastAsia="Calibri" w:hAnsi="Arial"/>
                <w:lang w:val="en-US" w:eastAsia="en-US"/>
              </w:rPr>
            </w:pPr>
            <w:r w:rsidRPr="00BD77D8">
              <w:rPr>
                <w:rFonts w:ascii="Arial" w:eastAsia="Calibri" w:hAnsi="Arial"/>
                <w:lang w:val="en-US" w:eastAsia="en-US"/>
              </w:rPr>
              <w:t xml:space="preserve">See </w:t>
            </w:r>
            <w:r w:rsidR="0011557F" w:rsidRPr="00BD77D8">
              <w:rPr>
                <w:rFonts w:ascii="Arial" w:eastAsia="Calibri" w:hAnsi="Arial"/>
                <w:lang w:val="en-US" w:eastAsia="en-US"/>
              </w:rPr>
              <w:t xml:space="preserve">Appendix </w:t>
            </w:r>
            <w:r w:rsidR="002C5DCE" w:rsidRPr="00BD77D8">
              <w:rPr>
                <w:rFonts w:ascii="Arial" w:eastAsia="Calibri" w:hAnsi="Arial"/>
                <w:lang w:val="en-US" w:eastAsia="en-US"/>
              </w:rPr>
              <w:t>4</w:t>
            </w:r>
            <w:r w:rsidR="0011557F" w:rsidRPr="00BD77D8">
              <w:rPr>
                <w:rFonts w:ascii="Arial" w:eastAsia="Calibri" w:hAnsi="Arial"/>
                <w:lang w:val="en-US" w:eastAsia="en-US"/>
              </w:rPr>
              <w:t xml:space="preserve"> – Government bodies </w:t>
            </w:r>
          </w:p>
        </w:tc>
      </w:tr>
      <w:tr w:rsidR="00BD77D8" w:rsidRPr="00BD77D8" w14:paraId="43557ECA" w14:textId="77777777" w:rsidTr="00F24F78">
        <w:tc>
          <w:tcPr>
            <w:tcW w:w="3486" w:type="dxa"/>
            <w:tcBorders>
              <w:top w:val="single" w:sz="4" w:space="0" w:color="auto"/>
              <w:bottom w:val="single" w:sz="4" w:space="0" w:color="auto"/>
            </w:tcBorders>
          </w:tcPr>
          <w:p w14:paraId="4386B47E" w14:textId="02435494" w:rsidR="00DF7F01" w:rsidRPr="00BD77D8" w:rsidRDefault="00DF7F01" w:rsidP="002605FE">
            <w:pPr>
              <w:rPr>
                <w:rFonts w:ascii="Arial" w:eastAsia="Calibri" w:hAnsi="Arial"/>
                <w:lang w:val="en-US" w:eastAsia="en-US"/>
              </w:rPr>
            </w:pPr>
            <w:r w:rsidRPr="00BD77D8">
              <w:rPr>
                <w:rFonts w:ascii="Arial" w:eastAsia="Calibri" w:hAnsi="Arial"/>
                <w:lang w:val="en-US" w:eastAsia="en-US"/>
              </w:rPr>
              <w:t>The Local Thriving Communities Joint Coordinating Committee</w:t>
            </w:r>
          </w:p>
        </w:tc>
        <w:tc>
          <w:tcPr>
            <w:tcW w:w="3602" w:type="dxa"/>
            <w:tcBorders>
              <w:top w:val="single" w:sz="4" w:space="0" w:color="auto"/>
              <w:bottom w:val="single" w:sz="4" w:space="0" w:color="auto"/>
            </w:tcBorders>
          </w:tcPr>
          <w:p w14:paraId="21C72CE0" w14:textId="61E06BC4" w:rsidR="00DF7F01" w:rsidRPr="00BD77D8" w:rsidRDefault="005D0600" w:rsidP="00A370A8">
            <w:pPr>
              <w:tabs>
                <w:tab w:val="left" w:pos="376"/>
              </w:tabs>
              <w:ind w:firstLine="16"/>
              <w:rPr>
                <w:rFonts w:ascii="Arial" w:eastAsia="Calibri" w:hAnsi="Arial"/>
                <w:lang w:val="en-US" w:eastAsia="en-US"/>
              </w:rPr>
            </w:pPr>
            <w:r w:rsidRPr="00BD77D8">
              <w:rPr>
                <w:rFonts w:ascii="Arial" w:eastAsia="Calibri" w:hAnsi="Arial"/>
                <w:lang w:val="en-US" w:eastAsia="en-US"/>
              </w:rPr>
              <w:t>Terms of Reference</w:t>
            </w:r>
          </w:p>
        </w:tc>
        <w:tc>
          <w:tcPr>
            <w:tcW w:w="3372" w:type="dxa"/>
            <w:tcBorders>
              <w:top w:val="single" w:sz="4" w:space="0" w:color="auto"/>
              <w:bottom w:val="single" w:sz="4" w:space="0" w:color="auto"/>
            </w:tcBorders>
          </w:tcPr>
          <w:p w14:paraId="711164D0" w14:textId="7A86F135" w:rsidR="00DF7F01" w:rsidRPr="00BD77D8" w:rsidRDefault="005D0600" w:rsidP="002605FE">
            <w:pPr>
              <w:rPr>
                <w:rFonts w:ascii="Arial" w:eastAsia="Calibri" w:hAnsi="Arial"/>
                <w:lang w:val="en-US" w:eastAsia="en-US"/>
              </w:rPr>
            </w:pPr>
            <w:r w:rsidRPr="00BD77D8">
              <w:rPr>
                <w:rFonts w:ascii="Arial" w:eastAsia="Calibri" w:hAnsi="Arial"/>
                <w:lang w:val="en-US" w:eastAsia="en-US"/>
              </w:rPr>
              <w:t xml:space="preserve">See </w:t>
            </w:r>
            <w:r w:rsidR="0011557F" w:rsidRPr="00BD77D8">
              <w:rPr>
                <w:rFonts w:ascii="Arial" w:eastAsia="Calibri" w:hAnsi="Arial"/>
                <w:lang w:val="en-US" w:eastAsia="en-US"/>
              </w:rPr>
              <w:t xml:space="preserve">Appendix </w:t>
            </w:r>
            <w:r w:rsidR="002C5DCE" w:rsidRPr="00BD77D8">
              <w:rPr>
                <w:rFonts w:ascii="Arial" w:eastAsia="Calibri" w:hAnsi="Arial"/>
                <w:lang w:val="en-US" w:eastAsia="en-US"/>
              </w:rPr>
              <w:t>4</w:t>
            </w:r>
            <w:r w:rsidR="0011557F" w:rsidRPr="00BD77D8">
              <w:rPr>
                <w:rFonts w:ascii="Arial" w:eastAsia="Calibri" w:hAnsi="Arial"/>
                <w:lang w:val="en-US" w:eastAsia="en-US"/>
              </w:rPr>
              <w:t xml:space="preserve"> – Government bodies </w:t>
            </w:r>
          </w:p>
        </w:tc>
      </w:tr>
    </w:tbl>
    <w:p w14:paraId="7A1F5E8B" w14:textId="34D5E61B" w:rsidR="00540C1F" w:rsidRPr="00BD77D8" w:rsidRDefault="000F19CA" w:rsidP="00F8721C">
      <w:pPr>
        <w:pStyle w:val="Heading2"/>
        <w:spacing w:before="480"/>
        <w:rPr>
          <w:color w:val="auto"/>
          <w:sz w:val="20"/>
          <w:szCs w:val="20"/>
        </w:rPr>
      </w:pPr>
      <w:bookmarkStart w:id="69" w:name="_Toc113544378"/>
      <w:bookmarkEnd w:id="67"/>
      <w:r w:rsidRPr="00BD77D8">
        <w:rPr>
          <w:color w:val="auto"/>
        </w:rPr>
        <w:lastRenderedPageBreak/>
        <w:t>National agreements</w:t>
      </w:r>
      <w:bookmarkEnd w:id="69"/>
      <w:r w:rsidRPr="00BD77D8">
        <w:rPr>
          <w:color w:val="auto"/>
        </w:rPr>
        <w:t xml:space="preserve"> </w:t>
      </w:r>
    </w:p>
    <w:p w14:paraId="7472C3AA" w14:textId="5036F98C" w:rsidR="00075879" w:rsidRPr="00BD77D8" w:rsidRDefault="000F19CA" w:rsidP="00075879">
      <w:pPr>
        <w:spacing w:after="120" w:line="240" w:lineRule="auto"/>
        <w:rPr>
          <w:rFonts w:eastAsia="Calibri"/>
        </w:rPr>
      </w:pPr>
      <w:r w:rsidRPr="00BD77D8">
        <w:rPr>
          <w:rFonts w:eastAsia="Calibri"/>
        </w:rPr>
        <w:t>The department leads implementation and negotiations associated with:</w:t>
      </w:r>
    </w:p>
    <w:p w14:paraId="29C18908" w14:textId="0BE63D2F" w:rsidR="001A0C5C" w:rsidRPr="00BD77D8" w:rsidRDefault="000F19CA" w:rsidP="00075879">
      <w:pPr>
        <w:pStyle w:val="ListBullet"/>
        <w:numPr>
          <w:ilvl w:val="0"/>
          <w:numId w:val="39"/>
        </w:numPr>
        <w:rPr>
          <w:rFonts w:eastAsia="Calibri"/>
        </w:rPr>
      </w:pPr>
      <w:r w:rsidRPr="00BD77D8">
        <w:rPr>
          <w:rFonts w:eastAsia="Calibri"/>
        </w:rPr>
        <w:t>the</w:t>
      </w:r>
      <w:r w:rsidR="001A0C5C" w:rsidRPr="00BD77D8">
        <w:rPr>
          <w:rFonts w:eastAsia="Calibri"/>
        </w:rPr>
        <w:t xml:space="preserve"> National </w:t>
      </w:r>
      <w:r w:rsidR="008B0296" w:rsidRPr="00BD77D8">
        <w:rPr>
          <w:rFonts w:eastAsia="Calibri"/>
        </w:rPr>
        <w:t xml:space="preserve">Agreement on </w:t>
      </w:r>
      <w:r w:rsidR="001A0C5C" w:rsidRPr="00BD77D8">
        <w:rPr>
          <w:rFonts w:eastAsia="Calibri"/>
        </w:rPr>
        <w:t>Closing the Gap</w:t>
      </w:r>
      <w:r w:rsidR="006303FD" w:rsidRPr="00BD77D8">
        <w:rPr>
          <w:rFonts w:eastAsia="Calibri"/>
        </w:rPr>
        <w:t xml:space="preserve"> </w:t>
      </w:r>
    </w:p>
    <w:p w14:paraId="1BCB3B94" w14:textId="59079C7E" w:rsidR="006303FD" w:rsidRPr="00BD77D8" w:rsidRDefault="00DE5AC8" w:rsidP="00A463E0">
      <w:pPr>
        <w:pStyle w:val="ListBullet"/>
        <w:numPr>
          <w:ilvl w:val="0"/>
          <w:numId w:val="38"/>
        </w:numPr>
        <w:rPr>
          <w:rFonts w:eastAsia="Calibri"/>
        </w:rPr>
      </w:pPr>
      <w:r w:rsidRPr="00BD77D8">
        <w:rPr>
          <w:rFonts w:eastAsia="Calibri"/>
        </w:rPr>
        <w:t xml:space="preserve">the </w:t>
      </w:r>
      <w:r w:rsidR="006303FD" w:rsidRPr="00BD77D8">
        <w:rPr>
          <w:rFonts w:eastAsia="Calibri"/>
        </w:rPr>
        <w:t>National Federation Reform Council Taskforce on Indigenous Affairs</w:t>
      </w:r>
    </w:p>
    <w:p w14:paraId="4DDE47EB" w14:textId="759D42C5" w:rsidR="001A0C5C" w:rsidRPr="00BD77D8" w:rsidRDefault="00DE5AC8" w:rsidP="00A463E0">
      <w:pPr>
        <w:pStyle w:val="ListBullet"/>
        <w:numPr>
          <w:ilvl w:val="0"/>
          <w:numId w:val="38"/>
        </w:numPr>
        <w:rPr>
          <w:rFonts w:eastAsia="Calibri"/>
        </w:rPr>
      </w:pPr>
      <w:r w:rsidRPr="00BD77D8">
        <w:rPr>
          <w:rFonts w:eastAsia="Calibri"/>
        </w:rPr>
        <w:t xml:space="preserve">the </w:t>
      </w:r>
      <w:r w:rsidR="00152D48" w:rsidRPr="00BD77D8">
        <w:rPr>
          <w:rFonts w:eastAsia="Calibri"/>
        </w:rPr>
        <w:t>Australia’s</w:t>
      </w:r>
      <w:r w:rsidR="00DA4255" w:rsidRPr="00BD77D8">
        <w:rPr>
          <w:rFonts w:eastAsia="Calibri"/>
        </w:rPr>
        <w:t xml:space="preserve"> Disability Strategy</w:t>
      </w:r>
      <w:r w:rsidR="00152D48" w:rsidRPr="00BD77D8">
        <w:rPr>
          <w:rFonts w:eastAsia="Calibri"/>
        </w:rPr>
        <w:t xml:space="preserve"> 2021-2031</w:t>
      </w:r>
    </w:p>
    <w:p w14:paraId="38A463D8" w14:textId="29BC549D" w:rsidR="006303FD" w:rsidRPr="00BD77D8" w:rsidRDefault="001A0C5C" w:rsidP="00A463E0">
      <w:pPr>
        <w:pStyle w:val="ListBullet"/>
        <w:numPr>
          <w:ilvl w:val="0"/>
          <w:numId w:val="38"/>
        </w:numPr>
        <w:rPr>
          <w:rFonts w:eastAsia="Calibri"/>
        </w:rPr>
      </w:pPr>
      <w:r w:rsidRPr="00BD77D8">
        <w:rPr>
          <w:rFonts w:eastAsia="Calibri"/>
        </w:rPr>
        <w:t xml:space="preserve">the </w:t>
      </w:r>
      <w:r w:rsidR="008B0296" w:rsidRPr="00BD77D8">
        <w:rPr>
          <w:rFonts w:eastAsia="Calibri"/>
        </w:rPr>
        <w:t>Bilateral Agreement between the Commonwealth of Australia and Queensland on the National Disability Insurance Scheme</w:t>
      </w:r>
      <w:r w:rsidR="00AA4875" w:rsidRPr="00BD77D8">
        <w:rPr>
          <w:rFonts w:eastAsia="Calibri"/>
        </w:rPr>
        <w:t>.</w:t>
      </w:r>
    </w:p>
    <w:p w14:paraId="5B4AD624" w14:textId="52548693" w:rsidR="00340AE6" w:rsidRPr="00BD77D8" w:rsidRDefault="00A410B3" w:rsidP="00340AE6">
      <w:pPr>
        <w:pStyle w:val="Heading2"/>
        <w:rPr>
          <w:b/>
          <w:bCs w:val="0"/>
          <w:color w:val="auto"/>
          <w:sz w:val="20"/>
          <w:szCs w:val="20"/>
        </w:rPr>
      </w:pPr>
      <w:bookmarkStart w:id="70" w:name="_Toc43444710"/>
      <w:bookmarkStart w:id="71" w:name="_Toc78287335"/>
      <w:bookmarkStart w:id="72" w:name="_Toc78355742"/>
      <w:bookmarkStart w:id="73" w:name="_Toc113544379"/>
      <w:r w:rsidRPr="00BD77D8">
        <w:rPr>
          <w:color w:val="auto"/>
        </w:rPr>
        <w:t>Our operating environment</w:t>
      </w:r>
      <w:bookmarkEnd w:id="70"/>
      <w:bookmarkEnd w:id="71"/>
      <w:bookmarkEnd w:id="72"/>
      <w:bookmarkEnd w:id="73"/>
      <w:r w:rsidR="007D0D14" w:rsidRPr="00BD77D8">
        <w:rPr>
          <w:color w:val="auto"/>
        </w:rPr>
        <w:t xml:space="preserve"> </w:t>
      </w:r>
    </w:p>
    <w:p w14:paraId="435D316F" w14:textId="77777777" w:rsidR="00E779C7" w:rsidRPr="00BD77D8" w:rsidRDefault="00E779C7" w:rsidP="00075879">
      <w:pPr>
        <w:spacing w:after="120" w:line="240" w:lineRule="auto"/>
        <w:rPr>
          <w:rFonts w:eastAsia="Calibri"/>
          <w:lang w:val="en-US" w:eastAsia="en-US"/>
        </w:rPr>
      </w:pPr>
      <w:r w:rsidRPr="00BD77D8">
        <w:rPr>
          <w:rFonts w:eastAsia="Calibri"/>
          <w:lang w:val="en-US" w:eastAsia="en-US"/>
        </w:rPr>
        <w:t>Our department’s operating environment during the reporting period included:</w:t>
      </w:r>
    </w:p>
    <w:p w14:paraId="27BA77B3" w14:textId="4B09070C" w:rsidR="00877343" w:rsidRPr="00BD77D8" w:rsidRDefault="00877343" w:rsidP="00A463E0">
      <w:pPr>
        <w:pStyle w:val="ListBullet"/>
        <w:numPr>
          <w:ilvl w:val="0"/>
          <w:numId w:val="39"/>
        </w:numPr>
        <w:rPr>
          <w:rFonts w:eastAsia="Calibri"/>
        </w:rPr>
      </w:pPr>
      <w:bookmarkStart w:id="74" w:name="_Toc43444712"/>
      <w:r w:rsidRPr="00BD77D8">
        <w:rPr>
          <w:rFonts w:eastAsia="Calibri"/>
        </w:rPr>
        <w:t>COVID-19 pandemic and workforce impacts</w:t>
      </w:r>
      <w:r w:rsidR="00AA4875" w:rsidRPr="00BD77D8">
        <w:rPr>
          <w:rFonts w:eastAsia="Calibri"/>
        </w:rPr>
        <w:t xml:space="preserve"> requiring </w:t>
      </w:r>
      <w:r w:rsidRPr="00BD77D8">
        <w:rPr>
          <w:rFonts w:eastAsia="Calibri"/>
        </w:rPr>
        <w:t xml:space="preserve">resilience and adjusting our way of working </w:t>
      </w:r>
      <w:r w:rsidR="00AA4875" w:rsidRPr="00BD77D8">
        <w:rPr>
          <w:rFonts w:eastAsia="Calibri"/>
        </w:rPr>
        <w:t xml:space="preserve">to </w:t>
      </w:r>
      <w:r w:rsidRPr="00BD77D8">
        <w:rPr>
          <w:rFonts w:eastAsia="Calibri"/>
        </w:rPr>
        <w:t xml:space="preserve"> deliver services</w:t>
      </w:r>
      <w:r w:rsidR="00AA4875" w:rsidRPr="00BD77D8">
        <w:rPr>
          <w:rFonts w:eastAsia="Calibri"/>
        </w:rPr>
        <w:t xml:space="preserve"> whil</w:t>
      </w:r>
      <w:r w:rsidR="00E47B42" w:rsidRPr="00BD77D8">
        <w:rPr>
          <w:rFonts w:eastAsia="Calibri"/>
        </w:rPr>
        <w:t>e</w:t>
      </w:r>
      <w:r w:rsidR="00AA4875" w:rsidRPr="00BD77D8">
        <w:rPr>
          <w:rFonts w:eastAsia="Calibri"/>
        </w:rPr>
        <w:t xml:space="preserve"> responding</w:t>
      </w:r>
      <w:r w:rsidRPr="00BD77D8">
        <w:rPr>
          <w:rFonts w:eastAsia="Calibri"/>
        </w:rPr>
        <w:t xml:space="preserve"> to COVID-19 and natural disasters</w:t>
      </w:r>
    </w:p>
    <w:p w14:paraId="378EE625" w14:textId="12D25940" w:rsidR="00877343" w:rsidRPr="00BD77D8" w:rsidRDefault="00540C1F" w:rsidP="00A463E0">
      <w:pPr>
        <w:pStyle w:val="ListBullet"/>
        <w:numPr>
          <w:ilvl w:val="0"/>
          <w:numId w:val="39"/>
        </w:numPr>
        <w:rPr>
          <w:rFonts w:eastAsia="Calibri"/>
        </w:rPr>
      </w:pPr>
      <w:r w:rsidRPr="00BD77D8">
        <w:rPr>
          <w:rFonts w:eastAsia="Calibri"/>
        </w:rPr>
        <w:t>c</w:t>
      </w:r>
      <w:r w:rsidR="00877343" w:rsidRPr="00BD77D8">
        <w:rPr>
          <w:rFonts w:eastAsia="Calibri"/>
        </w:rPr>
        <w:t>ustomers expect</w:t>
      </w:r>
      <w:r w:rsidRPr="00BD77D8">
        <w:rPr>
          <w:rFonts w:eastAsia="Calibri"/>
        </w:rPr>
        <w:t>ing</w:t>
      </w:r>
      <w:r w:rsidR="00877343" w:rsidRPr="00BD77D8">
        <w:rPr>
          <w:rFonts w:eastAsia="Calibri"/>
        </w:rPr>
        <w:t xml:space="preserve"> increased levels of choice and control in engagement with government</w:t>
      </w:r>
    </w:p>
    <w:p w14:paraId="6285FCB1" w14:textId="2959305C" w:rsidR="00877343" w:rsidRPr="00BD77D8" w:rsidRDefault="00540C1F" w:rsidP="00A463E0">
      <w:pPr>
        <w:pStyle w:val="ListBullet"/>
        <w:numPr>
          <w:ilvl w:val="0"/>
          <w:numId w:val="39"/>
        </w:numPr>
        <w:rPr>
          <w:rFonts w:eastAsia="Calibri"/>
        </w:rPr>
      </w:pPr>
      <w:r w:rsidRPr="00BD77D8">
        <w:rPr>
          <w:rFonts w:eastAsia="Calibri"/>
        </w:rPr>
        <w:t>t</w:t>
      </w:r>
      <w:r w:rsidR="00877343" w:rsidRPr="00BD77D8">
        <w:rPr>
          <w:rFonts w:eastAsia="Calibri"/>
        </w:rPr>
        <w:t>he pace and scale of change</w:t>
      </w:r>
      <w:r w:rsidR="00AA4875" w:rsidRPr="00BD77D8">
        <w:rPr>
          <w:rFonts w:eastAsia="Calibri"/>
        </w:rPr>
        <w:t>,</w:t>
      </w:r>
      <w:r w:rsidR="00877343" w:rsidRPr="00BD77D8">
        <w:rPr>
          <w:rFonts w:eastAsia="Calibri"/>
        </w:rPr>
        <w:t xml:space="preserve"> combined with fiscal pressures</w:t>
      </w:r>
      <w:r w:rsidR="00AA4875" w:rsidRPr="00BD77D8">
        <w:rPr>
          <w:rFonts w:eastAsia="Calibri"/>
        </w:rPr>
        <w:t>,</w:t>
      </w:r>
      <w:r w:rsidR="00877343" w:rsidRPr="00BD77D8">
        <w:rPr>
          <w:rFonts w:eastAsia="Calibri"/>
        </w:rPr>
        <w:t xml:space="preserve"> </w:t>
      </w:r>
      <w:r w:rsidR="00905568" w:rsidRPr="00BD77D8">
        <w:rPr>
          <w:rFonts w:eastAsia="Calibri"/>
        </w:rPr>
        <w:t xml:space="preserve">having the potential to </w:t>
      </w:r>
      <w:r w:rsidRPr="00BD77D8">
        <w:rPr>
          <w:rFonts w:eastAsia="Calibri"/>
        </w:rPr>
        <w:t xml:space="preserve">impact on </w:t>
      </w:r>
      <w:r w:rsidR="00877343" w:rsidRPr="00BD77D8">
        <w:rPr>
          <w:rFonts w:eastAsia="Calibri"/>
        </w:rPr>
        <w:t>our ability to respond to customer expectations</w:t>
      </w:r>
    </w:p>
    <w:p w14:paraId="493BFE46" w14:textId="7E62BEE6" w:rsidR="00877343" w:rsidRPr="00BD77D8" w:rsidRDefault="00540C1F" w:rsidP="00A463E0">
      <w:pPr>
        <w:pStyle w:val="ListBullet"/>
        <w:numPr>
          <w:ilvl w:val="0"/>
          <w:numId w:val="39"/>
        </w:numPr>
        <w:rPr>
          <w:rFonts w:eastAsia="Calibri"/>
        </w:rPr>
      </w:pPr>
      <w:r w:rsidRPr="00BD77D8">
        <w:rPr>
          <w:rFonts w:eastAsia="Calibri"/>
        </w:rPr>
        <w:t>n</w:t>
      </w:r>
      <w:r w:rsidR="00877343" w:rsidRPr="00BD77D8">
        <w:rPr>
          <w:rFonts w:eastAsia="Calibri"/>
        </w:rPr>
        <w:t>eed</w:t>
      </w:r>
      <w:r w:rsidR="00576798" w:rsidRPr="00BD77D8">
        <w:rPr>
          <w:rFonts w:eastAsia="Calibri"/>
        </w:rPr>
        <w:t>ing</w:t>
      </w:r>
      <w:r w:rsidR="00877343" w:rsidRPr="00BD77D8">
        <w:rPr>
          <w:rFonts w:eastAsia="Calibri"/>
        </w:rPr>
        <w:t xml:space="preserve"> to leverage the digital age and implement contemporary service solutions</w:t>
      </w:r>
    </w:p>
    <w:p w14:paraId="1D96A1D7" w14:textId="4AAF9C6B" w:rsidR="00877343" w:rsidRPr="00BD77D8" w:rsidRDefault="00540C1F" w:rsidP="00A463E0">
      <w:pPr>
        <w:pStyle w:val="ListBullet"/>
        <w:numPr>
          <w:ilvl w:val="0"/>
          <w:numId w:val="39"/>
        </w:numPr>
        <w:rPr>
          <w:rFonts w:eastAsia="Calibri"/>
        </w:rPr>
      </w:pPr>
      <w:r w:rsidRPr="00BD77D8">
        <w:rPr>
          <w:rFonts w:eastAsia="Calibri"/>
        </w:rPr>
        <w:t>n</w:t>
      </w:r>
      <w:r w:rsidR="00877343" w:rsidRPr="00BD77D8">
        <w:rPr>
          <w:rFonts w:eastAsia="Calibri"/>
        </w:rPr>
        <w:t>eed</w:t>
      </w:r>
      <w:r w:rsidR="00905568" w:rsidRPr="00BD77D8">
        <w:rPr>
          <w:rFonts w:eastAsia="Calibri"/>
        </w:rPr>
        <w:t xml:space="preserve">ing to provide </w:t>
      </w:r>
      <w:r w:rsidR="00877343" w:rsidRPr="00BD77D8">
        <w:rPr>
          <w:rFonts w:eastAsia="Calibri"/>
        </w:rPr>
        <w:t>collaborative service delivery across government</w:t>
      </w:r>
      <w:r w:rsidRPr="00BD77D8">
        <w:rPr>
          <w:rFonts w:eastAsia="Calibri"/>
        </w:rPr>
        <w:t>.</w:t>
      </w:r>
    </w:p>
    <w:p w14:paraId="2FB5B3E1" w14:textId="1901A3EA" w:rsidR="00340AE6" w:rsidRPr="00BD77D8" w:rsidRDefault="0048584D" w:rsidP="00340AE6">
      <w:pPr>
        <w:pStyle w:val="Heading2"/>
        <w:rPr>
          <w:b/>
          <w:bCs w:val="0"/>
          <w:color w:val="auto"/>
          <w:sz w:val="20"/>
          <w:szCs w:val="20"/>
        </w:rPr>
      </w:pPr>
      <w:bookmarkStart w:id="75" w:name="_Toc78287336"/>
      <w:bookmarkStart w:id="76" w:name="_Toc78355743"/>
      <w:bookmarkStart w:id="77" w:name="_Toc113544380"/>
      <w:r w:rsidRPr="00BD77D8">
        <w:rPr>
          <w:color w:val="auto"/>
        </w:rPr>
        <w:t>Our strategic objectives</w:t>
      </w:r>
      <w:bookmarkEnd w:id="75"/>
      <w:bookmarkEnd w:id="76"/>
      <w:bookmarkEnd w:id="77"/>
      <w:r w:rsidRPr="00BD77D8">
        <w:rPr>
          <w:color w:val="auto"/>
        </w:rPr>
        <w:t xml:space="preserve"> </w:t>
      </w:r>
    </w:p>
    <w:p w14:paraId="6DB6EE62" w14:textId="102EBC88" w:rsidR="0048584D" w:rsidRPr="00BD77D8" w:rsidRDefault="0048584D" w:rsidP="0048584D">
      <w:pPr>
        <w:rPr>
          <w:lang w:eastAsia="en-US"/>
        </w:rPr>
      </w:pPr>
      <w:r w:rsidRPr="00BD77D8">
        <w:rPr>
          <w:lang w:eastAsia="en-US"/>
        </w:rPr>
        <w:t xml:space="preserve">The Department of Seniors, Disability Services and Aboriginal and Torres Strait Islander Partnerships has published the following five strategic objectives in the department’s </w:t>
      </w:r>
      <w:r w:rsidRPr="00BD77D8">
        <w:rPr>
          <w:i/>
          <w:iCs/>
          <w:lang w:eastAsia="en-US"/>
        </w:rPr>
        <w:t>Strategic Plan 2021-2025</w:t>
      </w:r>
      <w:r w:rsidRPr="00BD77D8">
        <w:rPr>
          <w:lang w:eastAsia="en-US"/>
        </w:rPr>
        <w:t>:</w:t>
      </w:r>
    </w:p>
    <w:p w14:paraId="1DE42150" w14:textId="77777777" w:rsidR="0048584D" w:rsidRPr="00BD77D8" w:rsidRDefault="0048584D" w:rsidP="00A463E0">
      <w:pPr>
        <w:pStyle w:val="ListNumber"/>
        <w:numPr>
          <w:ilvl w:val="0"/>
          <w:numId w:val="40"/>
        </w:numPr>
      </w:pPr>
      <w:r w:rsidRPr="00BD77D8">
        <w:t>Promote inclusion and access to programs and services</w:t>
      </w:r>
    </w:p>
    <w:p w14:paraId="53DEA957" w14:textId="77777777" w:rsidR="0048584D" w:rsidRPr="00BD77D8" w:rsidRDefault="0048584D" w:rsidP="00A463E0">
      <w:pPr>
        <w:pStyle w:val="ListNumber"/>
        <w:numPr>
          <w:ilvl w:val="0"/>
          <w:numId w:val="40"/>
        </w:numPr>
      </w:pPr>
      <w:r w:rsidRPr="00BD77D8">
        <w:t>Increase engagement through co-design</w:t>
      </w:r>
    </w:p>
    <w:p w14:paraId="2013600D" w14:textId="77777777" w:rsidR="0048584D" w:rsidRPr="00BD77D8" w:rsidRDefault="0048584D" w:rsidP="00A463E0">
      <w:pPr>
        <w:pStyle w:val="ListNumber"/>
        <w:numPr>
          <w:ilvl w:val="0"/>
          <w:numId w:val="40"/>
        </w:numPr>
      </w:pPr>
      <w:r w:rsidRPr="00BD77D8">
        <w:t>Influence social and economic outcomes</w:t>
      </w:r>
    </w:p>
    <w:p w14:paraId="2258865A" w14:textId="77777777" w:rsidR="0048584D" w:rsidRPr="00BD77D8" w:rsidRDefault="0048584D" w:rsidP="00A463E0">
      <w:pPr>
        <w:pStyle w:val="ListNumber"/>
        <w:numPr>
          <w:ilvl w:val="0"/>
          <w:numId w:val="40"/>
        </w:numPr>
      </w:pPr>
      <w:r w:rsidRPr="00BD77D8">
        <w:t>Foster safe and connected communities</w:t>
      </w:r>
    </w:p>
    <w:p w14:paraId="3926E3F1" w14:textId="77777777" w:rsidR="0048584D" w:rsidRPr="00BD77D8" w:rsidRDefault="0048584D" w:rsidP="00A463E0">
      <w:pPr>
        <w:pStyle w:val="ListNumber"/>
        <w:numPr>
          <w:ilvl w:val="0"/>
          <w:numId w:val="40"/>
        </w:numPr>
      </w:pPr>
      <w:r w:rsidRPr="00BD77D8">
        <w:t>Strengthen capability, innovation and governance.</w:t>
      </w:r>
    </w:p>
    <w:p w14:paraId="31615301" w14:textId="52790E85" w:rsidR="0048584D" w:rsidRPr="00BD77D8" w:rsidRDefault="0048584D" w:rsidP="0048584D">
      <w:r w:rsidRPr="00BD77D8">
        <w:t xml:space="preserve">Further information about the department’s </w:t>
      </w:r>
      <w:r w:rsidRPr="00BD77D8">
        <w:rPr>
          <w:i/>
          <w:iCs/>
        </w:rPr>
        <w:t>Strategic Plan 2021-25</w:t>
      </w:r>
      <w:r w:rsidRPr="00BD77D8">
        <w:t xml:space="preserve"> can be found at: </w:t>
      </w:r>
      <w:hyperlink r:id="rId26" w:history="1">
        <w:r w:rsidR="00DE5AC8" w:rsidRPr="00BD77D8">
          <w:rPr>
            <w:rStyle w:val="Hyperlink"/>
            <w:color w:val="auto"/>
          </w:rPr>
          <w:t>https://www.dsdsatsip.qld.gov.au/about-us/corporate-publications/strategic-plan</w:t>
        </w:r>
      </w:hyperlink>
    </w:p>
    <w:p w14:paraId="4E7DFD4D" w14:textId="5E22F93C" w:rsidR="00BA68F4" w:rsidRPr="00BD77D8" w:rsidRDefault="0048584D" w:rsidP="0018616D">
      <w:pPr>
        <w:pStyle w:val="Heading2"/>
        <w:rPr>
          <w:color w:val="auto"/>
        </w:rPr>
      </w:pPr>
      <w:bookmarkStart w:id="78" w:name="_Toc113544381"/>
      <w:r w:rsidRPr="00BD77D8">
        <w:rPr>
          <w:color w:val="auto"/>
        </w:rPr>
        <w:t>Our s</w:t>
      </w:r>
      <w:r w:rsidR="00BA68F4" w:rsidRPr="00BD77D8">
        <w:rPr>
          <w:color w:val="auto"/>
        </w:rPr>
        <w:t xml:space="preserve">trategic </w:t>
      </w:r>
      <w:r w:rsidRPr="00BD77D8">
        <w:rPr>
          <w:color w:val="auto"/>
        </w:rPr>
        <w:t>r</w:t>
      </w:r>
      <w:r w:rsidR="00BA68F4" w:rsidRPr="00BD77D8">
        <w:rPr>
          <w:color w:val="auto"/>
        </w:rPr>
        <w:t>isks</w:t>
      </w:r>
      <w:bookmarkEnd w:id="78"/>
      <w:r w:rsidR="00013B3C" w:rsidRPr="00BD77D8">
        <w:rPr>
          <w:color w:val="auto"/>
        </w:rPr>
        <w:t xml:space="preserve"> </w:t>
      </w:r>
    </w:p>
    <w:p w14:paraId="1D7D2036" w14:textId="1211035D" w:rsidR="000B672D" w:rsidRPr="00BD77D8" w:rsidRDefault="00207111" w:rsidP="00207111">
      <w:pPr>
        <w:pStyle w:val="ListBullet"/>
        <w:numPr>
          <w:ilvl w:val="0"/>
          <w:numId w:val="0"/>
        </w:numPr>
        <w:rPr>
          <w:rFonts w:eastAsia="Calibri"/>
        </w:rPr>
      </w:pPr>
      <w:r w:rsidRPr="00BD77D8">
        <w:t>The department</w:t>
      </w:r>
      <w:r w:rsidR="000B672D" w:rsidRPr="00BD77D8">
        <w:t xml:space="preserve"> proactively </w:t>
      </w:r>
      <w:r w:rsidRPr="00BD77D8">
        <w:t>monitors</w:t>
      </w:r>
      <w:r w:rsidR="000B672D" w:rsidRPr="00BD77D8">
        <w:t xml:space="preserve"> and manage</w:t>
      </w:r>
      <w:r w:rsidRPr="00BD77D8">
        <w:t>s</w:t>
      </w:r>
      <w:r w:rsidR="000B672D" w:rsidRPr="00BD77D8">
        <w:t xml:space="preserve"> the </w:t>
      </w:r>
      <w:r w:rsidRPr="00BD77D8">
        <w:t xml:space="preserve">following </w:t>
      </w:r>
      <w:r w:rsidR="000B672D" w:rsidRPr="00BD77D8">
        <w:t>strategic risks that could impact on the achievement of our vision and strategic objectives</w:t>
      </w:r>
      <w:r w:rsidRPr="00BD77D8">
        <w:t>:</w:t>
      </w:r>
      <w:r w:rsidR="00BA68F4" w:rsidRPr="00BD77D8">
        <w:t xml:space="preserve"> </w:t>
      </w:r>
      <w:bookmarkStart w:id="79" w:name="_Hlk102641874"/>
    </w:p>
    <w:bookmarkEnd w:id="79"/>
    <w:p w14:paraId="644985B1" w14:textId="77777777" w:rsidR="000B672D" w:rsidRPr="00BD77D8" w:rsidRDefault="000B672D" w:rsidP="00075879">
      <w:pPr>
        <w:pStyle w:val="ListParagraph"/>
        <w:numPr>
          <w:ilvl w:val="0"/>
          <w:numId w:val="22"/>
        </w:numPr>
        <w:spacing w:after="120" w:line="240" w:lineRule="auto"/>
        <w:ind w:left="714" w:hanging="357"/>
        <w:rPr>
          <w:b/>
          <w:bCs/>
        </w:rPr>
      </w:pPr>
      <w:r w:rsidRPr="00BD77D8">
        <w:rPr>
          <w:b/>
          <w:bCs/>
        </w:rPr>
        <w:t xml:space="preserve">Safeguards </w:t>
      </w:r>
    </w:p>
    <w:p w14:paraId="739ABB7A" w14:textId="14A517F2" w:rsidR="000B672D" w:rsidRPr="00BD77D8" w:rsidRDefault="000B672D" w:rsidP="0030331B">
      <w:pPr>
        <w:spacing w:after="120" w:line="240" w:lineRule="auto"/>
        <w:ind w:left="360"/>
      </w:pPr>
      <w:r w:rsidRPr="00BD77D8">
        <w:t>Protecting the rights and safety of people with disability in service environments through investigating complaints, approval of the short-term use of restrictive practices and the screening of disability workers</w:t>
      </w:r>
      <w:r w:rsidR="003434E8" w:rsidRPr="00BD77D8">
        <w:t>.</w:t>
      </w:r>
    </w:p>
    <w:p w14:paraId="121731E8" w14:textId="77777777" w:rsidR="000B672D" w:rsidRPr="00BD77D8" w:rsidRDefault="000B672D" w:rsidP="003525C4">
      <w:pPr>
        <w:pStyle w:val="ListParagraph"/>
        <w:numPr>
          <w:ilvl w:val="0"/>
          <w:numId w:val="22"/>
        </w:numPr>
        <w:spacing w:before="120" w:after="120" w:line="240" w:lineRule="auto"/>
        <w:ind w:left="714" w:hanging="357"/>
        <w:rPr>
          <w:b/>
          <w:bCs/>
        </w:rPr>
      </w:pPr>
      <w:r w:rsidRPr="00BD77D8">
        <w:rPr>
          <w:b/>
          <w:bCs/>
        </w:rPr>
        <w:t xml:space="preserve">Investment </w:t>
      </w:r>
    </w:p>
    <w:p w14:paraId="1EE24B0E" w14:textId="079F9E43" w:rsidR="000B672D" w:rsidRPr="00BD77D8" w:rsidRDefault="000B672D" w:rsidP="0062702E">
      <w:pPr>
        <w:spacing w:after="120" w:line="240" w:lineRule="auto"/>
        <w:ind w:left="357"/>
      </w:pPr>
      <w:r w:rsidRPr="00BD77D8">
        <w:t>Achieving value for money by managing departmental resources to deliver improved outcomes, driving performance through service agreements, and using evidence-based decision-making in prioritising the commissioning of services to ensure they respond to the needs of Queenslanders</w:t>
      </w:r>
      <w:r w:rsidR="003434E8" w:rsidRPr="00BD77D8">
        <w:t>.</w:t>
      </w:r>
    </w:p>
    <w:p w14:paraId="6A660D48" w14:textId="77777777" w:rsidR="000B672D" w:rsidRPr="00BD77D8" w:rsidRDefault="000B672D" w:rsidP="0062702E">
      <w:pPr>
        <w:pStyle w:val="ListParagraph"/>
        <w:numPr>
          <w:ilvl w:val="0"/>
          <w:numId w:val="22"/>
        </w:numPr>
        <w:spacing w:after="120" w:line="240" w:lineRule="auto"/>
        <w:ind w:left="714" w:hanging="357"/>
        <w:rPr>
          <w:b/>
          <w:bCs/>
        </w:rPr>
      </w:pPr>
      <w:r w:rsidRPr="00BD77D8">
        <w:rPr>
          <w:b/>
          <w:bCs/>
        </w:rPr>
        <w:t xml:space="preserve">Economic and social outcomes </w:t>
      </w:r>
    </w:p>
    <w:p w14:paraId="68188202" w14:textId="118731D5" w:rsidR="000B672D" w:rsidRPr="00BD77D8" w:rsidRDefault="000B672D" w:rsidP="0030331B">
      <w:pPr>
        <w:spacing w:after="120" w:line="240" w:lineRule="auto"/>
        <w:ind w:left="360"/>
      </w:pPr>
      <w:r w:rsidRPr="00BD77D8">
        <w:t>Facilitating successful job placements for Aboriginal</w:t>
      </w:r>
      <w:r w:rsidR="004C7FBB" w:rsidRPr="00BD77D8">
        <w:t xml:space="preserve"> peoples</w:t>
      </w:r>
      <w:r w:rsidRPr="00BD77D8">
        <w:t xml:space="preserve"> and Torres Strait Islander peoples; and strategically influencing priority agencies in co-designing policies, programs and services</w:t>
      </w:r>
      <w:r w:rsidR="003434E8" w:rsidRPr="00BD77D8">
        <w:t>.</w:t>
      </w:r>
    </w:p>
    <w:p w14:paraId="0F40746D" w14:textId="77777777" w:rsidR="000B672D" w:rsidRPr="00BD77D8" w:rsidRDefault="000B672D" w:rsidP="007625C3">
      <w:pPr>
        <w:pStyle w:val="ListParagraph"/>
        <w:numPr>
          <w:ilvl w:val="0"/>
          <w:numId w:val="22"/>
        </w:numPr>
        <w:spacing w:after="120" w:line="240" w:lineRule="auto"/>
        <w:rPr>
          <w:b/>
          <w:bCs/>
        </w:rPr>
      </w:pPr>
      <w:r w:rsidRPr="00BD77D8">
        <w:rPr>
          <w:b/>
          <w:bCs/>
        </w:rPr>
        <w:t xml:space="preserve">Information security requirements </w:t>
      </w:r>
    </w:p>
    <w:p w14:paraId="36BF2A14" w14:textId="0A8F626B" w:rsidR="000B672D" w:rsidRPr="00BD77D8" w:rsidRDefault="000B672D" w:rsidP="0030331B">
      <w:pPr>
        <w:spacing w:after="120" w:line="240" w:lineRule="auto"/>
        <w:ind w:left="360"/>
      </w:pPr>
      <w:r w:rsidRPr="00BD77D8">
        <w:t>Independently validating the evidence that information security requirements meet basic system controls</w:t>
      </w:r>
      <w:r w:rsidR="003434E8" w:rsidRPr="00BD77D8">
        <w:t>.</w:t>
      </w:r>
    </w:p>
    <w:p w14:paraId="5EBE08BF" w14:textId="77777777" w:rsidR="000B672D" w:rsidRPr="00BD77D8" w:rsidRDefault="000B672D" w:rsidP="0062702E">
      <w:pPr>
        <w:pStyle w:val="ListParagraph"/>
        <w:numPr>
          <w:ilvl w:val="0"/>
          <w:numId w:val="22"/>
        </w:numPr>
        <w:spacing w:before="480" w:after="120" w:line="240" w:lineRule="auto"/>
        <w:ind w:left="714" w:hanging="357"/>
        <w:rPr>
          <w:b/>
          <w:bCs/>
        </w:rPr>
      </w:pPr>
      <w:r w:rsidRPr="00BD77D8">
        <w:rPr>
          <w:b/>
          <w:bCs/>
        </w:rPr>
        <w:lastRenderedPageBreak/>
        <w:t xml:space="preserve">Legislation </w:t>
      </w:r>
    </w:p>
    <w:p w14:paraId="3B626C2A" w14:textId="39BF5287" w:rsidR="000B672D" w:rsidRPr="00BD77D8" w:rsidRDefault="000B672D" w:rsidP="0030331B">
      <w:pPr>
        <w:spacing w:after="120" w:line="240" w:lineRule="auto"/>
        <w:ind w:left="360"/>
      </w:pPr>
      <w:r w:rsidRPr="00BD77D8">
        <w:t>Ensuring compliance with legislative requirements</w:t>
      </w:r>
      <w:r w:rsidR="003434E8" w:rsidRPr="00BD77D8">
        <w:t>.</w:t>
      </w:r>
    </w:p>
    <w:p w14:paraId="49DC6CDC" w14:textId="77777777" w:rsidR="000B672D" w:rsidRPr="00BD77D8" w:rsidRDefault="000B672D" w:rsidP="007625C3">
      <w:pPr>
        <w:pStyle w:val="ListParagraph"/>
        <w:numPr>
          <w:ilvl w:val="0"/>
          <w:numId w:val="22"/>
        </w:numPr>
        <w:spacing w:after="120" w:line="240" w:lineRule="auto"/>
        <w:rPr>
          <w:b/>
          <w:bCs/>
        </w:rPr>
      </w:pPr>
      <w:r w:rsidRPr="00BD77D8">
        <w:rPr>
          <w:b/>
          <w:bCs/>
        </w:rPr>
        <w:t xml:space="preserve">Workforce </w:t>
      </w:r>
    </w:p>
    <w:p w14:paraId="28491974" w14:textId="7BCDCC99" w:rsidR="000B672D" w:rsidRPr="00BD77D8" w:rsidRDefault="000B672D" w:rsidP="0030331B">
      <w:pPr>
        <w:spacing w:after="120" w:line="240" w:lineRule="auto"/>
        <w:ind w:left="360"/>
      </w:pPr>
      <w:r w:rsidRPr="00BD77D8">
        <w:t>Building workforce capability, and maintaining a safe and healthy work environment, including during the COVID-19 pandemic</w:t>
      </w:r>
      <w:r w:rsidR="003434E8" w:rsidRPr="00BD77D8">
        <w:t>.</w:t>
      </w:r>
    </w:p>
    <w:p w14:paraId="17622F57" w14:textId="77777777" w:rsidR="000B672D" w:rsidRPr="00BD77D8" w:rsidRDefault="000B672D" w:rsidP="007625C3">
      <w:pPr>
        <w:pStyle w:val="ListParagraph"/>
        <w:numPr>
          <w:ilvl w:val="0"/>
          <w:numId w:val="22"/>
        </w:numPr>
        <w:spacing w:after="120" w:line="240" w:lineRule="auto"/>
        <w:rPr>
          <w:b/>
          <w:bCs/>
        </w:rPr>
      </w:pPr>
      <w:r w:rsidRPr="00BD77D8">
        <w:rPr>
          <w:b/>
          <w:bCs/>
        </w:rPr>
        <w:t xml:space="preserve">Safe communities </w:t>
      </w:r>
    </w:p>
    <w:p w14:paraId="1C246F63" w14:textId="3F7FF032" w:rsidR="000B672D" w:rsidRPr="00BD77D8" w:rsidRDefault="000B672D" w:rsidP="0030331B">
      <w:pPr>
        <w:spacing w:after="120" w:line="240" w:lineRule="auto"/>
        <w:ind w:left="360"/>
      </w:pPr>
      <w:r w:rsidRPr="00BD77D8">
        <w:t>Providing appropriate COVID-19 advice and support to seniors, people with disability, and vulnerable Aboriginal and Torres Strait Islander communities.</w:t>
      </w:r>
    </w:p>
    <w:p w14:paraId="619254A7" w14:textId="37BADC78" w:rsidR="0048584D" w:rsidRPr="00BD77D8" w:rsidRDefault="0048584D" w:rsidP="0018616D">
      <w:pPr>
        <w:pStyle w:val="Heading2"/>
        <w:rPr>
          <w:color w:val="auto"/>
        </w:rPr>
      </w:pPr>
      <w:bookmarkStart w:id="80" w:name="_Toc113544382"/>
      <w:r w:rsidRPr="00BD77D8">
        <w:rPr>
          <w:color w:val="auto"/>
        </w:rPr>
        <w:t>Our opportunities</w:t>
      </w:r>
      <w:bookmarkEnd w:id="80"/>
      <w:r w:rsidR="00013B3C" w:rsidRPr="00BD77D8">
        <w:rPr>
          <w:color w:val="auto"/>
        </w:rPr>
        <w:t xml:space="preserve"> </w:t>
      </w:r>
    </w:p>
    <w:p w14:paraId="7B43E3CC" w14:textId="7A77B1CA" w:rsidR="000B672D" w:rsidRPr="00BD77D8" w:rsidRDefault="00207111" w:rsidP="000B672D">
      <w:r w:rsidRPr="00BD77D8">
        <w:t>The department endeavours to</w:t>
      </w:r>
      <w:r w:rsidR="000B672D" w:rsidRPr="00BD77D8">
        <w:t xml:space="preserve"> capitalise on, and leverage, the opportunities arising from our strategic ris</w:t>
      </w:r>
      <w:r w:rsidRPr="00BD77D8">
        <w:t>ks by undertaking the following:</w:t>
      </w:r>
    </w:p>
    <w:p w14:paraId="768715F9" w14:textId="72AD3723" w:rsidR="000B672D" w:rsidRPr="00BD77D8" w:rsidRDefault="000B672D" w:rsidP="007625C3">
      <w:pPr>
        <w:pStyle w:val="ListParagraph"/>
        <w:numPr>
          <w:ilvl w:val="0"/>
          <w:numId w:val="20"/>
        </w:numPr>
      </w:pPr>
      <w:r w:rsidRPr="00BD77D8">
        <w:rPr>
          <w:b/>
          <w:bCs/>
        </w:rPr>
        <w:t>Increas</w:t>
      </w:r>
      <w:r w:rsidR="00AA53D5" w:rsidRPr="00BD77D8">
        <w:rPr>
          <w:b/>
          <w:bCs/>
        </w:rPr>
        <w:t>ing</w:t>
      </w:r>
      <w:r w:rsidRPr="00BD77D8">
        <w:rPr>
          <w:b/>
          <w:bCs/>
        </w:rPr>
        <w:t xml:space="preserve"> opportunities for all Queenslanders</w:t>
      </w:r>
      <w:r w:rsidRPr="00BD77D8">
        <w:t xml:space="preserve"> to feel included and achieve social and economic wellbeing within their communities </w:t>
      </w:r>
    </w:p>
    <w:p w14:paraId="3762DDE1" w14:textId="620E7B08" w:rsidR="000B672D" w:rsidRPr="00BD77D8" w:rsidRDefault="000B672D" w:rsidP="007625C3">
      <w:pPr>
        <w:pStyle w:val="ListParagraph"/>
        <w:numPr>
          <w:ilvl w:val="0"/>
          <w:numId w:val="20"/>
        </w:numPr>
      </w:pPr>
      <w:r w:rsidRPr="00BD77D8">
        <w:rPr>
          <w:b/>
          <w:bCs/>
        </w:rPr>
        <w:t>Help</w:t>
      </w:r>
      <w:r w:rsidR="00AA53D5" w:rsidRPr="00BD77D8">
        <w:rPr>
          <w:b/>
          <w:bCs/>
        </w:rPr>
        <w:t>ing</w:t>
      </w:r>
      <w:r w:rsidRPr="00BD77D8">
        <w:rPr>
          <w:b/>
          <w:bCs/>
        </w:rPr>
        <w:t xml:space="preserve"> communities to thrive</w:t>
      </w:r>
      <w:r w:rsidRPr="00BD77D8">
        <w:t xml:space="preserve"> through seizing the opportunity to deliver NDIS services locally</w:t>
      </w:r>
    </w:p>
    <w:p w14:paraId="66E6D448" w14:textId="6B1E1BEA" w:rsidR="000B672D" w:rsidRPr="00BD77D8" w:rsidRDefault="000B672D" w:rsidP="007625C3">
      <w:pPr>
        <w:pStyle w:val="ListParagraph"/>
        <w:numPr>
          <w:ilvl w:val="0"/>
          <w:numId w:val="20"/>
        </w:numPr>
      </w:pPr>
      <w:r w:rsidRPr="00BD77D8">
        <w:rPr>
          <w:b/>
          <w:bCs/>
        </w:rPr>
        <w:t>Collaborat</w:t>
      </w:r>
      <w:r w:rsidR="00AA53D5" w:rsidRPr="00BD77D8">
        <w:rPr>
          <w:b/>
          <w:bCs/>
        </w:rPr>
        <w:t>ing</w:t>
      </w:r>
      <w:r w:rsidRPr="00BD77D8">
        <w:rPr>
          <w:b/>
          <w:bCs/>
        </w:rPr>
        <w:t xml:space="preserve"> with progressive, high-performing sectors</w:t>
      </w:r>
      <w:r w:rsidRPr="00BD77D8">
        <w:t xml:space="preserve"> to deliver jobs and quality services to all Queenslanders</w:t>
      </w:r>
    </w:p>
    <w:p w14:paraId="406ABC4D" w14:textId="06137A94" w:rsidR="000B672D" w:rsidRPr="00BD77D8" w:rsidRDefault="000B672D" w:rsidP="007625C3">
      <w:pPr>
        <w:pStyle w:val="ListParagraph"/>
        <w:numPr>
          <w:ilvl w:val="0"/>
          <w:numId w:val="20"/>
        </w:numPr>
      </w:pPr>
      <w:r w:rsidRPr="00BD77D8">
        <w:rPr>
          <w:b/>
          <w:bCs/>
        </w:rPr>
        <w:t>Demonstrat</w:t>
      </w:r>
      <w:r w:rsidR="00AA53D5" w:rsidRPr="00BD77D8">
        <w:rPr>
          <w:b/>
          <w:bCs/>
        </w:rPr>
        <w:t>ing</w:t>
      </w:r>
      <w:r w:rsidRPr="00BD77D8">
        <w:rPr>
          <w:b/>
          <w:bCs/>
        </w:rPr>
        <w:t xml:space="preserve"> innovation</w:t>
      </w:r>
      <w:r w:rsidRPr="00BD77D8">
        <w:t xml:space="preserve"> in our approaches to improve capacity, capability and resilience of clients, communities, stakeholders and staff</w:t>
      </w:r>
    </w:p>
    <w:p w14:paraId="59C6B043" w14:textId="12DDAD95" w:rsidR="000B672D" w:rsidRPr="00BD77D8" w:rsidRDefault="000B672D" w:rsidP="007625C3">
      <w:pPr>
        <w:pStyle w:val="ListParagraph"/>
        <w:numPr>
          <w:ilvl w:val="0"/>
          <w:numId w:val="20"/>
        </w:numPr>
      </w:pPr>
      <w:r w:rsidRPr="00BD77D8">
        <w:rPr>
          <w:b/>
          <w:bCs/>
        </w:rPr>
        <w:t>Collaborat</w:t>
      </w:r>
      <w:r w:rsidR="00AA53D5" w:rsidRPr="00BD77D8">
        <w:rPr>
          <w:b/>
          <w:bCs/>
        </w:rPr>
        <w:t xml:space="preserve">ing </w:t>
      </w:r>
      <w:r w:rsidRPr="00BD77D8">
        <w:t>with the Commonwealth, National Disability Insurance Agency (NDIA) and other states and territories to ensure Queenslanders with disability continue to benefit from the NDIS</w:t>
      </w:r>
    </w:p>
    <w:p w14:paraId="46F5E014" w14:textId="3A2D7293" w:rsidR="000B672D" w:rsidRPr="00BD77D8" w:rsidRDefault="000B672D" w:rsidP="007625C3">
      <w:pPr>
        <w:pStyle w:val="ListParagraph"/>
        <w:numPr>
          <w:ilvl w:val="0"/>
          <w:numId w:val="20"/>
        </w:numPr>
      </w:pPr>
      <w:r w:rsidRPr="00BD77D8">
        <w:rPr>
          <w:b/>
          <w:bCs/>
        </w:rPr>
        <w:t>Provid</w:t>
      </w:r>
      <w:r w:rsidR="00AA53D5" w:rsidRPr="00BD77D8">
        <w:rPr>
          <w:b/>
          <w:bCs/>
        </w:rPr>
        <w:t>ing</w:t>
      </w:r>
      <w:r w:rsidRPr="00BD77D8">
        <w:rPr>
          <w:b/>
          <w:bCs/>
        </w:rPr>
        <w:t xml:space="preserve"> evidence-based advocacy</w:t>
      </w:r>
      <w:r w:rsidRPr="00BD77D8">
        <w:t xml:space="preserve"> to Commonwealth and other state government agencies to improve safeguards, and service design and delivery</w:t>
      </w:r>
    </w:p>
    <w:p w14:paraId="5477A288" w14:textId="32D6AC67" w:rsidR="000B672D" w:rsidRPr="00BD77D8" w:rsidRDefault="000B672D" w:rsidP="007625C3">
      <w:pPr>
        <w:pStyle w:val="ListParagraph"/>
        <w:numPr>
          <w:ilvl w:val="0"/>
          <w:numId w:val="20"/>
        </w:numPr>
      </w:pPr>
      <w:r w:rsidRPr="00BD77D8">
        <w:rPr>
          <w:b/>
          <w:bCs/>
        </w:rPr>
        <w:t>Encourag</w:t>
      </w:r>
      <w:r w:rsidR="00AA53D5" w:rsidRPr="00BD77D8">
        <w:rPr>
          <w:b/>
          <w:bCs/>
        </w:rPr>
        <w:t>ing</w:t>
      </w:r>
      <w:r w:rsidRPr="00BD77D8">
        <w:rPr>
          <w:b/>
          <w:bCs/>
        </w:rPr>
        <w:t xml:space="preserve"> seniors and people with disability</w:t>
      </w:r>
      <w:r w:rsidRPr="00BD77D8">
        <w:t xml:space="preserve"> and/or their representatives, to participate in key decisions about them </w:t>
      </w:r>
    </w:p>
    <w:p w14:paraId="0CA30BE2" w14:textId="29914607" w:rsidR="000B672D" w:rsidRPr="00BD77D8" w:rsidRDefault="000B672D" w:rsidP="007625C3">
      <w:pPr>
        <w:pStyle w:val="ListParagraph"/>
        <w:numPr>
          <w:ilvl w:val="0"/>
          <w:numId w:val="20"/>
        </w:numPr>
      </w:pPr>
      <w:r w:rsidRPr="00BD77D8">
        <w:rPr>
          <w:b/>
          <w:bCs/>
        </w:rPr>
        <w:t>Co-design</w:t>
      </w:r>
      <w:r w:rsidR="00AA53D5" w:rsidRPr="00BD77D8">
        <w:rPr>
          <w:b/>
          <w:bCs/>
        </w:rPr>
        <w:t>ing</w:t>
      </w:r>
      <w:r w:rsidRPr="00BD77D8">
        <w:rPr>
          <w:b/>
          <w:bCs/>
        </w:rPr>
        <w:t xml:space="preserve"> policies</w:t>
      </w:r>
      <w:r w:rsidRPr="00BD77D8">
        <w:t xml:space="preserve"> with Aboriginal and Torres Strait Islander Queenslanders, people with disability and other strategic partners</w:t>
      </w:r>
    </w:p>
    <w:p w14:paraId="660B93B9" w14:textId="3A7CFA7C" w:rsidR="000B672D" w:rsidRPr="00BD77D8" w:rsidRDefault="000B672D" w:rsidP="007625C3">
      <w:pPr>
        <w:pStyle w:val="ListParagraph"/>
        <w:numPr>
          <w:ilvl w:val="0"/>
          <w:numId w:val="20"/>
        </w:numPr>
      </w:pPr>
      <w:r w:rsidRPr="00BD77D8">
        <w:rPr>
          <w:b/>
          <w:bCs/>
        </w:rPr>
        <w:t>Develop</w:t>
      </w:r>
      <w:r w:rsidR="00AA53D5" w:rsidRPr="00BD77D8">
        <w:rPr>
          <w:b/>
          <w:bCs/>
        </w:rPr>
        <w:t>ing</w:t>
      </w:r>
      <w:r w:rsidRPr="00BD77D8">
        <w:rPr>
          <w:b/>
          <w:bCs/>
        </w:rPr>
        <w:t xml:space="preserve"> information technology solutions</w:t>
      </w:r>
      <w:r w:rsidRPr="00BD77D8">
        <w:t xml:space="preserve"> that support service delivery</w:t>
      </w:r>
    </w:p>
    <w:p w14:paraId="652F0A01" w14:textId="1996A66B" w:rsidR="000B672D" w:rsidRPr="00BD77D8" w:rsidRDefault="000B672D" w:rsidP="007625C3">
      <w:pPr>
        <w:pStyle w:val="ListParagraph"/>
        <w:numPr>
          <w:ilvl w:val="0"/>
          <w:numId w:val="20"/>
        </w:numPr>
      </w:pPr>
      <w:r w:rsidRPr="00BD77D8">
        <w:rPr>
          <w:b/>
          <w:bCs/>
        </w:rPr>
        <w:t>Build</w:t>
      </w:r>
      <w:r w:rsidR="00AA53D5" w:rsidRPr="00BD77D8">
        <w:rPr>
          <w:b/>
          <w:bCs/>
        </w:rPr>
        <w:t>ing</w:t>
      </w:r>
      <w:r w:rsidRPr="00BD77D8">
        <w:rPr>
          <w:b/>
          <w:bCs/>
        </w:rPr>
        <w:t xml:space="preserve"> individual and organisational capability</w:t>
      </w:r>
      <w:r w:rsidRPr="00BD77D8">
        <w:t xml:space="preserve"> to support departmental priorities</w:t>
      </w:r>
    </w:p>
    <w:p w14:paraId="589FB47C" w14:textId="3526DE45" w:rsidR="000B672D" w:rsidRPr="00BD77D8" w:rsidRDefault="000B672D" w:rsidP="007625C3">
      <w:pPr>
        <w:pStyle w:val="ListParagraph"/>
        <w:numPr>
          <w:ilvl w:val="0"/>
          <w:numId w:val="20"/>
        </w:numPr>
      </w:pPr>
      <w:r w:rsidRPr="00BD77D8">
        <w:rPr>
          <w:b/>
          <w:bCs/>
        </w:rPr>
        <w:t>Strengthen</w:t>
      </w:r>
      <w:r w:rsidR="00AA53D5" w:rsidRPr="00BD77D8">
        <w:rPr>
          <w:b/>
          <w:bCs/>
        </w:rPr>
        <w:t>ing</w:t>
      </w:r>
      <w:r w:rsidRPr="00BD77D8">
        <w:rPr>
          <w:b/>
          <w:bCs/>
        </w:rPr>
        <w:t xml:space="preserve"> strategic partnerships</w:t>
      </w:r>
      <w:r w:rsidRPr="00BD77D8">
        <w:t xml:space="preserve"> with Aboriginal and Torres Strait Islander communities, mayors and government agencies, to improve community resilience in responding to pandemic events</w:t>
      </w:r>
    </w:p>
    <w:p w14:paraId="7794DD0B" w14:textId="522BE28D" w:rsidR="000B672D" w:rsidRPr="00BD77D8" w:rsidRDefault="000B672D" w:rsidP="007625C3">
      <w:pPr>
        <w:pStyle w:val="ListParagraph"/>
        <w:numPr>
          <w:ilvl w:val="0"/>
          <w:numId w:val="20"/>
        </w:numPr>
      </w:pPr>
      <w:r w:rsidRPr="00BD77D8">
        <w:rPr>
          <w:b/>
          <w:bCs/>
        </w:rPr>
        <w:t>Strengthen</w:t>
      </w:r>
      <w:r w:rsidR="00AA53D5" w:rsidRPr="00BD77D8">
        <w:rPr>
          <w:b/>
          <w:bCs/>
        </w:rPr>
        <w:t>ing</w:t>
      </w:r>
      <w:r w:rsidRPr="00BD77D8">
        <w:rPr>
          <w:b/>
          <w:bCs/>
        </w:rPr>
        <w:t xml:space="preserve"> the department’s governance</w:t>
      </w:r>
      <w:r w:rsidRPr="00BD77D8">
        <w:t xml:space="preserve"> frameworks based on contemporary best practice.</w:t>
      </w:r>
    </w:p>
    <w:p w14:paraId="6F397F50" w14:textId="77777777" w:rsidR="00156755" w:rsidRPr="00BD77D8" w:rsidRDefault="00156755">
      <w:pPr>
        <w:spacing w:after="0" w:line="240" w:lineRule="auto"/>
        <w:rPr>
          <w:bCs/>
          <w:noProof/>
          <w:kern w:val="32"/>
          <w:sz w:val="40"/>
          <w:szCs w:val="40"/>
          <w:lang w:eastAsia="en-US"/>
        </w:rPr>
      </w:pPr>
      <w:bookmarkStart w:id="81" w:name="_Toc78287337"/>
      <w:bookmarkStart w:id="82" w:name="_Toc78355744"/>
      <w:r w:rsidRPr="00BD77D8">
        <w:br w:type="page"/>
      </w:r>
    </w:p>
    <w:p w14:paraId="727D1E48" w14:textId="77777777" w:rsidR="00FB63ED" w:rsidRPr="00BD77D8" w:rsidRDefault="00392640" w:rsidP="00B40409">
      <w:pPr>
        <w:pStyle w:val="Heading1"/>
        <w:rPr>
          <w:color w:val="auto"/>
        </w:rPr>
      </w:pPr>
      <w:bookmarkStart w:id="83" w:name="_Toc113544383"/>
      <w:bookmarkStart w:id="84" w:name="_Hlk115344356"/>
      <w:r w:rsidRPr="00BD77D8">
        <w:rPr>
          <w:color w:val="auto"/>
        </w:rPr>
        <w:lastRenderedPageBreak/>
        <w:t xml:space="preserve">02 </w:t>
      </w:r>
      <w:r w:rsidR="00886849" w:rsidRPr="00BD77D8">
        <w:rPr>
          <w:color w:val="auto"/>
        </w:rPr>
        <w:t>Seniors</w:t>
      </w:r>
      <w:bookmarkEnd w:id="74"/>
      <w:bookmarkEnd w:id="81"/>
      <w:bookmarkEnd w:id="82"/>
      <w:r w:rsidR="007D672E" w:rsidRPr="00BD77D8">
        <w:rPr>
          <w:color w:val="auto"/>
        </w:rPr>
        <w:t xml:space="preserve"> Services</w:t>
      </w:r>
      <w:bookmarkEnd w:id="83"/>
      <w:r w:rsidR="00576798" w:rsidRPr="00BD77D8">
        <w:rPr>
          <w:color w:val="auto"/>
        </w:rPr>
        <w:t xml:space="preserve"> </w:t>
      </w:r>
    </w:p>
    <w:p w14:paraId="13733011" w14:textId="78FF3D8F" w:rsidR="00380DDD" w:rsidRPr="00BD77D8" w:rsidRDefault="00905568" w:rsidP="00AB4DBD">
      <w:pPr>
        <w:pStyle w:val="Heading3"/>
        <w:spacing w:before="360"/>
        <w:jc w:val="center"/>
      </w:pPr>
      <w:r w:rsidRPr="00BD77D8">
        <w:t>SNAPSHOT OF ACHIEVEMENTS</w:t>
      </w:r>
    </w:p>
    <w:tbl>
      <w:tblPr>
        <w:tblStyle w:val="TableGrid"/>
        <w:tblW w:w="0" w:type="auto"/>
        <w:tblLook w:val="04A0" w:firstRow="1" w:lastRow="0" w:firstColumn="1" w:lastColumn="0" w:noHBand="0" w:noVBand="1"/>
      </w:tblPr>
      <w:tblGrid>
        <w:gridCol w:w="10460"/>
      </w:tblGrid>
      <w:tr w:rsidR="00BD77D8" w:rsidRPr="00BD77D8" w14:paraId="461EC7E3" w14:textId="77777777" w:rsidTr="00FA4E24">
        <w:tc>
          <w:tcPr>
            <w:tcW w:w="10460" w:type="dxa"/>
            <w:tcBorders>
              <w:top w:val="nil"/>
              <w:left w:val="nil"/>
              <w:bottom w:val="single" w:sz="4" w:space="0" w:color="auto"/>
              <w:right w:val="nil"/>
            </w:tcBorders>
          </w:tcPr>
          <w:p w14:paraId="6261B8A9" w14:textId="77777777" w:rsidR="00E23449" w:rsidRPr="00BD77D8" w:rsidRDefault="00E23449" w:rsidP="00FA4E24">
            <w:pPr>
              <w:spacing w:before="120" w:after="120" w:line="240" w:lineRule="auto"/>
              <w:jc w:val="center"/>
              <w:rPr>
                <w:rFonts w:ascii="Arial" w:hAnsi="Arial"/>
                <w:b/>
                <w:bCs/>
                <w:lang w:eastAsia="en-US"/>
              </w:rPr>
            </w:pPr>
            <w:r w:rsidRPr="00BD77D8">
              <w:rPr>
                <w:rFonts w:ascii="Arial" w:hAnsi="Arial"/>
                <w:b/>
                <w:bCs/>
                <w:lang w:eastAsia="en-US"/>
              </w:rPr>
              <w:t>89%</w:t>
            </w:r>
          </w:p>
          <w:p w14:paraId="183F0E92" w14:textId="6F1C14FE" w:rsidR="00E23449" w:rsidRPr="00BD77D8" w:rsidRDefault="00E23449" w:rsidP="00FA4E24">
            <w:pPr>
              <w:spacing w:before="120" w:after="120" w:line="240" w:lineRule="auto"/>
              <w:jc w:val="center"/>
              <w:rPr>
                <w:rFonts w:ascii="Arial" w:hAnsi="Arial"/>
                <w:lang w:eastAsia="en-US"/>
              </w:rPr>
            </w:pPr>
            <w:r w:rsidRPr="00BD77D8">
              <w:rPr>
                <w:rFonts w:ascii="Arial" w:hAnsi="Arial"/>
                <w:b/>
                <w:bCs/>
                <w:lang w:eastAsia="en-US"/>
              </w:rPr>
              <w:t>ELIGIBLE SENIORS</w:t>
            </w:r>
            <w:r w:rsidRPr="00BD77D8">
              <w:rPr>
                <w:rFonts w:ascii="Arial" w:hAnsi="Arial"/>
                <w:lang w:eastAsia="en-US"/>
              </w:rPr>
              <w:t xml:space="preserve"> WITH A SENIORS CARD</w:t>
            </w:r>
          </w:p>
        </w:tc>
      </w:tr>
      <w:tr w:rsidR="00BD77D8" w:rsidRPr="00BD77D8" w14:paraId="301A07A8" w14:textId="77777777" w:rsidTr="00FA4E24">
        <w:tc>
          <w:tcPr>
            <w:tcW w:w="10460" w:type="dxa"/>
            <w:tcBorders>
              <w:top w:val="single" w:sz="4" w:space="0" w:color="auto"/>
              <w:left w:val="nil"/>
              <w:bottom w:val="single" w:sz="4" w:space="0" w:color="auto"/>
              <w:right w:val="nil"/>
            </w:tcBorders>
          </w:tcPr>
          <w:p w14:paraId="105B204D" w14:textId="1A6BA18F" w:rsidR="00E23449" w:rsidRPr="00BD77D8" w:rsidRDefault="001E76B8" w:rsidP="00FA4E24">
            <w:pPr>
              <w:spacing w:before="120" w:after="120" w:line="240" w:lineRule="auto"/>
              <w:jc w:val="center"/>
              <w:rPr>
                <w:rFonts w:ascii="Arial" w:hAnsi="Arial"/>
                <w:b/>
                <w:bCs/>
                <w:lang w:eastAsia="en-US"/>
              </w:rPr>
            </w:pPr>
            <w:r w:rsidRPr="00BD77D8">
              <w:rPr>
                <w:rFonts w:ascii="Arial" w:hAnsi="Arial"/>
                <w:b/>
                <w:bCs/>
                <w:lang w:eastAsia="en-US"/>
              </w:rPr>
              <w:t>7,163</w:t>
            </w:r>
          </w:p>
          <w:p w14:paraId="25E728EE" w14:textId="43300C98" w:rsidR="00E23449" w:rsidRPr="00BD77D8" w:rsidRDefault="00E23449" w:rsidP="001E76B8">
            <w:pPr>
              <w:spacing w:before="120" w:after="120" w:line="240" w:lineRule="auto"/>
              <w:jc w:val="center"/>
              <w:rPr>
                <w:rFonts w:ascii="Arial" w:hAnsi="Arial"/>
                <w:lang w:eastAsia="en-US"/>
              </w:rPr>
            </w:pPr>
            <w:r w:rsidRPr="00BD77D8">
              <w:rPr>
                <w:rFonts w:ascii="Arial" w:hAnsi="Arial"/>
                <w:b/>
                <w:bCs/>
                <w:lang w:eastAsia="en-US"/>
              </w:rPr>
              <w:t>SENIORS ACCESSING</w:t>
            </w:r>
            <w:r w:rsidRPr="00BD77D8">
              <w:rPr>
                <w:rFonts w:ascii="Arial" w:hAnsi="Arial"/>
                <w:lang w:eastAsia="en-US"/>
              </w:rPr>
              <w:t xml:space="preserve"> THE SENIORS ENQUIRING LINE</w:t>
            </w:r>
          </w:p>
        </w:tc>
      </w:tr>
      <w:tr w:rsidR="00BD77D8" w:rsidRPr="00BD77D8" w14:paraId="4EC2691C" w14:textId="77777777" w:rsidTr="00FA4E24">
        <w:tc>
          <w:tcPr>
            <w:tcW w:w="10460" w:type="dxa"/>
            <w:tcBorders>
              <w:top w:val="single" w:sz="4" w:space="0" w:color="auto"/>
              <w:left w:val="nil"/>
              <w:bottom w:val="single" w:sz="4" w:space="0" w:color="auto"/>
              <w:right w:val="nil"/>
            </w:tcBorders>
          </w:tcPr>
          <w:p w14:paraId="7C9E1548" w14:textId="77777777" w:rsidR="00E23449" w:rsidRPr="00BD77D8" w:rsidRDefault="00E23449" w:rsidP="00FA4E24">
            <w:pPr>
              <w:spacing w:before="120" w:after="120" w:line="240" w:lineRule="auto"/>
              <w:jc w:val="center"/>
              <w:rPr>
                <w:rFonts w:ascii="Arial" w:hAnsi="Arial"/>
                <w:b/>
                <w:bCs/>
                <w:lang w:eastAsia="en-US"/>
              </w:rPr>
            </w:pPr>
            <w:r w:rsidRPr="00BD77D8">
              <w:rPr>
                <w:rFonts w:ascii="Arial" w:hAnsi="Arial"/>
                <w:b/>
                <w:bCs/>
                <w:lang w:eastAsia="en-US"/>
              </w:rPr>
              <w:t>3,841 CALLS</w:t>
            </w:r>
          </w:p>
          <w:p w14:paraId="2583E553" w14:textId="77777777" w:rsidR="00E23449" w:rsidRPr="00BD77D8" w:rsidRDefault="00E23449" w:rsidP="00FA4E24">
            <w:pPr>
              <w:spacing w:before="120" w:after="120" w:line="240" w:lineRule="auto"/>
              <w:jc w:val="center"/>
              <w:rPr>
                <w:rFonts w:ascii="Arial" w:hAnsi="Arial"/>
                <w:b/>
                <w:bCs/>
                <w:lang w:eastAsia="en-US"/>
              </w:rPr>
            </w:pPr>
            <w:r w:rsidRPr="00BD77D8">
              <w:rPr>
                <w:rFonts w:ascii="Arial" w:hAnsi="Arial"/>
                <w:b/>
                <w:bCs/>
                <w:lang w:eastAsia="en-US"/>
              </w:rPr>
              <w:t>INCLUDING 2,338 ABUSE NOTIFICATIONS</w:t>
            </w:r>
          </w:p>
          <w:p w14:paraId="71A47FA9" w14:textId="18F691C5" w:rsidR="00E23449" w:rsidRPr="00BD77D8" w:rsidRDefault="00E23449" w:rsidP="00FA4E24">
            <w:pPr>
              <w:spacing w:before="120" w:after="120" w:line="240" w:lineRule="auto"/>
              <w:jc w:val="center"/>
              <w:rPr>
                <w:rFonts w:ascii="Arial" w:hAnsi="Arial"/>
                <w:lang w:eastAsia="en-US"/>
              </w:rPr>
            </w:pPr>
            <w:r w:rsidRPr="00BD77D8">
              <w:rPr>
                <w:rFonts w:ascii="Arial" w:hAnsi="Arial"/>
                <w:lang w:eastAsia="en-US"/>
              </w:rPr>
              <w:t>MADE TO ELDER ABUSE PREVENTION UNIT HELPLINE</w:t>
            </w:r>
          </w:p>
        </w:tc>
      </w:tr>
      <w:tr w:rsidR="00BD77D8" w:rsidRPr="00BD77D8" w14:paraId="2DBA0B8E" w14:textId="77777777" w:rsidTr="00FA4E24">
        <w:tc>
          <w:tcPr>
            <w:tcW w:w="10460" w:type="dxa"/>
            <w:tcBorders>
              <w:top w:val="single" w:sz="4" w:space="0" w:color="auto"/>
              <w:left w:val="nil"/>
              <w:bottom w:val="single" w:sz="4" w:space="0" w:color="auto"/>
              <w:right w:val="nil"/>
            </w:tcBorders>
          </w:tcPr>
          <w:p w14:paraId="2EADA487" w14:textId="5C952E83" w:rsidR="00E23449" w:rsidRPr="00BD77D8" w:rsidRDefault="001E76B8" w:rsidP="00FA4E24">
            <w:pPr>
              <w:spacing w:before="120" w:after="120" w:line="240" w:lineRule="auto"/>
              <w:jc w:val="center"/>
              <w:rPr>
                <w:rFonts w:ascii="Arial" w:hAnsi="Arial"/>
                <w:b/>
                <w:bCs/>
                <w:lang w:eastAsia="en-US"/>
              </w:rPr>
            </w:pPr>
            <w:r w:rsidRPr="00BD77D8">
              <w:rPr>
                <w:rFonts w:ascii="Arial" w:hAnsi="Arial"/>
                <w:b/>
                <w:bCs/>
                <w:lang w:eastAsia="en-US"/>
              </w:rPr>
              <w:t>1,726</w:t>
            </w:r>
          </w:p>
          <w:p w14:paraId="1347349C" w14:textId="6B74A961" w:rsidR="00E23449" w:rsidRPr="00BD77D8" w:rsidRDefault="00E23449" w:rsidP="001E76B8">
            <w:pPr>
              <w:spacing w:before="120" w:after="120" w:line="240" w:lineRule="auto"/>
              <w:jc w:val="center"/>
              <w:rPr>
                <w:rFonts w:ascii="Arial" w:hAnsi="Arial"/>
                <w:lang w:eastAsia="en-US"/>
              </w:rPr>
            </w:pPr>
            <w:r w:rsidRPr="00BD77D8">
              <w:rPr>
                <w:rFonts w:ascii="Arial" w:hAnsi="Arial"/>
                <w:b/>
                <w:bCs/>
                <w:lang w:eastAsia="en-US"/>
              </w:rPr>
              <w:t>SENIORS ASSISTED</w:t>
            </w:r>
            <w:r w:rsidRPr="00BD77D8">
              <w:rPr>
                <w:rFonts w:ascii="Arial" w:hAnsi="Arial"/>
                <w:lang w:eastAsia="en-US"/>
              </w:rPr>
              <w:t xml:space="preserve"> BY SENIORS LEGAL AND SUPPORT SERVICES</w:t>
            </w:r>
          </w:p>
        </w:tc>
      </w:tr>
      <w:tr w:rsidR="00BD77D8" w:rsidRPr="00BD77D8" w14:paraId="47536118" w14:textId="77777777" w:rsidTr="00FA4E24">
        <w:tc>
          <w:tcPr>
            <w:tcW w:w="10460" w:type="dxa"/>
            <w:tcBorders>
              <w:top w:val="single" w:sz="4" w:space="0" w:color="auto"/>
              <w:left w:val="nil"/>
              <w:bottom w:val="single" w:sz="4" w:space="0" w:color="auto"/>
              <w:right w:val="nil"/>
            </w:tcBorders>
          </w:tcPr>
          <w:p w14:paraId="7B0B6B66" w14:textId="77777777" w:rsidR="00FA4E24" w:rsidRPr="00BD77D8" w:rsidRDefault="00FA4E24" w:rsidP="00FA4E24">
            <w:pPr>
              <w:spacing w:before="120" w:after="120" w:line="240" w:lineRule="auto"/>
              <w:jc w:val="center"/>
              <w:rPr>
                <w:rFonts w:ascii="Arial" w:hAnsi="Arial"/>
                <w:b/>
                <w:bCs/>
                <w:lang w:eastAsia="en-US"/>
              </w:rPr>
            </w:pPr>
            <w:r w:rsidRPr="00BD77D8">
              <w:rPr>
                <w:rFonts w:ascii="Arial" w:hAnsi="Arial"/>
                <w:b/>
                <w:bCs/>
                <w:lang w:eastAsia="en-US"/>
              </w:rPr>
              <w:t>1,045,044</w:t>
            </w:r>
          </w:p>
          <w:p w14:paraId="76AF1E94" w14:textId="77777777" w:rsidR="00FA4E24" w:rsidRPr="00BD77D8" w:rsidRDefault="00FA4E24" w:rsidP="00FA4E24">
            <w:pPr>
              <w:spacing w:before="120" w:after="120" w:line="240" w:lineRule="auto"/>
              <w:jc w:val="center"/>
              <w:rPr>
                <w:rFonts w:ascii="Arial" w:hAnsi="Arial"/>
                <w:b/>
                <w:bCs/>
                <w:lang w:eastAsia="en-US"/>
              </w:rPr>
            </w:pPr>
            <w:r w:rsidRPr="00BD77D8">
              <w:rPr>
                <w:rFonts w:ascii="Arial" w:hAnsi="Arial"/>
                <w:b/>
                <w:bCs/>
                <w:lang w:eastAsia="en-US"/>
              </w:rPr>
              <w:t>SENIORS AND CARERS CARDHOLDERS</w:t>
            </w:r>
          </w:p>
          <w:p w14:paraId="627F43A8" w14:textId="5865762D" w:rsidR="00FA4E24" w:rsidRPr="00BD77D8" w:rsidRDefault="00FA4E24" w:rsidP="00FA4E24">
            <w:pPr>
              <w:spacing w:before="120" w:after="120" w:line="240" w:lineRule="auto"/>
              <w:jc w:val="center"/>
              <w:rPr>
                <w:rFonts w:ascii="Arial" w:hAnsi="Arial"/>
                <w:lang w:eastAsia="en-US"/>
              </w:rPr>
            </w:pPr>
            <w:r w:rsidRPr="00BD77D8">
              <w:rPr>
                <w:rFonts w:ascii="Arial" w:hAnsi="Arial"/>
                <w:lang w:eastAsia="en-US"/>
              </w:rPr>
              <w:t xml:space="preserve">(SENIORS CARDS, SENIORS CARD </w:t>
            </w:r>
            <w:r w:rsidRPr="00BD77D8">
              <w:rPr>
                <w:rFonts w:ascii="Arial" w:hAnsi="Arial"/>
                <w:i/>
                <w:iCs/>
                <w:lang w:eastAsia="en-US"/>
              </w:rPr>
              <w:t>+GO</w:t>
            </w:r>
            <w:r w:rsidRPr="00BD77D8">
              <w:rPr>
                <w:rFonts w:ascii="Arial" w:hAnsi="Arial"/>
                <w:lang w:eastAsia="en-US"/>
              </w:rPr>
              <w:t>, SENIORS BUSINESS DISCOUNT CARD, CARER BUSINESS DISCOUNT CARD AND COMPANION CARD SCHEMES)</w:t>
            </w:r>
          </w:p>
        </w:tc>
      </w:tr>
    </w:tbl>
    <w:p w14:paraId="0CEEAE99" w14:textId="6A54E040" w:rsidR="00905568" w:rsidRPr="00BD77D8" w:rsidRDefault="00905568" w:rsidP="0020675F">
      <w:pPr>
        <w:pStyle w:val="Heading3"/>
        <w:spacing w:before="240"/>
      </w:pPr>
      <w:r w:rsidRPr="00BD77D8">
        <w:t xml:space="preserve">DELIVERED DEPARTMENTAL OBJECTIVES </w:t>
      </w:r>
    </w:p>
    <w:p w14:paraId="3BACDC01" w14:textId="77777777" w:rsidR="00905568" w:rsidRPr="00BD77D8" w:rsidRDefault="00905568" w:rsidP="00905568">
      <w:r w:rsidRPr="00BD77D8">
        <w:t>IMPROVED OUTCOMES FOR SENIORS BY:</w:t>
      </w:r>
    </w:p>
    <w:p w14:paraId="7180E395" w14:textId="058A9D2C" w:rsidR="00905568" w:rsidRPr="00BD77D8" w:rsidRDefault="00905568" w:rsidP="00905568">
      <w:pPr>
        <w:pStyle w:val="ListBullet"/>
        <w:rPr>
          <w:lang w:eastAsia="en-US"/>
        </w:rPr>
      </w:pPr>
      <w:r w:rsidRPr="00BD77D8">
        <w:rPr>
          <w:b/>
          <w:bCs/>
          <w:lang w:eastAsia="en-US"/>
        </w:rPr>
        <w:t xml:space="preserve">PROMOTING </w:t>
      </w:r>
      <w:r w:rsidRPr="00BD77D8">
        <w:rPr>
          <w:lang w:eastAsia="en-US"/>
        </w:rPr>
        <w:t>INCLUSION AND ACCESS TO PROGRAMS AND SERVICES</w:t>
      </w:r>
    </w:p>
    <w:p w14:paraId="78A7C76F" w14:textId="5EA7F65D" w:rsidR="00905568" w:rsidRPr="00BD77D8" w:rsidRDefault="00905568" w:rsidP="00905568">
      <w:pPr>
        <w:pStyle w:val="ListBullet"/>
        <w:rPr>
          <w:lang w:eastAsia="en-US"/>
        </w:rPr>
      </w:pPr>
      <w:r w:rsidRPr="00BD77D8">
        <w:rPr>
          <w:b/>
          <w:bCs/>
          <w:lang w:eastAsia="en-US"/>
        </w:rPr>
        <w:t>INCREASING</w:t>
      </w:r>
      <w:r w:rsidRPr="00BD77D8">
        <w:rPr>
          <w:lang w:eastAsia="en-US"/>
        </w:rPr>
        <w:t xml:space="preserve"> ENGAGEMENT THROUGH CO-DESIGN</w:t>
      </w:r>
    </w:p>
    <w:p w14:paraId="579AD459" w14:textId="708BCE2F" w:rsidR="00905568" w:rsidRPr="00BD77D8" w:rsidRDefault="00905568" w:rsidP="00905568">
      <w:pPr>
        <w:pStyle w:val="ListBullet"/>
        <w:rPr>
          <w:lang w:eastAsia="en-US"/>
        </w:rPr>
      </w:pPr>
      <w:r w:rsidRPr="00BD77D8">
        <w:rPr>
          <w:b/>
          <w:bCs/>
          <w:lang w:eastAsia="en-US"/>
        </w:rPr>
        <w:t>FOSTERING</w:t>
      </w:r>
      <w:r w:rsidR="007D672E" w:rsidRPr="00BD77D8">
        <w:rPr>
          <w:b/>
          <w:bCs/>
          <w:lang w:eastAsia="en-US"/>
        </w:rPr>
        <w:t xml:space="preserve"> </w:t>
      </w:r>
      <w:r w:rsidRPr="00BD77D8">
        <w:rPr>
          <w:lang w:eastAsia="en-US"/>
        </w:rPr>
        <w:t>SAFE AND CONNECTED COMMUNITIES</w:t>
      </w:r>
    </w:p>
    <w:p w14:paraId="795874D4" w14:textId="42474D96" w:rsidR="00E767FE" w:rsidRPr="00BD77D8" w:rsidRDefault="00905568" w:rsidP="0020675F">
      <w:pPr>
        <w:pStyle w:val="Heading2"/>
        <w:spacing w:before="240"/>
        <w:rPr>
          <w:color w:val="auto"/>
        </w:rPr>
      </w:pPr>
      <w:bookmarkStart w:id="85" w:name="_Toc113544384"/>
      <w:bookmarkStart w:id="86" w:name="_Toc78287339"/>
      <w:bookmarkStart w:id="87" w:name="_Toc78355746"/>
      <w:r w:rsidRPr="00BD77D8">
        <w:rPr>
          <w:color w:val="auto"/>
        </w:rPr>
        <w:t>Strategic Overview</w:t>
      </w:r>
      <w:bookmarkEnd w:id="85"/>
      <w:r w:rsidR="00013B3C" w:rsidRPr="00BD77D8">
        <w:rPr>
          <w:color w:val="auto"/>
        </w:rPr>
        <w:t xml:space="preserve"> </w:t>
      </w:r>
    </w:p>
    <w:p w14:paraId="6AE8F93C" w14:textId="77777777" w:rsidR="00F6238E" w:rsidRPr="00BD77D8" w:rsidRDefault="00F6238E" w:rsidP="00F6238E">
      <w:pPr>
        <w:widowControl w:val="0"/>
        <w:spacing w:before="240" w:after="240" w:line="240" w:lineRule="auto"/>
      </w:pPr>
      <w:r w:rsidRPr="00BD77D8">
        <w:t xml:space="preserve">The department supports seniors and carers to lead healthy, productive and socially connected lives, and ensure government policies and programs are age-friendly and inclusive of the needs of seniors and carers by: </w:t>
      </w:r>
    </w:p>
    <w:p w14:paraId="06AE72A1" w14:textId="77777777" w:rsidR="00F6238E" w:rsidRPr="00BD77D8" w:rsidRDefault="00F6238E" w:rsidP="00D30FE8">
      <w:pPr>
        <w:pStyle w:val="ListParagraph"/>
        <w:widowControl w:val="0"/>
        <w:numPr>
          <w:ilvl w:val="0"/>
          <w:numId w:val="63"/>
        </w:numPr>
        <w:spacing w:before="240" w:after="240" w:line="240" w:lineRule="auto"/>
      </w:pPr>
      <w:r w:rsidRPr="00BD77D8">
        <w:t>improving seniors and carers’ social and economic outcomes</w:t>
      </w:r>
    </w:p>
    <w:p w14:paraId="6D703977" w14:textId="77777777" w:rsidR="00F6238E" w:rsidRPr="00BD77D8" w:rsidRDefault="00F6238E" w:rsidP="00D30FE8">
      <w:pPr>
        <w:pStyle w:val="ListParagraph"/>
        <w:widowControl w:val="0"/>
        <w:numPr>
          <w:ilvl w:val="0"/>
          <w:numId w:val="63"/>
        </w:numPr>
        <w:spacing w:before="240" w:after="240" w:line="240" w:lineRule="auto"/>
      </w:pPr>
      <w:r w:rsidRPr="00BD77D8">
        <w:t>advocating for inclusive programs and services</w:t>
      </w:r>
    </w:p>
    <w:p w14:paraId="0559862A" w14:textId="77777777" w:rsidR="00F6238E" w:rsidRPr="00BD77D8" w:rsidRDefault="00F6238E" w:rsidP="00D30FE8">
      <w:pPr>
        <w:pStyle w:val="ListParagraph"/>
        <w:widowControl w:val="0"/>
        <w:numPr>
          <w:ilvl w:val="0"/>
          <w:numId w:val="63"/>
        </w:numPr>
        <w:spacing w:before="240" w:after="240" w:line="240" w:lineRule="auto"/>
        <w:rPr>
          <w:sz w:val="20"/>
          <w:szCs w:val="20"/>
        </w:rPr>
      </w:pPr>
      <w:r w:rsidRPr="00BD77D8">
        <w:t>recognising and promoting the contribution of seniors and carers to our communities.</w:t>
      </w:r>
      <w:r w:rsidRPr="00BD77D8">
        <w:rPr>
          <w:sz w:val="20"/>
          <w:szCs w:val="20"/>
        </w:rPr>
        <w:t xml:space="preserve"> </w:t>
      </w:r>
    </w:p>
    <w:p w14:paraId="2AB666F5" w14:textId="7B549178" w:rsidR="001004FE" w:rsidRPr="00BD77D8" w:rsidRDefault="001004FE" w:rsidP="0018616D">
      <w:pPr>
        <w:pStyle w:val="Heading3"/>
      </w:pPr>
      <w:r w:rsidRPr="00BD77D8">
        <w:t xml:space="preserve">Queensland: </w:t>
      </w:r>
      <w:r w:rsidR="007D501A" w:rsidRPr="00BD77D8">
        <w:t>A</w:t>
      </w:r>
      <w:r w:rsidRPr="00BD77D8">
        <w:t xml:space="preserve">n </w:t>
      </w:r>
      <w:r w:rsidR="007D501A" w:rsidRPr="00BD77D8">
        <w:t>A</w:t>
      </w:r>
      <w:r w:rsidRPr="00BD77D8">
        <w:t xml:space="preserve">ge-friendly </w:t>
      </w:r>
      <w:r w:rsidR="007D501A" w:rsidRPr="00BD77D8">
        <w:t>C</w:t>
      </w:r>
      <w:r w:rsidRPr="00BD77D8">
        <w:t xml:space="preserve">ommunity </w:t>
      </w:r>
      <w:bookmarkEnd w:id="86"/>
      <w:bookmarkEnd w:id="87"/>
    </w:p>
    <w:p w14:paraId="6075494E" w14:textId="77777777" w:rsidR="0041737F" w:rsidRPr="00BD77D8" w:rsidRDefault="0041737F" w:rsidP="0041737F">
      <w:pPr>
        <w:widowControl w:val="0"/>
        <w:spacing w:before="240" w:after="120" w:line="240" w:lineRule="auto"/>
      </w:pPr>
      <w:r w:rsidRPr="00BD77D8">
        <w:t>Queensland’s first Seniors Strategic Direction Statement: Queensland: An age-friendly community, was launched in April 2016. The 2016 statement and the subsequent action plans in 2019–2020 and 2020–2021 captured the government’s investment and initiatives that worked towards creating age-friendly communities. The department’s 2021 review of actions committed to under the 2016 strategy showed:</w:t>
      </w:r>
    </w:p>
    <w:p w14:paraId="5C74D445" w14:textId="61025A72" w:rsidR="00E47B42" w:rsidRPr="00BD77D8" w:rsidRDefault="00E47B42" w:rsidP="00F729B3">
      <w:pPr>
        <w:pStyle w:val="ListParagraph"/>
        <w:widowControl w:val="0"/>
        <w:numPr>
          <w:ilvl w:val="0"/>
          <w:numId w:val="63"/>
        </w:numPr>
        <w:spacing w:before="240" w:after="240" w:line="240" w:lineRule="auto"/>
      </w:pPr>
      <w:r w:rsidRPr="00BD77D8">
        <w:t>26 Queensland Government agencies committed to 114 actions</w:t>
      </w:r>
    </w:p>
    <w:p w14:paraId="090042EC" w14:textId="6122FBBD" w:rsidR="00E47B42" w:rsidRPr="00BD77D8" w:rsidRDefault="00E47B42" w:rsidP="00F729B3">
      <w:pPr>
        <w:pStyle w:val="ListParagraph"/>
        <w:widowControl w:val="0"/>
        <w:numPr>
          <w:ilvl w:val="0"/>
          <w:numId w:val="63"/>
        </w:numPr>
        <w:spacing w:before="240" w:after="240" w:line="240" w:lineRule="auto"/>
      </w:pPr>
      <w:r w:rsidRPr="00BD77D8">
        <w:t>111 actions were completed (97</w:t>
      </w:r>
      <w:r w:rsidR="0041737F" w:rsidRPr="00BD77D8">
        <w:t xml:space="preserve"> per cent</w:t>
      </w:r>
      <w:r w:rsidRPr="00BD77D8">
        <w:t xml:space="preserve"> completion rate)</w:t>
      </w:r>
    </w:p>
    <w:p w14:paraId="6A1401C4" w14:textId="651C25D5" w:rsidR="00E47B42" w:rsidRPr="00BD77D8" w:rsidRDefault="00E47B42" w:rsidP="00F729B3">
      <w:pPr>
        <w:pStyle w:val="ListParagraph"/>
        <w:widowControl w:val="0"/>
        <w:numPr>
          <w:ilvl w:val="0"/>
          <w:numId w:val="63"/>
        </w:numPr>
        <w:spacing w:before="240" w:after="240" w:line="240" w:lineRule="auto"/>
      </w:pPr>
      <w:r w:rsidRPr="00BD77D8">
        <w:t>79 actions were adopted as business-as-usual</w:t>
      </w:r>
    </w:p>
    <w:p w14:paraId="1C94B896" w14:textId="65B90302" w:rsidR="00E47B42" w:rsidRPr="00BD77D8" w:rsidRDefault="00E47B42" w:rsidP="00F729B3">
      <w:pPr>
        <w:pStyle w:val="ListParagraph"/>
        <w:widowControl w:val="0"/>
        <w:numPr>
          <w:ilvl w:val="0"/>
          <w:numId w:val="63"/>
        </w:numPr>
        <w:spacing w:before="240" w:after="240" w:line="240" w:lineRule="auto"/>
      </w:pPr>
      <w:r w:rsidRPr="00BD77D8">
        <w:t>72 actions were expanded beyond their initial scope and continued.</w:t>
      </w:r>
    </w:p>
    <w:p w14:paraId="62990B33" w14:textId="77777777" w:rsidR="00DE5AC8" w:rsidRPr="00BD77D8" w:rsidRDefault="00DE5AC8" w:rsidP="00E85243">
      <w:pPr>
        <w:spacing w:before="480"/>
      </w:pPr>
      <w:r w:rsidRPr="00BD77D8">
        <w:lastRenderedPageBreak/>
        <w:t xml:space="preserve">A key achievement was Queensland’s confirmation as an Affiliate Member of the World Health Organisation’s Global Network of Age-friendly Cities and Communities. The Global Network connects cities, communities and organisations worldwide with the common vision of making communities great places to grow old in, based on a platform for action in eight domains: (1) Outdoor spaces and buildings; (2) Transport; (3) Housing; (4) Social participation; (5) Respect and social inclusion; (6) Civic participation and employment; (7) Communication and information; (8) Community support and health services. Affiliate Membership puts Queensland in an enviable position to lead and learn about strategies that work to meet the needs of an age-friendly community. </w:t>
      </w:r>
    </w:p>
    <w:p w14:paraId="37462A1B" w14:textId="426EEA8F" w:rsidR="00E47B42" w:rsidRPr="00BD77D8" w:rsidRDefault="00E47B42" w:rsidP="00F55809">
      <w:r w:rsidRPr="00BD77D8">
        <w:t>In 2022, an estimated 16.9</w:t>
      </w:r>
      <w:r w:rsidR="008E0CA5" w:rsidRPr="00BD77D8">
        <w:t xml:space="preserve"> per cent</w:t>
      </w:r>
      <w:r w:rsidRPr="00BD77D8">
        <w:t xml:space="preserve"> of the Queensland population (880,000 people), were 65 years or older. ABS population projections estimate that by 2050, more than 1 in 5 Queenslanders will be 65 years or older (22.1</w:t>
      </w:r>
      <w:r w:rsidR="008E0CA5" w:rsidRPr="00BD77D8">
        <w:t xml:space="preserve"> per cent</w:t>
      </w:r>
      <w:r w:rsidRPr="00BD77D8">
        <w:t xml:space="preserve"> or 1.8 million people). </w:t>
      </w:r>
    </w:p>
    <w:p w14:paraId="70D5367D" w14:textId="701F7240" w:rsidR="00E47B42" w:rsidRPr="00BD77D8" w:rsidRDefault="00E47B42" w:rsidP="00F55809">
      <w:r w:rsidRPr="00BD77D8">
        <w:t xml:space="preserve">We recognise the impacts of an ageing population and affirm the </w:t>
      </w:r>
      <w:r w:rsidR="0041737F" w:rsidRPr="00BD77D8">
        <w:t>g</w:t>
      </w:r>
      <w:r w:rsidRPr="00BD77D8">
        <w:t xml:space="preserve">overnment’s ongoing commitment to creating age-friendly cities and communities. We are reviewing the Age-friendly Strategy and working in partnership to co-design a new Queensland Seniors Strategy, which will ensure older people in Queensland can lead healthy productive lives, where they are: </w:t>
      </w:r>
      <w:r w:rsidR="00F55809" w:rsidRPr="00BD77D8">
        <w:t>c</w:t>
      </w:r>
      <w:r w:rsidRPr="00BD77D8">
        <w:t xml:space="preserve">onnected to their communities and the important people in their lives; </w:t>
      </w:r>
      <w:r w:rsidR="003F3D74" w:rsidRPr="00BD77D8">
        <w:t>c</w:t>
      </w:r>
      <w:r w:rsidRPr="00BD77D8">
        <w:t xml:space="preserve">ared for and supported, if care and support are needed; </w:t>
      </w:r>
      <w:r w:rsidR="00F55809" w:rsidRPr="00BD77D8">
        <w:t>and c</w:t>
      </w:r>
      <w:r w:rsidRPr="00BD77D8">
        <w:t>ontributing to their local communities in the ways of their choosing.</w:t>
      </w:r>
    </w:p>
    <w:p w14:paraId="78D93093" w14:textId="581D49EB" w:rsidR="008208FB" w:rsidRPr="00BD77D8" w:rsidRDefault="008208FB" w:rsidP="00D2663B">
      <w:pPr>
        <w:spacing w:after="120" w:line="240" w:lineRule="auto"/>
        <w:rPr>
          <w:b/>
          <w:bCs/>
        </w:rPr>
      </w:pPr>
      <w:r w:rsidRPr="00BD77D8">
        <w:rPr>
          <w:b/>
          <w:bCs/>
        </w:rPr>
        <w:t>Key achievements</w:t>
      </w:r>
    </w:p>
    <w:p w14:paraId="3F296F4A" w14:textId="27BD614D" w:rsidR="008208FB" w:rsidRPr="00BD77D8" w:rsidRDefault="008208FB" w:rsidP="00D2663B">
      <w:pPr>
        <w:autoSpaceDE w:val="0"/>
        <w:autoSpaceDN w:val="0"/>
        <w:adjustRightInd w:val="0"/>
        <w:spacing w:after="120" w:line="240" w:lineRule="auto"/>
        <w:rPr>
          <w:lang w:eastAsia="en-US"/>
        </w:rPr>
      </w:pPr>
      <w:r w:rsidRPr="00BD77D8">
        <w:rPr>
          <w:lang w:eastAsia="en-US"/>
        </w:rPr>
        <w:t>During the reporting period</w:t>
      </w:r>
      <w:r w:rsidR="004A3332" w:rsidRPr="00BD77D8">
        <w:rPr>
          <w:lang w:eastAsia="en-US"/>
        </w:rPr>
        <w:t>, the department</w:t>
      </w:r>
      <w:r w:rsidR="0014522D" w:rsidRPr="00BD77D8">
        <w:rPr>
          <w:lang w:eastAsia="en-US"/>
        </w:rPr>
        <w:t>:</w:t>
      </w:r>
    </w:p>
    <w:p w14:paraId="79892427" w14:textId="77777777" w:rsidR="00ED4D87" w:rsidRPr="00BD77D8" w:rsidRDefault="00FD2B87" w:rsidP="00ED4D87">
      <w:pPr>
        <w:pStyle w:val="ListParagraph"/>
        <w:numPr>
          <w:ilvl w:val="0"/>
          <w:numId w:val="9"/>
        </w:numPr>
        <w:rPr>
          <w:lang w:eastAsia="en-US"/>
        </w:rPr>
      </w:pPr>
      <w:r w:rsidRPr="00BD77D8">
        <w:rPr>
          <w:lang w:eastAsia="en-US"/>
        </w:rPr>
        <w:t xml:space="preserve">reviewed </w:t>
      </w:r>
      <w:r w:rsidR="00ED4D87" w:rsidRPr="00BD77D8">
        <w:rPr>
          <w:lang w:eastAsia="en-US"/>
        </w:rPr>
        <w:t xml:space="preserve">the actions committed to under the </w:t>
      </w:r>
      <w:r w:rsidR="00ED4D87" w:rsidRPr="00BD77D8">
        <w:rPr>
          <w:i/>
          <w:iCs/>
          <w:lang w:eastAsia="en-US"/>
        </w:rPr>
        <w:t xml:space="preserve">Queensland: Age-friendly Community </w:t>
      </w:r>
      <w:r w:rsidR="00ED4D87" w:rsidRPr="00BD77D8">
        <w:rPr>
          <w:lang w:eastAsia="en-US"/>
        </w:rPr>
        <w:t>action plans for 2019</w:t>
      </w:r>
      <w:r w:rsidR="00ED4D87" w:rsidRPr="00BD77D8">
        <w:rPr>
          <w:lang w:eastAsia="en-US"/>
        </w:rPr>
        <w:noBreakHyphen/>
        <w:t>2020 and 2020-2021 and noted that 26 Queensland Government agencies committed to 114 actions, of which 111 were completed (97 per cent completion rate)</w:t>
      </w:r>
    </w:p>
    <w:p w14:paraId="75DE7A51" w14:textId="50F3D402" w:rsidR="00FD2B87" w:rsidRPr="00BD77D8" w:rsidRDefault="00FD62D8" w:rsidP="00FD2B87">
      <w:pPr>
        <w:pStyle w:val="ListParagraph"/>
        <w:numPr>
          <w:ilvl w:val="0"/>
          <w:numId w:val="9"/>
        </w:numPr>
        <w:rPr>
          <w:lang w:eastAsia="en-US"/>
        </w:rPr>
      </w:pPr>
      <w:r w:rsidRPr="00BD77D8">
        <w:rPr>
          <w:lang w:eastAsia="en-US"/>
        </w:rPr>
        <w:t xml:space="preserve">commenced the process to </w:t>
      </w:r>
      <w:r w:rsidR="00FD2B87" w:rsidRPr="00BD77D8">
        <w:rPr>
          <w:lang w:eastAsia="en-US"/>
        </w:rPr>
        <w:t>inform a refreshed, contemporary Queensland Seniors Strategy. To date</w:t>
      </w:r>
      <w:r w:rsidR="00F55809" w:rsidRPr="00BD77D8">
        <w:rPr>
          <w:lang w:eastAsia="en-US"/>
        </w:rPr>
        <w:t>,</w:t>
      </w:r>
      <w:r w:rsidR="00FD2B87" w:rsidRPr="00BD77D8">
        <w:rPr>
          <w:lang w:eastAsia="en-US"/>
        </w:rPr>
        <w:t xml:space="preserve"> more than 650 seniors in Queensland have completed surveys show</w:t>
      </w:r>
      <w:r w:rsidR="0041737F" w:rsidRPr="00BD77D8">
        <w:rPr>
          <w:lang w:eastAsia="en-US"/>
        </w:rPr>
        <w:t>ing</w:t>
      </w:r>
      <w:r w:rsidR="00FD2B87" w:rsidRPr="00BD77D8">
        <w:rPr>
          <w:lang w:eastAsia="en-US"/>
        </w:rPr>
        <w:t xml:space="preserve"> what matters to them, and what they think about their communities</w:t>
      </w:r>
    </w:p>
    <w:p w14:paraId="0B69AD79" w14:textId="386B25EF" w:rsidR="00FD2B87" w:rsidRPr="00BD77D8" w:rsidRDefault="00FD2B87" w:rsidP="00FD2B87">
      <w:pPr>
        <w:pStyle w:val="ListParagraph"/>
        <w:numPr>
          <w:ilvl w:val="0"/>
          <w:numId w:val="9"/>
        </w:numPr>
        <w:rPr>
          <w:lang w:eastAsia="en-US"/>
        </w:rPr>
      </w:pPr>
      <w:r w:rsidRPr="00BD77D8">
        <w:rPr>
          <w:lang w:eastAsia="en-US"/>
        </w:rPr>
        <w:t>supported the first Seniors Month in October 2021.</w:t>
      </w:r>
    </w:p>
    <w:p w14:paraId="41026150" w14:textId="413CEC20" w:rsidR="0014522D" w:rsidRPr="00BD77D8" w:rsidRDefault="0014522D" w:rsidP="0018616D">
      <w:pPr>
        <w:pStyle w:val="Heading3"/>
      </w:pPr>
      <w:bookmarkStart w:id="88" w:name="_Toc78287340"/>
      <w:bookmarkStart w:id="89" w:name="_Toc78355747"/>
      <w:r w:rsidRPr="00BD77D8">
        <w:t xml:space="preserve">Seniors </w:t>
      </w:r>
      <w:bookmarkEnd w:id="88"/>
      <w:bookmarkEnd w:id="89"/>
      <w:r w:rsidR="001B4A1B" w:rsidRPr="00BD77D8">
        <w:t xml:space="preserve">events </w:t>
      </w:r>
    </w:p>
    <w:p w14:paraId="4D95A1C6" w14:textId="4B4D122E" w:rsidR="00AE617E" w:rsidRPr="00BD77D8" w:rsidRDefault="00AE617E" w:rsidP="00AE617E">
      <w:pPr>
        <w:autoSpaceDE w:val="0"/>
        <w:autoSpaceDN w:val="0"/>
        <w:adjustRightInd w:val="0"/>
        <w:spacing w:after="0" w:line="240" w:lineRule="auto"/>
        <w:rPr>
          <w:b/>
          <w:bCs/>
          <w:sz w:val="20"/>
          <w:szCs w:val="20"/>
        </w:rPr>
      </w:pPr>
      <w:r w:rsidRPr="00BD77D8">
        <w:rPr>
          <w:b/>
          <w:bCs/>
          <w:sz w:val="20"/>
          <w:szCs w:val="20"/>
        </w:rPr>
        <w:t>Queensland Seniors Month</w:t>
      </w:r>
    </w:p>
    <w:p w14:paraId="1EE376B9" w14:textId="6E2A80A4" w:rsidR="0041737F" w:rsidRPr="00BD77D8" w:rsidRDefault="0041737F" w:rsidP="0041737F">
      <w:r w:rsidRPr="00BD77D8">
        <w:t>Queensland Seniors Month provides opportunities to align with the Queensland Government’s vision of building age-friendly communities by:</w:t>
      </w:r>
    </w:p>
    <w:p w14:paraId="174E4BFF" w14:textId="77777777" w:rsidR="0041737F" w:rsidRPr="00BD77D8" w:rsidRDefault="0041737F" w:rsidP="0041737F">
      <w:pPr>
        <w:pStyle w:val="ListParagraph"/>
        <w:numPr>
          <w:ilvl w:val="0"/>
          <w:numId w:val="9"/>
        </w:numPr>
        <w:rPr>
          <w:lang w:eastAsia="en-US"/>
        </w:rPr>
      </w:pPr>
      <w:r w:rsidRPr="00BD77D8">
        <w:rPr>
          <w:lang w:eastAsia="en-US"/>
        </w:rPr>
        <w:t>promoting positive community attitudes towards older people and ageing</w:t>
      </w:r>
    </w:p>
    <w:p w14:paraId="31C63AFC" w14:textId="77777777" w:rsidR="0041737F" w:rsidRPr="00BD77D8" w:rsidRDefault="0041737F" w:rsidP="0041737F">
      <w:pPr>
        <w:pStyle w:val="ListParagraph"/>
        <w:numPr>
          <w:ilvl w:val="0"/>
          <w:numId w:val="9"/>
        </w:numPr>
        <w:rPr>
          <w:lang w:eastAsia="en-US"/>
        </w:rPr>
      </w:pPr>
      <w:r w:rsidRPr="00BD77D8">
        <w:rPr>
          <w:lang w:eastAsia="en-US"/>
        </w:rPr>
        <w:t>facilitating community participation</w:t>
      </w:r>
    </w:p>
    <w:p w14:paraId="00C4625F" w14:textId="271A5111" w:rsidR="0041737F" w:rsidRPr="00BD77D8" w:rsidRDefault="0041737F" w:rsidP="0041737F">
      <w:pPr>
        <w:pStyle w:val="ListParagraph"/>
        <w:numPr>
          <w:ilvl w:val="0"/>
          <w:numId w:val="9"/>
        </w:numPr>
        <w:rPr>
          <w:lang w:eastAsia="en-US"/>
        </w:rPr>
      </w:pPr>
      <w:r w:rsidRPr="00BD77D8">
        <w:rPr>
          <w:lang w:eastAsia="en-US"/>
        </w:rPr>
        <w:t>enhancing community connections.</w:t>
      </w:r>
    </w:p>
    <w:p w14:paraId="0CAB68F5" w14:textId="5A74A346" w:rsidR="001B4A1B" w:rsidRPr="00BD77D8" w:rsidRDefault="001B4A1B" w:rsidP="001B4A1B">
      <w:r w:rsidRPr="00BD77D8">
        <w:t xml:space="preserve">In 2021, Queensland Seniors Month was held </w:t>
      </w:r>
      <w:r w:rsidR="00337128" w:rsidRPr="00BD77D8">
        <w:t xml:space="preserve">in </w:t>
      </w:r>
      <w:r w:rsidRPr="00BD77D8">
        <w:t>October</w:t>
      </w:r>
      <w:r w:rsidR="00F55809" w:rsidRPr="00BD77D8">
        <w:t xml:space="preserve">. The month, celebrating the theme ‘social connections’ </w:t>
      </w:r>
      <w:r w:rsidR="00FD2B87" w:rsidRPr="00BD77D8">
        <w:t>commenc</w:t>
      </w:r>
      <w:r w:rsidR="00F55809" w:rsidRPr="00BD77D8">
        <w:t>ed</w:t>
      </w:r>
      <w:r w:rsidR="00FD2B87" w:rsidRPr="00BD77D8">
        <w:t xml:space="preserve"> with the United Nations International Day of the Older Person (1 October) and conclud</w:t>
      </w:r>
      <w:r w:rsidR="00F55809" w:rsidRPr="00BD77D8">
        <w:t>ed</w:t>
      </w:r>
      <w:r w:rsidR="00FD2B87" w:rsidRPr="00BD77D8">
        <w:t xml:space="preserve"> on Grandparents Day (31 October)</w:t>
      </w:r>
      <w:r w:rsidR="003F3D74" w:rsidRPr="00BD77D8">
        <w:t>,</w:t>
      </w:r>
      <w:r w:rsidR="00FD2B87" w:rsidRPr="00BD77D8">
        <w:t xml:space="preserve"> a day that recognises the significant contribution grandparents make to their families and communities. </w:t>
      </w:r>
    </w:p>
    <w:p w14:paraId="66AF7D98" w14:textId="32717F0C" w:rsidR="00ED4D87" w:rsidRPr="00BD77D8" w:rsidRDefault="00ED4D87" w:rsidP="00ED4D87">
      <w:r w:rsidRPr="00BD77D8">
        <w:t>Seniors Month aligns with the Queensland Government’s age-friendly approach to support older Queenslanders to be engaged and active in their communities. The department provided $2</w:t>
      </w:r>
      <w:r w:rsidR="00151E5F" w:rsidRPr="00BD77D8">
        <w:t>21</w:t>
      </w:r>
      <w:r w:rsidRPr="00BD77D8">
        <w:t xml:space="preserve">,000 to the Council on the Ageing Queensland to support Seniors Month 2021. This included $100,000 for grants of up to $1,000 to support 114 Seniors Month events across Queensland, celebrating seniors and promoting social connection.  </w:t>
      </w:r>
    </w:p>
    <w:p w14:paraId="088CFBEA" w14:textId="7B5514F6" w:rsidR="00FD2B87" w:rsidRPr="00BD77D8" w:rsidRDefault="00FD2B87" w:rsidP="00D2663B">
      <w:pPr>
        <w:spacing w:after="120" w:line="240" w:lineRule="auto"/>
      </w:pPr>
      <w:r w:rsidRPr="00BD77D8">
        <w:t xml:space="preserve">The department also directly funded two significant events during Seniors Month: </w:t>
      </w:r>
    </w:p>
    <w:p w14:paraId="23A8E972" w14:textId="501DC19B" w:rsidR="00FD2B87" w:rsidRPr="00BD77D8" w:rsidRDefault="00FD2B87" w:rsidP="003F3D74">
      <w:pPr>
        <w:pStyle w:val="ListParagraph"/>
        <w:numPr>
          <w:ilvl w:val="0"/>
          <w:numId w:val="9"/>
        </w:numPr>
      </w:pPr>
      <w:r w:rsidRPr="00BD77D8">
        <w:t xml:space="preserve">The B.OLD short film festival was launched on 1 October 2021 to mark the beginning of Seniors Month and the International Day of the Older Person. The festival aimed to challenge negative stereotypes that create barriers to seniors’ participation, by presenting older Queenslanders in diverse and active roles in workplaces, communities, and family life. </w:t>
      </w:r>
    </w:p>
    <w:p w14:paraId="3E1C46D2" w14:textId="58F7DCF4" w:rsidR="00FD2B87" w:rsidRPr="00BD77D8" w:rsidRDefault="00FD2B87" w:rsidP="003F3D74">
      <w:pPr>
        <w:pStyle w:val="ListParagraph"/>
        <w:numPr>
          <w:ilvl w:val="0"/>
          <w:numId w:val="9"/>
        </w:numPr>
      </w:pPr>
      <w:r w:rsidRPr="00BD77D8">
        <w:lastRenderedPageBreak/>
        <w:t>Ballet for Seniors workshops were held virtually to ensure safety and wellbeing during the COVID-19 pandemic. These workshops were filmed with Queensland Ballet and provided online so people</w:t>
      </w:r>
      <w:r w:rsidR="00132795" w:rsidRPr="00BD77D8">
        <w:t xml:space="preserve"> from across the state</w:t>
      </w:r>
      <w:r w:rsidRPr="00BD77D8">
        <w:t xml:space="preserve"> could participate.</w:t>
      </w:r>
    </w:p>
    <w:p w14:paraId="6AD81425" w14:textId="5AB1C7D1" w:rsidR="00854DE8" w:rsidRPr="00BD77D8" w:rsidRDefault="00854DE8" w:rsidP="00854DE8">
      <w:pPr>
        <w:autoSpaceDE w:val="0"/>
        <w:autoSpaceDN w:val="0"/>
        <w:adjustRightInd w:val="0"/>
        <w:spacing w:after="0" w:line="240" w:lineRule="auto"/>
        <w:rPr>
          <w:b/>
          <w:bCs/>
          <w:sz w:val="20"/>
          <w:szCs w:val="20"/>
        </w:rPr>
      </w:pPr>
      <w:r w:rsidRPr="00BD77D8">
        <w:rPr>
          <w:b/>
          <w:bCs/>
          <w:sz w:val="20"/>
          <w:szCs w:val="20"/>
        </w:rPr>
        <w:t xml:space="preserve">Seniors </w:t>
      </w:r>
      <w:r w:rsidR="00BB381E" w:rsidRPr="00BD77D8">
        <w:rPr>
          <w:b/>
          <w:bCs/>
          <w:sz w:val="20"/>
          <w:szCs w:val="20"/>
        </w:rPr>
        <w:t>E</w:t>
      </w:r>
      <w:r w:rsidRPr="00BD77D8">
        <w:rPr>
          <w:b/>
          <w:bCs/>
          <w:sz w:val="20"/>
          <w:szCs w:val="20"/>
        </w:rPr>
        <w:t>xpos</w:t>
      </w:r>
    </w:p>
    <w:p w14:paraId="7E89B6D7" w14:textId="75C790A9" w:rsidR="00854DE8" w:rsidRPr="00BD77D8" w:rsidRDefault="00854DE8" w:rsidP="00854DE8">
      <w:pPr>
        <w:autoSpaceDE w:val="0"/>
        <w:autoSpaceDN w:val="0"/>
        <w:adjustRightInd w:val="0"/>
        <w:spacing w:after="230" w:line="283" w:lineRule="atLeast"/>
        <w:ind w:right="80"/>
      </w:pPr>
      <w:r w:rsidRPr="00BD77D8">
        <w:t>A vital part of ageing well is to be active and connected. We are committed to ensuring older Queenslanders are connected to people, services, information and activities in their communities. To better understand how we can support seniors to maintain these connections, we commenced a series of Seniors Expos in communities across Queensland during</w:t>
      </w:r>
      <w:r w:rsidR="00FA4E24" w:rsidRPr="00BD77D8">
        <w:t xml:space="preserve"> </w:t>
      </w:r>
      <w:r w:rsidR="00FD2B87" w:rsidRPr="00BD77D8">
        <w:t>2020 and these have continued through 2021 and into 2022.</w:t>
      </w:r>
    </w:p>
    <w:p w14:paraId="560651B6" w14:textId="43F023D2" w:rsidR="00FD2B87" w:rsidRPr="00BD77D8" w:rsidRDefault="00FD2B87" w:rsidP="00854DE8">
      <w:pPr>
        <w:autoSpaceDE w:val="0"/>
        <w:autoSpaceDN w:val="0"/>
        <w:adjustRightInd w:val="0"/>
        <w:spacing w:after="230" w:line="283" w:lineRule="atLeast"/>
        <w:ind w:right="80"/>
      </w:pPr>
      <w:r w:rsidRPr="00BD77D8">
        <w:t>In 2021</w:t>
      </w:r>
      <w:r w:rsidR="00132795" w:rsidRPr="00BD77D8">
        <w:t>–</w:t>
      </w:r>
      <w:r w:rsidR="00BC7F2F" w:rsidRPr="00BD77D8">
        <w:t>20</w:t>
      </w:r>
      <w:r w:rsidRPr="00BD77D8">
        <w:t>22,</w:t>
      </w:r>
      <w:r w:rsidR="00FD62D8" w:rsidRPr="00BD77D8">
        <w:t xml:space="preserve"> despite program disruption due to COVID-19 restrictions,</w:t>
      </w:r>
      <w:r w:rsidRPr="00BD77D8">
        <w:t xml:space="preserve"> six Seniors Expos were held across the state</w:t>
      </w:r>
      <w:r w:rsidR="00FA4E24" w:rsidRPr="00BD77D8">
        <w:t>,</w:t>
      </w:r>
      <w:r w:rsidRPr="00BD77D8">
        <w:t xml:space="preserve"> and they were attended by more than 600 seniors. This included an </w:t>
      </w:r>
      <w:r w:rsidR="00132795" w:rsidRPr="00BD77D8">
        <w:t>e</w:t>
      </w:r>
      <w:r w:rsidRPr="00BD77D8">
        <w:t>xpo for LGBTIAQ+ seniors held in Cairns.</w:t>
      </w:r>
    </w:p>
    <w:p w14:paraId="0438496D" w14:textId="4FBBDC54" w:rsidR="00854DE8" w:rsidRPr="00BD77D8" w:rsidRDefault="00854DE8" w:rsidP="00854DE8">
      <w:pPr>
        <w:autoSpaceDE w:val="0"/>
        <w:autoSpaceDN w:val="0"/>
        <w:adjustRightInd w:val="0"/>
        <w:spacing w:after="230" w:line="266" w:lineRule="atLeast"/>
        <w:ind w:right="222"/>
      </w:pPr>
      <w:r w:rsidRPr="00BD77D8">
        <w:t xml:space="preserve">These expos have provided seniors with the opportunity to meet face-to-face with government representatives and local organisations </w:t>
      </w:r>
      <w:r w:rsidR="00132795" w:rsidRPr="00BD77D8">
        <w:t>and discuss</w:t>
      </w:r>
      <w:r w:rsidRPr="00BD77D8">
        <w:t xml:space="preserve"> services and supports available in their community. </w:t>
      </w:r>
    </w:p>
    <w:p w14:paraId="7E657CB0" w14:textId="70FB0AB9" w:rsidR="00854DE8" w:rsidRPr="00BD77D8" w:rsidRDefault="00854DE8" w:rsidP="00D2663B">
      <w:pPr>
        <w:autoSpaceDE w:val="0"/>
        <w:autoSpaceDN w:val="0"/>
        <w:adjustRightInd w:val="0"/>
        <w:spacing w:after="120" w:line="240" w:lineRule="auto"/>
      </w:pPr>
      <w:r w:rsidRPr="00BD77D8">
        <w:t xml:space="preserve">The expos brought together experts from Queensland Health, the Queensland Police Service, and our funded legal and financial service representatives to ensure seniors could get advice on: </w:t>
      </w:r>
    </w:p>
    <w:p w14:paraId="166D5E95" w14:textId="77777777" w:rsidR="00854DE8" w:rsidRPr="00BD77D8" w:rsidRDefault="00854DE8" w:rsidP="00A463E0">
      <w:pPr>
        <w:pStyle w:val="ListParagraph"/>
        <w:numPr>
          <w:ilvl w:val="0"/>
          <w:numId w:val="41"/>
        </w:numPr>
        <w:autoSpaceDE w:val="0"/>
        <w:autoSpaceDN w:val="0"/>
        <w:adjustRightInd w:val="0"/>
        <w:spacing w:after="0" w:line="240" w:lineRule="auto"/>
      </w:pPr>
      <w:r w:rsidRPr="00BD77D8">
        <w:t xml:space="preserve">the COVID-19 vaccination rollout </w:t>
      </w:r>
    </w:p>
    <w:p w14:paraId="7CD22A4E" w14:textId="69D75291" w:rsidR="00854DE8" w:rsidRPr="00BD77D8" w:rsidRDefault="00854DE8" w:rsidP="00A463E0">
      <w:pPr>
        <w:pStyle w:val="ListParagraph"/>
        <w:numPr>
          <w:ilvl w:val="0"/>
          <w:numId w:val="41"/>
        </w:numPr>
        <w:autoSpaceDE w:val="0"/>
        <w:autoSpaceDN w:val="0"/>
        <w:adjustRightInd w:val="0"/>
        <w:spacing w:after="0" w:line="240" w:lineRule="auto"/>
      </w:pPr>
      <w:r w:rsidRPr="00BD77D8">
        <w:t xml:space="preserve">tips to protect themselves at home, in the community and financially </w:t>
      </w:r>
    </w:p>
    <w:p w14:paraId="25ADEAAC" w14:textId="77777777" w:rsidR="00854DE8" w:rsidRPr="00BD77D8" w:rsidRDefault="00854DE8" w:rsidP="00A463E0">
      <w:pPr>
        <w:pStyle w:val="ListParagraph"/>
        <w:numPr>
          <w:ilvl w:val="0"/>
          <w:numId w:val="41"/>
        </w:numPr>
        <w:autoSpaceDE w:val="0"/>
        <w:autoSpaceDN w:val="0"/>
        <w:adjustRightInd w:val="0"/>
        <w:spacing w:after="0" w:line="240" w:lineRule="auto"/>
      </w:pPr>
      <w:r w:rsidRPr="00BD77D8">
        <w:t xml:space="preserve">local services supports and organisations they might want to join. </w:t>
      </w:r>
    </w:p>
    <w:p w14:paraId="43922E72" w14:textId="5E65B0D9" w:rsidR="00854DE8" w:rsidRPr="00BD77D8" w:rsidRDefault="00854DE8" w:rsidP="0020675F">
      <w:pPr>
        <w:autoSpaceDE w:val="0"/>
        <w:autoSpaceDN w:val="0"/>
        <w:adjustRightInd w:val="0"/>
        <w:spacing w:before="240" w:after="230" w:line="271" w:lineRule="atLeast"/>
      </w:pPr>
      <w:r w:rsidRPr="00BD77D8">
        <w:t xml:space="preserve">Experts on Seniors Cards and related concessions and rebates were also on hand to ensure seniors </w:t>
      </w:r>
      <w:r w:rsidR="00132795" w:rsidRPr="00BD77D8">
        <w:t xml:space="preserve">were </w:t>
      </w:r>
      <w:r w:rsidRPr="00BD77D8">
        <w:t xml:space="preserve">accessing all the services and discounts for which they </w:t>
      </w:r>
      <w:r w:rsidR="00132795" w:rsidRPr="00BD77D8">
        <w:t>were</w:t>
      </w:r>
      <w:r w:rsidRPr="00BD77D8">
        <w:t xml:space="preserve"> eligible. </w:t>
      </w:r>
    </w:p>
    <w:p w14:paraId="69E2CB42" w14:textId="54C64E2D" w:rsidR="00854DE8" w:rsidRPr="00BD77D8" w:rsidRDefault="00854DE8" w:rsidP="00854DE8">
      <w:r w:rsidRPr="00BD77D8">
        <w:t>Our expo events also provided an opportunity to talk to a diverse range of older people, about what we can do to make Queensland a more accessible and age-friendly place for everyone. This consultation is informing our work and enabling older people to have a voice in how Queensland communities can best meet the needs of everyone, including seniors living in rural and regional communities.</w:t>
      </w:r>
    </w:p>
    <w:p w14:paraId="18E7CE00" w14:textId="77777777" w:rsidR="00132795" w:rsidRPr="00BD77D8" w:rsidRDefault="00132795" w:rsidP="00132795">
      <w:r w:rsidRPr="00BD77D8">
        <w:t>Seniors Expos were complemented by Seniors Saver Pop-up events in four locations across Queensland. These provided the opportunity for seniors to meet with a Queensland Government representative to discuss eligibility for cards, rebates and concessions to help address cost-of-living pressures.</w:t>
      </w:r>
    </w:p>
    <w:p w14:paraId="3CDEF746" w14:textId="36DB93FA" w:rsidR="00FD2B87" w:rsidRPr="00BD77D8" w:rsidRDefault="00FD2B87" w:rsidP="00D2663B">
      <w:pPr>
        <w:spacing w:after="120" w:line="240" w:lineRule="auto"/>
        <w:rPr>
          <w:b/>
          <w:bCs/>
        </w:rPr>
      </w:pPr>
      <w:r w:rsidRPr="00BD77D8">
        <w:rPr>
          <w:b/>
          <w:bCs/>
        </w:rPr>
        <w:t>Key achievements</w:t>
      </w:r>
    </w:p>
    <w:p w14:paraId="50C11F9B" w14:textId="77777777" w:rsidR="00FD2B87" w:rsidRPr="00BD77D8" w:rsidRDefault="00FD2B87" w:rsidP="00D2663B">
      <w:pPr>
        <w:pStyle w:val="ListBullet"/>
        <w:numPr>
          <w:ilvl w:val="0"/>
          <w:numId w:val="0"/>
        </w:numPr>
        <w:spacing w:line="240" w:lineRule="auto"/>
        <w:ind w:left="357" w:hanging="357"/>
      </w:pPr>
      <w:r w:rsidRPr="00BD77D8">
        <w:t>During the reporting period:</w:t>
      </w:r>
    </w:p>
    <w:p w14:paraId="1BE65BB9" w14:textId="77777777" w:rsidR="00FD2B87" w:rsidRPr="00BD77D8" w:rsidRDefault="00FD2B87" w:rsidP="00D2663B">
      <w:pPr>
        <w:pStyle w:val="ListBullet"/>
        <w:numPr>
          <w:ilvl w:val="0"/>
          <w:numId w:val="21"/>
        </w:numPr>
        <w:spacing w:before="120"/>
        <w:ind w:left="714" w:hanging="357"/>
      </w:pPr>
      <w:r w:rsidRPr="00BD77D8">
        <w:t>$100,000 funded 114 community events held during Seniors Month 2021</w:t>
      </w:r>
    </w:p>
    <w:p w14:paraId="6F597696" w14:textId="409858FF" w:rsidR="00FD2B87" w:rsidRPr="00BD77D8" w:rsidRDefault="00FD2B87" w:rsidP="007625C3">
      <w:pPr>
        <w:pStyle w:val="ListBullet"/>
        <w:numPr>
          <w:ilvl w:val="0"/>
          <w:numId w:val="21"/>
        </w:numPr>
      </w:pPr>
      <w:r w:rsidRPr="00BD77D8">
        <w:t xml:space="preserve">57 people attended screenings of the films at B.OLD Event Cinemas across the state. It is likely </w:t>
      </w:r>
      <w:r w:rsidR="00EE7669" w:rsidRPr="00BD77D8">
        <w:t xml:space="preserve">that </w:t>
      </w:r>
      <w:r w:rsidRPr="00BD77D8">
        <w:t xml:space="preserve">attendance was impacted by COVID-19 outbreaks and associated restrictions in the lead up to Seniors Month </w:t>
      </w:r>
    </w:p>
    <w:p w14:paraId="5627430A" w14:textId="77777777" w:rsidR="00FD2B87" w:rsidRPr="00BD77D8" w:rsidRDefault="00FD2B87" w:rsidP="007625C3">
      <w:pPr>
        <w:pStyle w:val="ListBullet"/>
        <w:numPr>
          <w:ilvl w:val="0"/>
          <w:numId w:val="21"/>
        </w:numPr>
      </w:pPr>
      <w:r w:rsidRPr="00BD77D8">
        <w:t>72 individuals registered on behalf of organisations to host a screening of the B.OLD short films in the lead up to their release, with many more organisations hosting screenings without registering once the films were available to download</w:t>
      </w:r>
    </w:p>
    <w:p w14:paraId="75F2A6AA" w14:textId="77777777" w:rsidR="00ED4D87" w:rsidRPr="00BD77D8" w:rsidRDefault="00FD2B87" w:rsidP="00ED4D87">
      <w:pPr>
        <w:pStyle w:val="ListBullet"/>
        <w:numPr>
          <w:ilvl w:val="0"/>
          <w:numId w:val="21"/>
        </w:numPr>
      </w:pPr>
      <w:r w:rsidRPr="00BD77D8">
        <w:t xml:space="preserve">the online Ballet for Seniors workshop was shared on 1 October 2021 after public health restrictions forced the cancellation of in-person workshops planned for Sunday 3 October 2021. Social media posts promoting the online ballet workshops reached more than 51,000 Queenslanders, </w:t>
      </w:r>
      <w:r w:rsidR="00ED4D87" w:rsidRPr="00BD77D8">
        <w:t>with more than 1,500 link clicks and 71,000 appearances in Facebook feeds</w:t>
      </w:r>
    </w:p>
    <w:p w14:paraId="308ACFF9" w14:textId="7E2D7560" w:rsidR="00FD2B87" w:rsidRPr="00BD77D8" w:rsidRDefault="00703D43" w:rsidP="007625C3">
      <w:pPr>
        <w:pStyle w:val="ListBullet"/>
        <w:numPr>
          <w:ilvl w:val="0"/>
          <w:numId w:val="21"/>
        </w:numPr>
      </w:pPr>
      <w:r w:rsidRPr="00BD77D8">
        <w:t>six</w:t>
      </w:r>
      <w:r w:rsidR="00FD2B87" w:rsidRPr="00BD77D8">
        <w:t xml:space="preserve"> Seniors Expos were held, and more than 600 </w:t>
      </w:r>
      <w:r w:rsidR="00132795" w:rsidRPr="00BD77D8">
        <w:t>s</w:t>
      </w:r>
      <w:r w:rsidR="00FD2B87" w:rsidRPr="00BD77D8">
        <w:t xml:space="preserve">eniors attended these events. Four </w:t>
      </w:r>
      <w:r w:rsidRPr="00BD77D8">
        <w:t>s</w:t>
      </w:r>
      <w:r w:rsidR="00FD2B87" w:rsidRPr="00BD77D8">
        <w:t>eniors savers pop-up events were held.</w:t>
      </w:r>
    </w:p>
    <w:p w14:paraId="5FF696D4" w14:textId="30FCEB92" w:rsidR="00E772CD" w:rsidRPr="00BD77D8" w:rsidRDefault="00E772CD" w:rsidP="00DC6A45">
      <w:pPr>
        <w:pStyle w:val="Heading3"/>
        <w:spacing w:before="960"/>
      </w:pPr>
      <w:bookmarkStart w:id="90" w:name="_Toc78287341"/>
      <w:bookmarkStart w:id="91" w:name="_Toc78355748"/>
      <w:r w:rsidRPr="00BD77D8">
        <w:lastRenderedPageBreak/>
        <w:t xml:space="preserve">Elder </w:t>
      </w:r>
      <w:r w:rsidR="00FD6C3C" w:rsidRPr="00BD77D8">
        <w:t>a</w:t>
      </w:r>
      <w:r w:rsidRPr="00BD77D8">
        <w:t xml:space="preserve">buse </w:t>
      </w:r>
      <w:r w:rsidR="00FD6C3C" w:rsidRPr="00BD77D8">
        <w:t>a</w:t>
      </w:r>
      <w:r w:rsidRPr="00BD77D8">
        <w:t xml:space="preserve">wareness, </w:t>
      </w:r>
      <w:r w:rsidR="00FD6C3C" w:rsidRPr="00BD77D8">
        <w:t>p</w:t>
      </w:r>
      <w:r w:rsidRPr="00BD77D8">
        <w:t xml:space="preserve">revention and </w:t>
      </w:r>
      <w:r w:rsidR="00FD6C3C" w:rsidRPr="00BD77D8">
        <w:t>r</w:t>
      </w:r>
      <w:r w:rsidRPr="00BD77D8">
        <w:t xml:space="preserve">esponse </w:t>
      </w:r>
      <w:r w:rsidR="00FD6C3C" w:rsidRPr="00BD77D8">
        <w:t>s</w:t>
      </w:r>
      <w:r w:rsidRPr="00BD77D8">
        <w:t>ervices</w:t>
      </w:r>
      <w:bookmarkEnd w:id="90"/>
      <w:bookmarkEnd w:id="91"/>
    </w:p>
    <w:p w14:paraId="6E35B56B" w14:textId="7DF1D402" w:rsidR="00E772CD" w:rsidRPr="00BD77D8" w:rsidRDefault="00E772CD" w:rsidP="00D2663B">
      <w:pPr>
        <w:spacing w:after="120" w:line="240" w:lineRule="auto"/>
        <w:rPr>
          <w:lang w:eastAsia="en-US"/>
        </w:rPr>
      </w:pPr>
      <w:r w:rsidRPr="00BD77D8">
        <w:rPr>
          <w:lang w:eastAsia="en-US"/>
        </w:rPr>
        <w:t>The Queensland Government invested $</w:t>
      </w:r>
      <w:r w:rsidR="00F35998" w:rsidRPr="00BD77D8">
        <w:rPr>
          <w:lang w:eastAsia="en-US"/>
        </w:rPr>
        <w:t>4.9</w:t>
      </w:r>
      <w:r w:rsidR="00431A0E" w:rsidRPr="00BD77D8">
        <w:rPr>
          <w:lang w:eastAsia="en-US"/>
        </w:rPr>
        <w:t xml:space="preserve"> million</w:t>
      </w:r>
      <w:r w:rsidRPr="00BD77D8">
        <w:rPr>
          <w:lang w:eastAsia="en-US"/>
        </w:rPr>
        <w:t xml:space="preserve"> in </w:t>
      </w:r>
      <w:r w:rsidR="001C5646" w:rsidRPr="00BD77D8">
        <w:rPr>
          <w:lang w:eastAsia="en-US"/>
        </w:rPr>
        <w:t>2021</w:t>
      </w:r>
      <w:r w:rsidR="00132795" w:rsidRPr="00BD77D8">
        <w:rPr>
          <w:lang w:eastAsia="en-US"/>
        </w:rPr>
        <w:t>–</w:t>
      </w:r>
      <w:r w:rsidR="001C5646" w:rsidRPr="00BD77D8">
        <w:rPr>
          <w:lang w:eastAsia="en-US"/>
        </w:rPr>
        <w:t>2022</w:t>
      </w:r>
      <w:r w:rsidRPr="00BD77D8">
        <w:rPr>
          <w:lang w:eastAsia="en-US"/>
        </w:rPr>
        <w:t xml:space="preserve"> for services to prevent and respond to elder abuse. These included:</w:t>
      </w:r>
    </w:p>
    <w:p w14:paraId="1D7DC8F4" w14:textId="3A662F2E" w:rsidR="00E772CD" w:rsidRPr="00BD77D8" w:rsidRDefault="00E772CD" w:rsidP="007625C3">
      <w:pPr>
        <w:pStyle w:val="ListBullet"/>
        <w:numPr>
          <w:ilvl w:val="0"/>
          <w:numId w:val="21"/>
        </w:numPr>
      </w:pPr>
      <w:r w:rsidRPr="00BD77D8">
        <w:t>Seniors Legal and Support Services</w:t>
      </w:r>
      <w:r w:rsidR="00997741" w:rsidRPr="00BD77D8">
        <w:t>,</w:t>
      </w:r>
      <w:r w:rsidRPr="00BD77D8">
        <w:t xml:space="preserve"> and Seniors Financial Protection Services, which provide free legal and social support for older Queenslanders experiencing elder abuse, mistreatment, neglect or financial exploitation, in 11 locations across Queensland</w:t>
      </w:r>
    </w:p>
    <w:p w14:paraId="7D92EE83" w14:textId="5542BC46" w:rsidR="00E772CD" w:rsidRPr="00BD77D8" w:rsidRDefault="00E772CD" w:rsidP="007625C3">
      <w:pPr>
        <w:pStyle w:val="ListBullet"/>
        <w:numPr>
          <w:ilvl w:val="0"/>
          <w:numId w:val="21"/>
        </w:numPr>
      </w:pPr>
      <w:r w:rsidRPr="00BD77D8">
        <w:t xml:space="preserve">the </w:t>
      </w:r>
      <w:proofErr w:type="spellStart"/>
      <w:r w:rsidRPr="00BD77D8">
        <w:t>statewide</w:t>
      </w:r>
      <w:proofErr w:type="spellEnd"/>
      <w:r w:rsidRPr="00BD77D8">
        <w:t xml:space="preserve"> Elder Abuse Prevention Unit and Helpline, which promotes the rights of older people to live free from abuse and provides free advice and assistance to anyone who experiences, witnesses </w:t>
      </w:r>
      <w:bookmarkStart w:id="92" w:name="_Hlk78279157"/>
      <w:r w:rsidRPr="00BD77D8">
        <w:t>or suspects the abuse of an older person</w:t>
      </w:r>
    </w:p>
    <w:bookmarkEnd w:id="92"/>
    <w:p w14:paraId="08D50870" w14:textId="1624417A" w:rsidR="00E772CD" w:rsidRPr="00BD77D8" w:rsidRDefault="00E772CD" w:rsidP="007625C3">
      <w:pPr>
        <w:pStyle w:val="ListBullet"/>
        <w:numPr>
          <w:ilvl w:val="0"/>
          <w:numId w:val="21"/>
        </w:numPr>
      </w:pPr>
      <w:r w:rsidRPr="00BD77D8">
        <w:t xml:space="preserve">providing access to information </w:t>
      </w:r>
      <w:r w:rsidR="00F35998" w:rsidRPr="00BD77D8">
        <w:t xml:space="preserve">on scams and fraud awareness </w:t>
      </w:r>
      <w:r w:rsidRPr="00BD77D8">
        <w:t>through the Seniors Enquiry Line, including a consumer protection and scams advice service</w:t>
      </w:r>
    </w:p>
    <w:p w14:paraId="6FB15314" w14:textId="53DAF71D" w:rsidR="00E772CD" w:rsidRPr="00BD77D8" w:rsidRDefault="00E772CD" w:rsidP="007625C3">
      <w:pPr>
        <w:pStyle w:val="ListBullet"/>
        <w:numPr>
          <w:ilvl w:val="0"/>
          <w:numId w:val="21"/>
        </w:numPr>
      </w:pPr>
      <w:r w:rsidRPr="00BD77D8">
        <w:t>promoting inclusion and recognition for seniors in the community through awareness</w:t>
      </w:r>
      <w:r w:rsidR="00BC7F2F" w:rsidRPr="00BD77D8">
        <w:t xml:space="preserve"> </w:t>
      </w:r>
      <w:r w:rsidRPr="00BD77D8">
        <w:t>raising activities</w:t>
      </w:r>
      <w:r w:rsidR="00F35998" w:rsidRPr="00BD77D8">
        <w:t>.</w:t>
      </w:r>
    </w:p>
    <w:p w14:paraId="55AEE4EE" w14:textId="65886528" w:rsidR="00E772CD" w:rsidRPr="00BD77D8" w:rsidRDefault="00F35998" w:rsidP="00C37D3D">
      <w:r w:rsidRPr="00BD77D8">
        <w:t>In June</w:t>
      </w:r>
      <w:r w:rsidR="008936E7" w:rsidRPr="00BD77D8">
        <w:t xml:space="preserve"> 2022</w:t>
      </w:r>
      <w:r w:rsidR="00997741" w:rsidRPr="00BD77D8">
        <w:t>, t</w:t>
      </w:r>
      <w:r w:rsidR="00E772CD" w:rsidRPr="00BD77D8">
        <w:t>he department</w:t>
      </w:r>
      <w:r w:rsidR="00997741" w:rsidRPr="00BD77D8">
        <w:t xml:space="preserve"> launched the </w:t>
      </w:r>
      <w:r w:rsidR="00E772CD" w:rsidRPr="00BD77D8">
        <w:t xml:space="preserve">annual </w:t>
      </w:r>
      <w:r w:rsidR="00132795" w:rsidRPr="00BD77D8">
        <w:t>e</w:t>
      </w:r>
      <w:r w:rsidR="00E772CD" w:rsidRPr="00BD77D8">
        <w:t xml:space="preserve">lder </w:t>
      </w:r>
      <w:r w:rsidR="00132795" w:rsidRPr="00BD77D8">
        <w:t>a</w:t>
      </w:r>
      <w:r w:rsidR="00E772CD" w:rsidRPr="00BD77D8">
        <w:t xml:space="preserve">buse </w:t>
      </w:r>
      <w:r w:rsidR="00132795" w:rsidRPr="00BD77D8">
        <w:t>a</w:t>
      </w:r>
      <w:r w:rsidR="00E772CD" w:rsidRPr="00BD77D8">
        <w:t>wareness campaign</w:t>
      </w:r>
      <w:r w:rsidR="00997741" w:rsidRPr="00BD77D8">
        <w:t>,</w:t>
      </w:r>
      <w:r w:rsidR="00E772CD" w:rsidRPr="00BD77D8">
        <w:t xml:space="preserve"> to coincide with International World Elder Abuse Awareness Day. The campaign theme was </w:t>
      </w:r>
      <w:r w:rsidRPr="00BD77D8">
        <w:t xml:space="preserve">‘Together </w:t>
      </w:r>
      <w:r w:rsidR="00132795" w:rsidRPr="00BD77D8">
        <w:t>w</w:t>
      </w:r>
      <w:r w:rsidRPr="00BD77D8">
        <w:t xml:space="preserve">e </w:t>
      </w:r>
      <w:r w:rsidR="00132795" w:rsidRPr="00BD77D8">
        <w:t>c</w:t>
      </w:r>
      <w:r w:rsidRPr="00BD77D8">
        <w:t xml:space="preserve">an </w:t>
      </w:r>
      <w:r w:rsidR="00132795" w:rsidRPr="00BD77D8">
        <w:t>s</w:t>
      </w:r>
      <w:r w:rsidRPr="00BD77D8">
        <w:t xml:space="preserve">top </w:t>
      </w:r>
      <w:r w:rsidR="00132795" w:rsidRPr="00BD77D8">
        <w:t>e</w:t>
      </w:r>
      <w:r w:rsidRPr="00BD77D8">
        <w:t xml:space="preserve">lder </w:t>
      </w:r>
      <w:r w:rsidR="00132795" w:rsidRPr="00BD77D8">
        <w:t>a</w:t>
      </w:r>
      <w:r w:rsidRPr="00BD77D8">
        <w:t>buse’</w:t>
      </w:r>
      <w:r w:rsidR="00132795" w:rsidRPr="00BD77D8">
        <w:t xml:space="preserve"> and its</w:t>
      </w:r>
      <w:r w:rsidR="00997741" w:rsidRPr="00BD77D8">
        <w:t xml:space="preserve"> focus was to raise </w:t>
      </w:r>
      <w:r w:rsidR="00E772CD" w:rsidRPr="00BD77D8">
        <w:t xml:space="preserve">awareness of elder abuse and the need for individual and community action to prevent </w:t>
      </w:r>
      <w:r w:rsidR="00997741" w:rsidRPr="00BD77D8">
        <w:t>elder abuse</w:t>
      </w:r>
      <w:r w:rsidR="00E772CD" w:rsidRPr="00BD77D8">
        <w:t xml:space="preserve">. </w:t>
      </w:r>
    </w:p>
    <w:p w14:paraId="6E887242" w14:textId="223CE921" w:rsidR="00F35998" w:rsidRPr="00BD77D8" w:rsidRDefault="00F35998" w:rsidP="00C37D3D">
      <w:bookmarkStart w:id="93" w:name="_Hlk111456911"/>
      <w:r w:rsidRPr="00BD77D8">
        <w:t>The department also provided sponsorship of $</w:t>
      </w:r>
      <w:r w:rsidR="00151E5F" w:rsidRPr="00BD77D8">
        <w:t>2,75</w:t>
      </w:r>
      <w:r w:rsidR="00016525" w:rsidRPr="00BD77D8">
        <w:t>0</w:t>
      </w:r>
      <w:r w:rsidRPr="00BD77D8">
        <w:t xml:space="preserve"> to community partner</w:t>
      </w:r>
      <w:r w:rsidR="00016525" w:rsidRPr="00BD77D8">
        <w:t xml:space="preserve"> </w:t>
      </w:r>
      <w:r w:rsidRPr="00BD77D8">
        <w:t xml:space="preserve">Caxton Legal Centre to support a community awareness raising event </w:t>
      </w:r>
      <w:r w:rsidR="00BC7F2F" w:rsidRPr="00BD77D8">
        <w:t>‘</w:t>
      </w:r>
      <w:r w:rsidRPr="00BD77D8">
        <w:t>It's all about Respect</w:t>
      </w:r>
      <w:r w:rsidR="00BC7F2F" w:rsidRPr="00BD77D8">
        <w:t>’</w:t>
      </w:r>
      <w:r w:rsidRPr="00BD77D8">
        <w:t xml:space="preserve"> that was held in the Queens Street Mall on World Elder Abuse Awareness Day </w:t>
      </w:r>
      <w:r w:rsidR="00FA4E24" w:rsidRPr="00BD77D8">
        <w:t xml:space="preserve">on </w:t>
      </w:r>
      <w:r w:rsidRPr="00BD77D8">
        <w:t>15 June 202</w:t>
      </w:r>
      <w:r w:rsidR="00E07306" w:rsidRPr="00BD77D8">
        <w:t>2</w:t>
      </w:r>
      <w:r w:rsidR="00FA4E24" w:rsidRPr="00BD77D8">
        <w:t>.</w:t>
      </w:r>
    </w:p>
    <w:bookmarkEnd w:id="93"/>
    <w:p w14:paraId="2F010A1A" w14:textId="1407D238" w:rsidR="00E772CD" w:rsidRPr="00BD77D8" w:rsidRDefault="00E772CD" w:rsidP="00C37D3D">
      <w:r w:rsidRPr="00BD77D8">
        <w:t xml:space="preserve">The department also works with the Commonwealth Government and other states and territories in implementing </w:t>
      </w:r>
      <w:r w:rsidR="00D9324E" w:rsidRPr="00BD77D8">
        <w:t xml:space="preserve">the </w:t>
      </w:r>
      <w:r w:rsidRPr="00BD77D8">
        <w:t xml:space="preserve">National Plan to </w:t>
      </w:r>
      <w:r w:rsidR="00D9324E" w:rsidRPr="00BD77D8">
        <w:t>R</w:t>
      </w:r>
      <w:r w:rsidRPr="00BD77D8">
        <w:t>espond to the Abuse of Older Australians.</w:t>
      </w:r>
    </w:p>
    <w:p w14:paraId="0E35C525" w14:textId="3B09C259" w:rsidR="00E772CD" w:rsidRPr="00BD77D8" w:rsidRDefault="00E772CD" w:rsidP="00D2663B">
      <w:pPr>
        <w:spacing w:after="120" w:line="240" w:lineRule="auto"/>
        <w:rPr>
          <w:b/>
          <w:bCs/>
        </w:rPr>
      </w:pPr>
      <w:r w:rsidRPr="00BD77D8">
        <w:rPr>
          <w:b/>
          <w:bCs/>
        </w:rPr>
        <w:t>Key achievements</w:t>
      </w:r>
      <w:r w:rsidR="00DA0E54" w:rsidRPr="00BD77D8">
        <w:rPr>
          <w:b/>
          <w:bCs/>
        </w:rPr>
        <w:t xml:space="preserve"> </w:t>
      </w:r>
    </w:p>
    <w:p w14:paraId="3FD8CD38" w14:textId="547B6768" w:rsidR="00E772CD" w:rsidRPr="00BD77D8" w:rsidRDefault="00E772CD" w:rsidP="00D2663B">
      <w:pPr>
        <w:autoSpaceDE w:val="0"/>
        <w:autoSpaceDN w:val="0"/>
        <w:adjustRightInd w:val="0"/>
        <w:spacing w:after="120" w:line="240" w:lineRule="auto"/>
        <w:contextualSpacing/>
        <w:rPr>
          <w:lang w:eastAsia="en-US"/>
        </w:rPr>
      </w:pPr>
      <w:r w:rsidRPr="00BD77D8">
        <w:rPr>
          <w:lang w:eastAsia="en-US"/>
        </w:rPr>
        <w:t>During the reporting period:</w:t>
      </w:r>
    </w:p>
    <w:p w14:paraId="09DC4412" w14:textId="58A8A7F2" w:rsidR="00F91A39" w:rsidRPr="00BD77D8" w:rsidRDefault="00B44F20" w:rsidP="00A463E0">
      <w:pPr>
        <w:pStyle w:val="ListBullet"/>
        <w:numPr>
          <w:ilvl w:val="0"/>
          <w:numId w:val="42"/>
        </w:numPr>
      </w:pPr>
      <w:r w:rsidRPr="00BD77D8">
        <w:t xml:space="preserve">more than </w:t>
      </w:r>
      <w:r w:rsidR="00F35998" w:rsidRPr="00BD77D8">
        <w:t>6,258</w:t>
      </w:r>
      <w:r w:rsidR="00E772CD" w:rsidRPr="00BD77D8">
        <w:t xml:space="preserve"> seniors were assisted by Seniors Legal and Support Services</w:t>
      </w:r>
      <w:r w:rsidR="00F35998" w:rsidRPr="00BD77D8">
        <w:t xml:space="preserve"> (as at 31 March 2022)</w:t>
      </w:r>
    </w:p>
    <w:p w14:paraId="3DFE6752" w14:textId="02EDB8C9" w:rsidR="00E772CD" w:rsidRPr="00BD77D8" w:rsidRDefault="00E772CD" w:rsidP="00A463E0">
      <w:pPr>
        <w:pStyle w:val="ListBullet"/>
        <w:numPr>
          <w:ilvl w:val="0"/>
          <w:numId w:val="42"/>
        </w:numPr>
      </w:pPr>
      <w:r w:rsidRPr="00BD77D8">
        <w:t xml:space="preserve">the Elder Abuse Prevention Unit received </w:t>
      </w:r>
      <w:r w:rsidR="00F35998" w:rsidRPr="00BD77D8">
        <w:t>3,841</w:t>
      </w:r>
      <w:r w:rsidRPr="00BD77D8">
        <w:t xml:space="preserve"> phone calls to the Helpline, including </w:t>
      </w:r>
      <w:r w:rsidR="00F35998" w:rsidRPr="00BD77D8">
        <w:t>2,338</w:t>
      </w:r>
      <w:r w:rsidRPr="00BD77D8">
        <w:t xml:space="preserve"> abuse notifications </w:t>
      </w:r>
    </w:p>
    <w:p w14:paraId="1AC87994" w14:textId="01753C3D" w:rsidR="00FF31F2" w:rsidRPr="00BD77D8" w:rsidRDefault="00E772CD" w:rsidP="00A463E0">
      <w:pPr>
        <w:pStyle w:val="ListBullet"/>
        <w:numPr>
          <w:ilvl w:val="0"/>
          <w:numId w:val="42"/>
        </w:numPr>
      </w:pPr>
      <w:r w:rsidRPr="00BD77D8">
        <w:t>the most reported concerns were psychological abuse, which w</w:t>
      </w:r>
      <w:r w:rsidR="00871AD2" w:rsidRPr="00BD77D8">
        <w:t>ere</w:t>
      </w:r>
      <w:r w:rsidRPr="00BD77D8">
        <w:t xml:space="preserve"> raised in </w:t>
      </w:r>
      <w:r w:rsidR="00F35998" w:rsidRPr="00BD77D8">
        <w:t>62.1</w:t>
      </w:r>
      <w:r w:rsidRPr="00BD77D8">
        <w:t xml:space="preserve"> per cent of </w:t>
      </w:r>
      <w:r w:rsidR="00FA2CA9" w:rsidRPr="00BD77D8">
        <w:t>notifications</w:t>
      </w:r>
      <w:r w:rsidRPr="00BD77D8">
        <w:t>, and financial abuse, which w</w:t>
      </w:r>
      <w:r w:rsidR="00871AD2" w:rsidRPr="00BD77D8">
        <w:t>ere</w:t>
      </w:r>
      <w:r w:rsidRPr="00BD77D8">
        <w:t xml:space="preserve"> raised in </w:t>
      </w:r>
      <w:r w:rsidR="00F35998" w:rsidRPr="00BD77D8">
        <w:t>76.6</w:t>
      </w:r>
      <w:r w:rsidRPr="00BD77D8">
        <w:t xml:space="preserve"> per cent of calls</w:t>
      </w:r>
      <w:r w:rsidR="00BC7F2F" w:rsidRPr="00BD77D8">
        <w:t>.</w:t>
      </w:r>
      <w:r w:rsidRPr="00BD77D8">
        <w:t xml:space="preserve"> </w:t>
      </w:r>
    </w:p>
    <w:p w14:paraId="04E401DF" w14:textId="54ABE480" w:rsidR="00E772CD" w:rsidRPr="00BD77D8" w:rsidRDefault="00E772CD" w:rsidP="00951B91">
      <w:pPr>
        <w:pStyle w:val="Heading3"/>
      </w:pPr>
      <w:bookmarkStart w:id="94" w:name="_Toc78287342"/>
      <w:bookmarkStart w:id="95" w:name="_Toc78355749"/>
      <w:bookmarkStart w:id="96" w:name="_Hlk77242073"/>
      <w:r w:rsidRPr="00BD77D8">
        <w:t xml:space="preserve">Cost-of-living support through </w:t>
      </w:r>
      <w:r w:rsidR="00FD6C3C" w:rsidRPr="00BD77D8">
        <w:t>c</w:t>
      </w:r>
      <w:r w:rsidRPr="00BD77D8">
        <w:t xml:space="preserve">ards, </w:t>
      </w:r>
      <w:r w:rsidR="00FD6C3C" w:rsidRPr="00BD77D8">
        <w:t>c</w:t>
      </w:r>
      <w:r w:rsidRPr="00BD77D8">
        <w:t xml:space="preserve">oncessions and </w:t>
      </w:r>
      <w:r w:rsidR="00FD6C3C" w:rsidRPr="00BD77D8">
        <w:t>r</w:t>
      </w:r>
      <w:r w:rsidRPr="00BD77D8">
        <w:t>ebates</w:t>
      </w:r>
      <w:bookmarkEnd w:id="94"/>
      <w:bookmarkEnd w:id="95"/>
    </w:p>
    <w:p w14:paraId="56C3BE3F" w14:textId="09EDCB5D" w:rsidR="00E772CD" w:rsidRPr="00BD77D8" w:rsidRDefault="00E772CD" w:rsidP="00C37D3D">
      <w:r w:rsidRPr="00BD77D8">
        <w:t xml:space="preserve">In </w:t>
      </w:r>
      <w:r w:rsidR="001C5646" w:rsidRPr="00BD77D8">
        <w:t>2021-2022</w:t>
      </w:r>
      <w:r w:rsidRPr="00BD77D8">
        <w:t xml:space="preserve">, the department continued to administer a range of Queensland Government concessions, such as electricity, rates, water and gas with expenditure of </w:t>
      </w:r>
      <w:r w:rsidR="00FF31F2" w:rsidRPr="00BD77D8">
        <w:t>$</w:t>
      </w:r>
      <w:r w:rsidR="009F5D86" w:rsidRPr="00BD77D8">
        <w:t>390.65</w:t>
      </w:r>
      <w:r w:rsidR="00B01B53" w:rsidRPr="00BD77D8">
        <w:t xml:space="preserve"> </w:t>
      </w:r>
      <w:r w:rsidRPr="00BD77D8">
        <w:t xml:space="preserve">million. Holders of the Queensland Seniors Card or Seniors Card </w:t>
      </w:r>
      <w:r w:rsidRPr="00BD77D8">
        <w:rPr>
          <w:i/>
          <w:iCs/>
        </w:rPr>
        <w:t>+go</w:t>
      </w:r>
      <w:r w:rsidR="00871AD2" w:rsidRPr="00BD77D8">
        <w:t>,</w:t>
      </w:r>
      <w:r w:rsidRPr="00BD77D8">
        <w:t xml:space="preserve"> and other Queenslanders on low or fixed incomes, can access cost</w:t>
      </w:r>
      <w:r w:rsidR="006A0BEC" w:rsidRPr="00BD77D8">
        <w:t>-</w:t>
      </w:r>
      <w:r w:rsidRPr="00BD77D8">
        <w:t>of</w:t>
      </w:r>
      <w:r w:rsidR="006A0BEC" w:rsidRPr="00BD77D8">
        <w:t>-</w:t>
      </w:r>
      <w:r w:rsidRPr="00BD77D8">
        <w:t>living assistance including concessions for electricity, reticulated natural gas, public transport, long distance rail, vehicle and boat registration, spectacles, dental, medical aids, life support, fishing permits and entry fees to Queensland Government museums and art galleries.</w:t>
      </w:r>
    </w:p>
    <w:p w14:paraId="2E666482" w14:textId="4B5C0F2B" w:rsidR="00E772CD" w:rsidRPr="00BD77D8" w:rsidRDefault="00E772CD" w:rsidP="00C37D3D">
      <w:r w:rsidRPr="00BD77D8">
        <w:t xml:space="preserve">Further support </w:t>
      </w:r>
      <w:r w:rsidR="00FF31F2" w:rsidRPr="00BD77D8">
        <w:t xml:space="preserve">is available for </w:t>
      </w:r>
      <w:r w:rsidRPr="00BD77D8">
        <w:t xml:space="preserve">eligible Queenslanders </w:t>
      </w:r>
      <w:r w:rsidR="00FF31F2" w:rsidRPr="00BD77D8">
        <w:t xml:space="preserve">to </w:t>
      </w:r>
      <w:r w:rsidRPr="00BD77D8">
        <w:t>manag</w:t>
      </w:r>
      <w:r w:rsidR="00FF31F2" w:rsidRPr="00BD77D8">
        <w:t>e</w:t>
      </w:r>
      <w:r w:rsidRPr="00BD77D8">
        <w:t xml:space="preserve"> the cost of living </w:t>
      </w:r>
      <w:r w:rsidR="00FF31F2" w:rsidRPr="00BD77D8">
        <w:t>by using their</w:t>
      </w:r>
      <w:r w:rsidRPr="00BD77D8">
        <w:t xml:space="preserve"> Seniors Card, Seniors Business Discount Card and Carers Business Discount Card. These cards can be used to access discounts at </w:t>
      </w:r>
      <w:r w:rsidR="00F35998" w:rsidRPr="00BD77D8">
        <w:t>more than 7,000</w:t>
      </w:r>
      <w:r w:rsidRPr="00BD77D8">
        <w:t xml:space="preserve"> business outlets across Queensland.</w:t>
      </w:r>
    </w:p>
    <w:bookmarkEnd w:id="96"/>
    <w:p w14:paraId="6326740C" w14:textId="35CF206D" w:rsidR="00E772CD" w:rsidRPr="00BD77D8" w:rsidRDefault="00E772CD" w:rsidP="00D2663B">
      <w:pPr>
        <w:spacing w:after="120" w:line="240" w:lineRule="auto"/>
        <w:rPr>
          <w:b/>
          <w:bCs/>
        </w:rPr>
      </w:pPr>
      <w:r w:rsidRPr="00BD77D8">
        <w:rPr>
          <w:b/>
          <w:bCs/>
        </w:rPr>
        <w:t>Key achievements</w:t>
      </w:r>
    </w:p>
    <w:p w14:paraId="067F9E4F" w14:textId="2553678B" w:rsidR="00E31B5F" w:rsidRPr="00BD77D8" w:rsidRDefault="00E31B5F" w:rsidP="00D2663B">
      <w:pPr>
        <w:spacing w:after="120" w:line="240" w:lineRule="auto"/>
        <w:rPr>
          <w:lang w:eastAsia="en-US"/>
        </w:rPr>
      </w:pPr>
      <w:r w:rsidRPr="00BD77D8">
        <w:rPr>
          <w:lang w:eastAsia="en-US"/>
        </w:rPr>
        <w:t>During the reporting period:</w:t>
      </w:r>
    </w:p>
    <w:p w14:paraId="137011E3" w14:textId="60CC77BB" w:rsidR="00FA4E24" w:rsidRPr="00BD77D8" w:rsidRDefault="006F5A3E" w:rsidP="00A463E0">
      <w:pPr>
        <w:pStyle w:val="ListParagraph"/>
        <w:numPr>
          <w:ilvl w:val="0"/>
          <w:numId w:val="43"/>
        </w:numPr>
      </w:pPr>
      <w:r w:rsidRPr="00BD77D8">
        <w:t xml:space="preserve">89 per cent of eligible seniors in </w:t>
      </w:r>
      <w:r w:rsidR="00E772CD" w:rsidRPr="00BD77D8">
        <w:t xml:space="preserve">Queensland </w:t>
      </w:r>
      <w:r w:rsidRPr="00BD77D8">
        <w:t>held a seniors card</w:t>
      </w:r>
    </w:p>
    <w:p w14:paraId="62736A75" w14:textId="4D8969B6" w:rsidR="00FA4E24" w:rsidRPr="00BD77D8" w:rsidRDefault="006F5A3E" w:rsidP="00A463E0">
      <w:pPr>
        <w:pStyle w:val="ListParagraph"/>
        <w:numPr>
          <w:ilvl w:val="0"/>
          <w:numId w:val="43"/>
        </w:numPr>
      </w:pPr>
      <w:r w:rsidRPr="00BD77D8">
        <w:t>Queensland Government card schemes provided access to benefits to over 1,045,</w:t>
      </w:r>
      <w:r w:rsidR="00ED4D87" w:rsidRPr="00BD77D8">
        <w:t>000</w:t>
      </w:r>
      <w:r w:rsidRPr="00BD77D8">
        <w:t xml:space="preserve"> card holders across Queensland</w:t>
      </w:r>
    </w:p>
    <w:p w14:paraId="7F35AD8C" w14:textId="02557872" w:rsidR="00FD6C3C" w:rsidRPr="00BD77D8" w:rsidRDefault="00BC7F2F" w:rsidP="00A463E0">
      <w:pPr>
        <w:pStyle w:val="ListParagraph"/>
        <w:numPr>
          <w:ilvl w:val="0"/>
          <w:numId w:val="43"/>
        </w:numPr>
      </w:pPr>
      <w:r w:rsidRPr="00BD77D8">
        <w:lastRenderedPageBreak/>
        <w:t>t</w:t>
      </w:r>
      <w:r w:rsidR="006F5A3E" w:rsidRPr="00BD77D8">
        <w:t xml:space="preserve">he </w:t>
      </w:r>
      <w:r w:rsidR="00FD6C3C" w:rsidRPr="00BD77D8">
        <w:t xml:space="preserve">department continued to assist eligible Queenslanders to receive cost-of-living support through the delivery of concession and rebate schemes, including administration of the Electricity Asset Ownership Dividend—$50 </w:t>
      </w:r>
      <w:r w:rsidR="006F5A3E" w:rsidRPr="00BD77D8">
        <w:t>was</w:t>
      </w:r>
      <w:r w:rsidR="00FD6C3C" w:rsidRPr="00BD77D8">
        <w:t xml:space="preserve"> credited to all Queensland residential accounts. </w:t>
      </w:r>
    </w:p>
    <w:p w14:paraId="21454E98" w14:textId="7BF7C90C" w:rsidR="00E779C7" w:rsidRPr="00BD77D8" w:rsidRDefault="00E779C7" w:rsidP="0020675F">
      <w:pPr>
        <w:pStyle w:val="Heading3"/>
        <w:spacing w:before="480"/>
      </w:pPr>
      <w:bookmarkStart w:id="97" w:name="_Toc78287343"/>
      <w:bookmarkStart w:id="98" w:name="_Toc78355750"/>
      <w:r w:rsidRPr="00BD77D8">
        <w:t>Supporting seniors during the COVID-19 pandemic</w:t>
      </w:r>
      <w:bookmarkEnd w:id="97"/>
      <w:bookmarkEnd w:id="98"/>
    </w:p>
    <w:p w14:paraId="262C79F2" w14:textId="07A3D6C7" w:rsidR="00FD6C3C" w:rsidRPr="00BD77D8" w:rsidRDefault="00E772CD" w:rsidP="00D2663B">
      <w:pPr>
        <w:spacing w:after="120" w:line="240" w:lineRule="auto"/>
      </w:pPr>
      <w:r w:rsidRPr="00BD77D8">
        <w:t>In</w:t>
      </w:r>
      <w:r w:rsidR="00B01B53" w:rsidRPr="00BD77D8">
        <w:t xml:space="preserve"> 2021</w:t>
      </w:r>
      <w:r w:rsidR="003C2F0C" w:rsidRPr="00BD77D8">
        <w:t>–</w:t>
      </w:r>
      <w:r w:rsidR="00120561" w:rsidRPr="00BD77D8">
        <w:t>20</w:t>
      </w:r>
      <w:r w:rsidR="00B01B53" w:rsidRPr="00BD77D8">
        <w:t>22 the department</w:t>
      </w:r>
      <w:r w:rsidR="00FD6C3C" w:rsidRPr="00BD77D8">
        <w:t>:</w:t>
      </w:r>
    </w:p>
    <w:p w14:paraId="602067EB" w14:textId="77777777" w:rsidR="008E0CA5" w:rsidRPr="00BD77D8" w:rsidRDefault="008E0CA5" w:rsidP="00A463E0">
      <w:pPr>
        <w:pStyle w:val="ListParagraph"/>
        <w:numPr>
          <w:ilvl w:val="0"/>
          <w:numId w:val="25"/>
        </w:numPr>
      </w:pPr>
      <w:r w:rsidRPr="00BD77D8">
        <w:t xml:space="preserve">used Seniors Expos to deliver messages about COVID-19 vaccination rollouts and public health responses </w:t>
      </w:r>
    </w:p>
    <w:p w14:paraId="5E394205" w14:textId="2D9B1509" w:rsidR="008E0CA5" w:rsidRPr="00BD77D8" w:rsidRDefault="008E0CA5" w:rsidP="00A463E0">
      <w:pPr>
        <w:pStyle w:val="ListParagraph"/>
        <w:numPr>
          <w:ilvl w:val="0"/>
          <w:numId w:val="25"/>
        </w:numPr>
      </w:pPr>
      <w:r w:rsidRPr="00BD77D8">
        <w:t>actively promoted information about COVID-19 to more than 350,000 seniors card holders who have opted into receive messaging</w:t>
      </w:r>
    </w:p>
    <w:p w14:paraId="55A692FB" w14:textId="77777777" w:rsidR="008E0CA5" w:rsidRPr="00BD77D8" w:rsidRDefault="008E0CA5" w:rsidP="00A463E0">
      <w:pPr>
        <w:pStyle w:val="ListParagraph"/>
        <w:numPr>
          <w:ilvl w:val="0"/>
          <w:numId w:val="25"/>
        </w:numPr>
      </w:pPr>
      <w:r w:rsidRPr="00BD77D8">
        <w:t>worked with the Council on the Ageing Queensland to identify any extra supports required for senior Queenslanders</w:t>
      </w:r>
    </w:p>
    <w:p w14:paraId="4723E937" w14:textId="412386C8" w:rsidR="00E772CD" w:rsidRPr="00BD77D8" w:rsidRDefault="008E0CA5" w:rsidP="00A463E0">
      <w:pPr>
        <w:pStyle w:val="ListParagraph"/>
        <w:numPr>
          <w:ilvl w:val="0"/>
          <w:numId w:val="25"/>
        </w:numPr>
      </w:pPr>
      <w:r w:rsidRPr="00BD77D8">
        <w:t>worked with funded service providers to pivot their service delivery to modes other than face-to-face during lockdowns.</w:t>
      </w:r>
    </w:p>
    <w:p w14:paraId="53CF020F" w14:textId="21A006A5" w:rsidR="00945ABE" w:rsidRPr="00BD77D8" w:rsidRDefault="007D672E" w:rsidP="00945ABE">
      <w:pPr>
        <w:spacing w:line="240" w:lineRule="auto"/>
        <w:ind w:left="142"/>
        <w:rPr>
          <w:rFonts w:eastAsia="Calibri"/>
          <w:b/>
          <w:sz w:val="20"/>
          <w:szCs w:val="20"/>
          <w:lang w:val="en-US" w:eastAsia="en-US"/>
        </w:rPr>
      </w:pPr>
      <w:bookmarkStart w:id="99" w:name="_Toc113544385"/>
      <w:r w:rsidRPr="00BD77D8">
        <w:rPr>
          <w:rStyle w:val="Heading2Char"/>
          <w:color w:val="auto"/>
        </w:rPr>
        <w:t>Our Performance</w:t>
      </w:r>
      <w:bookmarkStart w:id="100" w:name="_Hlk113544300"/>
      <w:r w:rsidR="00607E8B" w:rsidRPr="00BD77D8">
        <w:rPr>
          <w:rStyle w:val="Heading2Char"/>
          <w:color w:val="auto"/>
        </w:rPr>
        <w:t>—</w:t>
      </w:r>
      <w:bookmarkEnd w:id="100"/>
      <w:r w:rsidR="00925263" w:rsidRPr="00BD77D8">
        <w:rPr>
          <w:rStyle w:val="Heading2Char"/>
          <w:color w:val="auto"/>
        </w:rPr>
        <w:t xml:space="preserve">Seniors </w:t>
      </w:r>
      <w:r w:rsidR="00455AF9" w:rsidRPr="00BD77D8">
        <w:rPr>
          <w:rStyle w:val="Heading2Char"/>
          <w:color w:val="auto"/>
        </w:rPr>
        <w:t>s</w:t>
      </w:r>
      <w:r w:rsidR="00925263" w:rsidRPr="00BD77D8">
        <w:rPr>
          <w:rStyle w:val="Heading2Char"/>
          <w:color w:val="auto"/>
        </w:rPr>
        <w:t>ervices</w:t>
      </w:r>
      <w:bookmarkEnd w:id="99"/>
      <w:r w:rsidR="00317EA4" w:rsidRPr="00BD77D8">
        <w:rPr>
          <w:rStyle w:val="Heading2Char"/>
          <w:color w:val="auto"/>
        </w:rPr>
        <w:t xml:space="preserve"> </w:t>
      </w:r>
    </w:p>
    <w:tbl>
      <w:tblPr>
        <w:tblStyle w:val="TableGrid1"/>
        <w:tblW w:w="10390" w:type="dxa"/>
        <w:tblInd w:w="100" w:type="dxa"/>
        <w:tblLayout w:type="fixed"/>
        <w:tblCellMar>
          <w:left w:w="0" w:type="dxa"/>
          <w:right w:w="0" w:type="dxa"/>
        </w:tblCellMar>
        <w:tblLook w:val="01E0" w:firstRow="1" w:lastRow="1" w:firstColumn="1" w:lastColumn="1" w:noHBand="0" w:noVBand="0"/>
      </w:tblPr>
      <w:tblGrid>
        <w:gridCol w:w="6621"/>
        <w:gridCol w:w="1310"/>
        <w:gridCol w:w="1183"/>
        <w:gridCol w:w="1276"/>
      </w:tblGrid>
      <w:tr w:rsidR="00BD77D8" w:rsidRPr="00BD77D8" w14:paraId="44CB93B5" w14:textId="77777777" w:rsidTr="00D92223">
        <w:trPr>
          <w:trHeight w:val="20"/>
        </w:trPr>
        <w:tc>
          <w:tcPr>
            <w:tcW w:w="6621" w:type="dxa"/>
            <w:shd w:val="clear" w:color="auto" w:fill="F2F2F2" w:themeFill="background1" w:themeFillShade="F2"/>
          </w:tcPr>
          <w:p w14:paraId="421A3B31" w14:textId="652AD737" w:rsidR="00925263" w:rsidRPr="00BD77D8" w:rsidRDefault="00096BE4" w:rsidP="00BC0C99">
            <w:pPr>
              <w:spacing w:after="120" w:line="240" w:lineRule="auto"/>
              <w:rPr>
                <w:rFonts w:ascii="Arial" w:hAnsi="Arial"/>
                <w:b/>
                <w:bCs/>
              </w:rPr>
            </w:pPr>
            <w:r w:rsidRPr="00BD77D8">
              <w:rPr>
                <w:rFonts w:ascii="Arial" w:hAnsi="Arial"/>
                <w:b/>
                <w:bCs/>
              </w:rPr>
              <w:t>Service standards</w:t>
            </w:r>
          </w:p>
        </w:tc>
        <w:tc>
          <w:tcPr>
            <w:tcW w:w="1310" w:type="dxa"/>
            <w:shd w:val="clear" w:color="auto" w:fill="F2F2F2" w:themeFill="background1" w:themeFillShade="F2"/>
          </w:tcPr>
          <w:p w14:paraId="035DABF5" w14:textId="77777777" w:rsidR="00925263" w:rsidRPr="00BD77D8" w:rsidRDefault="00925263" w:rsidP="00BC0C99">
            <w:pPr>
              <w:spacing w:after="120" w:line="240" w:lineRule="auto"/>
              <w:jc w:val="center"/>
              <w:rPr>
                <w:rFonts w:ascii="Arial" w:hAnsi="Arial"/>
                <w:b/>
                <w:bCs/>
              </w:rPr>
            </w:pPr>
            <w:r w:rsidRPr="00BD77D8">
              <w:rPr>
                <w:rFonts w:ascii="Arial" w:hAnsi="Arial"/>
                <w:b/>
                <w:bCs/>
              </w:rPr>
              <w:t>Notes</w:t>
            </w:r>
          </w:p>
        </w:tc>
        <w:tc>
          <w:tcPr>
            <w:tcW w:w="1183" w:type="dxa"/>
            <w:shd w:val="clear" w:color="auto" w:fill="F2F2F2" w:themeFill="background1" w:themeFillShade="F2"/>
          </w:tcPr>
          <w:p w14:paraId="3B9A91B9" w14:textId="37C23196" w:rsidR="00925263" w:rsidRPr="00BD77D8" w:rsidRDefault="00925263" w:rsidP="00BC0C99">
            <w:pPr>
              <w:spacing w:after="120" w:line="240" w:lineRule="auto"/>
              <w:jc w:val="center"/>
              <w:rPr>
                <w:rFonts w:ascii="Arial" w:hAnsi="Arial"/>
                <w:b/>
                <w:bCs/>
              </w:rPr>
            </w:pPr>
            <w:r w:rsidRPr="00BD77D8">
              <w:rPr>
                <w:rFonts w:ascii="Arial" w:hAnsi="Arial"/>
                <w:b/>
                <w:bCs/>
              </w:rPr>
              <w:t>2021</w:t>
            </w:r>
            <w:r w:rsidR="00457097" w:rsidRPr="00BD77D8">
              <w:rPr>
                <w:rFonts w:ascii="Arial" w:hAnsi="Arial"/>
                <w:b/>
                <w:bCs/>
              </w:rPr>
              <w:t>–</w:t>
            </w:r>
            <w:r w:rsidRPr="00BD77D8">
              <w:rPr>
                <w:rFonts w:ascii="Arial" w:hAnsi="Arial"/>
                <w:b/>
                <w:bCs/>
              </w:rPr>
              <w:t>2022</w:t>
            </w:r>
          </w:p>
          <w:p w14:paraId="33D53721" w14:textId="40DFDFAE" w:rsidR="00925263" w:rsidRPr="00BD77D8" w:rsidRDefault="00925263" w:rsidP="00BC0C99">
            <w:pPr>
              <w:spacing w:after="120" w:line="240" w:lineRule="auto"/>
              <w:jc w:val="center"/>
              <w:rPr>
                <w:rFonts w:ascii="Arial" w:hAnsi="Arial"/>
                <w:b/>
                <w:bCs/>
              </w:rPr>
            </w:pPr>
            <w:r w:rsidRPr="00BD77D8">
              <w:rPr>
                <w:rFonts w:ascii="Arial" w:hAnsi="Arial"/>
                <w:b/>
                <w:bCs/>
              </w:rPr>
              <w:t>Target/</w:t>
            </w:r>
            <w:r w:rsidR="007D672E" w:rsidRPr="00BD77D8">
              <w:rPr>
                <w:rFonts w:ascii="Arial" w:hAnsi="Arial"/>
                <w:b/>
                <w:bCs/>
              </w:rPr>
              <w:t>E</w:t>
            </w:r>
            <w:r w:rsidRPr="00BD77D8">
              <w:rPr>
                <w:rFonts w:ascii="Arial" w:hAnsi="Arial"/>
                <w:b/>
                <w:bCs/>
              </w:rPr>
              <w:t>st.</w:t>
            </w:r>
          </w:p>
        </w:tc>
        <w:tc>
          <w:tcPr>
            <w:tcW w:w="1276" w:type="dxa"/>
            <w:shd w:val="clear" w:color="auto" w:fill="F2F2F2" w:themeFill="background1" w:themeFillShade="F2"/>
          </w:tcPr>
          <w:p w14:paraId="15B0CD6D" w14:textId="5A6D7F1D" w:rsidR="00925263" w:rsidRPr="00BD77D8" w:rsidRDefault="00925263" w:rsidP="00BC0C99">
            <w:pPr>
              <w:spacing w:after="120" w:line="240" w:lineRule="auto"/>
              <w:jc w:val="center"/>
              <w:rPr>
                <w:rFonts w:ascii="Arial" w:hAnsi="Arial"/>
                <w:b/>
                <w:bCs/>
              </w:rPr>
            </w:pPr>
            <w:r w:rsidRPr="00BD77D8">
              <w:rPr>
                <w:rFonts w:ascii="Arial" w:hAnsi="Arial"/>
                <w:b/>
                <w:bCs/>
              </w:rPr>
              <w:t>2021</w:t>
            </w:r>
            <w:r w:rsidR="00457097" w:rsidRPr="00BD77D8">
              <w:rPr>
                <w:rFonts w:ascii="Arial" w:hAnsi="Arial"/>
                <w:b/>
                <w:bCs/>
              </w:rPr>
              <w:t>–</w:t>
            </w:r>
            <w:r w:rsidRPr="00BD77D8">
              <w:rPr>
                <w:rFonts w:ascii="Arial" w:hAnsi="Arial"/>
                <w:b/>
                <w:bCs/>
              </w:rPr>
              <w:t>2022</w:t>
            </w:r>
          </w:p>
          <w:p w14:paraId="3AC5794F" w14:textId="77777777" w:rsidR="00925263" w:rsidRPr="00BD77D8" w:rsidRDefault="00925263" w:rsidP="00BC0C99">
            <w:pPr>
              <w:spacing w:after="120" w:line="240" w:lineRule="auto"/>
              <w:jc w:val="center"/>
              <w:rPr>
                <w:rFonts w:ascii="Arial" w:hAnsi="Arial"/>
                <w:b/>
                <w:bCs/>
                <w:highlight w:val="yellow"/>
              </w:rPr>
            </w:pPr>
            <w:r w:rsidRPr="00BD77D8">
              <w:rPr>
                <w:rFonts w:ascii="Arial" w:hAnsi="Arial"/>
                <w:b/>
                <w:bCs/>
              </w:rPr>
              <w:t>Actual</w:t>
            </w:r>
          </w:p>
        </w:tc>
      </w:tr>
      <w:tr w:rsidR="00BD77D8" w:rsidRPr="00BD77D8" w14:paraId="3672A4B3" w14:textId="77777777" w:rsidTr="00455AF9">
        <w:trPr>
          <w:trHeight w:val="20"/>
        </w:trPr>
        <w:tc>
          <w:tcPr>
            <w:tcW w:w="6621" w:type="dxa"/>
          </w:tcPr>
          <w:p w14:paraId="1ED90AFC" w14:textId="16CFC801" w:rsidR="007D672E" w:rsidRPr="00BD77D8" w:rsidRDefault="007D672E" w:rsidP="00A97F9F">
            <w:pPr>
              <w:rPr>
                <w:rFonts w:ascii="Arial" w:hAnsi="Arial"/>
                <w:i/>
                <w:iCs/>
              </w:rPr>
            </w:pPr>
            <w:r w:rsidRPr="00BD77D8">
              <w:rPr>
                <w:rFonts w:ascii="Arial" w:hAnsi="Arial"/>
                <w:i/>
                <w:iCs/>
              </w:rPr>
              <w:t>Effectiveness measure</w:t>
            </w:r>
          </w:p>
        </w:tc>
        <w:tc>
          <w:tcPr>
            <w:tcW w:w="1310" w:type="dxa"/>
          </w:tcPr>
          <w:p w14:paraId="0787235E" w14:textId="77777777" w:rsidR="007D672E" w:rsidRPr="00BD77D8" w:rsidRDefault="007D672E" w:rsidP="00455AF9">
            <w:pPr>
              <w:rPr>
                <w:rFonts w:ascii="Arial" w:hAnsi="Arial"/>
              </w:rPr>
            </w:pPr>
          </w:p>
        </w:tc>
        <w:tc>
          <w:tcPr>
            <w:tcW w:w="1183" w:type="dxa"/>
            <w:vAlign w:val="center"/>
          </w:tcPr>
          <w:p w14:paraId="66647B01" w14:textId="77777777" w:rsidR="007D672E" w:rsidRPr="00BD77D8" w:rsidRDefault="007D672E" w:rsidP="00455AF9">
            <w:pPr>
              <w:jc w:val="center"/>
              <w:rPr>
                <w:rFonts w:ascii="Arial" w:hAnsi="Arial"/>
              </w:rPr>
            </w:pPr>
          </w:p>
        </w:tc>
        <w:tc>
          <w:tcPr>
            <w:tcW w:w="1276" w:type="dxa"/>
            <w:vAlign w:val="center"/>
          </w:tcPr>
          <w:p w14:paraId="37CFB57F" w14:textId="77777777" w:rsidR="007D672E" w:rsidRPr="00BD77D8" w:rsidRDefault="007D672E" w:rsidP="00455AF9">
            <w:pPr>
              <w:rPr>
                <w:rFonts w:ascii="Arial" w:hAnsi="Arial"/>
              </w:rPr>
            </w:pPr>
          </w:p>
        </w:tc>
      </w:tr>
      <w:tr w:rsidR="00BD77D8" w:rsidRPr="00BD77D8" w14:paraId="18D0D240" w14:textId="77777777" w:rsidTr="00AE617E">
        <w:trPr>
          <w:trHeight w:val="20"/>
        </w:trPr>
        <w:tc>
          <w:tcPr>
            <w:tcW w:w="6621" w:type="dxa"/>
          </w:tcPr>
          <w:p w14:paraId="58C6B458" w14:textId="3E05B3D4" w:rsidR="00925263" w:rsidRPr="00BD77D8" w:rsidRDefault="00925263" w:rsidP="00A97F9F">
            <w:pPr>
              <w:rPr>
                <w:rFonts w:ascii="Arial" w:hAnsi="Arial"/>
              </w:rPr>
            </w:pPr>
            <w:r w:rsidRPr="00BD77D8">
              <w:rPr>
                <w:rFonts w:ascii="Arial" w:hAnsi="Arial"/>
              </w:rPr>
              <w:t xml:space="preserve">Percentage of eligible </w:t>
            </w:r>
            <w:r w:rsidR="001F264E" w:rsidRPr="00BD77D8">
              <w:rPr>
                <w:rFonts w:ascii="Arial" w:hAnsi="Arial"/>
              </w:rPr>
              <w:t>s</w:t>
            </w:r>
            <w:r w:rsidRPr="00BD77D8">
              <w:rPr>
                <w:rFonts w:ascii="Arial" w:hAnsi="Arial"/>
              </w:rPr>
              <w:t>eniors with a Seniors Card</w:t>
            </w:r>
            <w:r w:rsidR="00455AF9" w:rsidRPr="00BD77D8">
              <w:rPr>
                <w:rFonts w:ascii="Arial" w:hAnsi="Arial"/>
              </w:rPr>
              <w:t xml:space="preserve"> </w:t>
            </w:r>
          </w:p>
        </w:tc>
        <w:tc>
          <w:tcPr>
            <w:tcW w:w="1310" w:type="dxa"/>
          </w:tcPr>
          <w:p w14:paraId="5A018901" w14:textId="2D697E75" w:rsidR="00925263" w:rsidRPr="00BD77D8" w:rsidRDefault="00925263" w:rsidP="007D672E">
            <w:pPr>
              <w:jc w:val="center"/>
              <w:rPr>
                <w:rFonts w:ascii="Arial" w:hAnsi="Arial"/>
              </w:rPr>
            </w:pPr>
          </w:p>
        </w:tc>
        <w:tc>
          <w:tcPr>
            <w:tcW w:w="1183" w:type="dxa"/>
          </w:tcPr>
          <w:p w14:paraId="07F1E0EE" w14:textId="52ABE35F" w:rsidR="00925263" w:rsidRPr="00BD77D8" w:rsidRDefault="00455AF9" w:rsidP="00AE617E">
            <w:pPr>
              <w:jc w:val="center"/>
              <w:rPr>
                <w:rFonts w:ascii="Arial" w:hAnsi="Arial"/>
              </w:rPr>
            </w:pPr>
            <w:r w:rsidRPr="00BD77D8">
              <w:rPr>
                <w:rFonts w:ascii="Arial" w:hAnsi="Arial"/>
              </w:rPr>
              <w:t>88%</w:t>
            </w:r>
          </w:p>
        </w:tc>
        <w:tc>
          <w:tcPr>
            <w:tcW w:w="1276" w:type="dxa"/>
            <w:vAlign w:val="center"/>
          </w:tcPr>
          <w:p w14:paraId="654EBDB6" w14:textId="01D262E4" w:rsidR="00925263" w:rsidRPr="00BD77D8" w:rsidRDefault="007D672E" w:rsidP="00433A9A">
            <w:pPr>
              <w:jc w:val="center"/>
              <w:rPr>
                <w:rFonts w:ascii="Arial" w:hAnsi="Arial"/>
                <w:sz w:val="16"/>
                <w:szCs w:val="16"/>
              </w:rPr>
            </w:pPr>
            <w:r w:rsidRPr="00BD77D8">
              <w:rPr>
                <w:rFonts w:ascii="Arial" w:hAnsi="Arial"/>
              </w:rPr>
              <w:t>8</w:t>
            </w:r>
            <w:r w:rsidR="00300472" w:rsidRPr="00BD77D8">
              <w:rPr>
                <w:rFonts w:ascii="Arial" w:hAnsi="Arial"/>
              </w:rPr>
              <w:t>9</w:t>
            </w:r>
            <w:r w:rsidRPr="00BD77D8">
              <w:rPr>
                <w:rFonts w:ascii="Arial" w:hAnsi="Arial"/>
              </w:rPr>
              <w:t>%</w:t>
            </w:r>
            <w:r w:rsidR="004059D0" w:rsidRPr="00BD77D8">
              <w:rPr>
                <w:rFonts w:ascii="Arial" w:hAnsi="Arial"/>
              </w:rPr>
              <w:t xml:space="preserve"> </w:t>
            </w:r>
          </w:p>
        </w:tc>
      </w:tr>
    </w:tbl>
    <w:p w14:paraId="0E2FC426" w14:textId="5740C63C" w:rsidR="007D56BA" w:rsidRPr="00BD77D8" w:rsidRDefault="00CB08BB" w:rsidP="0020675F">
      <w:pPr>
        <w:pStyle w:val="ListBullet"/>
        <w:spacing w:before="240"/>
        <w:ind w:left="357" w:hanging="357"/>
        <w:rPr>
          <w:sz w:val="18"/>
          <w:szCs w:val="18"/>
        </w:rPr>
      </w:pPr>
      <w:r w:rsidRPr="00BD77D8">
        <w:rPr>
          <w:sz w:val="18"/>
          <w:szCs w:val="18"/>
        </w:rPr>
        <w:t xml:space="preserve">Strategic Plan </w:t>
      </w:r>
      <w:r w:rsidR="00016525" w:rsidRPr="00BD77D8">
        <w:rPr>
          <w:sz w:val="18"/>
          <w:szCs w:val="18"/>
        </w:rPr>
        <w:t xml:space="preserve">Performance measure: </w:t>
      </w:r>
      <w:r w:rsidR="001F264E" w:rsidRPr="00BD77D8">
        <w:rPr>
          <w:sz w:val="18"/>
          <w:szCs w:val="18"/>
        </w:rPr>
        <w:t>p</w:t>
      </w:r>
      <w:r w:rsidR="00016525" w:rsidRPr="00BD77D8">
        <w:rPr>
          <w:sz w:val="18"/>
          <w:szCs w:val="18"/>
        </w:rPr>
        <w:t>ercentage of funded services that meet</w:t>
      </w:r>
      <w:r w:rsidR="001F264E" w:rsidRPr="00BD77D8">
        <w:rPr>
          <w:sz w:val="18"/>
          <w:szCs w:val="18"/>
        </w:rPr>
        <w:t>s</w:t>
      </w:r>
      <w:r w:rsidR="00016525" w:rsidRPr="00BD77D8">
        <w:rPr>
          <w:sz w:val="18"/>
          <w:szCs w:val="18"/>
        </w:rPr>
        <w:t xml:space="preserve"> the needs of seniors. Following a review of the Seniors Program, this measure has been discontinued.</w:t>
      </w:r>
    </w:p>
    <w:p w14:paraId="47E50AD8" w14:textId="4015D838" w:rsidR="00E07306" w:rsidRPr="00BD77D8" w:rsidRDefault="00CB08BB" w:rsidP="00016525">
      <w:pPr>
        <w:pStyle w:val="ListBullet"/>
        <w:ind w:left="357" w:hanging="357"/>
        <w:rPr>
          <w:sz w:val="18"/>
          <w:szCs w:val="18"/>
        </w:rPr>
      </w:pPr>
      <w:r w:rsidRPr="00BD77D8">
        <w:rPr>
          <w:sz w:val="18"/>
          <w:szCs w:val="18"/>
        </w:rPr>
        <w:t>Strategic</w:t>
      </w:r>
      <w:r w:rsidR="00406DF3" w:rsidRPr="00BD77D8">
        <w:rPr>
          <w:sz w:val="18"/>
          <w:szCs w:val="18"/>
        </w:rPr>
        <w:t xml:space="preserve"> Plan</w:t>
      </w:r>
      <w:r w:rsidRPr="00BD77D8">
        <w:rPr>
          <w:sz w:val="18"/>
          <w:szCs w:val="18"/>
        </w:rPr>
        <w:t xml:space="preserve"> </w:t>
      </w:r>
      <w:r w:rsidR="00E07306" w:rsidRPr="00BD77D8">
        <w:rPr>
          <w:sz w:val="18"/>
          <w:szCs w:val="18"/>
        </w:rPr>
        <w:t xml:space="preserve">Performance measure: </w:t>
      </w:r>
      <w:r w:rsidR="001F264E" w:rsidRPr="00BD77D8">
        <w:rPr>
          <w:sz w:val="18"/>
          <w:szCs w:val="18"/>
        </w:rPr>
        <w:t>p</w:t>
      </w:r>
      <w:r w:rsidR="00E07306" w:rsidRPr="00BD77D8">
        <w:rPr>
          <w:sz w:val="18"/>
          <w:szCs w:val="18"/>
        </w:rPr>
        <w:t>ercentage of eligible people accessing concessions and support services. Following a review of the Seniors Services Program, this measure has been discontinued. The data for this measure is not able to be calculated as there is no defined cohort and some concessions/discounts are assessed differently from businesses, resulting in lack of available data.</w:t>
      </w:r>
    </w:p>
    <w:p w14:paraId="30EF3DA5" w14:textId="7773F5BD" w:rsidR="003C0DB9" w:rsidRPr="00BD77D8" w:rsidRDefault="003C0DB9" w:rsidP="0018616D">
      <w:pPr>
        <w:pStyle w:val="Heading2"/>
        <w:rPr>
          <w:color w:val="auto"/>
          <w:sz w:val="20"/>
          <w:szCs w:val="20"/>
        </w:rPr>
      </w:pPr>
      <w:bookmarkStart w:id="101" w:name="_Toc73714385"/>
      <w:bookmarkStart w:id="102" w:name="_Toc78287345"/>
      <w:bookmarkStart w:id="103" w:name="_Toc78355752"/>
      <w:bookmarkStart w:id="104" w:name="_Toc113544386"/>
      <w:r w:rsidRPr="00BD77D8">
        <w:rPr>
          <w:color w:val="auto"/>
        </w:rPr>
        <w:t>Future directions</w:t>
      </w:r>
      <w:bookmarkEnd w:id="101"/>
      <w:bookmarkEnd w:id="102"/>
      <w:bookmarkEnd w:id="103"/>
      <w:bookmarkEnd w:id="104"/>
      <w:r w:rsidR="00911CAF" w:rsidRPr="00BD77D8">
        <w:rPr>
          <w:color w:val="auto"/>
        </w:rPr>
        <w:t xml:space="preserve"> </w:t>
      </w:r>
    </w:p>
    <w:p w14:paraId="1B520D05" w14:textId="1A096A4E" w:rsidR="003C0DB9" w:rsidRPr="00BD77D8" w:rsidRDefault="003C0DB9" w:rsidP="00871AD2">
      <w:pPr>
        <w:pStyle w:val="ListBullet"/>
        <w:numPr>
          <w:ilvl w:val="0"/>
          <w:numId w:val="0"/>
        </w:numPr>
        <w:ind w:left="360" w:hanging="360"/>
      </w:pPr>
      <w:r w:rsidRPr="00BD77D8">
        <w:rPr>
          <w:b/>
          <w:bCs/>
        </w:rPr>
        <w:t>Promote inclusion and access to programs and services</w:t>
      </w:r>
      <w:r w:rsidR="00E31B5F" w:rsidRPr="00BD77D8">
        <w:rPr>
          <w:b/>
          <w:bCs/>
        </w:rPr>
        <w:t xml:space="preserve"> by:</w:t>
      </w:r>
    </w:p>
    <w:p w14:paraId="0097362D" w14:textId="643155FB" w:rsidR="001A4361" w:rsidRPr="00BD77D8" w:rsidRDefault="001A4361" w:rsidP="00CD1CA2">
      <w:pPr>
        <w:pStyle w:val="ListBullet"/>
        <w:ind w:left="357" w:hanging="357"/>
      </w:pPr>
      <w:r w:rsidRPr="00BD77D8">
        <w:t>developing and implementing a contemporary Queensland Seniors Strategy, underpinned by the World Health Organisation age-friendly approach, to support older Queenslanders to lead healthy, productive and socially connected lives, and ensure government policies and programs are age-friendly and inclusive</w:t>
      </w:r>
    </w:p>
    <w:p w14:paraId="1A7C79AD" w14:textId="08F6CA3D" w:rsidR="001A4361" w:rsidRPr="00BD77D8" w:rsidRDefault="001A4361" w:rsidP="00CD1CA2">
      <w:pPr>
        <w:pStyle w:val="ListBullet"/>
        <w:ind w:left="357" w:hanging="357"/>
      </w:pPr>
      <w:r w:rsidRPr="00BD77D8">
        <w:t>reducing the cost</w:t>
      </w:r>
      <w:r w:rsidR="008F1762" w:rsidRPr="00BD77D8">
        <w:t>-</w:t>
      </w:r>
      <w:r w:rsidRPr="00BD77D8">
        <w:t>of</w:t>
      </w:r>
      <w:r w:rsidR="008F1762" w:rsidRPr="00BD77D8">
        <w:t>-</w:t>
      </w:r>
      <w:r w:rsidRPr="00BD77D8">
        <w:t>living pressures for seniors and other vulnerable Queenslanders by administering a range of rebates and concessions</w:t>
      </w:r>
    </w:p>
    <w:p w14:paraId="245EEC71" w14:textId="36A73EBC" w:rsidR="001A4361" w:rsidRPr="00BD77D8" w:rsidRDefault="001A4361" w:rsidP="00CD1CA2">
      <w:pPr>
        <w:pStyle w:val="ListBullet"/>
        <w:ind w:left="357" w:hanging="357"/>
      </w:pPr>
      <w:r w:rsidRPr="00BD77D8">
        <w:t xml:space="preserve">working with strategic partners, including disability and seniors service providers, and Aboriginal and Torres Strait Islander communities, to prepare for, respond to, and recover from pandemic and other disaster events </w:t>
      </w:r>
    </w:p>
    <w:p w14:paraId="1F47E674" w14:textId="71A820F3" w:rsidR="00DD58A0" w:rsidRPr="00BD77D8" w:rsidRDefault="00DD58A0" w:rsidP="00CD1CA2">
      <w:pPr>
        <w:pStyle w:val="ListBullet"/>
        <w:ind w:left="357" w:hanging="357"/>
      </w:pPr>
      <w:r w:rsidRPr="00BD77D8">
        <w:t>undertaking a review of relevant Queensland legislation to identify gaps in safeguarding provisions, in line with recommendation 5.1 of the National Plan to Respond to the Abuse of Older Australians (Elder Abuse) 2019-2023.</w:t>
      </w:r>
    </w:p>
    <w:p w14:paraId="0BF60447" w14:textId="0A1D20B5" w:rsidR="003C0DB9" w:rsidRPr="00BD77D8" w:rsidRDefault="003C0DB9" w:rsidP="00871AD2">
      <w:pPr>
        <w:pStyle w:val="ListBullet"/>
        <w:numPr>
          <w:ilvl w:val="0"/>
          <w:numId w:val="0"/>
        </w:numPr>
        <w:ind w:left="360" w:hanging="360"/>
      </w:pPr>
      <w:r w:rsidRPr="00BD77D8">
        <w:rPr>
          <w:b/>
          <w:bCs/>
        </w:rPr>
        <w:t>Increase engagement through co-design</w:t>
      </w:r>
      <w:r w:rsidR="00110C54" w:rsidRPr="00BD77D8">
        <w:rPr>
          <w:b/>
          <w:bCs/>
        </w:rPr>
        <w:t xml:space="preserve"> by:</w:t>
      </w:r>
    </w:p>
    <w:p w14:paraId="7BBB313C" w14:textId="2911AAFF" w:rsidR="001A4361" w:rsidRPr="00BD77D8" w:rsidRDefault="001A4361" w:rsidP="00CD1CA2">
      <w:pPr>
        <w:pStyle w:val="ListBullet"/>
        <w:ind w:left="357" w:hanging="357"/>
      </w:pPr>
      <w:r w:rsidRPr="00BD77D8">
        <w:t>demonstrating commitment to the co-design of new departmental policies and programs with seniors, people with disabilit</w:t>
      </w:r>
      <w:r w:rsidR="00BC7F2F" w:rsidRPr="00BD77D8">
        <w:t xml:space="preserve">y, </w:t>
      </w:r>
      <w:r w:rsidRPr="00BD77D8">
        <w:t xml:space="preserve">Aboriginal </w:t>
      </w:r>
      <w:r w:rsidR="004C7FBB" w:rsidRPr="00BD77D8">
        <w:t xml:space="preserve">peoples </w:t>
      </w:r>
      <w:r w:rsidRPr="00BD77D8">
        <w:t>and Torres Strait Islander peoples</w:t>
      </w:r>
      <w:r w:rsidR="009A185D" w:rsidRPr="00BD77D8">
        <w:t>.</w:t>
      </w:r>
    </w:p>
    <w:p w14:paraId="043F12EC" w14:textId="6380B270" w:rsidR="003C0DB9" w:rsidRPr="00BD77D8" w:rsidRDefault="003C0DB9" w:rsidP="00871AD2">
      <w:pPr>
        <w:pStyle w:val="ListBullet"/>
        <w:numPr>
          <w:ilvl w:val="0"/>
          <w:numId w:val="0"/>
        </w:numPr>
        <w:ind w:left="360" w:hanging="360"/>
      </w:pPr>
      <w:r w:rsidRPr="00BD77D8">
        <w:rPr>
          <w:b/>
          <w:bCs/>
        </w:rPr>
        <w:t>Foster safe and connected communities</w:t>
      </w:r>
      <w:r w:rsidR="00110C54" w:rsidRPr="00BD77D8">
        <w:rPr>
          <w:b/>
          <w:bCs/>
        </w:rPr>
        <w:t xml:space="preserve"> by:</w:t>
      </w:r>
    </w:p>
    <w:p w14:paraId="12BBDBC3" w14:textId="15B7D13F" w:rsidR="001A4361" w:rsidRPr="00BD77D8" w:rsidRDefault="001A4361" w:rsidP="001A4361">
      <w:pPr>
        <w:pStyle w:val="ListBullet"/>
        <w:rPr>
          <w:lang w:eastAsia="en-US"/>
        </w:rPr>
      </w:pPr>
      <w:r w:rsidRPr="00BD77D8">
        <w:rPr>
          <w:lang w:eastAsia="en-US"/>
        </w:rPr>
        <w:t>funding programs and services through competitive processes that generate best value and outcomes in safeguarding the wellbeing of older Queenslanders, including preventing and responding to elder abuse.</w:t>
      </w:r>
    </w:p>
    <w:bookmarkEnd w:id="84"/>
    <w:p w14:paraId="31D26D2B" w14:textId="599EEDA8" w:rsidR="00671ADD" w:rsidRPr="00BD77D8" w:rsidRDefault="00671ADD">
      <w:pPr>
        <w:spacing w:after="0" w:line="240" w:lineRule="auto"/>
        <w:rPr>
          <w:lang w:eastAsia="en-US"/>
        </w:rPr>
      </w:pPr>
      <w:r w:rsidRPr="00BD77D8">
        <w:rPr>
          <w:lang w:eastAsia="en-US"/>
        </w:rPr>
        <w:br w:type="page"/>
      </w:r>
    </w:p>
    <w:p w14:paraId="7A946CCE" w14:textId="5DCC7BF1" w:rsidR="00AE617E" w:rsidRPr="00BD77D8" w:rsidRDefault="00392640" w:rsidP="00AE617E">
      <w:pPr>
        <w:pStyle w:val="Heading1"/>
        <w:rPr>
          <w:b/>
          <w:bCs w:val="0"/>
          <w:color w:val="auto"/>
          <w:sz w:val="16"/>
          <w:szCs w:val="16"/>
        </w:rPr>
      </w:pPr>
      <w:bookmarkStart w:id="105" w:name="_Toc78287346"/>
      <w:bookmarkStart w:id="106" w:name="_Toc78355753"/>
      <w:bookmarkStart w:id="107" w:name="_Toc113544387"/>
      <w:bookmarkStart w:id="108" w:name="_Hlk115344832"/>
      <w:r w:rsidRPr="00BD77D8">
        <w:rPr>
          <w:color w:val="auto"/>
        </w:rPr>
        <w:lastRenderedPageBreak/>
        <w:t xml:space="preserve">03 </w:t>
      </w:r>
      <w:r w:rsidR="00886849" w:rsidRPr="00BD77D8">
        <w:rPr>
          <w:color w:val="auto"/>
        </w:rPr>
        <w:t>Disability Services</w:t>
      </w:r>
      <w:bookmarkEnd w:id="105"/>
      <w:bookmarkEnd w:id="106"/>
      <w:bookmarkEnd w:id="107"/>
      <w:r w:rsidR="00AE617E" w:rsidRPr="00BD77D8">
        <w:rPr>
          <w:color w:val="auto"/>
        </w:rPr>
        <w:t xml:space="preserve"> </w:t>
      </w:r>
    </w:p>
    <w:p w14:paraId="03F32C30" w14:textId="7484D3A7" w:rsidR="00CC56B5" w:rsidRPr="00BD77D8" w:rsidRDefault="00911CAF" w:rsidP="0018616D">
      <w:pPr>
        <w:pStyle w:val="Heading3"/>
        <w:rPr>
          <w:sz w:val="20"/>
          <w:szCs w:val="20"/>
        </w:rPr>
      </w:pPr>
      <w:r w:rsidRPr="00BD77D8">
        <w:t>SNAPSHOT OF ACHIEVEMENTS</w:t>
      </w:r>
      <w:r w:rsidRPr="00BD77D8">
        <w:rPr>
          <w:b/>
          <w:sz w:val="32"/>
          <w:szCs w:val="32"/>
        </w:rPr>
        <w:t xml:space="preserve"> </w:t>
      </w:r>
    </w:p>
    <w:p w14:paraId="4DF9E99F" w14:textId="3B0C085B" w:rsidR="007B13A7" w:rsidRPr="00BD77D8" w:rsidRDefault="00DB2EF1" w:rsidP="00FA4E24">
      <w:pPr>
        <w:spacing w:after="120" w:line="240" w:lineRule="auto"/>
        <w:jc w:val="center"/>
        <w:rPr>
          <w:rFonts w:eastAsia="Calibri"/>
          <w:b/>
          <w:bCs/>
          <w:sz w:val="16"/>
          <w:szCs w:val="16"/>
          <w:lang w:val="en-US" w:eastAsia="en-US"/>
        </w:rPr>
      </w:pPr>
      <w:r w:rsidRPr="00BD77D8">
        <w:rPr>
          <w:rFonts w:eastAsia="Calibri"/>
          <w:b/>
          <w:bCs/>
          <w:lang w:val="en-US" w:eastAsia="en-US"/>
        </w:rPr>
        <w:t>706</w:t>
      </w:r>
      <w:r w:rsidR="001F5611" w:rsidRPr="00BD77D8">
        <w:rPr>
          <w:rFonts w:eastAsia="Calibri"/>
          <w:b/>
          <w:bCs/>
          <w:lang w:val="en-US" w:eastAsia="en-US"/>
        </w:rPr>
        <w:t xml:space="preserve"> </w:t>
      </w:r>
    </w:p>
    <w:p w14:paraId="07845C0C" w14:textId="77777777" w:rsidR="007B13A7" w:rsidRPr="00BD77D8" w:rsidRDefault="007B13A7" w:rsidP="007B13A7">
      <w:pPr>
        <w:pBdr>
          <w:bottom w:val="single" w:sz="4" w:space="1" w:color="auto"/>
        </w:pBdr>
        <w:spacing w:after="0"/>
        <w:jc w:val="center"/>
        <w:rPr>
          <w:rFonts w:eastAsia="Calibri"/>
          <w:b/>
          <w:lang w:val="en-US" w:eastAsia="en-US"/>
        </w:rPr>
      </w:pPr>
      <w:r w:rsidRPr="00BD77D8">
        <w:rPr>
          <w:rFonts w:eastAsia="Calibri"/>
          <w:b/>
          <w:lang w:val="en-US" w:eastAsia="en-US"/>
        </w:rPr>
        <w:t xml:space="preserve">NUMBER OF PEOPLE WITH DISABILITY </w:t>
      </w:r>
    </w:p>
    <w:p w14:paraId="0780A4FE" w14:textId="3486A4C3" w:rsidR="00D51181" w:rsidRPr="00BD77D8" w:rsidRDefault="00265A5D" w:rsidP="007625C3">
      <w:pPr>
        <w:pBdr>
          <w:bottom w:val="single" w:sz="4" w:space="1" w:color="auto"/>
        </w:pBdr>
        <w:jc w:val="center"/>
        <w:rPr>
          <w:rFonts w:eastAsia="Calibri"/>
          <w:lang w:val="en-US" w:eastAsia="en-US"/>
        </w:rPr>
      </w:pPr>
      <w:r w:rsidRPr="00BD77D8">
        <w:rPr>
          <w:rFonts w:eastAsia="Calibri"/>
          <w:bCs/>
          <w:lang w:val="en-US" w:eastAsia="en-US"/>
        </w:rPr>
        <w:t>WHO HAD AT LEAST ONE STAY DURING 2021</w:t>
      </w:r>
      <w:r w:rsidR="001F264E" w:rsidRPr="00BD77D8">
        <w:t>–</w:t>
      </w:r>
      <w:r w:rsidRPr="00BD77D8">
        <w:rPr>
          <w:rFonts w:eastAsia="Calibri"/>
          <w:bCs/>
          <w:lang w:val="en-US" w:eastAsia="en-US"/>
        </w:rPr>
        <w:t xml:space="preserve">2022 WITH THE </w:t>
      </w:r>
      <w:r w:rsidRPr="00BD77D8">
        <w:rPr>
          <w:rFonts w:eastAsia="Calibri"/>
          <w:lang w:val="en-US" w:eastAsia="en-US"/>
        </w:rPr>
        <w:t xml:space="preserve">DEPARTMENTAL </w:t>
      </w:r>
      <w:r w:rsidR="007B13A7" w:rsidRPr="00BD77D8">
        <w:rPr>
          <w:rFonts w:eastAsia="Calibri"/>
          <w:lang w:val="en-US" w:eastAsia="en-US"/>
        </w:rPr>
        <w:t xml:space="preserve">ACCOMMODATION AND RESPITE SUPPORT </w:t>
      </w:r>
      <w:proofErr w:type="gramStart"/>
      <w:r w:rsidR="007B13A7" w:rsidRPr="00BD77D8">
        <w:rPr>
          <w:rFonts w:eastAsia="Calibri"/>
          <w:lang w:val="en-US" w:eastAsia="en-US"/>
        </w:rPr>
        <w:t>SERVICES</w:t>
      </w:r>
      <w:proofErr w:type="gramEnd"/>
    </w:p>
    <w:p w14:paraId="24611CF3" w14:textId="4A4FAA5D" w:rsidR="007B13A7" w:rsidRPr="00BD77D8" w:rsidRDefault="007625C3" w:rsidP="00FA4E24">
      <w:pPr>
        <w:spacing w:after="120" w:line="240" w:lineRule="auto"/>
        <w:jc w:val="center"/>
        <w:rPr>
          <w:b/>
          <w:bCs/>
        </w:rPr>
      </w:pPr>
      <w:r w:rsidRPr="00BD77D8">
        <w:rPr>
          <w:b/>
          <w:bCs/>
        </w:rPr>
        <w:t>3,070</w:t>
      </w:r>
    </w:p>
    <w:p w14:paraId="3CA06DB8" w14:textId="77777777" w:rsidR="007B13A7" w:rsidRPr="00BD77D8" w:rsidRDefault="007B13A7" w:rsidP="007B13A7">
      <w:pPr>
        <w:pBdr>
          <w:bottom w:val="single" w:sz="4" w:space="1" w:color="auto"/>
        </w:pBdr>
        <w:jc w:val="center"/>
      </w:pPr>
      <w:r w:rsidRPr="00BD77D8">
        <w:rPr>
          <w:b/>
          <w:bCs/>
        </w:rPr>
        <w:t>QUEENSLANDERS WITH DISABILITY</w:t>
      </w:r>
      <w:r w:rsidRPr="00BD77D8">
        <w:br/>
        <w:t>ASSISTED BY THE ASSESSMENT AND REFERRAL TEAM (ART) TO ACCESS THE NDIS</w:t>
      </w:r>
    </w:p>
    <w:p w14:paraId="56277DED" w14:textId="57633839" w:rsidR="007B13A7" w:rsidRPr="00BD77D8" w:rsidRDefault="009A185D" w:rsidP="007625C3">
      <w:pPr>
        <w:spacing w:after="120" w:line="240" w:lineRule="auto"/>
        <w:jc w:val="center"/>
        <w:rPr>
          <w:b/>
        </w:rPr>
      </w:pPr>
      <w:r w:rsidRPr="00BD77D8">
        <w:rPr>
          <w:b/>
        </w:rPr>
        <w:t>86,852</w:t>
      </w:r>
    </w:p>
    <w:p w14:paraId="3B13DD41" w14:textId="49F8091E" w:rsidR="007B13A7" w:rsidRPr="00BD77D8" w:rsidRDefault="007B13A7" w:rsidP="007B13A7">
      <w:pPr>
        <w:pBdr>
          <w:bottom w:val="single" w:sz="4" w:space="1" w:color="auto"/>
        </w:pBdr>
        <w:spacing w:after="0"/>
        <w:jc w:val="center"/>
      </w:pPr>
      <w:r w:rsidRPr="00BD77D8">
        <w:rPr>
          <w:b/>
        </w:rPr>
        <w:t>CLEARANCES FOR PEOPLE TO COMMENCE WORK</w:t>
      </w:r>
      <w:r w:rsidRPr="00BD77D8">
        <w:rPr>
          <w:bCs/>
        </w:rPr>
        <w:br/>
      </w:r>
      <w:r w:rsidRPr="00BD77D8">
        <w:t>IN NDIS ROLES THROUGHOUT QUEENSLAND</w:t>
      </w:r>
    </w:p>
    <w:p w14:paraId="3AE0A670" w14:textId="1470CED5" w:rsidR="007B13A7" w:rsidRPr="00BD77D8" w:rsidRDefault="009A185D" w:rsidP="00A91895">
      <w:pPr>
        <w:spacing w:before="240" w:after="120" w:line="240" w:lineRule="auto"/>
        <w:jc w:val="center"/>
        <w:rPr>
          <w:b/>
        </w:rPr>
      </w:pPr>
      <w:r w:rsidRPr="00BD77D8">
        <w:rPr>
          <w:b/>
        </w:rPr>
        <w:t>232</w:t>
      </w:r>
    </w:p>
    <w:p w14:paraId="575DDBB2" w14:textId="211CE01F" w:rsidR="007B13A7" w:rsidRPr="00BD77D8" w:rsidRDefault="007B13A7" w:rsidP="007B13A7">
      <w:pPr>
        <w:pBdr>
          <w:bottom w:val="single" w:sz="4" w:space="1" w:color="auto"/>
        </w:pBdr>
        <w:spacing w:after="0"/>
        <w:jc w:val="center"/>
        <w:rPr>
          <w:b/>
        </w:rPr>
      </w:pPr>
      <w:r w:rsidRPr="00BD77D8">
        <w:rPr>
          <w:b/>
        </w:rPr>
        <w:t>ORGANISATIONS WERE</w:t>
      </w:r>
      <w:r w:rsidR="009A185D" w:rsidRPr="00BD77D8">
        <w:rPr>
          <w:b/>
        </w:rPr>
        <w:t xml:space="preserve"> IN-SCOPE</w:t>
      </w:r>
      <w:r w:rsidRPr="00BD77D8">
        <w:rPr>
          <w:b/>
        </w:rPr>
        <w:t xml:space="preserve"> OF INDEPENDENT AUDITS</w:t>
      </w:r>
    </w:p>
    <w:p w14:paraId="46C220AB" w14:textId="77777777" w:rsidR="007B13A7" w:rsidRPr="00BD77D8" w:rsidRDefault="007B13A7" w:rsidP="007B13A7">
      <w:pPr>
        <w:pBdr>
          <w:bottom w:val="single" w:sz="4" w:space="1" w:color="auto"/>
        </w:pBdr>
        <w:jc w:val="center"/>
      </w:pPr>
      <w:r w:rsidRPr="00BD77D8">
        <w:t>RELATED TO COMPLIANCE WITH THE HUMAN SERVICES QUALITY FRAMEWORK</w:t>
      </w:r>
    </w:p>
    <w:p w14:paraId="550427B4" w14:textId="40808D90" w:rsidR="00987E91" w:rsidRPr="00BD77D8" w:rsidRDefault="00801826" w:rsidP="0018616D">
      <w:pPr>
        <w:pStyle w:val="Heading3"/>
      </w:pPr>
      <w:bookmarkStart w:id="109" w:name="_Hlk78189236"/>
      <w:bookmarkStart w:id="110" w:name="_Toc43444758"/>
      <w:r w:rsidRPr="00BD77D8">
        <w:t>DELIVERED DEPARTMENTAL OBJECTIVES</w:t>
      </w:r>
    </w:p>
    <w:p w14:paraId="6E68F5FE" w14:textId="6651B17E" w:rsidR="001A6382" w:rsidRPr="00BD77D8" w:rsidRDefault="00801826" w:rsidP="007524AB">
      <w:r w:rsidRPr="00BD77D8">
        <w:t xml:space="preserve">IMPROVED OUTCOMES FOR </w:t>
      </w:r>
      <w:bookmarkEnd w:id="109"/>
      <w:r w:rsidRPr="00BD77D8">
        <w:t>PEOPLE WITH DISABILITY BY:</w:t>
      </w:r>
    </w:p>
    <w:p w14:paraId="7E3D5B8E" w14:textId="6132BD3B" w:rsidR="00ED253B" w:rsidRPr="00BD77D8" w:rsidRDefault="00ED253B" w:rsidP="00ED253B">
      <w:pPr>
        <w:pStyle w:val="ListBullet"/>
        <w:rPr>
          <w:lang w:eastAsia="en-US"/>
        </w:rPr>
      </w:pPr>
      <w:bookmarkStart w:id="111" w:name="_Toc78287348"/>
      <w:bookmarkStart w:id="112" w:name="_Toc78355755"/>
      <w:r w:rsidRPr="00BD77D8">
        <w:rPr>
          <w:b/>
          <w:bCs/>
          <w:lang w:eastAsia="en-US"/>
        </w:rPr>
        <w:t>PROMOT</w:t>
      </w:r>
      <w:r w:rsidR="00911CAF" w:rsidRPr="00BD77D8">
        <w:rPr>
          <w:b/>
          <w:bCs/>
          <w:lang w:eastAsia="en-US"/>
        </w:rPr>
        <w:t>ING</w:t>
      </w:r>
      <w:r w:rsidRPr="00BD77D8">
        <w:rPr>
          <w:lang w:eastAsia="en-US"/>
        </w:rPr>
        <w:t xml:space="preserve"> INCLUSION AND ACCESS TO PROGRAMS AND SERVICES</w:t>
      </w:r>
    </w:p>
    <w:p w14:paraId="12EE5A2A" w14:textId="2FBD684C" w:rsidR="00ED253B" w:rsidRPr="00BD77D8" w:rsidRDefault="00ED253B" w:rsidP="00ED253B">
      <w:pPr>
        <w:pStyle w:val="ListBullet"/>
        <w:rPr>
          <w:lang w:eastAsia="en-US"/>
        </w:rPr>
      </w:pPr>
      <w:r w:rsidRPr="00BD77D8">
        <w:rPr>
          <w:b/>
          <w:bCs/>
          <w:lang w:eastAsia="en-US"/>
        </w:rPr>
        <w:t>INCREAS</w:t>
      </w:r>
      <w:r w:rsidR="00911CAF" w:rsidRPr="00BD77D8">
        <w:rPr>
          <w:b/>
          <w:bCs/>
          <w:lang w:eastAsia="en-US"/>
        </w:rPr>
        <w:t>ING</w:t>
      </w:r>
      <w:r w:rsidRPr="00BD77D8">
        <w:rPr>
          <w:b/>
          <w:bCs/>
          <w:lang w:eastAsia="en-US"/>
        </w:rPr>
        <w:t xml:space="preserve"> </w:t>
      </w:r>
      <w:r w:rsidRPr="00BD77D8">
        <w:rPr>
          <w:lang w:eastAsia="en-US"/>
        </w:rPr>
        <w:t>ENGAGEMENT THROUGH CO-DESIGN</w:t>
      </w:r>
    </w:p>
    <w:p w14:paraId="5D05AF3C" w14:textId="7844EECA" w:rsidR="00ED253B" w:rsidRPr="00BD77D8" w:rsidRDefault="00ED253B" w:rsidP="00ED253B">
      <w:pPr>
        <w:pStyle w:val="ListBullet"/>
        <w:rPr>
          <w:lang w:eastAsia="en-US"/>
        </w:rPr>
      </w:pPr>
      <w:r w:rsidRPr="00BD77D8">
        <w:rPr>
          <w:b/>
          <w:bCs/>
          <w:lang w:eastAsia="en-US"/>
        </w:rPr>
        <w:t>INFLUENC</w:t>
      </w:r>
      <w:r w:rsidR="00911CAF" w:rsidRPr="00BD77D8">
        <w:rPr>
          <w:b/>
          <w:bCs/>
          <w:lang w:eastAsia="en-US"/>
        </w:rPr>
        <w:t>ING</w:t>
      </w:r>
      <w:r w:rsidRPr="00BD77D8">
        <w:rPr>
          <w:b/>
          <w:bCs/>
          <w:lang w:eastAsia="en-US"/>
        </w:rPr>
        <w:t xml:space="preserve"> </w:t>
      </w:r>
      <w:r w:rsidRPr="00BD77D8">
        <w:rPr>
          <w:lang w:eastAsia="en-US"/>
        </w:rPr>
        <w:t>SOCIAL AND ECONOMIC OUTCOMES</w:t>
      </w:r>
    </w:p>
    <w:p w14:paraId="3E20708E" w14:textId="7F4EDB9C" w:rsidR="00ED253B" w:rsidRPr="00BD77D8" w:rsidRDefault="00ED253B" w:rsidP="00ED253B">
      <w:pPr>
        <w:pStyle w:val="ListBullet"/>
        <w:rPr>
          <w:lang w:eastAsia="en-US"/>
        </w:rPr>
      </w:pPr>
      <w:r w:rsidRPr="00BD77D8">
        <w:rPr>
          <w:b/>
          <w:bCs/>
          <w:lang w:eastAsia="en-US"/>
        </w:rPr>
        <w:t>FOSTER</w:t>
      </w:r>
      <w:r w:rsidR="00911CAF" w:rsidRPr="00BD77D8">
        <w:rPr>
          <w:b/>
          <w:bCs/>
          <w:lang w:eastAsia="en-US"/>
        </w:rPr>
        <w:t>ING</w:t>
      </w:r>
      <w:r w:rsidRPr="00BD77D8">
        <w:rPr>
          <w:b/>
          <w:bCs/>
          <w:lang w:eastAsia="en-US"/>
        </w:rPr>
        <w:t xml:space="preserve"> </w:t>
      </w:r>
      <w:r w:rsidRPr="00BD77D8">
        <w:rPr>
          <w:lang w:eastAsia="en-US"/>
        </w:rPr>
        <w:t>SAFE AND CONNECTED COMMUNITIES</w:t>
      </w:r>
    </w:p>
    <w:p w14:paraId="2F8FA53D" w14:textId="1AF6AA68" w:rsidR="00D55B73" w:rsidRPr="00BD77D8" w:rsidRDefault="00987E91" w:rsidP="00042900">
      <w:pPr>
        <w:pStyle w:val="Heading2"/>
        <w:rPr>
          <w:color w:val="auto"/>
        </w:rPr>
      </w:pPr>
      <w:bookmarkStart w:id="113" w:name="_Toc113544388"/>
      <w:r w:rsidRPr="00BD77D8">
        <w:rPr>
          <w:color w:val="auto"/>
        </w:rPr>
        <w:t>S</w:t>
      </w:r>
      <w:r w:rsidR="00911CAF" w:rsidRPr="00BD77D8">
        <w:rPr>
          <w:color w:val="auto"/>
        </w:rPr>
        <w:t>trategic Overview</w:t>
      </w:r>
      <w:bookmarkEnd w:id="113"/>
    </w:p>
    <w:p w14:paraId="51B0E6D0" w14:textId="7ED44C21" w:rsidR="00D55B73" w:rsidRPr="00BD77D8" w:rsidRDefault="00AE617E" w:rsidP="00B856A7">
      <w:r w:rsidRPr="00BD77D8">
        <w:t xml:space="preserve">The department improves </w:t>
      </w:r>
      <w:r w:rsidR="001C22E9" w:rsidRPr="00BD77D8">
        <w:t>social and economic outcomes of people with disability through the delivery of quality accommodation support and respite services, access to opportunities provided through the National Disability Insurance Scheme (NDIS), and by contributing to systems that safeguard and protect the rights of people with disability</w:t>
      </w:r>
      <w:r w:rsidR="00D55B73" w:rsidRPr="00BD77D8">
        <w:t>.</w:t>
      </w:r>
    </w:p>
    <w:p w14:paraId="11B334BE" w14:textId="624A9C93" w:rsidR="00A1591D" w:rsidRPr="00BD77D8" w:rsidRDefault="00A1591D" w:rsidP="0018616D">
      <w:pPr>
        <w:pStyle w:val="Heading3"/>
      </w:pPr>
      <w:r w:rsidRPr="00BD77D8">
        <w:t xml:space="preserve">NDIS </w:t>
      </w:r>
      <w:r w:rsidR="00E13E9F" w:rsidRPr="00BD77D8">
        <w:t xml:space="preserve">Full Scheme Agreement and </w:t>
      </w:r>
      <w:r w:rsidRPr="00BD77D8">
        <w:t>participation</w:t>
      </w:r>
      <w:bookmarkEnd w:id="111"/>
      <w:bookmarkEnd w:id="112"/>
      <w:r w:rsidRPr="00BD77D8">
        <w:t xml:space="preserve"> </w:t>
      </w:r>
    </w:p>
    <w:p w14:paraId="16781BDF" w14:textId="1DA5CF0A" w:rsidR="00A1591D" w:rsidRPr="00BD77D8" w:rsidRDefault="00A1591D" w:rsidP="00B856A7">
      <w:bookmarkStart w:id="114" w:name="_Hlk77073010"/>
      <w:r w:rsidRPr="00BD77D8">
        <w:t xml:space="preserve">The department continues to work with the Commonwealth Government to </w:t>
      </w:r>
      <w:r w:rsidR="0044127A" w:rsidRPr="00BD77D8">
        <w:t xml:space="preserve">ensure equitable access to the NDIS for all eligible </w:t>
      </w:r>
      <w:r w:rsidRPr="00BD77D8">
        <w:t>Queenslanders. It also chairs a Queensland Government inter</w:t>
      </w:r>
      <w:r w:rsidR="00CA5820" w:rsidRPr="00BD77D8">
        <w:t>-</w:t>
      </w:r>
      <w:r w:rsidRPr="00BD77D8">
        <w:t>departmental oversight committee</w:t>
      </w:r>
      <w:r w:rsidR="002E5CFC" w:rsidRPr="00BD77D8">
        <w:t>,</w:t>
      </w:r>
      <w:r w:rsidRPr="00BD77D8">
        <w:t xml:space="preserve"> which monitors the ongoing implementation of the NDIS in Queensland and other priority matters relating to disability reform. </w:t>
      </w:r>
    </w:p>
    <w:p w14:paraId="18D1F236" w14:textId="67194C2C" w:rsidR="00A1591D" w:rsidRPr="00BD77D8" w:rsidRDefault="00A1591D" w:rsidP="00B856A7">
      <w:r w:rsidRPr="00BD77D8">
        <w:t>The department is working with the National Disability Insurance Agency (NDIA) to grow the NDIS market in areas where it has not developed as expected</w:t>
      </w:r>
      <w:r w:rsidR="00987E91" w:rsidRPr="00BD77D8">
        <w:t>,</w:t>
      </w:r>
      <w:r w:rsidRPr="00BD77D8">
        <w:t xml:space="preserve"> and </w:t>
      </w:r>
      <w:r w:rsidR="00987E91" w:rsidRPr="00BD77D8">
        <w:t xml:space="preserve">to </w:t>
      </w:r>
      <w:r w:rsidRPr="00BD77D8">
        <w:t xml:space="preserve">identify opportunities for growth </w:t>
      </w:r>
      <w:r w:rsidR="00CA5820" w:rsidRPr="00BD77D8">
        <w:t>in the</w:t>
      </w:r>
      <w:r w:rsidRPr="00BD77D8">
        <w:t xml:space="preserve"> local workforce.</w:t>
      </w:r>
    </w:p>
    <w:p w14:paraId="4945BDEF" w14:textId="7390CD0F" w:rsidR="00A1591D" w:rsidRPr="00BD77D8" w:rsidRDefault="00A1591D" w:rsidP="00B856A7">
      <w:pPr>
        <w:rPr>
          <w:bCs/>
          <w:iCs/>
        </w:rPr>
      </w:pPr>
      <w:bookmarkStart w:id="115" w:name="_Hlk76639591"/>
      <w:r w:rsidRPr="00BD77D8">
        <w:rPr>
          <w:bCs/>
          <w:iCs/>
        </w:rPr>
        <w:t xml:space="preserve">The department receives complaints and concerns by </w:t>
      </w:r>
      <w:r w:rsidR="00FF31F2" w:rsidRPr="00BD77D8">
        <w:rPr>
          <w:bCs/>
          <w:iCs/>
        </w:rPr>
        <w:t xml:space="preserve">NDIS </w:t>
      </w:r>
      <w:r w:rsidRPr="00BD77D8">
        <w:rPr>
          <w:bCs/>
          <w:iCs/>
        </w:rPr>
        <w:t xml:space="preserve">participants </w:t>
      </w:r>
      <w:r w:rsidR="00FF31F2" w:rsidRPr="00BD77D8">
        <w:rPr>
          <w:bCs/>
          <w:iCs/>
        </w:rPr>
        <w:t>about</w:t>
      </w:r>
      <w:r w:rsidRPr="00BD77D8">
        <w:rPr>
          <w:bCs/>
          <w:iCs/>
        </w:rPr>
        <w:t xml:space="preserve"> NDIS </w:t>
      </w:r>
      <w:r w:rsidR="00FF31F2" w:rsidRPr="00BD77D8">
        <w:rPr>
          <w:bCs/>
          <w:iCs/>
        </w:rPr>
        <w:t>issues impacting them</w:t>
      </w:r>
      <w:r w:rsidRPr="00BD77D8">
        <w:rPr>
          <w:bCs/>
          <w:iCs/>
        </w:rPr>
        <w:t xml:space="preserve">, including plan funding </w:t>
      </w:r>
      <w:r w:rsidR="00D76D89" w:rsidRPr="00BD77D8">
        <w:rPr>
          <w:bCs/>
          <w:iCs/>
        </w:rPr>
        <w:t xml:space="preserve">and </w:t>
      </w:r>
      <w:r w:rsidRPr="00BD77D8">
        <w:rPr>
          <w:bCs/>
          <w:iCs/>
        </w:rPr>
        <w:t>approval of necessary supports</w:t>
      </w:r>
      <w:r w:rsidR="00694E42" w:rsidRPr="00BD77D8">
        <w:rPr>
          <w:bCs/>
          <w:iCs/>
        </w:rPr>
        <w:t>,</w:t>
      </w:r>
      <w:r w:rsidRPr="00BD77D8">
        <w:rPr>
          <w:bCs/>
          <w:iCs/>
        </w:rPr>
        <w:t xml:space="preserve"> and provider service delivery. The department ensures that NDIS concerns are escalated to the NDIA or the NDIS Quality and Safeguard Commission for necessary action. This includes identifying potential systemic issues affecting Queensland NDIS participants.</w:t>
      </w:r>
    </w:p>
    <w:p w14:paraId="13945C22" w14:textId="34AD0162" w:rsidR="00A1591D" w:rsidRPr="00BD77D8" w:rsidRDefault="00A1591D" w:rsidP="00B856A7">
      <w:pPr>
        <w:rPr>
          <w:bCs/>
          <w:iCs/>
        </w:rPr>
      </w:pPr>
      <w:r w:rsidRPr="00BD77D8">
        <w:rPr>
          <w:bCs/>
          <w:iCs/>
        </w:rPr>
        <w:t xml:space="preserve">Through this work, and our relationship with funded advocacy services and peak bodies, </w:t>
      </w:r>
      <w:r w:rsidR="00B43A32" w:rsidRPr="00BD77D8">
        <w:rPr>
          <w:bCs/>
          <w:iCs/>
        </w:rPr>
        <w:t>the department</w:t>
      </w:r>
      <w:r w:rsidRPr="00BD77D8">
        <w:rPr>
          <w:bCs/>
          <w:iCs/>
        </w:rPr>
        <w:t xml:space="preserve"> monitor</w:t>
      </w:r>
      <w:r w:rsidR="00B43A32" w:rsidRPr="00BD77D8">
        <w:rPr>
          <w:bCs/>
          <w:iCs/>
        </w:rPr>
        <w:t>s</w:t>
      </w:r>
      <w:r w:rsidRPr="00BD77D8">
        <w:rPr>
          <w:bCs/>
          <w:iCs/>
        </w:rPr>
        <w:t xml:space="preserve"> systemic issues impacting participants, families and guardians and escalates concerns </w:t>
      </w:r>
      <w:r w:rsidR="00FF31F2" w:rsidRPr="00BD77D8">
        <w:rPr>
          <w:bCs/>
          <w:iCs/>
        </w:rPr>
        <w:t>through</w:t>
      </w:r>
      <w:r w:rsidR="00281FCF" w:rsidRPr="00BD77D8">
        <w:rPr>
          <w:bCs/>
          <w:iCs/>
        </w:rPr>
        <w:t xml:space="preserve"> </w:t>
      </w:r>
      <w:r w:rsidRPr="00BD77D8">
        <w:rPr>
          <w:bCs/>
          <w:iCs/>
        </w:rPr>
        <w:t>the relevant governance mechanisms</w:t>
      </w:r>
      <w:r w:rsidR="0044127A" w:rsidRPr="00BD77D8">
        <w:rPr>
          <w:bCs/>
          <w:iCs/>
        </w:rPr>
        <w:t>, including the national Disability Reform Ministers Meeting.</w:t>
      </w:r>
    </w:p>
    <w:p w14:paraId="13464D01" w14:textId="77777777" w:rsidR="00056A2C" w:rsidRPr="00BD77D8" w:rsidRDefault="00056A2C" w:rsidP="00056A2C">
      <w:pPr>
        <w:rPr>
          <w:bCs/>
          <w:iCs/>
        </w:rPr>
      </w:pPr>
      <w:r w:rsidRPr="00BD77D8">
        <w:rPr>
          <w:bCs/>
          <w:iCs/>
        </w:rPr>
        <w:lastRenderedPageBreak/>
        <w:t>The Disability Connect and Outreach Program (DCOP) has continued to deliver a suite of projects to increase NDIS participation in Queensland. This included the Assessment and Referral Team (ART) work to assist 3,070 Queenslanders with disability to access the NDIS since February 2020. The total value in NDIS plans for the 2,867 people supported by ART who already have a NDIS plan in place is almost $332 million. More than 43 per cent of these people had previously tried to access the NDIS but were unsuccessful.</w:t>
      </w:r>
    </w:p>
    <w:p w14:paraId="2587D772" w14:textId="5942C69C" w:rsidR="00067ADB" w:rsidRPr="00BD77D8" w:rsidRDefault="00067ADB" w:rsidP="00067ADB">
      <w:pPr>
        <w:rPr>
          <w:bCs/>
          <w:iCs/>
        </w:rPr>
      </w:pPr>
      <w:r w:rsidRPr="00BD77D8">
        <w:rPr>
          <w:bCs/>
          <w:iCs/>
        </w:rPr>
        <w:t xml:space="preserve">The department continued to partner with the Queenslanders with Disability Network (QDN) to provide assertive outreach services to vulnerable Queenslanders who are hard to reach and often experience multiple layers of disadvantage. The Targeted Outreach Project (TOP) worked to build trusting and positive relationships with clients, and provide referrals to ART for assistance to apply to the NDIS. Over the course of the project almost 18 per cent of all referrals made to ART were from the TOP.  </w:t>
      </w:r>
    </w:p>
    <w:p w14:paraId="62048715" w14:textId="77777777" w:rsidR="00056A2C" w:rsidRPr="00BD77D8" w:rsidRDefault="00056A2C" w:rsidP="00056A2C">
      <w:pPr>
        <w:rPr>
          <w:bCs/>
          <w:iCs/>
        </w:rPr>
      </w:pPr>
      <w:r w:rsidRPr="00BD77D8">
        <w:rPr>
          <w:bCs/>
          <w:iCs/>
        </w:rPr>
        <w:t>DCOP delivered the First Nations NDIS Business Development Seminar Series, which included online and in</w:t>
      </w:r>
      <w:r w:rsidRPr="00BD77D8">
        <w:rPr>
          <w:bCs/>
          <w:iCs/>
        </w:rPr>
        <w:noBreakHyphen/>
        <w:t>person seminars to 131 people across the state. The seminars provided business intelligence and advice about NDIS business development opportunities for existing or potential First Nations providers who are considering entering the NDIS market.</w:t>
      </w:r>
    </w:p>
    <w:p w14:paraId="05B57ED8" w14:textId="77777777" w:rsidR="001F264E" w:rsidRPr="00BD77D8" w:rsidRDefault="001F264E" w:rsidP="001F264E">
      <w:pPr>
        <w:rPr>
          <w:bCs/>
          <w:iCs/>
        </w:rPr>
      </w:pPr>
      <w:r w:rsidRPr="00BD77D8">
        <w:rPr>
          <w:bCs/>
          <w:iCs/>
        </w:rPr>
        <w:t>DCOP has also commissioned research to better understand the barriers and enablers of NDIS plan utilisation in Queensland for First Nations participants and those living in rural and remote areas. Once finalised, the findings from this research will contribute to a wider study seeking to understand the factors influencing plan utilisation across Australia.</w:t>
      </w:r>
    </w:p>
    <w:p w14:paraId="6C1ADD86" w14:textId="23B8F8CD" w:rsidR="00067ADB" w:rsidRPr="00BD77D8" w:rsidRDefault="00067ADB" w:rsidP="00067ADB">
      <w:pPr>
        <w:rPr>
          <w:bCs/>
          <w:iCs/>
        </w:rPr>
      </w:pPr>
      <w:r w:rsidRPr="00BD77D8">
        <w:rPr>
          <w:bCs/>
          <w:iCs/>
        </w:rPr>
        <w:t>In this reporting period</w:t>
      </w:r>
      <w:r w:rsidR="00F0441E" w:rsidRPr="00BD77D8">
        <w:rPr>
          <w:bCs/>
          <w:iCs/>
        </w:rPr>
        <w:t>,</w:t>
      </w:r>
      <w:r w:rsidRPr="00BD77D8">
        <w:rPr>
          <w:bCs/>
          <w:iCs/>
        </w:rPr>
        <w:t xml:space="preserve"> over 20,000 Queenslanders with disability received a plan of funded NDIS supports, with 96 per cent receiving funded disability services for the first time.</w:t>
      </w:r>
    </w:p>
    <w:bookmarkEnd w:id="114"/>
    <w:bookmarkEnd w:id="115"/>
    <w:p w14:paraId="5857B0AE" w14:textId="77777777" w:rsidR="00A1591D" w:rsidRPr="00BD77D8" w:rsidRDefault="00A1591D" w:rsidP="00671ADD">
      <w:pPr>
        <w:spacing w:after="120" w:line="240" w:lineRule="auto"/>
        <w:rPr>
          <w:b/>
          <w:bCs/>
        </w:rPr>
      </w:pPr>
      <w:r w:rsidRPr="00BD77D8">
        <w:rPr>
          <w:b/>
          <w:bCs/>
        </w:rPr>
        <w:t>Key achievements</w:t>
      </w:r>
    </w:p>
    <w:p w14:paraId="3721FA7F" w14:textId="261938D7" w:rsidR="00A1591D" w:rsidRPr="00BD77D8" w:rsidRDefault="00A1591D" w:rsidP="00671ADD">
      <w:pPr>
        <w:spacing w:after="120" w:line="240" w:lineRule="auto"/>
        <w:rPr>
          <w:sz w:val="20"/>
          <w:szCs w:val="20"/>
          <w:lang w:eastAsia="en-US"/>
        </w:rPr>
      </w:pPr>
      <w:r w:rsidRPr="00BD77D8">
        <w:rPr>
          <w:lang w:eastAsia="en-US"/>
        </w:rPr>
        <w:t>During the reporting period</w:t>
      </w:r>
      <w:r w:rsidR="00CA5820" w:rsidRPr="00BD77D8">
        <w:rPr>
          <w:lang w:eastAsia="en-US"/>
        </w:rPr>
        <w:t>,</w:t>
      </w:r>
      <w:r w:rsidRPr="00BD77D8">
        <w:rPr>
          <w:lang w:eastAsia="en-US"/>
        </w:rPr>
        <w:t xml:space="preserve"> the department:</w:t>
      </w:r>
    </w:p>
    <w:p w14:paraId="2D93BA92" w14:textId="3AA2069A" w:rsidR="00A1591D" w:rsidRPr="00BD77D8" w:rsidRDefault="00A1591D" w:rsidP="005A1C92">
      <w:pPr>
        <w:pStyle w:val="ListParagraph"/>
        <w:numPr>
          <w:ilvl w:val="0"/>
          <w:numId w:val="57"/>
        </w:numPr>
        <w:rPr>
          <w:iCs/>
        </w:rPr>
      </w:pPr>
      <w:r w:rsidRPr="00BD77D8">
        <w:rPr>
          <w:iCs/>
        </w:rPr>
        <w:t xml:space="preserve">completed </w:t>
      </w:r>
      <w:r w:rsidR="00067ADB" w:rsidRPr="00BD77D8">
        <w:rPr>
          <w:iCs/>
        </w:rPr>
        <w:t xml:space="preserve">86,852 </w:t>
      </w:r>
      <w:r w:rsidRPr="00BD77D8">
        <w:rPr>
          <w:iCs/>
        </w:rPr>
        <w:t>worker screening clearances through the new NDIS Worker Screening system</w:t>
      </w:r>
    </w:p>
    <w:p w14:paraId="1769441D" w14:textId="6F36D79A" w:rsidR="00A1591D" w:rsidRPr="00BD77D8" w:rsidRDefault="00A1591D" w:rsidP="005A1C92">
      <w:pPr>
        <w:pStyle w:val="ListParagraph"/>
        <w:numPr>
          <w:ilvl w:val="0"/>
          <w:numId w:val="57"/>
        </w:numPr>
        <w:rPr>
          <w:iCs/>
        </w:rPr>
      </w:pPr>
      <w:r w:rsidRPr="00BD77D8">
        <w:rPr>
          <w:iCs/>
        </w:rPr>
        <w:t>prevented</w:t>
      </w:r>
      <w:r w:rsidR="00067ADB" w:rsidRPr="00BD77D8">
        <w:rPr>
          <w:iCs/>
        </w:rPr>
        <w:t xml:space="preserve"> 289</w:t>
      </w:r>
      <w:r w:rsidRPr="00BD77D8">
        <w:rPr>
          <w:iCs/>
        </w:rPr>
        <w:t xml:space="preserve"> high</w:t>
      </w:r>
      <w:r w:rsidR="001F264E" w:rsidRPr="00BD77D8">
        <w:rPr>
          <w:iCs/>
        </w:rPr>
        <w:t>-</w:t>
      </w:r>
      <w:r w:rsidRPr="00BD77D8">
        <w:rPr>
          <w:iCs/>
        </w:rPr>
        <w:t>risk individuals from working with people with a disability through screening processes in Queensland</w:t>
      </w:r>
    </w:p>
    <w:p w14:paraId="3A6BAA20" w14:textId="06CABAC4" w:rsidR="00F60D5A" w:rsidRPr="00BD77D8" w:rsidRDefault="00F60D5A" w:rsidP="005A1C92">
      <w:pPr>
        <w:pStyle w:val="ListParagraph"/>
        <w:numPr>
          <w:ilvl w:val="0"/>
          <w:numId w:val="57"/>
        </w:numPr>
        <w:rPr>
          <w:iCs/>
        </w:rPr>
      </w:pPr>
      <w:r w:rsidRPr="00BD77D8">
        <w:rPr>
          <w:iCs/>
        </w:rPr>
        <w:t>assessed</w:t>
      </w:r>
      <w:r w:rsidR="00AF31DD" w:rsidRPr="00BD77D8">
        <w:rPr>
          <w:iCs/>
        </w:rPr>
        <w:t>,</w:t>
      </w:r>
      <w:r w:rsidRPr="00BD77D8">
        <w:rPr>
          <w:iCs/>
        </w:rPr>
        <w:t xml:space="preserve"> and </w:t>
      </w:r>
      <w:r w:rsidR="00AF31DD" w:rsidRPr="00BD77D8">
        <w:rPr>
          <w:iCs/>
        </w:rPr>
        <w:t>where</w:t>
      </w:r>
      <w:r w:rsidRPr="00BD77D8">
        <w:rPr>
          <w:iCs/>
        </w:rPr>
        <w:t xml:space="preserve"> necessary, referred </w:t>
      </w:r>
      <w:r w:rsidR="00067ADB" w:rsidRPr="00BD77D8">
        <w:rPr>
          <w:iCs/>
        </w:rPr>
        <w:t>218</w:t>
      </w:r>
      <w:r w:rsidRPr="00BD77D8">
        <w:rPr>
          <w:iCs/>
        </w:rPr>
        <w:t xml:space="preserve"> complaints about NDIS</w:t>
      </w:r>
      <w:r w:rsidR="001F264E" w:rsidRPr="00BD77D8">
        <w:rPr>
          <w:iCs/>
        </w:rPr>
        <w:t>-</w:t>
      </w:r>
      <w:r w:rsidRPr="00BD77D8">
        <w:rPr>
          <w:iCs/>
        </w:rPr>
        <w:t>related matters to the NDIA and</w:t>
      </w:r>
      <w:r w:rsidR="00694E42" w:rsidRPr="00BD77D8">
        <w:rPr>
          <w:iCs/>
        </w:rPr>
        <w:t>/</w:t>
      </w:r>
      <w:r w:rsidRPr="00BD77D8">
        <w:rPr>
          <w:iCs/>
        </w:rPr>
        <w:t>or the NDIS Quality and Safeguards Commission</w:t>
      </w:r>
      <w:r w:rsidR="00694E42" w:rsidRPr="00BD77D8">
        <w:rPr>
          <w:iCs/>
        </w:rPr>
        <w:t>,</w:t>
      </w:r>
      <w:r w:rsidRPr="00BD77D8">
        <w:rPr>
          <w:iCs/>
        </w:rPr>
        <w:t xml:space="preserve"> or another relevant entity</w:t>
      </w:r>
    </w:p>
    <w:p w14:paraId="76DDDC45" w14:textId="7730E146" w:rsidR="00A1591D" w:rsidRPr="00BD77D8" w:rsidRDefault="00A1591D" w:rsidP="005A1C92">
      <w:pPr>
        <w:pStyle w:val="ListParagraph"/>
        <w:numPr>
          <w:ilvl w:val="0"/>
          <w:numId w:val="57"/>
        </w:numPr>
        <w:rPr>
          <w:iCs/>
        </w:rPr>
      </w:pPr>
      <w:r w:rsidRPr="00BD77D8">
        <w:rPr>
          <w:iCs/>
        </w:rPr>
        <w:t>continue</w:t>
      </w:r>
      <w:r w:rsidR="00E004F7" w:rsidRPr="00BD77D8">
        <w:rPr>
          <w:iCs/>
        </w:rPr>
        <w:t>d</w:t>
      </w:r>
      <w:r w:rsidRPr="00BD77D8">
        <w:rPr>
          <w:iCs/>
        </w:rPr>
        <w:t xml:space="preserve"> to work with the NDIS Quality and Safeguards Commission to support service providers with the requirements of the co-regulatory system, ensuring robust safeguards </w:t>
      </w:r>
      <w:r w:rsidR="00F60D5A" w:rsidRPr="00BD77D8">
        <w:rPr>
          <w:iCs/>
        </w:rPr>
        <w:t>for</w:t>
      </w:r>
      <w:r w:rsidRPr="00BD77D8">
        <w:rPr>
          <w:iCs/>
        </w:rPr>
        <w:t xml:space="preserve"> authorisation and use of restrictive practices</w:t>
      </w:r>
    </w:p>
    <w:p w14:paraId="481593EC" w14:textId="4E577AA8" w:rsidR="001E265A" w:rsidRPr="00BD77D8" w:rsidRDefault="00A1591D" w:rsidP="005A1C92">
      <w:pPr>
        <w:pStyle w:val="ListParagraph"/>
        <w:numPr>
          <w:ilvl w:val="0"/>
          <w:numId w:val="57"/>
        </w:numPr>
        <w:rPr>
          <w:iCs/>
        </w:rPr>
      </w:pPr>
      <w:r w:rsidRPr="00BD77D8">
        <w:rPr>
          <w:iCs/>
        </w:rPr>
        <w:t xml:space="preserve">managed the short-term approval of restrictive practices in accordance with the </w:t>
      </w:r>
      <w:r w:rsidRPr="00BD77D8">
        <w:rPr>
          <w:i/>
        </w:rPr>
        <w:t xml:space="preserve">Disability Services Act 2006 </w:t>
      </w:r>
      <w:r w:rsidRPr="00BD77D8">
        <w:rPr>
          <w:iCs/>
        </w:rPr>
        <w:t>and supported the safety and wellbeing of people with disability through the development of positive behaviour support plans</w:t>
      </w:r>
    </w:p>
    <w:p w14:paraId="5B779DA8" w14:textId="18B31251" w:rsidR="001114E9" w:rsidRPr="00BD77D8" w:rsidRDefault="00F8105F" w:rsidP="005A1C92">
      <w:pPr>
        <w:pStyle w:val="ListParagraph"/>
        <w:numPr>
          <w:ilvl w:val="0"/>
          <w:numId w:val="57"/>
        </w:numPr>
        <w:rPr>
          <w:iCs/>
        </w:rPr>
      </w:pPr>
      <w:r w:rsidRPr="00BD77D8">
        <w:rPr>
          <w:iCs/>
        </w:rPr>
        <w:t xml:space="preserve">safeguarded the human rights of vulnerable adults with cognitive or intellectual disability by ensuring that appropriate authorisations were in place for the use of restrictive practices. </w:t>
      </w:r>
      <w:bookmarkStart w:id="116" w:name="_Toc78287355"/>
      <w:bookmarkStart w:id="117" w:name="_Toc78355762"/>
      <w:bookmarkStart w:id="118" w:name="_Toc78287350"/>
      <w:bookmarkStart w:id="119" w:name="_Toc78355757"/>
      <w:r w:rsidR="00056A2C" w:rsidRPr="00BD77D8">
        <w:rPr>
          <w:iCs/>
        </w:rPr>
        <w:t xml:space="preserve">The department received 572 applications for short-term approval of the use of restrictive practices from service providers, and 344 of these applications were approved.  </w:t>
      </w:r>
    </w:p>
    <w:p w14:paraId="4CF615CA" w14:textId="4FAC49F6" w:rsidR="00A66CA1" w:rsidRPr="00BD77D8" w:rsidRDefault="00A66CA1" w:rsidP="00A66CA1">
      <w:pPr>
        <w:pStyle w:val="Heading3"/>
      </w:pPr>
      <w:r w:rsidRPr="00BD77D8">
        <w:t>Representing the views and interests of Queenslanders with disability</w:t>
      </w:r>
      <w:bookmarkEnd w:id="116"/>
      <w:bookmarkEnd w:id="117"/>
    </w:p>
    <w:p w14:paraId="17AEBE20" w14:textId="18E9BBE4" w:rsidR="00A66CA1" w:rsidRPr="00BD77D8" w:rsidRDefault="00A66CA1" w:rsidP="00A66CA1">
      <w:r w:rsidRPr="00BD77D8">
        <w:t xml:space="preserve">As the lead agency supporting the </w:t>
      </w:r>
      <w:proofErr w:type="gramStart"/>
      <w:r w:rsidR="007625C3" w:rsidRPr="00BD77D8">
        <w:t>shareholding Minister</w:t>
      </w:r>
      <w:proofErr w:type="gramEnd"/>
      <w:r w:rsidRPr="00BD77D8">
        <w:t xml:space="preserve"> for</w:t>
      </w:r>
      <w:r w:rsidR="0044127A" w:rsidRPr="00BD77D8">
        <w:t xml:space="preserve"> the</w:t>
      </w:r>
      <w:r w:rsidRPr="00BD77D8">
        <w:t xml:space="preserve"> NDIS in Queensland, the department worked to ensure the views and interests of people with disability and the disability sector were at the forefront of</w:t>
      </w:r>
      <w:r w:rsidR="0044127A" w:rsidRPr="00BD77D8">
        <w:t xml:space="preserve"> relevant inquiries and</w:t>
      </w:r>
      <w:r w:rsidRPr="00BD77D8">
        <w:t xml:space="preserve"> inter-governmental negotiations processes. </w:t>
      </w:r>
    </w:p>
    <w:p w14:paraId="34EE5659" w14:textId="0D6B564F" w:rsidR="00067ADB" w:rsidRPr="00BD77D8" w:rsidRDefault="00067ADB" w:rsidP="00A66CA1">
      <w:r w:rsidRPr="00BD77D8">
        <w:t>One of the ways the department obtains the views of people with disability is through the Queensland Disability Advisory Council (QDAC).</w:t>
      </w:r>
    </w:p>
    <w:p w14:paraId="25C0A000" w14:textId="36CC06DB" w:rsidR="00A66CA1" w:rsidRPr="00BD77D8" w:rsidRDefault="00A66CA1" w:rsidP="00A66CA1">
      <w:r w:rsidRPr="00BD77D8">
        <w:t xml:space="preserve">The Disability Reform Ministers Meeting (DRMM) was established after National Cabinet endorsed the report of the Review of Council of Australian Governments </w:t>
      </w:r>
      <w:r w:rsidR="0044127A" w:rsidRPr="00BD77D8">
        <w:t xml:space="preserve">(COAG) </w:t>
      </w:r>
      <w:r w:rsidRPr="00BD77D8">
        <w:t xml:space="preserve">Councils and Ministerial Forums on 23 October 2020. </w:t>
      </w:r>
      <w:r w:rsidRPr="00BD77D8">
        <w:lastRenderedPageBreak/>
        <w:t>The DRMM was created to continue to provide a forum for Ministers to</w:t>
      </w:r>
      <w:r w:rsidR="00241333" w:rsidRPr="00BD77D8">
        <w:t xml:space="preserve"> drive national reforms in disability policy</w:t>
      </w:r>
      <w:r w:rsidRPr="00BD77D8">
        <w:t>. The department support</w:t>
      </w:r>
      <w:r w:rsidR="00241333" w:rsidRPr="00BD77D8">
        <w:t>s</w:t>
      </w:r>
      <w:r w:rsidRPr="00BD77D8">
        <w:t xml:space="preserve"> the Honourable Craig Crawford</w:t>
      </w:r>
      <w:r w:rsidR="00241333" w:rsidRPr="00BD77D8">
        <w:t xml:space="preserve"> MP</w:t>
      </w:r>
      <w:r w:rsidRPr="00BD77D8">
        <w:t xml:space="preserve">, Minister for Seniors and Disability Services and Minister for Aboriginal and Torres Strait Islander Partnerships, </w:t>
      </w:r>
      <w:r w:rsidR="00241333" w:rsidRPr="00BD77D8">
        <w:t xml:space="preserve">to </w:t>
      </w:r>
      <w:r w:rsidRPr="00BD77D8">
        <w:t xml:space="preserve">represent Queensland’s interests at the DRMM. </w:t>
      </w:r>
    </w:p>
    <w:p w14:paraId="69C6F9B0" w14:textId="1C6076EB" w:rsidR="00A66CA1" w:rsidRPr="00BD77D8" w:rsidRDefault="00A66CA1" w:rsidP="00671ADD">
      <w:pPr>
        <w:spacing w:after="120" w:line="240" w:lineRule="auto"/>
        <w:rPr>
          <w:b/>
          <w:bCs/>
        </w:rPr>
      </w:pPr>
      <w:r w:rsidRPr="00BD77D8">
        <w:rPr>
          <w:b/>
          <w:bCs/>
        </w:rPr>
        <w:t>Key achievements</w:t>
      </w:r>
    </w:p>
    <w:p w14:paraId="1165BF0A" w14:textId="77777777" w:rsidR="00A66CA1" w:rsidRPr="00BD77D8" w:rsidRDefault="00A66CA1" w:rsidP="00671ADD">
      <w:pPr>
        <w:spacing w:after="120" w:line="240" w:lineRule="auto"/>
      </w:pPr>
      <w:r w:rsidRPr="00BD77D8">
        <w:t>During the reporting period, the department:</w:t>
      </w:r>
    </w:p>
    <w:p w14:paraId="7D3FA4D3" w14:textId="2A844049" w:rsidR="00067ADB" w:rsidRPr="00BD77D8" w:rsidRDefault="00067ADB" w:rsidP="00607E8B">
      <w:pPr>
        <w:pStyle w:val="ListParagraph"/>
        <w:numPr>
          <w:ilvl w:val="0"/>
          <w:numId w:val="57"/>
        </w:numPr>
        <w:rPr>
          <w:iCs/>
        </w:rPr>
      </w:pPr>
      <w:r w:rsidRPr="00BD77D8">
        <w:rPr>
          <w:iCs/>
        </w:rPr>
        <w:t>actively sought the views of people with lived experience of disability by convening meetings of the QDAC to provide advice to the Minister and department</w:t>
      </w:r>
    </w:p>
    <w:p w14:paraId="508331CE" w14:textId="6BB44172" w:rsidR="00241333" w:rsidRPr="00BD77D8" w:rsidRDefault="00241333" w:rsidP="00607E8B">
      <w:pPr>
        <w:pStyle w:val="ListParagraph"/>
        <w:numPr>
          <w:ilvl w:val="0"/>
          <w:numId w:val="57"/>
        </w:numPr>
        <w:rPr>
          <w:iCs/>
        </w:rPr>
      </w:pPr>
      <w:r w:rsidRPr="00BD77D8">
        <w:rPr>
          <w:iCs/>
        </w:rPr>
        <w:t>contributed to submissions for key inquiry processes, such as the Queensland Parliament Health and Environment Committee’s Inquiry into the provision of primary, allied and private health care, aged care and NDIS care services and its impact on the Queensland public health system</w:t>
      </w:r>
    </w:p>
    <w:p w14:paraId="541A90EA" w14:textId="77777777" w:rsidR="00241333" w:rsidRPr="00BD77D8" w:rsidRDefault="00241333" w:rsidP="00607E8B">
      <w:pPr>
        <w:pStyle w:val="ListParagraph"/>
        <w:numPr>
          <w:ilvl w:val="0"/>
          <w:numId w:val="57"/>
        </w:numPr>
        <w:rPr>
          <w:iCs/>
        </w:rPr>
      </w:pPr>
      <w:r w:rsidRPr="00BD77D8">
        <w:rPr>
          <w:iCs/>
        </w:rPr>
        <w:t>continued to contribute to the Queensland Government’s response to the COVID-19 pandemic to ensure Queenslanders with disability continued to receive critical health and disability supports</w:t>
      </w:r>
    </w:p>
    <w:p w14:paraId="1A363C20" w14:textId="77777777" w:rsidR="00241333" w:rsidRPr="00BD77D8" w:rsidRDefault="00241333" w:rsidP="00607E8B">
      <w:pPr>
        <w:pStyle w:val="ListParagraph"/>
        <w:numPr>
          <w:ilvl w:val="0"/>
          <w:numId w:val="57"/>
        </w:numPr>
        <w:rPr>
          <w:iCs/>
        </w:rPr>
      </w:pPr>
      <w:r w:rsidRPr="00BD77D8">
        <w:rPr>
          <w:iCs/>
        </w:rPr>
        <w:t>ensured the interests of Queenslanders were represented in considerations regarding the national response to the COVID-19 pandemic for people with disability through DRMM</w:t>
      </w:r>
    </w:p>
    <w:p w14:paraId="2DAD464F" w14:textId="0D74FB77" w:rsidR="00241333" w:rsidRPr="00BD77D8" w:rsidRDefault="00241333" w:rsidP="00607E8B">
      <w:pPr>
        <w:pStyle w:val="ListParagraph"/>
        <w:numPr>
          <w:ilvl w:val="0"/>
          <w:numId w:val="57"/>
        </w:numPr>
      </w:pPr>
      <w:r w:rsidRPr="00BD77D8">
        <w:rPr>
          <w:iCs/>
        </w:rPr>
        <w:t>championed the interests of Queenslanders through</w:t>
      </w:r>
      <w:r w:rsidR="00D81543" w:rsidRPr="00BD77D8">
        <w:rPr>
          <w:iCs/>
        </w:rPr>
        <w:t xml:space="preserve"> the development of </w:t>
      </w:r>
      <w:r w:rsidR="00D81543" w:rsidRPr="00BD77D8">
        <w:rPr>
          <w:i/>
        </w:rPr>
        <w:t>Australia’s Disability Strategy 2021</w:t>
      </w:r>
      <w:r w:rsidR="00D81543" w:rsidRPr="00BD77D8">
        <w:rPr>
          <w:i/>
        </w:rPr>
        <w:noBreakHyphen/>
        <w:t>2031</w:t>
      </w:r>
      <w:r w:rsidR="00D81543" w:rsidRPr="00BD77D8">
        <w:rPr>
          <w:iCs/>
        </w:rPr>
        <w:t>, which</w:t>
      </w:r>
      <w:r w:rsidR="00D81543" w:rsidRPr="00BD77D8">
        <w:t xml:space="preserve"> was released on 3 December 2021</w:t>
      </w:r>
      <w:r w:rsidR="001F264E" w:rsidRPr="00BD77D8">
        <w:t>—</w:t>
      </w:r>
      <w:r w:rsidR="00D81543" w:rsidRPr="00BD77D8">
        <w:t>the International Day of People with Disability.</w:t>
      </w:r>
    </w:p>
    <w:p w14:paraId="7A8CD717" w14:textId="7E1AFF2E" w:rsidR="00241333" w:rsidRPr="00BD77D8" w:rsidRDefault="00241333" w:rsidP="003C6493">
      <w:r w:rsidRPr="00BD77D8">
        <w:t xml:space="preserve">The department continued to support the Minister for Seniors and Disability Services to work with Disability Reform Ministers to advocate for improvements under the NDIS to ensure Queenslanders with disability can access the supports they need. This included supporting the independent review of the NDIA forecasting model and drivers of scheme costs in an effort to better understand scheme sustainability. The department supports the Minister to ensure discussions about financial sustainability </w:t>
      </w:r>
      <w:r w:rsidR="00D81543" w:rsidRPr="00BD77D8">
        <w:t>are balanced by consideration of the wide</w:t>
      </w:r>
      <w:r w:rsidR="00D81543" w:rsidRPr="00BD77D8">
        <w:noBreakHyphen/>
        <w:t>ranging benefits of the scheme, such as improved outcomes for participants and the broader community.</w:t>
      </w:r>
    </w:p>
    <w:p w14:paraId="082483BF" w14:textId="30C31550" w:rsidR="00241333" w:rsidRPr="00BD77D8" w:rsidRDefault="00241333" w:rsidP="003C6493">
      <w:r w:rsidRPr="00BD77D8">
        <w:t>The department also led the Queensland Government response to the Queensland Productivity Commission’s (QPC) inquiry into the NDIS market in Queensland, which was released in October 2021 along with the final report. The QPC final report and the Queensland Government response are valuable resource</w:t>
      </w:r>
      <w:r w:rsidR="001F264E" w:rsidRPr="00BD77D8">
        <w:t>s</w:t>
      </w:r>
      <w:r w:rsidRPr="00BD77D8">
        <w:t xml:space="preserve"> in working to ensure the </w:t>
      </w:r>
      <w:r w:rsidR="001F264E" w:rsidRPr="00BD77D8">
        <w:t>s</w:t>
      </w:r>
      <w:r w:rsidRPr="00BD77D8">
        <w:t>tate’s annual $2</w:t>
      </w:r>
      <w:r w:rsidR="00431A0E" w:rsidRPr="00BD77D8">
        <w:t xml:space="preserve"> </w:t>
      </w:r>
      <w:r w:rsidRPr="00BD77D8">
        <w:t>billion investment in the NDIS results in improved outcomes for Queensland NDIS participants, as well as realising the potential for job creation, economic stimulation in regional locations and workforce and skills development.</w:t>
      </w:r>
    </w:p>
    <w:p w14:paraId="40E805F0" w14:textId="5B26C104" w:rsidR="00A66CA1" w:rsidRPr="00BD77D8" w:rsidRDefault="00241333" w:rsidP="005B64C4">
      <w:pPr>
        <w:pStyle w:val="ListBullet"/>
        <w:numPr>
          <w:ilvl w:val="0"/>
          <w:numId w:val="0"/>
        </w:numPr>
      </w:pPr>
      <w:r w:rsidRPr="00BD77D8">
        <w:t xml:space="preserve">The department is working with other Queensland Government agencies to implement recommendations </w:t>
      </w:r>
      <w:r w:rsidR="00F0441E" w:rsidRPr="00BD77D8">
        <w:t>for which</w:t>
      </w:r>
      <w:r w:rsidRPr="00BD77D8">
        <w:t xml:space="preserve"> the Queensland Government is responsible. The department </w:t>
      </w:r>
      <w:r w:rsidR="001F264E" w:rsidRPr="00BD77D8">
        <w:t>is</w:t>
      </w:r>
      <w:r w:rsidRPr="00BD77D8">
        <w:t xml:space="preserve"> also advocating to other NDIS governing partners to highlight the findings and recommendations</w:t>
      </w:r>
      <w:r w:rsidR="005B64C4" w:rsidRPr="00BD77D8">
        <w:t>.</w:t>
      </w:r>
    </w:p>
    <w:p w14:paraId="4C346D15" w14:textId="55C4A26E" w:rsidR="00080E21" w:rsidRPr="00BD77D8" w:rsidRDefault="00E61BA9" w:rsidP="0018616D">
      <w:pPr>
        <w:pStyle w:val="Heading3"/>
      </w:pPr>
      <w:r w:rsidRPr="00BD77D8">
        <w:t>Improve the wellbeing of individuals requiring disability services</w:t>
      </w:r>
      <w:bookmarkEnd w:id="118"/>
      <w:bookmarkEnd w:id="119"/>
    </w:p>
    <w:p w14:paraId="4329A51D" w14:textId="144C7CA0" w:rsidR="0039259E" w:rsidRPr="00BD77D8" w:rsidRDefault="0039259E" w:rsidP="00B856A7">
      <w:r w:rsidRPr="00BD77D8">
        <w:t>T</w:t>
      </w:r>
      <w:r w:rsidR="00B37248" w:rsidRPr="00BD77D8">
        <w:t xml:space="preserve">he department is </w:t>
      </w:r>
      <w:r w:rsidRPr="00BD77D8">
        <w:t>develop</w:t>
      </w:r>
      <w:r w:rsidR="00067ADB" w:rsidRPr="00BD77D8">
        <w:t>ing</w:t>
      </w:r>
      <w:r w:rsidRPr="00BD77D8">
        <w:t xml:space="preserve"> </w:t>
      </w:r>
      <w:r w:rsidR="00F0441E" w:rsidRPr="00BD77D8">
        <w:t xml:space="preserve">the </w:t>
      </w:r>
      <w:r w:rsidRPr="00BD77D8">
        <w:t>next state disability plan, supported by Queensland Government agenc</w:t>
      </w:r>
      <w:r w:rsidR="00F0441E" w:rsidRPr="00BD77D8">
        <w:t>ie</w:t>
      </w:r>
      <w:r w:rsidRPr="00BD77D8">
        <w:t>s Disability Service Plans</w:t>
      </w:r>
      <w:r w:rsidR="00E07306" w:rsidRPr="00BD77D8">
        <w:t>. The plan</w:t>
      </w:r>
      <w:r w:rsidRPr="00BD77D8">
        <w:t xml:space="preserve"> will be the primary mechanism to give effect to Queensland’s commitments under </w:t>
      </w:r>
      <w:r w:rsidRPr="00BD77D8">
        <w:rPr>
          <w:i/>
          <w:iCs/>
        </w:rPr>
        <w:t>Australia’s Disability Strategy 2021</w:t>
      </w:r>
      <w:r w:rsidR="001F264E" w:rsidRPr="00BD77D8">
        <w:rPr>
          <w:i/>
          <w:iCs/>
        </w:rPr>
        <w:t>–</w:t>
      </w:r>
      <w:r w:rsidRPr="00BD77D8">
        <w:rPr>
          <w:i/>
          <w:iCs/>
        </w:rPr>
        <w:t>2031.</w:t>
      </w:r>
    </w:p>
    <w:p w14:paraId="0109AC8F" w14:textId="77777777" w:rsidR="00B37248" w:rsidRPr="00BD77D8" w:rsidRDefault="00B37248" w:rsidP="00951B91">
      <w:pPr>
        <w:spacing w:after="40"/>
        <w:rPr>
          <w:b/>
          <w:bCs/>
        </w:rPr>
      </w:pPr>
      <w:bookmarkStart w:id="120" w:name="_Hlk81571120"/>
      <w:r w:rsidRPr="00BD77D8">
        <w:rPr>
          <w:b/>
          <w:bCs/>
        </w:rPr>
        <w:t>Peak and Advocacy Services</w:t>
      </w:r>
    </w:p>
    <w:p w14:paraId="27350A70" w14:textId="33AA4E0F" w:rsidR="0003145F" w:rsidRPr="00BD77D8" w:rsidRDefault="0003145F" w:rsidP="0003145F">
      <w:pPr>
        <w:rPr>
          <w:iCs/>
        </w:rPr>
      </w:pPr>
      <w:bookmarkStart w:id="121" w:name="_Hlk79754301"/>
      <w:r w:rsidRPr="00BD77D8">
        <w:rPr>
          <w:iCs/>
        </w:rPr>
        <w:t xml:space="preserve">During 2021-2022, the department provided $3.9 million to extend funding to </w:t>
      </w:r>
      <w:r w:rsidR="009B66A3" w:rsidRPr="00BD77D8">
        <w:rPr>
          <w:iCs/>
        </w:rPr>
        <w:t>nine</w:t>
      </w:r>
      <w:r w:rsidRPr="00BD77D8">
        <w:rPr>
          <w:iCs/>
        </w:rPr>
        <w:t xml:space="preserve"> disability peak organisations to maintain ongoing service delivery to support people with disability during the reporting period. This funding enabled the peak and representative bodies to provide: </w:t>
      </w:r>
    </w:p>
    <w:p w14:paraId="38DE36F7" w14:textId="77777777" w:rsidR="0003145F" w:rsidRPr="00BD77D8" w:rsidRDefault="0003145F" w:rsidP="00607E8B">
      <w:pPr>
        <w:pStyle w:val="ListParagraph"/>
        <w:numPr>
          <w:ilvl w:val="0"/>
          <w:numId w:val="57"/>
        </w:numPr>
        <w:rPr>
          <w:iCs/>
        </w:rPr>
      </w:pPr>
      <w:r w:rsidRPr="00BD77D8">
        <w:rPr>
          <w:iCs/>
        </w:rPr>
        <w:t xml:space="preserve">information and referral services for people from specific cohorts with disability </w:t>
      </w:r>
    </w:p>
    <w:p w14:paraId="3FEF7820" w14:textId="77777777" w:rsidR="0003145F" w:rsidRPr="00BD77D8" w:rsidRDefault="0003145F" w:rsidP="00607E8B">
      <w:pPr>
        <w:pStyle w:val="ListParagraph"/>
        <w:numPr>
          <w:ilvl w:val="0"/>
          <w:numId w:val="57"/>
        </w:numPr>
        <w:rPr>
          <w:iCs/>
        </w:rPr>
      </w:pPr>
      <w:r w:rsidRPr="00BD77D8">
        <w:rPr>
          <w:iCs/>
        </w:rPr>
        <w:t>opportunities for greater community and economic engagement for people with disability</w:t>
      </w:r>
    </w:p>
    <w:p w14:paraId="60E027A9" w14:textId="77777777" w:rsidR="0003145F" w:rsidRPr="00BD77D8" w:rsidRDefault="0003145F" w:rsidP="00607E8B">
      <w:pPr>
        <w:pStyle w:val="ListParagraph"/>
        <w:numPr>
          <w:ilvl w:val="0"/>
          <w:numId w:val="57"/>
        </w:numPr>
        <w:rPr>
          <w:iCs/>
        </w:rPr>
      </w:pPr>
      <w:r w:rsidRPr="00BD77D8">
        <w:rPr>
          <w:iCs/>
        </w:rPr>
        <w:t xml:space="preserve">capacity-building initiatives across the disability sector. </w:t>
      </w:r>
    </w:p>
    <w:p w14:paraId="125E558A" w14:textId="0403C16C" w:rsidR="0003145F" w:rsidRPr="00BD77D8" w:rsidRDefault="0003145F" w:rsidP="0003145F">
      <w:pPr>
        <w:rPr>
          <w:iCs/>
        </w:rPr>
      </w:pPr>
      <w:r w:rsidRPr="00BD77D8">
        <w:rPr>
          <w:iCs/>
        </w:rPr>
        <w:lastRenderedPageBreak/>
        <w:t>The department also completed an open grant round process to allocate $4.2 million over three years to nine organisations, commencing from 1 July 2022, under the Disability Peaks and Representative Bodies</w:t>
      </w:r>
      <w:r w:rsidR="001F264E" w:rsidRPr="00BD77D8">
        <w:rPr>
          <w:iCs/>
        </w:rPr>
        <w:t>—</w:t>
      </w:r>
      <w:r w:rsidRPr="00BD77D8">
        <w:rPr>
          <w:iCs/>
        </w:rPr>
        <w:t xml:space="preserve">Inclusion Program.  </w:t>
      </w:r>
    </w:p>
    <w:p w14:paraId="48044C20" w14:textId="77777777" w:rsidR="0003145F" w:rsidRPr="00BD77D8" w:rsidRDefault="0003145F" w:rsidP="0003145F">
      <w:pPr>
        <w:spacing w:after="120" w:line="240" w:lineRule="auto"/>
        <w:rPr>
          <w:iCs/>
        </w:rPr>
      </w:pPr>
      <w:r w:rsidRPr="00BD77D8">
        <w:rPr>
          <w:iCs/>
        </w:rPr>
        <w:t>In 2021-2022 the department provided:</w:t>
      </w:r>
    </w:p>
    <w:p w14:paraId="67E93BEB" w14:textId="7B943EBD" w:rsidR="0003145F" w:rsidRPr="00BD77D8" w:rsidRDefault="0003145F" w:rsidP="0003145F">
      <w:pPr>
        <w:pStyle w:val="ListParagraph"/>
        <w:numPr>
          <w:ilvl w:val="0"/>
          <w:numId w:val="57"/>
        </w:numPr>
        <w:rPr>
          <w:iCs/>
        </w:rPr>
      </w:pPr>
      <w:r w:rsidRPr="00BD77D8">
        <w:rPr>
          <w:iCs/>
        </w:rPr>
        <w:t>$2.1 million and a six-month extension of funding to 14 existing advocacy organisations while an open grant</w:t>
      </w:r>
      <w:r w:rsidR="001F264E" w:rsidRPr="00BD77D8">
        <w:rPr>
          <w:iCs/>
        </w:rPr>
        <w:t>s</w:t>
      </w:r>
      <w:r w:rsidRPr="00BD77D8">
        <w:rPr>
          <w:iCs/>
        </w:rPr>
        <w:t xml:space="preserve"> round process was finalised to allocate funding under the new Queensland Disability Advocacy Program (QDAP)</w:t>
      </w:r>
    </w:p>
    <w:p w14:paraId="79AC8D78" w14:textId="77777777" w:rsidR="0003145F" w:rsidRPr="00BD77D8" w:rsidRDefault="0003145F" w:rsidP="0003145F">
      <w:pPr>
        <w:pStyle w:val="ListParagraph"/>
        <w:numPr>
          <w:ilvl w:val="0"/>
          <w:numId w:val="57"/>
        </w:numPr>
        <w:rPr>
          <w:iCs/>
        </w:rPr>
      </w:pPr>
      <w:r w:rsidRPr="00BD77D8">
        <w:rPr>
          <w:iCs/>
        </w:rPr>
        <w:t xml:space="preserve">$6 million to 11 organisations to deliver advocacy services to Queenslanders with disability under QDAP for the period 1 January 2022 to 30 June 2023. </w:t>
      </w:r>
    </w:p>
    <w:p w14:paraId="6BBC3265" w14:textId="77777777" w:rsidR="0003145F" w:rsidRPr="00BD77D8" w:rsidRDefault="0003145F" w:rsidP="0003145F">
      <w:pPr>
        <w:rPr>
          <w:iCs/>
        </w:rPr>
      </w:pPr>
      <w:r w:rsidRPr="00BD77D8">
        <w:rPr>
          <w:iCs/>
        </w:rPr>
        <w:t>In the first six months of QDAP service provision (1 January 2022 to 30 June 2022), 10,175 hours of advocacy service were provided to 2,837 service users.</w:t>
      </w:r>
    </w:p>
    <w:p w14:paraId="0F9A78C1" w14:textId="331C6ADA" w:rsidR="00B37248" w:rsidRPr="00BD77D8" w:rsidRDefault="00B37248" w:rsidP="00951B91">
      <w:pPr>
        <w:spacing w:after="40"/>
        <w:rPr>
          <w:b/>
          <w:bCs/>
        </w:rPr>
      </w:pPr>
      <w:r w:rsidRPr="00BD77D8">
        <w:rPr>
          <w:b/>
          <w:bCs/>
        </w:rPr>
        <w:t>Safeguards</w:t>
      </w:r>
    </w:p>
    <w:p w14:paraId="34174680" w14:textId="69C15455" w:rsidR="00B37248" w:rsidRPr="00BD77D8" w:rsidRDefault="00B37248" w:rsidP="00B856A7">
      <w:r w:rsidRPr="00BD77D8">
        <w:t xml:space="preserve">The department has maintained a program of service quality audits under the </w:t>
      </w:r>
      <w:r w:rsidRPr="00BD77D8">
        <w:rPr>
          <w:i/>
          <w:iCs/>
        </w:rPr>
        <w:t>Human Services Quality Framework</w:t>
      </w:r>
      <w:r w:rsidR="00F34056" w:rsidRPr="00BD77D8">
        <w:rPr>
          <w:i/>
          <w:iCs/>
        </w:rPr>
        <w:t xml:space="preserve"> </w:t>
      </w:r>
      <w:r w:rsidR="00F34056" w:rsidRPr="00BD77D8">
        <w:t>(the Framework)</w:t>
      </w:r>
      <w:r w:rsidRPr="00BD77D8">
        <w:t xml:space="preserve">. The Framework provides the quality assurance and safeguarding framework for 372 human services organisations funded by </w:t>
      </w:r>
      <w:r w:rsidR="009B66A3" w:rsidRPr="00BD77D8">
        <w:t>five</w:t>
      </w:r>
      <w:r w:rsidRPr="00BD77D8">
        <w:t xml:space="preserve"> Queensland Government </w:t>
      </w:r>
      <w:r w:rsidR="00020E37" w:rsidRPr="00BD77D8">
        <w:t>d</w:t>
      </w:r>
      <w:r w:rsidRPr="00BD77D8">
        <w:t>epartments.</w:t>
      </w:r>
    </w:p>
    <w:p w14:paraId="7BF873CA" w14:textId="3D8EC82A" w:rsidR="00B37248" w:rsidRPr="00BD77D8" w:rsidRDefault="00B37248" w:rsidP="00B856A7">
      <w:r w:rsidRPr="00BD77D8">
        <w:t xml:space="preserve">The Framework includes a set of standards and assesses the </w:t>
      </w:r>
      <w:proofErr w:type="gramStart"/>
      <w:r w:rsidRPr="00BD77D8">
        <w:t>quality of service</w:t>
      </w:r>
      <w:proofErr w:type="gramEnd"/>
      <w:r w:rsidRPr="00BD77D8">
        <w:t xml:space="preserve"> delivery to clients through independent audits, self-assessment and recognition of other accreditation. In </w:t>
      </w:r>
      <w:r w:rsidR="001C5646" w:rsidRPr="00BD77D8">
        <w:t>2021</w:t>
      </w:r>
      <w:r w:rsidR="001F264E" w:rsidRPr="00BD77D8">
        <w:t>–</w:t>
      </w:r>
      <w:r w:rsidR="001C5646" w:rsidRPr="00BD77D8">
        <w:t>2022</w:t>
      </w:r>
      <w:r w:rsidRPr="00BD77D8">
        <w:t xml:space="preserve">, </w:t>
      </w:r>
      <w:r w:rsidR="00FA25C8" w:rsidRPr="00BD77D8">
        <w:t>232</w:t>
      </w:r>
      <w:r w:rsidRPr="00BD77D8">
        <w:t xml:space="preserve"> organisations were </w:t>
      </w:r>
      <w:r w:rsidR="00FA25C8" w:rsidRPr="00BD77D8">
        <w:t>required to demonstrate the quality of their service delivery through independent audits, which are completed every 18 months.</w:t>
      </w:r>
    </w:p>
    <w:p w14:paraId="76B4B0D7" w14:textId="622BA5CF" w:rsidR="00E61BA9" w:rsidRPr="00BD77D8" w:rsidRDefault="00E61BA9" w:rsidP="00671ADD">
      <w:pPr>
        <w:spacing w:after="120" w:line="240" w:lineRule="auto"/>
        <w:rPr>
          <w:b/>
          <w:bCs/>
        </w:rPr>
      </w:pPr>
      <w:r w:rsidRPr="00BD77D8">
        <w:rPr>
          <w:b/>
          <w:bCs/>
        </w:rPr>
        <w:t>Key achievements</w:t>
      </w:r>
    </w:p>
    <w:p w14:paraId="0CF12D55" w14:textId="4A71F4F0" w:rsidR="00E61BA9" w:rsidRPr="00BD77D8" w:rsidRDefault="00E61BA9" w:rsidP="00671ADD">
      <w:pPr>
        <w:widowControl w:val="0"/>
        <w:autoSpaceDE w:val="0"/>
        <w:autoSpaceDN w:val="0"/>
        <w:adjustRightInd w:val="0"/>
        <w:spacing w:after="120" w:line="240" w:lineRule="auto"/>
        <w:outlineLvl w:val="6"/>
        <w:rPr>
          <w:lang w:eastAsia="en-US"/>
        </w:rPr>
      </w:pPr>
      <w:r w:rsidRPr="00BD77D8">
        <w:rPr>
          <w:lang w:eastAsia="en-US"/>
        </w:rPr>
        <w:t>During the reporting perio</w:t>
      </w:r>
      <w:r w:rsidR="001D3E7C" w:rsidRPr="00BD77D8">
        <w:rPr>
          <w:lang w:eastAsia="en-US"/>
        </w:rPr>
        <w:t>d</w:t>
      </w:r>
      <w:r w:rsidR="00C12027" w:rsidRPr="00BD77D8">
        <w:rPr>
          <w:lang w:eastAsia="en-US"/>
        </w:rPr>
        <w:t>, the department</w:t>
      </w:r>
      <w:r w:rsidR="00AD7EEB" w:rsidRPr="00BD77D8">
        <w:rPr>
          <w:lang w:eastAsia="en-US"/>
        </w:rPr>
        <w:t>:</w:t>
      </w:r>
    </w:p>
    <w:p w14:paraId="3E34483B" w14:textId="77777777" w:rsidR="00B5407C" w:rsidRPr="00BD77D8" w:rsidRDefault="00B5407C" w:rsidP="00607E8B">
      <w:pPr>
        <w:pStyle w:val="ListParagraph"/>
        <w:numPr>
          <w:ilvl w:val="0"/>
          <w:numId w:val="57"/>
        </w:numPr>
        <w:rPr>
          <w:iCs/>
        </w:rPr>
      </w:pPr>
      <w:r w:rsidRPr="00BD77D8">
        <w:rPr>
          <w:iCs/>
        </w:rPr>
        <w:t>developed and implemented the Queensland Disability Advocacy Program delivering individual advocacy services state-wide for people with disability, their family members and carers that support them</w:t>
      </w:r>
    </w:p>
    <w:p w14:paraId="76C3E110" w14:textId="3B79F3D4" w:rsidR="00B5407C" w:rsidRPr="00BD77D8" w:rsidRDefault="00B5407C" w:rsidP="00607E8B">
      <w:pPr>
        <w:pStyle w:val="ListParagraph"/>
        <w:numPr>
          <w:ilvl w:val="0"/>
          <w:numId w:val="57"/>
        </w:numPr>
        <w:rPr>
          <w:iCs/>
        </w:rPr>
      </w:pPr>
      <w:r w:rsidRPr="00BD77D8">
        <w:rPr>
          <w:iCs/>
        </w:rPr>
        <w:t>undertook a co-design process with a working party compris</w:t>
      </w:r>
      <w:r w:rsidR="001F264E" w:rsidRPr="00BD77D8">
        <w:rPr>
          <w:iCs/>
        </w:rPr>
        <w:t>ed</w:t>
      </w:r>
      <w:r w:rsidRPr="00BD77D8">
        <w:rPr>
          <w:iCs/>
        </w:rPr>
        <w:t xml:space="preserve"> of people with lived experience of disability to develop the next state disability plan</w:t>
      </w:r>
    </w:p>
    <w:p w14:paraId="1F1CD81F" w14:textId="47D4F6C9" w:rsidR="001C1079" w:rsidRPr="00BD77D8" w:rsidRDefault="00B5407C" w:rsidP="00607E8B">
      <w:pPr>
        <w:pStyle w:val="ListParagraph"/>
        <w:numPr>
          <w:ilvl w:val="0"/>
          <w:numId w:val="57"/>
        </w:numPr>
      </w:pPr>
      <w:r w:rsidRPr="00BD77D8">
        <w:rPr>
          <w:iCs/>
        </w:rPr>
        <w:t>redesigned the peak body funding arrangements and conducted an open grant process to fund organisations</w:t>
      </w:r>
      <w:r w:rsidRPr="00BD77D8">
        <w:t xml:space="preserve"> to deliver state-wide services to support the inclusion of people with disability.</w:t>
      </w:r>
    </w:p>
    <w:bookmarkEnd w:id="121"/>
    <w:p w14:paraId="377EEE15" w14:textId="66DB3AF3" w:rsidR="00A66CA1" w:rsidRPr="00BD77D8" w:rsidRDefault="00A66CA1" w:rsidP="007625C3">
      <w:pPr>
        <w:spacing w:after="120" w:line="240" w:lineRule="auto"/>
      </w:pPr>
      <w:r w:rsidRPr="00BD77D8">
        <w:t>During the reporting period, the department</w:t>
      </w:r>
      <w:r w:rsidR="00CC261D" w:rsidRPr="00BD77D8">
        <w:t>’s Accommodation Support and Respite Services:</w:t>
      </w:r>
    </w:p>
    <w:p w14:paraId="66CDAA04" w14:textId="3C3C5873" w:rsidR="00607084" w:rsidRPr="00BD77D8" w:rsidRDefault="00607084" w:rsidP="00607E8B">
      <w:pPr>
        <w:pStyle w:val="ListParagraph"/>
        <w:numPr>
          <w:ilvl w:val="0"/>
          <w:numId w:val="57"/>
        </w:numPr>
        <w:rPr>
          <w:iCs/>
        </w:rPr>
      </w:pPr>
      <w:r w:rsidRPr="00BD77D8">
        <w:rPr>
          <w:iCs/>
        </w:rPr>
        <w:t xml:space="preserve">provided in-home accommodation support to </w:t>
      </w:r>
      <w:r w:rsidR="00DB2EF1" w:rsidRPr="00BD77D8">
        <w:rPr>
          <w:iCs/>
        </w:rPr>
        <w:t>479</w:t>
      </w:r>
      <w:r w:rsidRPr="00BD77D8">
        <w:rPr>
          <w:iCs/>
        </w:rPr>
        <w:t xml:space="preserve"> clients, and </w:t>
      </w:r>
      <w:r w:rsidR="00DB2EF1" w:rsidRPr="00BD77D8">
        <w:rPr>
          <w:iCs/>
        </w:rPr>
        <w:t>266</w:t>
      </w:r>
      <w:r w:rsidR="00713233" w:rsidRPr="00BD77D8">
        <w:rPr>
          <w:iCs/>
        </w:rPr>
        <w:t xml:space="preserve"> </w:t>
      </w:r>
      <w:r w:rsidRPr="00BD77D8">
        <w:rPr>
          <w:iCs/>
        </w:rPr>
        <w:t>clients accessed respite service</w:t>
      </w:r>
      <w:r w:rsidR="00F0441E" w:rsidRPr="00BD77D8">
        <w:rPr>
          <w:iCs/>
        </w:rPr>
        <w:t>s</w:t>
      </w:r>
      <w:r w:rsidRPr="00BD77D8">
        <w:rPr>
          <w:iCs/>
        </w:rPr>
        <w:t xml:space="preserve"> </w:t>
      </w:r>
    </w:p>
    <w:p w14:paraId="53709FC0" w14:textId="5B3AC932" w:rsidR="00607084" w:rsidRPr="00BD77D8" w:rsidRDefault="00607084" w:rsidP="00607E8B">
      <w:pPr>
        <w:pStyle w:val="ListParagraph"/>
        <w:numPr>
          <w:ilvl w:val="0"/>
          <w:numId w:val="57"/>
        </w:numPr>
        <w:rPr>
          <w:iCs/>
        </w:rPr>
      </w:pPr>
      <w:r w:rsidRPr="00BD77D8">
        <w:rPr>
          <w:iCs/>
        </w:rPr>
        <w:t>maintained its certification status against the Human Services Quality Standards</w:t>
      </w:r>
    </w:p>
    <w:p w14:paraId="0B0C7FA9" w14:textId="23AFE0B4" w:rsidR="00DB2EF1" w:rsidRPr="00BD77D8" w:rsidRDefault="00607084" w:rsidP="00607E8B">
      <w:pPr>
        <w:pStyle w:val="ListParagraph"/>
        <w:numPr>
          <w:ilvl w:val="0"/>
          <w:numId w:val="57"/>
        </w:numPr>
        <w:rPr>
          <w:iCs/>
        </w:rPr>
      </w:pPr>
      <w:r w:rsidRPr="00BD77D8">
        <w:rPr>
          <w:iCs/>
        </w:rPr>
        <w:t xml:space="preserve">provided </w:t>
      </w:r>
      <w:r w:rsidR="00377D1D" w:rsidRPr="00BD77D8">
        <w:rPr>
          <w:iCs/>
        </w:rPr>
        <w:t xml:space="preserve">706 </w:t>
      </w:r>
      <w:r w:rsidR="00713233" w:rsidRPr="00BD77D8">
        <w:rPr>
          <w:iCs/>
        </w:rPr>
        <w:t>acco</w:t>
      </w:r>
      <w:r w:rsidRPr="00BD77D8">
        <w:rPr>
          <w:iCs/>
        </w:rPr>
        <w:t xml:space="preserve">mmodation and </w:t>
      </w:r>
      <w:r w:rsidR="00713233" w:rsidRPr="00BD77D8">
        <w:rPr>
          <w:iCs/>
        </w:rPr>
        <w:t>r</w:t>
      </w:r>
      <w:r w:rsidRPr="00BD77D8">
        <w:rPr>
          <w:iCs/>
        </w:rPr>
        <w:t xml:space="preserve">espite supports to clients that contribute to the goals in their NDIS </w:t>
      </w:r>
      <w:r w:rsidR="001F264E" w:rsidRPr="00BD77D8">
        <w:rPr>
          <w:iCs/>
        </w:rPr>
        <w:t>p</w:t>
      </w:r>
      <w:r w:rsidRPr="00BD77D8">
        <w:rPr>
          <w:iCs/>
        </w:rPr>
        <w:t>lan</w:t>
      </w:r>
      <w:r w:rsidR="00F0441E" w:rsidRPr="00BD77D8">
        <w:rPr>
          <w:iCs/>
        </w:rPr>
        <w:t>s</w:t>
      </w:r>
      <w:r w:rsidR="00750248" w:rsidRPr="00BD77D8">
        <w:rPr>
          <w:iCs/>
        </w:rPr>
        <w:t xml:space="preserve"> </w:t>
      </w:r>
    </w:p>
    <w:p w14:paraId="73E7E747" w14:textId="507CFAF5" w:rsidR="00607084" w:rsidRPr="00BD77D8" w:rsidRDefault="00C203DF" w:rsidP="00607E8B">
      <w:pPr>
        <w:pStyle w:val="ListParagraph"/>
        <w:numPr>
          <w:ilvl w:val="0"/>
          <w:numId w:val="57"/>
        </w:numPr>
        <w:rPr>
          <w:iCs/>
        </w:rPr>
      </w:pPr>
      <w:r w:rsidRPr="00BD77D8">
        <w:rPr>
          <w:iCs/>
        </w:rPr>
        <w:t>s</w:t>
      </w:r>
      <w:r w:rsidR="00DB2EF1" w:rsidRPr="00BD77D8">
        <w:rPr>
          <w:iCs/>
        </w:rPr>
        <w:t>upported 35 clients over 65 years of age to access specialist allied health supports to enable them to continue to live independently</w:t>
      </w:r>
    </w:p>
    <w:p w14:paraId="77A43222" w14:textId="4E3CCE67" w:rsidR="00641920" w:rsidRPr="00BD77D8" w:rsidRDefault="00607084" w:rsidP="00607E8B">
      <w:pPr>
        <w:pStyle w:val="ListParagraph"/>
        <w:numPr>
          <w:ilvl w:val="0"/>
          <w:numId w:val="57"/>
        </w:numPr>
        <w:rPr>
          <w:iCs/>
        </w:rPr>
      </w:pPr>
      <w:r w:rsidRPr="00BD77D8">
        <w:rPr>
          <w:iCs/>
        </w:rPr>
        <w:t xml:space="preserve">facilitated access to comprehensive annual health plans for </w:t>
      </w:r>
      <w:r w:rsidR="00377D1D" w:rsidRPr="00BD77D8">
        <w:rPr>
          <w:iCs/>
        </w:rPr>
        <w:t>433</w:t>
      </w:r>
      <w:r w:rsidRPr="00BD77D8">
        <w:rPr>
          <w:iCs/>
        </w:rPr>
        <w:t xml:space="preserve"> clients</w:t>
      </w:r>
      <w:r w:rsidR="00641920" w:rsidRPr="00BD77D8">
        <w:rPr>
          <w:iCs/>
        </w:rPr>
        <w:t xml:space="preserve"> </w:t>
      </w:r>
    </w:p>
    <w:p w14:paraId="7505F097" w14:textId="35D80BA0" w:rsidR="00C203DF" w:rsidRPr="00BD77D8" w:rsidRDefault="00C203DF" w:rsidP="00607E8B">
      <w:pPr>
        <w:pStyle w:val="ListParagraph"/>
        <w:numPr>
          <w:ilvl w:val="0"/>
          <w:numId w:val="57"/>
        </w:numPr>
        <w:rPr>
          <w:iCs/>
        </w:rPr>
      </w:pPr>
      <w:r w:rsidRPr="00BD77D8">
        <w:rPr>
          <w:iCs/>
        </w:rPr>
        <w:t xml:space="preserve">ensured that </w:t>
      </w:r>
      <w:r w:rsidR="00641920" w:rsidRPr="00BD77D8">
        <w:rPr>
          <w:iCs/>
        </w:rPr>
        <w:t>9</w:t>
      </w:r>
      <w:r w:rsidR="00694E42" w:rsidRPr="00BD77D8">
        <w:rPr>
          <w:iCs/>
        </w:rPr>
        <w:t>1 per cent</w:t>
      </w:r>
      <w:r w:rsidR="00641920" w:rsidRPr="00BD77D8">
        <w:rPr>
          <w:iCs/>
        </w:rPr>
        <w:t xml:space="preserve"> of Accommodation Support and Respite Services’ clients had comprehensive annual health plans during 2021</w:t>
      </w:r>
      <w:r w:rsidR="001F264E" w:rsidRPr="00BD77D8">
        <w:rPr>
          <w:iCs/>
        </w:rPr>
        <w:t>–</w:t>
      </w:r>
      <w:r w:rsidR="00120561" w:rsidRPr="00BD77D8">
        <w:rPr>
          <w:iCs/>
        </w:rPr>
        <w:t>20</w:t>
      </w:r>
      <w:r w:rsidR="00641920" w:rsidRPr="00BD77D8">
        <w:rPr>
          <w:iCs/>
        </w:rPr>
        <w:t>22</w:t>
      </w:r>
    </w:p>
    <w:p w14:paraId="5E96B21C" w14:textId="51DE41BD" w:rsidR="00FF36BE" w:rsidRPr="00BD77D8" w:rsidRDefault="00C203DF" w:rsidP="00607E8B">
      <w:pPr>
        <w:pStyle w:val="ListParagraph"/>
        <w:numPr>
          <w:ilvl w:val="0"/>
          <w:numId w:val="57"/>
        </w:numPr>
      </w:pPr>
      <w:r w:rsidRPr="00BD77D8">
        <w:rPr>
          <w:iCs/>
        </w:rPr>
        <w:t>achieved 8</w:t>
      </w:r>
      <w:r w:rsidR="00694E42" w:rsidRPr="00BD77D8">
        <w:rPr>
          <w:iCs/>
        </w:rPr>
        <w:t>9 per cent</w:t>
      </w:r>
      <w:r w:rsidRPr="00BD77D8">
        <w:rPr>
          <w:iCs/>
        </w:rPr>
        <w:t xml:space="preserve"> satisfaction</w:t>
      </w:r>
      <w:r w:rsidRPr="00BD77D8">
        <w:t xml:space="preserve"> by families and guardians with the quality of services</w:t>
      </w:r>
      <w:r w:rsidR="00377D1D" w:rsidRPr="00BD77D8">
        <w:t>.</w:t>
      </w:r>
      <w:r w:rsidRPr="00BD77D8">
        <w:t xml:space="preserve"> </w:t>
      </w:r>
    </w:p>
    <w:p w14:paraId="05D3A1C8" w14:textId="41C312DF" w:rsidR="007F1FFF" w:rsidRPr="00BD77D8" w:rsidRDefault="007F1FFF" w:rsidP="00975465">
      <w:pPr>
        <w:pStyle w:val="Heading3"/>
      </w:pPr>
      <w:bookmarkStart w:id="122" w:name="_Toc78287351"/>
      <w:bookmarkStart w:id="123" w:name="_Toc78355758"/>
      <w:bookmarkStart w:id="124" w:name="_Hlk77854558"/>
      <w:bookmarkEnd w:id="120"/>
      <w:r w:rsidRPr="00BD77D8">
        <w:t>Provision of disability supports outside of the NDIS</w:t>
      </w:r>
      <w:bookmarkEnd w:id="122"/>
      <w:bookmarkEnd w:id="123"/>
    </w:p>
    <w:p w14:paraId="22F229F5" w14:textId="0AE33CEE" w:rsidR="007F1FFF" w:rsidRPr="00BD77D8" w:rsidRDefault="007F1FFF" w:rsidP="00B856A7">
      <w:r w:rsidRPr="00BD77D8">
        <w:t>Under the Queensland Government</w:t>
      </w:r>
      <w:r w:rsidR="00C12027" w:rsidRPr="00BD77D8">
        <w:t>’s</w:t>
      </w:r>
      <w:r w:rsidRPr="00BD77D8">
        <w:t xml:space="preserve"> mandate for the continuity of services, Accommodation Support and Respite Services in conjunction with Queensland Health, provide</w:t>
      </w:r>
      <w:r w:rsidR="00C12027" w:rsidRPr="00BD77D8">
        <w:t>s</w:t>
      </w:r>
      <w:r w:rsidRPr="00BD77D8">
        <w:t xml:space="preserve"> accommodation and coordination of ongoing specialist disability supports for clients aged over 65 years.</w:t>
      </w:r>
    </w:p>
    <w:p w14:paraId="25FE2749" w14:textId="77777777" w:rsidR="0003145F" w:rsidRPr="00BD77D8" w:rsidRDefault="0003145F" w:rsidP="0003145F">
      <w:bookmarkStart w:id="125" w:name="_Toc78287352"/>
      <w:bookmarkStart w:id="126" w:name="_Toc78355759"/>
      <w:r w:rsidRPr="00BD77D8">
        <w:t xml:space="preserve">During 2021-2022 Disability Accommodation, Respite and Forensic Services administered funding to 17 previous Disability Services’ clients aged under 65 years, and who were deemed ineligible under the NDIS, to </w:t>
      </w:r>
      <w:r w:rsidRPr="00BD77D8">
        <w:lastRenderedPageBreak/>
        <w:t>ensure individuals were supported to achieve similar outcomes to those they were achieving prior to the introduction of the NDIS.</w:t>
      </w:r>
    </w:p>
    <w:p w14:paraId="4EF6D5A7" w14:textId="2FD79913" w:rsidR="00E61BA9" w:rsidRPr="00BD77D8" w:rsidRDefault="00E61BA9" w:rsidP="00975465">
      <w:pPr>
        <w:pStyle w:val="Heading3"/>
      </w:pPr>
      <w:r w:rsidRPr="00BD77D8">
        <w:t>Forensic Disability Service</w:t>
      </w:r>
      <w:bookmarkEnd w:id="125"/>
      <w:bookmarkEnd w:id="126"/>
    </w:p>
    <w:p w14:paraId="3A7ECCDF" w14:textId="2EC36FA4" w:rsidR="00247050" w:rsidRPr="00BD77D8" w:rsidRDefault="00247050" w:rsidP="00B856A7">
      <w:pPr>
        <w:rPr>
          <w:lang w:val="en"/>
        </w:rPr>
      </w:pPr>
      <w:r w:rsidRPr="00BD77D8">
        <w:rPr>
          <w:lang w:val="en"/>
        </w:rPr>
        <w:t xml:space="preserve">The Forensic Disability Service is a medium secure 10-bed facility at </w:t>
      </w:r>
      <w:proofErr w:type="spellStart"/>
      <w:r w:rsidRPr="00BD77D8">
        <w:rPr>
          <w:lang w:val="en"/>
        </w:rPr>
        <w:t>Wacol</w:t>
      </w:r>
      <w:proofErr w:type="spellEnd"/>
      <w:r w:rsidRPr="00BD77D8">
        <w:rPr>
          <w:lang w:val="en"/>
        </w:rPr>
        <w:t xml:space="preserve"> for the involuntary detention and care of people who have been found unfit to stand trial </w:t>
      </w:r>
      <w:proofErr w:type="gramStart"/>
      <w:r w:rsidRPr="00BD77D8">
        <w:rPr>
          <w:lang w:val="en"/>
        </w:rPr>
        <w:t>as a result of</w:t>
      </w:r>
      <w:proofErr w:type="gramEnd"/>
      <w:r w:rsidRPr="00BD77D8">
        <w:rPr>
          <w:lang w:val="en"/>
        </w:rPr>
        <w:t xml:space="preserve"> an intellectual or cognitive disability. The facility is operated by the department with oversight from the Director of Forensic Disability. </w:t>
      </w:r>
    </w:p>
    <w:p w14:paraId="73A9E3EE" w14:textId="51011D9A" w:rsidR="00E61BA9" w:rsidRPr="00BD77D8" w:rsidRDefault="00E61BA9" w:rsidP="00671ADD">
      <w:pPr>
        <w:spacing w:after="120" w:line="240" w:lineRule="auto"/>
        <w:rPr>
          <w:b/>
          <w:bCs/>
        </w:rPr>
      </w:pPr>
      <w:bookmarkStart w:id="127" w:name="_Hlk78971531"/>
      <w:bookmarkStart w:id="128" w:name="_Hlk77854519"/>
      <w:bookmarkEnd w:id="124"/>
      <w:r w:rsidRPr="00BD77D8">
        <w:rPr>
          <w:b/>
          <w:bCs/>
        </w:rPr>
        <w:t>Key achievements</w:t>
      </w:r>
    </w:p>
    <w:bookmarkEnd w:id="127"/>
    <w:p w14:paraId="579A0C75" w14:textId="1440DBEE" w:rsidR="00E61BA9" w:rsidRPr="00BD77D8" w:rsidRDefault="00E61BA9" w:rsidP="00671ADD">
      <w:pPr>
        <w:spacing w:after="120" w:line="240" w:lineRule="auto"/>
        <w:rPr>
          <w:sz w:val="20"/>
          <w:szCs w:val="20"/>
          <w:lang w:eastAsia="en-US"/>
        </w:rPr>
      </w:pPr>
      <w:r w:rsidRPr="00BD77D8">
        <w:rPr>
          <w:lang w:eastAsia="en-US"/>
        </w:rPr>
        <w:t>During the reporting perio</w:t>
      </w:r>
      <w:r w:rsidR="008F0B02" w:rsidRPr="00BD77D8">
        <w:rPr>
          <w:lang w:eastAsia="en-US"/>
        </w:rPr>
        <w:t>d</w:t>
      </w:r>
      <w:r w:rsidR="004A3332" w:rsidRPr="00BD77D8">
        <w:rPr>
          <w:lang w:eastAsia="en-US"/>
        </w:rPr>
        <w:t>,</w:t>
      </w:r>
      <w:r w:rsidR="008F0B02" w:rsidRPr="00BD77D8">
        <w:rPr>
          <w:lang w:eastAsia="en-US"/>
        </w:rPr>
        <w:t xml:space="preserve"> the department:</w:t>
      </w:r>
    </w:p>
    <w:p w14:paraId="6EE0F093" w14:textId="75BFE8E7" w:rsidR="00DB2EF1" w:rsidRPr="00BD77D8" w:rsidRDefault="00DB2EF1" w:rsidP="005A1C92">
      <w:pPr>
        <w:pStyle w:val="ListParagraph"/>
        <w:numPr>
          <w:ilvl w:val="0"/>
          <w:numId w:val="57"/>
        </w:numPr>
        <w:rPr>
          <w:iCs/>
        </w:rPr>
      </w:pPr>
      <w:r w:rsidRPr="00BD77D8">
        <w:rPr>
          <w:iCs/>
        </w:rPr>
        <w:t>supported the successful transition of two clients from the Forensic Disability Service</w:t>
      </w:r>
    </w:p>
    <w:p w14:paraId="64FD43F7" w14:textId="185C7ECA" w:rsidR="00695773" w:rsidRPr="00BD77D8" w:rsidRDefault="00695773" w:rsidP="005A1C92">
      <w:pPr>
        <w:pStyle w:val="ListParagraph"/>
        <w:numPr>
          <w:ilvl w:val="0"/>
          <w:numId w:val="57"/>
        </w:numPr>
        <w:rPr>
          <w:iCs/>
        </w:rPr>
      </w:pPr>
      <w:r w:rsidRPr="00BD77D8">
        <w:rPr>
          <w:iCs/>
        </w:rPr>
        <w:t xml:space="preserve">supported the participation of Forensic Disability Service clients in </w:t>
      </w:r>
      <w:r w:rsidR="00DB2EF1" w:rsidRPr="00BD77D8">
        <w:rPr>
          <w:iCs/>
        </w:rPr>
        <w:t>590</w:t>
      </w:r>
      <w:r w:rsidRPr="00BD77D8">
        <w:rPr>
          <w:iCs/>
        </w:rPr>
        <w:t xml:space="preserve"> Limited Community Treatment events in line with the conditions of their Forensic Order and assessed risk</w:t>
      </w:r>
    </w:p>
    <w:p w14:paraId="696FC89E" w14:textId="10133D44" w:rsidR="00D60A00" w:rsidRPr="00BD77D8" w:rsidRDefault="00D60A00" w:rsidP="005A1C92">
      <w:pPr>
        <w:pStyle w:val="ListParagraph"/>
        <w:numPr>
          <w:ilvl w:val="0"/>
          <w:numId w:val="57"/>
        </w:numPr>
        <w:rPr>
          <w:iCs/>
        </w:rPr>
      </w:pPr>
      <w:r w:rsidRPr="00BD77D8">
        <w:rPr>
          <w:iCs/>
        </w:rPr>
        <w:t xml:space="preserve">implemented </w:t>
      </w:r>
      <w:r w:rsidR="00247050" w:rsidRPr="00BD77D8">
        <w:rPr>
          <w:iCs/>
        </w:rPr>
        <w:t xml:space="preserve">the </w:t>
      </w:r>
      <w:r w:rsidRPr="00BD77D8">
        <w:rPr>
          <w:iCs/>
        </w:rPr>
        <w:t>restructure of</w:t>
      </w:r>
      <w:r w:rsidR="00247050" w:rsidRPr="00BD77D8">
        <w:rPr>
          <w:iCs/>
        </w:rPr>
        <w:t xml:space="preserve"> the</w:t>
      </w:r>
      <w:r w:rsidRPr="00BD77D8">
        <w:rPr>
          <w:iCs/>
        </w:rPr>
        <w:t xml:space="preserve"> Forensic Disability Service, providing a new suite of treatment programs and</w:t>
      </w:r>
      <w:r w:rsidR="00247050" w:rsidRPr="00BD77D8">
        <w:rPr>
          <w:iCs/>
        </w:rPr>
        <w:t xml:space="preserve"> </w:t>
      </w:r>
      <w:r w:rsidR="00EF1046" w:rsidRPr="00BD77D8">
        <w:rPr>
          <w:iCs/>
        </w:rPr>
        <w:t>m</w:t>
      </w:r>
      <w:r w:rsidRPr="00BD77D8">
        <w:rPr>
          <w:iCs/>
        </w:rPr>
        <w:t xml:space="preserve">odel of </w:t>
      </w:r>
      <w:r w:rsidR="00EF1046" w:rsidRPr="00BD77D8">
        <w:rPr>
          <w:iCs/>
        </w:rPr>
        <w:t>c</w:t>
      </w:r>
      <w:r w:rsidRPr="00BD77D8">
        <w:rPr>
          <w:iCs/>
        </w:rPr>
        <w:t>are</w:t>
      </w:r>
      <w:bookmarkEnd w:id="128"/>
      <w:r w:rsidRPr="00BD77D8">
        <w:rPr>
          <w:iCs/>
        </w:rPr>
        <w:t>.</w:t>
      </w:r>
    </w:p>
    <w:p w14:paraId="0B30F72A" w14:textId="2E62A3D1" w:rsidR="00945ABE" w:rsidRPr="00BD77D8" w:rsidRDefault="00AE617E" w:rsidP="00945ABE">
      <w:pPr>
        <w:spacing w:line="240" w:lineRule="auto"/>
        <w:ind w:left="142"/>
        <w:rPr>
          <w:rFonts w:eastAsia="Calibri"/>
          <w:b/>
          <w:sz w:val="20"/>
          <w:szCs w:val="20"/>
          <w:lang w:val="en-US" w:eastAsia="en-US"/>
        </w:rPr>
      </w:pPr>
      <w:bookmarkStart w:id="129" w:name="_Toc113544389"/>
      <w:bookmarkStart w:id="130" w:name="_Toc73714396"/>
      <w:bookmarkStart w:id="131" w:name="_Toc78287360"/>
      <w:bookmarkStart w:id="132" w:name="_Toc78355767"/>
      <w:bookmarkStart w:id="133" w:name="_Toc43444760"/>
      <w:bookmarkEnd w:id="110"/>
      <w:r w:rsidRPr="00BD77D8">
        <w:rPr>
          <w:rStyle w:val="Heading2Char"/>
          <w:color w:val="auto"/>
        </w:rPr>
        <w:t>Our Performance</w:t>
      </w:r>
      <w:r w:rsidR="00607E8B" w:rsidRPr="00BD77D8">
        <w:rPr>
          <w:rStyle w:val="Heading2Char"/>
          <w:color w:val="auto"/>
        </w:rPr>
        <w:t>—</w:t>
      </w:r>
      <w:r w:rsidRPr="00BD77D8">
        <w:rPr>
          <w:rStyle w:val="Heading2Char"/>
          <w:color w:val="auto"/>
        </w:rPr>
        <w:t>Disability services</w:t>
      </w:r>
      <w:bookmarkEnd w:id="129"/>
    </w:p>
    <w:tbl>
      <w:tblPr>
        <w:tblStyle w:val="TableGrid1"/>
        <w:tblW w:w="10495" w:type="dxa"/>
        <w:tblInd w:w="-5" w:type="dxa"/>
        <w:tblLayout w:type="fixed"/>
        <w:tblCellMar>
          <w:left w:w="0" w:type="dxa"/>
          <w:right w:w="0" w:type="dxa"/>
        </w:tblCellMar>
        <w:tblLook w:val="01E0" w:firstRow="1" w:lastRow="1" w:firstColumn="1" w:lastColumn="1" w:noHBand="0" w:noVBand="0"/>
      </w:tblPr>
      <w:tblGrid>
        <w:gridCol w:w="6726"/>
        <w:gridCol w:w="1310"/>
        <w:gridCol w:w="1183"/>
        <w:gridCol w:w="1276"/>
      </w:tblGrid>
      <w:tr w:rsidR="00BD77D8" w:rsidRPr="00BD77D8" w14:paraId="33150A6E" w14:textId="77777777" w:rsidTr="00D92223">
        <w:trPr>
          <w:trHeight w:val="20"/>
        </w:trPr>
        <w:tc>
          <w:tcPr>
            <w:tcW w:w="6726" w:type="dxa"/>
            <w:shd w:val="clear" w:color="auto" w:fill="F2F2F2" w:themeFill="background1" w:themeFillShade="F2"/>
          </w:tcPr>
          <w:p w14:paraId="0A0C4A12" w14:textId="77777777" w:rsidR="00AC4DF3" w:rsidRPr="00BD77D8" w:rsidRDefault="00AC4DF3" w:rsidP="00370B0B">
            <w:pPr>
              <w:spacing w:after="0" w:line="240" w:lineRule="auto"/>
              <w:rPr>
                <w:rFonts w:ascii="Arial" w:hAnsi="Arial"/>
                <w:b/>
                <w:bCs/>
              </w:rPr>
            </w:pPr>
            <w:r w:rsidRPr="00BD77D8">
              <w:rPr>
                <w:rFonts w:ascii="Arial" w:hAnsi="Arial"/>
                <w:b/>
                <w:bCs/>
              </w:rPr>
              <w:t>Service standards</w:t>
            </w:r>
          </w:p>
        </w:tc>
        <w:tc>
          <w:tcPr>
            <w:tcW w:w="1310" w:type="dxa"/>
            <w:shd w:val="clear" w:color="auto" w:fill="F2F2F2" w:themeFill="background1" w:themeFillShade="F2"/>
          </w:tcPr>
          <w:p w14:paraId="1482550E" w14:textId="77777777" w:rsidR="00AC4DF3" w:rsidRPr="00BD77D8" w:rsidRDefault="00AC4DF3" w:rsidP="00370B0B">
            <w:pPr>
              <w:spacing w:after="0" w:line="240" w:lineRule="auto"/>
              <w:jc w:val="center"/>
              <w:rPr>
                <w:rFonts w:ascii="Arial" w:hAnsi="Arial"/>
                <w:b/>
                <w:bCs/>
              </w:rPr>
            </w:pPr>
            <w:r w:rsidRPr="00BD77D8">
              <w:rPr>
                <w:rFonts w:ascii="Arial" w:hAnsi="Arial"/>
                <w:b/>
                <w:bCs/>
              </w:rPr>
              <w:t>Notes</w:t>
            </w:r>
          </w:p>
        </w:tc>
        <w:tc>
          <w:tcPr>
            <w:tcW w:w="1183" w:type="dxa"/>
            <w:shd w:val="clear" w:color="auto" w:fill="F2F2F2" w:themeFill="background1" w:themeFillShade="F2"/>
          </w:tcPr>
          <w:p w14:paraId="6705BC9F" w14:textId="0AB17FFC" w:rsidR="00AC4DF3" w:rsidRPr="00BD77D8" w:rsidRDefault="00AC4DF3" w:rsidP="00370B0B">
            <w:pPr>
              <w:spacing w:after="0" w:line="240" w:lineRule="auto"/>
              <w:jc w:val="center"/>
              <w:rPr>
                <w:rFonts w:ascii="Arial" w:hAnsi="Arial"/>
                <w:b/>
                <w:bCs/>
              </w:rPr>
            </w:pPr>
            <w:r w:rsidRPr="00BD77D8">
              <w:rPr>
                <w:rFonts w:ascii="Arial" w:hAnsi="Arial"/>
                <w:b/>
                <w:bCs/>
              </w:rPr>
              <w:t>2021</w:t>
            </w:r>
            <w:r w:rsidR="00457097" w:rsidRPr="00BD77D8">
              <w:rPr>
                <w:rFonts w:ascii="Arial" w:hAnsi="Arial"/>
                <w:b/>
                <w:bCs/>
              </w:rPr>
              <w:t>–</w:t>
            </w:r>
            <w:r w:rsidRPr="00BD77D8">
              <w:rPr>
                <w:rFonts w:ascii="Arial" w:hAnsi="Arial"/>
                <w:b/>
                <w:bCs/>
              </w:rPr>
              <w:t>2022</w:t>
            </w:r>
          </w:p>
          <w:p w14:paraId="622204FD" w14:textId="77777777" w:rsidR="00AC4DF3" w:rsidRPr="00BD77D8" w:rsidRDefault="00AC4DF3" w:rsidP="00370B0B">
            <w:pPr>
              <w:spacing w:after="0" w:line="240" w:lineRule="auto"/>
              <w:jc w:val="center"/>
              <w:rPr>
                <w:rFonts w:ascii="Arial" w:hAnsi="Arial"/>
                <w:b/>
                <w:bCs/>
              </w:rPr>
            </w:pPr>
            <w:r w:rsidRPr="00BD77D8">
              <w:rPr>
                <w:rFonts w:ascii="Arial" w:hAnsi="Arial"/>
                <w:b/>
                <w:bCs/>
              </w:rPr>
              <w:t>Target/Est.</w:t>
            </w:r>
          </w:p>
        </w:tc>
        <w:tc>
          <w:tcPr>
            <w:tcW w:w="1276" w:type="dxa"/>
            <w:shd w:val="clear" w:color="auto" w:fill="F2F2F2" w:themeFill="background1" w:themeFillShade="F2"/>
          </w:tcPr>
          <w:p w14:paraId="4E2646F6" w14:textId="23EB885B" w:rsidR="00AC4DF3" w:rsidRPr="00BD77D8" w:rsidRDefault="00AC4DF3" w:rsidP="00370B0B">
            <w:pPr>
              <w:spacing w:after="0" w:line="240" w:lineRule="auto"/>
              <w:jc w:val="center"/>
              <w:rPr>
                <w:rFonts w:ascii="Arial" w:hAnsi="Arial"/>
                <w:b/>
                <w:bCs/>
              </w:rPr>
            </w:pPr>
            <w:r w:rsidRPr="00BD77D8">
              <w:rPr>
                <w:rFonts w:ascii="Arial" w:hAnsi="Arial"/>
                <w:b/>
                <w:bCs/>
              </w:rPr>
              <w:t>2021</w:t>
            </w:r>
            <w:r w:rsidR="00457097" w:rsidRPr="00BD77D8">
              <w:rPr>
                <w:rFonts w:ascii="Arial" w:hAnsi="Arial"/>
                <w:b/>
                <w:bCs/>
              </w:rPr>
              <w:t>–</w:t>
            </w:r>
            <w:r w:rsidRPr="00BD77D8">
              <w:rPr>
                <w:rFonts w:ascii="Arial" w:hAnsi="Arial"/>
                <w:b/>
                <w:bCs/>
              </w:rPr>
              <w:t>2022</w:t>
            </w:r>
          </w:p>
          <w:p w14:paraId="2D7D182C" w14:textId="77777777" w:rsidR="00AC4DF3" w:rsidRPr="00BD77D8" w:rsidRDefault="00AC4DF3" w:rsidP="00370B0B">
            <w:pPr>
              <w:spacing w:after="0" w:line="240" w:lineRule="auto"/>
              <w:jc w:val="center"/>
              <w:rPr>
                <w:rFonts w:ascii="Arial" w:hAnsi="Arial"/>
                <w:b/>
                <w:bCs/>
                <w:highlight w:val="yellow"/>
              </w:rPr>
            </w:pPr>
            <w:r w:rsidRPr="00BD77D8">
              <w:rPr>
                <w:rFonts w:ascii="Arial" w:hAnsi="Arial"/>
                <w:b/>
                <w:bCs/>
              </w:rPr>
              <w:t>Actual</w:t>
            </w:r>
          </w:p>
        </w:tc>
      </w:tr>
      <w:tr w:rsidR="00BD77D8" w:rsidRPr="00BD77D8" w14:paraId="33B51F8C" w14:textId="77777777" w:rsidTr="00370B0B">
        <w:trPr>
          <w:trHeight w:val="20"/>
        </w:trPr>
        <w:tc>
          <w:tcPr>
            <w:tcW w:w="6726" w:type="dxa"/>
          </w:tcPr>
          <w:p w14:paraId="493DEB83" w14:textId="6375B88C" w:rsidR="00AC4DF3" w:rsidRPr="00BD77D8" w:rsidRDefault="00AC4DF3" w:rsidP="00370B0B">
            <w:pPr>
              <w:spacing w:after="120"/>
              <w:rPr>
                <w:rFonts w:ascii="Arial" w:hAnsi="Arial"/>
                <w:i/>
                <w:iCs/>
              </w:rPr>
            </w:pPr>
            <w:r w:rsidRPr="00BD77D8">
              <w:rPr>
                <w:rFonts w:ascii="Arial" w:hAnsi="Arial"/>
                <w:i/>
                <w:iCs/>
              </w:rPr>
              <w:t>Effectiveness measure</w:t>
            </w:r>
            <w:r w:rsidR="00F0441E" w:rsidRPr="00BD77D8">
              <w:rPr>
                <w:rFonts w:ascii="Arial" w:hAnsi="Arial"/>
                <w:i/>
                <w:iCs/>
              </w:rPr>
              <w:t>s</w:t>
            </w:r>
          </w:p>
        </w:tc>
        <w:tc>
          <w:tcPr>
            <w:tcW w:w="1310" w:type="dxa"/>
          </w:tcPr>
          <w:p w14:paraId="6780DA5A" w14:textId="77777777" w:rsidR="00AC4DF3" w:rsidRPr="00BD77D8" w:rsidRDefault="00AC4DF3" w:rsidP="00370B0B">
            <w:pPr>
              <w:rPr>
                <w:rFonts w:ascii="Arial" w:hAnsi="Arial"/>
              </w:rPr>
            </w:pPr>
          </w:p>
        </w:tc>
        <w:tc>
          <w:tcPr>
            <w:tcW w:w="1183" w:type="dxa"/>
            <w:vAlign w:val="center"/>
          </w:tcPr>
          <w:p w14:paraId="55459FC3" w14:textId="77777777" w:rsidR="00AC4DF3" w:rsidRPr="00BD77D8" w:rsidRDefault="00AC4DF3" w:rsidP="00370B0B">
            <w:pPr>
              <w:jc w:val="center"/>
              <w:rPr>
                <w:rFonts w:ascii="Arial" w:hAnsi="Arial"/>
              </w:rPr>
            </w:pPr>
          </w:p>
        </w:tc>
        <w:tc>
          <w:tcPr>
            <w:tcW w:w="1276" w:type="dxa"/>
            <w:vAlign w:val="center"/>
          </w:tcPr>
          <w:p w14:paraId="6B0ED959" w14:textId="77777777" w:rsidR="00AC4DF3" w:rsidRPr="00BD77D8" w:rsidRDefault="00AC4DF3" w:rsidP="00370B0B">
            <w:pPr>
              <w:rPr>
                <w:rFonts w:ascii="Arial" w:hAnsi="Arial"/>
              </w:rPr>
            </w:pPr>
          </w:p>
        </w:tc>
      </w:tr>
      <w:tr w:rsidR="00BD77D8" w:rsidRPr="00BD77D8" w14:paraId="6EE5C50B" w14:textId="77777777" w:rsidTr="00433A9A">
        <w:trPr>
          <w:trHeight w:val="20"/>
        </w:trPr>
        <w:tc>
          <w:tcPr>
            <w:tcW w:w="6726" w:type="dxa"/>
          </w:tcPr>
          <w:p w14:paraId="46880D35" w14:textId="77777777" w:rsidR="00AC4DF3" w:rsidRPr="00BD77D8" w:rsidRDefault="00AC4DF3" w:rsidP="00370B0B">
            <w:pPr>
              <w:spacing w:after="120"/>
              <w:rPr>
                <w:rFonts w:ascii="Arial" w:hAnsi="Arial"/>
                <w:i/>
                <w:iCs/>
              </w:rPr>
            </w:pPr>
            <w:r w:rsidRPr="00BD77D8">
              <w:rPr>
                <w:rFonts w:ascii="Arial" w:hAnsi="Arial"/>
              </w:rPr>
              <w:t xml:space="preserve">Percentage of approved accommodation support places used for people with disability </w:t>
            </w:r>
          </w:p>
        </w:tc>
        <w:tc>
          <w:tcPr>
            <w:tcW w:w="1310" w:type="dxa"/>
          </w:tcPr>
          <w:p w14:paraId="6C6F91CD" w14:textId="77777777" w:rsidR="00AC4DF3" w:rsidRPr="00BD77D8" w:rsidRDefault="00AC4DF3" w:rsidP="00370B0B">
            <w:pPr>
              <w:jc w:val="center"/>
              <w:rPr>
                <w:rFonts w:ascii="Arial" w:hAnsi="Arial"/>
              </w:rPr>
            </w:pPr>
            <w:r w:rsidRPr="00BD77D8">
              <w:rPr>
                <w:rFonts w:ascii="Arial" w:hAnsi="Arial"/>
              </w:rPr>
              <w:t>1,2,3</w:t>
            </w:r>
          </w:p>
        </w:tc>
        <w:tc>
          <w:tcPr>
            <w:tcW w:w="1183" w:type="dxa"/>
          </w:tcPr>
          <w:p w14:paraId="0F3966BA" w14:textId="77777777" w:rsidR="00AC4DF3" w:rsidRPr="00BD77D8" w:rsidRDefault="00AC4DF3" w:rsidP="00370B0B">
            <w:pPr>
              <w:jc w:val="center"/>
              <w:rPr>
                <w:rFonts w:ascii="Arial" w:hAnsi="Arial"/>
              </w:rPr>
            </w:pPr>
            <w:r w:rsidRPr="00BD77D8">
              <w:rPr>
                <w:rFonts w:ascii="Arial" w:hAnsi="Arial"/>
              </w:rPr>
              <w:t>80%</w:t>
            </w:r>
          </w:p>
        </w:tc>
        <w:tc>
          <w:tcPr>
            <w:tcW w:w="1276" w:type="dxa"/>
          </w:tcPr>
          <w:p w14:paraId="2826ADC9" w14:textId="348D3916" w:rsidR="00AC4DF3" w:rsidRPr="00BD77D8" w:rsidRDefault="00377D1D" w:rsidP="00433A9A">
            <w:pPr>
              <w:jc w:val="center"/>
              <w:rPr>
                <w:rFonts w:ascii="Arial" w:hAnsi="Arial"/>
              </w:rPr>
            </w:pPr>
            <w:r w:rsidRPr="00BD77D8">
              <w:rPr>
                <w:rFonts w:ascii="Arial" w:hAnsi="Arial"/>
              </w:rPr>
              <w:t>93</w:t>
            </w:r>
            <w:r w:rsidR="00300472" w:rsidRPr="00BD77D8">
              <w:rPr>
                <w:rFonts w:ascii="Arial" w:hAnsi="Arial"/>
              </w:rPr>
              <w:t>%</w:t>
            </w:r>
          </w:p>
        </w:tc>
      </w:tr>
      <w:tr w:rsidR="00BD77D8" w:rsidRPr="00BD77D8" w14:paraId="652413F6" w14:textId="77777777" w:rsidTr="00694E42">
        <w:trPr>
          <w:trHeight w:val="20"/>
        </w:trPr>
        <w:tc>
          <w:tcPr>
            <w:tcW w:w="6726" w:type="dxa"/>
          </w:tcPr>
          <w:p w14:paraId="7FC52CB4" w14:textId="77777777" w:rsidR="00AC4DF3" w:rsidRPr="00BD77D8" w:rsidRDefault="00AC4DF3" w:rsidP="00370B0B">
            <w:pPr>
              <w:rPr>
                <w:rFonts w:ascii="Arial" w:hAnsi="Arial"/>
              </w:rPr>
            </w:pPr>
            <w:r w:rsidRPr="00BD77D8">
              <w:rPr>
                <w:rFonts w:ascii="Arial" w:hAnsi="Arial"/>
              </w:rPr>
              <w:t xml:space="preserve">Number of people with disability receiving departmental accommodation and support services </w:t>
            </w:r>
          </w:p>
        </w:tc>
        <w:tc>
          <w:tcPr>
            <w:tcW w:w="1310" w:type="dxa"/>
          </w:tcPr>
          <w:p w14:paraId="4A510361" w14:textId="77777777" w:rsidR="00AC4DF3" w:rsidRPr="00BD77D8" w:rsidRDefault="00AC4DF3" w:rsidP="00370B0B">
            <w:pPr>
              <w:jc w:val="center"/>
              <w:rPr>
                <w:rFonts w:ascii="Arial" w:hAnsi="Arial"/>
              </w:rPr>
            </w:pPr>
            <w:r w:rsidRPr="00BD77D8">
              <w:rPr>
                <w:rFonts w:ascii="Arial" w:hAnsi="Arial"/>
              </w:rPr>
              <w:t>4,5</w:t>
            </w:r>
          </w:p>
        </w:tc>
        <w:tc>
          <w:tcPr>
            <w:tcW w:w="1183" w:type="dxa"/>
          </w:tcPr>
          <w:p w14:paraId="20FB822C" w14:textId="77777777" w:rsidR="00AC4DF3" w:rsidRPr="00BD77D8" w:rsidRDefault="00AC4DF3" w:rsidP="00370B0B">
            <w:pPr>
              <w:jc w:val="center"/>
              <w:rPr>
                <w:rFonts w:ascii="Arial" w:hAnsi="Arial"/>
              </w:rPr>
            </w:pPr>
            <w:r w:rsidRPr="00BD77D8">
              <w:rPr>
                <w:rFonts w:ascii="Arial" w:hAnsi="Arial"/>
              </w:rPr>
              <w:t>762</w:t>
            </w:r>
          </w:p>
        </w:tc>
        <w:tc>
          <w:tcPr>
            <w:tcW w:w="1276" w:type="dxa"/>
          </w:tcPr>
          <w:p w14:paraId="6308D6C4" w14:textId="12128AA2" w:rsidR="00AC4DF3" w:rsidRPr="00BD77D8" w:rsidRDefault="00377D1D" w:rsidP="00694E42">
            <w:pPr>
              <w:jc w:val="center"/>
              <w:rPr>
                <w:rFonts w:ascii="Arial" w:hAnsi="Arial"/>
              </w:rPr>
            </w:pPr>
            <w:r w:rsidRPr="00BD77D8">
              <w:rPr>
                <w:rFonts w:ascii="Arial" w:hAnsi="Arial"/>
              </w:rPr>
              <w:t>706</w:t>
            </w:r>
          </w:p>
        </w:tc>
      </w:tr>
    </w:tbl>
    <w:p w14:paraId="3D6BC8FE" w14:textId="58A4C724" w:rsidR="00ED208E" w:rsidRPr="00BD77D8" w:rsidRDefault="00ED208E" w:rsidP="00ED208E">
      <w:pPr>
        <w:pStyle w:val="EndnoteText"/>
        <w:spacing w:before="120" w:after="0"/>
      </w:pPr>
      <w:r w:rsidRPr="00BD77D8">
        <w:t>Notes:</w:t>
      </w:r>
    </w:p>
    <w:p w14:paraId="4CAA593A" w14:textId="70188126" w:rsidR="0071538B" w:rsidRPr="00BD77D8" w:rsidRDefault="0071538B" w:rsidP="00F729B3">
      <w:pPr>
        <w:pStyle w:val="ListBullet"/>
        <w:numPr>
          <w:ilvl w:val="0"/>
          <w:numId w:val="64"/>
        </w:numPr>
        <w:rPr>
          <w:sz w:val="18"/>
          <w:szCs w:val="18"/>
        </w:rPr>
      </w:pPr>
      <w:r w:rsidRPr="00BD77D8">
        <w:rPr>
          <w:sz w:val="18"/>
          <w:szCs w:val="18"/>
        </w:rPr>
        <w:t>This service standard was previously presented as a measure of efficiency in the 2021–2022 SDS and has been reclassified as a measure of effectiveness as required by the Queensland Government Performance Management Framework policy, as it is measuring the utilisation of the service rather than efficiency.</w:t>
      </w:r>
    </w:p>
    <w:p w14:paraId="3E2DF185" w14:textId="737F5617" w:rsidR="0071538B" w:rsidRPr="00BD77D8" w:rsidRDefault="0071538B" w:rsidP="00F729B3">
      <w:pPr>
        <w:pStyle w:val="ListBullet"/>
        <w:numPr>
          <w:ilvl w:val="0"/>
          <w:numId w:val="64"/>
        </w:numPr>
        <w:rPr>
          <w:sz w:val="18"/>
          <w:szCs w:val="18"/>
        </w:rPr>
      </w:pPr>
      <w:r w:rsidRPr="00BD77D8">
        <w:rPr>
          <w:sz w:val="18"/>
          <w:szCs w:val="18"/>
        </w:rPr>
        <w:t>The wording of this service standard has been amended from the 2021–2022 SDS to clarify that it relates to people with disability.</w:t>
      </w:r>
    </w:p>
    <w:p w14:paraId="039740EE" w14:textId="48312C6D" w:rsidR="0071538B" w:rsidRPr="00BD77D8" w:rsidRDefault="0027527E" w:rsidP="00F729B3">
      <w:pPr>
        <w:pStyle w:val="ListBullet"/>
        <w:numPr>
          <w:ilvl w:val="0"/>
          <w:numId w:val="64"/>
        </w:numPr>
        <w:rPr>
          <w:sz w:val="18"/>
          <w:szCs w:val="18"/>
        </w:rPr>
      </w:pPr>
      <w:r w:rsidRPr="00BD77D8">
        <w:rPr>
          <w:sz w:val="18"/>
          <w:szCs w:val="18"/>
        </w:rPr>
        <w:t>T</w:t>
      </w:r>
      <w:r w:rsidR="0071538B" w:rsidRPr="00BD77D8">
        <w:rPr>
          <w:sz w:val="18"/>
          <w:szCs w:val="18"/>
        </w:rPr>
        <w:t>he variance between the 2021–2022 Target/Estimate and the 2021–2022 Actual is due to more clients electing to stay in Accommodation Support and Respite Services</w:t>
      </w:r>
      <w:r w:rsidR="006423AA" w:rsidRPr="00BD77D8">
        <w:rPr>
          <w:sz w:val="18"/>
          <w:szCs w:val="18"/>
        </w:rPr>
        <w:t>’</w:t>
      </w:r>
      <w:r w:rsidR="0071538B" w:rsidRPr="00BD77D8">
        <w:rPr>
          <w:sz w:val="18"/>
          <w:szCs w:val="18"/>
        </w:rPr>
        <w:t xml:space="preserve"> (AS&amp;RS) supported houses than anticipated. This figure is based on the overall clients supported during the year and (includes those who exited during 2021</w:t>
      </w:r>
      <w:r w:rsidR="00397B57" w:rsidRPr="00BD77D8">
        <w:rPr>
          <w:sz w:val="18"/>
          <w:szCs w:val="18"/>
        </w:rPr>
        <w:t>–</w:t>
      </w:r>
      <w:r w:rsidR="0071538B" w:rsidRPr="00BD77D8">
        <w:rPr>
          <w:sz w:val="18"/>
          <w:szCs w:val="18"/>
        </w:rPr>
        <w:t>2022).</w:t>
      </w:r>
    </w:p>
    <w:p w14:paraId="4C71B4C4" w14:textId="77777777" w:rsidR="002F13B2" w:rsidRPr="00BD77D8" w:rsidRDefault="0071538B" w:rsidP="002F13B2">
      <w:pPr>
        <w:pStyle w:val="ListBullet"/>
        <w:numPr>
          <w:ilvl w:val="0"/>
          <w:numId w:val="64"/>
        </w:numPr>
        <w:rPr>
          <w:sz w:val="18"/>
          <w:szCs w:val="18"/>
        </w:rPr>
      </w:pPr>
      <w:r w:rsidRPr="00BD77D8">
        <w:rPr>
          <w:sz w:val="18"/>
          <w:szCs w:val="18"/>
        </w:rPr>
        <w:t xml:space="preserve">As a result of the review of the department’s program structure, this service standard has been discontinued. </w:t>
      </w:r>
    </w:p>
    <w:p w14:paraId="57F2BB0F" w14:textId="2D07414B" w:rsidR="00E07306" w:rsidRPr="00BD77D8" w:rsidRDefault="0071538B" w:rsidP="002F13B2">
      <w:pPr>
        <w:pStyle w:val="ListBullet"/>
        <w:numPr>
          <w:ilvl w:val="0"/>
          <w:numId w:val="64"/>
        </w:numPr>
        <w:rPr>
          <w:sz w:val="18"/>
          <w:szCs w:val="18"/>
        </w:rPr>
      </w:pPr>
      <w:r w:rsidRPr="00BD77D8">
        <w:rPr>
          <w:sz w:val="18"/>
          <w:szCs w:val="18"/>
        </w:rPr>
        <w:t xml:space="preserve">The variance between the 2021–2022 Target/Estimate and 2021–2022 Actual reflects a </w:t>
      </w:r>
      <w:r w:rsidR="00721BD4" w:rsidRPr="00BD77D8">
        <w:rPr>
          <w:sz w:val="18"/>
          <w:szCs w:val="18"/>
        </w:rPr>
        <w:t>significant decline</w:t>
      </w:r>
      <w:r w:rsidRPr="00BD77D8">
        <w:rPr>
          <w:sz w:val="18"/>
          <w:szCs w:val="18"/>
        </w:rPr>
        <w:t xml:space="preserve"> in respite use due to COVID-19 impacts.</w:t>
      </w:r>
    </w:p>
    <w:p w14:paraId="0A609BA9" w14:textId="77777777" w:rsidR="002F13B2" w:rsidRPr="00BD77D8" w:rsidRDefault="002F13B2" w:rsidP="002F13B2">
      <w:pPr>
        <w:pStyle w:val="ListBullet"/>
        <w:numPr>
          <w:ilvl w:val="0"/>
          <w:numId w:val="0"/>
        </w:numPr>
        <w:ind w:left="360"/>
        <w:rPr>
          <w:sz w:val="18"/>
          <w:szCs w:val="18"/>
        </w:rPr>
      </w:pPr>
    </w:p>
    <w:p w14:paraId="7FAB1843" w14:textId="2C33BD3F" w:rsidR="00E07306" w:rsidRPr="00BD77D8" w:rsidRDefault="00CB08BB" w:rsidP="00DC6A45">
      <w:pPr>
        <w:pStyle w:val="ListBullet"/>
        <w:spacing w:before="240"/>
        <w:ind w:left="357" w:hanging="357"/>
        <w:rPr>
          <w:sz w:val="18"/>
          <w:szCs w:val="18"/>
        </w:rPr>
      </w:pPr>
      <w:r w:rsidRPr="00BD77D8">
        <w:rPr>
          <w:sz w:val="18"/>
          <w:szCs w:val="18"/>
        </w:rPr>
        <w:t xml:space="preserve">Strategic Plan </w:t>
      </w:r>
      <w:r w:rsidR="00E07306" w:rsidRPr="00BD77D8">
        <w:rPr>
          <w:sz w:val="18"/>
          <w:szCs w:val="18"/>
        </w:rPr>
        <w:t>Performance measure: Percentage of funded services that meet the needs of people with disability. Following a review of the Disability Services Program, this measure has been discontinued.</w:t>
      </w:r>
    </w:p>
    <w:p w14:paraId="752C241C" w14:textId="6B86D8F1" w:rsidR="006D0908" w:rsidRPr="00BD77D8" w:rsidRDefault="00CB08BB" w:rsidP="00E07306">
      <w:pPr>
        <w:pStyle w:val="ListBullet"/>
        <w:ind w:left="357" w:hanging="357"/>
        <w:rPr>
          <w:sz w:val="18"/>
          <w:szCs w:val="18"/>
        </w:rPr>
      </w:pPr>
      <w:r w:rsidRPr="00BD77D8">
        <w:rPr>
          <w:sz w:val="18"/>
          <w:szCs w:val="18"/>
        </w:rPr>
        <w:t xml:space="preserve">Strategic Plan </w:t>
      </w:r>
      <w:r w:rsidR="00E07306" w:rsidRPr="00BD77D8">
        <w:rPr>
          <w:sz w:val="18"/>
          <w:szCs w:val="18"/>
        </w:rPr>
        <w:t>Performance measure: Satisfaction of industry partners with their engagement with the department. Following a review of the Disability Services Program, this measure has been discontinued.</w:t>
      </w:r>
    </w:p>
    <w:p w14:paraId="2B7484B0" w14:textId="5BCA90BF" w:rsidR="00E07306" w:rsidRPr="00BD77D8" w:rsidRDefault="00CB08BB" w:rsidP="00E07306">
      <w:pPr>
        <w:pStyle w:val="ListBullet"/>
        <w:ind w:left="357" w:hanging="357"/>
        <w:rPr>
          <w:sz w:val="18"/>
          <w:szCs w:val="18"/>
        </w:rPr>
      </w:pPr>
      <w:r w:rsidRPr="00BD77D8">
        <w:rPr>
          <w:sz w:val="18"/>
          <w:szCs w:val="18"/>
        </w:rPr>
        <w:t xml:space="preserve">Strategic Plan </w:t>
      </w:r>
      <w:r w:rsidR="00E07306" w:rsidRPr="00BD77D8">
        <w:rPr>
          <w:sz w:val="18"/>
          <w:szCs w:val="18"/>
        </w:rPr>
        <w:t>Performance measure: Increase in satisfaction with the effectiveness of the Human Services Quality Framework. Following a review of the Disability Services Program, this measure has been discontinued.</w:t>
      </w:r>
    </w:p>
    <w:p w14:paraId="7B0C55A0" w14:textId="26B8B358" w:rsidR="006531F8" w:rsidRPr="00BD77D8" w:rsidRDefault="003C0DB9" w:rsidP="0018616D">
      <w:pPr>
        <w:pStyle w:val="Heading2"/>
        <w:rPr>
          <w:color w:val="auto"/>
          <w:sz w:val="20"/>
          <w:szCs w:val="20"/>
        </w:rPr>
      </w:pPr>
      <w:bookmarkStart w:id="134" w:name="_Toc113544390"/>
      <w:r w:rsidRPr="00BD77D8">
        <w:rPr>
          <w:color w:val="auto"/>
        </w:rPr>
        <w:t>Future directions</w:t>
      </w:r>
      <w:bookmarkEnd w:id="130"/>
      <w:bookmarkEnd w:id="131"/>
      <w:bookmarkEnd w:id="132"/>
      <w:bookmarkEnd w:id="134"/>
      <w:r w:rsidR="006531F8" w:rsidRPr="00BD77D8">
        <w:rPr>
          <w:color w:val="auto"/>
        </w:rPr>
        <w:t xml:space="preserve"> </w:t>
      </w:r>
    </w:p>
    <w:p w14:paraId="4F2DBB82" w14:textId="4B847687" w:rsidR="003C0DB9" w:rsidRPr="00BD77D8" w:rsidRDefault="003C0DB9" w:rsidP="00FE03DE">
      <w:pPr>
        <w:pStyle w:val="ListBullet"/>
        <w:numPr>
          <w:ilvl w:val="0"/>
          <w:numId w:val="0"/>
        </w:numPr>
        <w:ind w:left="360" w:hanging="360"/>
      </w:pPr>
      <w:r w:rsidRPr="00BD77D8">
        <w:rPr>
          <w:b/>
          <w:bCs/>
        </w:rPr>
        <w:t>Promote inclusion and access to programs and services</w:t>
      </w:r>
      <w:r w:rsidR="004A3332" w:rsidRPr="00BD77D8">
        <w:rPr>
          <w:b/>
          <w:bCs/>
        </w:rPr>
        <w:t>, by:</w:t>
      </w:r>
    </w:p>
    <w:p w14:paraId="3B9A603E" w14:textId="36DD8F8D" w:rsidR="001A4361" w:rsidRPr="00BD77D8" w:rsidRDefault="008A21C1" w:rsidP="001A4361">
      <w:pPr>
        <w:pStyle w:val="ListBullet"/>
      </w:pPr>
      <w:r w:rsidRPr="00BD77D8">
        <w:t>i</w:t>
      </w:r>
      <w:r w:rsidR="001A4361" w:rsidRPr="00BD77D8">
        <w:t>mplement</w:t>
      </w:r>
      <w:r w:rsidRPr="00BD77D8">
        <w:t>ing</w:t>
      </w:r>
      <w:r w:rsidR="001A4361" w:rsidRPr="00BD77D8">
        <w:t xml:space="preserve"> commitments under </w:t>
      </w:r>
      <w:r w:rsidR="001A4361" w:rsidRPr="00BD77D8">
        <w:rPr>
          <w:i/>
          <w:iCs/>
        </w:rPr>
        <w:t xml:space="preserve">Australia’s Disability Strategy 2021–2031 </w:t>
      </w:r>
      <w:r w:rsidR="001A4361" w:rsidRPr="00BD77D8">
        <w:t>through the next state disability plan</w:t>
      </w:r>
    </w:p>
    <w:p w14:paraId="2C6AF767" w14:textId="56D3290D" w:rsidR="001A4361" w:rsidRPr="00BD77D8" w:rsidRDefault="008A21C1" w:rsidP="001A4361">
      <w:pPr>
        <w:pStyle w:val="ListBullet"/>
      </w:pPr>
      <w:r w:rsidRPr="00BD77D8">
        <w:t>e</w:t>
      </w:r>
      <w:r w:rsidR="001A4361" w:rsidRPr="00BD77D8">
        <w:t>nsur</w:t>
      </w:r>
      <w:r w:rsidRPr="00BD77D8">
        <w:t>ing</w:t>
      </w:r>
      <w:r w:rsidR="001A4361" w:rsidRPr="00BD77D8">
        <w:t xml:space="preserve"> the voices of Queenslanders with disability are heard</w:t>
      </w:r>
      <w:r w:rsidR="00FC605E" w:rsidRPr="00BD77D8">
        <w:t>,</w:t>
      </w:r>
      <w:r w:rsidR="001A4361" w:rsidRPr="00BD77D8">
        <w:t xml:space="preserve"> and people with disability have access to employment opportunities and are supported to participate fully in their communities, by funding disability advocacy organisations and peak and representative organisation</w:t>
      </w:r>
      <w:r w:rsidR="00FC605E" w:rsidRPr="00BD77D8">
        <w:t>s</w:t>
      </w:r>
      <w:r w:rsidR="001F264E" w:rsidRPr="00BD77D8">
        <w:t>,</w:t>
      </w:r>
      <w:r w:rsidR="00B5407C" w:rsidRPr="00BD77D8">
        <w:t xml:space="preserve"> and supporting the QDAC</w:t>
      </w:r>
    </w:p>
    <w:p w14:paraId="1EA1EBD5" w14:textId="4C543DC9" w:rsidR="001A4361" w:rsidRPr="00BD77D8" w:rsidRDefault="008A21C1" w:rsidP="001A4361">
      <w:pPr>
        <w:pStyle w:val="ListBullet"/>
      </w:pPr>
      <w:r w:rsidRPr="00BD77D8">
        <w:lastRenderedPageBreak/>
        <w:t>a</w:t>
      </w:r>
      <w:r w:rsidR="001A4361" w:rsidRPr="00BD77D8">
        <w:t>ctively monitor</w:t>
      </w:r>
      <w:r w:rsidRPr="00BD77D8">
        <w:t>ing</w:t>
      </w:r>
      <w:r w:rsidR="001A4361" w:rsidRPr="00BD77D8">
        <w:t xml:space="preserve"> the performance of the NDIS in Queensland, and advocat</w:t>
      </w:r>
      <w:r w:rsidR="00A04B9B" w:rsidRPr="00BD77D8">
        <w:t>ing</w:t>
      </w:r>
      <w:r w:rsidR="001A4361" w:rsidRPr="00BD77D8">
        <w:t xml:space="preserve"> for policy and operational changes, to ensure Queenslanders with disability can access the services and supports they need </w:t>
      </w:r>
    </w:p>
    <w:p w14:paraId="44E113CF" w14:textId="5FCA56F7" w:rsidR="001A4361" w:rsidRPr="00BD77D8" w:rsidRDefault="008A21C1" w:rsidP="001A4361">
      <w:pPr>
        <w:pStyle w:val="ListBullet"/>
      </w:pPr>
      <w:r w:rsidRPr="00BD77D8">
        <w:t>w</w:t>
      </w:r>
      <w:r w:rsidR="001A4361" w:rsidRPr="00BD77D8">
        <w:t>ork</w:t>
      </w:r>
      <w:r w:rsidRPr="00BD77D8">
        <w:t>ing</w:t>
      </w:r>
      <w:r w:rsidR="001A4361" w:rsidRPr="00BD77D8">
        <w:t xml:space="preserve"> with Queensland Health to continue </w:t>
      </w:r>
      <w:r w:rsidR="00A04B9B" w:rsidRPr="00BD77D8">
        <w:t xml:space="preserve">to develop an improved service delivery model for </w:t>
      </w:r>
      <w:r w:rsidR="001A4361" w:rsidRPr="00BD77D8">
        <w:t>forensic disability service</w:t>
      </w:r>
      <w:r w:rsidR="00A04B9B" w:rsidRPr="00BD77D8">
        <w:t>s</w:t>
      </w:r>
      <w:r w:rsidR="001A4361" w:rsidRPr="00BD77D8">
        <w:t xml:space="preserve"> in Queensland</w:t>
      </w:r>
    </w:p>
    <w:p w14:paraId="5332E452" w14:textId="6DCB12D2" w:rsidR="00607803" w:rsidRPr="00BD77D8" w:rsidRDefault="008A21C1" w:rsidP="00DC63B7">
      <w:pPr>
        <w:pStyle w:val="ListBullet"/>
      </w:pPr>
      <w:r w:rsidRPr="00BD77D8">
        <w:t>w</w:t>
      </w:r>
      <w:r w:rsidR="001A4361" w:rsidRPr="00BD77D8">
        <w:t>ork</w:t>
      </w:r>
      <w:r w:rsidRPr="00BD77D8">
        <w:t>ing</w:t>
      </w:r>
      <w:r w:rsidR="001A4361" w:rsidRPr="00BD77D8">
        <w:t xml:space="preserve"> with strategic partners, including disability and seniors service providers, and Aboriginal and Torres Strait Islander communities, to prepare for, respond to, and recover from pandemic and other disaster events</w:t>
      </w:r>
      <w:r w:rsidR="0063735B" w:rsidRPr="00BD77D8">
        <w:t>.</w:t>
      </w:r>
    </w:p>
    <w:p w14:paraId="132F9DCC" w14:textId="4734D57C" w:rsidR="003C0DB9" w:rsidRPr="00BD77D8" w:rsidRDefault="003C0DB9" w:rsidP="00FE03DE">
      <w:pPr>
        <w:pStyle w:val="ListBullet"/>
        <w:numPr>
          <w:ilvl w:val="0"/>
          <w:numId w:val="0"/>
        </w:numPr>
        <w:ind w:left="360" w:hanging="360"/>
        <w:rPr>
          <w:b/>
          <w:bCs/>
        </w:rPr>
      </w:pPr>
      <w:r w:rsidRPr="00BD77D8">
        <w:rPr>
          <w:b/>
          <w:bCs/>
        </w:rPr>
        <w:t>Increase engagement through co-design</w:t>
      </w:r>
      <w:r w:rsidR="00607803" w:rsidRPr="00BD77D8">
        <w:rPr>
          <w:b/>
          <w:bCs/>
        </w:rPr>
        <w:t>, by:</w:t>
      </w:r>
    </w:p>
    <w:p w14:paraId="7634ECAA" w14:textId="39EEE449" w:rsidR="001A4361" w:rsidRPr="00BD77D8" w:rsidRDefault="008A21C1" w:rsidP="001A4361">
      <w:pPr>
        <w:pStyle w:val="ListBullet"/>
      </w:pPr>
      <w:r w:rsidRPr="00BD77D8">
        <w:t>d</w:t>
      </w:r>
      <w:r w:rsidR="001A4361" w:rsidRPr="00BD77D8">
        <w:t>emonstrat</w:t>
      </w:r>
      <w:r w:rsidRPr="00BD77D8">
        <w:t>ing</w:t>
      </w:r>
      <w:r w:rsidR="001A4361" w:rsidRPr="00BD77D8">
        <w:t xml:space="preserve"> commitment to the co-design of new departmental policies and programs with seniors, people with disability and Aboriginal</w:t>
      </w:r>
      <w:r w:rsidR="004C7FBB" w:rsidRPr="00BD77D8">
        <w:t xml:space="preserve"> peoples</w:t>
      </w:r>
      <w:r w:rsidR="001A4361" w:rsidRPr="00BD77D8">
        <w:t xml:space="preserve"> and Torres Strait Islander peoples</w:t>
      </w:r>
    </w:p>
    <w:p w14:paraId="182E03E5" w14:textId="3B261A9A" w:rsidR="001A4361" w:rsidRPr="00BD77D8" w:rsidRDefault="008A21C1" w:rsidP="00DC63B7">
      <w:pPr>
        <w:pStyle w:val="ListBullet"/>
      </w:pPr>
      <w:r w:rsidRPr="00BD77D8">
        <w:t>p</w:t>
      </w:r>
      <w:r w:rsidR="001A4361" w:rsidRPr="00BD77D8">
        <w:t>rovid</w:t>
      </w:r>
      <w:r w:rsidRPr="00BD77D8">
        <w:t>ing</w:t>
      </w:r>
      <w:r w:rsidR="001A4361" w:rsidRPr="00BD77D8">
        <w:t xml:space="preserve"> a voice to government and mechanism for co-design through maintaining</w:t>
      </w:r>
      <w:r w:rsidR="001F264E" w:rsidRPr="00BD77D8">
        <w:t xml:space="preserve"> the</w:t>
      </w:r>
      <w:r w:rsidR="001A4361" w:rsidRPr="00BD77D8">
        <w:t xml:space="preserve"> Ministerial Advisory Councils on disability and carers</w:t>
      </w:r>
      <w:r w:rsidR="0063735B" w:rsidRPr="00BD77D8">
        <w:t>.</w:t>
      </w:r>
    </w:p>
    <w:p w14:paraId="7BB6C3F0" w14:textId="3C5DD307" w:rsidR="003C0DB9" w:rsidRPr="00BD77D8" w:rsidRDefault="003C0DB9" w:rsidP="00FE03DE">
      <w:pPr>
        <w:pStyle w:val="ListBullet"/>
        <w:numPr>
          <w:ilvl w:val="0"/>
          <w:numId w:val="0"/>
        </w:numPr>
        <w:ind w:left="360" w:hanging="360"/>
      </w:pPr>
      <w:r w:rsidRPr="00BD77D8">
        <w:rPr>
          <w:b/>
          <w:bCs/>
        </w:rPr>
        <w:t>Influence social and economic outcomes</w:t>
      </w:r>
      <w:r w:rsidR="00607803" w:rsidRPr="00BD77D8">
        <w:rPr>
          <w:b/>
          <w:bCs/>
        </w:rPr>
        <w:t>, by:</w:t>
      </w:r>
    </w:p>
    <w:p w14:paraId="3B996AF9" w14:textId="2BDD34FD" w:rsidR="001A4361" w:rsidRPr="00BD77D8" w:rsidRDefault="00A04B9B" w:rsidP="001A4361">
      <w:pPr>
        <w:pStyle w:val="ListBullet"/>
      </w:pPr>
      <w:r w:rsidRPr="00BD77D8">
        <w:t>supporting</w:t>
      </w:r>
      <w:r w:rsidR="001A4361" w:rsidRPr="00BD77D8">
        <w:t xml:space="preserve"> social and economic outcomes for Queensland NDIS participants by examining and reporting on plan utilisation and advocating for action on systemic issues</w:t>
      </w:r>
    </w:p>
    <w:p w14:paraId="07A99F90" w14:textId="793FA84D" w:rsidR="001A4361" w:rsidRPr="00BD77D8" w:rsidRDefault="008A21C1" w:rsidP="001A4361">
      <w:pPr>
        <w:pStyle w:val="ListBullet"/>
      </w:pPr>
      <w:r w:rsidRPr="00BD77D8">
        <w:t>d</w:t>
      </w:r>
      <w:r w:rsidR="001A4361" w:rsidRPr="00BD77D8">
        <w:t>eliver</w:t>
      </w:r>
      <w:r w:rsidRPr="00BD77D8">
        <w:t>ing</w:t>
      </w:r>
      <w:r w:rsidR="001A4361" w:rsidRPr="00BD77D8">
        <w:t xml:space="preserve"> initiatives that help build the capacity of individuals and small businesses to provide NDIS services and related jobs within Queensland, including remote communities</w:t>
      </w:r>
    </w:p>
    <w:p w14:paraId="63FC291B" w14:textId="1EDBBB40" w:rsidR="0033652B" w:rsidRPr="00BD77D8" w:rsidRDefault="008A21C1" w:rsidP="00DC63B7">
      <w:pPr>
        <w:pStyle w:val="ListBullet"/>
      </w:pPr>
      <w:r w:rsidRPr="00BD77D8">
        <w:t>s</w:t>
      </w:r>
      <w:r w:rsidR="001A4361" w:rsidRPr="00BD77D8">
        <w:t>upport</w:t>
      </w:r>
      <w:r w:rsidRPr="00BD77D8">
        <w:t>ing</w:t>
      </w:r>
      <w:r w:rsidR="001A4361" w:rsidRPr="00BD77D8">
        <w:t xml:space="preserve"> the growth of employment opportunities in the disability care and support sector through the administration of an efficient disability worker screening system</w:t>
      </w:r>
      <w:r w:rsidR="0063735B" w:rsidRPr="00BD77D8">
        <w:t>.</w:t>
      </w:r>
    </w:p>
    <w:p w14:paraId="2BF52F4A" w14:textId="6876D5BC" w:rsidR="003C0DB9" w:rsidRPr="00BD77D8" w:rsidRDefault="003C0DB9" w:rsidP="00A70981">
      <w:pPr>
        <w:pStyle w:val="ListBullet"/>
        <w:numPr>
          <w:ilvl w:val="0"/>
          <w:numId w:val="0"/>
        </w:numPr>
        <w:ind w:left="360" w:hanging="360"/>
        <w:rPr>
          <w:b/>
          <w:bCs/>
        </w:rPr>
      </w:pPr>
      <w:r w:rsidRPr="00BD77D8">
        <w:rPr>
          <w:b/>
          <w:bCs/>
        </w:rPr>
        <w:t>Foster safe and connected communities</w:t>
      </w:r>
      <w:r w:rsidR="00607803" w:rsidRPr="00BD77D8">
        <w:rPr>
          <w:b/>
          <w:bCs/>
        </w:rPr>
        <w:t>, by:</w:t>
      </w:r>
    </w:p>
    <w:p w14:paraId="0C19DB78" w14:textId="33621281" w:rsidR="001A4361" w:rsidRPr="00BD77D8" w:rsidRDefault="008A21C1" w:rsidP="001A4361">
      <w:pPr>
        <w:pStyle w:val="ListBullet"/>
      </w:pPr>
      <w:r w:rsidRPr="00BD77D8">
        <w:t>s</w:t>
      </w:r>
      <w:r w:rsidR="001A4361" w:rsidRPr="00BD77D8">
        <w:t>afeguard</w:t>
      </w:r>
      <w:r w:rsidRPr="00BD77D8">
        <w:t>ing</w:t>
      </w:r>
      <w:r w:rsidR="001A4361" w:rsidRPr="00BD77D8">
        <w:t xml:space="preserve"> the rights and wellbeing of people with disability by undertaking disability worker screening, preparing positive behaviour support plans and assessing the short-term use of restrictive practices </w:t>
      </w:r>
    </w:p>
    <w:p w14:paraId="185F2581" w14:textId="021D1F49" w:rsidR="003C0DB9" w:rsidRPr="00BD77D8" w:rsidRDefault="008A21C1" w:rsidP="001A4361">
      <w:pPr>
        <w:pStyle w:val="ListBullet"/>
        <w:rPr>
          <w:i/>
          <w:iCs/>
        </w:rPr>
      </w:pPr>
      <w:r w:rsidRPr="00BD77D8">
        <w:t>s</w:t>
      </w:r>
      <w:r w:rsidR="001A4361" w:rsidRPr="00BD77D8">
        <w:t>upport</w:t>
      </w:r>
      <w:r w:rsidRPr="00BD77D8">
        <w:t>ing</w:t>
      </w:r>
      <w:r w:rsidR="001A4361" w:rsidRPr="00BD77D8">
        <w:t xml:space="preserve"> the implementation of the </w:t>
      </w:r>
      <w:r w:rsidR="001A4361" w:rsidRPr="00BD77D8">
        <w:rPr>
          <w:i/>
          <w:iCs/>
        </w:rPr>
        <w:t>Domestic and Family Violence Prevention Strategy 2016–2026</w:t>
      </w:r>
      <w:r w:rsidR="001A4361" w:rsidRPr="00BD77D8">
        <w:t xml:space="preserve">, and the strategies within </w:t>
      </w:r>
      <w:r w:rsidR="001A4361" w:rsidRPr="00BD77D8">
        <w:rPr>
          <w:i/>
          <w:iCs/>
        </w:rPr>
        <w:t xml:space="preserve">Queensland’s Framework for Action — Reshaping our approach to Aboriginal and Torres Strait Islander domestic and family violence, </w:t>
      </w:r>
      <w:r w:rsidR="001A4361" w:rsidRPr="00BD77D8">
        <w:t>and</w:t>
      </w:r>
      <w:r w:rsidR="001A4361" w:rsidRPr="00BD77D8">
        <w:rPr>
          <w:i/>
          <w:iCs/>
        </w:rPr>
        <w:t xml:space="preserve"> Queensland’s Plan to respond to domestic and family violence against people with disability</w:t>
      </w:r>
      <w:r w:rsidR="0033652B" w:rsidRPr="00BD77D8">
        <w:rPr>
          <w:i/>
          <w:iCs/>
        </w:rPr>
        <w:t>.</w:t>
      </w:r>
      <w:r w:rsidR="001A4361" w:rsidRPr="00BD77D8">
        <w:rPr>
          <w:i/>
          <w:iCs/>
        </w:rPr>
        <w:t xml:space="preserve"> </w:t>
      </w:r>
    </w:p>
    <w:bookmarkEnd w:id="108"/>
    <w:p w14:paraId="4346A17F" w14:textId="34CF4D43" w:rsidR="00E1053E" w:rsidRPr="00BD77D8" w:rsidRDefault="00E1053E" w:rsidP="00392761">
      <w:r w:rsidRPr="00BD77D8">
        <w:br w:type="page"/>
      </w:r>
    </w:p>
    <w:p w14:paraId="41BB5976" w14:textId="1889A133" w:rsidR="00BC0C99" w:rsidRPr="00BD77D8" w:rsidRDefault="00392640" w:rsidP="0018616D">
      <w:pPr>
        <w:pStyle w:val="Heading1"/>
        <w:rPr>
          <w:color w:val="auto"/>
          <w:sz w:val="20"/>
          <w:szCs w:val="20"/>
        </w:rPr>
      </w:pPr>
      <w:bookmarkStart w:id="135" w:name="_Toc78287361"/>
      <w:bookmarkStart w:id="136" w:name="_Toc78355768"/>
      <w:bookmarkStart w:id="137" w:name="_Toc113544391"/>
      <w:bookmarkStart w:id="138" w:name="_Hlk115345507"/>
      <w:r w:rsidRPr="00BD77D8">
        <w:rPr>
          <w:color w:val="auto"/>
        </w:rPr>
        <w:lastRenderedPageBreak/>
        <w:t xml:space="preserve">04 </w:t>
      </w:r>
      <w:r w:rsidR="00856DAC" w:rsidRPr="00BD77D8">
        <w:rPr>
          <w:color w:val="auto"/>
        </w:rPr>
        <w:t xml:space="preserve">Aboriginal and Torres Strait Islander </w:t>
      </w:r>
      <w:bookmarkEnd w:id="133"/>
      <w:r w:rsidR="00886849" w:rsidRPr="00BD77D8">
        <w:rPr>
          <w:color w:val="auto"/>
        </w:rPr>
        <w:t>Partnerships</w:t>
      </w:r>
      <w:bookmarkEnd w:id="135"/>
      <w:bookmarkEnd w:id="136"/>
      <w:bookmarkEnd w:id="137"/>
      <w:r w:rsidR="00BC0C99" w:rsidRPr="00BD77D8">
        <w:rPr>
          <w:color w:val="auto"/>
        </w:rPr>
        <w:t xml:space="preserve"> </w:t>
      </w:r>
    </w:p>
    <w:p w14:paraId="677651A9" w14:textId="144D6374" w:rsidR="00CC56B5" w:rsidRPr="00BD77D8" w:rsidRDefault="00BC0C99" w:rsidP="00FC6DB2">
      <w:pPr>
        <w:pStyle w:val="Heading3"/>
        <w:jc w:val="center"/>
      </w:pPr>
      <w:r w:rsidRPr="00BD77D8">
        <w:t>SNAPSHOT OF ACHIEVEMENTS</w:t>
      </w:r>
    </w:p>
    <w:p w14:paraId="7A00EA1B" w14:textId="77777777" w:rsidR="00443668" w:rsidRPr="00BD77D8" w:rsidRDefault="00ED5F14" w:rsidP="003C6493">
      <w:pPr>
        <w:spacing w:before="360" w:after="120" w:line="240" w:lineRule="auto"/>
        <w:jc w:val="center"/>
        <w:rPr>
          <w:rFonts w:eastAsia="Calibri"/>
          <w:lang w:val="en-US" w:eastAsia="en-US"/>
        </w:rPr>
      </w:pPr>
      <w:r w:rsidRPr="00BD77D8">
        <w:rPr>
          <w:rFonts w:eastAsia="Calibri"/>
          <w:b/>
          <w:bCs/>
          <w:lang w:val="en-US" w:eastAsia="en-US"/>
        </w:rPr>
        <w:t>7</w:t>
      </w:r>
      <w:r w:rsidR="00167E43" w:rsidRPr="00BD77D8">
        <w:rPr>
          <w:rFonts w:eastAsia="Calibri"/>
          <w:b/>
          <w:bCs/>
          <w:lang w:val="en-US" w:eastAsia="en-US"/>
        </w:rPr>
        <w:t xml:space="preserve">36 </w:t>
      </w:r>
      <w:r w:rsidR="006920C2" w:rsidRPr="00BD77D8">
        <w:rPr>
          <w:rFonts w:eastAsia="Calibri"/>
          <w:b/>
          <w:bCs/>
          <w:lang w:val="en-US" w:eastAsia="en-US"/>
        </w:rPr>
        <w:t>JOB</w:t>
      </w:r>
      <w:r w:rsidR="006920C2" w:rsidRPr="00BD77D8">
        <w:rPr>
          <w:rFonts w:eastAsia="Calibri"/>
          <w:b/>
          <w:bCs/>
          <w:spacing w:val="-3"/>
          <w:lang w:val="en-US" w:eastAsia="en-US"/>
        </w:rPr>
        <w:t xml:space="preserve"> </w:t>
      </w:r>
      <w:r w:rsidR="006920C2" w:rsidRPr="00BD77D8">
        <w:rPr>
          <w:rFonts w:eastAsia="Calibri"/>
          <w:b/>
          <w:bCs/>
          <w:lang w:val="en-US" w:eastAsia="en-US"/>
        </w:rPr>
        <w:t>PLACEMENTS</w:t>
      </w:r>
      <w:r w:rsidR="006920C2" w:rsidRPr="00BD77D8">
        <w:rPr>
          <w:rFonts w:eastAsia="Calibri"/>
          <w:lang w:val="en-US" w:eastAsia="en-US"/>
        </w:rPr>
        <w:t xml:space="preserve"> </w:t>
      </w:r>
    </w:p>
    <w:p w14:paraId="29C5C80C" w14:textId="466436FC" w:rsidR="006920C2" w:rsidRPr="00BD77D8" w:rsidRDefault="006920C2" w:rsidP="00CA20D2">
      <w:pPr>
        <w:pBdr>
          <w:bottom w:val="single" w:sz="4" w:space="1" w:color="auto"/>
        </w:pBdr>
        <w:spacing w:before="120" w:after="240" w:line="240" w:lineRule="auto"/>
        <w:jc w:val="center"/>
        <w:rPr>
          <w:rFonts w:eastAsia="Calibri"/>
          <w:lang w:val="en-US" w:eastAsia="en-US"/>
        </w:rPr>
      </w:pPr>
      <w:r w:rsidRPr="00BD77D8">
        <w:rPr>
          <w:rFonts w:eastAsia="Calibri"/>
          <w:spacing w:val="-2"/>
          <w:lang w:val="en-US" w:eastAsia="en-US"/>
        </w:rPr>
        <w:t>FOR A</w:t>
      </w:r>
      <w:r w:rsidRPr="00BD77D8">
        <w:rPr>
          <w:rFonts w:eastAsia="Calibri"/>
          <w:lang w:val="en-US" w:eastAsia="en-US"/>
        </w:rPr>
        <w:t>BORIGINAL</w:t>
      </w:r>
      <w:r w:rsidRPr="00BD77D8">
        <w:rPr>
          <w:rFonts w:eastAsia="Calibri"/>
          <w:spacing w:val="-3"/>
          <w:lang w:val="en-US" w:eastAsia="en-US"/>
        </w:rPr>
        <w:t xml:space="preserve"> </w:t>
      </w:r>
      <w:r w:rsidRPr="00BD77D8">
        <w:rPr>
          <w:rFonts w:eastAsia="Calibri"/>
          <w:lang w:val="en-US" w:eastAsia="en-US"/>
        </w:rPr>
        <w:t>AND</w:t>
      </w:r>
      <w:r w:rsidRPr="00BD77D8">
        <w:rPr>
          <w:rFonts w:eastAsia="Calibri"/>
          <w:spacing w:val="-7"/>
          <w:lang w:val="en-US" w:eastAsia="en-US"/>
        </w:rPr>
        <w:t xml:space="preserve"> </w:t>
      </w:r>
      <w:r w:rsidRPr="00BD77D8">
        <w:rPr>
          <w:rFonts w:eastAsia="Calibri"/>
          <w:spacing w:val="-3"/>
          <w:lang w:val="en-US" w:eastAsia="en-US"/>
        </w:rPr>
        <w:t>TORRE</w:t>
      </w:r>
      <w:r w:rsidRPr="00BD77D8">
        <w:rPr>
          <w:rFonts w:eastAsia="Calibri"/>
          <w:spacing w:val="-2"/>
          <w:lang w:val="en-US" w:eastAsia="en-US"/>
        </w:rPr>
        <w:t>S</w:t>
      </w:r>
      <w:r w:rsidRPr="00BD77D8">
        <w:rPr>
          <w:rFonts w:eastAsia="Calibri"/>
          <w:spacing w:val="-7"/>
          <w:lang w:val="en-US" w:eastAsia="en-US"/>
        </w:rPr>
        <w:t xml:space="preserve"> </w:t>
      </w:r>
      <w:r w:rsidRPr="00BD77D8">
        <w:rPr>
          <w:rFonts w:eastAsia="Calibri"/>
          <w:lang w:val="en-US" w:eastAsia="en-US"/>
        </w:rPr>
        <w:t>ST</w:t>
      </w:r>
      <w:r w:rsidRPr="00BD77D8">
        <w:rPr>
          <w:rFonts w:eastAsia="Calibri"/>
          <w:spacing w:val="-2"/>
          <w:lang w:val="en-US" w:eastAsia="en-US"/>
        </w:rPr>
        <w:t>RAIT</w:t>
      </w:r>
      <w:r w:rsidRPr="00BD77D8">
        <w:rPr>
          <w:rFonts w:eastAsia="Calibri"/>
          <w:spacing w:val="-3"/>
          <w:lang w:val="en-US" w:eastAsia="en-US"/>
        </w:rPr>
        <w:t xml:space="preserve"> </w:t>
      </w:r>
      <w:r w:rsidRPr="00BD77D8">
        <w:rPr>
          <w:rFonts w:eastAsia="Calibri"/>
          <w:lang w:val="en-US" w:eastAsia="en-US"/>
        </w:rPr>
        <w:t>ISLAND</w:t>
      </w:r>
      <w:r w:rsidRPr="00BD77D8">
        <w:rPr>
          <w:rFonts w:eastAsia="Calibri"/>
          <w:spacing w:val="-2"/>
          <w:lang w:val="en-US" w:eastAsia="en-US"/>
        </w:rPr>
        <w:t>ER J</w:t>
      </w:r>
      <w:r w:rsidRPr="00BD77D8">
        <w:rPr>
          <w:rFonts w:eastAsia="Calibri"/>
          <w:lang w:val="en-US" w:eastAsia="en-US"/>
        </w:rPr>
        <w:t>OB SEEKERS</w:t>
      </w:r>
    </w:p>
    <w:p w14:paraId="7650E706" w14:textId="77777777" w:rsidR="00CA20D2" w:rsidRPr="00BD77D8" w:rsidRDefault="00ED5F14" w:rsidP="00CA20D2">
      <w:pPr>
        <w:spacing w:before="120" w:after="120" w:line="240" w:lineRule="auto"/>
        <w:jc w:val="center"/>
        <w:rPr>
          <w:rFonts w:eastAsia="Calibri"/>
          <w:b/>
          <w:bCs/>
          <w:lang w:val="en-US" w:eastAsia="en-US"/>
        </w:rPr>
      </w:pPr>
      <w:r w:rsidRPr="00BD77D8">
        <w:rPr>
          <w:rFonts w:eastAsia="Calibri"/>
          <w:b/>
          <w:bCs/>
          <w:lang w:val="en-US" w:eastAsia="en-US"/>
        </w:rPr>
        <w:t>80</w:t>
      </w:r>
      <w:r w:rsidR="006920C2" w:rsidRPr="00BD77D8">
        <w:rPr>
          <w:rFonts w:eastAsia="Calibri"/>
          <w:b/>
          <w:bCs/>
          <w:lang w:val="en-US" w:eastAsia="en-US"/>
        </w:rPr>
        <w:t>%</w:t>
      </w:r>
    </w:p>
    <w:p w14:paraId="24339541" w14:textId="095E00C9" w:rsidR="006920C2" w:rsidRPr="00BD77D8" w:rsidRDefault="006920C2" w:rsidP="00CA20D2">
      <w:pPr>
        <w:pBdr>
          <w:bottom w:val="single" w:sz="4" w:space="1" w:color="auto"/>
        </w:pBdr>
        <w:spacing w:before="120" w:after="240" w:line="240" w:lineRule="auto"/>
        <w:jc w:val="center"/>
        <w:rPr>
          <w:rFonts w:eastAsia="Calibri"/>
          <w:lang w:val="en-US" w:eastAsia="en-US"/>
        </w:rPr>
      </w:pPr>
      <w:r w:rsidRPr="00BD77D8">
        <w:rPr>
          <w:rFonts w:eastAsia="Calibri"/>
          <w:lang w:val="en-US" w:eastAsia="en-US"/>
        </w:rPr>
        <w:t>OF</w:t>
      </w:r>
      <w:r w:rsidRPr="00BD77D8">
        <w:rPr>
          <w:rFonts w:eastAsia="Calibri"/>
          <w:spacing w:val="5"/>
          <w:lang w:val="en-US" w:eastAsia="en-US"/>
        </w:rPr>
        <w:t xml:space="preserve"> </w:t>
      </w:r>
      <w:r w:rsidRPr="00BD77D8">
        <w:rPr>
          <w:rFonts w:eastAsia="Calibri"/>
          <w:spacing w:val="-2"/>
          <w:lang w:val="en-US" w:eastAsia="en-US"/>
        </w:rPr>
        <w:t>A</w:t>
      </w:r>
      <w:r w:rsidRPr="00BD77D8">
        <w:rPr>
          <w:rFonts w:eastAsia="Calibri"/>
          <w:lang w:val="en-US" w:eastAsia="en-US"/>
        </w:rPr>
        <w:t>BORIGINAL</w:t>
      </w:r>
      <w:r w:rsidRPr="00BD77D8">
        <w:rPr>
          <w:rFonts w:eastAsia="Calibri"/>
          <w:spacing w:val="5"/>
          <w:lang w:val="en-US" w:eastAsia="en-US"/>
        </w:rPr>
        <w:t xml:space="preserve"> </w:t>
      </w:r>
      <w:r w:rsidRPr="00BD77D8">
        <w:rPr>
          <w:rFonts w:eastAsia="Calibri"/>
          <w:lang w:val="en-US" w:eastAsia="en-US"/>
        </w:rPr>
        <w:t xml:space="preserve">AND </w:t>
      </w:r>
      <w:r w:rsidRPr="00BD77D8">
        <w:rPr>
          <w:rFonts w:eastAsia="Calibri"/>
          <w:spacing w:val="-3"/>
          <w:lang w:val="en-US" w:eastAsia="en-US"/>
        </w:rPr>
        <w:t>TORRE</w:t>
      </w:r>
      <w:r w:rsidRPr="00BD77D8">
        <w:rPr>
          <w:rFonts w:eastAsia="Calibri"/>
          <w:spacing w:val="-2"/>
          <w:lang w:val="en-US" w:eastAsia="en-US"/>
        </w:rPr>
        <w:t>S</w:t>
      </w:r>
      <w:r w:rsidRPr="00BD77D8">
        <w:rPr>
          <w:rFonts w:eastAsia="Calibri"/>
          <w:spacing w:val="1"/>
          <w:lang w:val="en-US" w:eastAsia="en-US"/>
        </w:rPr>
        <w:t xml:space="preserve"> </w:t>
      </w:r>
      <w:r w:rsidRPr="00BD77D8">
        <w:rPr>
          <w:rFonts w:eastAsia="Calibri"/>
          <w:lang w:val="en-US" w:eastAsia="en-US"/>
        </w:rPr>
        <w:t>ST</w:t>
      </w:r>
      <w:r w:rsidRPr="00BD77D8">
        <w:rPr>
          <w:rFonts w:eastAsia="Calibri"/>
          <w:spacing w:val="-2"/>
          <w:lang w:val="en-US" w:eastAsia="en-US"/>
        </w:rPr>
        <w:t>RAIT</w:t>
      </w:r>
      <w:r w:rsidRPr="00BD77D8">
        <w:rPr>
          <w:rFonts w:eastAsia="Calibri"/>
          <w:spacing w:val="5"/>
          <w:lang w:val="en-US" w:eastAsia="en-US"/>
        </w:rPr>
        <w:t xml:space="preserve"> </w:t>
      </w:r>
      <w:r w:rsidRPr="00BD77D8">
        <w:rPr>
          <w:rFonts w:eastAsia="Calibri"/>
          <w:lang w:val="en-US" w:eastAsia="en-US"/>
        </w:rPr>
        <w:t>ISLAND</w:t>
      </w:r>
      <w:r w:rsidRPr="00BD77D8">
        <w:rPr>
          <w:rFonts w:eastAsia="Calibri"/>
          <w:spacing w:val="-2"/>
          <w:lang w:val="en-US" w:eastAsia="en-US"/>
        </w:rPr>
        <w:t xml:space="preserve">ER </w:t>
      </w:r>
      <w:r w:rsidR="00AA30D8" w:rsidRPr="00BD77D8">
        <w:rPr>
          <w:rFonts w:eastAsia="Calibri"/>
          <w:spacing w:val="-2"/>
          <w:lang w:val="en-US" w:eastAsia="en-US"/>
        </w:rPr>
        <w:t>PARTICIPANTS</w:t>
      </w:r>
      <w:r w:rsidRPr="00BD77D8">
        <w:rPr>
          <w:rFonts w:eastAsia="Calibri"/>
          <w:spacing w:val="5"/>
          <w:lang w:val="en-US" w:eastAsia="en-US"/>
        </w:rPr>
        <w:t xml:space="preserve"> </w:t>
      </w:r>
      <w:r w:rsidRPr="00BD77D8">
        <w:rPr>
          <w:rFonts w:eastAsia="Calibri"/>
          <w:lang w:val="en-US" w:eastAsia="en-US"/>
        </w:rPr>
        <w:t>BEING</w:t>
      </w:r>
      <w:r w:rsidRPr="00BD77D8">
        <w:rPr>
          <w:rFonts w:eastAsia="Calibri"/>
          <w:spacing w:val="8"/>
          <w:lang w:val="en-US" w:eastAsia="en-US"/>
        </w:rPr>
        <w:t xml:space="preserve"> </w:t>
      </w:r>
      <w:r w:rsidRPr="00BD77D8">
        <w:rPr>
          <w:rFonts w:eastAsia="Calibri"/>
          <w:b/>
          <w:bCs/>
          <w:spacing w:val="-2"/>
          <w:lang w:val="en-US" w:eastAsia="en-US"/>
        </w:rPr>
        <w:t>SUCCESSFULLY</w:t>
      </w:r>
      <w:r w:rsidRPr="00BD77D8">
        <w:rPr>
          <w:rFonts w:eastAsia="Calibri"/>
          <w:b/>
          <w:bCs/>
          <w:spacing w:val="4"/>
          <w:lang w:val="en-US" w:eastAsia="en-US"/>
        </w:rPr>
        <w:t xml:space="preserve"> </w:t>
      </w:r>
      <w:r w:rsidRPr="00BD77D8">
        <w:rPr>
          <w:rFonts w:eastAsia="Calibri"/>
          <w:b/>
          <w:bCs/>
          <w:lang w:val="en-US" w:eastAsia="en-US"/>
        </w:rPr>
        <w:t>EMPLOYED</w:t>
      </w:r>
      <w:r w:rsidRPr="00BD77D8">
        <w:rPr>
          <w:rFonts w:eastAsia="Calibri"/>
          <w:lang w:val="en-US" w:eastAsia="en-US"/>
        </w:rPr>
        <w:t xml:space="preserve"> THREE</w:t>
      </w:r>
      <w:r w:rsidRPr="00BD77D8">
        <w:rPr>
          <w:rFonts w:eastAsia="Calibri"/>
          <w:spacing w:val="-12"/>
          <w:lang w:val="en-US" w:eastAsia="en-US"/>
        </w:rPr>
        <w:t xml:space="preserve"> </w:t>
      </w:r>
      <w:r w:rsidRPr="00BD77D8">
        <w:rPr>
          <w:rFonts w:eastAsia="Calibri"/>
          <w:lang w:val="en-US" w:eastAsia="en-US"/>
        </w:rPr>
        <w:t>MONTHS</w:t>
      </w:r>
      <w:r w:rsidRPr="00BD77D8">
        <w:rPr>
          <w:rFonts w:eastAsia="Calibri"/>
          <w:spacing w:val="-11"/>
          <w:lang w:val="en-US" w:eastAsia="en-US"/>
        </w:rPr>
        <w:t xml:space="preserve"> </w:t>
      </w:r>
      <w:r w:rsidRPr="00BD77D8">
        <w:rPr>
          <w:rFonts w:eastAsia="Calibri"/>
          <w:lang w:val="en-US" w:eastAsia="en-US"/>
        </w:rPr>
        <w:t>AFTER</w:t>
      </w:r>
      <w:r w:rsidRPr="00BD77D8">
        <w:rPr>
          <w:rFonts w:eastAsia="Calibri"/>
          <w:spacing w:val="-11"/>
          <w:lang w:val="en-US" w:eastAsia="en-US"/>
        </w:rPr>
        <w:t xml:space="preserve"> </w:t>
      </w:r>
      <w:r w:rsidRPr="00BD77D8">
        <w:rPr>
          <w:rFonts w:eastAsia="Calibri"/>
          <w:lang w:val="en-US" w:eastAsia="en-US"/>
        </w:rPr>
        <w:t>PLAC</w:t>
      </w:r>
      <w:r w:rsidRPr="00BD77D8">
        <w:rPr>
          <w:rFonts w:eastAsia="Calibri"/>
          <w:spacing w:val="-2"/>
          <w:lang w:val="en-US" w:eastAsia="en-US"/>
        </w:rPr>
        <w:t>EMENT</w:t>
      </w:r>
      <w:r w:rsidRPr="00BD77D8">
        <w:rPr>
          <w:rFonts w:eastAsia="Calibri"/>
          <w:spacing w:val="-12"/>
          <w:lang w:val="en-US" w:eastAsia="en-US"/>
        </w:rPr>
        <w:t xml:space="preserve"> </w:t>
      </w:r>
      <w:r w:rsidRPr="00BD77D8">
        <w:rPr>
          <w:rFonts w:eastAsia="Calibri"/>
          <w:lang w:val="en-US" w:eastAsia="en-US"/>
        </w:rPr>
        <w:t>B</w:t>
      </w:r>
      <w:r w:rsidRPr="00BD77D8">
        <w:rPr>
          <w:rFonts w:eastAsia="Calibri"/>
          <w:spacing w:val="-2"/>
          <w:lang w:val="en-US" w:eastAsia="en-US"/>
        </w:rPr>
        <w:t>Y</w:t>
      </w:r>
      <w:r w:rsidRPr="00BD77D8">
        <w:rPr>
          <w:rFonts w:eastAsia="Calibri"/>
          <w:spacing w:val="-12"/>
          <w:lang w:val="en-US" w:eastAsia="en-US"/>
        </w:rPr>
        <w:t xml:space="preserve"> </w:t>
      </w:r>
      <w:r w:rsidR="00DB0113" w:rsidRPr="00BD77D8">
        <w:rPr>
          <w:rFonts w:eastAsia="Calibri"/>
          <w:spacing w:val="-12"/>
          <w:lang w:val="en-US" w:eastAsia="en-US"/>
        </w:rPr>
        <w:t>THE YOUTH EMPLOYMENT PROGRAM (</w:t>
      </w:r>
      <w:r w:rsidR="00AA30D8" w:rsidRPr="00BD77D8">
        <w:rPr>
          <w:rFonts w:eastAsia="Calibri"/>
          <w:lang w:val="en-US" w:eastAsia="en-US"/>
        </w:rPr>
        <w:t>YEP</w:t>
      </w:r>
      <w:r w:rsidR="00DB0113" w:rsidRPr="00BD77D8">
        <w:rPr>
          <w:rFonts w:eastAsia="Calibri"/>
          <w:lang w:val="en-US" w:eastAsia="en-US"/>
        </w:rPr>
        <w:t>)</w:t>
      </w:r>
    </w:p>
    <w:p w14:paraId="00792A83" w14:textId="77777777" w:rsidR="00CA20D2" w:rsidRPr="00BD77D8" w:rsidRDefault="00ED5F14" w:rsidP="003C6493">
      <w:pPr>
        <w:pBdr>
          <w:bottom w:val="single" w:sz="4" w:space="0" w:color="auto"/>
        </w:pBdr>
        <w:spacing w:before="120" w:after="120" w:line="240" w:lineRule="auto"/>
        <w:jc w:val="center"/>
        <w:rPr>
          <w:rFonts w:eastAsia="Calibri"/>
          <w:b/>
          <w:bCs/>
          <w:lang w:val="en-US" w:eastAsia="en-US"/>
        </w:rPr>
      </w:pPr>
      <w:r w:rsidRPr="00BD77D8">
        <w:rPr>
          <w:rFonts w:eastAsia="Calibri"/>
          <w:b/>
          <w:bCs/>
          <w:lang w:val="en-US" w:eastAsia="en-US"/>
        </w:rPr>
        <w:t>54</w:t>
      </w:r>
      <w:r w:rsidR="006920C2" w:rsidRPr="00BD77D8">
        <w:rPr>
          <w:rFonts w:eastAsia="Calibri"/>
          <w:b/>
          <w:bCs/>
          <w:lang w:val="en-US" w:eastAsia="en-US"/>
        </w:rPr>
        <w:t>%</w:t>
      </w:r>
    </w:p>
    <w:p w14:paraId="7669AC66" w14:textId="0C930D7D" w:rsidR="006920C2" w:rsidRPr="00BD77D8" w:rsidRDefault="00E6425C" w:rsidP="003C6493">
      <w:pPr>
        <w:pBdr>
          <w:bottom w:val="single" w:sz="4" w:space="0" w:color="auto"/>
        </w:pBdr>
        <w:spacing w:before="120" w:after="120" w:line="240" w:lineRule="auto"/>
        <w:jc w:val="center"/>
        <w:rPr>
          <w:rFonts w:eastAsia="Calibri"/>
          <w:spacing w:val="-2"/>
          <w:lang w:val="en-US" w:eastAsia="en-US"/>
        </w:rPr>
      </w:pPr>
      <w:r w:rsidRPr="00BD77D8">
        <w:rPr>
          <w:rFonts w:eastAsia="Calibri"/>
          <w:b/>
          <w:bCs/>
          <w:lang w:val="en-US" w:eastAsia="en-US"/>
        </w:rPr>
        <w:t xml:space="preserve"> </w:t>
      </w:r>
      <w:r w:rsidR="006920C2" w:rsidRPr="00BD77D8">
        <w:rPr>
          <w:rFonts w:eastAsia="Calibri"/>
          <w:spacing w:val="-2"/>
          <w:lang w:val="en-US" w:eastAsia="en-US"/>
        </w:rPr>
        <w:t xml:space="preserve">OF ABORIGINAL AND TORRES STRAIT ISLANDER </w:t>
      </w:r>
      <w:r w:rsidR="00AA30D8" w:rsidRPr="00BD77D8">
        <w:rPr>
          <w:rFonts w:eastAsia="Calibri"/>
          <w:spacing w:val="-2"/>
          <w:lang w:val="en-US" w:eastAsia="en-US"/>
        </w:rPr>
        <w:t xml:space="preserve">PARTICIPANTS </w:t>
      </w:r>
      <w:r w:rsidR="006920C2" w:rsidRPr="00BD77D8">
        <w:rPr>
          <w:rFonts w:eastAsia="Calibri"/>
          <w:spacing w:val="-2"/>
          <w:lang w:val="en-US" w:eastAsia="en-US"/>
        </w:rPr>
        <w:t>BEING</w:t>
      </w:r>
      <w:r w:rsidR="006920C2" w:rsidRPr="00BD77D8">
        <w:rPr>
          <w:rFonts w:eastAsia="Calibri"/>
          <w:spacing w:val="-2"/>
          <w:lang w:val="en-US" w:eastAsia="en-US"/>
        </w:rPr>
        <w:br/>
      </w:r>
      <w:r w:rsidR="006920C2" w:rsidRPr="00BD77D8">
        <w:rPr>
          <w:rFonts w:eastAsia="Calibri"/>
          <w:b/>
          <w:spacing w:val="-2"/>
          <w:lang w:val="en-US" w:eastAsia="en-US"/>
        </w:rPr>
        <w:t>SUCCESSFULLY EMPLOYED</w:t>
      </w:r>
      <w:r w:rsidR="006920C2" w:rsidRPr="00BD77D8">
        <w:rPr>
          <w:rFonts w:eastAsia="Calibri"/>
          <w:bCs/>
          <w:spacing w:val="-2"/>
          <w:lang w:val="en-US" w:eastAsia="en-US"/>
        </w:rPr>
        <w:t xml:space="preserve"> SIX MONTHS</w:t>
      </w:r>
      <w:r w:rsidR="006920C2" w:rsidRPr="00BD77D8">
        <w:rPr>
          <w:rFonts w:eastAsia="Calibri"/>
          <w:spacing w:val="-2"/>
          <w:lang w:val="en-US" w:eastAsia="en-US"/>
        </w:rPr>
        <w:t xml:space="preserve"> AFTER PLACEMENT BY </w:t>
      </w:r>
      <w:r w:rsidR="00AA30D8" w:rsidRPr="00BD77D8">
        <w:rPr>
          <w:rFonts w:eastAsia="Calibri"/>
          <w:spacing w:val="-2"/>
          <w:lang w:val="en-US" w:eastAsia="en-US"/>
        </w:rPr>
        <w:t>YEP</w:t>
      </w:r>
    </w:p>
    <w:p w14:paraId="50D9B65F" w14:textId="77777777" w:rsidR="00C308F3" w:rsidRPr="00BD77D8" w:rsidRDefault="00BD46AC" w:rsidP="003C6493">
      <w:pPr>
        <w:spacing w:before="120" w:after="0" w:line="240" w:lineRule="auto"/>
        <w:jc w:val="center"/>
        <w:rPr>
          <w:rFonts w:eastAsia="Calibri"/>
          <w:b/>
          <w:bCs/>
          <w:lang w:val="en-US" w:eastAsia="en-US"/>
        </w:rPr>
      </w:pPr>
      <w:r w:rsidRPr="00BD77D8">
        <w:rPr>
          <w:rFonts w:eastAsia="Calibri"/>
          <w:b/>
          <w:bCs/>
          <w:lang w:val="en-US" w:eastAsia="en-US"/>
        </w:rPr>
        <w:t>78</w:t>
      </w:r>
      <w:r w:rsidR="006920C2" w:rsidRPr="00BD77D8">
        <w:rPr>
          <w:rFonts w:eastAsia="Calibri"/>
          <w:b/>
          <w:bCs/>
          <w:lang w:val="en-US" w:eastAsia="en-US"/>
        </w:rPr>
        <w:t>%</w:t>
      </w:r>
      <w:r w:rsidR="00E6425C" w:rsidRPr="00BD77D8">
        <w:rPr>
          <w:rFonts w:eastAsia="Calibri"/>
          <w:b/>
          <w:bCs/>
          <w:lang w:val="en-US" w:eastAsia="en-US"/>
        </w:rPr>
        <w:t xml:space="preserve"> </w:t>
      </w:r>
    </w:p>
    <w:p w14:paraId="787D82D7" w14:textId="6E1F95FC" w:rsidR="006920C2" w:rsidRPr="00BD77D8" w:rsidRDefault="006920C2" w:rsidP="003C6493">
      <w:pPr>
        <w:pBdr>
          <w:bottom w:val="single" w:sz="4" w:space="0" w:color="auto"/>
        </w:pBdr>
        <w:spacing w:before="120" w:after="120" w:line="240" w:lineRule="auto"/>
        <w:jc w:val="center"/>
        <w:rPr>
          <w:rFonts w:eastAsia="Calibri"/>
          <w:lang w:val="en-US" w:eastAsia="en-US"/>
        </w:rPr>
      </w:pPr>
      <w:r w:rsidRPr="00BD77D8">
        <w:rPr>
          <w:rFonts w:eastAsia="Calibri"/>
          <w:b/>
          <w:lang w:val="en-US" w:eastAsia="en-US"/>
        </w:rPr>
        <w:t>OF CUSTOMERS SATISIFIED</w:t>
      </w:r>
      <w:r w:rsidRPr="00BD77D8">
        <w:rPr>
          <w:rFonts w:eastAsia="Calibri"/>
          <w:lang w:val="en-US" w:eastAsia="en-US"/>
        </w:rPr>
        <w:t xml:space="preserve"> WITH CULTURAL HERITAGE SERVICES</w:t>
      </w:r>
    </w:p>
    <w:p w14:paraId="4C75112D" w14:textId="77777777" w:rsidR="00C308F3" w:rsidRPr="00BD77D8" w:rsidRDefault="00BD46AC" w:rsidP="003C6493">
      <w:pPr>
        <w:spacing w:before="120" w:after="120" w:line="240" w:lineRule="auto"/>
        <w:jc w:val="center"/>
        <w:rPr>
          <w:rFonts w:eastAsia="Calibri"/>
          <w:b/>
          <w:bCs/>
          <w:lang w:val="en-US" w:eastAsia="en-US"/>
        </w:rPr>
      </w:pPr>
      <w:r w:rsidRPr="00BD77D8">
        <w:rPr>
          <w:rFonts w:eastAsia="Calibri"/>
          <w:b/>
          <w:bCs/>
          <w:lang w:val="en-US" w:eastAsia="en-US"/>
        </w:rPr>
        <w:t>505</w:t>
      </w:r>
      <w:r w:rsidR="00ED08E4" w:rsidRPr="00BD77D8">
        <w:rPr>
          <w:rFonts w:eastAsia="Calibri"/>
          <w:b/>
          <w:bCs/>
          <w:lang w:val="en-US" w:eastAsia="en-US"/>
        </w:rPr>
        <w:t xml:space="preserve"> </w:t>
      </w:r>
    </w:p>
    <w:p w14:paraId="720D75DC" w14:textId="4CC9CCC6" w:rsidR="006920C2" w:rsidRPr="00BD77D8" w:rsidRDefault="006920C2" w:rsidP="003C6493">
      <w:pPr>
        <w:pBdr>
          <w:bottom w:val="single" w:sz="4" w:space="1" w:color="auto"/>
        </w:pBdr>
        <w:spacing w:before="120" w:after="240" w:line="240" w:lineRule="auto"/>
        <w:jc w:val="center"/>
        <w:rPr>
          <w:rFonts w:eastAsia="Calibri"/>
          <w:lang w:val="en-US" w:eastAsia="en-US"/>
        </w:rPr>
      </w:pPr>
      <w:r w:rsidRPr="00BD77D8">
        <w:rPr>
          <w:rFonts w:eastAsia="Calibri"/>
          <w:b/>
          <w:bCs/>
          <w:spacing w:val="-2"/>
          <w:lang w:val="en-US" w:eastAsia="en-US"/>
        </w:rPr>
        <w:t>REQUESTS FOR HISTORICAL</w:t>
      </w:r>
      <w:r w:rsidRPr="00BD77D8">
        <w:rPr>
          <w:rFonts w:eastAsia="Calibri"/>
          <w:b/>
          <w:bCs/>
          <w:spacing w:val="6"/>
          <w:lang w:val="en-US" w:eastAsia="en-US"/>
        </w:rPr>
        <w:t xml:space="preserve"> </w:t>
      </w:r>
      <w:r w:rsidRPr="00BD77D8">
        <w:rPr>
          <w:rFonts w:eastAsia="Calibri"/>
          <w:b/>
          <w:bCs/>
          <w:spacing w:val="-2"/>
          <w:lang w:val="en-US" w:eastAsia="en-US"/>
        </w:rPr>
        <w:t>RECORDS</w:t>
      </w:r>
      <w:r w:rsidRPr="00BD77D8">
        <w:rPr>
          <w:rFonts w:eastAsia="Calibri"/>
          <w:spacing w:val="11"/>
          <w:lang w:val="en-US" w:eastAsia="en-US"/>
        </w:rPr>
        <w:t xml:space="preserve"> </w:t>
      </w:r>
      <w:r w:rsidRPr="00BD77D8">
        <w:rPr>
          <w:rFonts w:eastAsia="Calibri"/>
          <w:spacing w:val="-2"/>
          <w:lang w:val="en-US" w:eastAsia="en-US"/>
        </w:rPr>
        <w:t>RELATIN</w:t>
      </w:r>
      <w:r w:rsidRPr="00BD77D8">
        <w:rPr>
          <w:rFonts w:eastAsia="Calibri"/>
          <w:lang w:val="en-US" w:eastAsia="en-US"/>
        </w:rPr>
        <w:t>G</w:t>
      </w:r>
      <w:r w:rsidRPr="00BD77D8">
        <w:rPr>
          <w:rFonts w:eastAsia="Calibri"/>
          <w:spacing w:val="10"/>
          <w:lang w:val="en-US" w:eastAsia="en-US"/>
        </w:rPr>
        <w:t xml:space="preserve"> </w:t>
      </w:r>
      <w:r w:rsidRPr="00BD77D8">
        <w:rPr>
          <w:rFonts w:eastAsia="Calibri"/>
          <w:spacing w:val="-2"/>
          <w:lang w:val="en-US" w:eastAsia="en-US"/>
        </w:rPr>
        <w:t>T</w:t>
      </w:r>
      <w:r w:rsidRPr="00BD77D8">
        <w:rPr>
          <w:rFonts w:eastAsia="Calibri"/>
          <w:lang w:val="en-US" w:eastAsia="en-US"/>
        </w:rPr>
        <w:t>O</w:t>
      </w:r>
      <w:r w:rsidRPr="00BD77D8">
        <w:rPr>
          <w:rFonts w:eastAsia="Calibri"/>
          <w:spacing w:val="47"/>
          <w:w w:val="98"/>
          <w:lang w:val="en-US" w:eastAsia="en-US"/>
        </w:rPr>
        <w:t xml:space="preserve"> </w:t>
      </w:r>
      <w:r w:rsidRPr="00BD77D8">
        <w:rPr>
          <w:rFonts w:eastAsia="Calibri"/>
          <w:spacing w:val="-2"/>
          <w:lang w:val="en-US" w:eastAsia="en-US"/>
        </w:rPr>
        <w:t>A</w:t>
      </w:r>
      <w:r w:rsidRPr="00BD77D8">
        <w:rPr>
          <w:rFonts w:eastAsia="Calibri"/>
          <w:lang w:val="en-US" w:eastAsia="en-US"/>
        </w:rPr>
        <w:t>BORIGINAL</w:t>
      </w:r>
      <w:r w:rsidRPr="00BD77D8">
        <w:rPr>
          <w:rFonts w:eastAsia="Calibri"/>
          <w:spacing w:val="-13"/>
          <w:lang w:val="en-US" w:eastAsia="en-US"/>
        </w:rPr>
        <w:t xml:space="preserve"> </w:t>
      </w:r>
      <w:r w:rsidRPr="00BD77D8">
        <w:rPr>
          <w:rFonts w:eastAsia="Calibri"/>
          <w:lang w:val="en-US" w:eastAsia="en-US"/>
        </w:rPr>
        <w:t>AND</w:t>
      </w:r>
      <w:r w:rsidRPr="00BD77D8">
        <w:rPr>
          <w:rFonts w:eastAsia="Calibri"/>
          <w:spacing w:val="-16"/>
          <w:lang w:val="en-US" w:eastAsia="en-US"/>
        </w:rPr>
        <w:t xml:space="preserve"> </w:t>
      </w:r>
      <w:r w:rsidRPr="00BD77D8">
        <w:rPr>
          <w:rFonts w:eastAsia="Calibri"/>
          <w:spacing w:val="-3"/>
          <w:lang w:val="en-US" w:eastAsia="en-US"/>
        </w:rPr>
        <w:t>TORRE</w:t>
      </w:r>
      <w:r w:rsidRPr="00BD77D8">
        <w:rPr>
          <w:rFonts w:eastAsia="Calibri"/>
          <w:spacing w:val="-2"/>
          <w:lang w:val="en-US" w:eastAsia="en-US"/>
        </w:rPr>
        <w:t>S</w:t>
      </w:r>
      <w:r w:rsidRPr="00BD77D8">
        <w:rPr>
          <w:rFonts w:eastAsia="Calibri"/>
          <w:spacing w:val="-16"/>
          <w:lang w:val="en-US" w:eastAsia="en-US"/>
        </w:rPr>
        <w:t xml:space="preserve"> </w:t>
      </w:r>
      <w:r w:rsidRPr="00BD77D8">
        <w:rPr>
          <w:rFonts w:eastAsia="Calibri"/>
          <w:lang w:val="en-US" w:eastAsia="en-US"/>
        </w:rPr>
        <w:t>ST</w:t>
      </w:r>
      <w:r w:rsidRPr="00BD77D8">
        <w:rPr>
          <w:rFonts w:eastAsia="Calibri"/>
          <w:spacing w:val="-2"/>
          <w:lang w:val="en-US" w:eastAsia="en-US"/>
        </w:rPr>
        <w:t>RAIT</w:t>
      </w:r>
      <w:r w:rsidRPr="00BD77D8">
        <w:rPr>
          <w:rFonts w:eastAsia="Calibri"/>
          <w:spacing w:val="-12"/>
          <w:lang w:val="en-US" w:eastAsia="en-US"/>
        </w:rPr>
        <w:t xml:space="preserve"> </w:t>
      </w:r>
      <w:r w:rsidRPr="00BD77D8">
        <w:rPr>
          <w:rFonts w:eastAsia="Calibri"/>
          <w:lang w:val="en-US" w:eastAsia="en-US"/>
        </w:rPr>
        <w:t>ISLAND</w:t>
      </w:r>
      <w:r w:rsidRPr="00BD77D8">
        <w:rPr>
          <w:rFonts w:eastAsia="Calibri"/>
          <w:spacing w:val="-2"/>
          <w:lang w:val="en-US" w:eastAsia="en-US"/>
        </w:rPr>
        <w:t>ER</w:t>
      </w:r>
      <w:r w:rsidRPr="00BD77D8">
        <w:rPr>
          <w:rFonts w:eastAsia="Calibri"/>
          <w:spacing w:val="-12"/>
          <w:lang w:val="en-US" w:eastAsia="en-US"/>
        </w:rPr>
        <w:t xml:space="preserve"> </w:t>
      </w:r>
      <w:r w:rsidRPr="00BD77D8">
        <w:rPr>
          <w:rFonts w:eastAsia="Calibri"/>
          <w:spacing w:val="-2"/>
          <w:lang w:val="en-US" w:eastAsia="en-US"/>
        </w:rPr>
        <w:t>QUEEN</w:t>
      </w:r>
      <w:r w:rsidRPr="00BD77D8">
        <w:rPr>
          <w:rFonts w:eastAsia="Calibri"/>
          <w:lang w:val="en-US" w:eastAsia="en-US"/>
        </w:rPr>
        <w:t>SLAND</w:t>
      </w:r>
      <w:r w:rsidRPr="00BD77D8">
        <w:rPr>
          <w:rFonts w:eastAsia="Calibri"/>
          <w:spacing w:val="-2"/>
          <w:lang w:val="en-US" w:eastAsia="en-US"/>
        </w:rPr>
        <w:t>ER</w:t>
      </w:r>
      <w:r w:rsidRPr="00BD77D8">
        <w:rPr>
          <w:rFonts w:eastAsia="Calibri"/>
          <w:lang w:val="en-US" w:eastAsia="en-US"/>
        </w:rPr>
        <w:t>S</w:t>
      </w:r>
      <w:r w:rsidR="00BD46AC" w:rsidRPr="00BD77D8">
        <w:rPr>
          <w:rFonts w:eastAsia="Calibri"/>
          <w:lang w:val="en-US" w:eastAsia="en-US"/>
        </w:rPr>
        <w:t xml:space="preserve"> FINALISED</w:t>
      </w:r>
    </w:p>
    <w:p w14:paraId="7CDDC3C1" w14:textId="77777777" w:rsidR="00C308F3" w:rsidRPr="00BD77D8" w:rsidRDefault="00DC3C64" w:rsidP="00C308F3">
      <w:pPr>
        <w:pBdr>
          <w:bottom w:val="single" w:sz="4" w:space="0" w:color="auto"/>
        </w:pBdr>
        <w:spacing w:before="120" w:after="120" w:line="240" w:lineRule="auto"/>
        <w:jc w:val="center"/>
        <w:rPr>
          <w:rFonts w:eastAsia="Calibri"/>
          <w:b/>
          <w:bCs/>
          <w:spacing w:val="-2"/>
          <w:lang w:val="en-US" w:eastAsia="en-US"/>
        </w:rPr>
      </w:pPr>
      <w:r w:rsidRPr="00BD77D8">
        <w:rPr>
          <w:rFonts w:eastAsia="Calibri"/>
          <w:b/>
          <w:bCs/>
          <w:lang w:val="en-US" w:eastAsia="en-US"/>
        </w:rPr>
        <w:t>38</w:t>
      </w:r>
      <w:r w:rsidR="00ED08E4" w:rsidRPr="00BD77D8">
        <w:rPr>
          <w:rFonts w:eastAsia="Calibri"/>
          <w:b/>
          <w:bCs/>
          <w:lang w:val="en-US" w:eastAsia="en-US"/>
        </w:rPr>
        <w:t xml:space="preserve"> </w:t>
      </w:r>
      <w:r w:rsidR="006920C2" w:rsidRPr="00BD77D8">
        <w:rPr>
          <w:rFonts w:eastAsia="Calibri"/>
          <w:b/>
          <w:bCs/>
          <w:spacing w:val="-2"/>
          <w:lang w:val="en-US" w:eastAsia="en-US"/>
        </w:rPr>
        <w:t>HOUSES MADE AVAILABLE FOR OWNERSHIP</w:t>
      </w:r>
    </w:p>
    <w:p w14:paraId="13E2D0C0" w14:textId="14DA3C2C" w:rsidR="006920C2" w:rsidRPr="00BD77D8" w:rsidRDefault="006920C2" w:rsidP="00C308F3">
      <w:pPr>
        <w:pBdr>
          <w:bottom w:val="single" w:sz="4" w:space="0" w:color="auto"/>
        </w:pBdr>
        <w:spacing w:before="120" w:after="120" w:line="240" w:lineRule="auto"/>
        <w:jc w:val="center"/>
        <w:rPr>
          <w:rFonts w:eastAsia="Calibri"/>
          <w:spacing w:val="-2"/>
          <w:lang w:val="en-US" w:eastAsia="en-US"/>
        </w:rPr>
      </w:pPr>
      <w:r w:rsidRPr="00BD77D8">
        <w:rPr>
          <w:rFonts w:eastAsia="Calibri"/>
          <w:spacing w:val="-2"/>
          <w:lang w:val="en-US" w:eastAsia="en-US"/>
        </w:rPr>
        <w:t xml:space="preserve"> BY ABORIGINAL</w:t>
      </w:r>
      <w:r w:rsidR="004C7FBB" w:rsidRPr="00BD77D8">
        <w:rPr>
          <w:rFonts w:eastAsia="Calibri"/>
          <w:spacing w:val="-2"/>
          <w:lang w:val="en-US" w:eastAsia="en-US"/>
        </w:rPr>
        <w:t xml:space="preserve"> PEOPLES</w:t>
      </w:r>
      <w:r w:rsidRPr="00BD77D8">
        <w:rPr>
          <w:rFonts w:eastAsia="Calibri"/>
          <w:spacing w:val="-2"/>
          <w:lang w:val="en-US" w:eastAsia="en-US"/>
        </w:rPr>
        <w:t xml:space="preserve"> AND TORRES STRAIT ISLANDER PEOPLES IN TARGETED COMMUNITIES</w:t>
      </w:r>
    </w:p>
    <w:p w14:paraId="00CCE49A" w14:textId="699677E5" w:rsidR="00265E5E" w:rsidRPr="00BD77D8" w:rsidRDefault="00F81C4F" w:rsidP="003C6493">
      <w:pPr>
        <w:pStyle w:val="Heading3"/>
        <w:spacing w:before="240"/>
      </w:pPr>
      <w:r w:rsidRPr="00BD77D8">
        <w:t>DELIVERED DEPARTMENTAL OBJECTIVES</w:t>
      </w:r>
    </w:p>
    <w:p w14:paraId="44D412B2" w14:textId="301A9BFE" w:rsidR="00265E5E" w:rsidRPr="00BD77D8" w:rsidRDefault="00F81C4F" w:rsidP="00E43202">
      <w:pPr>
        <w:spacing w:before="240"/>
      </w:pPr>
      <w:r w:rsidRPr="00BD77D8">
        <w:t>IMPROVED COMMUNITY PARTICIPATION</w:t>
      </w:r>
      <w:r w:rsidR="00BC0C99" w:rsidRPr="00BD77D8">
        <w:t>,</w:t>
      </w:r>
      <w:r w:rsidRPr="00BD77D8">
        <w:t xml:space="preserve"> AND ECONOMIC PARTICIPATION, OUTCOMES FOR ABORIGINAL AND TORRES STRAIT ISLANDER QUEENSLANDERS BY:</w:t>
      </w:r>
    </w:p>
    <w:p w14:paraId="686DA469" w14:textId="330AF8FB" w:rsidR="00ED253B" w:rsidRPr="00BD77D8" w:rsidRDefault="00ED253B" w:rsidP="00ED253B">
      <w:pPr>
        <w:pStyle w:val="ListBullet"/>
      </w:pPr>
      <w:r w:rsidRPr="00BD77D8">
        <w:rPr>
          <w:b/>
          <w:bCs/>
        </w:rPr>
        <w:t>PROMOT</w:t>
      </w:r>
      <w:r w:rsidR="00BC0C99" w:rsidRPr="00BD77D8">
        <w:rPr>
          <w:b/>
          <w:bCs/>
        </w:rPr>
        <w:t>ING</w:t>
      </w:r>
      <w:r w:rsidRPr="00BD77D8">
        <w:t xml:space="preserve"> INCLUSION AND ACCESS TO PROGRAMS AND SERVICES</w:t>
      </w:r>
    </w:p>
    <w:p w14:paraId="51493E83" w14:textId="348E3EC1" w:rsidR="00ED253B" w:rsidRPr="00BD77D8" w:rsidRDefault="00ED253B" w:rsidP="00ED253B">
      <w:pPr>
        <w:pStyle w:val="ListBullet"/>
      </w:pPr>
      <w:r w:rsidRPr="00BD77D8">
        <w:rPr>
          <w:b/>
          <w:bCs/>
        </w:rPr>
        <w:t>INCREAS</w:t>
      </w:r>
      <w:r w:rsidR="00BC0C99" w:rsidRPr="00BD77D8">
        <w:rPr>
          <w:b/>
          <w:bCs/>
        </w:rPr>
        <w:t>ING</w:t>
      </w:r>
      <w:r w:rsidRPr="00BD77D8">
        <w:rPr>
          <w:b/>
          <w:bCs/>
        </w:rPr>
        <w:t xml:space="preserve"> </w:t>
      </w:r>
      <w:r w:rsidRPr="00BD77D8">
        <w:t>ENGAGEMENT THROUGH CO-DESIGN</w:t>
      </w:r>
    </w:p>
    <w:p w14:paraId="01F016CA" w14:textId="470E541F" w:rsidR="00ED253B" w:rsidRPr="00BD77D8" w:rsidRDefault="00ED253B" w:rsidP="00ED253B">
      <w:pPr>
        <w:pStyle w:val="ListBullet"/>
      </w:pPr>
      <w:r w:rsidRPr="00BD77D8">
        <w:rPr>
          <w:b/>
          <w:bCs/>
        </w:rPr>
        <w:t>INFLUENC</w:t>
      </w:r>
      <w:r w:rsidR="00BC0C99" w:rsidRPr="00BD77D8">
        <w:rPr>
          <w:b/>
          <w:bCs/>
        </w:rPr>
        <w:t>ING</w:t>
      </w:r>
      <w:r w:rsidRPr="00BD77D8">
        <w:t xml:space="preserve"> SOCIAL AND ECONOMIC OUTCOMES</w:t>
      </w:r>
    </w:p>
    <w:p w14:paraId="72A6E5C6" w14:textId="0F02B09B" w:rsidR="00ED253B" w:rsidRPr="00BD77D8" w:rsidRDefault="00ED253B" w:rsidP="00ED253B">
      <w:pPr>
        <w:pStyle w:val="ListBullet"/>
      </w:pPr>
      <w:r w:rsidRPr="00BD77D8">
        <w:rPr>
          <w:b/>
          <w:bCs/>
        </w:rPr>
        <w:t>FOSTER</w:t>
      </w:r>
      <w:r w:rsidR="00BC0C99" w:rsidRPr="00BD77D8">
        <w:rPr>
          <w:b/>
          <w:bCs/>
        </w:rPr>
        <w:t>ING</w:t>
      </w:r>
      <w:r w:rsidRPr="00BD77D8">
        <w:rPr>
          <w:b/>
          <w:bCs/>
        </w:rPr>
        <w:t xml:space="preserve"> </w:t>
      </w:r>
      <w:r w:rsidRPr="00BD77D8">
        <w:t>SAFE AND CONNECTED COMMUNITIES</w:t>
      </w:r>
    </w:p>
    <w:p w14:paraId="728B2182" w14:textId="1D57C73A" w:rsidR="004D0CFD" w:rsidRPr="00BD77D8" w:rsidRDefault="00BC0C99" w:rsidP="00CA20D2">
      <w:pPr>
        <w:pStyle w:val="Heading2"/>
        <w:spacing w:before="240"/>
        <w:rPr>
          <w:color w:val="auto"/>
        </w:rPr>
      </w:pPr>
      <w:bookmarkStart w:id="139" w:name="_Toc113544392"/>
      <w:r w:rsidRPr="00BD77D8">
        <w:rPr>
          <w:color w:val="auto"/>
        </w:rPr>
        <w:t>Strategic Overview</w:t>
      </w:r>
      <w:bookmarkEnd w:id="139"/>
    </w:p>
    <w:p w14:paraId="1566559D" w14:textId="4E6A9F85" w:rsidR="00B27B97" w:rsidRPr="00BD77D8" w:rsidRDefault="00BC0C99" w:rsidP="001F37FE">
      <w:pPr>
        <w:rPr>
          <w:rFonts w:eastAsia="Calibri"/>
          <w:w w:val="105"/>
          <w:lang w:val="en-US"/>
        </w:rPr>
      </w:pPr>
      <w:r w:rsidRPr="00BD77D8">
        <w:rPr>
          <w:rFonts w:eastAsia="Calibri"/>
          <w:w w:val="105"/>
          <w:lang w:val="en-US"/>
        </w:rPr>
        <w:t xml:space="preserve">The department increases </w:t>
      </w:r>
      <w:r w:rsidR="001C22E9" w:rsidRPr="00BD77D8">
        <w:rPr>
          <w:rFonts w:eastAsia="Calibri"/>
          <w:w w:val="105"/>
          <w:lang w:val="en-US"/>
        </w:rPr>
        <w:t>the community participation</w:t>
      </w:r>
      <w:r w:rsidRPr="00BD77D8">
        <w:rPr>
          <w:rFonts w:eastAsia="Calibri"/>
          <w:w w:val="105"/>
          <w:lang w:val="en-US"/>
        </w:rPr>
        <w:t>, and influences more economic participation opportunities</w:t>
      </w:r>
      <w:r w:rsidR="008F1762" w:rsidRPr="00BD77D8">
        <w:rPr>
          <w:rFonts w:eastAsia="Calibri"/>
          <w:w w:val="105"/>
          <w:lang w:val="en-US"/>
        </w:rPr>
        <w:t>,</w:t>
      </w:r>
      <w:r w:rsidRPr="00BD77D8">
        <w:rPr>
          <w:rFonts w:eastAsia="Calibri"/>
          <w:w w:val="105"/>
          <w:lang w:val="en-US"/>
        </w:rPr>
        <w:t xml:space="preserve"> for </w:t>
      </w:r>
      <w:r w:rsidR="001C22E9" w:rsidRPr="00BD77D8">
        <w:rPr>
          <w:rFonts w:eastAsia="Calibri"/>
          <w:w w:val="105"/>
          <w:lang w:val="en-US"/>
        </w:rPr>
        <w:t xml:space="preserve">Aboriginal </w:t>
      </w:r>
      <w:r w:rsidR="004C7FBB" w:rsidRPr="00BD77D8">
        <w:rPr>
          <w:rFonts w:eastAsia="Calibri"/>
          <w:w w:val="105"/>
          <w:lang w:val="en-US"/>
        </w:rPr>
        <w:t xml:space="preserve">peoples </w:t>
      </w:r>
      <w:r w:rsidR="001C22E9" w:rsidRPr="00BD77D8">
        <w:rPr>
          <w:rFonts w:eastAsia="Calibri"/>
          <w:w w:val="105"/>
          <w:lang w:val="en-US"/>
        </w:rPr>
        <w:t>and Torres Strait Islander peoples</w:t>
      </w:r>
      <w:r w:rsidRPr="00BD77D8">
        <w:rPr>
          <w:rFonts w:eastAsia="Calibri"/>
          <w:w w:val="105"/>
          <w:lang w:val="en-US"/>
        </w:rPr>
        <w:t xml:space="preserve">, </w:t>
      </w:r>
      <w:r w:rsidR="006F34C2" w:rsidRPr="00BD77D8">
        <w:rPr>
          <w:rFonts w:eastAsia="Calibri"/>
          <w:w w:val="105"/>
          <w:lang w:val="en-US"/>
        </w:rPr>
        <w:t xml:space="preserve">through whole-of-government leadership on new </w:t>
      </w:r>
      <w:r w:rsidR="00F76419" w:rsidRPr="00BD77D8">
        <w:rPr>
          <w:rFonts w:eastAsia="Calibri"/>
          <w:w w:val="105"/>
          <w:lang w:val="en-US"/>
        </w:rPr>
        <w:t>ways of working and a genuine partnership approach with Aboriginal and Torres Strait Islander Queenslanders.</w:t>
      </w:r>
    </w:p>
    <w:p w14:paraId="4C733141" w14:textId="3BEF7B5E" w:rsidR="00171477" w:rsidRPr="00BD77D8" w:rsidRDefault="00171477" w:rsidP="0018616D">
      <w:pPr>
        <w:pStyle w:val="Heading3"/>
      </w:pPr>
      <w:bookmarkStart w:id="140" w:name="_Toc78287363"/>
      <w:bookmarkStart w:id="141" w:name="_Toc78355770"/>
      <w:bookmarkStart w:id="142" w:name="_Toc67046704"/>
      <w:r w:rsidRPr="00BD77D8">
        <w:t xml:space="preserve">Local Thriving Communities </w:t>
      </w:r>
      <w:bookmarkEnd w:id="140"/>
      <w:bookmarkEnd w:id="141"/>
    </w:p>
    <w:p w14:paraId="37486B0A" w14:textId="6FFAAF50" w:rsidR="00872E9D" w:rsidRPr="00BD77D8" w:rsidRDefault="00872E9D" w:rsidP="00D83B53">
      <w:pPr>
        <w:rPr>
          <w:rFonts w:eastAsia="Calibri"/>
          <w:w w:val="105"/>
          <w:lang w:val="en-US"/>
        </w:rPr>
      </w:pPr>
      <w:r w:rsidRPr="00BD77D8">
        <w:rPr>
          <w:rFonts w:eastAsia="Calibri"/>
          <w:w w:val="105"/>
          <w:lang w:val="en-US"/>
        </w:rPr>
        <w:t xml:space="preserve">The Queensland Government is committed to working with Aboriginal and Torres Strait Islander communities to increase community-led decision-making into service design and delivery through the Local Thriving Communities </w:t>
      </w:r>
      <w:r w:rsidR="00A80F48" w:rsidRPr="00BD77D8">
        <w:rPr>
          <w:rFonts w:eastAsia="Calibri"/>
          <w:w w:val="105"/>
          <w:lang w:val="en-US"/>
        </w:rPr>
        <w:t xml:space="preserve">(LTC) </w:t>
      </w:r>
      <w:r w:rsidRPr="00BD77D8">
        <w:rPr>
          <w:rFonts w:eastAsia="Calibri"/>
          <w:w w:val="105"/>
          <w:lang w:val="en-US"/>
        </w:rPr>
        <w:t>reform agenda</w:t>
      </w:r>
      <w:r w:rsidR="00AC767D" w:rsidRPr="00BD77D8">
        <w:rPr>
          <w:rFonts w:eastAsia="Calibri"/>
          <w:w w:val="105"/>
          <w:lang w:val="en-US"/>
        </w:rPr>
        <w:t>. This includes remote and discrete communities and urban and regional areas across Queensland.</w:t>
      </w:r>
    </w:p>
    <w:p w14:paraId="703F3B04" w14:textId="6E7C1E26" w:rsidR="00872E9D" w:rsidRPr="00BD77D8" w:rsidRDefault="00872E9D" w:rsidP="00671ADD">
      <w:pPr>
        <w:spacing w:after="120" w:line="240" w:lineRule="auto"/>
        <w:rPr>
          <w:rFonts w:eastAsia="Calibri"/>
          <w:w w:val="105"/>
          <w:lang w:val="en-US"/>
        </w:rPr>
      </w:pPr>
      <w:r w:rsidRPr="00BD77D8">
        <w:rPr>
          <w:rFonts w:eastAsia="Calibri"/>
          <w:w w:val="105"/>
          <w:lang w:val="en-US"/>
        </w:rPr>
        <w:t>Through LTC</w:t>
      </w:r>
      <w:r w:rsidR="00AF31AC" w:rsidRPr="00BD77D8">
        <w:rPr>
          <w:rFonts w:eastAsia="Calibri"/>
          <w:w w:val="105"/>
          <w:lang w:val="en-US"/>
        </w:rPr>
        <w:t>,</w:t>
      </w:r>
      <w:r w:rsidRPr="00BD77D8">
        <w:rPr>
          <w:rFonts w:eastAsia="Calibri"/>
          <w:w w:val="105"/>
          <w:lang w:val="en-US"/>
        </w:rPr>
        <w:t xml:space="preserve"> the Queensland Government seeks to build on a community’s strengths</w:t>
      </w:r>
      <w:r w:rsidR="00A80F48" w:rsidRPr="00BD77D8">
        <w:rPr>
          <w:rFonts w:eastAsia="Calibri"/>
          <w:w w:val="105"/>
          <w:lang w:val="en-US"/>
        </w:rPr>
        <w:t xml:space="preserve"> by</w:t>
      </w:r>
      <w:r w:rsidRPr="00BD77D8">
        <w:rPr>
          <w:rFonts w:eastAsia="Calibri"/>
          <w:w w:val="105"/>
          <w:lang w:val="en-US"/>
        </w:rPr>
        <w:t xml:space="preserve"> embracing existing leadership structures</w:t>
      </w:r>
      <w:r w:rsidR="00A80F48" w:rsidRPr="00BD77D8">
        <w:rPr>
          <w:rFonts w:eastAsia="Calibri"/>
          <w:w w:val="105"/>
          <w:lang w:val="en-US"/>
        </w:rPr>
        <w:t>,</w:t>
      </w:r>
      <w:r w:rsidRPr="00BD77D8">
        <w:rPr>
          <w:rFonts w:eastAsia="Calibri"/>
          <w:w w:val="105"/>
          <w:lang w:val="en-US"/>
        </w:rPr>
        <w:t xml:space="preserve"> including Indigenous councils and community leaders</w:t>
      </w:r>
      <w:r w:rsidR="00AF31AC" w:rsidRPr="00BD77D8">
        <w:rPr>
          <w:rFonts w:eastAsia="Calibri"/>
          <w:w w:val="105"/>
          <w:lang w:val="en-US"/>
        </w:rPr>
        <w:t>,</w:t>
      </w:r>
      <w:r w:rsidRPr="00BD77D8">
        <w:rPr>
          <w:rFonts w:eastAsia="Calibri"/>
          <w:w w:val="105"/>
          <w:lang w:val="en-US"/>
        </w:rPr>
        <w:t xml:space="preserve"> to enable Local Decision</w:t>
      </w:r>
      <w:r w:rsidR="00A67690" w:rsidRPr="00BD77D8">
        <w:rPr>
          <w:rFonts w:eastAsia="Calibri"/>
          <w:w w:val="105"/>
          <w:lang w:val="en-US"/>
        </w:rPr>
        <w:t>-</w:t>
      </w:r>
      <w:r w:rsidRPr="00BD77D8">
        <w:rPr>
          <w:rFonts w:eastAsia="Calibri"/>
          <w:w w:val="105"/>
          <w:lang w:val="en-US"/>
        </w:rPr>
        <w:t xml:space="preserve">Making Bodies (LDMBs) that will: </w:t>
      </w:r>
    </w:p>
    <w:p w14:paraId="44C8073B" w14:textId="0DC7CEBD" w:rsidR="00872E9D" w:rsidRPr="00BD77D8" w:rsidRDefault="00872E9D" w:rsidP="003954C5">
      <w:pPr>
        <w:pStyle w:val="ListParagraph"/>
        <w:numPr>
          <w:ilvl w:val="0"/>
          <w:numId w:val="81"/>
        </w:numPr>
        <w:spacing w:after="120" w:line="240" w:lineRule="auto"/>
        <w:rPr>
          <w:rFonts w:eastAsia="Calibri"/>
          <w:w w:val="105"/>
          <w:lang w:val="en-US"/>
        </w:rPr>
      </w:pPr>
      <w:r w:rsidRPr="00BD77D8">
        <w:rPr>
          <w:rFonts w:eastAsia="Calibri"/>
          <w:w w:val="105"/>
          <w:lang w:val="en-US"/>
        </w:rPr>
        <w:t xml:space="preserve">co-design and influence </w:t>
      </w:r>
      <w:r w:rsidR="00AF31AC" w:rsidRPr="00BD77D8">
        <w:rPr>
          <w:rFonts w:eastAsia="Calibri"/>
          <w:w w:val="105"/>
          <w:lang w:val="en-US"/>
        </w:rPr>
        <w:t xml:space="preserve">the </w:t>
      </w:r>
      <w:r w:rsidRPr="00BD77D8">
        <w:rPr>
          <w:rFonts w:eastAsia="Calibri"/>
          <w:w w:val="105"/>
          <w:lang w:val="en-US"/>
        </w:rPr>
        <w:t>delivery of services</w:t>
      </w:r>
    </w:p>
    <w:p w14:paraId="48CA4929" w14:textId="77777777" w:rsidR="00872E9D" w:rsidRPr="00BD77D8" w:rsidRDefault="00872E9D" w:rsidP="003954C5">
      <w:pPr>
        <w:pStyle w:val="ListParagraph"/>
        <w:numPr>
          <w:ilvl w:val="0"/>
          <w:numId w:val="81"/>
        </w:numPr>
        <w:spacing w:after="120" w:line="240" w:lineRule="auto"/>
        <w:rPr>
          <w:rFonts w:eastAsia="Calibri"/>
          <w:w w:val="105"/>
          <w:lang w:val="en-US"/>
        </w:rPr>
      </w:pPr>
      <w:r w:rsidRPr="00BD77D8">
        <w:rPr>
          <w:rFonts w:eastAsia="Calibri"/>
          <w:w w:val="105"/>
          <w:lang w:val="en-US"/>
        </w:rPr>
        <w:t xml:space="preserve">ensure investment makes their community stronger </w:t>
      </w:r>
    </w:p>
    <w:p w14:paraId="136584DC" w14:textId="77777777" w:rsidR="00872E9D" w:rsidRPr="00BD77D8" w:rsidRDefault="00872E9D" w:rsidP="003954C5">
      <w:pPr>
        <w:pStyle w:val="ListParagraph"/>
        <w:numPr>
          <w:ilvl w:val="0"/>
          <w:numId w:val="81"/>
        </w:numPr>
        <w:spacing w:after="120" w:line="240" w:lineRule="auto"/>
        <w:rPr>
          <w:rFonts w:eastAsia="Calibri"/>
        </w:rPr>
      </w:pPr>
      <w:proofErr w:type="spellStart"/>
      <w:r w:rsidRPr="00BD77D8">
        <w:rPr>
          <w:rFonts w:eastAsia="Calibri"/>
          <w:w w:val="105"/>
          <w:lang w:val="en-US"/>
        </w:rPr>
        <w:lastRenderedPageBreak/>
        <w:t>maximise</w:t>
      </w:r>
      <w:proofErr w:type="spellEnd"/>
      <w:r w:rsidRPr="00BD77D8">
        <w:rPr>
          <w:rFonts w:eastAsia="Calibri"/>
          <w:w w:val="105"/>
          <w:lang w:val="en-US"/>
        </w:rPr>
        <w:t xml:space="preserve"> opportunities from local service and industry partnerships</w:t>
      </w:r>
      <w:r w:rsidRPr="00BD77D8">
        <w:rPr>
          <w:rFonts w:eastAsia="Calibri"/>
        </w:rPr>
        <w:t xml:space="preserve">. </w:t>
      </w:r>
    </w:p>
    <w:p w14:paraId="6D88A94E" w14:textId="075C00BA" w:rsidR="00AC767D" w:rsidRPr="00BD77D8" w:rsidRDefault="00AC767D" w:rsidP="00D83B53">
      <w:pPr>
        <w:rPr>
          <w:rFonts w:eastAsia="Calibri"/>
          <w:w w:val="105"/>
          <w:lang w:val="en-US"/>
        </w:rPr>
      </w:pPr>
      <w:r w:rsidRPr="00BD77D8">
        <w:rPr>
          <w:rFonts w:eastAsia="Calibri"/>
          <w:w w:val="105"/>
          <w:lang w:val="en-US"/>
        </w:rPr>
        <w:t xml:space="preserve">A key focus of LDMBs will be ensuring greater accountability to the community for government investment, including addressing the unnecessary duplication of services in </w:t>
      </w:r>
      <w:r w:rsidR="007F6D12" w:rsidRPr="00BD77D8">
        <w:rPr>
          <w:rFonts w:eastAsia="Calibri"/>
          <w:w w:val="105"/>
          <w:lang w:val="en-US"/>
        </w:rPr>
        <w:t xml:space="preserve">the </w:t>
      </w:r>
      <w:r w:rsidRPr="00BD77D8">
        <w:rPr>
          <w:rFonts w:eastAsia="Calibri"/>
          <w:w w:val="105"/>
          <w:lang w:val="en-US"/>
        </w:rPr>
        <w:t>community.</w:t>
      </w:r>
    </w:p>
    <w:p w14:paraId="13074105" w14:textId="6745627C" w:rsidR="00872E9D" w:rsidRPr="00BD77D8" w:rsidRDefault="00872E9D" w:rsidP="00D83B53">
      <w:pPr>
        <w:rPr>
          <w:rFonts w:eastAsia="Calibri"/>
          <w:w w:val="105"/>
          <w:lang w:val="en-US"/>
        </w:rPr>
      </w:pPr>
      <w:r w:rsidRPr="00BD77D8">
        <w:rPr>
          <w:rFonts w:eastAsia="Calibri"/>
          <w:w w:val="105"/>
          <w:lang w:val="en-US"/>
        </w:rPr>
        <w:t xml:space="preserve">Through the LTC agenda, the department also works in partnership with Aboriginal and Torres Strait Islander Queenslanders to deliver initiatives focused on Aboriginal and Torres Strait Islander youth mental health and suicide </w:t>
      </w:r>
      <w:r w:rsidR="007D6EFD" w:rsidRPr="00BD77D8">
        <w:rPr>
          <w:rFonts w:eastAsia="Calibri"/>
          <w:w w:val="105"/>
          <w:lang w:val="en-US"/>
        </w:rPr>
        <w:t>prevention. The</w:t>
      </w:r>
      <w:r w:rsidRPr="00BD77D8">
        <w:rPr>
          <w:rFonts w:eastAsia="Calibri"/>
          <w:w w:val="105"/>
          <w:lang w:val="en-US"/>
        </w:rPr>
        <w:t xml:space="preserve"> department works in partnership with the Queensland Mental Health Commission and Aboriginal and Torres Strait Islander Queenslanders to co-design initiatives to strengthen mental health and wellbeing, respond to problematic alcohol and other drug use, and reduce rates of suicide in remote and discrete Aboriginal and Torres Strait Islander communities.</w:t>
      </w:r>
    </w:p>
    <w:p w14:paraId="78BC1DA6" w14:textId="5CEC64C3" w:rsidR="00F45E44" w:rsidRPr="00BD77D8" w:rsidRDefault="00F45E44" w:rsidP="00D83B53">
      <w:pPr>
        <w:rPr>
          <w:rFonts w:eastAsia="Calibri"/>
          <w:w w:val="105"/>
          <w:lang w:val="en-US"/>
        </w:rPr>
      </w:pPr>
      <w:r w:rsidRPr="00BD77D8">
        <w:rPr>
          <w:rFonts w:eastAsia="Calibri"/>
          <w:w w:val="105"/>
          <w:lang w:val="en-US"/>
        </w:rPr>
        <w:t>The department is working with the Department of Justice and Attorney-General to deliver the Positive and Respectful Relationships project in partnership with the Yarrabah community which is consistent with the LTC reform.</w:t>
      </w:r>
    </w:p>
    <w:p w14:paraId="1CD3A7B0" w14:textId="1FA4DEE2" w:rsidR="00171477" w:rsidRPr="00BD77D8" w:rsidRDefault="00171477" w:rsidP="00671ADD">
      <w:pPr>
        <w:spacing w:after="120" w:line="240" w:lineRule="auto"/>
        <w:rPr>
          <w:b/>
          <w:bCs/>
        </w:rPr>
      </w:pPr>
      <w:bookmarkStart w:id="143" w:name="_Hlk112837124"/>
      <w:r w:rsidRPr="00BD77D8">
        <w:rPr>
          <w:b/>
          <w:bCs/>
        </w:rPr>
        <w:t>Key achievements</w:t>
      </w:r>
    </w:p>
    <w:p w14:paraId="7ED4C3D8" w14:textId="23BB4649" w:rsidR="00171477" w:rsidRPr="00BD77D8" w:rsidRDefault="00171477" w:rsidP="00D2663B">
      <w:pPr>
        <w:spacing w:after="120" w:line="240" w:lineRule="auto"/>
        <w:rPr>
          <w:lang w:eastAsia="en-US"/>
        </w:rPr>
      </w:pPr>
      <w:r w:rsidRPr="00BD77D8">
        <w:rPr>
          <w:lang w:eastAsia="en-US"/>
        </w:rPr>
        <w:t>During the reporting period, the department</w:t>
      </w:r>
      <w:r w:rsidR="00AF31AC" w:rsidRPr="00BD77D8">
        <w:rPr>
          <w:lang w:eastAsia="en-US"/>
        </w:rPr>
        <w:t>:</w:t>
      </w:r>
    </w:p>
    <w:p w14:paraId="300B5421" w14:textId="4D8ACDFC" w:rsidR="00C308F3" w:rsidRPr="00BD77D8" w:rsidRDefault="005F5AEE" w:rsidP="00F729B3">
      <w:pPr>
        <w:pStyle w:val="ListBullet"/>
        <w:numPr>
          <w:ilvl w:val="0"/>
          <w:numId w:val="49"/>
        </w:numPr>
        <w:rPr>
          <w:rFonts w:eastAsia="Calibri"/>
        </w:rPr>
      </w:pPr>
      <w:r w:rsidRPr="00BD77D8">
        <w:rPr>
          <w:rFonts w:eastAsia="Calibri"/>
        </w:rPr>
        <w:t>released the LTC Action Plan 2022-2024 co-designed by government and community representatives,</w:t>
      </w:r>
      <w:r w:rsidR="008D5F45" w:rsidRPr="00BD77D8">
        <w:rPr>
          <w:rFonts w:eastAsia="Calibri"/>
        </w:rPr>
        <w:t xml:space="preserve"> which</w:t>
      </w:r>
      <w:r w:rsidRPr="00BD77D8">
        <w:rPr>
          <w:rFonts w:eastAsia="Calibri"/>
        </w:rPr>
        <w:t xml:space="preserve"> sets out the short-term activity for the Queensland Government to enable local decision-making</w:t>
      </w:r>
      <w:r w:rsidR="008D5F45" w:rsidRPr="00BD77D8">
        <w:rPr>
          <w:rFonts w:eastAsia="Calibri"/>
        </w:rPr>
        <w:t xml:space="preserve"> and to support self-determination, equality and culture for Aboriginal</w:t>
      </w:r>
      <w:r w:rsidR="00BC38E9" w:rsidRPr="00BD77D8">
        <w:rPr>
          <w:rFonts w:eastAsia="Calibri"/>
        </w:rPr>
        <w:t xml:space="preserve"> peoples</w:t>
      </w:r>
      <w:r w:rsidR="008D5F45" w:rsidRPr="00BD77D8">
        <w:rPr>
          <w:rFonts w:eastAsia="Calibri"/>
        </w:rPr>
        <w:t xml:space="preserve"> and Torres Strait Islander peoples</w:t>
      </w:r>
    </w:p>
    <w:p w14:paraId="1D094334" w14:textId="610D27CE" w:rsidR="005F5AEE" w:rsidRPr="00BD77D8" w:rsidRDefault="005F5AEE" w:rsidP="00F729B3">
      <w:pPr>
        <w:pStyle w:val="ListBullet"/>
        <w:numPr>
          <w:ilvl w:val="0"/>
          <w:numId w:val="49"/>
        </w:numPr>
        <w:rPr>
          <w:rFonts w:eastAsia="Calibri"/>
        </w:rPr>
      </w:pPr>
      <w:r w:rsidRPr="00BD77D8">
        <w:rPr>
          <w:rFonts w:eastAsia="Calibri"/>
        </w:rPr>
        <w:t>released a progress report of the Queensland Government’s Response to the Queensland Productivity Commission’s inquiry into service delivery in remote and discrete Aboriginal and Torres Strait Islander communities</w:t>
      </w:r>
    </w:p>
    <w:p w14:paraId="0763EFBF" w14:textId="4CF4A0B8" w:rsidR="005F5AEE" w:rsidRPr="00BD77D8" w:rsidRDefault="005F5AEE" w:rsidP="00F729B3">
      <w:pPr>
        <w:pStyle w:val="ListBullet"/>
        <w:numPr>
          <w:ilvl w:val="0"/>
          <w:numId w:val="49"/>
        </w:numPr>
        <w:rPr>
          <w:rFonts w:eastAsia="Calibri"/>
        </w:rPr>
      </w:pPr>
      <w:r w:rsidRPr="00BD77D8">
        <w:rPr>
          <w:rFonts w:eastAsia="Calibri"/>
        </w:rPr>
        <w:t xml:space="preserve">enhanced the existing strengths of local leadership with the establishment of interim LDMBs in five communities: Mapoon, Napranum, Aurukun, Hope Vale and </w:t>
      </w:r>
      <w:proofErr w:type="spellStart"/>
      <w:r w:rsidRPr="00BD77D8">
        <w:rPr>
          <w:rFonts w:eastAsia="Calibri"/>
        </w:rPr>
        <w:t>Wujal</w:t>
      </w:r>
      <w:proofErr w:type="spellEnd"/>
      <w:r w:rsidRPr="00BD77D8">
        <w:rPr>
          <w:rFonts w:eastAsia="Calibri"/>
        </w:rPr>
        <w:t xml:space="preserve"> </w:t>
      </w:r>
      <w:proofErr w:type="spellStart"/>
      <w:r w:rsidRPr="00BD77D8">
        <w:rPr>
          <w:rFonts w:eastAsia="Calibri"/>
        </w:rPr>
        <w:t>Wujal</w:t>
      </w:r>
      <w:proofErr w:type="spellEnd"/>
    </w:p>
    <w:p w14:paraId="1FF11B4D" w14:textId="5D262411" w:rsidR="005F5AEE" w:rsidRPr="00BD77D8" w:rsidRDefault="005F5AEE" w:rsidP="00F729B3">
      <w:pPr>
        <w:pStyle w:val="ListBullet"/>
        <w:numPr>
          <w:ilvl w:val="0"/>
          <w:numId w:val="49"/>
        </w:numPr>
        <w:rPr>
          <w:rFonts w:eastAsia="Calibri"/>
        </w:rPr>
      </w:pPr>
      <w:r w:rsidRPr="00BD77D8">
        <w:rPr>
          <w:rFonts w:eastAsia="Calibri"/>
        </w:rPr>
        <w:t>commenced</w:t>
      </w:r>
      <w:r w:rsidR="00FD62D8" w:rsidRPr="00BD77D8">
        <w:rPr>
          <w:rFonts w:eastAsia="Calibri"/>
        </w:rPr>
        <w:t xml:space="preserve"> discussion around the</w:t>
      </w:r>
      <w:r w:rsidRPr="00BD77D8">
        <w:rPr>
          <w:rFonts w:eastAsia="Calibri"/>
        </w:rPr>
        <w:t xml:space="preserve"> expansion of the LTC reform </w:t>
      </w:r>
      <w:r w:rsidR="008D5F45" w:rsidRPr="00BD77D8">
        <w:rPr>
          <w:rFonts w:eastAsia="Calibri"/>
        </w:rPr>
        <w:t xml:space="preserve">approach </w:t>
      </w:r>
      <w:r w:rsidRPr="00BD77D8">
        <w:rPr>
          <w:rFonts w:eastAsia="Calibri"/>
        </w:rPr>
        <w:t>across urban and regional Queensland</w:t>
      </w:r>
    </w:p>
    <w:p w14:paraId="7FB11330" w14:textId="4BBB31BF" w:rsidR="005F5AEE" w:rsidRPr="00BD77D8" w:rsidRDefault="005F5AEE" w:rsidP="00F729B3">
      <w:pPr>
        <w:pStyle w:val="ListBullet"/>
        <w:numPr>
          <w:ilvl w:val="0"/>
          <w:numId w:val="49"/>
        </w:numPr>
        <w:rPr>
          <w:rFonts w:eastAsia="Calibri"/>
        </w:rPr>
      </w:pPr>
      <w:r w:rsidRPr="00BD77D8">
        <w:rPr>
          <w:rFonts w:eastAsia="Calibri"/>
        </w:rPr>
        <w:t>shared data with local leaders in remote and discrete Aboriginal and Torres Strait Islander communities to enable more effective local decision-making</w:t>
      </w:r>
    </w:p>
    <w:p w14:paraId="473A1DCF" w14:textId="5CA149F1" w:rsidR="005F5AEE" w:rsidRPr="00BD77D8" w:rsidRDefault="005F5AEE" w:rsidP="00F729B3">
      <w:pPr>
        <w:pStyle w:val="ListBullet"/>
        <w:numPr>
          <w:ilvl w:val="0"/>
          <w:numId w:val="49"/>
        </w:numPr>
        <w:spacing w:before="240"/>
        <w:ind w:left="714" w:hanging="357"/>
        <w:rPr>
          <w:rFonts w:eastAsia="Calibri"/>
        </w:rPr>
      </w:pPr>
      <w:r w:rsidRPr="00BD77D8">
        <w:rPr>
          <w:rFonts w:eastAsia="Calibri"/>
        </w:rPr>
        <w:t xml:space="preserve">facilitated direct engagement between interim LDMBs and decision-makers across the Queensland Government to share decisions on the design and delivery of services </w:t>
      </w:r>
    </w:p>
    <w:p w14:paraId="1B967454" w14:textId="7F53D06E" w:rsidR="005F5AEE" w:rsidRPr="00BD77D8" w:rsidRDefault="00634215" w:rsidP="00F729B3">
      <w:pPr>
        <w:pStyle w:val="ListBullet"/>
        <w:numPr>
          <w:ilvl w:val="0"/>
          <w:numId w:val="49"/>
        </w:numPr>
        <w:rPr>
          <w:rFonts w:eastAsia="Calibri"/>
        </w:rPr>
      </w:pPr>
      <w:r w:rsidRPr="00BD77D8">
        <w:rPr>
          <w:rFonts w:eastAsia="Calibri"/>
        </w:rPr>
        <w:t xml:space="preserve">supported </w:t>
      </w:r>
      <w:r w:rsidR="005F5AEE" w:rsidRPr="00BD77D8">
        <w:rPr>
          <w:rFonts w:eastAsia="Calibri"/>
        </w:rPr>
        <w:t>communities</w:t>
      </w:r>
      <w:r w:rsidRPr="00BD77D8">
        <w:rPr>
          <w:rFonts w:eastAsia="Calibri"/>
        </w:rPr>
        <w:t xml:space="preserve">, other </w:t>
      </w:r>
      <w:r w:rsidR="005F5AEE" w:rsidRPr="00BD77D8">
        <w:rPr>
          <w:rFonts w:eastAsia="Calibri"/>
        </w:rPr>
        <w:t>relevant agencies</w:t>
      </w:r>
      <w:r w:rsidRPr="00BD77D8">
        <w:rPr>
          <w:rFonts w:eastAsia="Calibri"/>
        </w:rPr>
        <w:t xml:space="preserve"> and </w:t>
      </w:r>
      <w:r w:rsidR="005F5AEE" w:rsidRPr="00BD77D8">
        <w:rPr>
          <w:rFonts w:eastAsia="Calibri"/>
        </w:rPr>
        <w:t>Ministerial and Government Champions</w:t>
      </w:r>
      <w:r w:rsidRPr="00BD77D8">
        <w:rPr>
          <w:rFonts w:eastAsia="Calibri"/>
        </w:rPr>
        <w:t xml:space="preserve"> to</w:t>
      </w:r>
      <w:r w:rsidR="005F5AEE" w:rsidRPr="00BD77D8">
        <w:rPr>
          <w:rFonts w:eastAsia="Calibri"/>
        </w:rPr>
        <w:t xml:space="preserve"> work with their community’s interim LDMB to progress a formalised</w:t>
      </w:r>
      <w:r w:rsidR="008D5F45" w:rsidRPr="00BD77D8">
        <w:rPr>
          <w:rFonts w:eastAsia="Calibri"/>
        </w:rPr>
        <w:t xml:space="preserve"> local decision-making structure</w:t>
      </w:r>
      <w:r w:rsidR="005F5AEE" w:rsidRPr="00BD77D8">
        <w:rPr>
          <w:rFonts w:eastAsia="Calibri"/>
        </w:rPr>
        <w:t xml:space="preserve"> and develop a Community Agreement</w:t>
      </w:r>
      <w:r w:rsidR="00A80F48" w:rsidRPr="00BD77D8">
        <w:rPr>
          <w:rFonts w:eastAsia="Calibri"/>
        </w:rPr>
        <w:t xml:space="preserve"> </w:t>
      </w:r>
    </w:p>
    <w:p w14:paraId="4328FC28" w14:textId="16744B70" w:rsidR="00F45E44" w:rsidRPr="00BD77D8" w:rsidRDefault="00F45E44" w:rsidP="00F729B3">
      <w:pPr>
        <w:pStyle w:val="ListBullet"/>
        <w:numPr>
          <w:ilvl w:val="0"/>
          <w:numId w:val="49"/>
        </w:numPr>
        <w:rPr>
          <w:rFonts w:eastAsia="Calibri"/>
        </w:rPr>
      </w:pPr>
      <w:r w:rsidRPr="00BD77D8">
        <w:rPr>
          <w:rFonts w:eastAsia="Calibri"/>
        </w:rPr>
        <w:t>invested over $3.2</w:t>
      </w:r>
      <w:r w:rsidR="00431A0E" w:rsidRPr="00BD77D8">
        <w:rPr>
          <w:rFonts w:eastAsia="Calibri"/>
        </w:rPr>
        <w:t xml:space="preserve"> million</w:t>
      </w:r>
      <w:r w:rsidRPr="00BD77D8">
        <w:rPr>
          <w:rFonts w:eastAsia="Calibri"/>
        </w:rPr>
        <w:t xml:space="preserve"> in initiatives that are co-designed with local leadership to improve mental health and social emotional wellbeing outcomes, respond to substance misuse, and reduce rates of suicide in Aboriginal and Torres Strait Islander communities</w:t>
      </w:r>
    </w:p>
    <w:p w14:paraId="75F98418" w14:textId="64DB1106" w:rsidR="005F5AEE" w:rsidRPr="00BD77D8" w:rsidRDefault="005F5AEE" w:rsidP="00F729B3">
      <w:pPr>
        <w:pStyle w:val="ListBullet"/>
        <w:numPr>
          <w:ilvl w:val="0"/>
          <w:numId w:val="49"/>
        </w:numPr>
      </w:pPr>
      <w:r w:rsidRPr="00BD77D8">
        <w:rPr>
          <w:rFonts w:eastAsia="Calibri"/>
        </w:rPr>
        <w:t>held five meetings of the Joint Coordinating</w:t>
      </w:r>
      <w:r w:rsidRPr="00BD77D8">
        <w:t xml:space="preserve"> Committee, which includes community representatives, Mayors and State and Commonwealth members. </w:t>
      </w:r>
    </w:p>
    <w:bookmarkEnd w:id="143"/>
    <w:p w14:paraId="00054BF6" w14:textId="15675B01" w:rsidR="005E5AD9" w:rsidRPr="00BD77D8" w:rsidRDefault="005F5AEE" w:rsidP="005F5AEE">
      <w:pPr>
        <w:rPr>
          <w:lang w:eastAsia="en-US"/>
        </w:rPr>
      </w:pPr>
      <w:r w:rsidRPr="00BD77D8">
        <w:rPr>
          <w:lang w:eastAsia="en-US"/>
        </w:rPr>
        <w:t xml:space="preserve">These examples illustrate positive </w:t>
      </w:r>
      <w:r w:rsidR="008D5F45" w:rsidRPr="00BD77D8">
        <w:rPr>
          <w:lang w:eastAsia="en-US"/>
        </w:rPr>
        <w:t>progress</w:t>
      </w:r>
      <w:r w:rsidRPr="00BD77D8">
        <w:rPr>
          <w:lang w:eastAsia="en-US"/>
        </w:rPr>
        <w:t xml:space="preserve"> by the Queensland Government in terms of enabling self-determination to drive Queensland Government responses and embedding a more collaborative, culturally appropriate approach in the way government responds to community needs.</w:t>
      </w:r>
    </w:p>
    <w:p w14:paraId="6433668B" w14:textId="77777777" w:rsidR="00D67523" w:rsidRPr="00BD77D8" w:rsidRDefault="00D67523" w:rsidP="0018616D">
      <w:pPr>
        <w:pStyle w:val="Heading3"/>
      </w:pPr>
      <w:bookmarkStart w:id="144" w:name="_Toc78287366"/>
      <w:bookmarkStart w:id="145" w:name="_Toc78355773"/>
      <w:r w:rsidRPr="00BD77D8">
        <w:t>Path to Treaty</w:t>
      </w:r>
      <w:bookmarkEnd w:id="144"/>
      <w:bookmarkEnd w:id="145"/>
    </w:p>
    <w:p w14:paraId="22F1CE05" w14:textId="42A0D320" w:rsidR="00D67523" w:rsidRPr="00BD77D8" w:rsidRDefault="00D67523" w:rsidP="00D67523">
      <w:pPr>
        <w:rPr>
          <w:lang w:eastAsia="en-US"/>
        </w:rPr>
      </w:pPr>
      <w:r w:rsidRPr="00BD77D8">
        <w:rPr>
          <w:lang w:eastAsia="en-US"/>
        </w:rPr>
        <w:t>The department continues to work to reframe the relationship between Aboriginal and Torres Strait Islander communities and the Queensland Government through the Path to Treaty, which will invest in new ways of working and partnering together. This reform is a</w:t>
      </w:r>
      <w:r w:rsidR="0009170B" w:rsidRPr="00BD77D8">
        <w:rPr>
          <w:lang w:eastAsia="en-US"/>
        </w:rPr>
        <w:t>n</w:t>
      </w:r>
      <w:r w:rsidRPr="00BD77D8">
        <w:rPr>
          <w:lang w:eastAsia="en-US"/>
        </w:rPr>
        <w:t xml:space="preserve"> historic opportunity to build a future of shared equality and prosperity for all Queenslanders through </w:t>
      </w:r>
      <w:r w:rsidR="007F6D12" w:rsidRPr="00BD77D8">
        <w:rPr>
          <w:lang w:eastAsia="en-US"/>
        </w:rPr>
        <w:t xml:space="preserve">the </w:t>
      </w:r>
      <w:r w:rsidRPr="00BD77D8">
        <w:rPr>
          <w:lang w:eastAsia="en-US"/>
        </w:rPr>
        <w:t xml:space="preserve">key actions of treaty-making and truth-telling. </w:t>
      </w:r>
    </w:p>
    <w:p w14:paraId="31796265" w14:textId="47A5D563" w:rsidR="00D67523" w:rsidRPr="00BD77D8" w:rsidRDefault="00D67523" w:rsidP="00D67523">
      <w:pPr>
        <w:rPr>
          <w:lang w:eastAsia="en-US"/>
        </w:rPr>
      </w:pPr>
      <w:bookmarkStart w:id="146" w:name="_Hlk78285185"/>
      <w:r w:rsidRPr="00BD77D8">
        <w:rPr>
          <w:lang w:eastAsia="en-US"/>
        </w:rPr>
        <w:lastRenderedPageBreak/>
        <w:t xml:space="preserve">A Treaty Advancement Committee (the Committee) </w:t>
      </w:r>
      <w:r w:rsidR="0099593B" w:rsidRPr="00BD77D8">
        <w:rPr>
          <w:lang w:eastAsia="en-US"/>
        </w:rPr>
        <w:t>was</w:t>
      </w:r>
      <w:r w:rsidRPr="00BD77D8">
        <w:rPr>
          <w:lang w:eastAsia="en-US"/>
        </w:rPr>
        <w:t xml:space="preserve"> established, as part of the </w:t>
      </w:r>
      <w:r w:rsidR="00C3396D" w:rsidRPr="00BD77D8">
        <w:rPr>
          <w:lang w:eastAsia="en-US"/>
        </w:rPr>
        <w:t>g</w:t>
      </w:r>
      <w:r w:rsidRPr="00BD77D8">
        <w:rPr>
          <w:lang w:eastAsia="en-US"/>
        </w:rPr>
        <w:t xml:space="preserve">overnment's response to progress the Path to Treaty in partnership with Aboriginal </w:t>
      </w:r>
      <w:r w:rsidR="004C7FBB" w:rsidRPr="00BD77D8">
        <w:rPr>
          <w:lang w:eastAsia="en-US"/>
        </w:rPr>
        <w:t xml:space="preserve">peoples </w:t>
      </w:r>
      <w:r w:rsidRPr="00BD77D8">
        <w:rPr>
          <w:lang w:eastAsia="en-US"/>
        </w:rPr>
        <w:t xml:space="preserve">and Torres Strait Islander peoples, and </w:t>
      </w:r>
      <w:r w:rsidR="0099593B" w:rsidRPr="00BD77D8">
        <w:rPr>
          <w:lang w:eastAsia="en-US"/>
        </w:rPr>
        <w:t xml:space="preserve">to </w:t>
      </w:r>
      <w:r w:rsidRPr="00BD77D8">
        <w:rPr>
          <w:lang w:eastAsia="en-US"/>
        </w:rPr>
        <w:t>develop options and provide independent advice on how to progress treaty-making</w:t>
      </w:r>
      <w:r w:rsidR="00936783" w:rsidRPr="00BD77D8">
        <w:rPr>
          <w:lang w:eastAsia="en-US"/>
        </w:rPr>
        <w:t>.</w:t>
      </w:r>
    </w:p>
    <w:bookmarkEnd w:id="146"/>
    <w:p w14:paraId="18C08899" w14:textId="7E260B08" w:rsidR="00D67523" w:rsidRPr="00BD77D8" w:rsidRDefault="00D67523" w:rsidP="00DC63B7">
      <w:pPr>
        <w:rPr>
          <w:lang w:eastAsia="en-US"/>
        </w:rPr>
      </w:pPr>
      <w:r w:rsidRPr="00BD77D8">
        <w:rPr>
          <w:lang w:eastAsia="en-US"/>
        </w:rPr>
        <w:t>Committee members include</w:t>
      </w:r>
      <w:r w:rsidR="0099593B" w:rsidRPr="00BD77D8">
        <w:rPr>
          <w:lang w:eastAsia="en-US"/>
        </w:rPr>
        <w:t>d</w:t>
      </w:r>
      <w:r w:rsidRPr="00BD77D8">
        <w:rPr>
          <w:lang w:eastAsia="en-US"/>
        </w:rPr>
        <w:t xml:space="preserve"> former members of the Eminent Panel (Dr Jackie Huggins</w:t>
      </w:r>
      <w:r w:rsidR="007F6D12" w:rsidRPr="00BD77D8">
        <w:rPr>
          <w:lang w:eastAsia="en-US"/>
        </w:rPr>
        <w:t xml:space="preserve"> AM</w:t>
      </w:r>
      <w:r w:rsidRPr="00BD77D8">
        <w:rPr>
          <w:lang w:eastAsia="en-US"/>
        </w:rPr>
        <w:t>, Mr Mi</w:t>
      </w:r>
      <w:r w:rsidR="0099593B" w:rsidRPr="00BD77D8">
        <w:rPr>
          <w:lang w:eastAsia="en-US"/>
        </w:rPr>
        <w:t>ck</w:t>
      </w:r>
      <w:r w:rsidRPr="00BD77D8">
        <w:rPr>
          <w:lang w:eastAsia="en-US"/>
        </w:rPr>
        <w:t xml:space="preserve"> </w:t>
      </w:r>
      <w:proofErr w:type="spellStart"/>
      <w:r w:rsidRPr="00BD77D8">
        <w:rPr>
          <w:lang w:eastAsia="en-US"/>
        </w:rPr>
        <w:t>Gooda</w:t>
      </w:r>
      <w:proofErr w:type="spellEnd"/>
      <w:r w:rsidRPr="00BD77D8">
        <w:rPr>
          <w:lang w:eastAsia="en-US"/>
        </w:rPr>
        <w:t xml:space="preserve">, Dr Josephine </w:t>
      </w:r>
      <w:proofErr w:type="spellStart"/>
      <w:r w:rsidRPr="00BD77D8">
        <w:rPr>
          <w:lang w:eastAsia="en-US"/>
        </w:rPr>
        <w:t>Bourne</w:t>
      </w:r>
      <w:proofErr w:type="spellEnd"/>
      <w:r w:rsidRPr="00BD77D8">
        <w:rPr>
          <w:lang w:eastAsia="en-US"/>
        </w:rPr>
        <w:t xml:space="preserve"> and </w:t>
      </w:r>
      <w:r w:rsidR="007F6D12" w:rsidRPr="00BD77D8">
        <w:rPr>
          <w:lang w:eastAsia="en-US"/>
        </w:rPr>
        <w:t xml:space="preserve">Emeritus </w:t>
      </w:r>
      <w:r w:rsidRPr="00BD77D8">
        <w:rPr>
          <w:lang w:eastAsia="en-US"/>
        </w:rPr>
        <w:t xml:space="preserve">Professor Michael </w:t>
      </w:r>
      <w:proofErr w:type="spellStart"/>
      <w:r w:rsidRPr="00BD77D8">
        <w:rPr>
          <w:lang w:eastAsia="en-US"/>
        </w:rPr>
        <w:t>Lavarch</w:t>
      </w:r>
      <w:proofErr w:type="spellEnd"/>
      <w:r w:rsidRPr="00BD77D8">
        <w:rPr>
          <w:lang w:eastAsia="en-US"/>
        </w:rPr>
        <w:t xml:space="preserve"> AO) for continuity of expertise and insight, and </w:t>
      </w:r>
      <w:r w:rsidR="0099593B" w:rsidRPr="00BD77D8">
        <w:rPr>
          <w:lang w:eastAsia="en-US"/>
        </w:rPr>
        <w:t>a new member</w:t>
      </w:r>
      <w:r w:rsidR="00A80F48" w:rsidRPr="00BD77D8">
        <w:rPr>
          <w:lang w:eastAsia="en-US"/>
        </w:rPr>
        <w:t>,</w:t>
      </w:r>
      <w:r w:rsidR="0099593B" w:rsidRPr="00BD77D8">
        <w:rPr>
          <w:lang w:eastAsia="en-US"/>
        </w:rPr>
        <w:t xml:space="preserve"> Dr</w:t>
      </w:r>
      <w:r w:rsidRPr="00BD77D8">
        <w:rPr>
          <w:lang w:eastAsia="en-US"/>
        </w:rPr>
        <w:t xml:space="preserve"> Sallyanne Atkinson AO.</w:t>
      </w:r>
    </w:p>
    <w:p w14:paraId="2D450922" w14:textId="77777777" w:rsidR="00D67523" w:rsidRPr="00BD77D8" w:rsidRDefault="00D67523" w:rsidP="00D2663B">
      <w:pPr>
        <w:spacing w:after="120" w:line="240" w:lineRule="auto"/>
        <w:rPr>
          <w:b/>
          <w:bCs/>
        </w:rPr>
      </w:pPr>
      <w:bookmarkStart w:id="147" w:name="_Hlk112837159"/>
      <w:r w:rsidRPr="00BD77D8">
        <w:rPr>
          <w:b/>
          <w:bCs/>
        </w:rPr>
        <w:t>Key achievements</w:t>
      </w:r>
    </w:p>
    <w:p w14:paraId="4C7C35FE" w14:textId="77777777" w:rsidR="00D67523" w:rsidRPr="00BD77D8" w:rsidRDefault="00D67523" w:rsidP="00D2663B">
      <w:pPr>
        <w:spacing w:after="120" w:line="240" w:lineRule="auto"/>
        <w:rPr>
          <w:rFonts w:eastAsia="Calibri"/>
          <w:lang w:val="en-US" w:eastAsia="en-US"/>
        </w:rPr>
      </w:pPr>
      <w:r w:rsidRPr="00BD77D8">
        <w:rPr>
          <w:rFonts w:eastAsia="Calibri"/>
          <w:lang w:val="en-US" w:eastAsia="en-US"/>
        </w:rPr>
        <w:t>During the reporting period, the department:</w:t>
      </w:r>
    </w:p>
    <w:p w14:paraId="346FB5C4" w14:textId="77777777" w:rsidR="0099593B" w:rsidRPr="00BD77D8" w:rsidRDefault="0099593B" w:rsidP="00F729B3">
      <w:pPr>
        <w:pStyle w:val="ListParagraph"/>
        <w:numPr>
          <w:ilvl w:val="0"/>
          <w:numId w:val="55"/>
        </w:numPr>
        <w:rPr>
          <w:rFonts w:eastAsia="Calibri"/>
        </w:rPr>
      </w:pPr>
      <w:r w:rsidRPr="00BD77D8">
        <w:rPr>
          <w:rFonts w:eastAsia="Calibri"/>
        </w:rPr>
        <w:t>supported the Treaty Advancement Committee to re-engage with Queenslanders about the Path to Treaty process and next steps</w:t>
      </w:r>
    </w:p>
    <w:p w14:paraId="3C9CE118" w14:textId="08501E0B" w:rsidR="0099593B" w:rsidRPr="00BD77D8" w:rsidRDefault="0099593B" w:rsidP="00F729B3">
      <w:pPr>
        <w:pStyle w:val="ListParagraph"/>
        <w:numPr>
          <w:ilvl w:val="0"/>
          <w:numId w:val="55"/>
        </w:numPr>
        <w:rPr>
          <w:rFonts w:eastAsia="Calibri"/>
        </w:rPr>
      </w:pPr>
      <w:r w:rsidRPr="00BD77D8">
        <w:rPr>
          <w:rFonts w:eastAsia="Calibri"/>
        </w:rPr>
        <w:t>supported the Treaty Advancement Committee to prepare and deliver their report to</w:t>
      </w:r>
      <w:r w:rsidR="001F264E" w:rsidRPr="00BD77D8">
        <w:rPr>
          <w:rFonts w:eastAsia="Calibri"/>
        </w:rPr>
        <w:t xml:space="preserve"> the g</w:t>
      </w:r>
      <w:r w:rsidRPr="00BD77D8">
        <w:rPr>
          <w:rFonts w:eastAsia="Calibri"/>
        </w:rPr>
        <w:t>overnment</w:t>
      </w:r>
    </w:p>
    <w:p w14:paraId="7456944F" w14:textId="5C95112D" w:rsidR="00D67523" w:rsidRPr="00BD77D8" w:rsidRDefault="0099593B" w:rsidP="00F729B3">
      <w:pPr>
        <w:pStyle w:val="ListParagraph"/>
        <w:numPr>
          <w:ilvl w:val="0"/>
          <w:numId w:val="55"/>
        </w:numPr>
        <w:rPr>
          <w:rFonts w:eastAsia="Calibri"/>
        </w:rPr>
      </w:pPr>
      <w:r w:rsidRPr="00BD77D8">
        <w:rPr>
          <w:rFonts w:eastAsia="Calibri"/>
        </w:rPr>
        <w:t>commenced work to prepare Government agencies for the next steps on the Path to Treaty.</w:t>
      </w:r>
    </w:p>
    <w:p w14:paraId="38849ECC" w14:textId="77777777" w:rsidR="00D67523" w:rsidRPr="00BD77D8" w:rsidRDefault="00D67523" w:rsidP="0018616D">
      <w:pPr>
        <w:pStyle w:val="Heading3"/>
      </w:pPr>
      <w:bookmarkStart w:id="148" w:name="_Toc78287367"/>
      <w:bookmarkStart w:id="149" w:name="_Toc78355774"/>
      <w:bookmarkEnd w:id="147"/>
      <w:r w:rsidRPr="00BD77D8">
        <w:t>Indigenous Voice</w:t>
      </w:r>
      <w:bookmarkEnd w:id="148"/>
      <w:bookmarkEnd w:id="149"/>
      <w:r w:rsidRPr="00BD77D8">
        <w:t xml:space="preserve"> </w:t>
      </w:r>
    </w:p>
    <w:p w14:paraId="0FA6BC06" w14:textId="68F72D34" w:rsidR="00D11294" w:rsidRPr="00BD77D8" w:rsidRDefault="00D11294" w:rsidP="00D11294">
      <w:pPr>
        <w:rPr>
          <w:lang w:eastAsia="en-US"/>
        </w:rPr>
      </w:pPr>
      <w:r w:rsidRPr="00BD77D8">
        <w:rPr>
          <w:lang w:eastAsia="en-US"/>
        </w:rPr>
        <w:t>The department is building on the Queensland Government’s commitment to reframe the relationship with Aboriginal</w:t>
      </w:r>
      <w:r w:rsidR="004C7FBB" w:rsidRPr="00BD77D8">
        <w:rPr>
          <w:lang w:eastAsia="en-US"/>
        </w:rPr>
        <w:t xml:space="preserve"> peoples</w:t>
      </w:r>
      <w:r w:rsidRPr="00BD77D8">
        <w:rPr>
          <w:lang w:eastAsia="en-US"/>
        </w:rPr>
        <w:t xml:space="preserve"> and Torres Strait Islander peoples through Indigenous Voice, which will provide First Nations Queenslanders </w:t>
      </w:r>
      <w:r w:rsidR="001F264E" w:rsidRPr="00BD77D8">
        <w:rPr>
          <w:lang w:eastAsia="en-US"/>
        </w:rPr>
        <w:t xml:space="preserve">with </w:t>
      </w:r>
      <w:r w:rsidRPr="00BD77D8">
        <w:rPr>
          <w:lang w:eastAsia="en-US"/>
        </w:rPr>
        <w:t>a greater say on issues that matter most to them</w:t>
      </w:r>
      <w:r w:rsidR="003D215E" w:rsidRPr="00BD77D8">
        <w:rPr>
          <w:lang w:eastAsia="en-US"/>
        </w:rPr>
        <w:t>.</w:t>
      </w:r>
    </w:p>
    <w:p w14:paraId="0A87DEFE" w14:textId="7F0BD568" w:rsidR="00D11294" w:rsidRPr="00BD77D8" w:rsidRDefault="00D11294" w:rsidP="00D11294">
      <w:pPr>
        <w:rPr>
          <w:lang w:eastAsia="en-US"/>
        </w:rPr>
      </w:pPr>
      <w:r w:rsidRPr="00BD77D8">
        <w:rPr>
          <w:lang w:eastAsia="en-US"/>
        </w:rPr>
        <w:t xml:space="preserve">A First Nations Consultative Committee has been established to co-design an Indigenous Voice model for Queensland informed by Aboriginal </w:t>
      </w:r>
      <w:r w:rsidR="004C7FBB" w:rsidRPr="00BD77D8">
        <w:rPr>
          <w:lang w:eastAsia="en-US"/>
        </w:rPr>
        <w:t xml:space="preserve">peoples </w:t>
      </w:r>
      <w:r w:rsidRPr="00BD77D8">
        <w:rPr>
          <w:lang w:eastAsia="en-US"/>
        </w:rPr>
        <w:t>and Torres Strait Islander peoples</w:t>
      </w:r>
      <w:r w:rsidR="00892255" w:rsidRPr="00BD77D8">
        <w:rPr>
          <w:lang w:eastAsia="en-US"/>
        </w:rPr>
        <w:t>’</w:t>
      </w:r>
      <w:r w:rsidRPr="00BD77D8">
        <w:rPr>
          <w:lang w:eastAsia="en-US"/>
        </w:rPr>
        <w:t xml:space="preserve"> views and aspirations. The Committee will draw on their experience and expertise to consider a range of Indigenous Voice options, including the establishment of</w:t>
      </w:r>
      <w:r w:rsidR="00BC38E9" w:rsidRPr="00BD77D8">
        <w:rPr>
          <w:lang w:eastAsia="en-US"/>
        </w:rPr>
        <w:t xml:space="preserve"> a</w:t>
      </w:r>
      <w:r w:rsidRPr="00BD77D8">
        <w:rPr>
          <w:lang w:eastAsia="en-US"/>
        </w:rPr>
        <w:t xml:space="preserve"> </w:t>
      </w:r>
      <w:proofErr w:type="spellStart"/>
      <w:r w:rsidRPr="00BD77D8">
        <w:rPr>
          <w:lang w:eastAsia="en-US"/>
        </w:rPr>
        <w:t>statewide</w:t>
      </w:r>
      <w:proofErr w:type="spellEnd"/>
      <w:r w:rsidRPr="00BD77D8">
        <w:rPr>
          <w:lang w:eastAsia="en-US"/>
        </w:rPr>
        <w:t xml:space="preserve"> Indigenous Voice body. </w:t>
      </w:r>
    </w:p>
    <w:p w14:paraId="029729CC" w14:textId="77777777" w:rsidR="00B53EDB" w:rsidRPr="00BD77D8" w:rsidRDefault="00B53EDB" w:rsidP="00B53EDB">
      <w:pPr>
        <w:rPr>
          <w:lang w:eastAsia="en-US"/>
        </w:rPr>
      </w:pPr>
      <w:r w:rsidRPr="00BD77D8">
        <w:rPr>
          <w:lang w:eastAsia="en-US"/>
        </w:rPr>
        <w:t xml:space="preserve">Committee members represent eight regions across the state and include Mrs Patricia Lees AM (Gulf and West), Mr Edward Smallwood (North Queensland), Mr Terry </w:t>
      </w:r>
      <w:proofErr w:type="spellStart"/>
      <w:r w:rsidRPr="00BD77D8">
        <w:rPr>
          <w:lang w:eastAsia="en-US"/>
        </w:rPr>
        <w:t>O’Shane</w:t>
      </w:r>
      <w:proofErr w:type="spellEnd"/>
      <w:r w:rsidRPr="00BD77D8">
        <w:rPr>
          <w:lang w:eastAsia="en-US"/>
        </w:rPr>
        <w:t xml:space="preserve"> (Far North Queensland), Ms Karen Dini</w:t>
      </w:r>
      <w:r w:rsidRPr="00BD77D8">
        <w:rPr>
          <w:lang w:eastAsia="en-US"/>
        </w:rPr>
        <w:noBreakHyphen/>
        <w:t xml:space="preserve">Paul (Cape York Peninsula), Ms Kerry </w:t>
      </w:r>
      <w:proofErr w:type="spellStart"/>
      <w:r w:rsidRPr="00BD77D8">
        <w:rPr>
          <w:lang w:eastAsia="en-US"/>
        </w:rPr>
        <w:t>Crumblin</w:t>
      </w:r>
      <w:proofErr w:type="spellEnd"/>
      <w:r w:rsidRPr="00BD77D8">
        <w:rPr>
          <w:lang w:eastAsia="en-US"/>
        </w:rPr>
        <w:t xml:space="preserve"> (Southwest), Mr Cameron Costello (Southeast), Mr Joshua Gorringe (Central Queensland), and Ms </w:t>
      </w:r>
      <w:proofErr w:type="spellStart"/>
      <w:r w:rsidRPr="00BD77D8">
        <w:rPr>
          <w:lang w:eastAsia="en-US"/>
        </w:rPr>
        <w:t>Talei</w:t>
      </w:r>
      <w:proofErr w:type="spellEnd"/>
      <w:r w:rsidRPr="00BD77D8">
        <w:rPr>
          <w:lang w:eastAsia="en-US"/>
        </w:rPr>
        <w:t xml:space="preserve"> Elu (Torres Strait). </w:t>
      </w:r>
    </w:p>
    <w:p w14:paraId="19994307" w14:textId="3C51D57E" w:rsidR="00D11294" w:rsidRPr="00BD77D8" w:rsidRDefault="00D11294" w:rsidP="00D11294">
      <w:pPr>
        <w:rPr>
          <w:lang w:eastAsia="en-US"/>
        </w:rPr>
      </w:pPr>
      <w:r w:rsidRPr="00BD77D8">
        <w:rPr>
          <w:lang w:eastAsia="en-US"/>
        </w:rPr>
        <w:t>The Committee’s work will inform Queensland’s continued input to the national Indigenous Voice process and link with existing and emerging voice structures, including those provided through L</w:t>
      </w:r>
      <w:r w:rsidR="00B53EDB" w:rsidRPr="00BD77D8">
        <w:rPr>
          <w:lang w:eastAsia="en-US"/>
        </w:rPr>
        <w:t>TC</w:t>
      </w:r>
      <w:r w:rsidRPr="00BD77D8">
        <w:rPr>
          <w:lang w:eastAsia="en-US"/>
        </w:rPr>
        <w:t>, Path to Treaty and Closing the Gap.</w:t>
      </w:r>
    </w:p>
    <w:p w14:paraId="7341C5AD" w14:textId="27AD33CB" w:rsidR="00D67523" w:rsidRPr="00BD77D8" w:rsidRDefault="00D67523" w:rsidP="00D2663B">
      <w:pPr>
        <w:spacing w:after="120" w:line="240" w:lineRule="auto"/>
        <w:rPr>
          <w:b/>
          <w:bCs/>
        </w:rPr>
      </w:pPr>
      <w:bookmarkStart w:id="150" w:name="_Hlk112837192"/>
      <w:r w:rsidRPr="00BD77D8">
        <w:rPr>
          <w:b/>
          <w:bCs/>
        </w:rPr>
        <w:t xml:space="preserve">Key achievements </w:t>
      </w:r>
    </w:p>
    <w:p w14:paraId="3D496F5D" w14:textId="77777777" w:rsidR="00D67523" w:rsidRPr="00BD77D8" w:rsidRDefault="00D67523" w:rsidP="00D2663B">
      <w:pPr>
        <w:spacing w:after="120" w:line="240" w:lineRule="auto"/>
        <w:rPr>
          <w:bCs/>
          <w:lang w:eastAsia="en-US"/>
        </w:rPr>
      </w:pPr>
      <w:r w:rsidRPr="00BD77D8">
        <w:rPr>
          <w:bCs/>
          <w:lang w:eastAsia="en-US"/>
        </w:rPr>
        <w:t>During the reporting period, the department:</w:t>
      </w:r>
    </w:p>
    <w:p w14:paraId="1564EB62" w14:textId="1E7C18CA" w:rsidR="00D67523" w:rsidRPr="00BD77D8" w:rsidRDefault="00D11294" w:rsidP="00A463E0">
      <w:pPr>
        <w:pStyle w:val="ListBullet"/>
        <w:numPr>
          <w:ilvl w:val="0"/>
          <w:numId w:val="48"/>
        </w:numPr>
      </w:pPr>
      <w:r w:rsidRPr="00BD77D8">
        <w:t>undertook a public Expression of Interest process in late 2021 for membership</w:t>
      </w:r>
      <w:r w:rsidR="00327231" w:rsidRPr="00BD77D8">
        <w:t xml:space="preserve"> on</w:t>
      </w:r>
      <w:r w:rsidRPr="00BD77D8">
        <w:t xml:space="preserve"> the </w:t>
      </w:r>
      <w:r w:rsidR="00BC38E9" w:rsidRPr="00BD77D8">
        <w:t xml:space="preserve">First Nations Consultative </w:t>
      </w:r>
      <w:r w:rsidRPr="00BD77D8">
        <w:t>Committee</w:t>
      </w:r>
      <w:r w:rsidR="00327231" w:rsidRPr="00BD77D8">
        <w:t>.</w:t>
      </w:r>
    </w:p>
    <w:p w14:paraId="023C9862" w14:textId="77777777" w:rsidR="001D35E6" w:rsidRPr="00BD77D8" w:rsidRDefault="001D35E6" w:rsidP="0018616D">
      <w:pPr>
        <w:pStyle w:val="Heading3"/>
      </w:pPr>
      <w:bookmarkStart w:id="151" w:name="_Toc78287365"/>
      <w:bookmarkStart w:id="152" w:name="_Toc78355772"/>
      <w:bookmarkStart w:id="153" w:name="_Hlk112837298"/>
      <w:bookmarkStart w:id="154" w:name="_Hlk78185754"/>
      <w:bookmarkStart w:id="155" w:name="_Toc78287368"/>
      <w:bookmarkStart w:id="156" w:name="_Toc78355775"/>
      <w:bookmarkEnd w:id="150"/>
      <w:r w:rsidRPr="00BD77D8">
        <w:t>Implementing the new National Agreement on Closing the Gap</w:t>
      </w:r>
      <w:bookmarkEnd w:id="151"/>
      <w:bookmarkEnd w:id="152"/>
    </w:p>
    <w:bookmarkEnd w:id="153"/>
    <w:p w14:paraId="4D321A03" w14:textId="19F97F7A" w:rsidR="001D35E6" w:rsidRPr="00BD77D8" w:rsidRDefault="001D35E6" w:rsidP="001D35E6">
      <w:pPr>
        <w:rPr>
          <w:lang w:eastAsia="en-US"/>
        </w:rPr>
      </w:pPr>
      <w:r w:rsidRPr="00BD77D8">
        <w:rPr>
          <w:lang w:eastAsia="en-US"/>
        </w:rPr>
        <w:t xml:space="preserve">The </w:t>
      </w:r>
      <w:r w:rsidRPr="00BD77D8">
        <w:rPr>
          <w:i/>
          <w:lang w:eastAsia="en-US"/>
        </w:rPr>
        <w:t xml:space="preserve">National Agreement on Closing the Gap </w:t>
      </w:r>
      <w:r w:rsidRPr="00BD77D8">
        <w:rPr>
          <w:iCs/>
          <w:lang w:eastAsia="en-US"/>
        </w:rPr>
        <w:t>(National Agreement),</w:t>
      </w:r>
      <w:r w:rsidRPr="00BD77D8">
        <w:rPr>
          <w:lang w:eastAsia="en-US"/>
        </w:rPr>
        <w:t xml:space="preserve"> signed by the Queensland Government, was launched on 30 July 2020. The National Agreement commits governments to building the capability and capacity of the community-controlled sector, recognising that this is critical to improving life outcomes for Aboriginal </w:t>
      </w:r>
      <w:r w:rsidR="004C7FBB" w:rsidRPr="00BD77D8">
        <w:rPr>
          <w:lang w:eastAsia="en-US"/>
        </w:rPr>
        <w:t xml:space="preserve">peoples </w:t>
      </w:r>
      <w:r w:rsidRPr="00BD77D8">
        <w:rPr>
          <w:lang w:eastAsia="en-US"/>
        </w:rPr>
        <w:t>and Torres Strait Islander peoples by ensuring that self-determination and equity are the underpinning principles for driving change.</w:t>
      </w:r>
      <w:bookmarkEnd w:id="154"/>
    </w:p>
    <w:p w14:paraId="22807A04" w14:textId="77777777" w:rsidR="00191381" w:rsidRPr="00BD77D8" w:rsidRDefault="00191381" w:rsidP="00D2663B">
      <w:pPr>
        <w:spacing w:after="120" w:line="240" w:lineRule="auto"/>
        <w:rPr>
          <w:b/>
          <w:bCs/>
          <w:lang w:eastAsia="en-US"/>
        </w:rPr>
      </w:pPr>
      <w:bookmarkStart w:id="157" w:name="_Hlk112837286"/>
      <w:r w:rsidRPr="00BD77D8">
        <w:rPr>
          <w:b/>
          <w:bCs/>
          <w:lang w:eastAsia="en-US"/>
        </w:rPr>
        <w:t xml:space="preserve">Key achievements </w:t>
      </w:r>
    </w:p>
    <w:p w14:paraId="35D5A72C" w14:textId="77777777" w:rsidR="00191381" w:rsidRPr="00BD77D8" w:rsidRDefault="00191381" w:rsidP="00D2663B">
      <w:pPr>
        <w:spacing w:after="120" w:line="240" w:lineRule="auto"/>
        <w:rPr>
          <w:lang w:eastAsia="en-US"/>
        </w:rPr>
      </w:pPr>
      <w:bookmarkStart w:id="158" w:name="_Hlk112837324"/>
      <w:bookmarkEnd w:id="157"/>
      <w:r w:rsidRPr="00BD77D8">
        <w:rPr>
          <w:lang w:eastAsia="en-US"/>
        </w:rPr>
        <w:t>During the reporting period, the department:</w:t>
      </w:r>
    </w:p>
    <w:p w14:paraId="607B13E8" w14:textId="1E0B5F4A" w:rsidR="00191381" w:rsidRPr="00BD77D8" w:rsidRDefault="00191381" w:rsidP="00A463E0">
      <w:pPr>
        <w:pStyle w:val="ListBullet"/>
        <w:numPr>
          <w:ilvl w:val="0"/>
          <w:numId w:val="47"/>
        </w:numPr>
      </w:pPr>
      <w:r w:rsidRPr="00BD77D8">
        <w:t xml:space="preserve">released Queensland’s 2021 Closing the Gap implementation plan </w:t>
      </w:r>
    </w:p>
    <w:p w14:paraId="7366AF10" w14:textId="77777777" w:rsidR="00235265" w:rsidRPr="00BD77D8" w:rsidRDefault="00F626F6" w:rsidP="00A463E0">
      <w:pPr>
        <w:pStyle w:val="ListBullet"/>
        <w:numPr>
          <w:ilvl w:val="0"/>
          <w:numId w:val="47"/>
        </w:numPr>
      </w:pPr>
      <w:r w:rsidRPr="00BD77D8">
        <w:t>provided funding of $0.255 million in 2021-2022 out of a total of</w:t>
      </w:r>
      <w:r w:rsidR="00191381" w:rsidRPr="00BD77D8">
        <w:t xml:space="preserve"> $2.43 million over four years to support the </w:t>
      </w:r>
      <w:r w:rsidRPr="00BD77D8">
        <w:t xml:space="preserve">support the </w:t>
      </w:r>
      <w:r w:rsidR="00191381" w:rsidRPr="00BD77D8">
        <w:t>Queensland Aboriginal and Torres Strait Islander Coalition to co</w:t>
      </w:r>
      <w:r w:rsidR="00CC190C" w:rsidRPr="00BD77D8">
        <w:t>-</w:t>
      </w:r>
      <w:r w:rsidR="00191381" w:rsidRPr="00BD77D8">
        <w:t>design Queensland’s implementation plans and broader Closing the Gap initiatives</w:t>
      </w:r>
    </w:p>
    <w:p w14:paraId="1B85A11E" w14:textId="4D99DCD5" w:rsidR="00191381" w:rsidRPr="00BD77D8" w:rsidRDefault="00235265" w:rsidP="00A463E0">
      <w:pPr>
        <w:pStyle w:val="ListBullet"/>
        <w:numPr>
          <w:ilvl w:val="0"/>
          <w:numId w:val="47"/>
        </w:numPr>
      </w:pPr>
      <w:bookmarkStart w:id="159" w:name="_Hlk115261307"/>
      <w:r w:rsidRPr="00BD77D8">
        <w:lastRenderedPageBreak/>
        <w:t>supported Ministerial contribution</w:t>
      </w:r>
      <w:r w:rsidR="00E85121" w:rsidRPr="00BD77D8">
        <w:t>s</w:t>
      </w:r>
      <w:r w:rsidRPr="00BD77D8">
        <w:t xml:space="preserve"> to the Joint Council on Closing the Gap, and the</w:t>
      </w:r>
      <w:r w:rsidR="00E85121" w:rsidRPr="00BD77D8">
        <w:t xml:space="preserve"> </w:t>
      </w:r>
      <w:bookmarkStart w:id="160" w:name="_Hlk115261879"/>
      <w:r w:rsidR="00E85121" w:rsidRPr="00BD77D8">
        <w:t>National Federation Reform Council</w:t>
      </w:r>
      <w:bookmarkEnd w:id="160"/>
      <w:r w:rsidR="00E85121" w:rsidRPr="00BD77D8">
        <w:t xml:space="preserve"> -</w:t>
      </w:r>
      <w:r w:rsidRPr="00BD77D8">
        <w:t xml:space="preserve"> Indigenous Affairs Taskforce</w:t>
      </w:r>
      <w:r w:rsidR="00327231" w:rsidRPr="00BD77D8">
        <w:t>.</w:t>
      </w:r>
    </w:p>
    <w:bookmarkEnd w:id="158"/>
    <w:bookmarkEnd w:id="159"/>
    <w:p w14:paraId="474B0906" w14:textId="2A5800E7" w:rsidR="001D35E6" w:rsidRPr="00BD77D8" w:rsidRDefault="001D35E6" w:rsidP="001D35E6">
      <w:pPr>
        <w:rPr>
          <w:lang w:eastAsia="en-US"/>
        </w:rPr>
      </w:pPr>
      <w:r w:rsidRPr="00BD77D8">
        <w:rPr>
          <w:lang w:eastAsia="en-US"/>
        </w:rPr>
        <w:t xml:space="preserve">Information about the implementation plan and progress report can be found on the department’s internet site: </w:t>
      </w:r>
      <w:hyperlink r:id="rId27" w:history="1">
        <w:r w:rsidRPr="00BD77D8">
          <w:rPr>
            <w:rStyle w:val="Hyperlink"/>
            <w:color w:val="auto"/>
            <w:lang w:eastAsia="en-US"/>
          </w:rPr>
          <w:t>https://www.dsdsatsip.qld.gov.au/our-work/aboriginal-torres-strait-islander-partnerships/reconciliation-tracks-treaty/closing-gap</w:t>
        </w:r>
      </w:hyperlink>
    </w:p>
    <w:p w14:paraId="584BCED2" w14:textId="161CB0B2" w:rsidR="00851AE1" w:rsidRPr="00BD77D8" w:rsidRDefault="00851AE1" w:rsidP="007524AB">
      <w:pPr>
        <w:pStyle w:val="Heading3"/>
      </w:pPr>
      <w:bookmarkStart w:id="161" w:name="_Hlk112837360"/>
      <w:r w:rsidRPr="00BD77D8">
        <w:t>Aboriginal and Torres Strait Islander cultural heritage</w:t>
      </w:r>
      <w:bookmarkEnd w:id="142"/>
      <w:bookmarkEnd w:id="155"/>
      <w:bookmarkEnd w:id="156"/>
    </w:p>
    <w:bookmarkEnd w:id="161"/>
    <w:p w14:paraId="6F4A3204" w14:textId="7379CBF9" w:rsidR="00851AE1" w:rsidRPr="00BD77D8" w:rsidRDefault="00851AE1" w:rsidP="00D83B53">
      <w:pPr>
        <w:rPr>
          <w:rFonts w:eastAsia="Calibri"/>
          <w:lang w:val="en-US" w:eastAsia="en-US"/>
        </w:rPr>
      </w:pPr>
      <w:r w:rsidRPr="00BD77D8">
        <w:rPr>
          <w:rFonts w:eastAsia="Calibri"/>
          <w:spacing w:val="-2"/>
          <w:lang w:val="en-US" w:eastAsia="en-US"/>
        </w:rPr>
        <w:t>The department</w:t>
      </w:r>
      <w:r w:rsidR="0002730C" w:rsidRPr="00BD77D8">
        <w:rPr>
          <w:rFonts w:eastAsia="Calibri"/>
          <w:spacing w:val="-2"/>
          <w:lang w:val="en-US" w:eastAsia="en-US"/>
        </w:rPr>
        <w:t>,</w:t>
      </w:r>
      <w:r w:rsidR="00EE20B5" w:rsidRPr="00BD77D8">
        <w:rPr>
          <w:rFonts w:eastAsia="Calibri"/>
          <w:spacing w:val="-2"/>
          <w:lang w:val="en-US" w:eastAsia="en-US"/>
        </w:rPr>
        <w:t xml:space="preserve"> </w:t>
      </w:r>
      <w:r w:rsidR="00BD46AC" w:rsidRPr="00BD77D8">
        <w:rPr>
          <w:rFonts w:eastAsia="Calibri"/>
          <w:spacing w:val="-2"/>
          <w:lang w:val="en-US" w:eastAsia="en-US"/>
        </w:rPr>
        <w:t>through the administration of</w:t>
      </w:r>
      <w:r w:rsidRPr="00BD77D8">
        <w:rPr>
          <w:rFonts w:eastAsia="Calibri"/>
          <w:spacing w:val="-2"/>
          <w:lang w:val="en-US" w:eastAsia="en-US"/>
        </w:rPr>
        <w:t xml:space="preserve"> the</w:t>
      </w:r>
      <w:r w:rsidRPr="00BD77D8">
        <w:rPr>
          <w:rFonts w:eastAsia="Calibri"/>
          <w:lang w:val="en-US" w:eastAsia="en-US"/>
        </w:rPr>
        <w:t xml:space="preserve"> </w:t>
      </w:r>
      <w:r w:rsidRPr="00BD77D8">
        <w:rPr>
          <w:rFonts w:eastAsia="Calibri"/>
          <w:i/>
          <w:lang w:val="en-US" w:eastAsia="en-US"/>
        </w:rPr>
        <w:t>Aboriginal</w:t>
      </w:r>
      <w:r w:rsidRPr="00BD77D8">
        <w:rPr>
          <w:rFonts w:eastAsia="Calibri"/>
          <w:i/>
          <w:spacing w:val="-9"/>
          <w:lang w:val="en-US" w:eastAsia="en-US"/>
        </w:rPr>
        <w:t xml:space="preserve"> </w:t>
      </w:r>
      <w:r w:rsidRPr="00BD77D8">
        <w:rPr>
          <w:rFonts w:eastAsia="Calibri"/>
          <w:i/>
          <w:spacing w:val="-2"/>
          <w:lang w:val="en-US" w:eastAsia="en-US"/>
        </w:rPr>
        <w:t>C</w:t>
      </w:r>
      <w:r w:rsidRPr="00BD77D8">
        <w:rPr>
          <w:rFonts w:eastAsia="Calibri"/>
          <w:i/>
          <w:spacing w:val="-3"/>
          <w:lang w:val="en-US" w:eastAsia="en-US"/>
        </w:rPr>
        <w:t>ult</w:t>
      </w:r>
      <w:r w:rsidRPr="00BD77D8">
        <w:rPr>
          <w:rFonts w:eastAsia="Calibri"/>
          <w:i/>
          <w:spacing w:val="-2"/>
          <w:lang w:val="en-US" w:eastAsia="en-US"/>
        </w:rPr>
        <w:t>ur</w:t>
      </w:r>
      <w:r w:rsidRPr="00BD77D8">
        <w:rPr>
          <w:rFonts w:eastAsia="Calibri"/>
          <w:i/>
          <w:spacing w:val="-3"/>
          <w:lang w:val="en-US" w:eastAsia="en-US"/>
        </w:rPr>
        <w:t>a</w:t>
      </w:r>
      <w:r w:rsidRPr="00BD77D8">
        <w:rPr>
          <w:rFonts w:eastAsia="Calibri"/>
          <w:i/>
          <w:spacing w:val="-2"/>
          <w:lang w:val="en-US" w:eastAsia="en-US"/>
        </w:rPr>
        <w:t>l</w:t>
      </w:r>
      <w:r w:rsidRPr="00BD77D8">
        <w:rPr>
          <w:rFonts w:eastAsia="Calibri"/>
          <w:i/>
          <w:spacing w:val="-8"/>
          <w:lang w:val="en-US" w:eastAsia="en-US"/>
        </w:rPr>
        <w:t xml:space="preserve"> </w:t>
      </w:r>
      <w:r w:rsidRPr="00BD77D8">
        <w:rPr>
          <w:rFonts w:eastAsia="Calibri"/>
          <w:i/>
          <w:spacing w:val="-2"/>
          <w:lang w:val="en-US" w:eastAsia="en-US"/>
        </w:rPr>
        <w:t>Herita</w:t>
      </w:r>
      <w:r w:rsidRPr="00BD77D8">
        <w:rPr>
          <w:rFonts w:eastAsia="Calibri"/>
          <w:i/>
          <w:spacing w:val="-1"/>
          <w:lang w:val="en-US" w:eastAsia="en-US"/>
        </w:rPr>
        <w:t>ge</w:t>
      </w:r>
      <w:r w:rsidRPr="00BD77D8">
        <w:rPr>
          <w:rFonts w:eastAsia="Calibri"/>
          <w:i/>
          <w:spacing w:val="-8"/>
          <w:lang w:val="en-US" w:eastAsia="en-US"/>
        </w:rPr>
        <w:t xml:space="preserve"> </w:t>
      </w:r>
      <w:r w:rsidRPr="00BD77D8">
        <w:rPr>
          <w:rFonts w:eastAsia="Calibri"/>
          <w:i/>
          <w:lang w:val="en-US" w:eastAsia="en-US"/>
        </w:rPr>
        <w:t>Act</w:t>
      </w:r>
      <w:r w:rsidRPr="00BD77D8">
        <w:rPr>
          <w:rFonts w:eastAsia="Calibri"/>
          <w:i/>
          <w:spacing w:val="-10"/>
          <w:lang w:val="en-US" w:eastAsia="en-US"/>
        </w:rPr>
        <w:t xml:space="preserve"> </w:t>
      </w:r>
      <w:r w:rsidRPr="00BD77D8">
        <w:rPr>
          <w:rFonts w:eastAsia="Calibri"/>
          <w:i/>
          <w:spacing w:val="-3"/>
          <w:lang w:val="en-US" w:eastAsia="en-US"/>
        </w:rPr>
        <w:t>200</w:t>
      </w:r>
      <w:r w:rsidRPr="00BD77D8">
        <w:rPr>
          <w:rFonts w:eastAsia="Calibri"/>
          <w:i/>
          <w:spacing w:val="-4"/>
          <w:lang w:val="en-US" w:eastAsia="en-US"/>
        </w:rPr>
        <w:t>3</w:t>
      </w:r>
      <w:r w:rsidRPr="00BD77D8">
        <w:rPr>
          <w:rFonts w:eastAsia="Calibri"/>
          <w:i/>
          <w:spacing w:val="-8"/>
          <w:lang w:val="en-US" w:eastAsia="en-US"/>
        </w:rPr>
        <w:t xml:space="preserve"> </w:t>
      </w:r>
      <w:r w:rsidRPr="00BD77D8">
        <w:rPr>
          <w:rFonts w:eastAsia="Calibri"/>
          <w:lang w:val="en-US" w:eastAsia="en-US"/>
        </w:rPr>
        <w:t>and</w:t>
      </w:r>
      <w:r w:rsidRPr="00BD77D8">
        <w:rPr>
          <w:rFonts w:eastAsia="Calibri"/>
          <w:spacing w:val="-9"/>
          <w:lang w:val="en-US" w:eastAsia="en-US"/>
        </w:rPr>
        <w:t xml:space="preserve"> </w:t>
      </w:r>
      <w:r w:rsidRPr="00BD77D8">
        <w:rPr>
          <w:rFonts w:eastAsia="Calibri"/>
          <w:lang w:val="en-US" w:eastAsia="en-US"/>
        </w:rPr>
        <w:t>the</w:t>
      </w:r>
      <w:r w:rsidRPr="00BD77D8">
        <w:rPr>
          <w:rFonts w:eastAsia="Calibri"/>
          <w:spacing w:val="-7"/>
          <w:lang w:val="en-US" w:eastAsia="en-US"/>
        </w:rPr>
        <w:t xml:space="preserve"> </w:t>
      </w:r>
      <w:r w:rsidRPr="00BD77D8">
        <w:rPr>
          <w:rFonts w:eastAsia="Calibri"/>
          <w:i/>
          <w:spacing w:val="-3"/>
          <w:lang w:val="en-US" w:eastAsia="en-US"/>
        </w:rPr>
        <w:t>Torre</w:t>
      </w:r>
      <w:r w:rsidRPr="00BD77D8">
        <w:rPr>
          <w:rFonts w:eastAsia="Calibri"/>
          <w:i/>
          <w:spacing w:val="-2"/>
          <w:lang w:val="en-US" w:eastAsia="en-US"/>
        </w:rPr>
        <w:t>s</w:t>
      </w:r>
      <w:r w:rsidRPr="00BD77D8">
        <w:rPr>
          <w:rFonts w:eastAsia="Calibri"/>
          <w:i/>
          <w:spacing w:val="-10"/>
          <w:lang w:val="en-US" w:eastAsia="en-US"/>
        </w:rPr>
        <w:t xml:space="preserve"> </w:t>
      </w:r>
      <w:r w:rsidRPr="00BD77D8">
        <w:rPr>
          <w:rFonts w:eastAsia="Calibri"/>
          <w:i/>
          <w:spacing w:val="-2"/>
          <w:lang w:val="en-US" w:eastAsia="en-US"/>
        </w:rPr>
        <w:t>S</w:t>
      </w:r>
      <w:r w:rsidRPr="00BD77D8">
        <w:rPr>
          <w:rFonts w:eastAsia="Calibri"/>
          <w:i/>
          <w:spacing w:val="-3"/>
          <w:lang w:val="en-US" w:eastAsia="en-US"/>
        </w:rPr>
        <w:t>trait</w:t>
      </w:r>
      <w:r w:rsidRPr="00BD77D8">
        <w:rPr>
          <w:rFonts w:eastAsia="Calibri"/>
          <w:i/>
          <w:spacing w:val="45"/>
          <w:w w:val="93"/>
          <w:lang w:val="en-US" w:eastAsia="en-US"/>
        </w:rPr>
        <w:t xml:space="preserve"> </w:t>
      </w:r>
      <w:r w:rsidRPr="00BD77D8">
        <w:rPr>
          <w:rFonts w:eastAsia="Calibri"/>
          <w:i/>
          <w:spacing w:val="-1"/>
          <w:lang w:val="en-US" w:eastAsia="en-US"/>
        </w:rPr>
        <w:t>Islander</w:t>
      </w:r>
      <w:r w:rsidRPr="00BD77D8">
        <w:rPr>
          <w:rFonts w:eastAsia="Calibri"/>
          <w:i/>
          <w:spacing w:val="-14"/>
          <w:lang w:val="en-US" w:eastAsia="en-US"/>
        </w:rPr>
        <w:t xml:space="preserve"> </w:t>
      </w:r>
      <w:r w:rsidRPr="00BD77D8">
        <w:rPr>
          <w:rFonts w:eastAsia="Calibri"/>
          <w:i/>
          <w:spacing w:val="-2"/>
          <w:lang w:val="en-US" w:eastAsia="en-US"/>
        </w:rPr>
        <w:t>C</w:t>
      </w:r>
      <w:r w:rsidRPr="00BD77D8">
        <w:rPr>
          <w:rFonts w:eastAsia="Calibri"/>
          <w:i/>
          <w:spacing w:val="-3"/>
          <w:lang w:val="en-US" w:eastAsia="en-US"/>
        </w:rPr>
        <w:t>ult</w:t>
      </w:r>
      <w:r w:rsidRPr="00BD77D8">
        <w:rPr>
          <w:rFonts w:eastAsia="Calibri"/>
          <w:i/>
          <w:spacing w:val="-2"/>
          <w:lang w:val="en-US" w:eastAsia="en-US"/>
        </w:rPr>
        <w:t>ur</w:t>
      </w:r>
      <w:r w:rsidRPr="00BD77D8">
        <w:rPr>
          <w:rFonts w:eastAsia="Calibri"/>
          <w:i/>
          <w:spacing w:val="-3"/>
          <w:lang w:val="en-US" w:eastAsia="en-US"/>
        </w:rPr>
        <w:t>a</w:t>
      </w:r>
      <w:r w:rsidRPr="00BD77D8">
        <w:rPr>
          <w:rFonts w:eastAsia="Calibri"/>
          <w:i/>
          <w:spacing w:val="-2"/>
          <w:lang w:val="en-US" w:eastAsia="en-US"/>
        </w:rPr>
        <w:t>l</w:t>
      </w:r>
      <w:r w:rsidRPr="00BD77D8">
        <w:rPr>
          <w:rFonts w:eastAsia="Calibri"/>
          <w:i/>
          <w:spacing w:val="-11"/>
          <w:lang w:val="en-US" w:eastAsia="en-US"/>
        </w:rPr>
        <w:t xml:space="preserve"> </w:t>
      </w:r>
      <w:r w:rsidRPr="00BD77D8">
        <w:rPr>
          <w:rFonts w:eastAsia="Calibri"/>
          <w:i/>
          <w:spacing w:val="-2"/>
          <w:lang w:val="en-US" w:eastAsia="en-US"/>
        </w:rPr>
        <w:t>Herita</w:t>
      </w:r>
      <w:r w:rsidRPr="00BD77D8">
        <w:rPr>
          <w:rFonts w:eastAsia="Calibri"/>
          <w:i/>
          <w:spacing w:val="-1"/>
          <w:lang w:val="en-US" w:eastAsia="en-US"/>
        </w:rPr>
        <w:t>ge</w:t>
      </w:r>
      <w:r w:rsidRPr="00BD77D8">
        <w:rPr>
          <w:rFonts w:eastAsia="Calibri"/>
          <w:i/>
          <w:spacing w:val="-10"/>
          <w:lang w:val="en-US" w:eastAsia="en-US"/>
        </w:rPr>
        <w:t xml:space="preserve"> </w:t>
      </w:r>
      <w:r w:rsidRPr="00BD77D8">
        <w:rPr>
          <w:rFonts w:eastAsia="Calibri"/>
          <w:i/>
          <w:lang w:val="en-US" w:eastAsia="en-US"/>
        </w:rPr>
        <w:t>Act</w:t>
      </w:r>
      <w:r w:rsidRPr="00BD77D8">
        <w:rPr>
          <w:rFonts w:eastAsia="Calibri"/>
          <w:i/>
          <w:spacing w:val="-12"/>
          <w:lang w:val="en-US" w:eastAsia="en-US"/>
        </w:rPr>
        <w:t xml:space="preserve"> </w:t>
      </w:r>
      <w:r w:rsidRPr="00BD77D8">
        <w:rPr>
          <w:rFonts w:eastAsia="Calibri"/>
          <w:i/>
          <w:spacing w:val="-3"/>
          <w:lang w:val="en-US" w:eastAsia="en-US"/>
        </w:rPr>
        <w:t>200</w:t>
      </w:r>
      <w:r w:rsidRPr="00BD77D8">
        <w:rPr>
          <w:rFonts w:eastAsia="Calibri"/>
          <w:i/>
          <w:spacing w:val="-4"/>
          <w:lang w:val="en-US" w:eastAsia="en-US"/>
        </w:rPr>
        <w:t>3</w:t>
      </w:r>
      <w:r w:rsidRPr="00BD77D8">
        <w:rPr>
          <w:rFonts w:eastAsia="Calibri"/>
          <w:i/>
          <w:spacing w:val="-10"/>
          <w:lang w:val="en-US" w:eastAsia="en-US"/>
        </w:rPr>
        <w:t xml:space="preserve"> </w:t>
      </w:r>
      <w:r w:rsidRPr="00BD77D8">
        <w:rPr>
          <w:rFonts w:eastAsia="Calibri"/>
          <w:lang w:val="en-US" w:eastAsia="en-US"/>
        </w:rPr>
        <w:t>(the</w:t>
      </w:r>
      <w:r w:rsidRPr="00BD77D8">
        <w:rPr>
          <w:rFonts w:eastAsia="Calibri"/>
          <w:spacing w:val="-10"/>
          <w:lang w:val="en-US" w:eastAsia="en-US"/>
        </w:rPr>
        <w:t xml:space="preserve"> </w:t>
      </w:r>
      <w:r w:rsidRPr="00BD77D8">
        <w:rPr>
          <w:rFonts w:eastAsia="Calibri"/>
          <w:spacing w:val="-2"/>
          <w:lang w:val="en-US" w:eastAsia="en-US"/>
        </w:rPr>
        <w:t>C</w:t>
      </w:r>
      <w:r w:rsidRPr="00BD77D8">
        <w:rPr>
          <w:rFonts w:eastAsia="Calibri"/>
          <w:spacing w:val="-3"/>
          <w:lang w:val="en-US" w:eastAsia="en-US"/>
        </w:rPr>
        <w:t>ultur</w:t>
      </w:r>
      <w:r w:rsidRPr="00BD77D8">
        <w:rPr>
          <w:rFonts w:eastAsia="Calibri"/>
          <w:spacing w:val="-2"/>
          <w:lang w:val="en-US" w:eastAsia="en-US"/>
        </w:rPr>
        <w:t>al</w:t>
      </w:r>
      <w:r w:rsidRPr="00BD77D8">
        <w:rPr>
          <w:rFonts w:eastAsia="Calibri"/>
          <w:spacing w:val="-11"/>
          <w:lang w:val="en-US" w:eastAsia="en-US"/>
        </w:rPr>
        <w:t xml:space="preserve"> </w:t>
      </w:r>
      <w:r w:rsidRPr="00BD77D8">
        <w:rPr>
          <w:rFonts w:eastAsia="Calibri"/>
          <w:spacing w:val="-2"/>
          <w:lang w:val="en-US" w:eastAsia="en-US"/>
        </w:rPr>
        <w:t>Herit</w:t>
      </w:r>
      <w:r w:rsidRPr="00BD77D8">
        <w:rPr>
          <w:rFonts w:eastAsia="Calibri"/>
          <w:spacing w:val="-1"/>
          <w:lang w:val="en-US" w:eastAsia="en-US"/>
        </w:rPr>
        <w:t xml:space="preserve">age </w:t>
      </w:r>
      <w:r w:rsidR="0002730C" w:rsidRPr="00BD77D8">
        <w:rPr>
          <w:rFonts w:eastAsia="Calibri"/>
          <w:lang w:val="en-US" w:eastAsia="en-US"/>
        </w:rPr>
        <w:t>Acts)</w:t>
      </w:r>
      <w:r w:rsidR="00810223" w:rsidRPr="00BD77D8">
        <w:rPr>
          <w:rFonts w:eastAsia="Calibri"/>
          <w:lang w:val="en-US" w:eastAsia="en-US"/>
        </w:rPr>
        <w:t>,</w:t>
      </w:r>
      <w:r w:rsidR="0002730C" w:rsidRPr="00BD77D8">
        <w:rPr>
          <w:rFonts w:eastAsia="Calibri"/>
          <w:lang w:val="en-US" w:eastAsia="en-US"/>
        </w:rPr>
        <w:t xml:space="preserve"> </w:t>
      </w:r>
      <w:r w:rsidR="00BD46AC" w:rsidRPr="00BD77D8">
        <w:rPr>
          <w:rFonts w:eastAsia="Calibri"/>
          <w:lang w:val="en-US" w:eastAsia="en-US"/>
        </w:rPr>
        <w:t xml:space="preserve">supports the </w:t>
      </w:r>
      <w:r w:rsidR="0002730C" w:rsidRPr="00BD77D8">
        <w:rPr>
          <w:rFonts w:eastAsia="Calibri"/>
          <w:lang w:val="en-US" w:eastAsia="en-US"/>
        </w:rPr>
        <w:t>recognition, protection and conservation of Aboriginal and Torres Strait Islander cultural heritage.</w:t>
      </w:r>
    </w:p>
    <w:p w14:paraId="6FB36590" w14:textId="3C06C447" w:rsidR="007E18ED" w:rsidRPr="00BD77D8" w:rsidRDefault="00851AE1" w:rsidP="007E18ED">
      <w:pPr>
        <w:rPr>
          <w:rFonts w:eastAsia="Calibri"/>
          <w:lang w:val="en-US" w:eastAsia="en-US"/>
        </w:rPr>
      </w:pPr>
      <w:r w:rsidRPr="00BD77D8">
        <w:rPr>
          <w:rFonts w:eastAsia="Calibri"/>
          <w:lang w:val="en-US" w:eastAsia="en-US"/>
        </w:rPr>
        <w:t>The</w:t>
      </w:r>
      <w:r w:rsidRPr="00BD77D8">
        <w:rPr>
          <w:rFonts w:eastAsia="Calibri"/>
          <w:spacing w:val="-11"/>
          <w:lang w:val="en-US" w:eastAsia="en-US"/>
        </w:rPr>
        <w:t xml:space="preserve"> </w:t>
      </w:r>
      <w:r w:rsidRPr="00BD77D8">
        <w:rPr>
          <w:rFonts w:eastAsia="Calibri"/>
          <w:spacing w:val="-2"/>
          <w:lang w:val="en-US" w:eastAsia="en-US"/>
        </w:rPr>
        <w:t>C</w:t>
      </w:r>
      <w:r w:rsidRPr="00BD77D8">
        <w:rPr>
          <w:rFonts w:eastAsia="Calibri"/>
          <w:spacing w:val="-3"/>
          <w:lang w:val="en-US" w:eastAsia="en-US"/>
        </w:rPr>
        <w:t>ultur</w:t>
      </w:r>
      <w:r w:rsidRPr="00BD77D8">
        <w:rPr>
          <w:rFonts w:eastAsia="Calibri"/>
          <w:spacing w:val="-2"/>
          <w:lang w:val="en-US" w:eastAsia="en-US"/>
        </w:rPr>
        <w:t>al</w:t>
      </w:r>
      <w:r w:rsidRPr="00BD77D8">
        <w:rPr>
          <w:rFonts w:eastAsia="Calibri"/>
          <w:spacing w:val="-13"/>
          <w:lang w:val="en-US" w:eastAsia="en-US"/>
        </w:rPr>
        <w:t xml:space="preserve"> </w:t>
      </w:r>
      <w:r w:rsidRPr="00BD77D8">
        <w:rPr>
          <w:rFonts w:eastAsia="Calibri"/>
          <w:spacing w:val="-2"/>
          <w:lang w:val="en-US" w:eastAsia="en-US"/>
        </w:rPr>
        <w:t>Herit</w:t>
      </w:r>
      <w:r w:rsidRPr="00BD77D8">
        <w:rPr>
          <w:rFonts w:eastAsia="Calibri"/>
          <w:spacing w:val="-1"/>
          <w:lang w:val="en-US" w:eastAsia="en-US"/>
        </w:rPr>
        <w:t>age</w:t>
      </w:r>
      <w:r w:rsidRPr="00BD77D8">
        <w:rPr>
          <w:rFonts w:eastAsia="Calibri"/>
          <w:spacing w:val="-11"/>
          <w:lang w:val="en-US" w:eastAsia="en-US"/>
        </w:rPr>
        <w:t xml:space="preserve"> </w:t>
      </w:r>
      <w:r w:rsidRPr="00BD77D8">
        <w:rPr>
          <w:rFonts w:eastAsia="Calibri"/>
          <w:lang w:val="en-US" w:eastAsia="en-US"/>
        </w:rPr>
        <w:t>Acts</w:t>
      </w:r>
      <w:r w:rsidRPr="00BD77D8">
        <w:rPr>
          <w:rFonts w:eastAsia="Calibri"/>
          <w:spacing w:val="-12"/>
          <w:lang w:val="en-US" w:eastAsia="en-US"/>
        </w:rPr>
        <w:t xml:space="preserve"> </w:t>
      </w:r>
      <w:r w:rsidRPr="00BD77D8">
        <w:rPr>
          <w:rFonts w:eastAsia="Calibri"/>
          <w:lang w:val="en-US" w:eastAsia="en-US"/>
        </w:rPr>
        <w:t>require</w:t>
      </w:r>
      <w:r w:rsidRPr="00BD77D8">
        <w:rPr>
          <w:rFonts w:eastAsia="Calibri"/>
          <w:spacing w:val="-11"/>
          <w:lang w:val="en-US" w:eastAsia="en-US"/>
        </w:rPr>
        <w:t xml:space="preserve"> </w:t>
      </w:r>
      <w:r w:rsidRPr="00BD77D8">
        <w:rPr>
          <w:rFonts w:eastAsia="Calibri"/>
          <w:spacing w:val="-1"/>
          <w:lang w:val="en-US" w:eastAsia="en-US"/>
        </w:rPr>
        <w:t>land</w:t>
      </w:r>
      <w:r w:rsidRPr="00BD77D8">
        <w:rPr>
          <w:rFonts w:eastAsia="Calibri"/>
          <w:spacing w:val="-12"/>
          <w:lang w:val="en-US" w:eastAsia="en-US"/>
        </w:rPr>
        <w:t xml:space="preserve"> </w:t>
      </w:r>
      <w:r w:rsidRPr="00BD77D8">
        <w:rPr>
          <w:rFonts w:eastAsia="Calibri"/>
          <w:spacing w:val="-1"/>
          <w:lang w:val="en-US" w:eastAsia="en-US"/>
        </w:rPr>
        <w:t>users</w:t>
      </w:r>
      <w:r w:rsidRPr="00BD77D8">
        <w:rPr>
          <w:rFonts w:eastAsia="Calibri"/>
          <w:spacing w:val="-13"/>
          <w:lang w:val="en-US" w:eastAsia="en-US"/>
        </w:rPr>
        <w:t xml:space="preserve"> </w:t>
      </w:r>
      <w:r w:rsidRPr="00BD77D8">
        <w:rPr>
          <w:rFonts w:eastAsia="Calibri"/>
          <w:spacing w:val="-2"/>
          <w:lang w:val="en-US" w:eastAsia="en-US"/>
        </w:rPr>
        <w:t>t</w:t>
      </w:r>
      <w:r w:rsidRPr="00BD77D8">
        <w:rPr>
          <w:rFonts w:eastAsia="Calibri"/>
          <w:spacing w:val="-1"/>
          <w:lang w:val="en-US" w:eastAsia="en-US"/>
        </w:rPr>
        <w:t>o</w:t>
      </w:r>
      <w:r w:rsidRPr="00BD77D8">
        <w:rPr>
          <w:rFonts w:eastAsia="Calibri"/>
          <w:spacing w:val="-10"/>
          <w:lang w:val="en-US" w:eastAsia="en-US"/>
        </w:rPr>
        <w:t xml:space="preserve"> </w:t>
      </w:r>
      <w:r w:rsidRPr="00BD77D8">
        <w:rPr>
          <w:rFonts w:eastAsia="Calibri"/>
          <w:spacing w:val="-2"/>
          <w:lang w:val="en-US" w:eastAsia="en-US"/>
        </w:rPr>
        <w:t>t</w:t>
      </w:r>
      <w:r w:rsidRPr="00BD77D8">
        <w:rPr>
          <w:rFonts w:eastAsia="Calibri"/>
          <w:spacing w:val="-1"/>
          <w:lang w:val="en-US" w:eastAsia="en-US"/>
        </w:rPr>
        <w:t>ake</w:t>
      </w:r>
      <w:r w:rsidRPr="00BD77D8">
        <w:rPr>
          <w:rFonts w:eastAsia="Calibri"/>
          <w:spacing w:val="-11"/>
          <w:lang w:val="en-US" w:eastAsia="en-US"/>
        </w:rPr>
        <w:t xml:space="preserve"> </w:t>
      </w:r>
      <w:r w:rsidRPr="00BD77D8">
        <w:rPr>
          <w:rFonts w:eastAsia="Calibri"/>
          <w:spacing w:val="-1"/>
          <w:lang w:val="en-US" w:eastAsia="en-US"/>
        </w:rPr>
        <w:t xml:space="preserve">all </w:t>
      </w:r>
      <w:r w:rsidRPr="00BD77D8">
        <w:rPr>
          <w:rFonts w:eastAsia="Calibri"/>
          <w:spacing w:val="-2"/>
          <w:lang w:val="en-US" w:eastAsia="en-US"/>
        </w:rPr>
        <w:t>re</w:t>
      </w:r>
      <w:r w:rsidRPr="00BD77D8">
        <w:rPr>
          <w:rFonts w:eastAsia="Calibri"/>
          <w:spacing w:val="-1"/>
          <w:lang w:val="en-US" w:eastAsia="en-US"/>
        </w:rPr>
        <w:t>asonabl</w:t>
      </w:r>
      <w:r w:rsidRPr="00BD77D8">
        <w:rPr>
          <w:rFonts w:eastAsia="Calibri"/>
          <w:spacing w:val="-2"/>
          <w:lang w:val="en-US" w:eastAsia="en-US"/>
        </w:rPr>
        <w:t>e</w:t>
      </w:r>
      <w:r w:rsidRPr="00BD77D8">
        <w:rPr>
          <w:rFonts w:eastAsia="Calibri"/>
          <w:spacing w:val="-11"/>
          <w:lang w:val="en-US" w:eastAsia="en-US"/>
        </w:rPr>
        <w:t xml:space="preserve"> </w:t>
      </w:r>
      <w:r w:rsidRPr="00BD77D8">
        <w:rPr>
          <w:rFonts w:eastAsia="Calibri"/>
          <w:lang w:val="en-US" w:eastAsia="en-US"/>
        </w:rPr>
        <w:t>and</w:t>
      </w:r>
      <w:r w:rsidRPr="00BD77D8">
        <w:rPr>
          <w:rFonts w:eastAsia="Calibri"/>
          <w:spacing w:val="-12"/>
          <w:lang w:val="en-US" w:eastAsia="en-US"/>
        </w:rPr>
        <w:t xml:space="preserve"> </w:t>
      </w:r>
      <w:r w:rsidRPr="00BD77D8">
        <w:rPr>
          <w:rFonts w:eastAsia="Calibri"/>
          <w:spacing w:val="-2"/>
          <w:lang w:val="en-US" w:eastAsia="en-US"/>
        </w:rPr>
        <w:t>pr</w:t>
      </w:r>
      <w:r w:rsidRPr="00BD77D8">
        <w:rPr>
          <w:rFonts w:eastAsia="Calibri"/>
          <w:spacing w:val="-1"/>
          <w:lang w:val="en-US" w:eastAsia="en-US"/>
        </w:rPr>
        <w:t>acticabl</w:t>
      </w:r>
      <w:r w:rsidRPr="00BD77D8">
        <w:rPr>
          <w:rFonts w:eastAsia="Calibri"/>
          <w:spacing w:val="-2"/>
          <w:lang w:val="en-US" w:eastAsia="en-US"/>
        </w:rPr>
        <w:t>e</w:t>
      </w:r>
      <w:r w:rsidRPr="00BD77D8">
        <w:rPr>
          <w:rFonts w:eastAsia="Calibri"/>
          <w:spacing w:val="-11"/>
          <w:lang w:val="en-US" w:eastAsia="en-US"/>
        </w:rPr>
        <w:t xml:space="preserve"> </w:t>
      </w:r>
      <w:r w:rsidRPr="00BD77D8">
        <w:rPr>
          <w:rFonts w:eastAsia="Calibri"/>
          <w:spacing w:val="-2"/>
          <w:lang w:val="en-US" w:eastAsia="en-US"/>
        </w:rPr>
        <w:t>me</w:t>
      </w:r>
      <w:r w:rsidRPr="00BD77D8">
        <w:rPr>
          <w:rFonts w:eastAsia="Calibri"/>
          <w:spacing w:val="-1"/>
          <w:lang w:val="en-US" w:eastAsia="en-US"/>
        </w:rPr>
        <w:t>asu</w:t>
      </w:r>
      <w:r w:rsidRPr="00BD77D8">
        <w:rPr>
          <w:rFonts w:eastAsia="Calibri"/>
          <w:spacing w:val="-2"/>
          <w:lang w:val="en-US" w:eastAsia="en-US"/>
        </w:rPr>
        <w:t>re</w:t>
      </w:r>
      <w:r w:rsidRPr="00BD77D8">
        <w:rPr>
          <w:rFonts w:eastAsia="Calibri"/>
          <w:spacing w:val="-1"/>
          <w:lang w:val="en-US" w:eastAsia="en-US"/>
        </w:rPr>
        <w:t>s</w:t>
      </w:r>
      <w:r w:rsidRPr="00BD77D8">
        <w:rPr>
          <w:rFonts w:eastAsia="Calibri"/>
          <w:spacing w:val="-12"/>
          <w:lang w:val="en-US" w:eastAsia="en-US"/>
        </w:rPr>
        <w:t xml:space="preserve"> </w:t>
      </w:r>
      <w:r w:rsidRPr="00BD77D8">
        <w:rPr>
          <w:rFonts w:eastAsia="Calibri"/>
          <w:spacing w:val="-2"/>
          <w:lang w:val="en-US" w:eastAsia="en-US"/>
        </w:rPr>
        <w:t>t</w:t>
      </w:r>
      <w:r w:rsidRPr="00BD77D8">
        <w:rPr>
          <w:rFonts w:eastAsia="Calibri"/>
          <w:spacing w:val="-1"/>
          <w:lang w:val="en-US" w:eastAsia="en-US"/>
        </w:rPr>
        <w:t>o</w:t>
      </w:r>
      <w:r w:rsidRPr="00BD77D8">
        <w:rPr>
          <w:rFonts w:eastAsia="Calibri"/>
          <w:spacing w:val="-10"/>
          <w:lang w:val="en-US" w:eastAsia="en-US"/>
        </w:rPr>
        <w:t xml:space="preserve"> </w:t>
      </w:r>
      <w:r w:rsidRPr="00BD77D8">
        <w:rPr>
          <w:rFonts w:eastAsia="Calibri"/>
          <w:spacing w:val="-2"/>
          <w:lang w:val="en-US" w:eastAsia="en-US"/>
        </w:rPr>
        <w:t>en</w:t>
      </w:r>
      <w:r w:rsidRPr="00BD77D8">
        <w:rPr>
          <w:rFonts w:eastAsia="Calibri"/>
          <w:spacing w:val="-1"/>
          <w:lang w:val="en-US" w:eastAsia="en-US"/>
        </w:rPr>
        <w:t>su</w:t>
      </w:r>
      <w:r w:rsidRPr="00BD77D8">
        <w:rPr>
          <w:rFonts w:eastAsia="Calibri"/>
          <w:spacing w:val="-2"/>
          <w:lang w:val="en-US" w:eastAsia="en-US"/>
        </w:rPr>
        <w:t>re</w:t>
      </w:r>
      <w:r w:rsidRPr="00BD77D8">
        <w:rPr>
          <w:rFonts w:eastAsia="Calibri"/>
          <w:spacing w:val="-11"/>
          <w:lang w:val="en-US" w:eastAsia="en-US"/>
        </w:rPr>
        <w:t xml:space="preserve"> </w:t>
      </w:r>
      <w:r w:rsidRPr="00BD77D8">
        <w:rPr>
          <w:rFonts w:eastAsia="Calibri"/>
          <w:lang w:val="en-US" w:eastAsia="en-US"/>
        </w:rPr>
        <w:t>their</w:t>
      </w:r>
      <w:r w:rsidRPr="00BD77D8">
        <w:rPr>
          <w:rFonts w:eastAsia="Calibri"/>
          <w:spacing w:val="-10"/>
          <w:lang w:val="en-US" w:eastAsia="en-US"/>
        </w:rPr>
        <w:t xml:space="preserve"> </w:t>
      </w:r>
      <w:r w:rsidRPr="00BD77D8">
        <w:rPr>
          <w:rFonts w:eastAsia="Calibri"/>
          <w:spacing w:val="-1"/>
          <w:lang w:val="en-US" w:eastAsia="en-US"/>
        </w:rPr>
        <w:t>acti</w:t>
      </w:r>
      <w:r w:rsidRPr="00BD77D8">
        <w:rPr>
          <w:rFonts w:eastAsia="Calibri"/>
          <w:spacing w:val="-2"/>
          <w:lang w:val="en-US" w:eastAsia="en-US"/>
        </w:rPr>
        <w:t>vity</w:t>
      </w:r>
      <w:r w:rsidRPr="00BD77D8">
        <w:rPr>
          <w:rFonts w:eastAsia="Calibri"/>
          <w:spacing w:val="21"/>
          <w:w w:val="94"/>
          <w:lang w:val="en-US" w:eastAsia="en-US"/>
        </w:rPr>
        <w:t xml:space="preserve"> </w:t>
      </w:r>
      <w:r w:rsidRPr="00BD77D8">
        <w:rPr>
          <w:rFonts w:eastAsia="Calibri"/>
          <w:spacing w:val="-1"/>
          <w:lang w:val="en-US" w:eastAsia="en-US"/>
        </w:rPr>
        <w:t>does</w:t>
      </w:r>
      <w:r w:rsidRPr="00BD77D8">
        <w:rPr>
          <w:rFonts w:eastAsia="Calibri"/>
          <w:spacing w:val="-16"/>
          <w:lang w:val="en-US" w:eastAsia="en-US"/>
        </w:rPr>
        <w:t xml:space="preserve"> </w:t>
      </w:r>
      <w:r w:rsidRPr="00BD77D8">
        <w:rPr>
          <w:rFonts w:eastAsia="Calibri"/>
          <w:lang w:val="en-US" w:eastAsia="en-US"/>
        </w:rPr>
        <w:t>not</w:t>
      </w:r>
      <w:r w:rsidRPr="00BD77D8">
        <w:rPr>
          <w:rFonts w:eastAsia="Calibri"/>
          <w:spacing w:val="-15"/>
          <w:lang w:val="en-US" w:eastAsia="en-US"/>
        </w:rPr>
        <w:t xml:space="preserve"> </w:t>
      </w:r>
      <w:r w:rsidRPr="00BD77D8">
        <w:rPr>
          <w:rFonts w:eastAsia="Calibri"/>
          <w:spacing w:val="-1"/>
          <w:lang w:val="en-US" w:eastAsia="en-US"/>
        </w:rPr>
        <w:t>h</w:t>
      </w:r>
      <w:r w:rsidRPr="00BD77D8">
        <w:rPr>
          <w:rFonts w:eastAsia="Calibri"/>
          <w:spacing w:val="-2"/>
          <w:lang w:val="en-US" w:eastAsia="en-US"/>
        </w:rPr>
        <w:t>arm</w:t>
      </w:r>
      <w:r w:rsidRPr="00BD77D8">
        <w:rPr>
          <w:rFonts w:eastAsia="Calibri"/>
          <w:spacing w:val="-14"/>
          <w:lang w:val="en-US" w:eastAsia="en-US"/>
        </w:rPr>
        <w:t xml:space="preserve"> </w:t>
      </w:r>
      <w:r w:rsidRPr="00BD77D8">
        <w:rPr>
          <w:rFonts w:eastAsia="Calibri"/>
          <w:spacing w:val="-2"/>
          <w:lang w:val="en-US" w:eastAsia="en-US"/>
        </w:rPr>
        <w:t>c</w:t>
      </w:r>
      <w:r w:rsidRPr="00BD77D8">
        <w:rPr>
          <w:rFonts w:eastAsia="Calibri"/>
          <w:spacing w:val="-3"/>
          <w:lang w:val="en-US" w:eastAsia="en-US"/>
        </w:rPr>
        <w:t>ultur</w:t>
      </w:r>
      <w:r w:rsidRPr="00BD77D8">
        <w:rPr>
          <w:rFonts w:eastAsia="Calibri"/>
          <w:spacing w:val="-2"/>
          <w:lang w:val="en-US" w:eastAsia="en-US"/>
        </w:rPr>
        <w:t>al</w:t>
      </w:r>
      <w:r w:rsidRPr="00BD77D8">
        <w:rPr>
          <w:rFonts w:eastAsia="Calibri"/>
          <w:spacing w:val="-16"/>
          <w:lang w:val="en-US" w:eastAsia="en-US"/>
        </w:rPr>
        <w:t xml:space="preserve"> </w:t>
      </w:r>
      <w:r w:rsidRPr="00BD77D8">
        <w:rPr>
          <w:rFonts w:eastAsia="Calibri"/>
          <w:spacing w:val="-2"/>
          <w:lang w:val="en-US" w:eastAsia="en-US"/>
        </w:rPr>
        <w:t>herit</w:t>
      </w:r>
      <w:r w:rsidRPr="00BD77D8">
        <w:rPr>
          <w:rFonts w:eastAsia="Calibri"/>
          <w:spacing w:val="-1"/>
          <w:lang w:val="en-US" w:eastAsia="en-US"/>
        </w:rPr>
        <w:t>age.</w:t>
      </w:r>
      <w:r w:rsidRPr="00BD77D8">
        <w:rPr>
          <w:rFonts w:eastAsia="Calibri"/>
          <w:spacing w:val="-17"/>
          <w:lang w:val="en-US" w:eastAsia="en-US"/>
        </w:rPr>
        <w:t xml:space="preserve"> </w:t>
      </w:r>
      <w:r w:rsidRPr="00BD77D8">
        <w:rPr>
          <w:rFonts w:eastAsia="Calibri"/>
          <w:lang w:val="en-US" w:eastAsia="en-US"/>
        </w:rPr>
        <w:t>The</w:t>
      </w:r>
      <w:r w:rsidRPr="00BD77D8">
        <w:rPr>
          <w:rFonts w:eastAsia="Calibri"/>
          <w:spacing w:val="-14"/>
          <w:lang w:val="en-US" w:eastAsia="en-US"/>
        </w:rPr>
        <w:t xml:space="preserve"> </w:t>
      </w:r>
      <w:r w:rsidRPr="00BD77D8">
        <w:rPr>
          <w:rFonts w:eastAsia="Calibri"/>
          <w:spacing w:val="-1"/>
          <w:lang w:val="en-US" w:eastAsia="en-US"/>
        </w:rPr>
        <w:t>department manages an award-winning cultural heritage database, which is accessible to land users through an online portal so they can ascertain whether</w:t>
      </w:r>
      <w:r w:rsidRPr="00BD77D8">
        <w:rPr>
          <w:rFonts w:eastAsia="Calibri"/>
          <w:spacing w:val="-9"/>
          <w:lang w:val="en-US" w:eastAsia="en-US"/>
        </w:rPr>
        <w:t xml:space="preserve"> </w:t>
      </w:r>
      <w:r w:rsidRPr="00BD77D8">
        <w:rPr>
          <w:rFonts w:eastAsia="Calibri"/>
          <w:spacing w:val="-1"/>
          <w:lang w:val="en-US" w:eastAsia="en-US"/>
        </w:rPr>
        <w:t>an</w:t>
      </w:r>
      <w:r w:rsidRPr="00BD77D8">
        <w:rPr>
          <w:rFonts w:eastAsia="Calibri"/>
          <w:spacing w:val="-2"/>
          <w:lang w:val="en-US" w:eastAsia="en-US"/>
        </w:rPr>
        <w:t>y</w:t>
      </w:r>
      <w:r w:rsidRPr="00BD77D8">
        <w:rPr>
          <w:rFonts w:eastAsia="Calibri"/>
          <w:spacing w:val="-10"/>
          <w:lang w:val="en-US" w:eastAsia="en-US"/>
        </w:rPr>
        <w:t xml:space="preserve"> </w:t>
      </w:r>
      <w:r w:rsidRPr="00BD77D8">
        <w:rPr>
          <w:rFonts w:eastAsia="Calibri"/>
          <w:spacing w:val="-1"/>
          <w:lang w:val="en-US" w:eastAsia="en-US"/>
        </w:rPr>
        <w:t>cu</w:t>
      </w:r>
      <w:r w:rsidRPr="00BD77D8">
        <w:rPr>
          <w:rFonts w:eastAsia="Calibri"/>
          <w:spacing w:val="-2"/>
          <w:lang w:val="en-US" w:eastAsia="en-US"/>
        </w:rPr>
        <w:t>lt</w:t>
      </w:r>
      <w:r w:rsidRPr="00BD77D8">
        <w:rPr>
          <w:rFonts w:eastAsia="Calibri"/>
          <w:spacing w:val="-1"/>
          <w:lang w:val="en-US" w:eastAsia="en-US"/>
        </w:rPr>
        <w:t>u</w:t>
      </w:r>
      <w:r w:rsidRPr="00BD77D8">
        <w:rPr>
          <w:rFonts w:eastAsia="Calibri"/>
          <w:spacing w:val="-2"/>
          <w:lang w:val="en-US" w:eastAsia="en-US"/>
        </w:rPr>
        <w:t>r</w:t>
      </w:r>
      <w:r w:rsidRPr="00BD77D8">
        <w:rPr>
          <w:rFonts w:eastAsia="Calibri"/>
          <w:spacing w:val="-1"/>
          <w:lang w:val="en-US" w:eastAsia="en-US"/>
        </w:rPr>
        <w:t>al</w:t>
      </w:r>
      <w:r w:rsidRPr="00BD77D8">
        <w:rPr>
          <w:rFonts w:eastAsia="Calibri"/>
          <w:spacing w:val="-10"/>
          <w:lang w:val="en-US" w:eastAsia="en-US"/>
        </w:rPr>
        <w:t xml:space="preserve"> </w:t>
      </w:r>
      <w:r w:rsidRPr="00BD77D8">
        <w:rPr>
          <w:rFonts w:eastAsia="Calibri"/>
          <w:spacing w:val="-2"/>
          <w:lang w:val="en-US" w:eastAsia="en-US"/>
        </w:rPr>
        <w:t>herit</w:t>
      </w:r>
      <w:r w:rsidRPr="00BD77D8">
        <w:rPr>
          <w:rFonts w:eastAsia="Calibri"/>
          <w:spacing w:val="-1"/>
          <w:lang w:val="en-US" w:eastAsia="en-US"/>
        </w:rPr>
        <w:t>age</w:t>
      </w:r>
      <w:r w:rsidRPr="00BD77D8">
        <w:rPr>
          <w:rFonts w:eastAsia="Calibri"/>
          <w:spacing w:val="-9"/>
          <w:lang w:val="en-US" w:eastAsia="en-US"/>
        </w:rPr>
        <w:t xml:space="preserve"> </w:t>
      </w:r>
      <w:r w:rsidRPr="00BD77D8">
        <w:rPr>
          <w:rFonts w:eastAsia="Calibri"/>
          <w:spacing w:val="-1"/>
          <w:lang w:val="en-US" w:eastAsia="en-US"/>
        </w:rPr>
        <w:t>s</w:t>
      </w:r>
      <w:r w:rsidRPr="00BD77D8">
        <w:rPr>
          <w:rFonts w:eastAsia="Calibri"/>
          <w:spacing w:val="-2"/>
          <w:lang w:val="en-US" w:eastAsia="en-US"/>
        </w:rPr>
        <w:t>ite</w:t>
      </w:r>
      <w:r w:rsidRPr="00BD77D8">
        <w:rPr>
          <w:rFonts w:eastAsia="Calibri"/>
          <w:spacing w:val="-1"/>
          <w:lang w:val="en-US" w:eastAsia="en-US"/>
        </w:rPr>
        <w:t>s</w:t>
      </w:r>
      <w:r w:rsidRPr="00BD77D8">
        <w:rPr>
          <w:rFonts w:eastAsia="Calibri"/>
          <w:spacing w:val="-10"/>
          <w:lang w:val="en-US" w:eastAsia="en-US"/>
        </w:rPr>
        <w:t xml:space="preserve"> </w:t>
      </w:r>
      <w:r w:rsidRPr="00BD77D8">
        <w:rPr>
          <w:rFonts w:eastAsia="Calibri"/>
          <w:lang w:val="en-US" w:eastAsia="en-US"/>
        </w:rPr>
        <w:t>and</w:t>
      </w:r>
      <w:r w:rsidRPr="00BD77D8">
        <w:rPr>
          <w:rFonts w:eastAsia="Calibri"/>
          <w:spacing w:val="-10"/>
          <w:lang w:val="en-US" w:eastAsia="en-US"/>
        </w:rPr>
        <w:t xml:space="preserve"> </w:t>
      </w:r>
      <w:r w:rsidRPr="00BD77D8">
        <w:rPr>
          <w:rFonts w:eastAsia="Calibri"/>
          <w:spacing w:val="-2"/>
          <w:lang w:val="en-US" w:eastAsia="en-US"/>
        </w:rPr>
        <w:t>plac</w:t>
      </w:r>
      <w:r w:rsidRPr="00BD77D8">
        <w:rPr>
          <w:rFonts w:eastAsia="Calibri"/>
          <w:spacing w:val="-3"/>
          <w:lang w:val="en-US" w:eastAsia="en-US"/>
        </w:rPr>
        <w:t>e</w:t>
      </w:r>
      <w:r w:rsidRPr="00BD77D8">
        <w:rPr>
          <w:rFonts w:eastAsia="Calibri"/>
          <w:spacing w:val="-2"/>
          <w:lang w:val="en-US" w:eastAsia="en-US"/>
        </w:rPr>
        <w:t>s</w:t>
      </w:r>
      <w:r w:rsidRPr="00BD77D8">
        <w:rPr>
          <w:rFonts w:eastAsia="Calibri"/>
          <w:spacing w:val="-10"/>
          <w:lang w:val="en-US" w:eastAsia="en-US"/>
        </w:rPr>
        <w:t xml:space="preserve"> </w:t>
      </w:r>
      <w:r w:rsidRPr="00BD77D8">
        <w:rPr>
          <w:rFonts w:eastAsia="Calibri"/>
          <w:spacing w:val="-1"/>
          <w:lang w:val="en-US" w:eastAsia="en-US"/>
        </w:rPr>
        <w:t>ha</w:t>
      </w:r>
      <w:r w:rsidRPr="00BD77D8">
        <w:rPr>
          <w:rFonts w:eastAsia="Calibri"/>
          <w:spacing w:val="-2"/>
          <w:lang w:val="en-US" w:eastAsia="en-US"/>
        </w:rPr>
        <w:t>ve</w:t>
      </w:r>
      <w:r w:rsidRPr="00BD77D8">
        <w:rPr>
          <w:rFonts w:eastAsia="Calibri"/>
          <w:spacing w:val="-8"/>
          <w:lang w:val="en-US" w:eastAsia="en-US"/>
        </w:rPr>
        <w:t xml:space="preserve"> </w:t>
      </w:r>
      <w:r w:rsidRPr="00BD77D8">
        <w:rPr>
          <w:rFonts w:eastAsia="Calibri"/>
          <w:lang w:val="en-US" w:eastAsia="en-US"/>
        </w:rPr>
        <w:t>been</w:t>
      </w:r>
      <w:r w:rsidRPr="00BD77D8">
        <w:rPr>
          <w:rFonts w:eastAsia="Calibri"/>
          <w:spacing w:val="31"/>
          <w:w w:val="98"/>
          <w:lang w:val="en-US" w:eastAsia="en-US"/>
        </w:rPr>
        <w:t xml:space="preserve"> </w:t>
      </w:r>
      <w:r w:rsidRPr="00BD77D8">
        <w:rPr>
          <w:rFonts w:eastAsia="Calibri"/>
          <w:spacing w:val="-2"/>
          <w:lang w:val="en-US" w:eastAsia="en-US"/>
        </w:rPr>
        <w:t>prev</w:t>
      </w:r>
      <w:r w:rsidRPr="00BD77D8">
        <w:rPr>
          <w:rFonts w:eastAsia="Calibri"/>
          <w:spacing w:val="-1"/>
          <w:lang w:val="en-US" w:eastAsia="en-US"/>
        </w:rPr>
        <w:t>ious</w:t>
      </w:r>
      <w:r w:rsidRPr="00BD77D8">
        <w:rPr>
          <w:rFonts w:eastAsia="Calibri"/>
          <w:spacing w:val="-2"/>
          <w:lang w:val="en-US" w:eastAsia="en-US"/>
        </w:rPr>
        <w:t>ly</w:t>
      </w:r>
      <w:r w:rsidRPr="00BD77D8">
        <w:rPr>
          <w:rFonts w:eastAsia="Calibri"/>
          <w:spacing w:val="-9"/>
          <w:lang w:val="en-US" w:eastAsia="en-US"/>
        </w:rPr>
        <w:t xml:space="preserve"> </w:t>
      </w:r>
      <w:r w:rsidRPr="00BD77D8">
        <w:rPr>
          <w:rFonts w:eastAsia="Calibri"/>
          <w:spacing w:val="-2"/>
          <w:lang w:val="en-US" w:eastAsia="en-US"/>
        </w:rPr>
        <w:t>record</w:t>
      </w:r>
      <w:r w:rsidRPr="00BD77D8">
        <w:rPr>
          <w:rFonts w:eastAsia="Calibri"/>
          <w:spacing w:val="-1"/>
          <w:lang w:val="en-US" w:eastAsia="en-US"/>
        </w:rPr>
        <w:t>ed</w:t>
      </w:r>
      <w:r w:rsidRPr="00BD77D8">
        <w:rPr>
          <w:rFonts w:eastAsia="Calibri"/>
          <w:spacing w:val="-9"/>
          <w:lang w:val="en-US" w:eastAsia="en-US"/>
        </w:rPr>
        <w:t xml:space="preserve"> </w:t>
      </w:r>
      <w:r w:rsidRPr="00BD77D8">
        <w:rPr>
          <w:rFonts w:eastAsia="Calibri"/>
          <w:lang w:val="en-US" w:eastAsia="en-US"/>
        </w:rPr>
        <w:t>on</w:t>
      </w:r>
      <w:r w:rsidRPr="00BD77D8">
        <w:rPr>
          <w:rFonts w:eastAsia="Calibri"/>
          <w:spacing w:val="-8"/>
          <w:lang w:val="en-US" w:eastAsia="en-US"/>
        </w:rPr>
        <w:t xml:space="preserve"> </w:t>
      </w:r>
      <w:r w:rsidRPr="00BD77D8">
        <w:rPr>
          <w:rFonts w:eastAsia="Calibri"/>
          <w:lang w:val="en-US" w:eastAsia="en-US"/>
        </w:rPr>
        <w:t>the</w:t>
      </w:r>
      <w:r w:rsidRPr="00BD77D8">
        <w:rPr>
          <w:rFonts w:eastAsia="Calibri"/>
          <w:spacing w:val="-7"/>
          <w:lang w:val="en-US" w:eastAsia="en-US"/>
        </w:rPr>
        <w:t xml:space="preserve"> </w:t>
      </w:r>
      <w:r w:rsidRPr="00BD77D8">
        <w:rPr>
          <w:rFonts w:eastAsia="Calibri"/>
          <w:spacing w:val="-1"/>
          <w:lang w:val="en-US" w:eastAsia="en-US"/>
        </w:rPr>
        <w:t>d</w:t>
      </w:r>
      <w:r w:rsidRPr="00BD77D8">
        <w:rPr>
          <w:rFonts w:eastAsia="Calibri"/>
          <w:spacing w:val="-2"/>
          <w:lang w:val="en-US" w:eastAsia="en-US"/>
        </w:rPr>
        <w:t>at</w:t>
      </w:r>
      <w:r w:rsidRPr="00BD77D8">
        <w:rPr>
          <w:rFonts w:eastAsia="Calibri"/>
          <w:spacing w:val="-1"/>
          <w:lang w:val="en-US" w:eastAsia="en-US"/>
        </w:rPr>
        <w:t>abase.</w:t>
      </w:r>
      <w:r w:rsidRPr="00BD77D8">
        <w:rPr>
          <w:rFonts w:eastAsia="Calibri"/>
          <w:spacing w:val="-11"/>
          <w:lang w:val="en-US" w:eastAsia="en-US"/>
        </w:rPr>
        <w:t xml:space="preserve"> </w:t>
      </w:r>
      <w:r w:rsidRPr="00BD77D8">
        <w:rPr>
          <w:rFonts w:eastAsia="Calibri"/>
          <w:lang w:val="en-US" w:eastAsia="en-US"/>
        </w:rPr>
        <w:t>The</w:t>
      </w:r>
      <w:r w:rsidRPr="00BD77D8">
        <w:rPr>
          <w:rFonts w:eastAsia="Calibri"/>
          <w:spacing w:val="-7"/>
          <w:lang w:val="en-US" w:eastAsia="en-US"/>
        </w:rPr>
        <w:t xml:space="preserve"> </w:t>
      </w:r>
      <w:r w:rsidRPr="00BD77D8">
        <w:rPr>
          <w:rFonts w:eastAsia="Calibri"/>
          <w:spacing w:val="-1"/>
          <w:lang w:val="en-US" w:eastAsia="en-US"/>
        </w:rPr>
        <w:t>d</w:t>
      </w:r>
      <w:r w:rsidRPr="00BD77D8">
        <w:rPr>
          <w:rFonts w:eastAsia="Calibri"/>
          <w:spacing w:val="-2"/>
          <w:lang w:val="en-US" w:eastAsia="en-US"/>
        </w:rPr>
        <w:t>at</w:t>
      </w:r>
      <w:r w:rsidRPr="00BD77D8">
        <w:rPr>
          <w:rFonts w:eastAsia="Calibri"/>
          <w:spacing w:val="-1"/>
          <w:lang w:val="en-US" w:eastAsia="en-US"/>
        </w:rPr>
        <w:t>abase</w:t>
      </w:r>
      <w:r w:rsidRPr="00BD77D8">
        <w:rPr>
          <w:rFonts w:eastAsia="Calibri"/>
          <w:spacing w:val="-7"/>
          <w:lang w:val="en-US" w:eastAsia="en-US"/>
        </w:rPr>
        <w:t xml:space="preserve"> </w:t>
      </w:r>
      <w:r w:rsidRPr="00BD77D8">
        <w:rPr>
          <w:rFonts w:eastAsia="Calibri"/>
          <w:spacing w:val="-2"/>
          <w:lang w:val="en-US" w:eastAsia="en-US"/>
        </w:rPr>
        <w:t>pr</w:t>
      </w:r>
      <w:r w:rsidRPr="00BD77D8">
        <w:rPr>
          <w:rFonts w:eastAsia="Calibri"/>
          <w:spacing w:val="-1"/>
          <w:lang w:val="en-US" w:eastAsia="en-US"/>
        </w:rPr>
        <w:t>o</w:t>
      </w:r>
      <w:r w:rsidRPr="00BD77D8">
        <w:rPr>
          <w:rFonts w:eastAsia="Calibri"/>
          <w:spacing w:val="-2"/>
          <w:lang w:val="en-US" w:eastAsia="en-US"/>
        </w:rPr>
        <w:t>v</w:t>
      </w:r>
      <w:r w:rsidRPr="00BD77D8">
        <w:rPr>
          <w:rFonts w:eastAsia="Calibri"/>
          <w:spacing w:val="-1"/>
          <w:lang w:val="en-US" w:eastAsia="en-US"/>
        </w:rPr>
        <w:t>id</w:t>
      </w:r>
      <w:r w:rsidRPr="00BD77D8">
        <w:rPr>
          <w:rFonts w:eastAsia="Calibri"/>
          <w:spacing w:val="-2"/>
          <w:lang w:val="en-US" w:eastAsia="en-US"/>
        </w:rPr>
        <w:t>e</w:t>
      </w:r>
      <w:r w:rsidRPr="00BD77D8">
        <w:rPr>
          <w:rFonts w:eastAsia="Calibri"/>
          <w:spacing w:val="-1"/>
          <w:lang w:val="en-US" w:eastAsia="en-US"/>
        </w:rPr>
        <w:t>s</w:t>
      </w:r>
      <w:r w:rsidR="00BC38E9" w:rsidRPr="00BD77D8">
        <w:rPr>
          <w:rFonts w:eastAsia="Calibri"/>
          <w:spacing w:val="-1"/>
          <w:lang w:val="en-US" w:eastAsia="en-US"/>
        </w:rPr>
        <w:t xml:space="preserve"> </w:t>
      </w:r>
      <w:r w:rsidRPr="00BD77D8">
        <w:rPr>
          <w:rFonts w:eastAsia="Calibri"/>
          <w:lang w:val="en-US" w:eastAsia="en-US"/>
        </w:rPr>
        <w:t>an</w:t>
      </w:r>
      <w:r w:rsidRPr="00BD77D8">
        <w:rPr>
          <w:rFonts w:eastAsia="Calibri"/>
          <w:spacing w:val="-2"/>
          <w:lang w:val="en-US" w:eastAsia="en-US"/>
        </w:rPr>
        <w:t xml:space="preserve"> acc</w:t>
      </w:r>
      <w:r w:rsidRPr="00BD77D8">
        <w:rPr>
          <w:rFonts w:eastAsia="Calibri"/>
          <w:spacing w:val="-3"/>
          <w:lang w:val="en-US" w:eastAsia="en-US"/>
        </w:rPr>
        <w:t>e</w:t>
      </w:r>
      <w:r w:rsidRPr="00BD77D8">
        <w:rPr>
          <w:rFonts w:eastAsia="Calibri"/>
          <w:spacing w:val="-2"/>
          <w:lang w:val="en-US" w:eastAsia="en-US"/>
        </w:rPr>
        <w:t>ssibl</w:t>
      </w:r>
      <w:r w:rsidRPr="00BD77D8">
        <w:rPr>
          <w:rFonts w:eastAsia="Calibri"/>
          <w:spacing w:val="-3"/>
          <w:lang w:val="en-US" w:eastAsia="en-US"/>
        </w:rPr>
        <w:t>e</w:t>
      </w:r>
      <w:r w:rsidRPr="00BD77D8">
        <w:rPr>
          <w:rFonts w:eastAsia="Calibri"/>
          <w:spacing w:val="-1"/>
          <w:lang w:val="en-US" w:eastAsia="en-US"/>
        </w:rPr>
        <w:t xml:space="preserve"> search </w:t>
      </w:r>
      <w:r w:rsidRPr="00BD77D8">
        <w:rPr>
          <w:rFonts w:eastAsia="Calibri"/>
          <w:spacing w:val="-2"/>
          <w:lang w:val="en-US" w:eastAsia="en-US"/>
        </w:rPr>
        <w:t>pr</w:t>
      </w:r>
      <w:r w:rsidRPr="00BD77D8">
        <w:rPr>
          <w:rFonts w:eastAsia="Calibri"/>
          <w:spacing w:val="-1"/>
          <w:lang w:val="en-US" w:eastAsia="en-US"/>
        </w:rPr>
        <w:t>oc</w:t>
      </w:r>
      <w:r w:rsidRPr="00BD77D8">
        <w:rPr>
          <w:rFonts w:eastAsia="Calibri"/>
          <w:spacing w:val="-2"/>
          <w:lang w:val="en-US" w:eastAsia="en-US"/>
        </w:rPr>
        <w:t>e</w:t>
      </w:r>
      <w:r w:rsidRPr="00BD77D8">
        <w:rPr>
          <w:rFonts w:eastAsia="Calibri"/>
          <w:spacing w:val="-1"/>
          <w:lang w:val="en-US" w:eastAsia="en-US"/>
        </w:rPr>
        <w:t>ss</w:t>
      </w:r>
      <w:r w:rsidRPr="00BD77D8">
        <w:rPr>
          <w:rFonts w:eastAsia="Calibri"/>
          <w:spacing w:val="-3"/>
          <w:lang w:val="en-US" w:eastAsia="en-US"/>
        </w:rPr>
        <w:t xml:space="preserve"> </w:t>
      </w:r>
      <w:r w:rsidRPr="00BD77D8">
        <w:rPr>
          <w:rFonts w:eastAsia="Calibri"/>
          <w:spacing w:val="-2"/>
          <w:lang w:val="en-US" w:eastAsia="en-US"/>
        </w:rPr>
        <w:t>that</w:t>
      </w:r>
      <w:r w:rsidRPr="00BD77D8">
        <w:rPr>
          <w:rFonts w:eastAsia="Calibri"/>
          <w:spacing w:val="-3"/>
          <w:lang w:val="en-US" w:eastAsia="en-US"/>
        </w:rPr>
        <w:t xml:space="preserve"> </w:t>
      </w:r>
      <w:r w:rsidRPr="00BD77D8">
        <w:rPr>
          <w:rFonts w:eastAsia="Calibri"/>
          <w:spacing w:val="-2"/>
          <w:lang w:val="en-US" w:eastAsia="en-US"/>
        </w:rPr>
        <w:t>en</w:t>
      </w:r>
      <w:r w:rsidRPr="00BD77D8">
        <w:rPr>
          <w:rFonts w:eastAsia="Calibri"/>
          <w:spacing w:val="-1"/>
          <w:lang w:val="en-US" w:eastAsia="en-US"/>
        </w:rPr>
        <w:t>abl</w:t>
      </w:r>
      <w:r w:rsidRPr="00BD77D8">
        <w:rPr>
          <w:rFonts w:eastAsia="Calibri"/>
          <w:spacing w:val="-2"/>
          <w:lang w:val="en-US" w:eastAsia="en-US"/>
        </w:rPr>
        <w:t>e</w:t>
      </w:r>
      <w:r w:rsidRPr="00BD77D8">
        <w:rPr>
          <w:rFonts w:eastAsia="Calibri"/>
          <w:spacing w:val="-1"/>
          <w:lang w:val="en-US" w:eastAsia="en-US"/>
        </w:rPr>
        <w:t>s</w:t>
      </w:r>
      <w:r w:rsidRPr="00BD77D8">
        <w:rPr>
          <w:rFonts w:eastAsia="Calibri"/>
          <w:spacing w:val="-3"/>
          <w:lang w:val="en-US" w:eastAsia="en-US"/>
        </w:rPr>
        <w:t xml:space="preserve"> </w:t>
      </w:r>
      <w:r w:rsidRPr="00BD77D8">
        <w:rPr>
          <w:rFonts w:eastAsia="Calibri"/>
          <w:spacing w:val="-1"/>
          <w:lang w:val="en-US" w:eastAsia="en-US"/>
        </w:rPr>
        <w:t>land</w:t>
      </w:r>
      <w:r w:rsidRPr="00BD77D8">
        <w:rPr>
          <w:rFonts w:eastAsia="Calibri"/>
          <w:spacing w:val="-3"/>
          <w:lang w:val="en-US" w:eastAsia="en-US"/>
        </w:rPr>
        <w:t xml:space="preserve"> </w:t>
      </w:r>
      <w:r w:rsidRPr="00BD77D8">
        <w:rPr>
          <w:rFonts w:eastAsia="Calibri"/>
          <w:spacing w:val="-1"/>
          <w:lang w:val="en-US" w:eastAsia="en-US"/>
        </w:rPr>
        <w:t>users</w:t>
      </w:r>
      <w:r w:rsidRPr="00BD77D8">
        <w:rPr>
          <w:rFonts w:eastAsia="Calibri"/>
          <w:spacing w:val="-3"/>
          <w:lang w:val="en-US" w:eastAsia="en-US"/>
        </w:rPr>
        <w:t xml:space="preserve"> </w:t>
      </w:r>
      <w:r w:rsidRPr="00BD77D8">
        <w:rPr>
          <w:rFonts w:eastAsia="Calibri"/>
          <w:spacing w:val="-2"/>
          <w:lang w:val="en-US" w:eastAsia="en-US"/>
        </w:rPr>
        <w:t>t</w:t>
      </w:r>
      <w:r w:rsidRPr="00BD77D8">
        <w:rPr>
          <w:rFonts w:eastAsia="Calibri"/>
          <w:spacing w:val="-1"/>
          <w:lang w:val="en-US" w:eastAsia="en-US"/>
        </w:rPr>
        <w:t xml:space="preserve">o </w:t>
      </w:r>
      <w:r w:rsidRPr="00BD77D8">
        <w:rPr>
          <w:rFonts w:eastAsia="Calibri"/>
          <w:lang w:val="en-US" w:eastAsia="en-US"/>
        </w:rPr>
        <w:t>meet</w:t>
      </w:r>
      <w:r w:rsidRPr="00BD77D8">
        <w:rPr>
          <w:rFonts w:eastAsia="Calibri"/>
          <w:spacing w:val="35"/>
          <w:w w:val="95"/>
          <w:lang w:val="en-US" w:eastAsia="en-US"/>
        </w:rPr>
        <w:t xml:space="preserve"> </w:t>
      </w:r>
      <w:r w:rsidRPr="00BD77D8">
        <w:rPr>
          <w:rFonts w:eastAsia="Calibri"/>
          <w:lang w:val="en-US" w:eastAsia="en-US"/>
        </w:rPr>
        <w:t>their</w:t>
      </w:r>
      <w:r w:rsidRPr="00BD77D8">
        <w:rPr>
          <w:rFonts w:eastAsia="Calibri"/>
          <w:spacing w:val="-10"/>
          <w:lang w:val="en-US" w:eastAsia="en-US"/>
        </w:rPr>
        <w:t xml:space="preserve"> </w:t>
      </w:r>
      <w:r w:rsidRPr="00BD77D8">
        <w:rPr>
          <w:rFonts w:eastAsia="Calibri"/>
          <w:lang w:val="en-US" w:eastAsia="en-US"/>
        </w:rPr>
        <w:t>duty</w:t>
      </w:r>
      <w:r w:rsidRPr="00BD77D8">
        <w:rPr>
          <w:rFonts w:eastAsia="Calibri"/>
          <w:spacing w:val="-12"/>
          <w:lang w:val="en-US" w:eastAsia="en-US"/>
        </w:rPr>
        <w:t xml:space="preserve"> </w:t>
      </w:r>
      <w:r w:rsidRPr="00BD77D8">
        <w:rPr>
          <w:rFonts w:eastAsia="Calibri"/>
          <w:lang w:val="en-US" w:eastAsia="en-US"/>
        </w:rPr>
        <w:t>of</w:t>
      </w:r>
      <w:r w:rsidRPr="00BD77D8">
        <w:rPr>
          <w:rFonts w:eastAsia="Calibri"/>
          <w:spacing w:val="-11"/>
          <w:lang w:val="en-US" w:eastAsia="en-US"/>
        </w:rPr>
        <w:t xml:space="preserve"> </w:t>
      </w:r>
      <w:r w:rsidRPr="00BD77D8">
        <w:rPr>
          <w:rFonts w:eastAsia="Calibri"/>
          <w:spacing w:val="-1"/>
          <w:lang w:val="en-US" w:eastAsia="en-US"/>
        </w:rPr>
        <w:t>c</w:t>
      </w:r>
      <w:r w:rsidRPr="00BD77D8">
        <w:rPr>
          <w:rFonts w:eastAsia="Calibri"/>
          <w:spacing w:val="-2"/>
          <w:lang w:val="en-US" w:eastAsia="en-US"/>
        </w:rPr>
        <w:t>are</w:t>
      </w:r>
      <w:r w:rsidRPr="00BD77D8">
        <w:rPr>
          <w:rFonts w:eastAsia="Calibri"/>
          <w:spacing w:val="-10"/>
          <w:lang w:val="en-US" w:eastAsia="en-US"/>
        </w:rPr>
        <w:t xml:space="preserve"> </w:t>
      </w:r>
      <w:r w:rsidRPr="00BD77D8">
        <w:rPr>
          <w:rFonts w:eastAsia="Calibri"/>
          <w:spacing w:val="-1"/>
          <w:lang w:val="en-US" w:eastAsia="en-US"/>
        </w:rPr>
        <w:t>oblig</w:t>
      </w:r>
      <w:r w:rsidRPr="00BD77D8">
        <w:rPr>
          <w:rFonts w:eastAsia="Calibri"/>
          <w:spacing w:val="-2"/>
          <w:lang w:val="en-US" w:eastAsia="en-US"/>
        </w:rPr>
        <w:t>ation</w:t>
      </w:r>
      <w:r w:rsidRPr="00BD77D8">
        <w:rPr>
          <w:rFonts w:eastAsia="Calibri"/>
          <w:spacing w:val="-1"/>
          <w:lang w:val="en-US" w:eastAsia="en-US"/>
        </w:rPr>
        <w:t>s</w:t>
      </w:r>
      <w:r w:rsidRPr="00BD77D8">
        <w:rPr>
          <w:rFonts w:eastAsia="Calibri"/>
          <w:spacing w:val="-11"/>
          <w:lang w:val="en-US" w:eastAsia="en-US"/>
        </w:rPr>
        <w:t xml:space="preserve"> </w:t>
      </w:r>
      <w:r w:rsidRPr="00BD77D8">
        <w:rPr>
          <w:rFonts w:eastAsia="Calibri"/>
          <w:spacing w:val="-2"/>
          <w:lang w:val="en-US" w:eastAsia="en-US"/>
        </w:rPr>
        <w:t>e</w:t>
      </w:r>
      <w:r w:rsidRPr="00BD77D8">
        <w:rPr>
          <w:rFonts w:eastAsia="Calibri"/>
          <w:spacing w:val="-1"/>
          <w:lang w:val="en-US" w:eastAsia="en-US"/>
        </w:rPr>
        <w:t>s</w:t>
      </w:r>
      <w:r w:rsidRPr="00BD77D8">
        <w:rPr>
          <w:rFonts w:eastAsia="Calibri"/>
          <w:spacing w:val="-2"/>
          <w:lang w:val="en-US" w:eastAsia="en-US"/>
        </w:rPr>
        <w:t>t</w:t>
      </w:r>
      <w:r w:rsidRPr="00BD77D8">
        <w:rPr>
          <w:rFonts w:eastAsia="Calibri"/>
          <w:spacing w:val="-1"/>
          <w:lang w:val="en-US" w:eastAsia="en-US"/>
        </w:rPr>
        <w:t>ablished</w:t>
      </w:r>
      <w:r w:rsidRPr="00BD77D8">
        <w:rPr>
          <w:rFonts w:eastAsia="Calibri"/>
          <w:spacing w:val="-11"/>
          <w:lang w:val="en-US" w:eastAsia="en-US"/>
        </w:rPr>
        <w:t xml:space="preserve"> </w:t>
      </w:r>
      <w:r w:rsidRPr="00BD77D8">
        <w:rPr>
          <w:rFonts w:eastAsia="Calibri"/>
          <w:spacing w:val="-1"/>
          <w:lang w:val="en-US" w:eastAsia="en-US"/>
        </w:rPr>
        <w:t>b</w:t>
      </w:r>
      <w:r w:rsidRPr="00BD77D8">
        <w:rPr>
          <w:rFonts w:eastAsia="Calibri"/>
          <w:spacing w:val="-2"/>
          <w:lang w:val="en-US" w:eastAsia="en-US"/>
        </w:rPr>
        <w:t>y</w:t>
      </w:r>
      <w:r w:rsidRPr="00BD77D8">
        <w:rPr>
          <w:rFonts w:eastAsia="Calibri"/>
          <w:spacing w:val="-12"/>
          <w:lang w:val="en-US" w:eastAsia="en-US"/>
        </w:rPr>
        <w:t xml:space="preserve"> </w:t>
      </w:r>
      <w:r w:rsidRPr="00BD77D8">
        <w:rPr>
          <w:rFonts w:eastAsia="Calibri"/>
          <w:lang w:val="en-US" w:eastAsia="en-US"/>
        </w:rPr>
        <w:t>the</w:t>
      </w:r>
      <w:r w:rsidRPr="00BD77D8">
        <w:rPr>
          <w:rFonts w:eastAsia="Calibri"/>
          <w:spacing w:val="-10"/>
          <w:lang w:val="en-US" w:eastAsia="en-US"/>
        </w:rPr>
        <w:t xml:space="preserve"> </w:t>
      </w:r>
      <w:r w:rsidRPr="00BD77D8">
        <w:rPr>
          <w:rFonts w:eastAsia="Calibri"/>
          <w:spacing w:val="-2"/>
          <w:lang w:val="en-US" w:eastAsia="en-US"/>
        </w:rPr>
        <w:t>Cultural Heritage Acts</w:t>
      </w:r>
      <w:r w:rsidRPr="00BD77D8">
        <w:rPr>
          <w:rFonts w:eastAsia="Calibri"/>
          <w:lang w:val="en-US" w:eastAsia="en-US"/>
        </w:rPr>
        <w:t>.</w:t>
      </w:r>
    </w:p>
    <w:p w14:paraId="689C0580" w14:textId="01F954E8" w:rsidR="00851AE1" w:rsidRPr="00BD77D8" w:rsidRDefault="00851AE1" w:rsidP="00671ADD">
      <w:pPr>
        <w:pStyle w:val="Heading4"/>
        <w:spacing w:after="120" w:line="240" w:lineRule="auto"/>
        <w:rPr>
          <w:bCs/>
          <w:sz w:val="21"/>
          <w:szCs w:val="21"/>
        </w:rPr>
      </w:pPr>
      <w:bookmarkStart w:id="162" w:name="_Hlk112837346"/>
      <w:r w:rsidRPr="00BD77D8">
        <w:rPr>
          <w:bCs/>
          <w:sz w:val="21"/>
          <w:szCs w:val="21"/>
        </w:rPr>
        <w:t>Key achievements</w:t>
      </w:r>
    </w:p>
    <w:p w14:paraId="448BE6C0" w14:textId="3698221A" w:rsidR="00851AE1" w:rsidRPr="00BD77D8" w:rsidRDefault="00851AE1" w:rsidP="00671ADD">
      <w:pPr>
        <w:spacing w:after="120" w:line="240" w:lineRule="auto"/>
        <w:rPr>
          <w:rFonts w:eastAsia="Calibri"/>
          <w:lang w:val="en-US" w:eastAsia="en-US"/>
        </w:rPr>
      </w:pPr>
      <w:r w:rsidRPr="00BD77D8">
        <w:rPr>
          <w:rFonts w:eastAsia="Calibri"/>
          <w:lang w:val="en-US" w:eastAsia="en-US"/>
        </w:rPr>
        <w:t>During the</w:t>
      </w:r>
      <w:r w:rsidR="00E960BE" w:rsidRPr="00BD77D8">
        <w:rPr>
          <w:rFonts w:eastAsia="Calibri"/>
          <w:lang w:val="en-US" w:eastAsia="en-US"/>
        </w:rPr>
        <w:t xml:space="preserve"> reporting </w:t>
      </w:r>
      <w:r w:rsidRPr="00BD77D8">
        <w:rPr>
          <w:rFonts w:eastAsia="Calibri"/>
          <w:lang w:val="en-US" w:eastAsia="en-US"/>
        </w:rPr>
        <w:t>period</w:t>
      </w:r>
      <w:r w:rsidR="00E960BE" w:rsidRPr="00BD77D8">
        <w:rPr>
          <w:rFonts w:eastAsia="Calibri"/>
          <w:lang w:val="en-US" w:eastAsia="en-US"/>
        </w:rPr>
        <w:t xml:space="preserve">, </w:t>
      </w:r>
      <w:r w:rsidRPr="00BD77D8">
        <w:rPr>
          <w:rFonts w:eastAsia="Calibri"/>
          <w:lang w:val="en-US" w:eastAsia="en-US"/>
        </w:rPr>
        <w:t>the</w:t>
      </w:r>
      <w:r w:rsidRPr="00BD77D8">
        <w:rPr>
          <w:rFonts w:eastAsia="Calibri"/>
          <w:spacing w:val="-13"/>
          <w:lang w:val="en-US" w:eastAsia="en-US"/>
        </w:rPr>
        <w:t xml:space="preserve"> </w:t>
      </w:r>
      <w:r w:rsidRPr="00BD77D8">
        <w:rPr>
          <w:rFonts w:eastAsia="Calibri"/>
          <w:spacing w:val="-1"/>
          <w:lang w:val="en-US" w:eastAsia="en-US"/>
        </w:rPr>
        <w:t>dep</w:t>
      </w:r>
      <w:r w:rsidRPr="00BD77D8">
        <w:rPr>
          <w:rFonts w:eastAsia="Calibri"/>
          <w:spacing w:val="-2"/>
          <w:lang w:val="en-US" w:eastAsia="en-US"/>
        </w:rPr>
        <w:t>artment</w:t>
      </w:r>
      <w:r w:rsidRPr="00BD77D8">
        <w:rPr>
          <w:rFonts w:eastAsia="Calibri"/>
          <w:spacing w:val="-1"/>
          <w:lang w:val="en-US" w:eastAsia="en-US"/>
        </w:rPr>
        <w:t>:</w:t>
      </w:r>
      <w:r w:rsidR="00810223" w:rsidRPr="00BD77D8">
        <w:rPr>
          <w:rFonts w:eastAsia="Calibri"/>
          <w:spacing w:val="-1"/>
          <w:lang w:val="en-US" w:eastAsia="en-US"/>
        </w:rPr>
        <w:t xml:space="preserve"> </w:t>
      </w:r>
    </w:p>
    <w:p w14:paraId="46203921" w14:textId="64A3166C" w:rsidR="00851AE1" w:rsidRPr="00BD77D8" w:rsidRDefault="00851AE1" w:rsidP="00A463E0">
      <w:pPr>
        <w:pStyle w:val="ListBullet"/>
        <w:numPr>
          <w:ilvl w:val="0"/>
          <w:numId w:val="46"/>
        </w:numPr>
        <w:rPr>
          <w:rFonts w:eastAsia="Calibri"/>
        </w:rPr>
      </w:pPr>
      <w:r w:rsidRPr="00BD77D8">
        <w:rPr>
          <w:rFonts w:eastAsia="Calibri"/>
        </w:rPr>
        <w:t xml:space="preserve">enabled </w:t>
      </w:r>
      <w:bookmarkStart w:id="163" w:name="_Hlk79401478"/>
      <w:bookmarkStart w:id="164" w:name="_Hlk77925572"/>
      <w:r w:rsidR="00BD46AC" w:rsidRPr="00BD77D8">
        <w:rPr>
          <w:rFonts w:eastAsia="Calibri"/>
        </w:rPr>
        <w:t>33,440</w:t>
      </w:r>
      <w:r w:rsidR="00BB28B8" w:rsidRPr="00BD77D8">
        <w:rPr>
          <w:rFonts w:eastAsia="Calibri"/>
        </w:rPr>
        <w:t xml:space="preserve"> </w:t>
      </w:r>
      <w:bookmarkEnd w:id="163"/>
      <w:bookmarkEnd w:id="164"/>
      <w:r w:rsidRPr="00BD77D8">
        <w:rPr>
          <w:rFonts w:eastAsia="Calibri"/>
        </w:rPr>
        <w:t>cultural heritage searches on the cultural heritage online portal</w:t>
      </w:r>
    </w:p>
    <w:p w14:paraId="26F53234" w14:textId="6D6CB042" w:rsidR="007E18ED" w:rsidRPr="00BD77D8" w:rsidRDefault="00851AE1" w:rsidP="00A463E0">
      <w:pPr>
        <w:pStyle w:val="ListBullet"/>
        <w:numPr>
          <w:ilvl w:val="0"/>
          <w:numId w:val="46"/>
        </w:numPr>
        <w:rPr>
          <w:rFonts w:eastAsia="Calibri"/>
        </w:rPr>
      </w:pPr>
      <w:r w:rsidRPr="00BD77D8">
        <w:rPr>
          <w:rFonts w:eastAsia="Calibri"/>
        </w:rPr>
        <w:t xml:space="preserve">approved and registered </w:t>
      </w:r>
      <w:r w:rsidR="00BD46AC" w:rsidRPr="00BD77D8">
        <w:rPr>
          <w:rFonts w:eastAsia="Calibri"/>
        </w:rPr>
        <w:t>18</w:t>
      </w:r>
      <w:r w:rsidRPr="00BD77D8">
        <w:rPr>
          <w:rFonts w:eastAsia="Calibri"/>
        </w:rPr>
        <w:t xml:space="preserve"> cultural heritage management plans in accordance with Part 7 of the Cultural Heritage Acts</w:t>
      </w:r>
    </w:p>
    <w:p w14:paraId="407A3D99" w14:textId="4E833DF4" w:rsidR="00A07DB0" w:rsidRPr="00BD77D8" w:rsidRDefault="007E18ED" w:rsidP="00A463E0">
      <w:pPr>
        <w:pStyle w:val="ListBullet"/>
        <w:numPr>
          <w:ilvl w:val="0"/>
          <w:numId w:val="46"/>
        </w:numPr>
        <w:rPr>
          <w:rFonts w:eastAsia="Calibri"/>
        </w:rPr>
      </w:pPr>
      <w:r w:rsidRPr="00BD77D8">
        <w:rPr>
          <w:rFonts w:eastAsia="Calibri"/>
        </w:rPr>
        <w:t xml:space="preserve">completed public consultation on the </w:t>
      </w:r>
      <w:r w:rsidR="00316DEA" w:rsidRPr="00BD77D8">
        <w:rPr>
          <w:rFonts w:eastAsia="Calibri"/>
        </w:rPr>
        <w:t xml:space="preserve">review of the Cultural Heritage Acts </w:t>
      </w:r>
      <w:r w:rsidRPr="00BD77D8">
        <w:rPr>
          <w:rFonts w:eastAsia="Calibri"/>
        </w:rPr>
        <w:t>to inform consideration of enhanced arrangements for the protection of cultural heritage</w:t>
      </w:r>
    </w:p>
    <w:p w14:paraId="5B8B317B" w14:textId="31BA9D6B" w:rsidR="00A07DB0" w:rsidRPr="00BD77D8" w:rsidRDefault="00A07DB0" w:rsidP="0001058A">
      <w:pPr>
        <w:pStyle w:val="ListBullet"/>
        <w:numPr>
          <w:ilvl w:val="0"/>
          <w:numId w:val="46"/>
        </w:numPr>
      </w:pPr>
      <w:r w:rsidRPr="00BD77D8">
        <w:rPr>
          <w:rFonts w:eastAsia="Calibri"/>
        </w:rPr>
        <w:t xml:space="preserve">progressed </w:t>
      </w:r>
      <w:bookmarkStart w:id="165" w:name="_Toc78287369"/>
      <w:bookmarkStart w:id="166" w:name="_Toc78355776"/>
      <w:r w:rsidR="0001058A" w:rsidRPr="00BD77D8">
        <w:rPr>
          <w:rFonts w:eastAsia="Calibri"/>
        </w:rPr>
        <w:t>the review of the legislation by releasing an options paper from 17 December 2021 to 31 March 2022. More information is available by visiting</w:t>
      </w:r>
      <w:r w:rsidR="0001058A" w:rsidRPr="00BD77D8">
        <w:rPr>
          <w:rStyle w:val="Hyperlink"/>
          <w:rFonts w:eastAsia="Calibri"/>
          <w:color w:val="auto"/>
        </w:rPr>
        <w:t xml:space="preserve"> www.dsdsatsip.qld.gov.au/our-work/aboriginal-torres-strait-islander-partnerships/culture/aboriginal-torres-strait-islander-cultural-heritage</w:t>
      </w:r>
    </w:p>
    <w:p w14:paraId="5BF6E97E" w14:textId="43C444AB" w:rsidR="00CB1AA1" w:rsidRPr="00BD77D8" w:rsidRDefault="00CB1AA1" w:rsidP="00A07DB0">
      <w:pPr>
        <w:pStyle w:val="Heading3"/>
      </w:pPr>
      <w:bookmarkStart w:id="167" w:name="_Hlk112837431"/>
      <w:bookmarkEnd w:id="162"/>
      <w:r w:rsidRPr="00BD77D8">
        <w:t>Community and personal history services</w:t>
      </w:r>
      <w:bookmarkEnd w:id="165"/>
      <w:bookmarkEnd w:id="166"/>
    </w:p>
    <w:bookmarkEnd w:id="167"/>
    <w:p w14:paraId="2A686256" w14:textId="301B8336" w:rsidR="00CB1AA1" w:rsidRPr="00BD77D8" w:rsidRDefault="00CA2C9C" w:rsidP="00D83B53">
      <w:pPr>
        <w:rPr>
          <w:rFonts w:eastAsia="Calibri"/>
          <w:lang w:val="en-US" w:eastAsia="en-US"/>
        </w:rPr>
      </w:pPr>
      <w:r w:rsidRPr="00BD77D8">
        <w:rPr>
          <w:rFonts w:eastAsia="Calibri"/>
          <w:lang w:val="en-US" w:eastAsia="en-US"/>
        </w:rPr>
        <w:t xml:space="preserve">The department </w:t>
      </w:r>
      <w:r w:rsidR="0083398D" w:rsidRPr="00BD77D8">
        <w:rPr>
          <w:rFonts w:eastAsia="Calibri"/>
          <w:lang w:val="en-US" w:eastAsia="en-US"/>
        </w:rPr>
        <w:t xml:space="preserve">continues to support </w:t>
      </w:r>
      <w:r w:rsidR="00CB1AA1" w:rsidRPr="00BD77D8">
        <w:rPr>
          <w:rFonts w:eastAsia="Calibri"/>
          <w:lang w:val="en-US" w:eastAsia="en-US"/>
        </w:rPr>
        <w:t xml:space="preserve">Aboriginal </w:t>
      </w:r>
      <w:r w:rsidR="004C7FBB" w:rsidRPr="00BD77D8">
        <w:rPr>
          <w:rFonts w:eastAsia="Calibri"/>
          <w:lang w:val="en-US" w:eastAsia="en-US"/>
        </w:rPr>
        <w:t xml:space="preserve">peoples </w:t>
      </w:r>
      <w:r w:rsidR="00CB1AA1" w:rsidRPr="00BD77D8">
        <w:rPr>
          <w:rFonts w:eastAsia="Calibri"/>
          <w:lang w:val="en-US" w:eastAsia="en-US"/>
        </w:rPr>
        <w:t xml:space="preserve">and Torres Strait Islander peoples </w:t>
      </w:r>
      <w:r w:rsidR="0083398D" w:rsidRPr="00BD77D8">
        <w:rPr>
          <w:rFonts w:eastAsia="Calibri"/>
          <w:lang w:val="en-US" w:eastAsia="en-US"/>
        </w:rPr>
        <w:t xml:space="preserve">to </w:t>
      </w:r>
      <w:r w:rsidR="00CB1AA1" w:rsidRPr="00BD77D8">
        <w:rPr>
          <w:rFonts w:eastAsia="Calibri"/>
          <w:lang w:val="en-US" w:eastAsia="en-US"/>
        </w:rPr>
        <w:t>access government records</w:t>
      </w:r>
      <w:r w:rsidR="0083398D" w:rsidRPr="00BD77D8">
        <w:rPr>
          <w:rFonts w:eastAsia="Calibri"/>
          <w:lang w:val="en-US" w:eastAsia="en-US"/>
        </w:rPr>
        <w:t xml:space="preserve"> for assistance in </w:t>
      </w:r>
      <w:r w:rsidR="00CB1AA1" w:rsidRPr="00BD77D8">
        <w:rPr>
          <w:rFonts w:eastAsia="Calibri"/>
          <w:lang w:val="en-US" w:eastAsia="en-US"/>
        </w:rPr>
        <w:t>trac</w:t>
      </w:r>
      <w:r w:rsidR="0083398D" w:rsidRPr="00BD77D8">
        <w:rPr>
          <w:rFonts w:eastAsia="Calibri"/>
          <w:lang w:val="en-US" w:eastAsia="en-US"/>
        </w:rPr>
        <w:t>ing</w:t>
      </w:r>
      <w:r w:rsidR="00CB1AA1" w:rsidRPr="00BD77D8">
        <w:rPr>
          <w:rFonts w:eastAsia="Calibri"/>
          <w:lang w:val="en-US" w:eastAsia="en-US"/>
        </w:rPr>
        <w:t xml:space="preserve"> their family and community histories.</w:t>
      </w:r>
    </w:p>
    <w:p w14:paraId="5765E883" w14:textId="01F91FA8" w:rsidR="005015A4" w:rsidRPr="00BD77D8" w:rsidRDefault="00CB1AA1" w:rsidP="00D83B53">
      <w:pPr>
        <w:rPr>
          <w:rFonts w:eastAsia="Calibri"/>
          <w:lang w:val="en-US" w:eastAsia="en-US"/>
        </w:rPr>
      </w:pPr>
      <w:r w:rsidRPr="00BD77D8">
        <w:rPr>
          <w:rFonts w:eastAsia="Calibri"/>
          <w:lang w:val="en-US" w:eastAsia="en-US"/>
        </w:rPr>
        <w:t xml:space="preserve">The most requested records are for </w:t>
      </w:r>
      <w:r w:rsidR="00B56794" w:rsidRPr="00BD77D8">
        <w:rPr>
          <w:rFonts w:eastAsia="Calibri"/>
          <w:lang w:val="en-US" w:eastAsia="en-US"/>
        </w:rPr>
        <w:t xml:space="preserve">family history research and evidence </w:t>
      </w:r>
      <w:r w:rsidR="000C7D37" w:rsidRPr="00BD77D8">
        <w:rPr>
          <w:rFonts w:eastAsia="Calibri"/>
          <w:lang w:val="en-US" w:eastAsia="en-US"/>
        </w:rPr>
        <w:t>of</w:t>
      </w:r>
      <w:r w:rsidRPr="00BD77D8">
        <w:rPr>
          <w:rFonts w:eastAsia="Calibri"/>
          <w:lang w:val="en-US" w:eastAsia="en-US"/>
        </w:rPr>
        <w:t xml:space="preserve"> Aboriginal or Torres Strait Islander descent</w:t>
      </w:r>
      <w:r w:rsidR="00B56794" w:rsidRPr="00BD77D8">
        <w:rPr>
          <w:rFonts w:eastAsia="Calibri"/>
          <w:lang w:val="en-US" w:eastAsia="en-US"/>
        </w:rPr>
        <w:t xml:space="preserve">. Requests area also received for the confirmation of </w:t>
      </w:r>
      <w:r w:rsidRPr="00BD77D8">
        <w:rPr>
          <w:rFonts w:eastAsia="Calibri"/>
          <w:lang w:val="en-US" w:eastAsia="en-US"/>
        </w:rPr>
        <w:t>date</w:t>
      </w:r>
      <w:r w:rsidR="00B56794" w:rsidRPr="00BD77D8">
        <w:rPr>
          <w:rFonts w:eastAsia="Calibri"/>
          <w:lang w:val="en-US" w:eastAsia="en-US"/>
        </w:rPr>
        <w:t xml:space="preserve"> and place</w:t>
      </w:r>
      <w:r w:rsidRPr="00BD77D8">
        <w:rPr>
          <w:rFonts w:eastAsia="Calibri"/>
          <w:lang w:val="en-US" w:eastAsia="en-US"/>
        </w:rPr>
        <w:t xml:space="preserve"> of birth to assist with the creation of retrospective birth certificates by the Queensland Registry of Births, Deaths and Marriages. </w:t>
      </w:r>
    </w:p>
    <w:p w14:paraId="6D5B88B6" w14:textId="1ADEEC0E" w:rsidR="008E00EF" w:rsidRPr="00BD77D8" w:rsidRDefault="00CB1AA1" w:rsidP="00D83B53">
      <w:pPr>
        <w:rPr>
          <w:rFonts w:eastAsia="Calibri"/>
          <w:lang w:val="en-US" w:eastAsia="en-US"/>
        </w:rPr>
      </w:pPr>
      <w:r w:rsidRPr="00BD77D8">
        <w:rPr>
          <w:rFonts w:eastAsia="Calibri"/>
          <w:lang w:val="en-US" w:eastAsia="en-US"/>
        </w:rPr>
        <w:t xml:space="preserve">The department also undertakes requests </w:t>
      </w:r>
      <w:r w:rsidR="003A30FF" w:rsidRPr="00BD77D8">
        <w:rPr>
          <w:rFonts w:eastAsia="Calibri"/>
          <w:lang w:val="en-US" w:eastAsia="en-US"/>
        </w:rPr>
        <w:t>relating to</w:t>
      </w:r>
      <w:r w:rsidRPr="00BD77D8">
        <w:rPr>
          <w:rFonts w:eastAsia="Calibri"/>
          <w:lang w:val="en-US" w:eastAsia="en-US"/>
        </w:rPr>
        <w:t xml:space="preserve"> Native Title</w:t>
      </w:r>
      <w:r w:rsidR="00376C8C" w:rsidRPr="00BD77D8">
        <w:rPr>
          <w:rFonts w:eastAsia="Calibri"/>
          <w:lang w:val="en-US" w:eastAsia="en-US"/>
        </w:rPr>
        <w:t xml:space="preserve"> and</w:t>
      </w:r>
      <w:r w:rsidR="00810223" w:rsidRPr="00BD77D8">
        <w:rPr>
          <w:rFonts w:eastAsia="Calibri"/>
          <w:lang w:val="en-US" w:eastAsia="en-US"/>
        </w:rPr>
        <w:t xml:space="preserve"> </w:t>
      </w:r>
      <w:r w:rsidR="008E00EF" w:rsidRPr="00BD77D8">
        <w:rPr>
          <w:rFonts w:eastAsia="Calibri"/>
          <w:lang w:val="en-US" w:eastAsia="en-US"/>
        </w:rPr>
        <w:t>participate</w:t>
      </w:r>
      <w:r w:rsidR="00810223" w:rsidRPr="00BD77D8">
        <w:rPr>
          <w:rFonts w:eastAsia="Calibri"/>
          <w:lang w:val="en-US" w:eastAsia="en-US"/>
        </w:rPr>
        <w:t>s</w:t>
      </w:r>
      <w:r w:rsidR="008E00EF" w:rsidRPr="00BD77D8">
        <w:rPr>
          <w:rFonts w:eastAsia="Calibri"/>
          <w:lang w:val="en-US" w:eastAsia="en-US"/>
        </w:rPr>
        <w:t xml:space="preserve"> in the National Redress Scheme</w:t>
      </w:r>
      <w:r w:rsidR="005015A4" w:rsidRPr="00BD77D8">
        <w:rPr>
          <w:rFonts w:eastAsia="Calibri"/>
          <w:lang w:val="en-US" w:eastAsia="en-US"/>
        </w:rPr>
        <w:t xml:space="preserve"> (NRS) </w:t>
      </w:r>
      <w:r w:rsidR="008E00EF" w:rsidRPr="00BD77D8">
        <w:rPr>
          <w:rFonts w:eastAsia="Calibri"/>
          <w:lang w:val="en-US" w:eastAsia="en-US"/>
        </w:rPr>
        <w:t>by providing high</w:t>
      </w:r>
      <w:r w:rsidR="001F264E" w:rsidRPr="00BD77D8">
        <w:rPr>
          <w:rFonts w:eastAsia="Calibri"/>
          <w:lang w:val="en-US" w:eastAsia="en-US"/>
        </w:rPr>
        <w:t>-</w:t>
      </w:r>
      <w:r w:rsidR="008E00EF" w:rsidRPr="00BD77D8">
        <w:rPr>
          <w:rFonts w:eastAsia="Calibri"/>
          <w:lang w:val="en-US" w:eastAsia="en-US"/>
        </w:rPr>
        <w:t>quality research responses to applications and requests associated with the NRS</w:t>
      </w:r>
      <w:r w:rsidR="005015A4" w:rsidRPr="00BD77D8">
        <w:rPr>
          <w:rFonts w:eastAsia="Calibri"/>
          <w:lang w:val="en-US" w:eastAsia="en-US"/>
        </w:rPr>
        <w:t>.</w:t>
      </w:r>
    </w:p>
    <w:p w14:paraId="3F92D4A1" w14:textId="77777777" w:rsidR="00CB1AA1" w:rsidRPr="00BD77D8" w:rsidRDefault="00CB1AA1" w:rsidP="00D2663B">
      <w:pPr>
        <w:spacing w:after="120" w:line="240" w:lineRule="auto"/>
        <w:rPr>
          <w:b/>
          <w:bCs/>
        </w:rPr>
      </w:pPr>
      <w:bookmarkStart w:id="168" w:name="_Hlk112837420"/>
      <w:r w:rsidRPr="00BD77D8">
        <w:rPr>
          <w:b/>
          <w:bCs/>
        </w:rPr>
        <w:t>Key achievements</w:t>
      </w:r>
    </w:p>
    <w:p w14:paraId="7EF3FB54" w14:textId="546AE71D" w:rsidR="00CB1AA1" w:rsidRPr="00BD77D8" w:rsidRDefault="00810223" w:rsidP="00D2663B">
      <w:pPr>
        <w:spacing w:after="120" w:line="240" w:lineRule="auto"/>
        <w:rPr>
          <w:rFonts w:eastAsia="Calibri"/>
          <w:lang w:val="en-US" w:eastAsia="en-US"/>
        </w:rPr>
      </w:pPr>
      <w:r w:rsidRPr="00BD77D8">
        <w:rPr>
          <w:rFonts w:eastAsia="Calibri"/>
          <w:lang w:val="en-US" w:eastAsia="en-US"/>
        </w:rPr>
        <w:t>During the</w:t>
      </w:r>
      <w:r w:rsidR="00BB28B8" w:rsidRPr="00BD77D8">
        <w:rPr>
          <w:rFonts w:eastAsia="Calibri"/>
          <w:lang w:val="en-US" w:eastAsia="en-US"/>
        </w:rPr>
        <w:t xml:space="preserve"> period, </w:t>
      </w:r>
      <w:r w:rsidRPr="00BD77D8">
        <w:rPr>
          <w:rFonts w:eastAsia="Calibri"/>
          <w:lang w:val="en-US" w:eastAsia="en-US"/>
        </w:rPr>
        <w:t>t</w:t>
      </w:r>
      <w:r w:rsidR="00CB1AA1" w:rsidRPr="00BD77D8">
        <w:rPr>
          <w:rFonts w:eastAsia="Calibri"/>
          <w:lang w:val="en-US" w:eastAsia="en-US"/>
        </w:rPr>
        <w:t>he department:</w:t>
      </w:r>
    </w:p>
    <w:p w14:paraId="0A379D14" w14:textId="1F42CDC0" w:rsidR="00851AE1" w:rsidRPr="00BD77D8" w:rsidRDefault="00EE20B5" w:rsidP="00A463E0">
      <w:pPr>
        <w:pStyle w:val="ListBullet"/>
        <w:numPr>
          <w:ilvl w:val="0"/>
          <w:numId w:val="45"/>
        </w:numPr>
        <w:rPr>
          <w:rFonts w:eastAsia="Calibri"/>
        </w:rPr>
      </w:pPr>
      <w:r w:rsidRPr="00BD77D8">
        <w:rPr>
          <w:rFonts w:eastAsia="Calibri"/>
        </w:rPr>
        <w:t>finalised</w:t>
      </w:r>
      <w:r w:rsidR="00CB1AA1" w:rsidRPr="00BD77D8">
        <w:rPr>
          <w:rFonts w:eastAsia="Calibri"/>
        </w:rPr>
        <w:t xml:space="preserve"> </w:t>
      </w:r>
      <w:r w:rsidR="003A30FF" w:rsidRPr="00BD77D8">
        <w:rPr>
          <w:rFonts w:eastAsia="Calibri"/>
        </w:rPr>
        <w:t>505</w:t>
      </w:r>
      <w:r w:rsidR="00E960BE" w:rsidRPr="00BD77D8">
        <w:rPr>
          <w:rFonts w:eastAsia="Calibri"/>
        </w:rPr>
        <w:t xml:space="preserve"> </w:t>
      </w:r>
      <w:r w:rsidR="00CB1AA1" w:rsidRPr="00BD77D8">
        <w:rPr>
          <w:rFonts w:eastAsia="Calibri"/>
        </w:rPr>
        <w:t>requests for historical records relating to Aboriginal and Torres Strait Islander Queenslanders</w:t>
      </w:r>
      <w:r w:rsidR="00810223" w:rsidRPr="00BD77D8">
        <w:rPr>
          <w:rFonts w:eastAsia="Calibri"/>
        </w:rPr>
        <w:t>.</w:t>
      </w:r>
      <w:r w:rsidR="00157DCE" w:rsidRPr="00BD77D8">
        <w:rPr>
          <w:rFonts w:eastAsia="Calibri"/>
        </w:rPr>
        <w:t xml:space="preserve"> </w:t>
      </w:r>
    </w:p>
    <w:p w14:paraId="4DE2FD83" w14:textId="362728AA" w:rsidR="005E5AD9" w:rsidRPr="00BD77D8" w:rsidRDefault="005E5AD9" w:rsidP="0018616D">
      <w:pPr>
        <w:pStyle w:val="Heading3"/>
        <w:rPr>
          <w:rFonts w:eastAsia="Calibri"/>
        </w:rPr>
      </w:pPr>
      <w:bookmarkStart w:id="169" w:name="_Toc67046718"/>
      <w:bookmarkStart w:id="170" w:name="_Toc78287370"/>
      <w:bookmarkStart w:id="171" w:name="_Toc78355777"/>
      <w:bookmarkStart w:id="172" w:name="_Hlk112837474"/>
      <w:bookmarkStart w:id="173" w:name="_Hlk78189826"/>
      <w:bookmarkEnd w:id="168"/>
      <w:r w:rsidRPr="00BD77D8">
        <w:t xml:space="preserve">A renewed approach to </w:t>
      </w:r>
      <w:r w:rsidR="007F4C17" w:rsidRPr="00BD77D8">
        <w:t>a</w:t>
      </w:r>
      <w:r w:rsidRPr="00BD77D8">
        <w:t xml:space="preserve">lcohol </w:t>
      </w:r>
      <w:r w:rsidR="007F4C17" w:rsidRPr="00BD77D8">
        <w:t>m</w:t>
      </w:r>
      <w:r w:rsidRPr="00BD77D8">
        <w:t xml:space="preserve">anagement </w:t>
      </w:r>
      <w:bookmarkEnd w:id="169"/>
      <w:bookmarkEnd w:id="170"/>
      <w:bookmarkEnd w:id="171"/>
    </w:p>
    <w:p w14:paraId="3FE649CF" w14:textId="074A154E" w:rsidR="000416F1" w:rsidRPr="00BD77D8" w:rsidRDefault="000416F1" w:rsidP="000416F1">
      <w:pPr>
        <w:rPr>
          <w:rFonts w:eastAsia="Calibri"/>
          <w:lang w:val="en-US" w:eastAsia="en-US"/>
        </w:rPr>
      </w:pPr>
      <w:bookmarkStart w:id="174" w:name="_Hlk99360456"/>
      <w:bookmarkEnd w:id="172"/>
      <w:r w:rsidRPr="00BD77D8">
        <w:rPr>
          <w:rFonts w:eastAsia="Calibri"/>
          <w:lang w:val="en-US" w:eastAsia="en-US"/>
        </w:rPr>
        <w:t xml:space="preserve">The Queensland Government’s Renewed Approach to Alcohol Management (the renewed approach) is a commitment to community leadership driving the alcohol management arrangements in </w:t>
      </w:r>
      <w:r w:rsidR="00845DCB" w:rsidRPr="00BD77D8">
        <w:rPr>
          <w:rFonts w:eastAsia="Calibri"/>
          <w:lang w:val="en-US" w:eastAsia="en-US"/>
        </w:rPr>
        <w:t>r</w:t>
      </w:r>
      <w:r w:rsidRPr="00BD77D8">
        <w:rPr>
          <w:rFonts w:eastAsia="Calibri"/>
          <w:lang w:val="en-US" w:eastAsia="en-US"/>
        </w:rPr>
        <w:t xml:space="preserve">emote and </w:t>
      </w:r>
      <w:r w:rsidR="00845DCB" w:rsidRPr="00BD77D8">
        <w:rPr>
          <w:rFonts w:eastAsia="Calibri"/>
          <w:lang w:val="en-US" w:eastAsia="en-US"/>
        </w:rPr>
        <w:t>d</w:t>
      </w:r>
      <w:r w:rsidRPr="00BD77D8">
        <w:rPr>
          <w:rFonts w:eastAsia="Calibri"/>
          <w:lang w:val="en-US" w:eastAsia="en-US"/>
        </w:rPr>
        <w:t>iscrete Aboriginal and Torres Strait Islander communities, consistent with the LTC reform. Community Safety Plans</w:t>
      </w:r>
      <w:r w:rsidR="009B66A3" w:rsidRPr="00BD77D8">
        <w:rPr>
          <w:rFonts w:eastAsia="Calibri"/>
          <w:lang w:val="en-US" w:eastAsia="en-US"/>
        </w:rPr>
        <w:t> </w:t>
      </w:r>
      <w:r w:rsidRPr="00BD77D8">
        <w:rPr>
          <w:rFonts w:eastAsia="Calibri"/>
          <w:lang w:val="en-US" w:eastAsia="en-US"/>
        </w:rPr>
        <w:t xml:space="preserve">(CSPs) are a key element of the renewed approach as they are locally led, co-designed strategies to improve community safety and wellbeing, reduce demand for </w:t>
      </w:r>
      <w:r w:rsidR="009B66A3" w:rsidRPr="00BD77D8">
        <w:rPr>
          <w:rFonts w:eastAsia="Calibri"/>
          <w:lang w:val="en-US" w:eastAsia="en-US"/>
        </w:rPr>
        <w:t xml:space="preserve">and harm from </w:t>
      </w:r>
      <w:r w:rsidRPr="00BD77D8">
        <w:rPr>
          <w:rFonts w:eastAsia="Calibri"/>
          <w:lang w:val="en-US" w:eastAsia="en-US"/>
        </w:rPr>
        <w:t xml:space="preserve">alcohol, address sly grog and </w:t>
      </w:r>
      <w:r w:rsidRPr="00BD77D8">
        <w:rPr>
          <w:rFonts w:eastAsia="Calibri"/>
          <w:lang w:val="en-US" w:eastAsia="en-US"/>
        </w:rPr>
        <w:lastRenderedPageBreak/>
        <w:t>homebrew</w:t>
      </w:r>
      <w:r w:rsidR="001F264E" w:rsidRPr="00BD77D8">
        <w:rPr>
          <w:rFonts w:eastAsia="Calibri"/>
          <w:lang w:val="en-US" w:eastAsia="en-US"/>
        </w:rPr>
        <w:t>,</w:t>
      </w:r>
      <w:r w:rsidRPr="00BD77D8">
        <w:rPr>
          <w:rFonts w:eastAsia="Calibri"/>
          <w:lang w:val="en-US" w:eastAsia="en-US"/>
        </w:rPr>
        <w:t xml:space="preserve"> and promote a </w:t>
      </w:r>
      <w:r w:rsidR="009B66A3" w:rsidRPr="00BD77D8">
        <w:rPr>
          <w:rFonts w:eastAsia="Calibri"/>
          <w:lang w:val="en-US" w:eastAsia="en-US"/>
        </w:rPr>
        <w:t>safe</w:t>
      </w:r>
      <w:r w:rsidRPr="00BD77D8">
        <w:rPr>
          <w:rFonts w:eastAsia="Calibri"/>
          <w:lang w:val="en-US" w:eastAsia="en-US"/>
        </w:rPr>
        <w:t xml:space="preserve"> alcohol culture. CSPs include actions to promote cultural rights, the right to receive government services without discrimination, and the right to education and health services.</w:t>
      </w:r>
    </w:p>
    <w:p w14:paraId="00AA5369" w14:textId="6AA4BA19" w:rsidR="000416F1" w:rsidRPr="00BD77D8" w:rsidRDefault="000416F1" w:rsidP="000416F1">
      <w:pPr>
        <w:rPr>
          <w:rFonts w:eastAsia="Calibri"/>
          <w:lang w:val="en-US" w:eastAsia="en-US"/>
        </w:rPr>
      </w:pPr>
      <w:r w:rsidRPr="00BD77D8">
        <w:rPr>
          <w:rFonts w:eastAsia="Calibri"/>
          <w:lang w:val="en-US" w:eastAsia="en-US"/>
        </w:rPr>
        <w:t>All 15 Local Government Councils with Alcohol Management Plans have access to $335,000 over three years to develop, implement and monitor their CSPs, and deliver supporting services that contribute to community health and wellbeing.</w:t>
      </w:r>
    </w:p>
    <w:p w14:paraId="2CACCE17" w14:textId="16B1E7D9" w:rsidR="005E5AD9" w:rsidRPr="00BD77D8" w:rsidRDefault="005E5AD9" w:rsidP="00671ADD">
      <w:pPr>
        <w:spacing w:after="120" w:line="240" w:lineRule="auto"/>
        <w:rPr>
          <w:b/>
          <w:bCs/>
        </w:rPr>
      </w:pPr>
      <w:bookmarkStart w:id="175" w:name="_Hlk112837460"/>
      <w:r w:rsidRPr="00BD77D8">
        <w:rPr>
          <w:b/>
          <w:bCs/>
          <w:spacing w:val="-2"/>
          <w:w w:val="105"/>
        </w:rPr>
        <w:t>Key</w:t>
      </w:r>
      <w:r w:rsidRPr="00BD77D8">
        <w:rPr>
          <w:b/>
          <w:bCs/>
          <w:spacing w:val="30"/>
          <w:w w:val="105"/>
        </w:rPr>
        <w:t xml:space="preserve"> </w:t>
      </w:r>
      <w:r w:rsidRPr="00BD77D8">
        <w:rPr>
          <w:b/>
          <w:bCs/>
          <w:w w:val="105"/>
        </w:rPr>
        <w:t>achievements</w:t>
      </w:r>
    </w:p>
    <w:p w14:paraId="7C6B166D" w14:textId="61B44268" w:rsidR="005E5AD9" w:rsidRPr="00BD77D8" w:rsidRDefault="00810223" w:rsidP="00D2663B">
      <w:pPr>
        <w:spacing w:after="120" w:line="240" w:lineRule="auto"/>
        <w:rPr>
          <w:rFonts w:eastAsia="Calibri"/>
          <w:lang w:val="en-US" w:eastAsia="en-US"/>
        </w:rPr>
      </w:pPr>
      <w:r w:rsidRPr="00BD77D8">
        <w:rPr>
          <w:rFonts w:eastAsia="Calibri"/>
          <w:lang w:val="en-US" w:eastAsia="en-US"/>
        </w:rPr>
        <w:t>During the reporting period, t</w:t>
      </w:r>
      <w:r w:rsidR="005E5AD9" w:rsidRPr="00BD77D8">
        <w:rPr>
          <w:rFonts w:eastAsia="Calibri"/>
          <w:lang w:val="en-US" w:eastAsia="en-US"/>
        </w:rPr>
        <w:t>he</w:t>
      </w:r>
      <w:r w:rsidR="005E5AD9" w:rsidRPr="00BD77D8">
        <w:rPr>
          <w:rFonts w:eastAsia="Calibri"/>
          <w:spacing w:val="-14"/>
          <w:lang w:val="en-US" w:eastAsia="en-US"/>
        </w:rPr>
        <w:t xml:space="preserve"> </w:t>
      </w:r>
      <w:r w:rsidR="005E5AD9" w:rsidRPr="00BD77D8">
        <w:rPr>
          <w:rFonts w:eastAsia="Calibri"/>
          <w:spacing w:val="-1"/>
          <w:lang w:val="en-US" w:eastAsia="en-US"/>
        </w:rPr>
        <w:t>dep</w:t>
      </w:r>
      <w:r w:rsidR="005E5AD9" w:rsidRPr="00BD77D8">
        <w:rPr>
          <w:rFonts w:eastAsia="Calibri"/>
          <w:spacing w:val="-2"/>
          <w:lang w:val="en-US" w:eastAsia="en-US"/>
        </w:rPr>
        <w:t>artment:</w:t>
      </w:r>
    </w:p>
    <w:bookmarkEnd w:id="174"/>
    <w:p w14:paraId="05699EF1" w14:textId="7D509C4C" w:rsidR="00845DCB" w:rsidRPr="00BD77D8" w:rsidRDefault="00845DCB" w:rsidP="00A463E0">
      <w:pPr>
        <w:pStyle w:val="ListBullet"/>
        <w:numPr>
          <w:ilvl w:val="0"/>
          <w:numId w:val="44"/>
        </w:numPr>
      </w:pPr>
      <w:r w:rsidRPr="00BD77D8">
        <w:t xml:space="preserve">received CSPs from all 15 </w:t>
      </w:r>
      <w:r w:rsidR="001F264E" w:rsidRPr="00BD77D8">
        <w:t>c</w:t>
      </w:r>
      <w:r w:rsidRPr="00BD77D8">
        <w:t>ouncils with alcohol restrictions</w:t>
      </w:r>
      <w:r w:rsidR="00CA2C9C" w:rsidRPr="00BD77D8">
        <w:t>,</w:t>
      </w:r>
      <w:r w:rsidRPr="00BD77D8">
        <w:t xml:space="preserve"> and worked with </w:t>
      </w:r>
      <w:r w:rsidR="001F264E" w:rsidRPr="00BD77D8">
        <w:t>c</w:t>
      </w:r>
      <w:r w:rsidRPr="00BD77D8">
        <w:t>ouncils to support implementation, monitoring and updates in line with community priorities</w:t>
      </w:r>
    </w:p>
    <w:p w14:paraId="40034351" w14:textId="0950F978" w:rsidR="00845DCB" w:rsidRPr="00BD77D8" w:rsidRDefault="00845DCB" w:rsidP="00A463E0">
      <w:pPr>
        <w:pStyle w:val="ListBullet"/>
        <w:numPr>
          <w:ilvl w:val="0"/>
          <w:numId w:val="44"/>
        </w:numPr>
      </w:pPr>
      <w:r w:rsidRPr="00BD77D8">
        <w:t>partnered with local leadership to progress alcohol carriage limit changes in Mornington Shire and Kowanyama, as identified in locally led CSPs. This demonstrates the Queensland Government’s commitment to a renewed approach to alcohol management, where alcohol restrictions are managed locally and include strategies tailored to the unique characteristics and aspirations of each community</w:t>
      </w:r>
    </w:p>
    <w:p w14:paraId="0570CEC6" w14:textId="2E69DDDB" w:rsidR="0001058A" w:rsidRPr="00BD77D8" w:rsidRDefault="00845DCB" w:rsidP="0001058A">
      <w:pPr>
        <w:pStyle w:val="ListBullet"/>
        <w:numPr>
          <w:ilvl w:val="0"/>
          <w:numId w:val="44"/>
        </w:numPr>
      </w:pPr>
      <w:r w:rsidRPr="00BD77D8">
        <w:t>shared</w:t>
      </w:r>
      <w:r w:rsidR="0001058A" w:rsidRPr="00BD77D8">
        <w:t xml:space="preserve"> CSPs across Queensland Government agencies to inform and support coordinated whole</w:t>
      </w:r>
      <w:r w:rsidR="0001058A" w:rsidRPr="00BD77D8">
        <w:noBreakHyphen/>
        <w:t>of</w:t>
      </w:r>
      <w:r w:rsidR="0001058A" w:rsidRPr="00BD77D8">
        <w:noBreakHyphen/>
        <w:t>government responses</w:t>
      </w:r>
    </w:p>
    <w:p w14:paraId="7867A69C" w14:textId="244DD369" w:rsidR="005E5AD9" w:rsidRPr="00BD77D8" w:rsidRDefault="00CA2C9C" w:rsidP="00A463E0">
      <w:pPr>
        <w:pStyle w:val="ListBullet"/>
        <w:numPr>
          <w:ilvl w:val="0"/>
          <w:numId w:val="44"/>
        </w:numPr>
      </w:pPr>
      <w:r w:rsidRPr="00BD77D8">
        <w:t>a</w:t>
      </w:r>
      <w:r w:rsidR="00845DCB" w:rsidRPr="00BD77D8">
        <w:t>llocated a further $285,000 per community to support CSP implementation and to enhance local services.</w:t>
      </w:r>
    </w:p>
    <w:p w14:paraId="46389D43" w14:textId="77777777" w:rsidR="005E5AD9" w:rsidRPr="00BD77D8" w:rsidRDefault="005E5AD9" w:rsidP="0018616D">
      <w:pPr>
        <w:pStyle w:val="Heading3"/>
      </w:pPr>
      <w:bookmarkStart w:id="176" w:name="_Toc67046719"/>
      <w:bookmarkStart w:id="177" w:name="_Toc78287371"/>
      <w:bookmarkStart w:id="178" w:name="_Toc78355778"/>
      <w:bookmarkStart w:id="179" w:name="_Hlk112837560"/>
      <w:bookmarkStart w:id="180" w:name="_Hlk78192691"/>
      <w:bookmarkEnd w:id="173"/>
      <w:bookmarkEnd w:id="175"/>
      <w:r w:rsidRPr="00BD77D8">
        <w:t>Supporting safe communities</w:t>
      </w:r>
      <w:bookmarkEnd w:id="176"/>
      <w:bookmarkEnd w:id="177"/>
      <w:bookmarkEnd w:id="178"/>
    </w:p>
    <w:bookmarkEnd w:id="179"/>
    <w:p w14:paraId="4566EEAF" w14:textId="1EB8493E" w:rsidR="002A4A6F" w:rsidRPr="00BD77D8" w:rsidRDefault="002A4A6F" w:rsidP="00D83B53">
      <w:pPr>
        <w:rPr>
          <w:rFonts w:eastAsia="Calibri"/>
          <w:lang w:val="en-US" w:eastAsia="en-US"/>
        </w:rPr>
      </w:pPr>
      <w:r w:rsidRPr="00BD77D8">
        <w:rPr>
          <w:rFonts w:eastAsia="Calibri"/>
          <w:lang w:val="en-US" w:eastAsia="en-US"/>
        </w:rPr>
        <w:t>The department is working with</w:t>
      </w:r>
      <w:r w:rsidR="00810223" w:rsidRPr="00BD77D8">
        <w:rPr>
          <w:rFonts w:eastAsia="Calibri"/>
          <w:lang w:val="en-US" w:eastAsia="en-US"/>
        </w:rPr>
        <w:t xml:space="preserve"> the</w:t>
      </w:r>
      <w:r w:rsidRPr="00BD77D8">
        <w:rPr>
          <w:rFonts w:eastAsia="Calibri"/>
          <w:lang w:val="en-US" w:eastAsia="en-US"/>
        </w:rPr>
        <w:t xml:space="preserve"> Department of Justice and Attorney-General to implement the Queensland Government's response to the </w:t>
      </w:r>
      <w:r w:rsidRPr="00BD77D8">
        <w:rPr>
          <w:rFonts w:eastAsia="Calibri"/>
          <w:i/>
          <w:lang w:val="en-US" w:eastAsia="en-US"/>
        </w:rPr>
        <w:t xml:space="preserve">Not </w:t>
      </w:r>
      <w:proofErr w:type="gramStart"/>
      <w:r w:rsidRPr="00BD77D8">
        <w:rPr>
          <w:rFonts w:eastAsia="Calibri"/>
          <w:i/>
          <w:lang w:val="en-US" w:eastAsia="en-US"/>
        </w:rPr>
        <w:t>Now Not</w:t>
      </w:r>
      <w:proofErr w:type="gramEnd"/>
      <w:r w:rsidRPr="00BD77D8">
        <w:rPr>
          <w:rFonts w:eastAsia="Calibri"/>
          <w:i/>
          <w:lang w:val="en-US" w:eastAsia="en-US"/>
        </w:rPr>
        <w:t xml:space="preserve"> Ever: Putting an End to Domestic and Family Violence in Queensland</w:t>
      </w:r>
      <w:r w:rsidRPr="00BD77D8">
        <w:rPr>
          <w:rFonts w:eastAsia="Calibri"/>
          <w:lang w:val="en-US" w:eastAsia="en-US"/>
        </w:rPr>
        <w:t xml:space="preserve"> report to ensure government</w:t>
      </w:r>
      <w:r w:rsidR="00810223" w:rsidRPr="00BD77D8">
        <w:rPr>
          <w:rFonts w:eastAsia="Calibri"/>
          <w:lang w:val="en-US" w:eastAsia="en-US"/>
        </w:rPr>
        <w:t>-</w:t>
      </w:r>
      <w:r w:rsidRPr="00BD77D8">
        <w:rPr>
          <w:rFonts w:eastAsia="Calibri"/>
          <w:lang w:val="en-US" w:eastAsia="en-US"/>
        </w:rPr>
        <w:t>funded services provide inclusion and equity of access to meet the needs of Aboriginal and Torres Strait Islander families and communities</w:t>
      </w:r>
      <w:r w:rsidR="00810223" w:rsidRPr="00BD77D8">
        <w:rPr>
          <w:rFonts w:eastAsia="Calibri"/>
          <w:lang w:val="en-US" w:eastAsia="en-US"/>
        </w:rPr>
        <w:t xml:space="preserve">. This includes </w:t>
      </w:r>
      <w:r w:rsidRPr="00BD77D8">
        <w:rPr>
          <w:rFonts w:eastAsia="Calibri"/>
          <w:lang w:val="en-US" w:eastAsia="en-US"/>
        </w:rPr>
        <w:t>support for two discrete Aboriginal and Torres Strait Islander communities to develop action plans</w:t>
      </w:r>
      <w:r w:rsidR="00810223" w:rsidRPr="00BD77D8">
        <w:rPr>
          <w:rFonts w:eastAsia="Calibri"/>
          <w:lang w:val="en-US" w:eastAsia="en-US"/>
        </w:rPr>
        <w:t>,</w:t>
      </w:r>
      <w:r w:rsidRPr="00BD77D8">
        <w:rPr>
          <w:rFonts w:eastAsia="Calibri"/>
          <w:lang w:val="en-US" w:eastAsia="en-US"/>
        </w:rPr>
        <w:t xml:space="preserve"> and one community to develop a social reinvestment project to address </w:t>
      </w:r>
      <w:r w:rsidR="00845DCB" w:rsidRPr="00BD77D8">
        <w:rPr>
          <w:rFonts w:eastAsia="Calibri"/>
          <w:lang w:val="en-US" w:eastAsia="en-US"/>
        </w:rPr>
        <w:t xml:space="preserve">underlying causes of </w:t>
      </w:r>
      <w:r w:rsidRPr="00BD77D8">
        <w:rPr>
          <w:rFonts w:eastAsia="Calibri"/>
          <w:lang w:val="en-US" w:eastAsia="en-US"/>
        </w:rPr>
        <w:t>violence</w:t>
      </w:r>
      <w:r w:rsidR="00845DCB" w:rsidRPr="00BD77D8">
        <w:rPr>
          <w:rFonts w:eastAsia="Calibri"/>
          <w:lang w:val="en-US" w:eastAsia="en-US"/>
        </w:rPr>
        <w:t xml:space="preserve"> against women and children</w:t>
      </w:r>
      <w:r w:rsidRPr="00BD77D8">
        <w:rPr>
          <w:rFonts w:eastAsia="Calibri"/>
          <w:lang w:val="en-US" w:eastAsia="en-US"/>
        </w:rPr>
        <w:t>.</w:t>
      </w:r>
    </w:p>
    <w:p w14:paraId="50DE6DBE" w14:textId="431E009B" w:rsidR="002A4A6F" w:rsidRPr="00BD77D8" w:rsidRDefault="002A4A6F" w:rsidP="00D83B53">
      <w:pPr>
        <w:rPr>
          <w:rFonts w:eastAsia="Calibri"/>
          <w:lang w:val="en-US" w:eastAsia="en-US"/>
        </w:rPr>
      </w:pPr>
      <w:r w:rsidRPr="00BD77D8">
        <w:rPr>
          <w:rFonts w:eastAsia="Calibri"/>
          <w:lang w:val="en-US" w:eastAsia="en-US"/>
        </w:rPr>
        <w:t>The department is</w:t>
      </w:r>
      <w:r w:rsidR="00810223" w:rsidRPr="00BD77D8">
        <w:rPr>
          <w:rFonts w:eastAsia="Calibri"/>
          <w:lang w:val="en-US" w:eastAsia="en-US"/>
        </w:rPr>
        <w:t xml:space="preserve"> also wor</w:t>
      </w:r>
      <w:r w:rsidRPr="00BD77D8">
        <w:rPr>
          <w:rFonts w:eastAsia="Calibri"/>
          <w:lang w:val="en-US" w:eastAsia="en-US"/>
        </w:rPr>
        <w:t xml:space="preserve">king with </w:t>
      </w:r>
      <w:r w:rsidR="006409EF" w:rsidRPr="00BD77D8">
        <w:rPr>
          <w:rFonts w:eastAsia="Calibri"/>
          <w:lang w:val="en-US" w:eastAsia="en-US"/>
        </w:rPr>
        <w:t xml:space="preserve">the </w:t>
      </w:r>
      <w:r w:rsidRPr="00BD77D8">
        <w:rPr>
          <w:rFonts w:eastAsia="Calibri"/>
          <w:lang w:val="en-US" w:eastAsia="en-US"/>
        </w:rPr>
        <w:t>Department of Justice and Attorney-General</w:t>
      </w:r>
      <w:r w:rsidR="00810223" w:rsidRPr="00BD77D8">
        <w:rPr>
          <w:rFonts w:eastAsia="Calibri"/>
          <w:lang w:val="en-US" w:eastAsia="en-US"/>
        </w:rPr>
        <w:t>,</w:t>
      </w:r>
      <w:r w:rsidRPr="00BD77D8">
        <w:rPr>
          <w:rFonts w:eastAsia="Calibri"/>
          <w:lang w:val="en-US" w:eastAsia="en-US"/>
        </w:rPr>
        <w:t xml:space="preserve"> and other agencies and communities</w:t>
      </w:r>
      <w:r w:rsidR="00810223" w:rsidRPr="00BD77D8">
        <w:rPr>
          <w:rFonts w:eastAsia="Calibri"/>
          <w:lang w:val="en-US" w:eastAsia="en-US"/>
        </w:rPr>
        <w:t>,</w:t>
      </w:r>
      <w:r w:rsidRPr="00BD77D8">
        <w:rPr>
          <w:rFonts w:eastAsia="Calibri"/>
          <w:lang w:val="en-US" w:eastAsia="en-US"/>
        </w:rPr>
        <w:t xml:space="preserve"> to implement </w:t>
      </w:r>
      <w:r w:rsidRPr="00BD77D8">
        <w:rPr>
          <w:rFonts w:eastAsia="Calibri"/>
          <w:i/>
          <w:lang w:val="en-US" w:eastAsia="en-US"/>
        </w:rPr>
        <w:t xml:space="preserve">Queensland’s Framework for Action – Reshaping our Approach to Aboriginal and Torres Strait Islander Domestic and Family Violence </w:t>
      </w:r>
      <w:r w:rsidRPr="00BD77D8">
        <w:rPr>
          <w:rFonts w:eastAsia="Calibri"/>
          <w:lang w:val="en-US" w:eastAsia="en-US"/>
        </w:rPr>
        <w:t xml:space="preserve">to respond to Recommendation 20 from the </w:t>
      </w:r>
      <w:r w:rsidRPr="00BD77D8">
        <w:rPr>
          <w:rFonts w:eastAsia="Calibri"/>
          <w:i/>
          <w:lang w:val="en-US" w:eastAsia="en-US"/>
        </w:rPr>
        <w:t>Domestic and Family Violence Death Review and Advisory Board Annual Report 2016-2017</w:t>
      </w:r>
      <w:r w:rsidRPr="00BD77D8">
        <w:rPr>
          <w:rFonts w:eastAsia="Calibri"/>
          <w:lang w:val="en-US" w:eastAsia="en-US"/>
        </w:rPr>
        <w:t>, which called for a specific strategy to address family violence issues experienced by Aboriginal and Torres Strait Islander families and communities.</w:t>
      </w:r>
    </w:p>
    <w:p w14:paraId="210A05A1" w14:textId="77777777" w:rsidR="004E2DA4" w:rsidRPr="00BD77D8" w:rsidRDefault="004E2DA4" w:rsidP="00671ADD">
      <w:pPr>
        <w:spacing w:after="120" w:line="240" w:lineRule="auto"/>
        <w:rPr>
          <w:b/>
          <w:bCs/>
        </w:rPr>
      </w:pPr>
      <w:bookmarkStart w:id="181" w:name="_Hlk112837508"/>
      <w:r w:rsidRPr="00BD77D8">
        <w:rPr>
          <w:b/>
          <w:bCs/>
        </w:rPr>
        <w:t>Key achievements</w:t>
      </w:r>
    </w:p>
    <w:p w14:paraId="23DDEA6F" w14:textId="1EDE80FA" w:rsidR="002A4A6F" w:rsidRPr="00BD77D8" w:rsidRDefault="004E2DA4" w:rsidP="00671ADD">
      <w:pPr>
        <w:spacing w:after="120" w:line="240" w:lineRule="auto"/>
        <w:rPr>
          <w:rFonts w:eastAsia="Calibri"/>
          <w:lang w:val="en-US" w:eastAsia="en-US"/>
        </w:rPr>
      </w:pPr>
      <w:r w:rsidRPr="00BD77D8">
        <w:rPr>
          <w:rFonts w:eastAsia="Calibri"/>
          <w:lang w:val="en-US" w:eastAsia="en-US"/>
        </w:rPr>
        <w:t>During the reporting period, the department:</w:t>
      </w:r>
    </w:p>
    <w:p w14:paraId="5938EDCC" w14:textId="34EBCA91" w:rsidR="00845DCB" w:rsidRPr="00BD77D8" w:rsidRDefault="00845DCB" w:rsidP="00F729B3">
      <w:pPr>
        <w:pStyle w:val="ListBullet"/>
        <w:numPr>
          <w:ilvl w:val="0"/>
          <w:numId w:val="50"/>
        </w:numPr>
      </w:pPr>
      <w:r w:rsidRPr="00BD77D8">
        <w:t xml:space="preserve">committed $175,000 each over 12 months to </w:t>
      </w:r>
      <w:r w:rsidR="00CA2C9C" w:rsidRPr="00BD77D8">
        <w:t xml:space="preserve">the </w:t>
      </w:r>
      <w:r w:rsidRPr="00BD77D8">
        <w:t>Hope Vale Aboriginal Shire Council</w:t>
      </w:r>
      <w:r w:rsidR="00CA2C9C" w:rsidRPr="00BD77D8">
        <w:t>,</w:t>
      </w:r>
      <w:r w:rsidRPr="00BD77D8">
        <w:t xml:space="preserve"> and </w:t>
      </w:r>
      <w:r w:rsidR="00CA2C9C" w:rsidRPr="00BD77D8">
        <w:t xml:space="preserve">the </w:t>
      </w:r>
      <w:r w:rsidRPr="00BD77D8">
        <w:t>Torres Strait Island Regional Council</w:t>
      </w:r>
      <w:r w:rsidR="00CA2C9C" w:rsidRPr="00BD77D8">
        <w:t>,</w:t>
      </w:r>
      <w:r w:rsidRPr="00BD77D8">
        <w:t xml:space="preserve"> to develop locally led domestic and family violence action plans based on community specific priorities</w:t>
      </w:r>
    </w:p>
    <w:p w14:paraId="103831CA" w14:textId="77777777" w:rsidR="00845DCB" w:rsidRPr="00BD77D8" w:rsidRDefault="00845DCB" w:rsidP="00F729B3">
      <w:pPr>
        <w:pStyle w:val="ListBullet"/>
        <w:numPr>
          <w:ilvl w:val="0"/>
          <w:numId w:val="50"/>
        </w:numPr>
        <w:rPr>
          <w:rFonts w:eastAsia="Calibri"/>
          <w:lang w:val="en-US" w:eastAsia="en-US"/>
        </w:rPr>
      </w:pPr>
      <w:r w:rsidRPr="00BD77D8">
        <w:t>committed $150,000 over 12 months to support the Yarrabah Aboriginal Shire Council with a domestic and family violence social reinvestment project aimed at addressing the underlying causes of crime and violence against women and children, with savings reinvested into strategies that strengthen the community and prevent crime</w:t>
      </w:r>
    </w:p>
    <w:p w14:paraId="217B9E7C" w14:textId="5E7261D3" w:rsidR="005E5AD9" w:rsidRPr="00BD77D8" w:rsidRDefault="00845DCB" w:rsidP="00F729B3">
      <w:pPr>
        <w:pStyle w:val="ListBullet"/>
        <w:numPr>
          <w:ilvl w:val="0"/>
          <w:numId w:val="50"/>
        </w:numPr>
        <w:rPr>
          <w:rFonts w:eastAsia="Calibri"/>
          <w:lang w:val="en-US" w:eastAsia="en-US"/>
        </w:rPr>
      </w:pPr>
      <w:r w:rsidRPr="00BD77D8">
        <w:t>invested over $800,000 in locally</w:t>
      </w:r>
      <w:r w:rsidR="001F264E" w:rsidRPr="00BD77D8">
        <w:t xml:space="preserve"> </w:t>
      </w:r>
      <w:r w:rsidRPr="00BD77D8">
        <w:t xml:space="preserve">led social reinvestment initiatives aimed at community safety, supporting young people, and reducing youth crime as a key part of the Queensland Government’s </w:t>
      </w:r>
      <w:r w:rsidR="008D5F45" w:rsidRPr="00BD77D8">
        <w:t>i</w:t>
      </w:r>
      <w:r w:rsidRPr="00BD77D8">
        <w:t xml:space="preserve">nvestment </w:t>
      </w:r>
      <w:r w:rsidR="008D5F45" w:rsidRPr="00BD77D8">
        <w:t>r</w:t>
      </w:r>
      <w:r w:rsidRPr="00BD77D8">
        <w:t>eform.</w:t>
      </w:r>
    </w:p>
    <w:p w14:paraId="38486AFB" w14:textId="5A27B7FA" w:rsidR="002A6012" w:rsidRPr="00BD77D8" w:rsidRDefault="00E86FF9" w:rsidP="0018616D">
      <w:pPr>
        <w:pStyle w:val="Heading3"/>
      </w:pPr>
      <w:bookmarkStart w:id="182" w:name="_Toc67046708"/>
      <w:bookmarkStart w:id="183" w:name="_Toc78287373"/>
      <w:bookmarkStart w:id="184" w:name="_Toc78355780"/>
      <w:bookmarkStart w:id="185" w:name="_Hlk112837604"/>
      <w:bookmarkEnd w:id="180"/>
      <w:bookmarkEnd w:id="181"/>
      <w:r w:rsidRPr="00BD77D8">
        <w:t>Aboriginal and Torres Strait Islander languages</w:t>
      </w:r>
      <w:bookmarkEnd w:id="182"/>
      <w:bookmarkEnd w:id="183"/>
      <w:bookmarkEnd w:id="184"/>
    </w:p>
    <w:p w14:paraId="70DAB88B" w14:textId="047E5A5E" w:rsidR="00E86FF9" w:rsidRPr="00BD77D8" w:rsidRDefault="00E86FF9" w:rsidP="00D83B53">
      <w:pPr>
        <w:rPr>
          <w:rFonts w:eastAsia="Calibri"/>
          <w:i/>
          <w:lang w:val="en-US" w:eastAsia="en-US"/>
        </w:rPr>
      </w:pPr>
      <w:bookmarkStart w:id="186" w:name="_Hlk77685591"/>
      <w:bookmarkEnd w:id="185"/>
      <w:r w:rsidRPr="00BD77D8">
        <w:rPr>
          <w:rFonts w:eastAsia="Calibri"/>
          <w:spacing w:val="-2"/>
          <w:lang w:val="en-US" w:eastAsia="en-US"/>
        </w:rPr>
        <w:t>A</w:t>
      </w:r>
      <w:r w:rsidRPr="00BD77D8">
        <w:rPr>
          <w:rFonts w:eastAsia="Calibri"/>
          <w:lang w:val="en-US" w:eastAsia="en-US"/>
        </w:rPr>
        <w:t>boriginal</w:t>
      </w:r>
      <w:r w:rsidRPr="00BD77D8">
        <w:rPr>
          <w:rFonts w:eastAsia="Calibri"/>
          <w:spacing w:val="-10"/>
          <w:lang w:val="en-US" w:eastAsia="en-US"/>
        </w:rPr>
        <w:t xml:space="preserve"> </w:t>
      </w:r>
      <w:r w:rsidRPr="00BD77D8">
        <w:rPr>
          <w:rFonts w:eastAsia="Calibri"/>
          <w:lang w:val="en-US" w:eastAsia="en-US"/>
        </w:rPr>
        <w:t>and</w:t>
      </w:r>
      <w:r w:rsidRPr="00BD77D8">
        <w:rPr>
          <w:rFonts w:eastAsia="Calibri"/>
          <w:spacing w:val="-13"/>
          <w:lang w:val="en-US" w:eastAsia="en-US"/>
        </w:rPr>
        <w:t xml:space="preserve"> </w:t>
      </w:r>
      <w:r w:rsidRPr="00BD77D8">
        <w:rPr>
          <w:rFonts w:eastAsia="Calibri"/>
          <w:spacing w:val="-3"/>
          <w:lang w:val="en-US" w:eastAsia="en-US"/>
        </w:rPr>
        <w:t>Torre</w:t>
      </w:r>
      <w:r w:rsidRPr="00BD77D8">
        <w:rPr>
          <w:rFonts w:eastAsia="Calibri"/>
          <w:spacing w:val="-2"/>
          <w:lang w:val="en-US" w:eastAsia="en-US"/>
        </w:rPr>
        <w:t>s</w:t>
      </w:r>
      <w:r w:rsidRPr="00BD77D8">
        <w:rPr>
          <w:rFonts w:eastAsia="Calibri"/>
          <w:spacing w:val="-12"/>
          <w:lang w:val="en-US" w:eastAsia="en-US"/>
        </w:rPr>
        <w:t xml:space="preserve"> </w:t>
      </w:r>
      <w:r w:rsidRPr="00BD77D8">
        <w:rPr>
          <w:rFonts w:eastAsia="Calibri"/>
          <w:lang w:val="en-US" w:eastAsia="en-US"/>
        </w:rPr>
        <w:t>St</w:t>
      </w:r>
      <w:r w:rsidRPr="00BD77D8">
        <w:rPr>
          <w:rFonts w:eastAsia="Calibri"/>
          <w:spacing w:val="-2"/>
          <w:lang w:val="en-US" w:eastAsia="en-US"/>
        </w:rPr>
        <w:t>rait</w:t>
      </w:r>
      <w:r w:rsidRPr="00BD77D8">
        <w:rPr>
          <w:rFonts w:eastAsia="Calibri"/>
          <w:spacing w:val="-10"/>
          <w:lang w:val="en-US" w:eastAsia="en-US"/>
        </w:rPr>
        <w:t xml:space="preserve"> </w:t>
      </w:r>
      <w:r w:rsidRPr="00BD77D8">
        <w:rPr>
          <w:rFonts w:eastAsia="Calibri"/>
          <w:lang w:val="en-US" w:eastAsia="en-US"/>
        </w:rPr>
        <w:t>Island</w:t>
      </w:r>
      <w:r w:rsidRPr="00BD77D8">
        <w:rPr>
          <w:rFonts w:eastAsia="Calibri"/>
          <w:spacing w:val="-2"/>
          <w:lang w:val="en-US" w:eastAsia="en-US"/>
        </w:rPr>
        <w:t>er</w:t>
      </w:r>
      <w:r w:rsidRPr="00BD77D8">
        <w:rPr>
          <w:rFonts w:eastAsia="Calibri"/>
          <w:spacing w:val="-8"/>
          <w:lang w:val="en-US" w:eastAsia="en-US"/>
        </w:rPr>
        <w:t xml:space="preserve"> </w:t>
      </w:r>
      <w:r w:rsidRPr="00BD77D8">
        <w:rPr>
          <w:rFonts w:eastAsia="Calibri"/>
          <w:lang w:val="en-US" w:eastAsia="en-US"/>
        </w:rPr>
        <w:t>languages</w:t>
      </w:r>
      <w:r w:rsidRPr="00BD77D8">
        <w:rPr>
          <w:rFonts w:eastAsia="Calibri"/>
          <w:spacing w:val="-9"/>
          <w:lang w:val="en-US" w:eastAsia="en-US"/>
        </w:rPr>
        <w:t xml:space="preserve"> </w:t>
      </w:r>
      <w:r w:rsidRPr="00BD77D8">
        <w:rPr>
          <w:rFonts w:eastAsia="Calibri"/>
          <w:lang w:val="en-US" w:eastAsia="en-US"/>
        </w:rPr>
        <w:t>are</w:t>
      </w:r>
      <w:r w:rsidRPr="00BD77D8">
        <w:rPr>
          <w:rFonts w:eastAsia="Calibri"/>
          <w:spacing w:val="-8"/>
          <w:lang w:val="en-US" w:eastAsia="en-US"/>
        </w:rPr>
        <w:t xml:space="preserve"> </w:t>
      </w:r>
      <w:r w:rsidRPr="00BD77D8">
        <w:rPr>
          <w:rFonts w:eastAsia="Calibri"/>
          <w:lang w:val="en-US" w:eastAsia="en-US"/>
        </w:rPr>
        <w:t>intrinsic to</w:t>
      </w:r>
      <w:r w:rsidR="00EE20B5" w:rsidRPr="00BD77D8">
        <w:rPr>
          <w:rFonts w:eastAsia="Calibri"/>
          <w:lang w:val="en-US" w:eastAsia="en-US"/>
        </w:rPr>
        <w:t xml:space="preserve"> </w:t>
      </w:r>
      <w:r w:rsidRPr="00BD77D8">
        <w:rPr>
          <w:rFonts w:eastAsia="Calibri"/>
          <w:lang w:val="en-US" w:eastAsia="en-US"/>
        </w:rPr>
        <w:t>the cultural</w:t>
      </w:r>
      <w:r w:rsidRPr="00BD77D8">
        <w:rPr>
          <w:rFonts w:eastAsia="Calibri"/>
          <w:spacing w:val="-16"/>
          <w:lang w:val="en-US" w:eastAsia="en-US"/>
        </w:rPr>
        <w:t xml:space="preserve"> </w:t>
      </w:r>
      <w:r w:rsidRPr="00BD77D8">
        <w:rPr>
          <w:rFonts w:eastAsia="Calibri"/>
          <w:spacing w:val="-2"/>
          <w:lang w:val="en-US" w:eastAsia="en-US"/>
        </w:rPr>
        <w:t>herit</w:t>
      </w:r>
      <w:r w:rsidRPr="00BD77D8">
        <w:rPr>
          <w:rFonts w:eastAsia="Calibri"/>
          <w:lang w:val="en-US" w:eastAsia="en-US"/>
        </w:rPr>
        <w:t>age</w:t>
      </w:r>
      <w:r w:rsidRPr="00BD77D8">
        <w:rPr>
          <w:rFonts w:eastAsia="Calibri"/>
          <w:spacing w:val="-15"/>
          <w:lang w:val="en-US" w:eastAsia="en-US"/>
        </w:rPr>
        <w:t xml:space="preserve"> </w:t>
      </w:r>
      <w:r w:rsidRPr="00BD77D8">
        <w:rPr>
          <w:rFonts w:eastAsia="Calibri"/>
          <w:lang w:val="en-US" w:eastAsia="en-US"/>
        </w:rPr>
        <w:t>of</w:t>
      </w:r>
      <w:r w:rsidRPr="00BD77D8">
        <w:rPr>
          <w:rFonts w:eastAsia="Calibri"/>
          <w:spacing w:val="-16"/>
          <w:lang w:val="en-US" w:eastAsia="en-US"/>
        </w:rPr>
        <w:t xml:space="preserve"> </w:t>
      </w:r>
      <w:r w:rsidRPr="00BD77D8">
        <w:rPr>
          <w:rFonts w:eastAsia="Calibri"/>
          <w:spacing w:val="-2"/>
          <w:lang w:val="en-US" w:eastAsia="en-US"/>
        </w:rPr>
        <w:t>Queen</w:t>
      </w:r>
      <w:r w:rsidRPr="00BD77D8">
        <w:rPr>
          <w:rFonts w:eastAsia="Calibri"/>
          <w:lang w:val="en-US" w:eastAsia="en-US"/>
        </w:rPr>
        <w:t>sland</w:t>
      </w:r>
      <w:r w:rsidRPr="00BD77D8">
        <w:rPr>
          <w:rFonts w:eastAsia="Calibri"/>
          <w:spacing w:val="-15"/>
          <w:lang w:val="en-US" w:eastAsia="en-US"/>
        </w:rPr>
        <w:t xml:space="preserve"> </w:t>
      </w:r>
      <w:r w:rsidRPr="00BD77D8">
        <w:rPr>
          <w:rFonts w:eastAsia="Calibri"/>
          <w:lang w:val="en-US" w:eastAsia="en-US"/>
        </w:rPr>
        <w:t>and</w:t>
      </w:r>
      <w:r w:rsidRPr="00BD77D8">
        <w:rPr>
          <w:rFonts w:eastAsia="Calibri"/>
          <w:spacing w:val="-17"/>
          <w:lang w:val="en-US" w:eastAsia="en-US"/>
        </w:rPr>
        <w:t xml:space="preserve"> </w:t>
      </w:r>
      <w:r w:rsidRPr="00BD77D8">
        <w:rPr>
          <w:rFonts w:eastAsia="Calibri"/>
          <w:lang w:val="en-US" w:eastAsia="en-US"/>
        </w:rPr>
        <w:t>important</w:t>
      </w:r>
      <w:r w:rsidRPr="00BD77D8">
        <w:rPr>
          <w:rFonts w:eastAsia="Calibri"/>
          <w:spacing w:val="35"/>
          <w:w w:val="97"/>
          <w:lang w:val="en-US" w:eastAsia="en-US"/>
        </w:rPr>
        <w:t xml:space="preserve"> </w:t>
      </w:r>
      <w:bookmarkEnd w:id="186"/>
      <w:r w:rsidRPr="00BD77D8">
        <w:rPr>
          <w:rFonts w:eastAsia="Calibri"/>
          <w:lang w:val="en-US" w:eastAsia="en-US"/>
        </w:rPr>
        <w:t>in</w:t>
      </w:r>
      <w:r w:rsidRPr="00BD77D8">
        <w:rPr>
          <w:rFonts w:eastAsia="Calibri"/>
          <w:spacing w:val="-8"/>
          <w:lang w:val="en-US" w:eastAsia="en-US"/>
        </w:rPr>
        <w:t xml:space="preserve"> </w:t>
      </w:r>
      <w:r w:rsidRPr="00BD77D8">
        <w:rPr>
          <w:rFonts w:eastAsia="Calibri"/>
          <w:spacing w:val="-2"/>
          <w:lang w:val="en-US" w:eastAsia="en-US"/>
        </w:rPr>
        <w:t>maint</w:t>
      </w:r>
      <w:r w:rsidRPr="00BD77D8">
        <w:rPr>
          <w:rFonts w:eastAsia="Calibri"/>
          <w:lang w:val="en-US" w:eastAsia="en-US"/>
        </w:rPr>
        <w:t>aining</w:t>
      </w:r>
      <w:r w:rsidRPr="00BD77D8">
        <w:rPr>
          <w:rFonts w:eastAsia="Calibri"/>
          <w:spacing w:val="-8"/>
          <w:lang w:val="en-US" w:eastAsia="en-US"/>
        </w:rPr>
        <w:t xml:space="preserve"> </w:t>
      </w:r>
      <w:r w:rsidRPr="00BD77D8">
        <w:rPr>
          <w:rFonts w:eastAsia="Calibri"/>
          <w:spacing w:val="-2"/>
          <w:lang w:val="en-US" w:eastAsia="en-US"/>
        </w:rPr>
        <w:t>A</w:t>
      </w:r>
      <w:r w:rsidRPr="00BD77D8">
        <w:rPr>
          <w:rFonts w:eastAsia="Calibri"/>
          <w:lang w:val="en-US" w:eastAsia="en-US"/>
        </w:rPr>
        <w:t>boriginal</w:t>
      </w:r>
      <w:r w:rsidR="004C7FBB" w:rsidRPr="00BD77D8">
        <w:rPr>
          <w:rFonts w:eastAsia="Calibri"/>
          <w:lang w:val="en-US" w:eastAsia="en-US"/>
        </w:rPr>
        <w:t xml:space="preserve"> peoples</w:t>
      </w:r>
      <w:r w:rsidRPr="00BD77D8">
        <w:rPr>
          <w:rFonts w:eastAsia="Calibri"/>
          <w:spacing w:val="-9"/>
          <w:lang w:val="en-US" w:eastAsia="en-US"/>
        </w:rPr>
        <w:t xml:space="preserve"> </w:t>
      </w:r>
      <w:r w:rsidRPr="00BD77D8">
        <w:rPr>
          <w:rFonts w:eastAsia="Calibri"/>
          <w:lang w:val="en-US" w:eastAsia="en-US"/>
        </w:rPr>
        <w:t>and</w:t>
      </w:r>
      <w:r w:rsidRPr="00BD77D8">
        <w:rPr>
          <w:rFonts w:eastAsia="Calibri"/>
          <w:spacing w:val="-12"/>
          <w:lang w:val="en-US" w:eastAsia="en-US"/>
        </w:rPr>
        <w:t xml:space="preserve"> </w:t>
      </w:r>
      <w:r w:rsidRPr="00BD77D8">
        <w:rPr>
          <w:rFonts w:eastAsia="Calibri"/>
          <w:spacing w:val="-3"/>
          <w:lang w:val="en-US" w:eastAsia="en-US"/>
        </w:rPr>
        <w:t>Torre</w:t>
      </w:r>
      <w:r w:rsidRPr="00BD77D8">
        <w:rPr>
          <w:rFonts w:eastAsia="Calibri"/>
          <w:spacing w:val="-2"/>
          <w:lang w:val="en-US" w:eastAsia="en-US"/>
        </w:rPr>
        <w:t>s</w:t>
      </w:r>
      <w:r w:rsidRPr="00BD77D8">
        <w:rPr>
          <w:rFonts w:eastAsia="Calibri"/>
          <w:spacing w:val="-13"/>
          <w:lang w:val="en-US" w:eastAsia="en-US"/>
        </w:rPr>
        <w:t xml:space="preserve"> </w:t>
      </w:r>
      <w:r w:rsidRPr="00BD77D8">
        <w:rPr>
          <w:rFonts w:eastAsia="Calibri"/>
          <w:lang w:val="en-US" w:eastAsia="en-US"/>
        </w:rPr>
        <w:t>St</w:t>
      </w:r>
      <w:r w:rsidRPr="00BD77D8">
        <w:rPr>
          <w:rFonts w:eastAsia="Calibri"/>
          <w:spacing w:val="-2"/>
          <w:lang w:val="en-US" w:eastAsia="en-US"/>
        </w:rPr>
        <w:t>rait</w:t>
      </w:r>
      <w:r w:rsidRPr="00BD77D8">
        <w:rPr>
          <w:rFonts w:eastAsia="Calibri"/>
          <w:spacing w:val="-9"/>
          <w:lang w:val="en-US" w:eastAsia="en-US"/>
        </w:rPr>
        <w:t xml:space="preserve"> </w:t>
      </w:r>
      <w:r w:rsidRPr="00BD77D8">
        <w:rPr>
          <w:rFonts w:eastAsia="Calibri"/>
          <w:lang w:val="en-US" w:eastAsia="en-US"/>
        </w:rPr>
        <w:t>Island</w:t>
      </w:r>
      <w:r w:rsidRPr="00BD77D8">
        <w:rPr>
          <w:rFonts w:eastAsia="Calibri"/>
          <w:spacing w:val="-2"/>
          <w:lang w:val="en-US" w:eastAsia="en-US"/>
        </w:rPr>
        <w:t>er</w:t>
      </w:r>
      <w:r w:rsidR="00F92945" w:rsidRPr="00BD77D8">
        <w:rPr>
          <w:rFonts w:eastAsia="Calibri"/>
          <w:spacing w:val="-2"/>
          <w:lang w:val="en-US" w:eastAsia="en-US"/>
        </w:rPr>
        <w:t xml:space="preserve"> </w:t>
      </w:r>
      <w:r w:rsidRPr="00BD77D8">
        <w:rPr>
          <w:rFonts w:eastAsia="Calibri"/>
          <w:lang w:val="en-US" w:eastAsia="en-US"/>
        </w:rPr>
        <w:t>peopl</w:t>
      </w:r>
      <w:r w:rsidRPr="00BD77D8">
        <w:rPr>
          <w:rFonts w:eastAsia="Calibri"/>
          <w:spacing w:val="-2"/>
          <w:lang w:val="en-US" w:eastAsia="en-US"/>
        </w:rPr>
        <w:t>e</w:t>
      </w:r>
      <w:r w:rsidRPr="00BD77D8">
        <w:rPr>
          <w:rFonts w:eastAsia="Calibri"/>
          <w:lang w:val="en-US" w:eastAsia="en-US"/>
        </w:rPr>
        <w:t>s’</w:t>
      </w:r>
      <w:r w:rsidRPr="00BD77D8">
        <w:rPr>
          <w:rFonts w:eastAsia="Calibri"/>
          <w:spacing w:val="-13"/>
          <w:lang w:val="en-US" w:eastAsia="en-US"/>
        </w:rPr>
        <w:t xml:space="preserve"> </w:t>
      </w:r>
      <w:r w:rsidRPr="00BD77D8">
        <w:rPr>
          <w:rFonts w:eastAsia="Calibri"/>
          <w:lang w:val="en-US" w:eastAsia="en-US"/>
        </w:rPr>
        <w:t>connection</w:t>
      </w:r>
      <w:r w:rsidRPr="00BD77D8">
        <w:rPr>
          <w:rFonts w:eastAsia="Calibri"/>
          <w:spacing w:val="-13"/>
          <w:lang w:val="en-US" w:eastAsia="en-US"/>
        </w:rPr>
        <w:t xml:space="preserve"> </w:t>
      </w:r>
      <w:r w:rsidRPr="00BD77D8">
        <w:rPr>
          <w:rFonts w:eastAsia="Calibri"/>
          <w:spacing w:val="-2"/>
          <w:lang w:val="en-US" w:eastAsia="en-US"/>
        </w:rPr>
        <w:t>t</w:t>
      </w:r>
      <w:r w:rsidRPr="00BD77D8">
        <w:rPr>
          <w:rFonts w:eastAsia="Calibri"/>
          <w:lang w:val="en-US" w:eastAsia="en-US"/>
        </w:rPr>
        <w:t>o</w:t>
      </w:r>
      <w:r w:rsidRPr="00BD77D8">
        <w:rPr>
          <w:rFonts w:eastAsia="Calibri"/>
          <w:spacing w:val="-13"/>
          <w:lang w:val="en-US" w:eastAsia="en-US"/>
        </w:rPr>
        <w:t xml:space="preserve"> </w:t>
      </w:r>
      <w:r w:rsidRPr="00BD77D8">
        <w:rPr>
          <w:rFonts w:eastAsia="Calibri"/>
          <w:lang w:val="en-US" w:eastAsia="en-US"/>
        </w:rPr>
        <w:t>cu</w:t>
      </w:r>
      <w:r w:rsidRPr="00BD77D8">
        <w:rPr>
          <w:rFonts w:eastAsia="Calibri"/>
          <w:spacing w:val="-2"/>
          <w:lang w:val="en-US" w:eastAsia="en-US"/>
        </w:rPr>
        <w:t>lt</w:t>
      </w:r>
      <w:r w:rsidRPr="00BD77D8">
        <w:rPr>
          <w:rFonts w:eastAsia="Calibri"/>
          <w:lang w:val="en-US" w:eastAsia="en-US"/>
        </w:rPr>
        <w:t>u</w:t>
      </w:r>
      <w:r w:rsidRPr="00BD77D8">
        <w:rPr>
          <w:rFonts w:eastAsia="Calibri"/>
          <w:spacing w:val="-2"/>
          <w:lang w:val="en-US" w:eastAsia="en-US"/>
        </w:rPr>
        <w:t>re,</w:t>
      </w:r>
      <w:r w:rsidRPr="00BD77D8">
        <w:rPr>
          <w:rFonts w:eastAsia="Calibri"/>
          <w:spacing w:val="-13"/>
          <w:lang w:val="en-US" w:eastAsia="en-US"/>
        </w:rPr>
        <w:t xml:space="preserve"> </w:t>
      </w:r>
      <w:r w:rsidRPr="00BD77D8">
        <w:rPr>
          <w:rFonts w:eastAsia="Calibri"/>
          <w:lang w:val="en-US" w:eastAsia="en-US"/>
        </w:rPr>
        <w:t>c</w:t>
      </w:r>
      <w:r w:rsidRPr="00BD77D8">
        <w:rPr>
          <w:rFonts w:eastAsia="Calibri"/>
          <w:spacing w:val="-2"/>
          <w:lang w:val="en-US" w:eastAsia="en-US"/>
        </w:rPr>
        <w:t>ommunity</w:t>
      </w:r>
      <w:r w:rsidRPr="00BD77D8">
        <w:rPr>
          <w:rFonts w:eastAsia="Calibri"/>
          <w:spacing w:val="-15"/>
          <w:lang w:val="en-US" w:eastAsia="en-US"/>
        </w:rPr>
        <w:t xml:space="preserve"> </w:t>
      </w:r>
      <w:r w:rsidRPr="00BD77D8">
        <w:rPr>
          <w:rFonts w:eastAsia="Calibri"/>
          <w:lang w:val="en-US" w:eastAsia="en-US"/>
        </w:rPr>
        <w:t>and</w:t>
      </w:r>
      <w:r w:rsidRPr="00BD77D8">
        <w:rPr>
          <w:rFonts w:eastAsia="Calibri"/>
          <w:spacing w:val="-14"/>
          <w:lang w:val="en-US" w:eastAsia="en-US"/>
        </w:rPr>
        <w:t xml:space="preserve"> </w:t>
      </w:r>
      <w:r w:rsidRPr="00BD77D8">
        <w:rPr>
          <w:rFonts w:eastAsia="Calibri"/>
          <w:lang w:val="en-US" w:eastAsia="en-US"/>
        </w:rPr>
        <w:t>id</w:t>
      </w:r>
      <w:r w:rsidRPr="00BD77D8">
        <w:rPr>
          <w:rFonts w:eastAsia="Calibri"/>
          <w:spacing w:val="-2"/>
          <w:lang w:val="en-US" w:eastAsia="en-US"/>
        </w:rPr>
        <w:t>entity,</w:t>
      </w:r>
      <w:r w:rsidRPr="00BD77D8">
        <w:rPr>
          <w:rFonts w:eastAsia="Calibri"/>
          <w:spacing w:val="-13"/>
          <w:lang w:val="en-US" w:eastAsia="en-US"/>
        </w:rPr>
        <w:t xml:space="preserve"> </w:t>
      </w:r>
      <w:r w:rsidRPr="00BD77D8">
        <w:rPr>
          <w:rFonts w:eastAsia="Calibri"/>
          <w:lang w:val="en-US" w:eastAsia="en-US"/>
        </w:rPr>
        <w:t>and</w:t>
      </w:r>
      <w:r w:rsidRPr="00BD77D8">
        <w:rPr>
          <w:rFonts w:eastAsia="Calibri"/>
          <w:spacing w:val="-14"/>
          <w:lang w:val="en-US" w:eastAsia="en-US"/>
        </w:rPr>
        <w:t xml:space="preserve"> </w:t>
      </w:r>
      <w:r w:rsidRPr="00BD77D8">
        <w:rPr>
          <w:rFonts w:eastAsia="Calibri"/>
          <w:lang w:val="en-US" w:eastAsia="en-US"/>
        </w:rPr>
        <w:t>in building</w:t>
      </w:r>
      <w:r w:rsidRPr="00BD77D8">
        <w:rPr>
          <w:rFonts w:eastAsia="Calibri"/>
          <w:spacing w:val="-6"/>
          <w:lang w:val="en-US" w:eastAsia="en-US"/>
        </w:rPr>
        <w:t xml:space="preserve"> </w:t>
      </w:r>
      <w:r w:rsidRPr="00BD77D8">
        <w:rPr>
          <w:rFonts w:eastAsia="Calibri"/>
          <w:spacing w:val="-2"/>
          <w:lang w:val="en-US" w:eastAsia="en-US"/>
        </w:rPr>
        <w:t>re</w:t>
      </w:r>
      <w:r w:rsidRPr="00BD77D8">
        <w:rPr>
          <w:rFonts w:eastAsia="Calibri"/>
          <w:lang w:val="en-US" w:eastAsia="en-US"/>
        </w:rPr>
        <w:t>silienc</w:t>
      </w:r>
      <w:r w:rsidRPr="00BD77D8">
        <w:rPr>
          <w:rFonts w:eastAsia="Calibri"/>
          <w:spacing w:val="-2"/>
          <w:lang w:val="en-US" w:eastAsia="en-US"/>
        </w:rPr>
        <w:t>e.</w:t>
      </w:r>
      <w:r w:rsidR="002A6012" w:rsidRPr="00BD77D8">
        <w:rPr>
          <w:rFonts w:eastAsia="Calibri"/>
          <w:spacing w:val="-2"/>
          <w:lang w:val="en-US" w:eastAsia="en-US"/>
        </w:rPr>
        <w:t xml:space="preserve"> The department is committed to leading the </w:t>
      </w:r>
      <w:r w:rsidR="00AD1719" w:rsidRPr="00BD77D8">
        <w:rPr>
          <w:rFonts w:eastAsia="Calibri"/>
          <w:spacing w:val="-2"/>
          <w:lang w:val="en-US" w:eastAsia="en-US"/>
        </w:rPr>
        <w:t xml:space="preserve">implementation </w:t>
      </w:r>
      <w:r w:rsidR="002A6012" w:rsidRPr="00BD77D8">
        <w:rPr>
          <w:rFonts w:eastAsia="Calibri"/>
          <w:spacing w:val="-2"/>
          <w:lang w:val="en-US" w:eastAsia="en-US"/>
        </w:rPr>
        <w:t>of the whole-of-</w:t>
      </w:r>
      <w:r w:rsidR="00436841" w:rsidRPr="00BD77D8">
        <w:rPr>
          <w:rFonts w:eastAsia="Calibri"/>
          <w:spacing w:val="-2"/>
          <w:lang w:val="en-US" w:eastAsia="en-US"/>
        </w:rPr>
        <w:t>government</w:t>
      </w:r>
      <w:r w:rsidR="00AD1719" w:rsidRPr="00BD77D8">
        <w:t xml:space="preserve"> </w:t>
      </w:r>
      <w:r w:rsidR="00AD1719" w:rsidRPr="00BD77D8">
        <w:rPr>
          <w:rFonts w:eastAsia="Calibri"/>
          <w:i/>
          <w:iCs/>
          <w:spacing w:val="-2"/>
          <w:lang w:val="en-US" w:eastAsia="en-US"/>
        </w:rPr>
        <w:lastRenderedPageBreak/>
        <w:t>Many Voices Queensland Aboriginal and Torres Strait Islander Language Policy Action Plan 2020-22</w:t>
      </w:r>
      <w:r w:rsidR="00AD1719" w:rsidRPr="00BD77D8">
        <w:rPr>
          <w:rFonts w:eastAsia="Calibri"/>
          <w:spacing w:val="-2"/>
          <w:lang w:val="en-US" w:eastAsia="en-US"/>
        </w:rPr>
        <w:t xml:space="preserve"> to </w:t>
      </w:r>
      <w:proofErr w:type="spellStart"/>
      <w:r w:rsidR="00AD1719" w:rsidRPr="00BD77D8">
        <w:rPr>
          <w:rFonts w:eastAsia="Calibri"/>
          <w:spacing w:val="-2"/>
          <w:lang w:val="en-US" w:eastAsia="en-US"/>
        </w:rPr>
        <w:t>realise</w:t>
      </w:r>
      <w:proofErr w:type="spellEnd"/>
      <w:r w:rsidR="00AD1719" w:rsidRPr="00BD77D8">
        <w:rPr>
          <w:rFonts w:eastAsia="Calibri"/>
          <w:spacing w:val="-2"/>
          <w:lang w:val="en-US" w:eastAsia="en-US"/>
        </w:rPr>
        <w:t xml:space="preserve"> </w:t>
      </w:r>
      <w:r w:rsidR="002A6012" w:rsidRPr="00BD77D8">
        <w:rPr>
          <w:rFonts w:eastAsia="Calibri"/>
          <w:spacing w:val="-2"/>
          <w:lang w:val="en-US" w:eastAsia="en-US"/>
        </w:rPr>
        <w:t xml:space="preserve">the </w:t>
      </w:r>
      <w:r w:rsidR="002A6012" w:rsidRPr="00BD77D8">
        <w:rPr>
          <w:rFonts w:eastAsia="Calibri"/>
          <w:i/>
          <w:spacing w:val="-2"/>
          <w:lang w:val="en-US" w:eastAsia="en-US"/>
        </w:rPr>
        <w:t xml:space="preserve">Many Voices </w:t>
      </w:r>
      <w:r w:rsidR="00436841" w:rsidRPr="00BD77D8">
        <w:rPr>
          <w:rFonts w:eastAsia="Calibri"/>
          <w:i/>
          <w:spacing w:val="-2"/>
          <w:lang w:val="en-US" w:eastAsia="en-US"/>
        </w:rPr>
        <w:t xml:space="preserve">Indigenous </w:t>
      </w:r>
      <w:r w:rsidR="002A6012" w:rsidRPr="00BD77D8">
        <w:rPr>
          <w:rFonts w:eastAsia="Calibri"/>
          <w:i/>
          <w:spacing w:val="-2"/>
          <w:lang w:val="en-US" w:eastAsia="en-US"/>
        </w:rPr>
        <w:t>Languages Policy</w:t>
      </w:r>
      <w:r w:rsidR="00A06383" w:rsidRPr="00BD77D8">
        <w:rPr>
          <w:rFonts w:eastAsia="Calibri"/>
          <w:i/>
          <w:spacing w:val="-2"/>
          <w:lang w:val="en-US" w:eastAsia="en-US"/>
        </w:rPr>
        <w:t>.</w:t>
      </w:r>
    </w:p>
    <w:p w14:paraId="74A20395" w14:textId="2856E65F" w:rsidR="003C0DB9" w:rsidRPr="00BD77D8" w:rsidRDefault="00E86FF9" w:rsidP="00D83B53">
      <w:pPr>
        <w:rPr>
          <w:rFonts w:eastAsia="Calibri"/>
          <w:spacing w:val="-2"/>
          <w:lang w:val="en-US" w:eastAsia="en-US"/>
        </w:rPr>
      </w:pPr>
      <w:r w:rsidRPr="00BD77D8">
        <w:rPr>
          <w:rFonts w:eastAsia="Calibri"/>
          <w:spacing w:val="-2"/>
          <w:lang w:val="en-US" w:eastAsia="en-US"/>
        </w:rPr>
        <w:t xml:space="preserve">The </w:t>
      </w:r>
      <w:r w:rsidR="00E458C8" w:rsidRPr="00BD77D8">
        <w:rPr>
          <w:rFonts w:eastAsia="Calibri"/>
          <w:spacing w:val="-2"/>
          <w:lang w:val="en-US" w:eastAsia="en-US"/>
        </w:rPr>
        <w:t xml:space="preserve">Indigenous </w:t>
      </w:r>
      <w:r w:rsidRPr="00BD77D8">
        <w:rPr>
          <w:rFonts w:eastAsia="Calibri"/>
          <w:spacing w:val="-2"/>
          <w:lang w:val="en-US" w:eastAsia="en-US"/>
        </w:rPr>
        <w:t>Languages</w:t>
      </w:r>
      <w:r w:rsidRPr="00BD77D8">
        <w:rPr>
          <w:rFonts w:eastAsia="Calibri"/>
          <w:spacing w:val="-17"/>
          <w:lang w:val="en-US" w:eastAsia="en-US"/>
        </w:rPr>
        <w:t xml:space="preserve"> </w:t>
      </w:r>
      <w:r w:rsidRPr="00BD77D8">
        <w:rPr>
          <w:rFonts w:eastAsia="Calibri"/>
          <w:spacing w:val="-2"/>
          <w:lang w:val="en-US" w:eastAsia="en-US"/>
        </w:rPr>
        <w:t>Gr</w:t>
      </w:r>
      <w:r w:rsidRPr="00BD77D8">
        <w:rPr>
          <w:rFonts w:eastAsia="Calibri"/>
          <w:lang w:val="en-US" w:eastAsia="en-US"/>
        </w:rPr>
        <w:t>ants</w:t>
      </w:r>
      <w:r w:rsidRPr="00BD77D8">
        <w:rPr>
          <w:rFonts w:eastAsia="Calibri"/>
          <w:spacing w:val="-2"/>
          <w:lang w:val="en-US" w:eastAsia="en-US"/>
        </w:rPr>
        <w:t>,</w:t>
      </w:r>
      <w:r w:rsidRPr="00BD77D8">
        <w:rPr>
          <w:rFonts w:eastAsia="Calibri"/>
          <w:spacing w:val="-16"/>
          <w:lang w:val="en-US" w:eastAsia="en-US"/>
        </w:rPr>
        <w:t xml:space="preserve"> </w:t>
      </w:r>
      <w:r w:rsidR="00E458C8" w:rsidRPr="00BD77D8">
        <w:rPr>
          <w:rFonts w:eastAsia="Calibri"/>
          <w:lang w:val="en-US" w:eastAsia="en-US"/>
        </w:rPr>
        <w:t xml:space="preserve">jointly </w:t>
      </w:r>
      <w:r w:rsidRPr="00BD77D8">
        <w:rPr>
          <w:rFonts w:eastAsia="Calibri"/>
          <w:spacing w:val="-2"/>
          <w:lang w:val="en-US" w:eastAsia="en-US"/>
        </w:rPr>
        <w:t>f</w:t>
      </w:r>
      <w:r w:rsidRPr="00BD77D8">
        <w:rPr>
          <w:rFonts w:eastAsia="Calibri"/>
          <w:lang w:val="en-US" w:eastAsia="en-US"/>
        </w:rPr>
        <w:t>unded</w:t>
      </w:r>
      <w:r w:rsidRPr="00BD77D8">
        <w:rPr>
          <w:rFonts w:eastAsia="Calibri"/>
          <w:spacing w:val="-17"/>
          <w:lang w:val="en-US" w:eastAsia="en-US"/>
        </w:rPr>
        <w:t xml:space="preserve"> </w:t>
      </w:r>
      <w:r w:rsidRPr="00BD77D8">
        <w:rPr>
          <w:rFonts w:eastAsia="Calibri"/>
          <w:lang w:val="en-US" w:eastAsia="en-US"/>
        </w:rPr>
        <w:t>b</w:t>
      </w:r>
      <w:r w:rsidRPr="00BD77D8">
        <w:rPr>
          <w:rFonts w:eastAsia="Calibri"/>
          <w:spacing w:val="-2"/>
          <w:lang w:val="en-US" w:eastAsia="en-US"/>
        </w:rPr>
        <w:t>y</w:t>
      </w:r>
      <w:r w:rsidRPr="00BD77D8">
        <w:rPr>
          <w:rFonts w:eastAsia="Calibri"/>
          <w:lang w:val="en-US" w:eastAsia="en-US"/>
        </w:rPr>
        <w:t xml:space="preserve"> </w:t>
      </w:r>
      <w:r w:rsidR="00E458C8" w:rsidRPr="00BD77D8">
        <w:rPr>
          <w:rFonts w:eastAsia="Calibri"/>
          <w:lang w:val="en-US" w:eastAsia="en-US"/>
        </w:rPr>
        <w:t xml:space="preserve">this department </w:t>
      </w:r>
      <w:r w:rsidRPr="00BD77D8">
        <w:rPr>
          <w:rFonts w:eastAsia="Calibri"/>
          <w:spacing w:val="-2"/>
          <w:lang w:val="en-US" w:eastAsia="en-US"/>
        </w:rPr>
        <w:t>and the Department of Education</w:t>
      </w:r>
      <w:r w:rsidR="000D7851" w:rsidRPr="00BD77D8">
        <w:rPr>
          <w:rFonts w:eastAsia="Calibri"/>
          <w:spacing w:val="-2"/>
          <w:lang w:val="en-US" w:eastAsia="en-US"/>
        </w:rPr>
        <w:t>,</w:t>
      </w:r>
      <w:r w:rsidR="00E458C8" w:rsidRPr="00BD77D8">
        <w:rPr>
          <w:rFonts w:eastAsia="Calibri"/>
          <w:spacing w:val="-2"/>
          <w:lang w:val="en-US" w:eastAsia="en-US"/>
        </w:rPr>
        <w:t xml:space="preserve"> </w:t>
      </w:r>
      <w:r w:rsidRPr="00BD77D8">
        <w:rPr>
          <w:rFonts w:eastAsia="Calibri"/>
          <w:lang w:val="en-US" w:eastAsia="en-US"/>
        </w:rPr>
        <w:t>w</w:t>
      </w:r>
      <w:r w:rsidR="00316DEA" w:rsidRPr="00BD77D8">
        <w:rPr>
          <w:rFonts w:eastAsia="Calibri"/>
          <w:lang w:val="en-US" w:eastAsia="en-US"/>
        </w:rPr>
        <w:t>ere</w:t>
      </w:r>
      <w:r w:rsidRPr="00BD77D8">
        <w:rPr>
          <w:rFonts w:eastAsia="Calibri"/>
          <w:lang w:val="en-US" w:eastAsia="en-US"/>
        </w:rPr>
        <w:t xml:space="preserve"> </w:t>
      </w:r>
      <w:r w:rsidR="00EE20B5" w:rsidRPr="00BD77D8">
        <w:rPr>
          <w:rFonts w:eastAsia="Calibri"/>
          <w:lang w:val="en-US" w:eastAsia="en-US"/>
        </w:rPr>
        <w:t xml:space="preserve">first </w:t>
      </w:r>
      <w:r w:rsidRPr="00BD77D8">
        <w:rPr>
          <w:rFonts w:eastAsia="Calibri"/>
          <w:lang w:val="en-US" w:eastAsia="en-US"/>
        </w:rPr>
        <w:t xml:space="preserve">launched in </w:t>
      </w:r>
      <w:r w:rsidR="00EE20B5" w:rsidRPr="00BD77D8">
        <w:rPr>
          <w:rFonts w:eastAsia="Calibri"/>
          <w:lang w:val="en-US" w:eastAsia="en-US"/>
        </w:rPr>
        <w:t>May 2019</w:t>
      </w:r>
      <w:r w:rsidRPr="00BD77D8">
        <w:rPr>
          <w:rFonts w:eastAsia="Calibri"/>
          <w:lang w:val="en-US" w:eastAsia="en-US"/>
        </w:rPr>
        <w:t xml:space="preserve">. </w:t>
      </w:r>
      <w:r w:rsidR="000D7851" w:rsidRPr="00BD77D8">
        <w:rPr>
          <w:rFonts w:eastAsia="Calibri"/>
          <w:lang w:val="en-US" w:eastAsia="en-US"/>
        </w:rPr>
        <w:t xml:space="preserve"> </w:t>
      </w:r>
      <w:r w:rsidR="00436841" w:rsidRPr="00BD77D8">
        <w:rPr>
          <w:rFonts w:eastAsia="Calibri"/>
          <w:spacing w:val="-2"/>
          <w:lang w:val="en-US" w:eastAsia="en-US"/>
        </w:rPr>
        <w:t xml:space="preserve">The Indigenous Languages Grants complements the </w:t>
      </w:r>
      <w:r w:rsidR="00436841" w:rsidRPr="00BD77D8">
        <w:rPr>
          <w:rFonts w:eastAsia="Calibri"/>
          <w:i/>
          <w:iCs/>
          <w:spacing w:val="-2"/>
          <w:lang w:val="en-US" w:eastAsia="en-US"/>
        </w:rPr>
        <w:t>Many Voices: Indigenous Languages Policy</w:t>
      </w:r>
      <w:r w:rsidR="00436841" w:rsidRPr="00BD77D8">
        <w:rPr>
          <w:rFonts w:eastAsia="Calibri"/>
          <w:spacing w:val="-2"/>
          <w:lang w:val="en-US" w:eastAsia="en-US"/>
        </w:rPr>
        <w:t xml:space="preserve"> and</w:t>
      </w:r>
      <w:r w:rsidR="009C58CC" w:rsidRPr="00BD77D8">
        <w:rPr>
          <w:rFonts w:eastAsia="Calibri"/>
          <w:spacing w:val="-2"/>
          <w:lang w:val="en-US" w:eastAsia="en-US"/>
        </w:rPr>
        <w:t xml:space="preserve"> helps to</w:t>
      </w:r>
      <w:r w:rsidR="00436841" w:rsidRPr="00BD77D8">
        <w:rPr>
          <w:rFonts w:eastAsia="Calibri"/>
          <w:spacing w:val="-2"/>
          <w:lang w:val="en-US" w:eastAsia="en-US"/>
        </w:rPr>
        <w:t xml:space="preserve"> fulfill the requirements under </w:t>
      </w:r>
      <w:r w:rsidR="001F264E" w:rsidRPr="00BD77D8">
        <w:rPr>
          <w:rFonts w:eastAsia="Calibri"/>
          <w:spacing w:val="-2"/>
          <w:lang w:val="en-US" w:eastAsia="en-US"/>
        </w:rPr>
        <w:t xml:space="preserve">Target 16 — Cultures </w:t>
      </w:r>
      <w:r w:rsidR="00B06F2C" w:rsidRPr="00BD77D8">
        <w:rPr>
          <w:rFonts w:eastAsia="Calibri"/>
          <w:spacing w:val="-2"/>
          <w:lang w:val="en-US" w:eastAsia="en-US"/>
        </w:rPr>
        <w:t>and languages are strong, supported and flourishing</w:t>
      </w:r>
      <w:r w:rsidR="008270B6" w:rsidRPr="00BD77D8">
        <w:rPr>
          <w:rFonts w:eastAsia="Calibri"/>
          <w:spacing w:val="-2"/>
          <w:lang w:val="en-US" w:eastAsia="en-US"/>
        </w:rPr>
        <w:t>,</w:t>
      </w:r>
      <w:r w:rsidR="00E458C8" w:rsidRPr="00BD77D8">
        <w:rPr>
          <w:rFonts w:eastAsia="Calibri"/>
          <w:spacing w:val="-2"/>
          <w:lang w:val="en-US" w:eastAsia="en-US"/>
        </w:rPr>
        <w:t xml:space="preserve"> </w:t>
      </w:r>
      <w:r w:rsidR="00436841" w:rsidRPr="00BD77D8">
        <w:rPr>
          <w:rFonts w:eastAsia="Calibri"/>
          <w:spacing w:val="-2"/>
          <w:lang w:val="en-US" w:eastAsia="en-US"/>
        </w:rPr>
        <w:t xml:space="preserve">of the </w:t>
      </w:r>
      <w:r w:rsidR="00436841" w:rsidRPr="00BD77D8">
        <w:rPr>
          <w:rFonts w:eastAsia="Calibri"/>
          <w:i/>
          <w:iCs/>
          <w:spacing w:val="-2"/>
          <w:lang w:val="en-US" w:eastAsia="en-US"/>
        </w:rPr>
        <w:t>National Agreement on Closing the Gap</w:t>
      </w:r>
      <w:r w:rsidR="00436841" w:rsidRPr="00BD77D8">
        <w:rPr>
          <w:rFonts w:eastAsia="Calibri"/>
          <w:spacing w:val="-2"/>
          <w:lang w:val="en-US" w:eastAsia="en-US"/>
        </w:rPr>
        <w:t>.</w:t>
      </w:r>
      <w:r w:rsidR="00B06F2C" w:rsidRPr="00BD77D8">
        <w:rPr>
          <w:rFonts w:eastAsia="Calibri"/>
          <w:spacing w:val="-2"/>
          <w:lang w:val="en-US" w:eastAsia="en-US"/>
        </w:rPr>
        <w:t xml:space="preserve"> Th</w:t>
      </w:r>
      <w:r w:rsidR="000D7851" w:rsidRPr="00BD77D8">
        <w:rPr>
          <w:rFonts w:eastAsia="Calibri"/>
          <w:spacing w:val="-2"/>
          <w:lang w:val="en-US" w:eastAsia="en-US"/>
        </w:rPr>
        <w:t>e aim of th</w:t>
      </w:r>
      <w:r w:rsidR="00B06F2C" w:rsidRPr="00BD77D8">
        <w:rPr>
          <w:rFonts w:eastAsia="Calibri"/>
          <w:spacing w:val="-2"/>
          <w:lang w:val="en-US" w:eastAsia="en-US"/>
        </w:rPr>
        <w:t xml:space="preserve">is national target </w:t>
      </w:r>
      <w:r w:rsidR="000D7851" w:rsidRPr="00BD77D8">
        <w:rPr>
          <w:rFonts w:eastAsia="Calibri"/>
          <w:spacing w:val="-2"/>
          <w:lang w:val="en-US" w:eastAsia="en-US"/>
        </w:rPr>
        <w:t xml:space="preserve">is </w:t>
      </w:r>
      <w:r w:rsidR="00316DEA" w:rsidRPr="00BD77D8">
        <w:rPr>
          <w:rFonts w:eastAsia="Calibri"/>
          <w:spacing w:val="-2"/>
          <w:lang w:val="en-US" w:eastAsia="en-US"/>
        </w:rPr>
        <w:t xml:space="preserve">to achieve </w:t>
      </w:r>
      <w:r w:rsidR="00B06F2C" w:rsidRPr="00BD77D8">
        <w:rPr>
          <w:rFonts w:eastAsia="Calibri"/>
          <w:spacing w:val="-2"/>
          <w:lang w:val="en-US" w:eastAsia="en-US"/>
        </w:rPr>
        <w:t xml:space="preserve">a sustained increase in </w:t>
      </w:r>
      <w:r w:rsidR="000D7851" w:rsidRPr="00BD77D8">
        <w:rPr>
          <w:rFonts w:eastAsia="Calibri"/>
          <w:spacing w:val="-2"/>
          <w:lang w:val="en-US" w:eastAsia="en-US"/>
        </w:rPr>
        <w:t xml:space="preserve">the </w:t>
      </w:r>
      <w:r w:rsidR="00B06F2C" w:rsidRPr="00BD77D8">
        <w:rPr>
          <w:rFonts w:eastAsia="Calibri"/>
          <w:spacing w:val="-2"/>
          <w:lang w:val="en-US" w:eastAsia="en-US"/>
        </w:rPr>
        <w:t>number and strength of Aboriginal and Torres Strait Islander languages being spoken</w:t>
      </w:r>
      <w:r w:rsidR="00EE20B5" w:rsidRPr="00BD77D8">
        <w:rPr>
          <w:rFonts w:eastAsia="Calibri"/>
          <w:spacing w:val="-2"/>
          <w:lang w:val="en-US" w:eastAsia="en-US"/>
        </w:rPr>
        <w:t xml:space="preserve"> by 2031</w:t>
      </w:r>
      <w:r w:rsidR="00B06F2C" w:rsidRPr="00BD77D8">
        <w:rPr>
          <w:rFonts w:eastAsia="Calibri"/>
          <w:spacing w:val="-2"/>
          <w:lang w:val="en-US" w:eastAsia="en-US"/>
        </w:rPr>
        <w:t xml:space="preserve">. </w:t>
      </w:r>
    </w:p>
    <w:p w14:paraId="06464569" w14:textId="77777777" w:rsidR="00AD1719" w:rsidRPr="00BD77D8" w:rsidRDefault="00AD1719" w:rsidP="00671ADD">
      <w:pPr>
        <w:spacing w:after="120" w:line="240" w:lineRule="auto"/>
        <w:rPr>
          <w:b/>
          <w:bCs/>
        </w:rPr>
      </w:pPr>
      <w:bookmarkStart w:id="187" w:name="_Hlk112837587"/>
      <w:bookmarkStart w:id="188" w:name="_Toc67046709"/>
      <w:r w:rsidRPr="00BD77D8">
        <w:rPr>
          <w:b/>
          <w:bCs/>
        </w:rPr>
        <w:t>Key achievements</w:t>
      </w:r>
    </w:p>
    <w:p w14:paraId="50E18E42" w14:textId="26048065" w:rsidR="00AD1719" w:rsidRPr="00BD77D8" w:rsidRDefault="00326C8A" w:rsidP="00D2663B">
      <w:pPr>
        <w:spacing w:after="120" w:line="240" w:lineRule="auto"/>
        <w:rPr>
          <w:rFonts w:eastAsia="Calibri"/>
          <w:lang w:val="en-US" w:eastAsia="en-US"/>
        </w:rPr>
      </w:pPr>
      <w:r w:rsidRPr="00BD77D8">
        <w:rPr>
          <w:rFonts w:eastAsia="Calibri"/>
          <w:lang w:val="en-US" w:eastAsia="en-US"/>
        </w:rPr>
        <w:t>During the reporting period, t</w:t>
      </w:r>
      <w:r w:rsidR="00AD1719" w:rsidRPr="00BD77D8">
        <w:rPr>
          <w:rFonts w:eastAsia="Calibri"/>
          <w:lang w:val="en-US" w:eastAsia="en-US"/>
        </w:rPr>
        <w:t>he</w:t>
      </w:r>
      <w:r w:rsidR="00AD1719" w:rsidRPr="00BD77D8">
        <w:rPr>
          <w:rFonts w:eastAsia="Calibri"/>
          <w:spacing w:val="-14"/>
          <w:lang w:val="en-US" w:eastAsia="en-US"/>
        </w:rPr>
        <w:t xml:space="preserve"> </w:t>
      </w:r>
      <w:r w:rsidR="00AD1719" w:rsidRPr="00BD77D8">
        <w:rPr>
          <w:rFonts w:eastAsia="Calibri"/>
          <w:spacing w:val="-1"/>
          <w:lang w:val="en-US" w:eastAsia="en-US"/>
        </w:rPr>
        <w:t>dep</w:t>
      </w:r>
      <w:r w:rsidR="00AD1719" w:rsidRPr="00BD77D8">
        <w:rPr>
          <w:rFonts w:eastAsia="Calibri"/>
          <w:spacing w:val="-2"/>
          <w:lang w:val="en-US" w:eastAsia="en-US"/>
        </w:rPr>
        <w:t>artment:</w:t>
      </w:r>
    </w:p>
    <w:p w14:paraId="781B4DE5" w14:textId="15771DB6" w:rsidR="00AD1719" w:rsidRPr="00BD77D8" w:rsidRDefault="006409EF" w:rsidP="00F729B3">
      <w:pPr>
        <w:pStyle w:val="ListBullet"/>
        <w:numPr>
          <w:ilvl w:val="0"/>
          <w:numId w:val="51"/>
        </w:numPr>
      </w:pPr>
      <w:r w:rsidRPr="00BD77D8">
        <w:rPr>
          <w:rFonts w:eastAsia="Calibri"/>
        </w:rPr>
        <w:t xml:space="preserve">delivered the </w:t>
      </w:r>
      <w:r w:rsidR="003D516F" w:rsidRPr="00BD77D8">
        <w:rPr>
          <w:rFonts w:eastAsia="Calibri"/>
        </w:rPr>
        <w:t>202</w:t>
      </w:r>
      <w:r w:rsidR="002052EF" w:rsidRPr="00BD77D8">
        <w:rPr>
          <w:rFonts w:eastAsia="Calibri"/>
        </w:rPr>
        <w:t>1</w:t>
      </w:r>
      <w:r w:rsidR="00EE20B5" w:rsidRPr="00BD77D8">
        <w:rPr>
          <w:rFonts w:eastAsia="Calibri"/>
        </w:rPr>
        <w:t xml:space="preserve"> Indigenous Languages G</w:t>
      </w:r>
      <w:r w:rsidRPr="00BD77D8">
        <w:rPr>
          <w:rFonts w:eastAsia="Calibri"/>
        </w:rPr>
        <w:t xml:space="preserve">rants </w:t>
      </w:r>
      <w:r w:rsidR="00EE20B5" w:rsidRPr="00BD77D8">
        <w:rPr>
          <w:rFonts w:eastAsia="Calibri"/>
        </w:rPr>
        <w:t xml:space="preserve">funding </w:t>
      </w:r>
      <w:r w:rsidR="000D7851" w:rsidRPr="00BD77D8">
        <w:rPr>
          <w:rFonts w:eastAsia="Calibri"/>
        </w:rPr>
        <w:t xml:space="preserve">to support </w:t>
      </w:r>
      <w:r w:rsidR="00EE20B5" w:rsidRPr="00BD77D8">
        <w:rPr>
          <w:rFonts w:eastAsia="Calibri"/>
        </w:rPr>
        <w:t>31 initiatives, totall</w:t>
      </w:r>
      <w:r w:rsidR="009B66A3" w:rsidRPr="00BD77D8">
        <w:rPr>
          <w:rFonts w:eastAsia="Calibri"/>
        </w:rPr>
        <w:t>ing</w:t>
      </w:r>
      <w:r w:rsidR="00EE20B5" w:rsidRPr="00BD77D8">
        <w:rPr>
          <w:rFonts w:eastAsia="Calibri"/>
        </w:rPr>
        <w:t xml:space="preserve"> $400,000</w:t>
      </w:r>
      <w:r w:rsidR="000D7851" w:rsidRPr="00BD77D8">
        <w:rPr>
          <w:rFonts w:eastAsia="Calibri"/>
        </w:rPr>
        <w:t>, to promote, preserve and revive Aboriginal and Torres Strait Islander languages and dialects</w:t>
      </w:r>
      <w:r w:rsidR="00EE20B5" w:rsidRPr="00BD77D8">
        <w:rPr>
          <w:rFonts w:eastAsia="Calibri"/>
        </w:rPr>
        <w:t xml:space="preserve">. </w:t>
      </w:r>
    </w:p>
    <w:p w14:paraId="31BCB602" w14:textId="0CB6D26E" w:rsidR="00E86FF9" w:rsidRPr="00BD77D8" w:rsidRDefault="00E86FF9" w:rsidP="007524AB">
      <w:pPr>
        <w:pStyle w:val="Heading3"/>
      </w:pPr>
      <w:bookmarkStart w:id="189" w:name="_Toc78287374"/>
      <w:bookmarkStart w:id="190" w:name="_Toc78355781"/>
      <w:bookmarkStart w:id="191" w:name="_Hlk112837948"/>
      <w:bookmarkStart w:id="192" w:name="_Hlk109638178"/>
      <w:bookmarkEnd w:id="187"/>
      <w:r w:rsidRPr="00BD77D8">
        <w:t>Queensland Government Reconciliation Action Plan</w:t>
      </w:r>
      <w:bookmarkEnd w:id="188"/>
      <w:bookmarkEnd w:id="189"/>
      <w:bookmarkEnd w:id="190"/>
    </w:p>
    <w:p w14:paraId="49C5122B" w14:textId="77777777" w:rsidR="006E58EF" w:rsidRPr="00BD77D8" w:rsidRDefault="00E86FF9" w:rsidP="006E58EF">
      <w:bookmarkStart w:id="193" w:name="_Hlk109637771"/>
      <w:bookmarkEnd w:id="191"/>
      <w:r w:rsidRPr="00BD77D8">
        <w:t>The</w:t>
      </w:r>
      <w:bookmarkEnd w:id="193"/>
      <w:r w:rsidR="006E58EF" w:rsidRPr="00BD77D8">
        <w:t xml:space="preserve"> department oversees the implementation of the </w:t>
      </w:r>
      <w:r w:rsidR="006E58EF" w:rsidRPr="00BD77D8">
        <w:rPr>
          <w:i/>
        </w:rPr>
        <w:t>Queensland Government Reconciliation Action Plan 2018</w:t>
      </w:r>
      <w:r w:rsidR="006E58EF" w:rsidRPr="00BD77D8">
        <w:rPr>
          <w:i/>
        </w:rPr>
        <w:noBreakHyphen/>
        <w:t>2022</w:t>
      </w:r>
      <w:r w:rsidR="006E58EF" w:rsidRPr="00BD77D8">
        <w:t xml:space="preserve"> (Reconciliation Action Plan) and is responsible for coordinating the implementation of the plan through the Cultural Agency Leaders (CAL) committee.</w:t>
      </w:r>
    </w:p>
    <w:p w14:paraId="0BE5628D" w14:textId="0867F3A0" w:rsidR="00E86FF9" w:rsidRPr="00BD77D8" w:rsidRDefault="00E86FF9" w:rsidP="00D83B53">
      <w:r w:rsidRPr="00BD77D8">
        <w:t xml:space="preserve">The </w:t>
      </w:r>
      <w:r w:rsidR="00C462E3" w:rsidRPr="00BD77D8">
        <w:t>R</w:t>
      </w:r>
      <w:r w:rsidR="00832BAE" w:rsidRPr="00BD77D8">
        <w:t>econciliation Action Plan</w:t>
      </w:r>
      <w:r w:rsidR="00C462E3" w:rsidRPr="00BD77D8">
        <w:t xml:space="preserve"> </w:t>
      </w:r>
      <w:r w:rsidRPr="00BD77D8">
        <w:t xml:space="preserve">demonstrates the Queensland Government’s commitment to building stronger relationships between Aboriginal </w:t>
      </w:r>
      <w:r w:rsidR="004C7FBB" w:rsidRPr="00BD77D8">
        <w:t xml:space="preserve">peoples </w:t>
      </w:r>
      <w:r w:rsidRPr="00BD77D8">
        <w:t>and Torres Strait Islander peoples, and non-Indigenous Queenslanders. It build</w:t>
      </w:r>
      <w:r w:rsidR="00E360AC" w:rsidRPr="00BD77D8">
        <w:t>s</w:t>
      </w:r>
      <w:r w:rsidRPr="00BD77D8">
        <w:t xml:space="preserve"> on </w:t>
      </w:r>
      <w:r w:rsidR="00E360AC" w:rsidRPr="00BD77D8">
        <w:t>the</w:t>
      </w:r>
      <w:r w:rsidRPr="00BD77D8">
        <w:t xml:space="preserve"> collective efforts </w:t>
      </w:r>
      <w:r w:rsidR="00E360AC" w:rsidRPr="00BD77D8">
        <w:t xml:space="preserve">of government agencies and its staff </w:t>
      </w:r>
      <w:r w:rsidRPr="00BD77D8">
        <w:t>to ensure equality, equity, recognition and advancement of Aboriginal</w:t>
      </w:r>
      <w:r w:rsidR="004C7FBB" w:rsidRPr="00BD77D8">
        <w:t xml:space="preserve"> peoples</w:t>
      </w:r>
      <w:r w:rsidRPr="00BD77D8">
        <w:t xml:space="preserve"> and Torres Strait Islander peoples across all aspects of society and in everyday life.</w:t>
      </w:r>
      <w:r w:rsidR="002A6012" w:rsidRPr="00BD77D8">
        <w:t xml:space="preserve"> </w:t>
      </w:r>
      <w:r w:rsidR="00FE37F3" w:rsidRPr="00BD77D8">
        <w:t xml:space="preserve"> </w:t>
      </w:r>
    </w:p>
    <w:p w14:paraId="7A026794" w14:textId="28EA81C5" w:rsidR="00E86FF9" w:rsidRPr="00BD77D8" w:rsidRDefault="00E86FF9" w:rsidP="00D83B53">
      <w:r w:rsidRPr="00BD77D8">
        <w:t xml:space="preserve">The </w:t>
      </w:r>
      <w:r w:rsidR="00832BAE" w:rsidRPr="00BD77D8">
        <w:t xml:space="preserve">Reconciliation Action Plan </w:t>
      </w:r>
      <w:r w:rsidR="00E360AC" w:rsidRPr="00BD77D8">
        <w:t>outlines</w:t>
      </w:r>
      <w:r w:rsidRPr="00BD77D8">
        <w:t xml:space="preserve"> a suite of </w:t>
      </w:r>
      <w:r w:rsidR="00E360AC" w:rsidRPr="00BD77D8">
        <w:t xml:space="preserve">initiatives </w:t>
      </w:r>
      <w:r w:rsidRPr="00BD77D8">
        <w:t xml:space="preserve">that build on and strengthen </w:t>
      </w:r>
      <w:r w:rsidR="00436841" w:rsidRPr="00BD77D8">
        <w:t>partnerships, and</w:t>
      </w:r>
      <w:r w:rsidRPr="00BD77D8">
        <w:t xml:space="preserve"> empower local communities</w:t>
      </w:r>
      <w:r w:rsidR="0017270E" w:rsidRPr="00BD77D8">
        <w:t>,</w:t>
      </w:r>
      <w:r w:rsidRPr="00BD77D8">
        <w:t xml:space="preserve"> to achieve positive and practical outcomes.</w:t>
      </w:r>
    </w:p>
    <w:p w14:paraId="06EF59B5" w14:textId="6AADFE2E" w:rsidR="00E86FF9" w:rsidRPr="00BD77D8" w:rsidRDefault="00673D8C" w:rsidP="00671ADD">
      <w:pPr>
        <w:spacing w:before="120" w:after="120" w:line="240" w:lineRule="auto"/>
        <w:rPr>
          <w:b/>
          <w:bCs/>
        </w:rPr>
      </w:pPr>
      <w:bookmarkStart w:id="194" w:name="_Hlk112837920"/>
      <w:r w:rsidRPr="00BD77D8">
        <w:rPr>
          <w:b/>
          <w:bCs/>
        </w:rPr>
        <w:t>K</w:t>
      </w:r>
      <w:r w:rsidR="00E86FF9" w:rsidRPr="00BD77D8">
        <w:rPr>
          <w:b/>
          <w:bCs/>
        </w:rPr>
        <w:t>ey achievements</w:t>
      </w:r>
    </w:p>
    <w:p w14:paraId="35C1FFD5" w14:textId="109826B3" w:rsidR="00326C8A" w:rsidRPr="00BD77D8" w:rsidRDefault="00326C8A" w:rsidP="00D2663B">
      <w:pPr>
        <w:spacing w:after="120" w:line="240" w:lineRule="auto"/>
        <w:rPr>
          <w:rFonts w:eastAsia="Calibri"/>
          <w:spacing w:val="-2"/>
          <w:lang w:val="en-US" w:eastAsia="en-US"/>
        </w:rPr>
      </w:pPr>
      <w:bookmarkStart w:id="195" w:name="_Hlk112837934"/>
      <w:bookmarkEnd w:id="194"/>
      <w:r w:rsidRPr="00BD77D8">
        <w:rPr>
          <w:rFonts w:eastAsia="Calibri"/>
          <w:lang w:val="en-US" w:eastAsia="en-US"/>
        </w:rPr>
        <w:t>During the reporting period, the</w:t>
      </w:r>
      <w:r w:rsidRPr="00BD77D8">
        <w:rPr>
          <w:rFonts w:eastAsia="Calibri"/>
          <w:spacing w:val="-14"/>
          <w:lang w:val="en-US" w:eastAsia="en-US"/>
        </w:rPr>
        <w:t xml:space="preserve"> </w:t>
      </w:r>
      <w:r w:rsidRPr="00BD77D8">
        <w:rPr>
          <w:rFonts w:eastAsia="Calibri"/>
          <w:spacing w:val="-1"/>
          <w:lang w:val="en-US" w:eastAsia="en-US"/>
        </w:rPr>
        <w:t>dep</w:t>
      </w:r>
      <w:r w:rsidRPr="00BD77D8">
        <w:rPr>
          <w:rFonts w:eastAsia="Calibri"/>
          <w:spacing w:val="-2"/>
          <w:lang w:val="en-US" w:eastAsia="en-US"/>
        </w:rPr>
        <w:t>artment:</w:t>
      </w:r>
    </w:p>
    <w:p w14:paraId="25D7AEEC" w14:textId="28BA9914" w:rsidR="00C21014" w:rsidRPr="00BD77D8" w:rsidRDefault="00C21014" w:rsidP="00F729B3">
      <w:pPr>
        <w:pStyle w:val="ListParagraph"/>
        <w:numPr>
          <w:ilvl w:val="0"/>
          <w:numId w:val="51"/>
        </w:numPr>
        <w:rPr>
          <w:rFonts w:eastAsia="Calibri"/>
          <w:lang w:val="en-US" w:eastAsia="en-US"/>
        </w:rPr>
      </w:pPr>
      <w:r w:rsidRPr="00BD77D8">
        <w:rPr>
          <w:rFonts w:eastAsia="Calibri"/>
          <w:lang w:val="en-US" w:eastAsia="en-US"/>
        </w:rPr>
        <w:t xml:space="preserve">commissioned an evaluation of the </w:t>
      </w:r>
      <w:r w:rsidRPr="00BD77D8">
        <w:rPr>
          <w:rFonts w:eastAsia="Calibri"/>
          <w:i/>
          <w:iCs/>
          <w:lang w:val="en-US" w:eastAsia="en-US"/>
        </w:rPr>
        <w:t>Queensland Government Reconciliation Action Plan</w:t>
      </w:r>
      <w:r w:rsidR="008D5F45" w:rsidRPr="00BD77D8">
        <w:rPr>
          <w:rFonts w:eastAsia="Calibri"/>
          <w:i/>
          <w:iCs/>
          <w:lang w:val="en-US" w:eastAsia="en-US"/>
        </w:rPr>
        <w:t xml:space="preserve"> </w:t>
      </w:r>
      <w:r w:rsidRPr="00BD77D8">
        <w:rPr>
          <w:rFonts w:eastAsia="Calibri"/>
          <w:i/>
          <w:iCs/>
          <w:lang w:val="en-US" w:eastAsia="en-US"/>
        </w:rPr>
        <w:t>2018</w:t>
      </w:r>
      <w:r w:rsidR="00DB024A" w:rsidRPr="00BD77D8">
        <w:rPr>
          <w:rFonts w:eastAsia="Calibri"/>
          <w:i/>
          <w:iCs/>
          <w:lang w:val="en-US" w:eastAsia="en-US"/>
        </w:rPr>
        <w:t>–</w:t>
      </w:r>
      <w:r w:rsidRPr="00BD77D8">
        <w:rPr>
          <w:rFonts w:eastAsia="Calibri"/>
          <w:i/>
          <w:iCs/>
          <w:lang w:val="en-US" w:eastAsia="en-US"/>
        </w:rPr>
        <w:t>2022</w:t>
      </w:r>
      <w:r w:rsidRPr="00BD77D8">
        <w:rPr>
          <w:rFonts w:eastAsia="Calibri"/>
          <w:lang w:val="en-US" w:eastAsia="en-US"/>
        </w:rPr>
        <w:t xml:space="preserve">. Findings from this </w:t>
      </w:r>
      <w:r w:rsidR="00BF43F6" w:rsidRPr="00BD77D8">
        <w:rPr>
          <w:rFonts w:eastAsia="Calibri"/>
          <w:lang w:val="en-US" w:eastAsia="en-US"/>
        </w:rPr>
        <w:t xml:space="preserve">evaluation </w:t>
      </w:r>
      <w:r w:rsidRPr="00BD77D8">
        <w:rPr>
          <w:rFonts w:eastAsia="Calibri"/>
          <w:lang w:val="en-US" w:eastAsia="en-US"/>
        </w:rPr>
        <w:t>will be reviewed and used to inform the development of the next Queensland Government Reconciliation Action Plan.</w:t>
      </w:r>
    </w:p>
    <w:p w14:paraId="10EDD06D" w14:textId="23FEC206" w:rsidR="00E86FF9" w:rsidRPr="00BD77D8" w:rsidRDefault="00E86FF9" w:rsidP="007524AB">
      <w:pPr>
        <w:pStyle w:val="Heading3"/>
      </w:pPr>
      <w:bookmarkStart w:id="196" w:name="_Toc67046710"/>
      <w:bookmarkStart w:id="197" w:name="_Toc78287375"/>
      <w:bookmarkStart w:id="198" w:name="_Toc78355782"/>
      <w:bookmarkStart w:id="199" w:name="_Hlk112837983"/>
      <w:bookmarkStart w:id="200" w:name="_Hlk112835496"/>
      <w:bookmarkEnd w:id="192"/>
      <w:bookmarkEnd w:id="195"/>
      <w:r w:rsidRPr="00BD77D8">
        <w:t>Culturally significant events</w:t>
      </w:r>
      <w:bookmarkEnd w:id="196"/>
      <w:bookmarkEnd w:id="197"/>
      <w:bookmarkEnd w:id="198"/>
    </w:p>
    <w:bookmarkEnd w:id="199"/>
    <w:p w14:paraId="4AAED915" w14:textId="68DADD61" w:rsidR="00A35725" w:rsidRPr="00BD77D8" w:rsidRDefault="002A6012" w:rsidP="00D83B53">
      <w:pPr>
        <w:rPr>
          <w:spacing w:val="-2"/>
        </w:rPr>
      </w:pPr>
      <w:r w:rsidRPr="00BD77D8">
        <w:rPr>
          <w:lang w:eastAsia="en-US"/>
        </w:rPr>
        <w:t>The department provide</w:t>
      </w:r>
      <w:r w:rsidR="00FE37F3" w:rsidRPr="00BD77D8">
        <w:rPr>
          <w:lang w:eastAsia="en-US"/>
        </w:rPr>
        <w:t>s</w:t>
      </w:r>
      <w:r w:rsidRPr="00BD77D8">
        <w:rPr>
          <w:lang w:eastAsia="en-US"/>
        </w:rPr>
        <w:t xml:space="preserve"> leadership to</w:t>
      </w:r>
      <w:r w:rsidR="009D48F1" w:rsidRPr="00BD77D8">
        <w:rPr>
          <w:lang w:eastAsia="en-US"/>
        </w:rPr>
        <w:t xml:space="preserve"> </w:t>
      </w:r>
      <w:r w:rsidR="00A35725" w:rsidRPr="00BD77D8">
        <w:t>whole-of-government initiatives that recognise, acknowledge and maintain Aboriginal and Torres Strait Islander cultures and heritage</w:t>
      </w:r>
      <w:r w:rsidR="00BD0914" w:rsidRPr="00BD77D8">
        <w:t>,</w:t>
      </w:r>
      <w:r w:rsidR="00A35725" w:rsidRPr="00BD77D8">
        <w:t xml:space="preserve"> including promotion of culturally significant days and events</w:t>
      </w:r>
      <w:r w:rsidRPr="00BD77D8">
        <w:t>.</w:t>
      </w:r>
    </w:p>
    <w:p w14:paraId="0E619661" w14:textId="61D22240" w:rsidR="00E86FF9" w:rsidRPr="00BD77D8" w:rsidRDefault="00E86FF9" w:rsidP="00D83B53">
      <w:r w:rsidRPr="00BD77D8">
        <w:t>NAIDOC</w:t>
      </w:r>
      <w:r w:rsidR="00DB024A" w:rsidRPr="00BD77D8">
        <w:t xml:space="preserve"> </w:t>
      </w:r>
      <w:r w:rsidR="00DB024A" w:rsidRPr="00BD77D8">
        <w:rPr>
          <w:spacing w:val="-19"/>
        </w:rPr>
        <w:t>(</w:t>
      </w:r>
      <w:r w:rsidR="00DB024A" w:rsidRPr="00BD77D8">
        <w:rPr>
          <w:spacing w:val="-2"/>
        </w:rPr>
        <w:t>Nation</w:t>
      </w:r>
      <w:r w:rsidR="00DB024A" w:rsidRPr="00BD77D8">
        <w:t>al</w:t>
      </w:r>
      <w:r w:rsidR="00DB024A" w:rsidRPr="00BD77D8">
        <w:rPr>
          <w:spacing w:val="-13"/>
        </w:rPr>
        <w:t xml:space="preserve"> </w:t>
      </w:r>
      <w:r w:rsidR="00DB024A" w:rsidRPr="00BD77D8">
        <w:rPr>
          <w:spacing w:val="-2"/>
        </w:rPr>
        <w:t>A</w:t>
      </w:r>
      <w:r w:rsidR="00DB024A" w:rsidRPr="00BD77D8">
        <w:t>borigines</w:t>
      </w:r>
      <w:r w:rsidR="00DB024A" w:rsidRPr="00BD77D8">
        <w:rPr>
          <w:spacing w:val="-12"/>
        </w:rPr>
        <w:t xml:space="preserve"> </w:t>
      </w:r>
      <w:r w:rsidR="00DB024A" w:rsidRPr="00BD77D8">
        <w:t>and</w:t>
      </w:r>
      <w:r w:rsidR="00DB024A" w:rsidRPr="00BD77D8">
        <w:rPr>
          <w:spacing w:val="-12"/>
        </w:rPr>
        <w:t xml:space="preserve"> </w:t>
      </w:r>
      <w:r w:rsidR="00DB024A" w:rsidRPr="00BD77D8">
        <w:t>Island</w:t>
      </w:r>
      <w:r w:rsidR="00DB024A" w:rsidRPr="00BD77D8">
        <w:rPr>
          <w:spacing w:val="-2"/>
        </w:rPr>
        <w:t>er</w:t>
      </w:r>
      <w:r w:rsidR="00DB024A" w:rsidRPr="00BD77D8">
        <w:t>s</w:t>
      </w:r>
      <w:r w:rsidR="00DB024A" w:rsidRPr="00BD77D8">
        <w:rPr>
          <w:spacing w:val="-13"/>
        </w:rPr>
        <w:t xml:space="preserve"> </w:t>
      </w:r>
      <w:r w:rsidR="00DB024A" w:rsidRPr="00BD77D8">
        <w:t>Da</w:t>
      </w:r>
      <w:r w:rsidR="00DB024A" w:rsidRPr="00BD77D8">
        <w:rPr>
          <w:spacing w:val="-2"/>
        </w:rPr>
        <w:t>y</w:t>
      </w:r>
      <w:r w:rsidR="00DB024A" w:rsidRPr="00BD77D8">
        <w:rPr>
          <w:spacing w:val="-12"/>
        </w:rPr>
        <w:t xml:space="preserve"> </w:t>
      </w:r>
      <w:r w:rsidR="00DB024A" w:rsidRPr="00BD77D8">
        <w:t>Obser</w:t>
      </w:r>
      <w:r w:rsidR="00DB024A" w:rsidRPr="00BD77D8">
        <w:rPr>
          <w:spacing w:val="-2"/>
        </w:rPr>
        <w:t>v</w:t>
      </w:r>
      <w:r w:rsidR="00DB024A" w:rsidRPr="00BD77D8">
        <w:t>anc</w:t>
      </w:r>
      <w:r w:rsidR="00DB024A" w:rsidRPr="00BD77D8">
        <w:rPr>
          <w:spacing w:val="-2"/>
        </w:rPr>
        <w:t>e</w:t>
      </w:r>
      <w:r w:rsidR="00DB024A" w:rsidRPr="00BD77D8">
        <w:rPr>
          <w:spacing w:val="-11"/>
        </w:rPr>
        <w:t xml:space="preserve"> </w:t>
      </w:r>
      <w:r w:rsidR="00DB024A" w:rsidRPr="00BD77D8">
        <w:t>C</w:t>
      </w:r>
      <w:r w:rsidR="00DB024A" w:rsidRPr="00BD77D8">
        <w:rPr>
          <w:spacing w:val="-2"/>
        </w:rPr>
        <w:t xml:space="preserve">ommittee) </w:t>
      </w:r>
      <w:r w:rsidR="00DB024A" w:rsidRPr="00BD77D8">
        <w:t>Week</w:t>
      </w:r>
      <w:r w:rsidR="00DB024A" w:rsidRPr="00BD77D8">
        <w:rPr>
          <w:spacing w:val="-19"/>
        </w:rPr>
        <w:t xml:space="preserve"> </w:t>
      </w:r>
      <w:r w:rsidRPr="00BD77D8">
        <w:t>is</w:t>
      </w:r>
      <w:r w:rsidRPr="00BD77D8">
        <w:rPr>
          <w:spacing w:val="-16"/>
        </w:rPr>
        <w:t xml:space="preserve"> </w:t>
      </w:r>
      <w:r w:rsidRPr="00BD77D8">
        <w:t>the</w:t>
      </w:r>
      <w:r w:rsidRPr="00BD77D8">
        <w:rPr>
          <w:spacing w:val="-14"/>
        </w:rPr>
        <w:t xml:space="preserve"> </w:t>
      </w:r>
      <w:r w:rsidRPr="00BD77D8">
        <w:rPr>
          <w:spacing w:val="-2"/>
        </w:rPr>
        <w:t>mo</w:t>
      </w:r>
      <w:r w:rsidRPr="00BD77D8">
        <w:t>s</w:t>
      </w:r>
      <w:r w:rsidRPr="00BD77D8">
        <w:rPr>
          <w:spacing w:val="-2"/>
        </w:rPr>
        <w:t>t</w:t>
      </w:r>
      <w:r w:rsidRPr="00BD77D8">
        <w:rPr>
          <w:spacing w:val="-16"/>
        </w:rPr>
        <w:t xml:space="preserve"> </w:t>
      </w:r>
      <w:r w:rsidRPr="00BD77D8">
        <w:t>signific</w:t>
      </w:r>
      <w:r w:rsidRPr="00BD77D8">
        <w:rPr>
          <w:spacing w:val="-2"/>
        </w:rPr>
        <w:t>ant</w:t>
      </w:r>
      <w:r w:rsidRPr="00BD77D8">
        <w:rPr>
          <w:spacing w:val="-16"/>
        </w:rPr>
        <w:t xml:space="preserve"> </w:t>
      </w:r>
      <w:r w:rsidRPr="00BD77D8">
        <w:t>cu</w:t>
      </w:r>
      <w:r w:rsidRPr="00BD77D8">
        <w:rPr>
          <w:spacing w:val="-2"/>
        </w:rPr>
        <w:t>lt</w:t>
      </w:r>
      <w:r w:rsidRPr="00BD77D8">
        <w:t>u</w:t>
      </w:r>
      <w:r w:rsidRPr="00BD77D8">
        <w:rPr>
          <w:spacing w:val="-2"/>
        </w:rPr>
        <w:t>r</w:t>
      </w:r>
      <w:r w:rsidRPr="00BD77D8">
        <w:t>al</w:t>
      </w:r>
      <w:r w:rsidRPr="00BD77D8">
        <w:rPr>
          <w:spacing w:val="-16"/>
        </w:rPr>
        <w:t xml:space="preserve"> </w:t>
      </w:r>
      <w:r w:rsidRPr="00BD77D8">
        <w:t>cel</w:t>
      </w:r>
      <w:r w:rsidRPr="00BD77D8">
        <w:rPr>
          <w:spacing w:val="-2"/>
        </w:rPr>
        <w:t xml:space="preserve">ebration </w:t>
      </w:r>
      <w:r w:rsidRPr="00BD77D8">
        <w:t>on</w:t>
      </w:r>
      <w:r w:rsidRPr="00BD77D8">
        <w:rPr>
          <w:spacing w:val="-12"/>
        </w:rPr>
        <w:t xml:space="preserve"> </w:t>
      </w:r>
      <w:r w:rsidRPr="00BD77D8">
        <w:t>the</w:t>
      </w:r>
      <w:r w:rsidRPr="00BD77D8">
        <w:rPr>
          <w:spacing w:val="-11"/>
        </w:rPr>
        <w:t xml:space="preserve"> </w:t>
      </w:r>
      <w:r w:rsidRPr="00BD77D8">
        <w:t>calend</w:t>
      </w:r>
      <w:r w:rsidRPr="00BD77D8">
        <w:rPr>
          <w:spacing w:val="-2"/>
        </w:rPr>
        <w:t>ar</w:t>
      </w:r>
      <w:r w:rsidRPr="00BD77D8">
        <w:rPr>
          <w:spacing w:val="-11"/>
        </w:rPr>
        <w:t xml:space="preserve"> </w:t>
      </w:r>
      <w:r w:rsidRPr="00BD77D8">
        <w:rPr>
          <w:spacing w:val="-2"/>
        </w:rPr>
        <w:t>for</w:t>
      </w:r>
      <w:r w:rsidRPr="00BD77D8">
        <w:rPr>
          <w:spacing w:val="-11"/>
        </w:rPr>
        <w:t xml:space="preserve"> </w:t>
      </w:r>
      <w:r w:rsidRPr="00BD77D8">
        <w:rPr>
          <w:spacing w:val="-2"/>
        </w:rPr>
        <w:t>A</w:t>
      </w:r>
      <w:r w:rsidRPr="00BD77D8">
        <w:t>boriginal</w:t>
      </w:r>
      <w:r w:rsidRPr="00BD77D8">
        <w:rPr>
          <w:spacing w:val="-12"/>
        </w:rPr>
        <w:t xml:space="preserve"> </w:t>
      </w:r>
      <w:r w:rsidRPr="00BD77D8">
        <w:t>and</w:t>
      </w:r>
      <w:r w:rsidRPr="00BD77D8">
        <w:rPr>
          <w:spacing w:val="-16"/>
        </w:rPr>
        <w:t xml:space="preserve"> </w:t>
      </w:r>
      <w:r w:rsidRPr="00BD77D8">
        <w:rPr>
          <w:spacing w:val="-3"/>
        </w:rPr>
        <w:t>Torre</w:t>
      </w:r>
      <w:r w:rsidRPr="00BD77D8">
        <w:rPr>
          <w:spacing w:val="-2"/>
        </w:rPr>
        <w:t>s</w:t>
      </w:r>
      <w:r w:rsidRPr="00BD77D8">
        <w:rPr>
          <w:spacing w:val="-15"/>
        </w:rPr>
        <w:t xml:space="preserve"> </w:t>
      </w:r>
      <w:r w:rsidRPr="00BD77D8">
        <w:t>St</w:t>
      </w:r>
      <w:r w:rsidRPr="00BD77D8">
        <w:rPr>
          <w:spacing w:val="-2"/>
        </w:rPr>
        <w:t>rait</w:t>
      </w:r>
      <w:r w:rsidRPr="00BD77D8">
        <w:rPr>
          <w:spacing w:val="-13"/>
        </w:rPr>
        <w:t xml:space="preserve"> </w:t>
      </w:r>
      <w:r w:rsidRPr="00BD77D8">
        <w:t>Island</w:t>
      </w:r>
      <w:r w:rsidRPr="00BD77D8">
        <w:rPr>
          <w:spacing w:val="-2"/>
        </w:rPr>
        <w:t xml:space="preserve">er </w:t>
      </w:r>
      <w:r w:rsidR="00016A5E" w:rsidRPr="00BD77D8">
        <w:rPr>
          <w:spacing w:val="-2"/>
        </w:rPr>
        <w:t>Queen</w:t>
      </w:r>
      <w:r w:rsidR="00016A5E" w:rsidRPr="00BD77D8">
        <w:t>sland</w:t>
      </w:r>
      <w:r w:rsidR="00016A5E" w:rsidRPr="00BD77D8">
        <w:rPr>
          <w:spacing w:val="-2"/>
        </w:rPr>
        <w:t>er</w:t>
      </w:r>
      <w:r w:rsidR="00016A5E" w:rsidRPr="00BD77D8">
        <w:t>s and</w:t>
      </w:r>
      <w:r w:rsidRPr="00BD77D8">
        <w:rPr>
          <w:spacing w:val="-12"/>
        </w:rPr>
        <w:t xml:space="preserve"> </w:t>
      </w:r>
      <w:r w:rsidRPr="00BD77D8">
        <w:rPr>
          <w:spacing w:val="-2"/>
        </w:rPr>
        <w:t>pre</w:t>
      </w:r>
      <w:r w:rsidRPr="00BD77D8">
        <w:t>sents</w:t>
      </w:r>
      <w:r w:rsidRPr="00BD77D8">
        <w:rPr>
          <w:spacing w:val="-12"/>
        </w:rPr>
        <w:t xml:space="preserve"> </w:t>
      </w:r>
      <w:r w:rsidRPr="00BD77D8">
        <w:t>an</w:t>
      </w:r>
      <w:r w:rsidRPr="00BD77D8">
        <w:rPr>
          <w:spacing w:val="-11"/>
        </w:rPr>
        <w:t xml:space="preserve"> </w:t>
      </w:r>
      <w:r w:rsidRPr="00BD77D8">
        <w:t>op</w:t>
      </w:r>
      <w:r w:rsidRPr="00BD77D8">
        <w:rPr>
          <w:spacing w:val="-2"/>
        </w:rPr>
        <w:t>port</w:t>
      </w:r>
      <w:r w:rsidRPr="00BD77D8">
        <w:t>u</w:t>
      </w:r>
      <w:r w:rsidRPr="00BD77D8">
        <w:rPr>
          <w:spacing w:val="-2"/>
        </w:rPr>
        <w:t>nity</w:t>
      </w:r>
      <w:r w:rsidRPr="00BD77D8">
        <w:rPr>
          <w:spacing w:val="-12"/>
        </w:rPr>
        <w:t xml:space="preserve"> </w:t>
      </w:r>
      <w:r w:rsidRPr="00BD77D8">
        <w:rPr>
          <w:spacing w:val="-2"/>
        </w:rPr>
        <w:t>t</w:t>
      </w:r>
      <w:r w:rsidRPr="00BD77D8">
        <w:t>o</w:t>
      </w:r>
      <w:r w:rsidRPr="00BD77D8">
        <w:rPr>
          <w:spacing w:val="-11"/>
        </w:rPr>
        <w:t xml:space="preserve"> </w:t>
      </w:r>
      <w:r w:rsidRPr="00BD77D8">
        <w:rPr>
          <w:spacing w:val="-2"/>
        </w:rPr>
        <w:t>r</w:t>
      </w:r>
      <w:r w:rsidRPr="00BD77D8">
        <w:t>aise a</w:t>
      </w:r>
      <w:r w:rsidRPr="00BD77D8">
        <w:rPr>
          <w:spacing w:val="-2"/>
        </w:rPr>
        <w:t>warene</w:t>
      </w:r>
      <w:r w:rsidRPr="00BD77D8">
        <w:t>ss</w:t>
      </w:r>
      <w:r w:rsidRPr="00BD77D8">
        <w:rPr>
          <w:spacing w:val="-12"/>
        </w:rPr>
        <w:t xml:space="preserve"> </w:t>
      </w:r>
      <w:r w:rsidRPr="00BD77D8">
        <w:t>and</w:t>
      </w:r>
      <w:r w:rsidRPr="00BD77D8">
        <w:rPr>
          <w:spacing w:val="-11"/>
        </w:rPr>
        <w:t xml:space="preserve"> </w:t>
      </w:r>
      <w:r w:rsidRPr="00BD77D8">
        <w:t>und</w:t>
      </w:r>
      <w:r w:rsidRPr="00BD77D8">
        <w:rPr>
          <w:spacing w:val="-2"/>
        </w:rPr>
        <w:t>er</w:t>
      </w:r>
      <w:r w:rsidRPr="00BD77D8">
        <w:t>s</w:t>
      </w:r>
      <w:r w:rsidRPr="00BD77D8">
        <w:rPr>
          <w:spacing w:val="-2"/>
        </w:rPr>
        <w:t>t</w:t>
      </w:r>
      <w:r w:rsidRPr="00BD77D8">
        <w:t>anding</w:t>
      </w:r>
      <w:r w:rsidRPr="00BD77D8">
        <w:rPr>
          <w:spacing w:val="-10"/>
        </w:rPr>
        <w:t xml:space="preserve"> </w:t>
      </w:r>
      <w:r w:rsidRPr="00BD77D8">
        <w:t>of</w:t>
      </w:r>
      <w:r w:rsidRPr="00BD77D8">
        <w:rPr>
          <w:spacing w:val="-11"/>
        </w:rPr>
        <w:t xml:space="preserve"> </w:t>
      </w:r>
      <w:r w:rsidRPr="00BD77D8">
        <w:rPr>
          <w:spacing w:val="-2"/>
        </w:rPr>
        <w:t>A</w:t>
      </w:r>
      <w:r w:rsidRPr="00BD77D8">
        <w:t>boriginal</w:t>
      </w:r>
      <w:r w:rsidRPr="00BD77D8">
        <w:rPr>
          <w:spacing w:val="-12"/>
        </w:rPr>
        <w:t xml:space="preserve"> </w:t>
      </w:r>
      <w:r w:rsidRPr="00BD77D8">
        <w:t>and</w:t>
      </w:r>
      <w:r w:rsidRPr="00BD77D8">
        <w:rPr>
          <w:spacing w:val="-14"/>
        </w:rPr>
        <w:t xml:space="preserve"> </w:t>
      </w:r>
      <w:r w:rsidRPr="00BD77D8">
        <w:rPr>
          <w:spacing w:val="-3"/>
        </w:rPr>
        <w:t>Torre</w:t>
      </w:r>
      <w:r w:rsidRPr="00BD77D8">
        <w:rPr>
          <w:spacing w:val="-2"/>
        </w:rPr>
        <w:t>s</w:t>
      </w:r>
      <w:r w:rsidRPr="00BD77D8">
        <w:rPr>
          <w:spacing w:val="-15"/>
        </w:rPr>
        <w:t xml:space="preserve"> </w:t>
      </w:r>
      <w:r w:rsidRPr="00BD77D8">
        <w:t>Strait</w:t>
      </w:r>
      <w:r w:rsidR="008270B6" w:rsidRPr="00BD77D8">
        <w:t xml:space="preserve"> </w:t>
      </w:r>
      <w:r w:rsidRPr="00BD77D8">
        <w:t>Islander cultures</w:t>
      </w:r>
      <w:r w:rsidRPr="00BD77D8">
        <w:rPr>
          <w:spacing w:val="-10"/>
        </w:rPr>
        <w:t xml:space="preserve"> </w:t>
      </w:r>
      <w:r w:rsidRPr="00BD77D8">
        <w:t>and</w:t>
      </w:r>
      <w:r w:rsidRPr="00BD77D8">
        <w:rPr>
          <w:spacing w:val="-11"/>
        </w:rPr>
        <w:t xml:space="preserve"> </w:t>
      </w:r>
      <w:r w:rsidRPr="00BD77D8">
        <w:t>cus</w:t>
      </w:r>
      <w:r w:rsidRPr="00BD77D8">
        <w:rPr>
          <w:spacing w:val="-2"/>
        </w:rPr>
        <w:t>t</w:t>
      </w:r>
      <w:r w:rsidRPr="00BD77D8">
        <w:t>oms.</w:t>
      </w:r>
    </w:p>
    <w:p w14:paraId="50D2C43B" w14:textId="06EC49B8" w:rsidR="00E86FF9" w:rsidRPr="00BD77D8" w:rsidRDefault="00E86FF9" w:rsidP="00D83B53">
      <w:r w:rsidRPr="00BD77D8">
        <w:t>Each</w:t>
      </w:r>
      <w:r w:rsidRPr="00BD77D8">
        <w:rPr>
          <w:spacing w:val="-15"/>
        </w:rPr>
        <w:t xml:space="preserve"> </w:t>
      </w:r>
      <w:r w:rsidRPr="00BD77D8">
        <w:rPr>
          <w:spacing w:val="-2"/>
        </w:rPr>
        <w:t>year</w:t>
      </w:r>
      <w:r w:rsidR="0017270E" w:rsidRPr="00BD77D8">
        <w:rPr>
          <w:spacing w:val="-2"/>
        </w:rPr>
        <w:t>,</w:t>
      </w:r>
      <w:r w:rsidRPr="00BD77D8">
        <w:rPr>
          <w:spacing w:val="-14"/>
        </w:rPr>
        <w:t xml:space="preserve"> </w:t>
      </w:r>
      <w:r w:rsidRPr="00BD77D8">
        <w:t>the</w:t>
      </w:r>
      <w:r w:rsidRPr="00BD77D8">
        <w:rPr>
          <w:spacing w:val="-14"/>
        </w:rPr>
        <w:t xml:space="preserve"> </w:t>
      </w:r>
      <w:r w:rsidRPr="00BD77D8">
        <w:t>dep</w:t>
      </w:r>
      <w:r w:rsidRPr="00BD77D8">
        <w:rPr>
          <w:spacing w:val="-2"/>
        </w:rPr>
        <w:t>artment</w:t>
      </w:r>
      <w:r w:rsidRPr="00BD77D8">
        <w:rPr>
          <w:spacing w:val="-14"/>
        </w:rPr>
        <w:t xml:space="preserve"> </w:t>
      </w:r>
      <w:r w:rsidRPr="00BD77D8">
        <w:t>deli</w:t>
      </w:r>
      <w:r w:rsidRPr="00BD77D8">
        <w:rPr>
          <w:spacing w:val="-2"/>
        </w:rPr>
        <w:t>ver</w:t>
      </w:r>
      <w:r w:rsidRPr="00BD77D8">
        <w:t>s</w:t>
      </w:r>
      <w:r w:rsidRPr="00BD77D8">
        <w:rPr>
          <w:spacing w:val="-15"/>
        </w:rPr>
        <w:t xml:space="preserve"> </w:t>
      </w:r>
      <w:r w:rsidR="009D48F1" w:rsidRPr="00BD77D8">
        <w:t xml:space="preserve">funding for local initiatives and </w:t>
      </w:r>
      <w:r w:rsidRPr="00BD77D8">
        <w:rPr>
          <w:spacing w:val="-2"/>
        </w:rPr>
        <w:t>promotion</w:t>
      </w:r>
      <w:r w:rsidRPr="00BD77D8">
        <w:t xml:space="preserve">al </w:t>
      </w:r>
      <w:r w:rsidR="009D48F1" w:rsidRPr="00BD77D8">
        <w:t>activit</w:t>
      </w:r>
      <w:r w:rsidR="00FE37F3" w:rsidRPr="00BD77D8">
        <w:t>i</w:t>
      </w:r>
      <w:r w:rsidR="009D48F1" w:rsidRPr="00BD77D8">
        <w:t>es</w:t>
      </w:r>
      <w:r w:rsidRPr="00BD77D8">
        <w:rPr>
          <w:spacing w:val="-6"/>
        </w:rPr>
        <w:t xml:space="preserve"> </w:t>
      </w:r>
      <w:r w:rsidRPr="00BD77D8">
        <w:rPr>
          <w:spacing w:val="-2"/>
        </w:rPr>
        <w:t>t</w:t>
      </w:r>
      <w:r w:rsidRPr="00BD77D8">
        <w:t>o</w:t>
      </w:r>
      <w:r w:rsidRPr="00BD77D8">
        <w:rPr>
          <w:spacing w:val="-6"/>
        </w:rPr>
        <w:t xml:space="preserve"> </w:t>
      </w:r>
      <w:r w:rsidRPr="00BD77D8">
        <w:t>sup</w:t>
      </w:r>
      <w:r w:rsidRPr="00BD77D8">
        <w:rPr>
          <w:spacing w:val="-2"/>
        </w:rPr>
        <w:t>port</w:t>
      </w:r>
      <w:r w:rsidRPr="00BD77D8">
        <w:rPr>
          <w:spacing w:val="-7"/>
        </w:rPr>
        <w:t xml:space="preserve"> </w:t>
      </w:r>
      <w:r w:rsidRPr="00BD77D8">
        <w:t>all</w:t>
      </w:r>
      <w:r w:rsidRPr="00BD77D8">
        <w:rPr>
          <w:spacing w:val="-7"/>
        </w:rPr>
        <w:t xml:space="preserve"> </w:t>
      </w:r>
      <w:r w:rsidRPr="00BD77D8">
        <w:rPr>
          <w:spacing w:val="-2"/>
        </w:rPr>
        <w:t>Queen</w:t>
      </w:r>
      <w:r w:rsidRPr="00BD77D8">
        <w:t>sland</w:t>
      </w:r>
      <w:r w:rsidRPr="00BD77D8">
        <w:rPr>
          <w:spacing w:val="-2"/>
        </w:rPr>
        <w:t>er</w:t>
      </w:r>
      <w:r w:rsidRPr="00BD77D8">
        <w:t>s</w:t>
      </w:r>
      <w:r w:rsidRPr="00BD77D8">
        <w:rPr>
          <w:spacing w:val="-8"/>
        </w:rPr>
        <w:t xml:space="preserve"> </w:t>
      </w:r>
      <w:r w:rsidR="009D48F1" w:rsidRPr="00BD77D8">
        <w:rPr>
          <w:spacing w:val="-8"/>
        </w:rPr>
        <w:t xml:space="preserve">to celebrate </w:t>
      </w:r>
      <w:r w:rsidRPr="00BD77D8">
        <w:t>NAIDOC</w:t>
      </w:r>
      <w:r w:rsidRPr="00BD77D8">
        <w:rPr>
          <w:spacing w:val="-27"/>
        </w:rPr>
        <w:t xml:space="preserve"> </w:t>
      </w:r>
      <w:r w:rsidRPr="00BD77D8">
        <w:t>Week</w:t>
      </w:r>
      <w:r w:rsidRPr="00BD77D8">
        <w:rPr>
          <w:spacing w:val="-26"/>
        </w:rPr>
        <w:t xml:space="preserve"> </w:t>
      </w:r>
      <w:r w:rsidRPr="00BD77D8">
        <w:rPr>
          <w:spacing w:val="-2"/>
        </w:rPr>
        <w:t>within</w:t>
      </w:r>
      <w:r w:rsidRPr="00BD77D8">
        <w:rPr>
          <w:spacing w:val="-23"/>
        </w:rPr>
        <w:t xml:space="preserve"> </w:t>
      </w:r>
      <w:r w:rsidRPr="00BD77D8">
        <w:t>their</w:t>
      </w:r>
      <w:r w:rsidRPr="00BD77D8">
        <w:rPr>
          <w:spacing w:val="-23"/>
        </w:rPr>
        <w:t xml:space="preserve"> </w:t>
      </w:r>
      <w:r w:rsidRPr="00BD77D8">
        <w:t>c</w:t>
      </w:r>
      <w:r w:rsidRPr="00BD77D8">
        <w:rPr>
          <w:spacing w:val="-2"/>
        </w:rPr>
        <w:t>ommunitie</w:t>
      </w:r>
      <w:r w:rsidRPr="00BD77D8">
        <w:t>s,</w:t>
      </w:r>
      <w:r w:rsidRPr="00BD77D8">
        <w:rPr>
          <w:spacing w:val="-23"/>
        </w:rPr>
        <w:t xml:space="preserve"> </w:t>
      </w:r>
      <w:r w:rsidRPr="00BD77D8">
        <w:t>including</w:t>
      </w:r>
      <w:r w:rsidR="00BD2A32" w:rsidRPr="00BD77D8">
        <w:t xml:space="preserve"> promotional materials </w:t>
      </w:r>
      <w:r w:rsidRPr="00BD77D8">
        <w:t>and support for local events.</w:t>
      </w:r>
    </w:p>
    <w:p w14:paraId="40BEDFBA" w14:textId="3E541D20" w:rsidR="00E86FF9" w:rsidRPr="00BD77D8" w:rsidRDefault="00E86FF9" w:rsidP="00D83B53">
      <w:r w:rsidRPr="00BD77D8">
        <w:t>The</w:t>
      </w:r>
      <w:r w:rsidRPr="00BD77D8">
        <w:rPr>
          <w:spacing w:val="-13"/>
        </w:rPr>
        <w:t xml:space="preserve"> </w:t>
      </w:r>
      <w:r w:rsidRPr="00BD77D8">
        <w:t>Cel</w:t>
      </w:r>
      <w:r w:rsidRPr="00BD77D8">
        <w:rPr>
          <w:spacing w:val="-2"/>
        </w:rPr>
        <w:t>ebratin</w:t>
      </w:r>
      <w:r w:rsidRPr="00BD77D8">
        <w:t>g</w:t>
      </w:r>
      <w:r w:rsidRPr="00BD77D8">
        <w:rPr>
          <w:spacing w:val="-12"/>
        </w:rPr>
        <w:t xml:space="preserve"> </w:t>
      </w:r>
      <w:r w:rsidRPr="00BD77D8">
        <w:t>Reconcili</w:t>
      </w:r>
      <w:r w:rsidRPr="00BD77D8">
        <w:rPr>
          <w:spacing w:val="-2"/>
        </w:rPr>
        <w:t>ation</w:t>
      </w:r>
      <w:r w:rsidRPr="00BD77D8">
        <w:rPr>
          <w:spacing w:val="-15"/>
        </w:rPr>
        <w:t xml:space="preserve"> </w:t>
      </w:r>
      <w:r w:rsidRPr="00BD77D8">
        <w:t>Small</w:t>
      </w:r>
      <w:r w:rsidRPr="00BD77D8">
        <w:rPr>
          <w:spacing w:val="-13"/>
        </w:rPr>
        <w:t xml:space="preserve"> </w:t>
      </w:r>
      <w:r w:rsidRPr="00BD77D8">
        <w:rPr>
          <w:spacing w:val="-2"/>
        </w:rPr>
        <w:t>Gr</w:t>
      </w:r>
      <w:r w:rsidRPr="00BD77D8">
        <w:t>ants</w:t>
      </w:r>
      <w:r w:rsidRPr="00BD77D8">
        <w:rPr>
          <w:spacing w:val="-14"/>
        </w:rPr>
        <w:t xml:space="preserve"> </w:t>
      </w:r>
      <w:r w:rsidRPr="00BD77D8">
        <w:rPr>
          <w:spacing w:val="-2"/>
        </w:rPr>
        <w:t>progr</w:t>
      </w:r>
      <w:r w:rsidRPr="00BD77D8">
        <w:t>am encourages all Queenslanders to participate in National Reconciliation Week and commemorate two significant milestones in our national history: the anniversary of the 1967 Referendum and the 1992 High Court Mabo decision</w:t>
      </w:r>
      <w:r w:rsidRPr="00BD77D8">
        <w:rPr>
          <w:spacing w:val="-2"/>
        </w:rPr>
        <w:t>.</w:t>
      </w:r>
    </w:p>
    <w:p w14:paraId="7599C9AB" w14:textId="77777777" w:rsidR="00E86FF9" w:rsidRPr="00BD77D8" w:rsidRDefault="00E86FF9" w:rsidP="00DC6A45">
      <w:pPr>
        <w:spacing w:before="720" w:after="120" w:line="240" w:lineRule="auto"/>
        <w:rPr>
          <w:b/>
          <w:bCs/>
        </w:rPr>
      </w:pPr>
      <w:bookmarkStart w:id="201" w:name="_Hlk112837971"/>
      <w:r w:rsidRPr="00BD77D8">
        <w:rPr>
          <w:b/>
          <w:bCs/>
        </w:rPr>
        <w:lastRenderedPageBreak/>
        <w:t>Key achievements</w:t>
      </w:r>
    </w:p>
    <w:p w14:paraId="27DAA2ED" w14:textId="2566328E" w:rsidR="00E86FF9" w:rsidRPr="00BD77D8" w:rsidRDefault="0017270E" w:rsidP="00671ADD">
      <w:pPr>
        <w:spacing w:after="120" w:line="240" w:lineRule="auto"/>
      </w:pPr>
      <w:r w:rsidRPr="00BD77D8">
        <w:t>During the reporting period, t</w:t>
      </w:r>
      <w:r w:rsidR="00E86FF9" w:rsidRPr="00BD77D8">
        <w:t>he</w:t>
      </w:r>
      <w:r w:rsidR="00E86FF9" w:rsidRPr="00BD77D8">
        <w:rPr>
          <w:spacing w:val="-14"/>
        </w:rPr>
        <w:t xml:space="preserve"> </w:t>
      </w:r>
      <w:r w:rsidR="00E86FF9" w:rsidRPr="00BD77D8">
        <w:rPr>
          <w:spacing w:val="-1"/>
        </w:rPr>
        <w:t>dep</w:t>
      </w:r>
      <w:r w:rsidR="00E86FF9" w:rsidRPr="00BD77D8">
        <w:rPr>
          <w:spacing w:val="-2"/>
        </w:rPr>
        <w:t>artment:</w:t>
      </w:r>
    </w:p>
    <w:p w14:paraId="7B148136" w14:textId="380F8438" w:rsidR="00CF29FB" w:rsidRPr="00BD77D8" w:rsidRDefault="00CF29FB" w:rsidP="00F729B3">
      <w:pPr>
        <w:pStyle w:val="ListParagraph"/>
        <w:numPr>
          <w:ilvl w:val="0"/>
          <w:numId w:val="51"/>
        </w:numPr>
        <w:rPr>
          <w:spacing w:val="-1"/>
        </w:rPr>
      </w:pPr>
      <w:r w:rsidRPr="00BD77D8">
        <w:rPr>
          <w:spacing w:val="-1"/>
        </w:rPr>
        <w:t xml:space="preserve">provided promotional support for </w:t>
      </w:r>
      <w:proofErr w:type="spellStart"/>
      <w:r w:rsidRPr="00BD77D8">
        <w:rPr>
          <w:spacing w:val="-1"/>
        </w:rPr>
        <w:t>statewide</w:t>
      </w:r>
      <w:proofErr w:type="spellEnd"/>
      <w:r w:rsidRPr="00BD77D8">
        <w:rPr>
          <w:spacing w:val="-1"/>
        </w:rPr>
        <w:t xml:space="preserve"> NAIDOC Week by distributing tote bags and note</w:t>
      </w:r>
      <w:r w:rsidR="00DB024A" w:rsidRPr="00BD77D8">
        <w:rPr>
          <w:spacing w:val="-1"/>
        </w:rPr>
        <w:t>-</w:t>
      </w:r>
      <w:r w:rsidRPr="00BD77D8">
        <w:rPr>
          <w:spacing w:val="-1"/>
        </w:rPr>
        <w:t>books for regional NAIDOC Week</w:t>
      </w:r>
      <w:r w:rsidR="00583219" w:rsidRPr="00BD77D8">
        <w:rPr>
          <w:spacing w:val="-1"/>
        </w:rPr>
        <w:t xml:space="preserve"> activities</w:t>
      </w:r>
    </w:p>
    <w:p w14:paraId="6EE5B978" w14:textId="779F789B" w:rsidR="00BD2A32" w:rsidRPr="00BD77D8" w:rsidRDefault="00BD2A32" w:rsidP="00F729B3">
      <w:pPr>
        <w:pStyle w:val="ListParagraph"/>
        <w:numPr>
          <w:ilvl w:val="0"/>
          <w:numId w:val="51"/>
        </w:numPr>
        <w:rPr>
          <w:spacing w:val="-1"/>
        </w:rPr>
      </w:pPr>
      <w:r w:rsidRPr="00BD77D8">
        <w:rPr>
          <w:spacing w:val="-1"/>
        </w:rPr>
        <w:t xml:space="preserve">approved 71 </w:t>
      </w:r>
      <w:r w:rsidR="00583219" w:rsidRPr="00BD77D8">
        <w:rPr>
          <w:spacing w:val="-1"/>
        </w:rPr>
        <w:t xml:space="preserve">funding </w:t>
      </w:r>
      <w:r w:rsidRPr="00BD77D8">
        <w:rPr>
          <w:spacing w:val="-1"/>
        </w:rPr>
        <w:t>applications to support community events across the state to celebrate NAIDOC Week activities</w:t>
      </w:r>
    </w:p>
    <w:p w14:paraId="05D7FA42" w14:textId="3930DE90" w:rsidR="00CB1AA1" w:rsidRPr="00BD77D8" w:rsidRDefault="009D48F1" w:rsidP="00F729B3">
      <w:pPr>
        <w:pStyle w:val="ListParagraph"/>
        <w:numPr>
          <w:ilvl w:val="0"/>
          <w:numId w:val="51"/>
        </w:numPr>
        <w:rPr>
          <w:spacing w:val="-1"/>
        </w:rPr>
      </w:pPr>
      <w:r w:rsidRPr="00BD77D8">
        <w:rPr>
          <w:spacing w:val="-1"/>
        </w:rPr>
        <w:t>delivered a total of $155,000 in Celebrating Reconciliation Grants 2022 funding</w:t>
      </w:r>
      <w:r w:rsidR="00BD0914" w:rsidRPr="00BD77D8">
        <w:rPr>
          <w:spacing w:val="-1"/>
        </w:rPr>
        <w:t>,</w:t>
      </w:r>
      <w:r w:rsidRPr="00BD77D8">
        <w:rPr>
          <w:spacing w:val="-1"/>
        </w:rPr>
        <w:t xml:space="preserve"> to support 38 initiatives held during National Reconciliation Week 2022.</w:t>
      </w:r>
    </w:p>
    <w:p w14:paraId="2DCDFC2A" w14:textId="6DEC191B" w:rsidR="00E86FF9" w:rsidRPr="00BD77D8" w:rsidRDefault="00E86FF9" w:rsidP="007524AB">
      <w:pPr>
        <w:pStyle w:val="Heading3"/>
      </w:pPr>
      <w:bookmarkStart w:id="202" w:name="_Toc67046722"/>
      <w:bookmarkStart w:id="203" w:name="_Toc78287376"/>
      <w:bookmarkStart w:id="204" w:name="_Toc78355783"/>
      <w:bookmarkStart w:id="205" w:name="_Hlk112838017"/>
      <w:bookmarkEnd w:id="200"/>
      <w:bookmarkEnd w:id="201"/>
      <w:r w:rsidRPr="00BD77D8">
        <w:t>Ministerial and Government Champions program</w:t>
      </w:r>
      <w:bookmarkEnd w:id="202"/>
      <w:bookmarkEnd w:id="203"/>
      <w:bookmarkEnd w:id="204"/>
    </w:p>
    <w:bookmarkEnd w:id="205"/>
    <w:p w14:paraId="6935F184" w14:textId="176FA85A" w:rsidR="00ED2F79" w:rsidRPr="00BD77D8" w:rsidRDefault="00E86FF9" w:rsidP="00D83B53">
      <w:r w:rsidRPr="00BD77D8">
        <w:t>The department administers the Ministerial and Government Champions program (the Champions Program), which provides an opportunity for Queensland Government Ministers, and Chief Executives of Queensland Government agencies</w:t>
      </w:r>
      <w:r w:rsidR="0017270E" w:rsidRPr="00BD77D8">
        <w:t>,</w:t>
      </w:r>
      <w:r w:rsidRPr="00BD77D8">
        <w:t xml:space="preserve"> to work collaboratively with remote and discrete Aboriginal and Torres Strait Islander communities. Champions work closely with mayors, community leaders, government agencies and key service providers from their partner communit</w:t>
      </w:r>
      <w:r w:rsidR="0017270E" w:rsidRPr="00BD77D8">
        <w:t>ies</w:t>
      </w:r>
      <w:r w:rsidRPr="00BD77D8">
        <w:t xml:space="preserve"> to engage more effectively on the opportunities and challenges facing Aboriginal</w:t>
      </w:r>
      <w:r w:rsidR="004C7FBB" w:rsidRPr="00BD77D8">
        <w:t xml:space="preserve"> peoples</w:t>
      </w:r>
      <w:r w:rsidRPr="00BD77D8">
        <w:t xml:space="preserve"> and Torres Strait Islander </w:t>
      </w:r>
      <w:r w:rsidR="0017270E" w:rsidRPr="00BD77D8">
        <w:t>peoples</w:t>
      </w:r>
      <w:r w:rsidRPr="00BD77D8">
        <w:t xml:space="preserve">. The program also builds cultural capability in government through the relationship between Ministers, Chief Executives, </w:t>
      </w:r>
      <w:r w:rsidR="0017270E" w:rsidRPr="00BD77D8">
        <w:t xml:space="preserve">government </w:t>
      </w:r>
      <w:r w:rsidRPr="00BD77D8">
        <w:t>agencies and communities.</w:t>
      </w:r>
      <w:r w:rsidR="00AC767D" w:rsidRPr="00BD77D8">
        <w:t xml:space="preserve"> </w:t>
      </w:r>
    </w:p>
    <w:p w14:paraId="524F95F9" w14:textId="156EE99E" w:rsidR="00E86FF9" w:rsidRPr="00BD77D8" w:rsidRDefault="00AC767D" w:rsidP="00D83B53">
      <w:r w:rsidRPr="00BD77D8">
        <w:t xml:space="preserve">Through the program, Ministers and Chief Executives are provided the opportunity to learn about the experiences of Aboriginal </w:t>
      </w:r>
      <w:r w:rsidR="004C7FBB" w:rsidRPr="00BD77D8">
        <w:t xml:space="preserve">peoples </w:t>
      </w:r>
      <w:r w:rsidRPr="00BD77D8">
        <w:t>and Torres Strait Islander peoples and communities and the impacts of government decisions. There is also the opportunity to engage in high</w:t>
      </w:r>
      <w:r w:rsidR="00DB024A" w:rsidRPr="00BD77D8">
        <w:t>-</w:t>
      </w:r>
      <w:r w:rsidRPr="00BD77D8">
        <w:t>expectations relationship</w:t>
      </w:r>
      <w:r w:rsidR="00BF43F6" w:rsidRPr="00BD77D8">
        <w:t>s</w:t>
      </w:r>
      <w:r w:rsidRPr="00BD77D8">
        <w:t xml:space="preserve"> and mutual accountability to improve social and economic outcomes for Aboriginal</w:t>
      </w:r>
      <w:r w:rsidR="004C7FBB" w:rsidRPr="00BD77D8">
        <w:t xml:space="preserve"> peoples</w:t>
      </w:r>
      <w:r w:rsidR="00A016CB" w:rsidRPr="00BD77D8">
        <w:t xml:space="preserve"> </w:t>
      </w:r>
      <w:r w:rsidRPr="00BD77D8">
        <w:t>and Torres Strait Islander peoples.</w:t>
      </w:r>
    </w:p>
    <w:p w14:paraId="52395812" w14:textId="535AC8FD" w:rsidR="00E86FF9" w:rsidRPr="00BD77D8" w:rsidRDefault="00E86FF9" w:rsidP="00D83B53">
      <w:r w:rsidRPr="00BD77D8">
        <w:t xml:space="preserve">The Champions </w:t>
      </w:r>
      <w:r w:rsidR="00264AD0" w:rsidRPr="00BD77D8">
        <w:t>P</w:t>
      </w:r>
      <w:r w:rsidRPr="00BD77D8">
        <w:t xml:space="preserve">rogram is a key element to reframing the relationship between Aboriginal and Torres Strait Islander remote and </w:t>
      </w:r>
      <w:r w:rsidR="00B44F20" w:rsidRPr="00BD77D8">
        <w:t>discrete</w:t>
      </w:r>
      <w:r w:rsidRPr="00BD77D8">
        <w:t xml:space="preserve"> communities and the Queensland Government. Through strong, open partnerships with councils, service providers, individuals and families, </w:t>
      </w:r>
      <w:r w:rsidR="00DB024A" w:rsidRPr="00BD77D8">
        <w:t>the c</w:t>
      </w:r>
      <w:r w:rsidRPr="00BD77D8">
        <w:t>hampions facilitate access to government networks to overcome barriers and address priority concerns more effectively. The Champions Program enables communities to cut through administrative complexity and layers, to deliver results. This includes implementing the change required to close the gap in Aboriginal and Torres Strait Islander outcomes.</w:t>
      </w:r>
    </w:p>
    <w:p w14:paraId="7CF48E31" w14:textId="1982C546" w:rsidR="00E86FF9" w:rsidRPr="00BD77D8" w:rsidRDefault="00E86FF9" w:rsidP="00671ADD">
      <w:pPr>
        <w:spacing w:after="120" w:line="240" w:lineRule="auto"/>
        <w:rPr>
          <w:b/>
          <w:bCs/>
        </w:rPr>
      </w:pPr>
      <w:bookmarkStart w:id="206" w:name="_Hlk112838004"/>
      <w:r w:rsidRPr="00BD77D8">
        <w:rPr>
          <w:b/>
          <w:bCs/>
        </w:rPr>
        <w:t>Key achievements</w:t>
      </w:r>
    </w:p>
    <w:p w14:paraId="19EA1253" w14:textId="19D30CAC" w:rsidR="00326C8A" w:rsidRPr="00BD77D8" w:rsidRDefault="00326C8A" w:rsidP="00AF1866">
      <w:pPr>
        <w:spacing w:after="120" w:line="240" w:lineRule="auto"/>
        <w:rPr>
          <w:rFonts w:eastAsia="Calibri"/>
          <w:lang w:val="en-US" w:eastAsia="en-US"/>
        </w:rPr>
      </w:pPr>
      <w:r w:rsidRPr="00BD77D8">
        <w:rPr>
          <w:rFonts w:eastAsia="Calibri"/>
          <w:lang w:val="en-US" w:eastAsia="en-US"/>
        </w:rPr>
        <w:t>During the reporting period</w:t>
      </w:r>
      <w:r w:rsidRPr="00BD77D8">
        <w:rPr>
          <w:rFonts w:eastAsia="Calibri"/>
          <w:spacing w:val="-2"/>
          <w:lang w:val="en-US" w:eastAsia="en-US"/>
        </w:rPr>
        <w:t>:</w:t>
      </w:r>
    </w:p>
    <w:p w14:paraId="3B769155" w14:textId="5099E326" w:rsidR="00E24E5B" w:rsidRPr="00BD77D8" w:rsidRDefault="00BF43F6" w:rsidP="00F729B3">
      <w:pPr>
        <w:pStyle w:val="ListBullet"/>
        <w:numPr>
          <w:ilvl w:val="0"/>
          <w:numId w:val="51"/>
        </w:numPr>
      </w:pPr>
      <w:r w:rsidRPr="00BD77D8">
        <w:t xml:space="preserve">the department </w:t>
      </w:r>
      <w:r w:rsidR="00E24E5B" w:rsidRPr="00BD77D8">
        <w:t>continued to strengthen the alignment with the LTC reform, improve information sharing and reporting, build positive relationships with community leaders and other stakeholders, and support LTC implementation</w:t>
      </w:r>
    </w:p>
    <w:p w14:paraId="39464F29" w14:textId="291BA5B3" w:rsidR="00C54645" w:rsidRPr="00BD77D8" w:rsidRDefault="00E24E5B" w:rsidP="00F729B3">
      <w:pPr>
        <w:pStyle w:val="ListBullet"/>
        <w:numPr>
          <w:ilvl w:val="0"/>
          <w:numId w:val="51"/>
        </w:numPr>
      </w:pPr>
      <w:r w:rsidRPr="00BD77D8">
        <w:t xml:space="preserve">Government </w:t>
      </w:r>
      <w:r w:rsidR="00276423" w:rsidRPr="00BD77D8">
        <w:t>c</w:t>
      </w:r>
      <w:r w:rsidRPr="00BD77D8">
        <w:t>hampion representatives worked in conjunction with Local Disaster Management Groups and Queensland Public Sector agencies, under the Queensland State Disaster Management Framework, to deliver local community-based responses to assist community members and promote vaccination rates in First Nations communities.</w:t>
      </w:r>
    </w:p>
    <w:p w14:paraId="266283EE" w14:textId="023B26A3" w:rsidR="00E86FF9" w:rsidRPr="00BD77D8" w:rsidRDefault="00E86FF9" w:rsidP="007524AB">
      <w:pPr>
        <w:pStyle w:val="Heading3"/>
      </w:pPr>
      <w:bookmarkStart w:id="207" w:name="_Toc67046723"/>
      <w:bookmarkStart w:id="208" w:name="_Toc78287377"/>
      <w:bookmarkStart w:id="209" w:name="_Toc78355784"/>
      <w:bookmarkStart w:id="210" w:name="_Hlk112838050"/>
      <w:bookmarkEnd w:id="206"/>
      <w:r w:rsidRPr="00BD77D8">
        <w:t>Cultural Capability Framework</w:t>
      </w:r>
      <w:bookmarkEnd w:id="207"/>
      <w:bookmarkEnd w:id="208"/>
      <w:bookmarkEnd w:id="209"/>
    </w:p>
    <w:bookmarkEnd w:id="210"/>
    <w:p w14:paraId="2C6C081F" w14:textId="563234A3" w:rsidR="00E86FF9" w:rsidRPr="00BD77D8" w:rsidRDefault="00E86FF9" w:rsidP="00D83B53">
      <w:pPr>
        <w:rPr>
          <w:rFonts w:eastAsia="Calibri"/>
          <w:lang w:val="en-US" w:eastAsia="en-US"/>
        </w:rPr>
      </w:pPr>
      <w:r w:rsidRPr="00BD77D8">
        <w:rPr>
          <w:rFonts w:eastAsia="Calibri"/>
          <w:lang w:val="en-US" w:eastAsia="en-US"/>
        </w:rPr>
        <w:t xml:space="preserve">The </w:t>
      </w:r>
      <w:r w:rsidRPr="00BD77D8">
        <w:rPr>
          <w:rFonts w:eastAsia="Calibri"/>
          <w:i/>
          <w:lang w:val="en-US" w:eastAsia="en-US"/>
        </w:rPr>
        <w:t>Aboriginal and Torres Strait Islander Cultural Capability Framework</w:t>
      </w:r>
      <w:r w:rsidRPr="00BD77D8">
        <w:rPr>
          <w:rFonts w:eastAsia="Calibri"/>
          <w:lang w:val="en-US" w:eastAsia="en-US"/>
        </w:rPr>
        <w:t xml:space="preserve"> </w:t>
      </w:r>
      <w:r w:rsidR="00264AD0" w:rsidRPr="00BD77D8">
        <w:rPr>
          <w:rFonts w:eastAsia="Calibri"/>
          <w:lang w:val="en-US" w:eastAsia="en-US"/>
        </w:rPr>
        <w:t xml:space="preserve">(the Framework) </w:t>
      </w:r>
      <w:r w:rsidRPr="00BD77D8">
        <w:rPr>
          <w:rFonts w:eastAsia="Calibri"/>
          <w:lang w:val="en-US" w:eastAsia="en-US"/>
        </w:rPr>
        <w:t>is the foundation</w:t>
      </w:r>
      <w:r w:rsidRPr="00BD77D8">
        <w:rPr>
          <w:rFonts w:eastAsia="Calibri"/>
          <w:spacing w:val="-16"/>
          <w:lang w:val="en-US" w:eastAsia="en-US"/>
        </w:rPr>
        <w:t xml:space="preserve"> </w:t>
      </w:r>
      <w:r w:rsidRPr="00BD77D8">
        <w:rPr>
          <w:rFonts w:eastAsia="Calibri"/>
          <w:lang w:val="en-US" w:eastAsia="en-US"/>
        </w:rPr>
        <w:t>that</w:t>
      </w:r>
      <w:r w:rsidRPr="00BD77D8">
        <w:rPr>
          <w:rFonts w:eastAsia="Calibri"/>
          <w:spacing w:val="-18"/>
          <w:lang w:val="en-US" w:eastAsia="en-US"/>
        </w:rPr>
        <w:t xml:space="preserve"> </w:t>
      </w:r>
      <w:r w:rsidRPr="00BD77D8">
        <w:rPr>
          <w:rFonts w:eastAsia="Calibri"/>
          <w:spacing w:val="-1"/>
          <w:lang w:val="en-US" w:eastAsia="en-US"/>
        </w:rPr>
        <w:t>und</w:t>
      </w:r>
      <w:r w:rsidRPr="00BD77D8">
        <w:rPr>
          <w:rFonts w:eastAsia="Calibri"/>
          <w:lang w:val="en-US" w:eastAsia="en-US"/>
        </w:rPr>
        <w:t>erp</w:t>
      </w:r>
      <w:r w:rsidRPr="00BD77D8">
        <w:rPr>
          <w:rFonts w:eastAsia="Calibri"/>
          <w:spacing w:val="-1"/>
          <w:lang w:val="en-US" w:eastAsia="en-US"/>
        </w:rPr>
        <w:t>ins all</w:t>
      </w:r>
      <w:r w:rsidRPr="00BD77D8">
        <w:rPr>
          <w:rFonts w:eastAsia="Calibri"/>
          <w:spacing w:val="-9"/>
          <w:lang w:val="en-US" w:eastAsia="en-US"/>
        </w:rPr>
        <w:t xml:space="preserve"> </w:t>
      </w:r>
      <w:r w:rsidRPr="00BD77D8">
        <w:rPr>
          <w:rFonts w:eastAsia="Calibri"/>
          <w:lang w:val="en-US" w:eastAsia="en-US"/>
        </w:rPr>
        <w:t>Queen</w:t>
      </w:r>
      <w:r w:rsidRPr="00BD77D8">
        <w:rPr>
          <w:rFonts w:eastAsia="Calibri"/>
          <w:spacing w:val="-1"/>
          <w:lang w:val="en-US" w:eastAsia="en-US"/>
        </w:rPr>
        <w:t>sland</w:t>
      </w:r>
      <w:r w:rsidRPr="00BD77D8">
        <w:rPr>
          <w:rFonts w:eastAsia="Calibri"/>
          <w:spacing w:val="-9"/>
          <w:lang w:val="en-US" w:eastAsia="en-US"/>
        </w:rPr>
        <w:t xml:space="preserve"> </w:t>
      </w:r>
      <w:r w:rsidRPr="00BD77D8">
        <w:rPr>
          <w:rFonts w:eastAsia="Calibri"/>
          <w:lang w:val="en-US" w:eastAsia="en-US"/>
        </w:rPr>
        <w:t>Government</w:t>
      </w:r>
      <w:r w:rsidRPr="00BD77D8">
        <w:rPr>
          <w:rFonts w:eastAsia="Calibri"/>
          <w:spacing w:val="-9"/>
          <w:lang w:val="en-US" w:eastAsia="en-US"/>
        </w:rPr>
        <w:t xml:space="preserve"> </w:t>
      </w:r>
      <w:r w:rsidRPr="00BD77D8">
        <w:rPr>
          <w:rFonts w:eastAsia="Calibri"/>
          <w:spacing w:val="-1"/>
          <w:lang w:val="en-US" w:eastAsia="en-US"/>
        </w:rPr>
        <w:t>actions</w:t>
      </w:r>
      <w:r w:rsidRPr="00BD77D8">
        <w:rPr>
          <w:rFonts w:eastAsia="Calibri"/>
          <w:spacing w:val="-9"/>
          <w:lang w:val="en-US" w:eastAsia="en-US"/>
        </w:rPr>
        <w:t xml:space="preserve"> </w:t>
      </w:r>
      <w:r w:rsidRPr="00BD77D8">
        <w:rPr>
          <w:rFonts w:eastAsia="Calibri"/>
          <w:lang w:val="en-US" w:eastAsia="en-US"/>
        </w:rPr>
        <w:t>t</w:t>
      </w:r>
      <w:r w:rsidRPr="00BD77D8">
        <w:rPr>
          <w:rFonts w:eastAsia="Calibri"/>
          <w:spacing w:val="-1"/>
          <w:lang w:val="en-US" w:eastAsia="en-US"/>
        </w:rPr>
        <w:t>o</w:t>
      </w:r>
      <w:r w:rsidRPr="00BD77D8">
        <w:rPr>
          <w:rFonts w:eastAsia="Calibri"/>
          <w:spacing w:val="-7"/>
          <w:lang w:val="en-US" w:eastAsia="en-US"/>
        </w:rPr>
        <w:t xml:space="preserve"> </w:t>
      </w:r>
      <w:r w:rsidRPr="00BD77D8">
        <w:rPr>
          <w:rFonts w:eastAsia="Calibri"/>
          <w:lang w:val="en-US" w:eastAsia="en-US"/>
        </w:rPr>
        <w:t>en</w:t>
      </w:r>
      <w:r w:rsidRPr="00BD77D8">
        <w:rPr>
          <w:rFonts w:eastAsia="Calibri"/>
          <w:spacing w:val="-1"/>
          <w:lang w:val="en-US" w:eastAsia="en-US"/>
        </w:rPr>
        <w:t>su</w:t>
      </w:r>
      <w:r w:rsidRPr="00BD77D8">
        <w:rPr>
          <w:rFonts w:eastAsia="Calibri"/>
          <w:lang w:val="en-US" w:eastAsia="en-US"/>
        </w:rPr>
        <w:t>re A</w:t>
      </w:r>
      <w:r w:rsidRPr="00BD77D8">
        <w:rPr>
          <w:rFonts w:eastAsia="Calibri"/>
          <w:spacing w:val="-1"/>
          <w:lang w:val="en-US" w:eastAsia="en-US"/>
        </w:rPr>
        <w:t>boriginal</w:t>
      </w:r>
      <w:r w:rsidRPr="00BD77D8">
        <w:rPr>
          <w:rFonts w:eastAsia="Calibri"/>
          <w:spacing w:val="-13"/>
          <w:lang w:val="en-US" w:eastAsia="en-US"/>
        </w:rPr>
        <w:t xml:space="preserve"> </w:t>
      </w:r>
      <w:r w:rsidRPr="00BD77D8">
        <w:rPr>
          <w:rFonts w:eastAsia="Calibri"/>
          <w:lang w:val="en-US" w:eastAsia="en-US"/>
        </w:rPr>
        <w:t>and</w:t>
      </w:r>
      <w:r w:rsidRPr="00BD77D8">
        <w:rPr>
          <w:rFonts w:eastAsia="Calibri"/>
          <w:spacing w:val="-16"/>
          <w:lang w:val="en-US" w:eastAsia="en-US"/>
        </w:rPr>
        <w:t xml:space="preserve"> </w:t>
      </w:r>
      <w:r w:rsidRPr="00BD77D8">
        <w:rPr>
          <w:rFonts w:eastAsia="Calibri"/>
          <w:spacing w:val="-3"/>
          <w:lang w:val="en-US" w:eastAsia="en-US"/>
        </w:rPr>
        <w:t>Torre</w:t>
      </w:r>
      <w:r w:rsidRPr="00BD77D8">
        <w:rPr>
          <w:rFonts w:eastAsia="Calibri"/>
          <w:lang w:val="en-US" w:eastAsia="en-US"/>
        </w:rPr>
        <w:t>s</w:t>
      </w:r>
      <w:r w:rsidRPr="00BD77D8">
        <w:rPr>
          <w:rFonts w:eastAsia="Calibri"/>
          <w:spacing w:val="-16"/>
          <w:lang w:val="en-US" w:eastAsia="en-US"/>
        </w:rPr>
        <w:t xml:space="preserve"> </w:t>
      </w:r>
      <w:r w:rsidRPr="00BD77D8">
        <w:rPr>
          <w:rFonts w:eastAsia="Calibri"/>
          <w:spacing w:val="-1"/>
          <w:lang w:val="en-US" w:eastAsia="en-US"/>
        </w:rPr>
        <w:t>St</w:t>
      </w:r>
      <w:r w:rsidRPr="00BD77D8">
        <w:rPr>
          <w:rFonts w:eastAsia="Calibri"/>
          <w:lang w:val="en-US" w:eastAsia="en-US"/>
        </w:rPr>
        <w:t>rait</w:t>
      </w:r>
      <w:r w:rsidRPr="00BD77D8">
        <w:rPr>
          <w:rFonts w:eastAsia="Calibri"/>
          <w:spacing w:val="-13"/>
          <w:lang w:val="en-US" w:eastAsia="en-US"/>
        </w:rPr>
        <w:t xml:space="preserve"> </w:t>
      </w:r>
      <w:r w:rsidRPr="00BD77D8">
        <w:rPr>
          <w:rFonts w:eastAsia="Calibri"/>
          <w:spacing w:val="-1"/>
          <w:lang w:val="en-US" w:eastAsia="en-US"/>
        </w:rPr>
        <w:t>Island</w:t>
      </w:r>
      <w:r w:rsidRPr="00BD77D8">
        <w:rPr>
          <w:rFonts w:eastAsia="Calibri"/>
          <w:lang w:val="en-US" w:eastAsia="en-US"/>
        </w:rPr>
        <w:t>er</w:t>
      </w:r>
      <w:r w:rsidRPr="00BD77D8">
        <w:rPr>
          <w:rFonts w:eastAsia="Calibri"/>
          <w:spacing w:val="-11"/>
          <w:lang w:val="en-US" w:eastAsia="en-US"/>
        </w:rPr>
        <w:t xml:space="preserve"> </w:t>
      </w:r>
      <w:r w:rsidRPr="00BD77D8">
        <w:rPr>
          <w:rFonts w:eastAsia="Calibri"/>
          <w:lang w:val="en-US" w:eastAsia="en-US"/>
        </w:rPr>
        <w:t>Queenslanders enjoy the same</w:t>
      </w:r>
      <w:r w:rsidRPr="00BD77D8">
        <w:rPr>
          <w:rFonts w:eastAsia="Calibri"/>
          <w:spacing w:val="-5"/>
          <w:lang w:val="en-US" w:eastAsia="en-US"/>
        </w:rPr>
        <w:t xml:space="preserve"> </w:t>
      </w:r>
      <w:r w:rsidRPr="00BD77D8">
        <w:rPr>
          <w:rFonts w:eastAsia="Calibri"/>
          <w:spacing w:val="-1"/>
          <w:lang w:val="en-US" w:eastAsia="en-US"/>
        </w:rPr>
        <w:t>economic</w:t>
      </w:r>
      <w:r w:rsidRPr="00BD77D8">
        <w:rPr>
          <w:rFonts w:eastAsia="Calibri"/>
          <w:lang w:val="en-US" w:eastAsia="en-US"/>
        </w:rPr>
        <w:t>,</w:t>
      </w:r>
      <w:r w:rsidRPr="00BD77D8">
        <w:rPr>
          <w:rFonts w:eastAsia="Calibri"/>
          <w:spacing w:val="-4"/>
          <w:lang w:val="en-US" w:eastAsia="en-US"/>
        </w:rPr>
        <w:t xml:space="preserve"> </w:t>
      </w:r>
      <w:r w:rsidRPr="00BD77D8">
        <w:rPr>
          <w:rFonts w:eastAsia="Calibri"/>
          <w:spacing w:val="-1"/>
          <w:lang w:val="en-US" w:eastAsia="en-US"/>
        </w:rPr>
        <w:t>educ</w:t>
      </w:r>
      <w:r w:rsidRPr="00BD77D8">
        <w:rPr>
          <w:rFonts w:eastAsia="Calibri"/>
          <w:lang w:val="en-US" w:eastAsia="en-US"/>
        </w:rPr>
        <w:t>ation,</w:t>
      </w:r>
      <w:r w:rsidRPr="00BD77D8">
        <w:rPr>
          <w:rFonts w:eastAsia="Calibri"/>
          <w:spacing w:val="-5"/>
          <w:lang w:val="en-US" w:eastAsia="en-US"/>
        </w:rPr>
        <w:t xml:space="preserve"> </w:t>
      </w:r>
      <w:r w:rsidRPr="00BD77D8">
        <w:rPr>
          <w:rFonts w:eastAsia="Calibri"/>
          <w:spacing w:val="-1"/>
          <w:lang w:val="en-US" w:eastAsia="en-US"/>
        </w:rPr>
        <w:t>he</w:t>
      </w:r>
      <w:r w:rsidRPr="00BD77D8">
        <w:rPr>
          <w:rFonts w:eastAsia="Calibri"/>
          <w:lang w:val="en-US" w:eastAsia="en-US"/>
        </w:rPr>
        <w:t>alth,</w:t>
      </w:r>
      <w:r w:rsidRPr="00BD77D8">
        <w:rPr>
          <w:rFonts w:eastAsia="Calibri"/>
          <w:spacing w:val="-4"/>
          <w:lang w:val="en-US" w:eastAsia="en-US"/>
        </w:rPr>
        <w:t xml:space="preserve"> </w:t>
      </w:r>
      <w:r w:rsidRPr="00BD77D8">
        <w:rPr>
          <w:rFonts w:eastAsia="Calibri"/>
          <w:spacing w:val="-1"/>
          <w:lang w:val="en-US" w:eastAsia="en-US"/>
        </w:rPr>
        <w:t>housing</w:t>
      </w:r>
      <w:r w:rsidRPr="00BD77D8">
        <w:rPr>
          <w:rFonts w:eastAsia="Calibri"/>
          <w:spacing w:val="-5"/>
          <w:lang w:val="en-US" w:eastAsia="en-US"/>
        </w:rPr>
        <w:t xml:space="preserve"> </w:t>
      </w:r>
      <w:r w:rsidRPr="00BD77D8">
        <w:rPr>
          <w:rFonts w:eastAsia="Calibri"/>
          <w:lang w:val="en-US" w:eastAsia="en-US"/>
        </w:rPr>
        <w:t>and</w:t>
      </w:r>
      <w:r w:rsidRPr="00BD77D8">
        <w:rPr>
          <w:rFonts w:eastAsia="Calibri"/>
          <w:spacing w:val="-6"/>
          <w:lang w:val="en-US" w:eastAsia="en-US"/>
        </w:rPr>
        <w:t xml:space="preserve"> </w:t>
      </w:r>
      <w:r w:rsidRPr="00BD77D8">
        <w:rPr>
          <w:rFonts w:eastAsia="Calibri"/>
          <w:spacing w:val="-1"/>
          <w:lang w:val="en-US" w:eastAsia="en-US"/>
        </w:rPr>
        <w:t>social</w:t>
      </w:r>
      <w:r w:rsidR="008270B6" w:rsidRPr="00BD77D8">
        <w:rPr>
          <w:rFonts w:eastAsia="Calibri"/>
          <w:spacing w:val="-1"/>
          <w:lang w:val="en-US" w:eastAsia="en-US"/>
        </w:rPr>
        <w:t xml:space="preserve"> </w:t>
      </w:r>
      <w:r w:rsidRPr="00BD77D8">
        <w:rPr>
          <w:rFonts w:eastAsia="Calibri"/>
          <w:spacing w:val="-1"/>
          <w:lang w:val="en-US" w:eastAsia="en-US"/>
        </w:rPr>
        <w:t>opportunities as non-Indigenous</w:t>
      </w:r>
      <w:r w:rsidRPr="00BD77D8">
        <w:rPr>
          <w:rFonts w:eastAsia="Calibri"/>
          <w:spacing w:val="-12"/>
          <w:lang w:val="en-US" w:eastAsia="en-US"/>
        </w:rPr>
        <w:t xml:space="preserve"> </w:t>
      </w:r>
      <w:r w:rsidRPr="00BD77D8">
        <w:rPr>
          <w:rFonts w:eastAsia="Calibri"/>
          <w:lang w:val="en-US" w:eastAsia="en-US"/>
        </w:rPr>
        <w:t>Queen</w:t>
      </w:r>
      <w:r w:rsidRPr="00BD77D8">
        <w:rPr>
          <w:rFonts w:eastAsia="Calibri"/>
          <w:spacing w:val="-1"/>
          <w:lang w:val="en-US" w:eastAsia="en-US"/>
        </w:rPr>
        <w:t>sland</w:t>
      </w:r>
      <w:r w:rsidRPr="00BD77D8">
        <w:rPr>
          <w:rFonts w:eastAsia="Calibri"/>
          <w:lang w:val="en-US" w:eastAsia="en-US"/>
        </w:rPr>
        <w:t>er</w:t>
      </w:r>
      <w:r w:rsidRPr="00BD77D8">
        <w:rPr>
          <w:rFonts w:eastAsia="Calibri"/>
          <w:spacing w:val="-1"/>
          <w:lang w:val="en-US" w:eastAsia="en-US"/>
        </w:rPr>
        <w:t>s.</w:t>
      </w:r>
    </w:p>
    <w:p w14:paraId="79C320C4" w14:textId="4D704848" w:rsidR="00181949" w:rsidRPr="00BD77D8" w:rsidRDefault="00181949" w:rsidP="00D83B53">
      <w:pPr>
        <w:rPr>
          <w:rFonts w:eastAsia="Calibri"/>
          <w:lang w:val="en-US" w:eastAsia="en-US"/>
        </w:rPr>
      </w:pPr>
      <w:r w:rsidRPr="00BD77D8">
        <w:rPr>
          <w:rFonts w:eastAsia="Calibri"/>
          <w:lang w:val="en-US" w:eastAsia="en-US"/>
        </w:rPr>
        <w:t>To implement the</w:t>
      </w:r>
      <w:r w:rsidR="00264AD0" w:rsidRPr="00BD77D8">
        <w:rPr>
          <w:rFonts w:eastAsia="Calibri"/>
          <w:lang w:val="en-US" w:eastAsia="en-US"/>
        </w:rPr>
        <w:t xml:space="preserve"> </w:t>
      </w:r>
      <w:r w:rsidRPr="00BD77D8">
        <w:rPr>
          <w:rFonts w:eastAsia="Calibri"/>
          <w:lang w:val="en-US" w:eastAsia="en-US"/>
        </w:rPr>
        <w:t xml:space="preserve">Framework, there is a mandatory requirement that all departments maintain a Cultural Capability Action Plan (CCAP). The department is responsible for coordinating the reporting and ensuring compliance with the requirement for a current </w:t>
      </w:r>
      <w:r w:rsidR="00E75452" w:rsidRPr="00BD77D8">
        <w:rPr>
          <w:rFonts w:eastAsia="Calibri"/>
          <w:lang w:val="en-US" w:eastAsia="en-US"/>
        </w:rPr>
        <w:t>C</w:t>
      </w:r>
      <w:r w:rsidR="00264AD0" w:rsidRPr="00BD77D8">
        <w:rPr>
          <w:rFonts w:eastAsia="Calibri"/>
          <w:lang w:val="en-US" w:eastAsia="en-US"/>
        </w:rPr>
        <w:t>CAP</w:t>
      </w:r>
      <w:r w:rsidRPr="00BD77D8">
        <w:rPr>
          <w:rFonts w:eastAsia="Calibri"/>
          <w:lang w:val="en-US" w:eastAsia="en-US"/>
        </w:rPr>
        <w:t>.</w:t>
      </w:r>
    </w:p>
    <w:p w14:paraId="0DC91A56" w14:textId="0F54DD36" w:rsidR="006E58EF" w:rsidRPr="00BD77D8" w:rsidRDefault="006E58EF" w:rsidP="006E58EF">
      <w:pPr>
        <w:rPr>
          <w:rFonts w:eastAsia="Calibri"/>
          <w:lang w:val="en-US" w:eastAsia="en-US"/>
        </w:rPr>
      </w:pPr>
      <w:bookmarkStart w:id="211" w:name="_Hlk112838040"/>
      <w:r w:rsidRPr="00BD77D8">
        <w:rPr>
          <w:rFonts w:eastAsia="Calibri"/>
          <w:lang w:val="en-US" w:eastAsia="en-US"/>
        </w:rPr>
        <w:lastRenderedPageBreak/>
        <w:t>The department supports the implementation of the Framework by facilitating the</w:t>
      </w:r>
      <w:r w:rsidR="000D186F" w:rsidRPr="00BD77D8">
        <w:t xml:space="preserve"> </w:t>
      </w:r>
      <w:r w:rsidR="000D186F" w:rsidRPr="00BD77D8">
        <w:rPr>
          <w:rFonts w:eastAsia="Calibri"/>
          <w:lang w:val="en-US" w:eastAsia="en-US"/>
        </w:rPr>
        <w:t>Cultural Agency Leaders</w:t>
      </w:r>
      <w:r w:rsidRPr="00BD77D8">
        <w:rPr>
          <w:rFonts w:eastAsia="Calibri"/>
          <w:lang w:val="en-US" w:eastAsia="en-US"/>
        </w:rPr>
        <w:t xml:space="preserve"> committee and its supporting officer</w:t>
      </w:r>
      <w:r w:rsidR="00276423" w:rsidRPr="00BD77D8">
        <w:rPr>
          <w:rFonts w:eastAsia="Calibri"/>
          <w:lang w:val="en-US" w:eastAsia="en-US"/>
        </w:rPr>
        <w:t>-</w:t>
      </w:r>
      <w:r w:rsidRPr="00BD77D8">
        <w:rPr>
          <w:rFonts w:eastAsia="Calibri"/>
          <w:lang w:val="en-US" w:eastAsia="en-US"/>
        </w:rPr>
        <w:t>level Culture and Reconciliation Working Group (CARWG). These bodies have representation from all Queensland Government departments.</w:t>
      </w:r>
    </w:p>
    <w:p w14:paraId="1FE6F153" w14:textId="6CF2E348" w:rsidR="00E86FF9" w:rsidRPr="00BD77D8" w:rsidRDefault="00E86FF9" w:rsidP="00AF1866">
      <w:pPr>
        <w:spacing w:after="120" w:line="240" w:lineRule="auto"/>
        <w:rPr>
          <w:b/>
          <w:bCs/>
        </w:rPr>
      </w:pPr>
      <w:r w:rsidRPr="00BD77D8">
        <w:rPr>
          <w:b/>
          <w:bCs/>
        </w:rPr>
        <w:t>Key achievements</w:t>
      </w:r>
    </w:p>
    <w:p w14:paraId="79C4B831" w14:textId="154821FB" w:rsidR="00E86FF9" w:rsidRPr="00BD77D8" w:rsidRDefault="00326C8A" w:rsidP="00AF1866">
      <w:pPr>
        <w:spacing w:after="120" w:line="240" w:lineRule="auto"/>
        <w:rPr>
          <w:rFonts w:eastAsia="Calibri"/>
          <w:lang w:val="en-US" w:eastAsia="en-US"/>
        </w:rPr>
      </w:pPr>
      <w:r w:rsidRPr="00BD77D8">
        <w:rPr>
          <w:rFonts w:eastAsia="Calibri"/>
          <w:lang w:val="en-US" w:eastAsia="en-US"/>
        </w:rPr>
        <w:t>During the reporting period, the</w:t>
      </w:r>
      <w:r w:rsidRPr="00BD77D8">
        <w:rPr>
          <w:rFonts w:eastAsia="Calibri"/>
          <w:spacing w:val="-14"/>
          <w:lang w:val="en-US" w:eastAsia="en-US"/>
        </w:rPr>
        <w:t xml:space="preserve"> </w:t>
      </w:r>
      <w:r w:rsidRPr="00BD77D8">
        <w:rPr>
          <w:rFonts w:eastAsia="Calibri"/>
          <w:spacing w:val="-1"/>
          <w:lang w:val="en-US" w:eastAsia="en-US"/>
        </w:rPr>
        <w:t>dep</w:t>
      </w:r>
      <w:r w:rsidRPr="00BD77D8">
        <w:rPr>
          <w:rFonts w:eastAsia="Calibri"/>
          <w:spacing w:val="-2"/>
          <w:lang w:val="en-US" w:eastAsia="en-US"/>
        </w:rPr>
        <w:t>artment</w:t>
      </w:r>
      <w:r w:rsidR="00B22B0A" w:rsidRPr="00BD77D8">
        <w:rPr>
          <w:rFonts w:eastAsia="Calibri"/>
          <w:spacing w:val="-2"/>
          <w:lang w:val="en-US" w:eastAsia="en-US"/>
        </w:rPr>
        <w:t>:</w:t>
      </w:r>
    </w:p>
    <w:p w14:paraId="47310FBB" w14:textId="77777777" w:rsidR="006E58EF" w:rsidRPr="00BD77D8" w:rsidRDefault="00453C3A" w:rsidP="006E58EF">
      <w:pPr>
        <w:pStyle w:val="ListBullet"/>
        <w:numPr>
          <w:ilvl w:val="0"/>
          <w:numId w:val="52"/>
        </w:numPr>
        <w:rPr>
          <w:rFonts w:eastAsia="Calibri"/>
        </w:rPr>
      </w:pPr>
      <w:r w:rsidRPr="00BD77D8">
        <w:rPr>
          <w:rFonts w:eastAsia="Calibri"/>
        </w:rPr>
        <w:t xml:space="preserve">coordinated the implementation of the Certificate IV in Indigenous Cultural Capability training across </w:t>
      </w:r>
      <w:r w:rsidR="00BD0914" w:rsidRPr="00BD77D8">
        <w:rPr>
          <w:rFonts w:eastAsia="Calibri"/>
        </w:rPr>
        <w:t xml:space="preserve">the </w:t>
      </w:r>
      <w:r w:rsidRPr="00BD77D8">
        <w:rPr>
          <w:rFonts w:eastAsia="Calibri"/>
        </w:rPr>
        <w:t xml:space="preserve">Queensland </w:t>
      </w:r>
      <w:r w:rsidR="00A1159E" w:rsidRPr="00BD77D8">
        <w:rPr>
          <w:rFonts w:eastAsia="Calibri"/>
        </w:rPr>
        <w:t>Public Service</w:t>
      </w:r>
      <w:r w:rsidR="00DF15B6" w:rsidRPr="00BD77D8">
        <w:rPr>
          <w:rFonts w:eastAsia="Calibri"/>
        </w:rPr>
        <w:t>,</w:t>
      </w:r>
      <w:r w:rsidR="00A1159E" w:rsidRPr="00BD77D8">
        <w:rPr>
          <w:rFonts w:eastAsia="Calibri"/>
        </w:rPr>
        <w:t xml:space="preserve"> with the first cohort of trainees </w:t>
      </w:r>
      <w:r w:rsidR="006E58EF" w:rsidRPr="00BD77D8">
        <w:rPr>
          <w:rFonts w:eastAsia="Calibri"/>
        </w:rPr>
        <w:t>commencing the online program on 1 November 2021</w:t>
      </w:r>
    </w:p>
    <w:p w14:paraId="75466165" w14:textId="16489EBA" w:rsidR="00453C3A" w:rsidRPr="00BD77D8" w:rsidRDefault="00453C3A" w:rsidP="00F729B3">
      <w:pPr>
        <w:pStyle w:val="ListBullet"/>
        <w:numPr>
          <w:ilvl w:val="0"/>
          <w:numId w:val="52"/>
        </w:numPr>
        <w:rPr>
          <w:rFonts w:eastAsia="Calibri"/>
        </w:rPr>
      </w:pPr>
      <w:r w:rsidRPr="00BD77D8">
        <w:rPr>
          <w:rFonts w:eastAsia="Calibri"/>
        </w:rPr>
        <w:t>supported Queensland Government agencies to develop their C</w:t>
      </w:r>
      <w:r w:rsidR="00A743F8" w:rsidRPr="00BD77D8">
        <w:rPr>
          <w:rFonts w:eastAsia="Calibri"/>
        </w:rPr>
        <w:t>CAPs</w:t>
      </w:r>
      <w:r w:rsidR="00736E87" w:rsidRPr="00BD77D8">
        <w:rPr>
          <w:rFonts w:eastAsia="Calibri"/>
        </w:rPr>
        <w:t>, resulting in 2</w:t>
      </w:r>
      <w:r w:rsidR="00A743F8" w:rsidRPr="00BD77D8">
        <w:rPr>
          <w:rFonts w:eastAsia="Calibri"/>
        </w:rPr>
        <w:t xml:space="preserve">0 Queensland Government agencies </w:t>
      </w:r>
      <w:r w:rsidR="00736E87" w:rsidRPr="00BD77D8">
        <w:rPr>
          <w:rFonts w:eastAsia="Calibri"/>
        </w:rPr>
        <w:t>having</w:t>
      </w:r>
      <w:r w:rsidR="00A743F8" w:rsidRPr="00BD77D8">
        <w:rPr>
          <w:rFonts w:eastAsia="Calibri"/>
        </w:rPr>
        <w:t xml:space="preserve"> a CCAP</w:t>
      </w:r>
      <w:r w:rsidR="00736E87" w:rsidRPr="00BD77D8">
        <w:rPr>
          <w:rFonts w:eastAsia="Calibri"/>
        </w:rPr>
        <w:t xml:space="preserve"> in place in 2021</w:t>
      </w:r>
      <w:r w:rsidR="00276423" w:rsidRPr="00BD77D8">
        <w:rPr>
          <w:rFonts w:eastAsia="Calibri"/>
        </w:rPr>
        <w:t>–</w:t>
      </w:r>
      <w:r w:rsidR="00736E87" w:rsidRPr="00BD77D8">
        <w:rPr>
          <w:rFonts w:eastAsia="Calibri"/>
        </w:rPr>
        <w:t>2</w:t>
      </w:r>
      <w:r w:rsidR="00120561" w:rsidRPr="00BD77D8">
        <w:rPr>
          <w:rFonts w:eastAsia="Calibri"/>
        </w:rPr>
        <w:t>02</w:t>
      </w:r>
      <w:r w:rsidR="00736E87" w:rsidRPr="00BD77D8">
        <w:rPr>
          <w:rFonts w:eastAsia="Calibri"/>
        </w:rPr>
        <w:t>2</w:t>
      </w:r>
      <w:r w:rsidR="00DF15B6" w:rsidRPr="00BD77D8">
        <w:rPr>
          <w:rFonts w:eastAsia="Calibri"/>
        </w:rPr>
        <w:t>.</w:t>
      </w:r>
    </w:p>
    <w:p w14:paraId="1B1A1D5C" w14:textId="0B66189B" w:rsidR="009D3CBA" w:rsidRPr="00BD77D8" w:rsidRDefault="009D3CBA" w:rsidP="007524AB">
      <w:pPr>
        <w:pStyle w:val="Heading3"/>
      </w:pPr>
      <w:bookmarkStart w:id="212" w:name="_Hlk112838083"/>
      <w:bookmarkStart w:id="213" w:name="_Toc78287379"/>
      <w:bookmarkStart w:id="214" w:name="_Toc78355786"/>
      <w:bookmarkEnd w:id="211"/>
      <w:r w:rsidRPr="00BD77D8">
        <w:t>Moving Ahead strategy</w:t>
      </w:r>
    </w:p>
    <w:bookmarkEnd w:id="212"/>
    <w:p w14:paraId="53E51E06" w14:textId="0B9C52B5" w:rsidR="009D3CBA" w:rsidRPr="00BD77D8" w:rsidRDefault="009D3CBA" w:rsidP="003B3D1E">
      <w:pPr>
        <w:rPr>
          <w:rFonts w:eastAsia="Calibri"/>
          <w:lang w:val="en-US" w:eastAsia="en-US"/>
        </w:rPr>
      </w:pPr>
      <w:r w:rsidRPr="00BD77D8">
        <w:rPr>
          <w:rFonts w:eastAsia="Calibri"/>
          <w:lang w:val="en-US" w:eastAsia="en-US"/>
        </w:rPr>
        <w:t>Throughout the reporting period, the Queensland Government continued to implement the whole-of-government strategy</w:t>
      </w:r>
      <w:r w:rsidR="00276423" w:rsidRPr="00BD77D8">
        <w:rPr>
          <w:rFonts w:eastAsia="Calibri"/>
          <w:lang w:val="en-US" w:eastAsia="en-US"/>
        </w:rPr>
        <w:t>,</w:t>
      </w:r>
      <w:r w:rsidRPr="00BD77D8">
        <w:rPr>
          <w:rFonts w:eastAsia="Calibri"/>
          <w:lang w:val="en-US" w:eastAsia="en-US"/>
        </w:rPr>
        <w:t xml:space="preserve"> </w:t>
      </w:r>
      <w:r w:rsidRPr="00BD77D8">
        <w:rPr>
          <w:rFonts w:eastAsia="Calibri"/>
          <w:i/>
          <w:iCs/>
          <w:lang w:val="en-US" w:eastAsia="en-US"/>
        </w:rPr>
        <w:t>Moving Ahead: A strategic approach to increasing the participation of Aboriginal people and Torres Strait Islander people in Queensland’s economy 2016–2022</w:t>
      </w:r>
      <w:r w:rsidR="001415A9" w:rsidRPr="00BD77D8">
        <w:rPr>
          <w:rFonts w:eastAsia="Calibri"/>
          <w:lang w:val="en-US" w:eastAsia="en-US"/>
        </w:rPr>
        <w:t xml:space="preserve"> (Moving Ahead)</w:t>
      </w:r>
      <w:r w:rsidRPr="00BD77D8">
        <w:rPr>
          <w:rFonts w:eastAsia="Calibri"/>
          <w:lang w:val="en-US" w:eastAsia="en-US"/>
        </w:rPr>
        <w:t>.</w:t>
      </w:r>
    </w:p>
    <w:p w14:paraId="7F7F821B" w14:textId="57A02514" w:rsidR="00264AD0" w:rsidRPr="00BD77D8" w:rsidRDefault="00264AD0" w:rsidP="003B3D1E">
      <w:pPr>
        <w:rPr>
          <w:rFonts w:eastAsia="Calibri"/>
          <w:lang w:val="en-US" w:eastAsia="en-US"/>
        </w:rPr>
      </w:pPr>
      <w:r w:rsidRPr="00BD77D8">
        <w:rPr>
          <w:rFonts w:eastAsia="Calibri"/>
          <w:lang w:val="en-US" w:eastAsia="en-US"/>
        </w:rPr>
        <w:t>Moving Ahead</w:t>
      </w:r>
      <w:r w:rsidR="009D3CBA" w:rsidRPr="00BD77D8">
        <w:rPr>
          <w:rFonts w:eastAsia="Calibri"/>
          <w:lang w:val="en-US" w:eastAsia="en-US"/>
        </w:rPr>
        <w:t xml:space="preserve"> seeks to increase Aboriginal</w:t>
      </w:r>
      <w:r w:rsidR="004C7FBB" w:rsidRPr="00BD77D8">
        <w:rPr>
          <w:rFonts w:eastAsia="Calibri"/>
          <w:lang w:val="en-US" w:eastAsia="en-US"/>
        </w:rPr>
        <w:t xml:space="preserve"> peoples</w:t>
      </w:r>
      <w:r w:rsidR="009D3CBA" w:rsidRPr="00BD77D8">
        <w:rPr>
          <w:rFonts w:eastAsia="Calibri"/>
          <w:lang w:val="en-US" w:eastAsia="en-US"/>
        </w:rPr>
        <w:t xml:space="preserve"> and Torres Strait Islander peoples’ participation in the economy by building a more skilled and diverse workforce and supporting business and entrepreneurship, with a focus on the needs of young people and on building partnerships with industry. </w:t>
      </w:r>
    </w:p>
    <w:p w14:paraId="17BDB096" w14:textId="305FCAC3" w:rsidR="009D3CBA" w:rsidRPr="00BD77D8" w:rsidRDefault="009D3CBA" w:rsidP="003B3D1E">
      <w:pPr>
        <w:rPr>
          <w:rFonts w:eastAsia="Calibri"/>
          <w:lang w:val="en-US" w:eastAsia="en-US"/>
        </w:rPr>
      </w:pPr>
      <w:r w:rsidRPr="00BD77D8">
        <w:rPr>
          <w:rFonts w:eastAsia="Calibri"/>
          <w:lang w:val="en-US" w:eastAsia="en-US"/>
        </w:rPr>
        <w:t>This involves the department continuing to drive the implementation of the Queensland Indigenous (Aboriginal and Torres Strait Islander) Procurement Policy</w:t>
      </w:r>
      <w:r w:rsidR="00264AD0" w:rsidRPr="00BD77D8">
        <w:rPr>
          <w:rFonts w:eastAsia="Calibri"/>
          <w:lang w:val="en-US" w:eastAsia="en-US"/>
        </w:rPr>
        <w:t xml:space="preserve"> (QIPP)</w:t>
      </w:r>
      <w:r w:rsidRPr="00BD77D8">
        <w:rPr>
          <w:rFonts w:eastAsia="Calibri"/>
          <w:lang w:val="en-US" w:eastAsia="en-US"/>
        </w:rPr>
        <w:t>, which aims to increase the Queensland Government’s spend with Aboriginal and Torres Strait Islander businesses to three per cent of the value of the addressable procurement spend by 2022. This is a pathway to increasing Aboriginal and Torres Strait Islander economic participation through jobs and business ownership. For the purposes of the QIPP, an Aboriginal and Torres Strait Islander business is defined as one that is at least 50 per cent owned by an Aboriginal person or a Torres Strait Islander person, and which may take the form of a social enterprise, registered charity or not</w:t>
      </w:r>
      <w:r w:rsidR="002611FF" w:rsidRPr="00BD77D8">
        <w:rPr>
          <w:rFonts w:eastAsia="Calibri"/>
          <w:lang w:val="en-US" w:eastAsia="en-US"/>
        </w:rPr>
        <w:t>-</w:t>
      </w:r>
      <w:r w:rsidRPr="00BD77D8">
        <w:rPr>
          <w:rFonts w:eastAsia="Calibri"/>
          <w:lang w:val="en-US" w:eastAsia="en-US"/>
        </w:rPr>
        <w:t>for</w:t>
      </w:r>
      <w:r w:rsidR="002611FF" w:rsidRPr="00BD77D8">
        <w:rPr>
          <w:rFonts w:eastAsia="Calibri"/>
          <w:lang w:val="en-US" w:eastAsia="en-US"/>
        </w:rPr>
        <w:t>-</w:t>
      </w:r>
      <w:r w:rsidRPr="00BD77D8">
        <w:rPr>
          <w:rFonts w:eastAsia="Calibri"/>
          <w:lang w:val="en-US" w:eastAsia="en-US"/>
        </w:rPr>
        <w:t xml:space="preserve">profit </w:t>
      </w:r>
      <w:proofErr w:type="spellStart"/>
      <w:r w:rsidRPr="00BD77D8">
        <w:rPr>
          <w:rFonts w:eastAsia="Calibri"/>
          <w:lang w:val="en-US" w:eastAsia="en-US"/>
        </w:rPr>
        <w:t>organisation</w:t>
      </w:r>
      <w:proofErr w:type="spellEnd"/>
      <w:r w:rsidRPr="00BD77D8">
        <w:rPr>
          <w:rFonts w:eastAsia="Calibri"/>
          <w:lang w:val="en-US" w:eastAsia="en-US"/>
        </w:rPr>
        <w:t>.</w:t>
      </w:r>
    </w:p>
    <w:p w14:paraId="632C2D40" w14:textId="706A6761" w:rsidR="009D3CBA" w:rsidRPr="00BD77D8" w:rsidRDefault="009D3CBA" w:rsidP="00AF1866">
      <w:pPr>
        <w:spacing w:after="120" w:line="240" w:lineRule="auto"/>
        <w:rPr>
          <w:b/>
          <w:bCs/>
        </w:rPr>
      </w:pPr>
      <w:bookmarkStart w:id="215" w:name="_Hlk112838073"/>
      <w:r w:rsidRPr="00BD77D8">
        <w:rPr>
          <w:b/>
          <w:bCs/>
        </w:rPr>
        <w:t>Key achievements</w:t>
      </w:r>
    </w:p>
    <w:p w14:paraId="30D0EA62" w14:textId="77777777" w:rsidR="009D3CBA" w:rsidRPr="00BD77D8" w:rsidRDefault="009D3CBA" w:rsidP="00AF1866">
      <w:pPr>
        <w:spacing w:after="120" w:line="240" w:lineRule="auto"/>
        <w:rPr>
          <w:rFonts w:eastAsia="Calibri"/>
          <w:lang w:val="en-US" w:eastAsia="en-US"/>
        </w:rPr>
      </w:pPr>
      <w:r w:rsidRPr="00BD77D8">
        <w:rPr>
          <w:rFonts w:eastAsia="Calibri"/>
          <w:lang w:val="en-US" w:eastAsia="en-US"/>
        </w:rPr>
        <w:t>During the reporting period, the department:</w:t>
      </w:r>
    </w:p>
    <w:p w14:paraId="1E23E416" w14:textId="08DDEA18" w:rsidR="004E197D" w:rsidRPr="00BD77D8" w:rsidRDefault="009C58CC" w:rsidP="00F729B3">
      <w:pPr>
        <w:pStyle w:val="ListBullet"/>
        <w:numPr>
          <w:ilvl w:val="0"/>
          <w:numId w:val="53"/>
        </w:numPr>
      </w:pPr>
      <w:r w:rsidRPr="00BD77D8">
        <w:rPr>
          <w:rFonts w:eastAsia="Calibri"/>
          <w:lang w:val="en-US" w:eastAsia="en-US"/>
        </w:rPr>
        <w:t xml:space="preserve">worked with stakeholders including community, business and industry representatives to develop a new Aboriginal and Torres Strait Islander Economic Strategy to </w:t>
      </w:r>
      <w:r w:rsidR="00276423" w:rsidRPr="00BD77D8">
        <w:rPr>
          <w:rFonts w:eastAsia="Calibri"/>
          <w:lang w:val="en-US" w:eastAsia="en-US"/>
        </w:rPr>
        <w:t xml:space="preserve">follow-on from </w:t>
      </w:r>
      <w:r w:rsidRPr="00BD77D8">
        <w:rPr>
          <w:rFonts w:eastAsia="Calibri"/>
          <w:lang w:val="en-US" w:eastAsia="en-US"/>
        </w:rPr>
        <w:t xml:space="preserve">Moving Ahead </w:t>
      </w:r>
      <w:r w:rsidR="00276423" w:rsidRPr="00BD77D8">
        <w:rPr>
          <w:rFonts w:eastAsia="Calibri"/>
          <w:lang w:val="en-US" w:eastAsia="en-US"/>
        </w:rPr>
        <w:t xml:space="preserve">after </w:t>
      </w:r>
      <w:r w:rsidRPr="00BD77D8">
        <w:rPr>
          <w:rFonts w:eastAsia="Calibri"/>
          <w:lang w:val="en-US" w:eastAsia="en-US"/>
        </w:rPr>
        <w:t xml:space="preserve">its expiry </w:t>
      </w:r>
      <w:r w:rsidR="00276423" w:rsidRPr="00BD77D8">
        <w:rPr>
          <w:rFonts w:eastAsia="Calibri"/>
          <w:lang w:val="en-US" w:eastAsia="en-US"/>
        </w:rPr>
        <w:t xml:space="preserve">in </w:t>
      </w:r>
      <w:r w:rsidRPr="00BD77D8">
        <w:rPr>
          <w:rFonts w:eastAsia="Calibri"/>
          <w:lang w:val="en-US" w:eastAsia="en-US"/>
        </w:rPr>
        <w:t>late</w:t>
      </w:r>
      <w:r w:rsidR="00276423" w:rsidRPr="00BD77D8">
        <w:rPr>
          <w:rFonts w:eastAsia="Calibri"/>
          <w:lang w:val="en-US" w:eastAsia="en-US"/>
        </w:rPr>
        <w:t xml:space="preserve"> </w:t>
      </w:r>
      <w:r w:rsidRPr="00BD77D8">
        <w:rPr>
          <w:rFonts w:eastAsia="Calibri"/>
          <w:lang w:val="en-US" w:eastAsia="en-US"/>
        </w:rPr>
        <w:t>2022</w:t>
      </w:r>
      <w:r w:rsidR="00316DEA" w:rsidRPr="00BD77D8">
        <w:rPr>
          <w:rFonts w:eastAsia="Calibri"/>
          <w:lang w:val="en-US" w:eastAsia="en-US"/>
        </w:rPr>
        <w:t>. I</w:t>
      </w:r>
      <w:r w:rsidRPr="00BD77D8">
        <w:rPr>
          <w:rFonts w:eastAsia="Calibri"/>
          <w:lang w:val="en-US" w:eastAsia="en-US"/>
        </w:rPr>
        <w:t xml:space="preserve">t is anticipated </w:t>
      </w:r>
      <w:r w:rsidR="00316DEA" w:rsidRPr="00BD77D8">
        <w:rPr>
          <w:rFonts w:eastAsia="Calibri"/>
          <w:lang w:val="en-US" w:eastAsia="en-US"/>
        </w:rPr>
        <w:t xml:space="preserve">that </w:t>
      </w:r>
      <w:r w:rsidRPr="00BD77D8">
        <w:rPr>
          <w:rFonts w:eastAsia="Calibri"/>
          <w:lang w:val="en-US" w:eastAsia="en-US"/>
        </w:rPr>
        <w:t xml:space="preserve">the </w:t>
      </w:r>
      <w:r w:rsidR="008028FF" w:rsidRPr="00BD77D8">
        <w:rPr>
          <w:rFonts w:eastAsia="Calibri"/>
          <w:lang w:val="en-US" w:eastAsia="en-US"/>
        </w:rPr>
        <w:t xml:space="preserve">new </w:t>
      </w:r>
      <w:r w:rsidR="00276423" w:rsidRPr="00BD77D8">
        <w:rPr>
          <w:rFonts w:eastAsia="Calibri"/>
          <w:lang w:val="en-US" w:eastAsia="en-US"/>
        </w:rPr>
        <w:t>s</w:t>
      </w:r>
      <w:r w:rsidRPr="00BD77D8">
        <w:rPr>
          <w:rFonts w:eastAsia="Calibri"/>
          <w:lang w:val="en-US" w:eastAsia="en-US"/>
        </w:rPr>
        <w:t>trategy will provide a long-term framework to promote economic empowerment and self-determination for Aboriginal and Torres Strait Islander Queenslanders</w:t>
      </w:r>
      <w:bookmarkEnd w:id="213"/>
      <w:bookmarkEnd w:id="214"/>
      <w:r w:rsidR="00BB0877" w:rsidRPr="00BD77D8">
        <w:rPr>
          <w:rFonts w:eastAsia="Calibri"/>
          <w:lang w:val="en-US" w:eastAsia="en-US"/>
        </w:rPr>
        <w:t>.</w:t>
      </w:r>
    </w:p>
    <w:p w14:paraId="0E0C39D8" w14:textId="77777777" w:rsidR="008028FF" w:rsidRPr="00BD77D8" w:rsidRDefault="008028FF" w:rsidP="008028FF">
      <w:pPr>
        <w:pStyle w:val="Heading3"/>
      </w:pPr>
      <w:bookmarkStart w:id="216" w:name="_Hlk112838103"/>
      <w:bookmarkEnd w:id="215"/>
      <w:r w:rsidRPr="00BD77D8">
        <w:t>Maximising job opportunities</w:t>
      </w:r>
    </w:p>
    <w:p w14:paraId="61F1ECA4" w14:textId="77777777" w:rsidR="004E197D" w:rsidRPr="00BD77D8" w:rsidRDefault="004E197D" w:rsidP="00F92945">
      <w:pPr>
        <w:spacing w:after="120" w:line="240" w:lineRule="auto"/>
        <w:rPr>
          <w:lang w:eastAsia="en-US"/>
        </w:rPr>
      </w:pPr>
      <w:r w:rsidRPr="00BD77D8">
        <w:rPr>
          <w:lang w:eastAsia="en-US"/>
        </w:rPr>
        <w:t>The department maximised employment opportunities for Aboriginal and Torres Strait Islander Queenslanders by:</w:t>
      </w:r>
    </w:p>
    <w:p w14:paraId="191048D1" w14:textId="5D2D4EC5" w:rsidR="004E197D" w:rsidRPr="00BD77D8" w:rsidRDefault="004E197D" w:rsidP="00F729B3">
      <w:pPr>
        <w:pStyle w:val="ListBullet"/>
        <w:numPr>
          <w:ilvl w:val="0"/>
          <w:numId w:val="54"/>
        </w:numPr>
        <w:rPr>
          <w:lang w:eastAsia="en-US"/>
        </w:rPr>
      </w:pPr>
      <w:r w:rsidRPr="00BD77D8">
        <w:rPr>
          <w:lang w:eastAsia="en-US"/>
        </w:rPr>
        <w:t>delivering the YEP and providing post-job placement support, and creating employment opportunities through social housing and infrastructure projects</w:t>
      </w:r>
    </w:p>
    <w:p w14:paraId="20C6295C" w14:textId="77777777" w:rsidR="004E197D" w:rsidRPr="00BD77D8" w:rsidRDefault="004E197D" w:rsidP="00F729B3">
      <w:pPr>
        <w:pStyle w:val="ListBullet"/>
        <w:numPr>
          <w:ilvl w:val="0"/>
          <w:numId w:val="54"/>
        </w:numPr>
        <w:rPr>
          <w:lang w:eastAsia="en-US"/>
        </w:rPr>
      </w:pPr>
      <w:r w:rsidRPr="00BD77D8">
        <w:rPr>
          <w:lang w:eastAsia="en-US"/>
        </w:rPr>
        <w:t xml:space="preserve">supporting the Queensland Indigenous (Aboriginal and Torres Strait Islander) Procurement Policy (QIPP), that provides a whole-of-government framework to increase procurement from Aboriginal and Torres Strait Islander businesses. </w:t>
      </w:r>
    </w:p>
    <w:p w14:paraId="6D2D6112" w14:textId="31DB1EFB" w:rsidR="004E197D" w:rsidRPr="00BD77D8" w:rsidRDefault="00BA691A" w:rsidP="00AF1866">
      <w:pPr>
        <w:spacing w:after="120" w:line="240" w:lineRule="auto"/>
        <w:rPr>
          <w:b/>
          <w:bCs/>
        </w:rPr>
      </w:pPr>
      <w:r w:rsidRPr="00BD77D8">
        <w:rPr>
          <w:b/>
          <w:bCs/>
        </w:rPr>
        <w:br w:type="column"/>
      </w:r>
      <w:r w:rsidR="004E197D" w:rsidRPr="00BD77D8">
        <w:rPr>
          <w:b/>
          <w:bCs/>
        </w:rPr>
        <w:lastRenderedPageBreak/>
        <w:t>Key achievements</w:t>
      </w:r>
    </w:p>
    <w:p w14:paraId="6868D9B7" w14:textId="386FBC5E" w:rsidR="00326C8A" w:rsidRPr="00BD77D8" w:rsidRDefault="004E197D" w:rsidP="00AF1866">
      <w:pPr>
        <w:spacing w:after="120" w:line="240" w:lineRule="auto"/>
        <w:rPr>
          <w:lang w:eastAsia="en-US"/>
        </w:rPr>
      </w:pPr>
      <w:r w:rsidRPr="00BD77D8">
        <w:rPr>
          <w:lang w:eastAsia="en-US"/>
        </w:rPr>
        <w:t>During the reporting period the department</w:t>
      </w:r>
      <w:r w:rsidR="00326C8A" w:rsidRPr="00BD77D8">
        <w:rPr>
          <w:lang w:eastAsia="en-US"/>
        </w:rPr>
        <w:t>:</w:t>
      </w:r>
      <w:r w:rsidR="002611FF" w:rsidRPr="00BD77D8">
        <w:rPr>
          <w:lang w:eastAsia="en-US"/>
        </w:rPr>
        <w:t xml:space="preserve"> </w:t>
      </w:r>
    </w:p>
    <w:p w14:paraId="00F1E7A7" w14:textId="0D098B49" w:rsidR="004E197D" w:rsidRPr="00BD77D8" w:rsidRDefault="004E197D" w:rsidP="00F92945">
      <w:pPr>
        <w:pStyle w:val="ListBullet"/>
        <w:spacing w:line="240" w:lineRule="auto"/>
        <w:ind w:left="357" w:hanging="357"/>
        <w:rPr>
          <w:lang w:eastAsia="en-US"/>
        </w:rPr>
      </w:pPr>
      <w:r w:rsidRPr="00BD77D8">
        <w:rPr>
          <w:lang w:eastAsia="en-US"/>
        </w:rPr>
        <w:t xml:space="preserve">facilitated </w:t>
      </w:r>
      <w:r w:rsidR="00FC6DB2" w:rsidRPr="00BD77D8">
        <w:rPr>
          <w:lang w:eastAsia="en-US"/>
        </w:rPr>
        <w:t>736</w:t>
      </w:r>
      <w:r w:rsidR="002813B8" w:rsidRPr="00BD77D8">
        <w:rPr>
          <w:lang w:eastAsia="en-US"/>
        </w:rPr>
        <w:t xml:space="preserve"> </w:t>
      </w:r>
      <w:r w:rsidRPr="00BD77D8">
        <w:rPr>
          <w:lang w:eastAsia="en-US"/>
        </w:rPr>
        <w:t xml:space="preserve">job placements for Aboriginal </w:t>
      </w:r>
      <w:r w:rsidR="004C7FBB" w:rsidRPr="00BD77D8">
        <w:rPr>
          <w:lang w:eastAsia="en-US"/>
        </w:rPr>
        <w:t xml:space="preserve">peoples </w:t>
      </w:r>
      <w:r w:rsidRPr="00BD77D8">
        <w:rPr>
          <w:lang w:eastAsia="en-US"/>
        </w:rPr>
        <w:t>and Torres Strait Islander peoples across Queensland. This included:</w:t>
      </w:r>
    </w:p>
    <w:p w14:paraId="5B50ABBC" w14:textId="26DC4719" w:rsidR="004E197D" w:rsidRPr="00BD77D8" w:rsidRDefault="00FC6DB2" w:rsidP="00CB49EA">
      <w:pPr>
        <w:pStyle w:val="ListBullet2"/>
        <w:numPr>
          <w:ilvl w:val="0"/>
          <w:numId w:val="11"/>
        </w:numPr>
        <w:ind w:left="1077" w:hanging="357"/>
      </w:pPr>
      <w:r w:rsidRPr="00BD77D8">
        <w:t>504</w:t>
      </w:r>
      <w:r w:rsidR="004E197D" w:rsidRPr="00BD77D8">
        <w:t xml:space="preserve"> job placements for YEP candidates, including Year 12 graduates and other higher qualified and job-ready Aboriginal and Torres Strait Islander job seekers </w:t>
      </w:r>
    </w:p>
    <w:p w14:paraId="09C01DF8" w14:textId="2462ED67" w:rsidR="00453C3A" w:rsidRPr="00BD77D8" w:rsidRDefault="00FC6DB2" w:rsidP="00CB49EA">
      <w:pPr>
        <w:pStyle w:val="ListBullet2"/>
        <w:numPr>
          <w:ilvl w:val="0"/>
          <w:numId w:val="11"/>
        </w:numPr>
        <w:ind w:left="1077" w:hanging="357"/>
        <w:rPr>
          <w:lang w:eastAsia="en-US"/>
        </w:rPr>
      </w:pPr>
      <w:r w:rsidRPr="00BD77D8">
        <w:rPr>
          <w:lang w:eastAsia="en-US"/>
        </w:rPr>
        <w:t>80</w:t>
      </w:r>
      <w:r w:rsidR="004E197D" w:rsidRPr="00BD77D8">
        <w:rPr>
          <w:lang w:eastAsia="en-US"/>
        </w:rPr>
        <w:t xml:space="preserve"> per cent of Aboriginal and Torres Strait Islander </w:t>
      </w:r>
      <w:r w:rsidR="00453C3A" w:rsidRPr="00BD77D8">
        <w:rPr>
          <w:lang w:eastAsia="en-US"/>
        </w:rPr>
        <w:t>participants</w:t>
      </w:r>
      <w:r w:rsidR="004E197D" w:rsidRPr="00BD77D8">
        <w:rPr>
          <w:lang w:eastAsia="en-US"/>
        </w:rPr>
        <w:t xml:space="preserve"> placed into employment through the Y</w:t>
      </w:r>
      <w:r w:rsidR="00453C3A" w:rsidRPr="00BD77D8">
        <w:rPr>
          <w:lang w:eastAsia="en-US"/>
        </w:rPr>
        <w:t>EP</w:t>
      </w:r>
      <w:r w:rsidR="004E197D" w:rsidRPr="00BD77D8">
        <w:rPr>
          <w:lang w:eastAsia="en-US"/>
        </w:rPr>
        <w:t xml:space="preserve">, </w:t>
      </w:r>
      <w:r w:rsidR="00453C3A" w:rsidRPr="00BD77D8">
        <w:rPr>
          <w:lang w:eastAsia="en-US"/>
        </w:rPr>
        <w:t xml:space="preserve">remained in </w:t>
      </w:r>
      <w:r w:rsidR="004E197D" w:rsidRPr="00BD77D8">
        <w:rPr>
          <w:lang w:eastAsia="en-US"/>
        </w:rPr>
        <w:t>employ</w:t>
      </w:r>
      <w:r w:rsidR="00453C3A" w:rsidRPr="00BD77D8">
        <w:rPr>
          <w:lang w:eastAsia="en-US"/>
        </w:rPr>
        <w:t>ment</w:t>
      </w:r>
      <w:r w:rsidR="004E197D" w:rsidRPr="00BD77D8">
        <w:rPr>
          <w:lang w:eastAsia="en-US"/>
        </w:rPr>
        <w:t xml:space="preserve"> three months later</w:t>
      </w:r>
      <w:bookmarkStart w:id="217" w:name="_Hlk80011813"/>
    </w:p>
    <w:p w14:paraId="64D27ADE" w14:textId="47ACA5BD" w:rsidR="0026523B" w:rsidRPr="00BD77D8" w:rsidRDefault="00FC6DB2" w:rsidP="00CB49EA">
      <w:pPr>
        <w:pStyle w:val="ListBullet2"/>
        <w:numPr>
          <w:ilvl w:val="0"/>
          <w:numId w:val="11"/>
        </w:numPr>
        <w:ind w:left="1077" w:hanging="357"/>
        <w:rPr>
          <w:lang w:eastAsia="en-US"/>
        </w:rPr>
      </w:pPr>
      <w:r w:rsidRPr="00BD77D8">
        <w:rPr>
          <w:lang w:eastAsia="en-US"/>
        </w:rPr>
        <w:t>54</w:t>
      </w:r>
      <w:r w:rsidR="004E197D" w:rsidRPr="00BD77D8">
        <w:rPr>
          <w:lang w:eastAsia="en-US"/>
        </w:rPr>
        <w:t xml:space="preserve"> per cent of Aboriginal and Torres Strait Islander </w:t>
      </w:r>
      <w:r w:rsidR="00453C3A" w:rsidRPr="00BD77D8">
        <w:rPr>
          <w:lang w:eastAsia="en-US"/>
        </w:rPr>
        <w:t>participants</w:t>
      </w:r>
      <w:r w:rsidR="004E197D" w:rsidRPr="00BD77D8">
        <w:rPr>
          <w:lang w:eastAsia="en-US"/>
        </w:rPr>
        <w:t xml:space="preserve"> placed into employment through the Y</w:t>
      </w:r>
      <w:r w:rsidR="00453C3A" w:rsidRPr="00BD77D8">
        <w:rPr>
          <w:lang w:eastAsia="en-US"/>
        </w:rPr>
        <w:t>EP</w:t>
      </w:r>
      <w:r w:rsidR="004E197D" w:rsidRPr="00BD77D8">
        <w:rPr>
          <w:lang w:eastAsia="en-US"/>
        </w:rPr>
        <w:t xml:space="preserve">, </w:t>
      </w:r>
      <w:r w:rsidR="00453C3A" w:rsidRPr="00BD77D8">
        <w:rPr>
          <w:lang w:eastAsia="en-US"/>
        </w:rPr>
        <w:t>remained in</w:t>
      </w:r>
      <w:r w:rsidR="004E197D" w:rsidRPr="00BD77D8">
        <w:rPr>
          <w:lang w:eastAsia="en-US"/>
        </w:rPr>
        <w:t xml:space="preserve"> employ</w:t>
      </w:r>
      <w:r w:rsidR="00453C3A" w:rsidRPr="00BD77D8">
        <w:rPr>
          <w:lang w:eastAsia="en-US"/>
        </w:rPr>
        <w:t>ment</w:t>
      </w:r>
      <w:r w:rsidR="004E197D" w:rsidRPr="00BD77D8">
        <w:rPr>
          <w:lang w:eastAsia="en-US"/>
        </w:rPr>
        <w:t xml:space="preserve"> six months later</w:t>
      </w:r>
      <w:bookmarkEnd w:id="217"/>
      <w:r w:rsidR="0026523B" w:rsidRPr="00BD77D8">
        <w:rPr>
          <w:lang w:eastAsia="en-US"/>
        </w:rPr>
        <w:t xml:space="preserve"> </w:t>
      </w:r>
    </w:p>
    <w:p w14:paraId="198F9284" w14:textId="6EC4949B" w:rsidR="004E197D" w:rsidRPr="00BD77D8" w:rsidRDefault="003B1765" w:rsidP="00CB49EA">
      <w:pPr>
        <w:pStyle w:val="ListBullet2"/>
        <w:numPr>
          <w:ilvl w:val="0"/>
          <w:numId w:val="11"/>
        </w:numPr>
        <w:ind w:left="1077" w:hanging="357"/>
        <w:contextualSpacing w:val="0"/>
        <w:rPr>
          <w:lang w:eastAsia="en-US"/>
        </w:rPr>
      </w:pPr>
      <w:r w:rsidRPr="00BD77D8">
        <w:t>232</w:t>
      </w:r>
      <w:r w:rsidR="002C0691" w:rsidRPr="00BD77D8">
        <w:t xml:space="preserve"> </w:t>
      </w:r>
      <w:r w:rsidR="0026523B" w:rsidRPr="00BD77D8">
        <w:t xml:space="preserve">job placements for Aboriginal and Torres Strait Islander job seekers in social housing and infrastructure projects across the National Partnership on Remote Housing communities, and other capital works in remote and discrete Aboriginal and Torres Strait Islander communities.  </w:t>
      </w:r>
    </w:p>
    <w:p w14:paraId="6C1F35B1" w14:textId="685B6F10" w:rsidR="004E197D" w:rsidRPr="00BD77D8" w:rsidRDefault="004E197D" w:rsidP="007524AB">
      <w:pPr>
        <w:pStyle w:val="Heading3"/>
      </w:pPr>
      <w:bookmarkStart w:id="218" w:name="_Toc67046688"/>
      <w:bookmarkStart w:id="219" w:name="_Toc78287382"/>
      <w:bookmarkStart w:id="220" w:name="_Toc78355789"/>
      <w:bookmarkStart w:id="221" w:name="_Hlk112838129"/>
      <w:bookmarkEnd w:id="216"/>
      <w:r w:rsidRPr="00BD77D8">
        <w:t>Whole-of-government Integrated Capital Works program</w:t>
      </w:r>
      <w:bookmarkEnd w:id="218"/>
      <w:bookmarkEnd w:id="219"/>
      <w:bookmarkEnd w:id="220"/>
    </w:p>
    <w:bookmarkEnd w:id="221"/>
    <w:p w14:paraId="045BB659" w14:textId="56CC2243" w:rsidR="004E197D" w:rsidRPr="00BD77D8" w:rsidRDefault="004E197D" w:rsidP="007744C2">
      <w:pPr>
        <w:rPr>
          <w:rFonts w:eastAsia="Calibri"/>
          <w:lang w:val="en-US" w:eastAsia="en-US"/>
        </w:rPr>
      </w:pPr>
      <w:r w:rsidRPr="00BD77D8">
        <w:rPr>
          <w:rFonts w:eastAsia="Calibri"/>
          <w:spacing w:val="-1"/>
          <w:lang w:val="en-US" w:eastAsia="en-US"/>
        </w:rPr>
        <w:t>The</w:t>
      </w:r>
      <w:r w:rsidRPr="00BD77D8">
        <w:rPr>
          <w:rFonts w:eastAsia="Calibri"/>
          <w:spacing w:val="-16"/>
          <w:lang w:val="en-US" w:eastAsia="en-US"/>
        </w:rPr>
        <w:t xml:space="preserve"> </w:t>
      </w:r>
      <w:r w:rsidRPr="00BD77D8">
        <w:rPr>
          <w:rFonts w:eastAsia="Calibri"/>
          <w:lang w:val="en-US" w:eastAsia="en-US"/>
        </w:rPr>
        <w:t>Integr</w:t>
      </w:r>
      <w:r w:rsidRPr="00BD77D8">
        <w:rPr>
          <w:rFonts w:eastAsia="Calibri"/>
          <w:spacing w:val="-1"/>
          <w:lang w:val="en-US" w:eastAsia="en-US"/>
        </w:rPr>
        <w:t>ated</w:t>
      </w:r>
      <w:r w:rsidRPr="00BD77D8">
        <w:rPr>
          <w:rFonts w:eastAsia="Calibri"/>
          <w:spacing w:val="-16"/>
          <w:lang w:val="en-US" w:eastAsia="en-US"/>
        </w:rPr>
        <w:t xml:space="preserve"> </w:t>
      </w:r>
      <w:r w:rsidRPr="00BD77D8">
        <w:rPr>
          <w:rFonts w:eastAsia="Calibri"/>
          <w:spacing w:val="-1"/>
          <w:lang w:val="en-US" w:eastAsia="en-US"/>
        </w:rPr>
        <w:t>Cap</w:t>
      </w:r>
      <w:r w:rsidRPr="00BD77D8">
        <w:rPr>
          <w:rFonts w:eastAsia="Calibri"/>
          <w:lang w:val="en-US" w:eastAsia="en-US"/>
        </w:rPr>
        <w:t>it</w:t>
      </w:r>
      <w:r w:rsidRPr="00BD77D8">
        <w:rPr>
          <w:rFonts w:eastAsia="Calibri"/>
          <w:spacing w:val="-1"/>
          <w:lang w:val="en-US" w:eastAsia="en-US"/>
        </w:rPr>
        <w:t>al</w:t>
      </w:r>
      <w:r w:rsidRPr="00BD77D8">
        <w:rPr>
          <w:rFonts w:eastAsia="Calibri"/>
          <w:spacing w:val="-18"/>
          <w:lang w:val="en-US" w:eastAsia="en-US"/>
        </w:rPr>
        <w:t xml:space="preserve"> </w:t>
      </w:r>
      <w:r w:rsidRPr="00BD77D8">
        <w:rPr>
          <w:rFonts w:eastAsia="Calibri"/>
          <w:spacing w:val="-3"/>
          <w:lang w:val="en-US" w:eastAsia="en-US"/>
        </w:rPr>
        <w:t>Work</w:t>
      </w:r>
      <w:r w:rsidRPr="00BD77D8">
        <w:rPr>
          <w:rFonts w:eastAsia="Calibri"/>
          <w:lang w:val="en-US" w:eastAsia="en-US"/>
        </w:rPr>
        <w:t>s</w:t>
      </w:r>
      <w:r w:rsidRPr="00BD77D8">
        <w:rPr>
          <w:rFonts w:eastAsia="Calibri"/>
          <w:spacing w:val="-17"/>
          <w:lang w:val="en-US" w:eastAsia="en-US"/>
        </w:rPr>
        <w:t xml:space="preserve"> </w:t>
      </w:r>
      <w:r w:rsidRPr="00BD77D8">
        <w:rPr>
          <w:rFonts w:eastAsia="Calibri"/>
          <w:lang w:val="en-US" w:eastAsia="en-US"/>
        </w:rPr>
        <w:t>progr</w:t>
      </w:r>
      <w:r w:rsidRPr="00BD77D8">
        <w:rPr>
          <w:rFonts w:eastAsia="Calibri"/>
          <w:spacing w:val="-1"/>
          <w:lang w:val="en-US" w:eastAsia="en-US"/>
        </w:rPr>
        <w:t>am</w:t>
      </w:r>
      <w:r w:rsidRPr="00BD77D8">
        <w:rPr>
          <w:rFonts w:eastAsia="Calibri"/>
          <w:spacing w:val="-15"/>
          <w:lang w:val="en-US" w:eastAsia="en-US"/>
        </w:rPr>
        <w:t xml:space="preserve"> </w:t>
      </w:r>
      <w:r w:rsidRPr="00BD77D8">
        <w:rPr>
          <w:rFonts w:eastAsia="Calibri"/>
          <w:spacing w:val="-1"/>
          <w:lang w:val="en-US" w:eastAsia="en-US"/>
        </w:rPr>
        <w:t>inc</w:t>
      </w:r>
      <w:r w:rsidRPr="00BD77D8">
        <w:rPr>
          <w:rFonts w:eastAsia="Calibri"/>
          <w:lang w:val="en-US" w:eastAsia="en-US"/>
        </w:rPr>
        <w:t>re</w:t>
      </w:r>
      <w:r w:rsidRPr="00BD77D8">
        <w:rPr>
          <w:rFonts w:eastAsia="Calibri"/>
          <w:spacing w:val="-1"/>
          <w:lang w:val="en-US" w:eastAsia="en-US"/>
        </w:rPr>
        <w:t>ases</w:t>
      </w:r>
      <w:r w:rsidRPr="00BD77D8">
        <w:rPr>
          <w:rFonts w:eastAsia="Calibri"/>
          <w:spacing w:val="-17"/>
          <w:lang w:val="en-US" w:eastAsia="en-US"/>
        </w:rPr>
        <w:t xml:space="preserve"> </w:t>
      </w:r>
      <w:r w:rsidRPr="00BD77D8">
        <w:rPr>
          <w:rFonts w:eastAsia="Calibri"/>
          <w:spacing w:val="-1"/>
          <w:lang w:val="en-US" w:eastAsia="en-US"/>
        </w:rPr>
        <w:t>emplo</w:t>
      </w:r>
      <w:r w:rsidRPr="00BD77D8">
        <w:rPr>
          <w:rFonts w:eastAsia="Calibri"/>
          <w:lang w:val="en-US" w:eastAsia="en-US"/>
        </w:rPr>
        <w:t>yment,</w:t>
      </w:r>
      <w:r w:rsidRPr="00BD77D8">
        <w:rPr>
          <w:rFonts w:eastAsia="Calibri"/>
          <w:spacing w:val="-9"/>
          <w:lang w:val="en-US" w:eastAsia="en-US"/>
        </w:rPr>
        <w:t xml:space="preserve"> </w:t>
      </w:r>
      <w:r w:rsidRPr="00BD77D8">
        <w:rPr>
          <w:rFonts w:eastAsia="Calibri"/>
          <w:lang w:val="en-US" w:eastAsia="en-US"/>
        </w:rPr>
        <w:t>tr</w:t>
      </w:r>
      <w:r w:rsidRPr="00BD77D8">
        <w:rPr>
          <w:rFonts w:eastAsia="Calibri"/>
          <w:spacing w:val="-1"/>
          <w:lang w:val="en-US" w:eastAsia="en-US"/>
        </w:rPr>
        <w:t>aining</w:t>
      </w:r>
      <w:r w:rsidRPr="00BD77D8">
        <w:rPr>
          <w:rFonts w:eastAsia="Calibri"/>
          <w:spacing w:val="-9"/>
          <w:lang w:val="en-US" w:eastAsia="en-US"/>
        </w:rPr>
        <w:t xml:space="preserve"> </w:t>
      </w:r>
      <w:r w:rsidRPr="00BD77D8">
        <w:rPr>
          <w:rFonts w:eastAsia="Calibri"/>
          <w:lang w:val="en-US" w:eastAsia="en-US"/>
        </w:rPr>
        <w:t>and</w:t>
      </w:r>
      <w:r w:rsidRPr="00BD77D8">
        <w:rPr>
          <w:rFonts w:eastAsia="Calibri"/>
          <w:spacing w:val="-10"/>
          <w:lang w:val="en-US" w:eastAsia="en-US"/>
        </w:rPr>
        <w:t xml:space="preserve"> </w:t>
      </w:r>
      <w:r w:rsidRPr="00BD77D8">
        <w:rPr>
          <w:rFonts w:eastAsia="Calibri"/>
          <w:spacing w:val="-1"/>
          <w:lang w:val="en-US" w:eastAsia="en-US"/>
        </w:rPr>
        <w:t>business</w:t>
      </w:r>
      <w:r w:rsidRPr="00BD77D8">
        <w:rPr>
          <w:rFonts w:eastAsia="Calibri"/>
          <w:spacing w:val="-10"/>
          <w:lang w:val="en-US" w:eastAsia="en-US"/>
        </w:rPr>
        <w:t xml:space="preserve"> </w:t>
      </w:r>
      <w:r w:rsidRPr="00BD77D8">
        <w:rPr>
          <w:rFonts w:eastAsia="Calibri"/>
          <w:lang w:val="en-US" w:eastAsia="en-US"/>
        </w:rPr>
        <w:t>out</w:t>
      </w:r>
      <w:r w:rsidRPr="00BD77D8">
        <w:rPr>
          <w:rFonts w:eastAsia="Calibri"/>
          <w:spacing w:val="-1"/>
          <w:lang w:val="en-US" w:eastAsia="en-US"/>
        </w:rPr>
        <w:t>c</w:t>
      </w:r>
      <w:r w:rsidRPr="00BD77D8">
        <w:rPr>
          <w:rFonts w:eastAsia="Calibri"/>
          <w:lang w:val="en-US" w:eastAsia="en-US"/>
        </w:rPr>
        <w:t>ome</w:t>
      </w:r>
      <w:r w:rsidRPr="00BD77D8">
        <w:rPr>
          <w:rFonts w:eastAsia="Calibri"/>
          <w:spacing w:val="-1"/>
          <w:lang w:val="en-US" w:eastAsia="en-US"/>
        </w:rPr>
        <w:t>s</w:t>
      </w:r>
      <w:r w:rsidRPr="00BD77D8">
        <w:rPr>
          <w:rFonts w:eastAsia="Calibri"/>
          <w:spacing w:val="-11"/>
          <w:lang w:val="en-US" w:eastAsia="en-US"/>
        </w:rPr>
        <w:t xml:space="preserve"> </w:t>
      </w:r>
      <w:r w:rsidRPr="00BD77D8">
        <w:rPr>
          <w:rFonts w:eastAsia="Calibri"/>
          <w:spacing w:val="-1"/>
          <w:lang w:val="en-US" w:eastAsia="en-US"/>
        </w:rPr>
        <w:t>b</w:t>
      </w:r>
      <w:r w:rsidRPr="00BD77D8">
        <w:rPr>
          <w:rFonts w:eastAsia="Calibri"/>
          <w:lang w:val="en-US" w:eastAsia="en-US"/>
        </w:rPr>
        <w:t>y</w:t>
      </w:r>
      <w:r w:rsidRPr="00BD77D8">
        <w:rPr>
          <w:rFonts w:eastAsia="Calibri"/>
          <w:spacing w:val="-10"/>
          <w:lang w:val="en-US" w:eastAsia="en-US"/>
        </w:rPr>
        <w:t xml:space="preserve"> </w:t>
      </w:r>
      <w:r w:rsidRPr="00BD77D8">
        <w:rPr>
          <w:rFonts w:eastAsia="Calibri"/>
          <w:lang w:val="en-US" w:eastAsia="en-US"/>
        </w:rPr>
        <w:t>coordinating mainten</w:t>
      </w:r>
      <w:r w:rsidRPr="00BD77D8">
        <w:rPr>
          <w:rFonts w:eastAsia="Calibri"/>
          <w:spacing w:val="-1"/>
          <w:lang w:val="en-US" w:eastAsia="en-US"/>
        </w:rPr>
        <w:t>anc</w:t>
      </w:r>
      <w:r w:rsidRPr="00BD77D8">
        <w:rPr>
          <w:rFonts w:eastAsia="Calibri"/>
          <w:lang w:val="en-US" w:eastAsia="en-US"/>
        </w:rPr>
        <w:t>e,</w:t>
      </w:r>
      <w:r w:rsidRPr="00BD77D8">
        <w:rPr>
          <w:rFonts w:eastAsia="Calibri"/>
          <w:spacing w:val="-16"/>
          <w:lang w:val="en-US" w:eastAsia="en-US"/>
        </w:rPr>
        <w:t xml:space="preserve"> </w:t>
      </w:r>
      <w:r w:rsidRPr="00BD77D8">
        <w:rPr>
          <w:rFonts w:eastAsia="Calibri"/>
          <w:spacing w:val="-1"/>
          <w:lang w:val="en-US" w:eastAsia="en-US"/>
        </w:rPr>
        <w:t>up</w:t>
      </w:r>
      <w:r w:rsidRPr="00BD77D8">
        <w:rPr>
          <w:rFonts w:eastAsia="Calibri"/>
          <w:lang w:val="en-US" w:eastAsia="en-US"/>
        </w:rPr>
        <w:t>gr</w:t>
      </w:r>
      <w:r w:rsidRPr="00BD77D8">
        <w:rPr>
          <w:rFonts w:eastAsia="Calibri"/>
          <w:spacing w:val="-1"/>
          <w:lang w:val="en-US" w:eastAsia="en-US"/>
        </w:rPr>
        <w:t>ad</w:t>
      </w:r>
      <w:r w:rsidRPr="00BD77D8">
        <w:rPr>
          <w:rFonts w:eastAsia="Calibri"/>
          <w:lang w:val="en-US" w:eastAsia="en-US"/>
        </w:rPr>
        <w:t>e</w:t>
      </w:r>
      <w:r w:rsidRPr="00BD77D8">
        <w:rPr>
          <w:rFonts w:eastAsia="Calibri"/>
          <w:spacing w:val="-1"/>
          <w:lang w:val="en-US" w:eastAsia="en-US"/>
        </w:rPr>
        <w:t>s</w:t>
      </w:r>
      <w:r w:rsidRPr="00BD77D8">
        <w:rPr>
          <w:rFonts w:eastAsia="Calibri"/>
          <w:spacing w:val="-16"/>
          <w:lang w:val="en-US" w:eastAsia="en-US"/>
        </w:rPr>
        <w:t xml:space="preserve"> </w:t>
      </w:r>
      <w:r w:rsidRPr="00BD77D8">
        <w:rPr>
          <w:rFonts w:eastAsia="Calibri"/>
          <w:lang w:val="en-US" w:eastAsia="en-US"/>
        </w:rPr>
        <w:t>and</w:t>
      </w:r>
      <w:r w:rsidRPr="00BD77D8">
        <w:rPr>
          <w:rFonts w:eastAsia="Calibri"/>
          <w:spacing w:val="-17"/>
          <w:lang w:val="en-US" w:eastAsia="en-US"/>
        </w:rPr>
        <w:t xml:space="preserve"> </w:t>
      </w:r>
      <w:r w:rsidRPr="00BD77D8">
        <w:rPr>
          <w:rFonts w:eastAsia="Calibri"/>
          <w:spacing w:val="-1"/>
          <w:lang w:val="en-US" w:eastAsia="en-US"/>
        </w:rPr>
        <w:t>cap</w:t>
      </w:r>
      <w:r w:rsidRPr="00BD77D8">
        <w:rPr>
          <w:rFonts w:eastAsia="Calibri"/>
          <w:lang w:val="en-US" w:eastAsia="en-US"/>
        </w:rPr>
        <w:t>it</w:t>
      </w:r>
      <w:r w:rsidRPr="00BD77D8">
        <w:rPr>
          <w:rFonts w:eastAsia="Calibri"/>
          <w:spacing w:val="-1"/>
          <w:lang w:val="en-US" w:eastAsia="en-US"/>
        </w:rPr>
        <w:t>al</w:t>
      </w:r>
      <w:r w:rsidRPr="00BD77D8">
        <w:rPr>
          <w:rFonts w:eastAsia="Calibri"/>
          <w:spacing w:val="-16"/>
          <w:lang w:val="en-US" w:eastAsia="en-US"/>
        </w:rPr>
        <w:t xml:space="preserve"> </w:t>
      </w:r>
      <w:r w:rsidRPr="00BD77D8">
        <w:rPr>
          <w:rFonts w:eastAsia="Calibri"/>
          <w:lang w:val="en-US" w:eastAsia="en-US"/>
        </w:rPr>
        <w:t>infr</w:t>
      </w:r>
      <w:r w:rsidRPr="00BD77D8">
        <w:rPr>
          <w:rFonts w:eastAsia="Calibri"/>
          <w:spacing w:val="-1"/>
          <w:lang w:val="en-US" w:eastAsia="en-US"/>
        </w:rPr>
        <w:t>as</w:t>
      </w:r>
      <w:r w:rsidRPr="00BD77D8">
        <w:rPr>
          <w:rFonts w:eastAsia="Calibri"/>
          <w:lang w:val="en-US" w:eastAsia="en-US"/>
        </w:rPr>
        <w:t>truct</w:t>
      </w:r>
      <w:r w:rsidRPr="00BD77D8">
        <w:rPr>
          <w:rFonts w:eastAsia="Calibri"/>
          <w:spacing w:val="-1"/>
          <w:lang w:val="en-US" w:eastAsia="en-US"/>
        </w:rPr>
        <w:t>u</w:t>
      </w:r>
      <w:r w:rsidRPr="00BD77D8">
        <w:rPr>
          <w:rFonts w:eastAsia="Calibri"/>
          <w:lang w:val="en-US" w:eastAsia="en-US"/>
        </w:rPr>
        <w:t>re</w:t>
      </w:r>
      <w:r w:rsidRPr="00BD77D8">
        <w:rPr>
          <w:rFonts w:eastAsia="Calibri"/>
          <w:spacing w:val="-16"/>
          <w:lang w:val="en-US" w:eastAsia="en-US"/>
        </w:rPr>
        <w:t xml:space="preserve"> </w:t>
      </w:r>
      <w:r w:rsidRPr="00BD77D8">
        <w:rPr>
          <w:rFonts w:eastAsia="Calibri"/>
          <w:spacing w:val="-1"/>
          <w:lang w:val="en-US" w:eastAsia="en-US"/>
        </w:rPr>
        <w:t>in</w:t>
      </w:r>
      <w:r w:rsidRPr="00BD77D8">
        <w:rPr>
          <w:rFonts w:eastAsia="Calibri"/>
          <w:lang w:val="en-US" w:eastAsia="en-US"/>
        </w:rPr>
        <w:t>ve</w:t>
      </w:r>
      <w:r w:rsidRPr="00BD77D8">
        <w:rPr>
          <w:rFonts w:eastAsia="Calibri"/>
          <w:spacing w:val="-1"/>
          <w:lang w:val="en-US" w:eastAsia="en-US"/>
        </w:rPr>
        <w:t>s</w:t>
      </w:r>
      <w:r w:rsidRPr="00BD77D8">
        <w:rPr>
          <w:rFonts w:eastAsia="Calibri"/>
          <w:lang w:val="en-US" w:eastAsia="en-US"/>
        </w:rPr>
        <w:t>tments</w:t>
      </w:r>
      <w:r w:rsidRPr="00BD77D8">
        <w:rPr>
          <w:rFonts w:eastAsia="Calibri"/>
          <w:spacing w:val="25"/>
          <w:w w:val="97"/>
          <w:lang w:val="en-US" w:eastAsia="en-US"/>
        </w:rPr>
        <w:t xml:space="preserve"> </w:t>
      </w:r>
      <w:r w:rsidRPr="00BD77D8">
        <w:rPr>
          <w:rFonts w:eastAsia="Calibri"/>
          <w:lang w:val="en-US" w:eastAsia="en-US"/>
        </w:rPr>
        <w:t>t</w:t>
      </w:r>
      <w:r w:rsidRPr="00BD77D8">
        <w:rPr>
          <w:rFonts w:eastAsia="Calibri"/>
          <w:spacing w:val="-1"/>
          <w:lang w:val="en-US" w:eastAsia="en-US"/>
        </w:rPr>
        <w:t>o</w:t>
      </w:r>
      <w:r w:rsidRPr="00BD77D8">
        <w:rPr>
          <w:rFonts w:eastAsia="Calibri"/>
          <w:spacing w:val="-14"/>
          <w:lang w:val="en-US" w:eastAsia="en-US"/>
        </w:rPr>
        <w:t xml:space="preserve"> </w:t>
      </w:r>
      <w:proofErr w:type="spellStart"/>
      <w:r w:rsidRPr="00BD77D8">
        <w:rPr>
          <w:rFonts w:eastAsia="Calibri"/>
          <w:lang w:val="en-US" w:eastAsia="en-US"/>
        </w:rPr>
        <w:t>m</w:t>
      </w:r>
      <w:r w:rsidRPr="00BD77D8">
        <w:rPr>
          <w:rFonts w:eastAsia="Calibri"/>
          <w:spacing w:val="-1"/>
          <w:lang w:val="en-US" w:eastAsia="en-US"/>
        </w:rPr>
        <w:t>aximise</w:t>
      </w:r>
      <w:proofErr w:type="spellEnd"/>
      <w:r w:rsidRPr="00BD77D8">
        <w:rPr>
          <w:rFonts w:eastAsia="Calibri"/>
          <w:spacing w:val="-13"/>
          <w:lang w:val="en-US" w:eastAsia="en-US"/>
        </w:rPr>
        <w:t xml:space="preserve"> </w:t>
      </w:r>
      <w:r w:rsidRPr="00BD77D8">
        <w:rPr>
          <w:rFonts w:eastAsia="Calibri"/>
          <w:spacing w:val="-1"/>
          <w:lang w:val="en-US" w:eastAsia="en-US"/>
        </w:rPr>
        <w:t>economic</w:t>
      </w:r>
      <w:r w:rsidRPr="00BD77D8">
        <w:rPr>
          <w:rFonts w:eastAsia="Calibri"/>
          <w:spacing w:val="-15"/>
          <w:lang w:val="en-US" w:eastAsia="en-US"/>
        </w:rPr>
        <w:t xml:space="preserve"> </w:t>
      </w:r>
      <w:r w:rsidRPr="00BD77D8">
        <w:rPr>
          <w:rFonts w:eastAsia="Calibri"/>
          <w:spacing w:val="-1"/>
          <w:lang w:val="en-US" w:eastAsia="en-US"/>
        </w:rPr>
        <w:t>op</w:t>
      </w:r>
      <w:r w:rsidRPr="00BD77D8">
        <w:rPr>
          <w:rFonts w:eastAsia="Calibri"/>
          <w:lang w:val="en-US" w:eastAsia="en-US"/>
        </w:rPr>
        <w:t>port</w:t>
      </w:r>
      <w:r w:rsidRPr="00BD77D8">
        <w:rPr>
          <w:rFonts w:eastAsia="Calibri"/>
          <w:spacing w:val="-1"/>
          <w:lang w:val="en-US" w:eastAsia="en-US"/>
        </w:rPr>
        <w:t>u</w:t>
      </w:r>
      <w:r w:rsidRPr="00BD77D8">
        <w:rPr>
          <w:rFonts w:eastAsia="Calibri"/>
          <w:lang w:val="en-US" w:eastAsia="en-US"/>
        </w:rPr>
        <w:t>nitie</w:t>
      </w:r>
      <w:r w:rsidRPr="00BD77D8">
        <w:rPr>
          <w:rFonts w:eastAsia="Calibri"/>
          <w:spacing w:val="-1"/>
          <w:lang w:val="en-US" w:eastAsia="en-US"/>
        </w:rPr>
        <w:t>s</w:t>
      </w:r>
      <w:r w:rsidRPr="00BD77D8">
        <w:rPr>
          <w:rFonts w:eastAsia="Calibri"/>
          <w:spacing w:val="-15"/>
          <w:lang w:val="en-US" w:eastAsia="en-US"/>
        </w:rPr>
        <w:t xml:space="preserve"> </w:t>
      </w:r>
      <w:r w:rsidRPr="00BD77D8">
        <w:rPr>
          <w:rFonts w:eastAsia="Calibri"/>
          <w:lang w:val="en-US" w:eastAsia="en-US"/>
        </w:rPr>
        <w:t>within</w:t>
      </w:r>
      <w:r w:rsidRPr="00BD77D8">
        <w:rPr>
          <w:rFonts w:eastAsia="Calibri"/>
          <w:spacing w:val="-13"/>
          <w:lang w:val="en-US" w:eastAsia="en-US"/>
        </w:rPr>
        <w:t xml:space="preserve"> </w:t>
      </w:r>
      <w:r w:rsidRPr="00BD77D8">
        <w:rPr>
          <w:rFonts w:eastAsia="Calibri"/>
          <w:spacing w:val="-3"/>
          <w:lang w:val="en-US" w:eastAsia="en-US"/>
        </w:rPr>
        <w:t>Queensland’s remote and discrete Aboriginal and Torres Strait Islander communities. This program contribute</w:t>
      </w:r>
      <w:r w:rsidR="002611FF" w:rsidRPr="00BD77D8">
        <w:rPr>
          <w:rFonts w:eastAsia="Calibri"/>
          <w:spacing w:val="-3"/>
          <w:lang w:val="en-US" w:eastAsia="en-US"/>
        </w:rPr>
        <w:t>s</w:t>
      </w:r>
      <w:r w:rsidRPr="00BD77D8">
        <w:rPr>
          <w:rFonts w:eastAsia="Calibri"/>
          <w:spacing w:val="-3"/>
          <w:lang w:val="en-US" w:eastAsia="en-US"/>
        </w:rPr>
        <w:t xml:space="preserve"> to improving sustainable economic outcomes through improved integrated procurement practices</w:t>
      </w:r>
      <w:r w:rsidR="006E58EF" w:rsidRPr="00BD77D8">
        <w:rPr>
          <w:rFonts w:eastAsia="Calibri"/>
          <w:spacing w:val="-3"/>
          <w:lang w:val="en-US" w:eastAsia="en-US"/>
        </w:rPr>
        <w:t xml:space="preserve"> </w:t>
      </w:r>
      <w:r w:rsidRPr="00BD77D8">
        <w:rPr>
          <w:rFonts w:eastAsia="Calibri"/>
          <w:spacing w:val="-3"/>
          <w:lang w:val="en-US" w:eastAsia="en-US"/>
        </w:rPr>
        <w:t>and supporting business and employment opportunities for Aboriginal and Torres Strait Islander Queen</w:t>
      </w:r>
      <w:r w:rsidRPr="00BD77D8">
        <w:rPr>
          <w:rFonts w:eastAsia="Calibri"/>
          <w:spacing w:val="-1"/>
          <w:lang w:val="en-US" w:eastAsia="en-US"/>
        </w:rPr>
        <w:t>sland</w:t>
      </w:r>
      <w:r w:rsidRPr="00BD77D8">
        <w:rPr>
          <w:rFonts w:eastAsia="Calibri"/>
          <w:lang w:val="en-US" w:eastAsia="en-US"/>
        </w:rPr>
        <w:t>er</w:t>
      </w:r>
      <w:r w:rsidRPr="00BD77D8">
        <w:rPr>
          <w:rFonts w:eastAsia="Calibri"/>
          <w:spacing w:val="-1"/>
          <w:lang w:val="en-US" w:eastAsia="en-US"/>
        </w:rPr>
        <w:t>s.</w:t>
      </w:r>
    </w:p>
    <w:p w14:paraId="4D6F2F4D" w14:textId="665F263E" w:rsidR="004E197D" w:rsidRPr="00BD77D8" w:rsidRDefault="004E197D" w:rsidP="007744C2">
      <w:pPr>
        <w:rPr>
          <w:rFonts w:eastAsia="Calibri"/>
          <w:spacing w:val="-1"/>
          <w:lang w:val="en-US" w:eastAsia="en-US"/>
        </w:rPr>
      </w:pPr>
      <w:r w:rsidRPr="00BD77D8">
        <w:rPr>
          <w:rFonts w:eastAsia="Calibri"/>
          <w:lang w:val="en-US" w:eastAsia="en-US"/>
        </w:rPr>
        <w:t>In</w:t>
      </w:r>
      <w:r w:rsidRPr="00BD77D8">
        <w:rPr>
          <w:rFonts w:eastAsia="Calibri"/>
          <w:spacing w:val="-15"/>
          <w:lang w:val="en-US" w:eastAsia="en-US"/>
        </w:rPr>
        <w:t xml:space="preserve"> </w:t>
      </w:r>
      <w:r w:rsidRPr="00BD77D8">
        <w:rPr>
          <w:rFonts w:eastAsia="Calibri"/>
          <w:spacing w:val="-1"/>
          <w:lang w:val="en-US" w:eastAsia="en-US"/>
        </w:rPr>
        <w:t>p</w:t>
      </w:r>
      <w:r w:rsidRPr="00BD77D8">
        <w:rPr>
          <w:rFonts w:eastAsia="Calibri"/>
          <w:lang w:val="en-US" w:eastAsia="en-US"/>
        </w:rPr>
        <w:t>artner</w:t>
      </w:r>
      <w:r w:rsidRPr="00BD77D8">
        <w:rPr>
          <w:rFonts w:eastAsia="Calibri"/>
          <w:spacing w:val="-1"/>
          <w:lang w:val="en-US" w:eastAsia="en-US"/>
        </w:rPr>
        <w:t>ship</w:t>
      </w:r>
      <w:r w:rsidRPr="00BD77D8">
        <w:rPr>
          <w:rFonts w:eastAsia="Calibri"/>
          <w:spacing w:val="-14"/>
          <w:lang w:val="en-US" w:eastAsia="en-US"/>
        </w:rPr>
        <w:t xml:space="preserve"> </w:t>
      </w:r>
      <w:r w:rsidRPr="00BD77D8">
        <w:rPr>
          <w:rFonts w:eastAsia="Calibri"/>
          <w:lang w:val="en-US" w:eastAsia="en-US"/>
        </w:rPr>
        <w:t>with</w:t>
      </w:r>
      <w:r w:rsidRPr="00BD77D8">
        <w:rPr>
          <w:rFonts w:eastAsia="Calibri"/>
          <w:spacing w:val="-15"/>
          <w:lang w:val="en-US" w:eastAsia="en-US"/>
        </w:rPr>
        <w:t xml:space="preserve"> </w:t>
      </w:r>
      <w:r w:rsidR="006B7999" w:rsidRPr="00BD77D8">
        <w:rPr>
          <w:rFonts w:eastAsia="Calibri"/>
          <w:lang w:val="en-US" w:eastAsia="en-US"/>
        </w:rPr>
        <w:t>c</w:t>
      </w:r>
      <w:r w:rsidRPr="00BD77D8">
        <w:rPr>
          <w:rFonts w:eastAsia="Calibri"/>
          <w:spacing w:val="-3"/>
          <w:lang w:val="en-US" w:eastAsia="en-US"/>
        </w:rPr>
        <w:t>ou</w:t>
      </w:r>
      <w:r w:rsidRPr="00BD77D8">
        <w:rPr>
          <w:rFonts w:eastAsia="Calibri"/>
          <w:lang w:val="en-US" w:eastAsia="en-US"/>
        </w:rPr>
        <w:t>ncils</w:t>
      </w:r>
      <w:r w:rsidRPr="00BD77D8">
        <w:rPr>
          <w:rFonts w:eastAsia="Calibri"/>
          <w:spacing w:val="-16"/>
          <w:lang w:val="en-US" w:eastAsia="en-US"/>
        </w:rPr>
        <w:t xml:space="preserve"> </w:t>
      </w:r>
      <w:r w:rsidRPr="00BD77D8">
        <w:rPr>
          <w:rFonts w:eastAsia="Calibri"/>
          <w:lang w:val="en-US" w:eastAsia="en-US"/>
        </w:rPr>
        <w:t>and</w:t>
      </w:r>
      <w:r w:rsidRPr="00BD77D8">
        <w:rPr>
          <w:rFonts w:eastAsia="Calibri"/>
          <w:spacing w:val="-16"/>
          <w:lang w:val="en-US" w:eastAsia="en-US"/>
        </w:rPr>
        <w:t xml:space="preserve"> </w:t>
      </w:r>
      <w:r w:rsidRPr="00BD77D8">
        <w:rPr>
          <w:rFonts w:eastAsia="Calibri"/>
          <w:spacing w:val="-1"/>
          <w:lang w:val="en-US" w:eastAsia="en-US"/>
        </w:rPr>
        <w:t>c</w:t>
      </w:r>
      <w:r w:rsidRPr="00BD77D8">
        <w:rPr>
          <w:rFonts w:eastAsia="Calibri"/>
          <w:lang w:val="en-US" w:eastAsia="en-US"/>
        </w:rPr>
        <w:t>ommunitie</w:t>
      </w:r>
      <w:r w:rsidRPr="00BD77D8">
        <w:rPr>
          <w:rFonts w:eastAsia="Calibri"/>
          <w:spacing w:val="-1"/>
          <w:lang w:val="en-US" w:eastAsia="en-US"/>
        </w:rPr>
        <w:t>s,</w:t>
      </w:r>
      <w:r w:rsidRPr="00BD77D8">
        <w:rPr>
          <w:rFonts w:eastAsia="Calibri"/>
          <w:spacing w:val="-14"/>
          <w:lang w:val="en-US" w:eastAsia="en-US"/>
        </w:rPr>
        <w:t xml:space="preserve"> </w:t>
      </w:r>
      <w:r w:rsidRPr="00BD77D8">
        <w:rPr>
          <w:rFonts w:eastAsia="Calibri"/>
          <w:lang w:val="en-US" w:eastAsia="en-US"/>
        </w:rPr>
        <w:t>the department deliver</w:t>
      </w:r>
      <w:r w:rsidR="002611FF" w:rsidRPr="00BD77D8">
        <w:rPr>
          <w:rFonts w:eastAsia="Calibri"/>
          <w:lang w:val="en-US" w:eastAsia="en-US"/>
        </w:rPr>
        <w:t>s</w:t>
      </w:r>
      <w:r w:rsidRPr="00BD77D8">
        <w:rPr>
          <w:rFonts w:eastAsia="Calibri"/>
          <w:lang w:val="en-US" w:eastAsia="en-US"/>
        </w:rPr>
        <w:t xml:space="preserve"> infrastructure and construction projects catering to the needs and aspirations of Aboriginal and Torres Strait Islander Queenslanders in remote and discrete Aboriginal and Torres Strait Islander communities.</w:t>
      </w:r>
    </w:p>
    <w:p w14:paraId="3D7674F0" w14:textId="462C3AB6" w:rsidR="004E197D" w:rsidRPr="00BD77D8" w:rsidRDefault="004E197D" w:rsidP="00AF1866">
      <w:pPr>
        <w:spacing w:after="120" w:line="240" w:lineRule="auto"/>
        <w:rPr>
          <w:b/>
          <w:bCs/>
        </w:rPr>
      </w:pPr>
      <w:bookmarkStart w:id="222" w:name="_Hlk112838143"/>
      <w:r w:rsidRPr="00BD77D8">
        <w:rPr>
          <w:b/>
          <w:bCs/>
        </w:rPr>
        <w:t>Key achievements</w:t>
      </w:r>
    </w:p>
    <w:p w14:paraId="0470FE79" w14:textId="77777777" w:rsidR="004E197D" w:rsidRPr="00BD77D8" w:rsidRDefault="004E197D" w:rsidP="00AF1866">
      <w:pPr>
        <w:spacing w:after="120" w:line="240" w:lineRule="auto"/>
        <w:rPr>
          <w:rFonts w:eastAsia="Calibri"/>
          <w:lang w:val="en-US" w:eastAsia="en-US"/>
        </w:rPr>
      </w:pPr>
      <w:r w:rsidRPr="00BD77D8">
        <w:rPr>
          <w:rFonts w:eastAsia="Calibri"/>
          <w:lang w:val="en-US" w:eastAsia="en-US"/>
        </w:rPr>
        <w:t>The department facilitated the design, construction and delivery of the following maintenance and construction projects:</w:t>
      </w:r>
    </w:p>
    <w:p w14:paraId="0FF63582" w14:textId="36F9D83D" w:rsidR="003B1765" w:rsidRPr="00BD77D8" w:rsidRDefault="003B1765" w:rsidP="009362D1">
      <w:pPr>
        <w:pStyle w:val="ListBullet"/>
        <w:rPr>
          <w:rFonts w:eastAsia="Calibri"/>
          <w:lang w:val="en-US" w:eastAsia="en-US"/>
        </w:rPr>
      </w:pPr>
      <w:r w:rsidRPr="00BD77D8">
        <w:rPr>
          <w:rFonts w:eastAsia="Calibri"/>
          <w:lang w:val="en-US" w:eastAsia="en-US"/>
        </w:rPr>
        <w:t xml:space="preserve">Mossman Gorge: </w:t>
      </w:r>
      <w:r w:rsidR="006B7999" w:rsidRPr="00BD77D8">
        <w:rPr>
          <w:rFonts w:eastAsia="Calibri"/>
          <w:lang w:val="en-US" w:eastAsia="en-US"/>
        </w:rPr>
        <w:t xml:space="preserve">completed </w:t>
      </w:r>
      <w:r w:rsidRPr="00BD77D8">
        <w:rPr>
          <w:rFonts w:eastAsia="Calibri"/>
          <w:lang w:val="en-US" w:eastAsia="en-US"/>
        </w:rPr>
        <w:t>Mossman Gorge Infrastructure Upgrades construction (currently in defects liability period and progressing handover to Douglas Shire Council by December 2022)</w:t>
      </w:r>
    </w:p>
    <w:p w14:paraId="736F82BB" w14:textId="7C0A738C" w:rsidR="003B1765" w:rsidRPr="00BD77D8" w:rsidRDefault="003B1765" w:rsidP="009362D1">
      <w:pPr>
        <w:pStyle w:val="ListBullet"/>
        <w:rPr>
          <w:rFonts w:eastAsia="Calibri"/>
          <w:lang w:val="en-US" w:eastAsia="en-US"/>
        </w:rPr>
      </w:pPr>
      <w:r w:rsidRPr="00BD77D8">
        <w:rPr>
          <w:rFonts w:eastAsia="Calibri"/>
          <w:lang w:val="en-US" w:eastAsia="en-US"/>
        </w:rPr>
        <w:t xml:space="preserve">Torres Shire: </w:t>
      </w:r>
      <w:r w:rsidR="006B7999" w:rsidRPr="00BD77D8">
        <w:rPr>
          <w:rFonts w:eastAsia="Calibri"/>
          <w:lang w:val="en-US" w:eastAsia="en-US"/>
        </w:rPr>
        <w:t>c</w:t>
      </w:r>
      <w:r w:rsidRPr="00BD77D8">
        <w:rPr>
          <w:rFonts w:eastAsia="Calibri"/>
          <w:lang w:val="en-US" w:eastAsia="en-US"/>
        </w:rPr>
        <w:t xml:space="preserve">ommenced the design phase of developing a </w:t>
      </w:r>
      <w:r w:rsidR="008D5F45" w:rsidRPr="00BD77D8">
        <w:rPr>
          <w:rFonts w:eastAsia="Calibri"/>
          <w:lang w:val="en-US" w:eastAsia="en-US"/>
        </w:rPr>
        <w:t>s</w:t>
      </w:r>
      <w:r w:rsidRPr="00BD77D8">
        <w:rPr>
          <w:rFonts w:eastAsia="Calibri"/>
          <w:lang w:val="en-US" w:eastAsia="en-US"/>
        </w:rPr>
        <w:t xml:space="preserve">plash </w:t>
      </w:r>
      <w:r w:rsidR="008D5F45" w:rsidRPr="00BD77D8">
        <w:rPr>
          <w:rFonts w:eastAsia="Calibri"/>
          <w:lang w:val="en-US" w:eastAsia="en-US"/>
        </w:rPr>
        <w:t>p</w:t>
      </w:r>
      <w:r w:rsidRPr="00BD77D8">
        <w:rPr>
          <w:rFonts w:eastAsia="Calibri"/>
          <w:lang w:val="en-US" w:eastAsia="en-US"/>
        </w:rPr>
        <w:t>ark on Thursday Island</w:t>
      </w:r>
      <w:r w:rsidR="002611FF" w:rsidRPr="00BD77D8">
        <w:rPr>
          <w:rFonts w:eastAsia="Calibri"/>
          <w:lang w:val="en-US" w:eastAsia="en-US"/>
        </w:rPr>
        <w:t>,</w:t>
      </w:r>
      <w:r w:rsidRPr="00BD77D8">
        <w:rPr>
          <w:rFonts w:eastAsia="Calibri"/>
          <w:lang w:val="en-US" w:eastAsia="en-US"/>
        </w:rPr>
        <w:t xml:space="preserve"> and Capital Funding Agreement executed with Torres Shire Council</w:t>
      </w:r>
    </w:p>
    <w:p w14:paraId="17F73D37" w14:textId="5FAD55EC" w:rsidR="003B1765" w:rsidRPr="00BD77D8" w:rsidRDefault="003B1765" w:rsidP="009362D1">
      <w:pPr>
        <w:pStyle w:val="ListBullet"/>
        <w:rPr>
          <w:rFonts w:eastAsia="Calibri"/>
          <w:lang w:val="en-US" w:eastAsia="en-US"/>
        </w:rPr>
      </w:pPr>
      <w:r w:rsidRPr="00BD77D8">
        <w:rPr>
          <w:rFonts w:eastAsia="Calibri"/>
          <w:lang w:val="en-US" w:eastAsia="en-US"/>
        </w:rPr>
        <w:t xml:space="preserve">Aurukun, Mapoon, Napranum and Pormpuraaw: </w:t>
      </w:r>
      <w:r w:rsidR="006B7999" w:rsidRPr="00BD77D8">
        <w:rPr>
          <w:rFonts w:eastAsia="Calibri"/>
          <w:lang w:val="en-US" w:eastAsia="en-US"/>
        </w:rPr>
        <w:t xml:space="preserve">implemented </w:t>
      </w:r>
      <w:r w:rsidRPr="00BD77D8">
        <w:rPr>
          <w:rFonts w:eastAsia="Calibri"/>
          <w:lang w:val="en-US" w:eastAsia="en-US"/>
        </w:rPr>
        <w:t>operation and maintenance Service Agreements (2021</w:t>
      </w:r>
      <w:r w:rsidR="000C698F" w:rsidRPr="00BD77D8">
        <w:rPr>
          <w:rFonts w:eastAsia="Calibri"/>
          <w:lang w:val="en-US" w:eastAsia="en-US"/>
        </w:rPr>
        <w:t>–</w:t>
      </w:r>
      <w:r w:rsidRPr="00BD77D8">
        <w:rPr>
          <w:rFonts w:eastAsia="Calibri"/>
          <w:lang w:val="en-US" w:eastAsia="en-US"/>
        </w:rPr>
        <w:t xml:space="preserve">2024) for the four </w:t>
      </w:r>
      <w:r w:rsidR="008D5F45" w:rsidRPr="00BD77D8">
        <w:rPr>
          <w:rFonts w:eastAsia="Calibri"/>
          <w:lang w:val="en-US" w:eastAsia="en-US"/>
        </w:rPr>
        <w:t>s</w:t>
      </w:r>
      <w:r w:rsidRPr="00BD77D8">
        <w:rPr>
          <w:rFonts w:eastAsia="Calibri"/>
          <w:lang w:val="en-US" w:eastAsia="en-US"/>
        </w:rPr>
        <w:t xml:space="preserve">plash </w:t>
      </w:r>
      <w:r w:rsidR="008D5F45" w:rsidRPr="00BD77D8">
        <w:rPr>
          <w:rFonts w:eastAsia="Calibri"/>
          <w:lang w:val="en-US" w:eastAsia="en-US"/>
        </w:rPr>
        <w:t>p</w:t>
      </w:r>
      <w:r w:rsidRPr="00BD77D8">
        <w:rPr>
          <w:rFonts w:eastAsia="Calibri"/>
          <w:lang w:val="en-US" w:eastAsia="en-US"/>
        </w:rPr>
        <w:t>arks</w:t>
      </w:r>
    </w:p>
    <w:p w14:paraId="02F4356F" w14:textId="0C054D2A" w:rsidR="003B1765" w:rsidRPr="00BD77D8" w:rsidRDefault="003B1765" w:rsidP="00930393">
      <w:pPr>
        <w:pStyle w:val="ListBullet"/>
        <w:spacing w:after="240" w:line="240" w:lineRule="auto"/>
        <w:ind w:left="357" w:hanging="357"/>
        <w:rPr>
          <w:rFonts w:eastAsia="Calibri"/>
          <w:lang w:val="en-US" w:eastAsia="en-US"/>
        </w:rPr>
      </w:pPr>
      <w:r w:rsidRPr="00BD77D8">
        <w:rPr>
          <w:rFonts w:eastAsia="Calibri"/>
          <w:lang w:val="en-US" w:eastAsia="en-US"/>
        </w:rPr>
        <w:t>Palm Island Memorial</w:t>
      </w:r>
      <w:r w:rsidR="00707699" w:rsidRPr="00BD77D8">
        <w:rPr>
          <w:rFonts w:eastAsia="Calibri"/>
          <w:lang w:val="en-US" w:eastAsia="en-US"/>
        </w:rPr>
        <w:t>:</w:t>
      </w:r>
      <w:r w:rsidRPr="00BD77D8">
        <w:rPr>
          <w:rFonts w:eastAsia="Calibri"/>
          <w:lang w:val="en-US" w:eastAsia="en-US"/>
        </w:rPr>
        <w:t xml:space="preserve"> completed. </w:t>
      </w:r>
    </w:p>
    <w:p w14:paraId="6DB29D9E" w14:textId="77777777" w:rsidR="003B1765" w:rsidRPr="00BD77D8" w:rsidRDefault="003B1765" w:rsidP="00930393">
      <w:pPr>
        <w:spacing w:after="120"/>
        <w:rPr>
          <w:rFonts w:eastAsia="Calibri"/>
          <w:lang w:val="en-US" w:eastAsia="en-US"/>
        </w:rPr>
      </w:pPr>
      <w:r w:rsidRPr="00BD77D8">
        <w:rPr>
          <w:rFonts w:eastAsia="Calibri"/>
          <w:lang w:val="en-US" w:eastAsia="en-US"/>
        </w:rPr>
        <w:t>Ongoing projects in this period included:</w:t>
      </w:r>
    </w:p>
    <w:p w14:paraId="78559C60" w14:textId="77777777" w:rsidR="003B1765" w:rsidRPr="00BD77D8" w:rsidRDefault="003B1765" w:rsidP="009362D1">
      <w:pPr>
        <w:pStyle w:val="ListBullet"/>
        <w:tabs>
          <w:tab w:val="clear" w:pos="360"/>
          <w:tab w:val="num" w:pos="644"/>
        </w:tabs>
        <w:ind w:left="644"/>
        <w:rPr>
          <w:rFonts w:eastAsia="Calibri"/>
          <w:lang w:val="en-US" w:eastAsia="en-US"/>
        </w:rPr>
      </w:pPr>
      <w:r w:rsidRPr="00BD77D8">
        <w:rPr>
          <w:rFonts w:eastAsia="Calibri"/>
          <w:lang w:val="en-US" w:eastAsia="en-US"/>
        </w:rPr>
        <w:t xml:space="preserve">Petford Reserve infrastructure and associated upgrades to bring it to a safe and habitable state  </w:t>
      </w:r>
    </w:p>
    <w:p w14:paraId="075D07E3" w14:textId="77777777" w:rsidR="003B1765" w:rsidRPr="00BD77D8" w:rsidRDefault="003B1765" w:rsidP="003B1765">
      <w:pPr>
        <w:pStyle w:val="ListBullet"/>
        <w:tabs>
          <w:tab w:val="clear" w:pos="360"/>
          <w:tab w:val="num" w:pos="644"/>
        </w:tabs>
        <w:ind w:left="644"/>
        <w:rPr>
          <w:rFonts w:eastAsia="Calibri"/>
          <w:lang w:val="en-US" w:eastAsia="en-US"/>
        </w:rPr>
      </w:pPr>
      <w:r w:rsidRPr="00BD77D8">
        <w:rPr>
          <w:rFonts w:eastAsia="Calibri"/>
          <w:lang w:val="en-US" w:eastAsia="en-US"/>
        </w:rPr>
        <w:t xml:space="preserve">Mona </w:t>
      </w:r>
      <w:proofErr w:type="spellStart"/>
      <w:r w:rsidRPr="00BD77D8">
        <w:rPr>
          <w:rFonts w:eastAsia="Calibri"/>
          <w:lang w:val="en-US" w:eastAsia="en-US"/>
        </w:rPr>
        <w:t>Mona</w:t>
      </w:r>
      <w:proofErr w:type="spellEnd"/>
      <w:r w:rsidRPr="00BD77D8">
        <w:rPr>
          <w:rFonts w:eastAsia="Calibri"/>
          <w:lang w:val="en-US" w:eastAsia="en-US"/>
        </w:rPr>
        <w:t xml:space="preserve"> Reserve wastewater, water and health and safety upgrades</w:t>
      </w:r>
      <w:bookmarkEnd w:id="222"/>
      <w:r w:rsidRPr="00BD77D8">
        <w:rPr>
          <w:rFonts w:eastAsia="Calibri"/>
          <w:lang w:val="en-US" w:eastAsia="en-US"/>
        </w:rPr>
        <w:t>.</w:t>
      </w:r>
    </w:p>
    <w:p w14:paraId="2FF8C80F" w14:textId="3101917A" w:rsidR="004E197D" w:rsidRPr="00BD77D8" w:rsidRDefault="004E197D" w:rsidP="007524AB">
      <w:pPr>
        <w:pStyle w:val="Heading3"/>
      </w:pPr>
      <w:bookmarkStart w:id="223" w:name="_Toc67046690"/>
      <w:bookmarkStart w:id="224" w:name="_Toc78287383"/>
      <w:bookmarkStart w:id="225" w:name="_Toc78355790"/>
      <w:bookmarkStart w:id="226" w:name="_Hlk112838207"/>
      <w:r w:rsidRPr="00BD77D8">
        <w:t>Employment opportunities</w:t>
      </w:r>
      <w:r w:rsidR="004633EF" w:rsidRPr="00BD77D8">
        <w:t>—</w:t>
      </w:r>
      <w:r w:rsidRPr="00BD77D8">
        <w:t>infrastructure projects within the remote and discrete communities</w:t>
      </w:r>
      <w:bookmarkEnd w:id="223"/>
      <w:bookmarkEnd w:id="224"/>
      <w:bookmarkEnd w:id="225"/>
      <w:r w:rsidRPr="00BD77D8">
        <w:t xml:space="preserve"> </w:t>
      </w:r>
    </w:p>
    <w:bookmarkEnd w:id="226"/>
    <w:p w14:paraId="761FAB8E" w14:textId="7D4FE3DC" w:rsidR="004E197D" w:rsidRPr="00BD77D8" w:rsidRDefault="004E197D" w:rsidP="007744C2">
      <w:pPr>
        <w:rPr>
          <w:rFonts w:eastAsia="Calibri"/>
          <w:lang w:val="en-US" w:eastAsia="en-US"/>
        </w:rPr>
      </w:pPr>
      <w:r w:rsidRPr="00BD77D8">
        <w:rPr>
          <w:rFonts w:eastAsia="Calibri"/>
          <w:lang w:val="en-US" w:eastAsia="en-US"/>
        </w:rPr>
        <w:t>Increases in employment and business opportunities for Aboriginal and Torres Strait Islander Queenslanders were achieved by leveraging the procurement associated with civil, building and construction projects, th</w:t>
      </w:r>
      <w:r w:rsidR="00ED2F79" w:rsidRPr="00BD77D8">
        <w:rPr>
          <w:rFonts w:eastAsia="Calibri"/>
          <w:lang w:val="en-US" w:eastAsia="en-US"/>
        </w:rPr>
        <w:t>r</w:t>
      </w:r>
      <w:r w:rsidRPr="00BD77D8">
        <w:rPr>
          <w:rFonts w:eastAsia="Calibri"/>
          <w:lang w:val="en-US" w:eastAsia="en-US"/>
        </w:rPr>
        <w:t>ough effective negotiations for Aboriginal and Torres Strait Islander economic opportunities within the remote and discrete communities.</w:t>
      </w:r>
    </w:p>
    <w:p w14:paraId="38056B0F" w14:textId="68043325" w:rsidR="004E197D" w:rsidRPr="00BD77D8" w:rsidRDefault="00BA691A" w:rsidP="00AF1866">
      <w:pPr>
        <w:spacing w:after="120" w:line="240" w:lineRule="auto"/>
        <w:rPr>
          <w:rFonts w:eastAsia="Calibri"/>
          <w:lang w:val="en-US" w:eastAsia="en-US"/>
        </w:rPr>
      </w:pPr>
      <w:bookmarkStart w:id="227" w:name="_Hlk112838194"/>
      <w:r w:rsidRPr="00BD77D8">
        <w:rPr>
          <w:b/>
          <w:bCs/>
        </w:rPr>
        <w:br w:type="column"/>
      </w:r>
      <w:r w:rsidR="004E197D" w:rsidRPr="00BD77D8">
        <w:rPr>
          <w:b/>
          <w:bCs/>
        </w:rPr>
        <w:lastRenderedPageBreak/>
        <w:t>Key achievements</w:t>
      </w:r>
    </w:p>
    <w:p w14:paraId="42E8FDAF" w14:textId="1189FD72" w:rsidR="004E197D" w:rsidRPr="00BD77D8" w:rsidRDefault="00326C8A" w:rsidP="00AF1866">
      <w:pPr>
        <w:spacing w:after="120" w:line="240" w:lineRule="auto"/>
        <w:rPr>
          <w:rFonts w:eastAsia="Calibri"/>
          <w:lang w:val="en-US" w:eastAsia="en-US"/>
        </w:rPr>
      </w:pPr>
      <w:r w:rsidRPr="00BD77D8">
        <w:rPr>
          <w:rFonts w:eastAsia="Calibri"/>
          <w:lang w:val="en-US" w:eastAsia="en-US"/>
        </w:rPr>
        <w:t>During the reporting period</w:t>
      </w:r>
      <w:r w:rsidR="002611FF" w:rsidRPr="00BD77D8">
        <w:rPr>
          <w:rFonts w:eastAsia="Calibri"/>
          <w:lang w:val="en-US" w:eastAsia="en-US"/>
        </w:rPr>
        <w:t>,</w:t>
      </w:r>
      <w:r w:rsidRPr="00BD77D8">
        <w:rPr>
          <w:rFonts w:eastAsia="Calibri"/>
          <w:lang w:val="en-US" w:eastAsia="en-US"/>
        </w:rPr>
        <w:t xml:space="preserve"> the department f</w:t>
      </w:r>
      <w:r w:rsidR="004E197D" w:rsidRPr="00BD77D8">
        <w:rPr>
          <w:rFonts w:eastAsia="Calibri"/>
          <w:lang w:val="en-US" w:eastAsia="en-US"/>
        </w:rPr>
        <w:t>acilitate</w:t>
      </w:r>
      <w:r w:rsidRPr="00BD77D8">
        <w:rPr>
          <w:rFonts w:eastAsia="Calibri"/>
          <w:lang w:val="en-US" w:eastAsia="en-US"/>
        </w:rPr>
        <w:t>d</w:t>
      </w:r>
      <w:r w:rsidR="004E197D" w:rsidRPr="00BD77D8">
        <w:rPr>
          <w:rFonts w:eastAsia="Calibri"/>
          <w:lang w:val="en-US" w:eastAsia="en-US"/>
        </w:rPr>
        <w:t xml:space="preserve"> the following employment and business outcomes: </w:t>
      </w:r>
    </w:p>
    <w:p w14:paraId="7F58F73D" w14:textId="2DBC87F1" w:rsidR="004E197D" w:rsidRPr="00BD77D8" w:rsidRDefault="00AA319A" w:rsidP="004419C8">
      <w:pPr>
        <w:pStyle w:val="ListBullet"/>
        <w:tabs>
          <w:tab w:val="clear" w:pos="360"/>
          <w:tab w:val="num" w:pos="644"/>
        </w:tabs>
        <w:ind w:left="644"/>
        <w:rPr>
          <w:rFonts w:eastAsia="Calibri"/>
        </w:rPr>
      </w:pPr>
      <w:r w:rsidRPr="00BD77D8">
        <w:rPr>
          <w:rFonts w:eastAsia="Calibri"/>
        </w:rPr>
        <w:t>232</w:t>
      </w:r>
      <w:r w:rsidR="004E197D" w:rsidRPr="00BD77D8">
        <w:rPr>
          <w:rFonts w:eastAsia="Calibri"/>
        </w:rPr>
        <w:t xml:space="preserve"> job placements for Aboriginal </w:t>
      </w:r>
      <w:r w:rsidR="004C7FBB" w:rsidRPr="00BD77D8">
        <w:rPr>
          <w:rFonts w:eastAsia="Calibri"/>
        </w:rPr>
        <w:t xml:space="preserve">peoples </w:t>
      </w:r>
      <w:r w:rsidR="004E197D" w:rsidRPr="00BD77D8">
        <w:rPr>
          <w:rFonts w:eastAsia="Calibri"/>
        </w:rPr>
        <w:t xml:space="preserve">and Torres Strait Islander peoples on </w:t>
      </w:r>
      <w:r w:rsidR="004E197D" w:rsidRPr="00BD77D8">
        <w:rPr>
          <w:rFonts w:eastAsia="Calibri"/>
          <w:i/>
          <w:iCs/>
        </w:rPr>
        <w:t>Queensland Government Building and Construction Training Policy</w:t>
      </w:r>
      <w:r w:rsidR="004E197D" w:rsidRPr="00BD77D8">
        <w:rPr>
          <w:rFonts w:eastAsia="Calibri"/>
        </w:rPr>
        <w:t xml:space="preserve"> eligible projects constructed within the remote and discrete Aboriginal and Torres Strait Islander communities</w:t>
      </w:r>
      <w:r w:rsidR="00606E46" w:rsidRPr="00BD77D8">
        <w:rPr>
          <w:rFonts w:eastAsia="Calibri"/>
        </w:rPr>
        <w:t xml:space="preserve"> </w:t>
      </w:r>
    </w:p>
    <w:p w14:paraId="1311E91B" w14:textId="35B1F2A5" w:rsidR="004E197D" w:rsidRPr="00BD77D8" w:rsidRDefault="00AA319A" w:rsidP="004419C8">
      <w:pPr>
        <w:pStyle w:val="ListBullet"/>
        <w:tabs>
          <w:tab w:val="clear" w:pos="360"/>
          <w:tab w:val="num" w:pos="644"/>
        </w:tabs>
        <w:ind w:left="644"/>
        <w:rPr>
          <w:rFonts w:eastAsia="Calibri"/>
        </w:rPr>
      </w:pPr>
      <w:r w:rsidRPr="00BD77D8">
        <w:rPr>
          <w:rFonts w:eastAsia="Calibri"/>
        </w:rPr>
        <w:t>48</w:t>
      </w:r>
      <w:r w:rsidR="004E197D" w:rsidRPr="00BD77D8">
        <w:rPr>
          <w:rFonts w:eastAsia="Calibri"/>
        </w:rPr>
        <w:t xml:space="preserve"> Aboriginal </w:t>
      </w:r>
      <w:r w:rsidR="004C7FBB" w:rsidRPr="00BD77D8">
        <w:rPr>
          <w:rFonts w:eastAsia="Calibri"/>
        </w:rPr>
        <w:t xml:space="preserve">peoples </w:t>
      </w:r>
      <w:r w:rsidR="004E197D" w:rsidRPr="00BD77D8">
        <w:rPr>
          <w:rFonts w:eastAsia="Calibri"/>
        </w:rPr>
        <w:t>and Torres Strait Islander peoples engaged as either an apprentice or trainee</w:t>
      </w:r>
      <w:r w:rsidR="000933CC" w:rsidRPr="00BD77D8">
        <w:rPr>
          <w:rFonts w:eastAsia="Calibri"/>
        </w:rPr>
        <w:t>.</w:t>
      </w:r>
      <w:r w:rsidR="00606E46" w:rsidRPr="00BD77D8">
        <w:rPr>
          <w:rFonts w:eastAsia="Calibri"/>
        </w:rPr>
        <w:t xml:space="preserve"> </w:t>
      </w:r>
    </w:p>
    <w:p w14:paraId="312873B9" w14:textId="55D912F6" w:rsidR="004E197D" w:rsidRPr="00BD77D8" w:rsidRDefault="004E197D" w:rsidP="007524AB">
      <w:pPr>
        <w:pStyle w:val="Heading3"/>
      </w:pPr>
      <w:bookmarkStart w:id="228" w:name="_Toc67046691"/>
      <w:bookmarkStart w:id="229" w:name="_Toc78287384"/>
      <w:bookmarkStart w:id="230" w:name="_Toc78355791"/>
      <w:bookmarkStart w:id="231" w:name="_Hlk112838241"/>
      <w:bookmarkEnd w:id="227"/>
      <w:r w:rsidRPr="00BD77D8">
        <w:t>Employment opportunities</w:t>
      </w:r>
      <w:r w:rsidR="004633EF" w:rsidRPr="00BD77D8">
        <w:t>—</w:t>
      </w:r>
      <w:r w:rsidRPr="00BD77D8">
        <w:t>infrastructure projects outside the remote and discrete communities</w:t>
      </w:r>
      <w:bookmarkEnd w:id="228"/>
      <w:bookmarkEnd w:id="229"/>
      <w:bookmarkEnd w:id="230"/>
    </w:p>
    <w:bookmarkEnd w:id="231"/>
    <w:p w14:paraId="77EC3B8C" w14:textId="3D732DF3" w:rsidR="004E197D" w:rsidRPr="00BD77D8" w:rsidRDefault="004E197D" w:rsidP="007744C2">
      <w:pPr>
        <w:rPr>
          <w:rFonts w:eastAsia="Calibri"/>
          <w:lang w:val="en-US" w:eastAsia="en-US"/>
        </w:rPr>
      </w:pPr>
      <w:r w:rsidRPr="00BD77D8">
        <w:rPr>
          <w:rFonts w:eastAsia="Calibri"/>
          <w:lang w:val="en-US" w:eastAsia="en-US"/>
        </w:rPr>
        <w:t>Increases in employment, training and business opportunities for Aboriginal and Torres Strait Islander Queenslanders were achieved by leveraging the procurement associated with Queensland Government building and civil construction projects</w:t>
      </w:r>
      <w:r w:rsidR="00606E46" w:rsidRPr="00BD77D8">
        <w:rPr>
          <w:rFonts w:eastAsia="Calibri"/>
          <w:lang w:val="en-US" w:eastAsia="en-US"/>
        </w:rPr>
        <w:t xml:space="preserve">, </w:t>
      </w:r>
      <w:r w:rsidRPr="00BD77D8">
        <w:rPr>
          <w:rFonts w:eastAsia="Calibri"/>
          <w:lang w:val="en-US" w:eastAsia="en-US"/>
        </w:rPr>
        <w:t>outside the remote and discrete Aboriginal and Torres Strait Islander communities, through effective negotiations for Aboriginal and Torres Strait Islander economic opportunities.</w:t>
      </w:r>
    </w:p>
    <w:p w14:paraId="06B69FAB" w14:textId="7F78424D" w:rsidR="00861AB3" w:rsidRPr="00BD77D8" w:rsidRDefault="00861AB3" w:rsidP="007744C2">
      <w:pPr>
        <w:rPr>
          <w:rFonts w:eastAsia="Calibri"/>
          <w:lang w:val="en-US" w:eastAsia="en-US"/>
        </w:rPr>
      </w:pPr>
      <w:r w:rsidRPr="00BD77D8">
        <w:rPr>
          <w:rFonts w:eastAsia="Calibri"/>
          <w:lang w:val="en-US" w:eastAsia="en-US"/>
        </w:rPr>
        <w:t xml:space="preserve">Job outcomes </w:t>
      </w:r>
      <w:r w:rsidR="006B3DFA" w:rsidRPr="00BD77D8">
        <w:rPr>
          <w:rFonts w:eastAsia="Calibri"/>
          <w:lang w:val="en-US" w:eastAsia="en-US"/>
        </w:rPr>
        <w:t>were</w:t>
      </w:r>
      <w:r w:rsidRPr="00BD77D8">
        <w:rPr>
          <w:rFonts w:eastAsia="Calibri"/>
          <w:lang w:val="en-US" w:eastAsia="en-US"/>
        </w:rPr>
        <w:t xml:space="preserve"> achieved by facilitating compliant Indigenous Employment Opportunity Plans for eligible projects with procuring agencies and </w:t>
      </w:r>
      <w:r w:rsidR="00B94EE7" w:rsidRPr="00BD77D8">
        <w:rPr>
          <w:rFonts w:eastAsia="Calibri"/>
          <w:lang w:val="en-US" w:eastAsia="en-US"/>
        </w:rPr>
        <w:t>principal</w:t>
      </w:r>
      <w:r w:rsidRPr="00BD77D8">
        <w:rPr>
          <w:rFonts w:eastAsia="Calibri"/>
          <w:lang w:val="en-US" w:eastAsia="en-US"/>
        </w:rPr>
        <w:t xml:space="preserve"> contractors</w:t>
      </w:r>
      <w:r w:rsidR="006B3DFA" w:rsidRPr="00BD77D8">
        <w:rPr>
          <w:rFonts w:eastAsia="Calibri"/>
          <w:lang w:val="en-US" w:eastAsia="en-US"/>
        </w:rPr>
        <w:t>;</w:t>
      </w:r>
      <w:r w:rsidRPr="00BD77D8">
        <w:rPr>
          <w:rFonts w:eastAsia="Calibri"/>
          <w:lang w:val="en-US" w:eastAsia="en-US"/>
        </w:rPr>
        <w:t xml:space="preserve"> monitoring the employment and business supply outcomes during construction</w:t>
      </w:r>
      <w:r w:rsidR="006B3DFA" w:rsidRPr="00BD77D8">
        <w:rPr>
          <w:rFonts w:eastAsia="Calibri"/>
          <w:lang w:val="en-US" w:eastAsia="en-US"/>
        </w:rPr>
        <w:t>;</w:t>
      </w:r>
      <w:r w:rsidRPr="00BD77D8">
        <w:rPr>
          <w:rFonts w:eastAsia="Calibri"/>
          <w:lang w:val="en-US" w:eastAsia="en-US"/>
        </w:rPr>
        <w:t xml:space="preserve"> and ensuring that outcomes </w:t>
      </w:r>
      <w:r w:rsidR="006B3DFA" w:rsidRPr="00BD77D8">
        <w:rPr>
          <w:rFonts w:eastAsia="Calibri"/>
          <w:lang w:val="en-US" w:eastAsia="en-US"/>
        </w:rPr>
        <w:t>achieved were</w:t>
      </w:r>
      <w:r w:rsidRPr="00BD77D8">
        <w:rPr>
          <w:rFonts w:eastAsia="Calibri"/>
          <w:lang w:val="en-US" w:eastAsia="en-US"/>
        </w:rPr>
        <w:t xml:space="preserve"> uploaded by the </w:t>
      </w:r>
      <w:r w:rsidR="00B94EE7" w:rsidRPr="00BD77D8">
        <w:rPr>
          <w:rFonts w:eastAsia="Calibri"/>
          <w:lang w:val="en-US" w:eastAsia="en-US"/>
        </w:rPr>
        <w:t>principal</w:t>
      </w:r>
      <w:r w:rsidRPr="00BD77D8">
        <w:rPr>
          <w:rFonts w:eastAsia="Calibri"/>
          <w:lang w:val="en-US" w:eastAsia="en-US"/>
        </w:rPr>
        <w:t xml:space="preserve"> contractor on the Training Policy Administration System.</w:t>
      </w:r>
    </w:p>
    <w:p w14:paraId="3CB564AB" w14:textId="2E958CC6" w:rsidR="004E197D" w:rsidRPr="00BD77D8" w:rsidRDefault="004E197D" w:rsidP="00AF1866">
      <w:pPr>
        <w:spacing w:after="120" w:line="240" w:lineRule="auto"/>
        <w:rPr>
          <w:b/>
          <w:bCs/>
        </w:rPr>
      </w:pPr>
      <w:bookmarkStart w:id="232" w:name="_Hlk112838228"/>
      <w:r w:rsidRPr="00BD77D8">
        <w:rPr>
          <w:b/>
          <w:bCs/>
        </w:rPr>
        <w:t>Key achievements</w:t>
      </w:r>
    </w:p>
    <w:p w14:paraId="15E3C2E0" w14:textId="2DF84D43" w:rsidR="004E197D" w:rsidRPr="00BD77D8" w:rsidRDefault="008270B6" w:rsidP="00AF1866">
      <w:pPr>
        <w:spacing w:after="120" w:line="240" w:lineRule="auto"/>
        <w:rPr>
          <w:lang w:eastAsia="en-US"/>
        </w:rPr>
      </w:pPr>
      <w:r w:rsidRPr="00BD77D8">
        <w:rPr>
          <w:lang w:eastAsia="en-US"/>
        </w:rPr>
        <w:t>During the reporting period, t</w:t>
      </w:r>
      <w:r w:rsidR="004E197D" w:rsidRPr="00BD77D8">
        <w:rPr>
          <w:lang w:eastAsia="en-US"/>
        </w:rPr>
        <w:t>he following employment and business outcomes were reported from completed projects outside the remote and discrete Aboriginal and Torres Strait Islander communities:</w:t>
      </w:r>
      <w:r w:rsidR="006B3DFA" w:rsidRPr="00BD77D8">
        <w:rPr>
          <w:lang w:eastAsia="en-US"/>
        </w:rPr>
        <w:t xml:space="preserve"> </w:t>
      </w:r>
    </w:p>
    <w:p w14:paraId="3C26362C" w14:textId="6493D88E" w:rsidR="00D93770" w:rsidRPr="00BD77D8" w:rsidRDefault="00D93770" w:rsidP="004419C8">
      <w:pPr>
        <w:pStyle w:val="ListBullet"/>
        <w:tabs>
          <w:tab w:val="clear" w:pos="360"/>
          <w:tab w:val="num" w:pos="644"/>
        </w:tabs>
        <w:ind w:left="644"/>
        <w:rPr>
          <w:rFonts w:eastAsia="Calibri"/>
        </w:rPr>
      </w:pPr>
      <w:r w:rsidRPr="00BD77D8">
        <w:rPr>
          <w:rFonts w:eastAsia="Calibri"/>
        </w:rPr>
        <w:t>299,931 hours of work or training opportunities for 994 Aboriginal</w:t>
      </w:r>
      <w:r w:rsidR="004C7FBB" w:rsidRPr="00BD77D8">
        <w:rPr>
          <w:rFonts w:eastAsia="Calibri"/>
        </w:rPr>
        <w:t xml:space="preserve"> peoples</w:t>
      </w:r>
      <w:r w:rsidRPr="00BD77D8">
        <w:rPr>
          <w:rFonts w:eastAsia="Calibri"/>
        </w:rPr>
        <w:t xml:space="preserve"> and Torres Strait Islander people</w:t>
      </w:r>
      <w:r w:rsidR="006B3DFA" w:rsidRPr="00BD77D8">
        <w:rPr>
          <w:rFonts w:eastAsia="Calibri"/>
        </w:rPr>
        <w:t>s</w:t>
      </w:r>
      <w:r w:rsidRPr="00BD77D8">
        <w:rPr>
          <w:rFonts w:eastAsia="Calibri"/>
        </w:rPr>
        <w:t xml:space="preserve"> </w:t>
      </w:r>
    </w:p>
    <w:p w14:paraId="20F8F97F" w14:textId="77777777" w:rsidR="00D93770" w:rsidRPr="00BD77D8" w:rsidRDefault="00D93770" w:rsidP="004419C8">
      <w:pPr>
        <w:pStyle w:val="ListBullet"/>
        <w:tabs>
          <w:tab w:val="clear" w:pos="360"/>
          <w:tab w:val="num" w:pos="644"/>
        </w:tabs>
        <w:ind w:left="644"/>
        <w:rPr>
          <w:rFonts w:eastAsia="Calibri"/>
        </w:rPr>
      </w:pPr>
      <w:r w:rsidRPr="00BD77D8">
        <w:rPr>
          <w:rFonts w:eastAsia="Calibri"/>
        </w:rPr>
        <w:t xml:space="preserve">36,137 hours of accredited training for 119 Aboriginal and Torres Strait Islander workers </w:t>
      </w:r>
    </w:p>
    <w:p w14:paraId="1E2C1366" w14:textId="1D57C3C7" w:rsidR="004E197D" w:rsidRPr="00BD77D8" w:rsidRDefault="004E197D" w:rsidP="004419C8">
      <w:pPr>
        <w:pStyle w:val="ListBullet"/>
        <w:tabs>
          <w:tab w:val="clear" w:pos="360"/>
          <w:tab w:val="num" w:pos="644"/>
        </w:tabs>
        <w:ind w:left="644"/>
        <w:rPr>
          <w:rFonts w:eastAsia="Calibri"/>
        </w:rPr>
      </w:pPr>
      <w:r w:rsidRPr="00BD77D8">
        <w:rPr>
          <w:rFonts w:eastAsia="Calibri"/>
        </w:rPr>
        <w:t>over $</w:t>
      </w:r>
      <w:r w:rsidR="009A7619" w:rsidRPr="00BD77D8">
        <w:rPr>
          <w:rFonts w:eastAsia="Calibri"/>
        </w:rPr>
        <w:t>2.87</w:t>
      </w:r>
      <w:r w:rsidR="00431A0E" w:rsidRPr="00BD77D8">
        <w:rPr>
          <w:rFonts w:eastAsia="Calibri"/>
        </w:rPr>
        <w:t xml:space="preserve"> million</w:t>
      </w:r>
      <w:r w:rsidRPr="00BD77D8">
        <w:rPr>
          <w:rFonts w:eastAsia="Calibri"/>
        </w:rPr>
        <w:t xml:space="preserve"> worth of contracts awarded to Aboriginal and Torres Strait Islander owned businesses</w:t>
      </w:r>
      <w:r w:rsidR="000933CC" w:rsidRPr="00BD77D8">
        <w:rPr>
          <w:rFonts w:eastAsia="Calibri"/>
        </w:rPr>
        <w:t>.</w:t>
      </w:r>
      <w:r w:rsidR="001662AA" w:rsidRPr="00BD77D8">
        <w:rPr>
          <w:rFonts w:eastAsia="Calibri"/>
        </w:rPr>
        <w:t xml:space="preserve"> </w:t>
      </w:r>
    </w:p>
    <w:p w14:paraId="1BF0EBED" w14:textId="3CB1BF62" w:rsidR="004E197D" w:rsidRPr="00BD77D8" w:rsidRDefault="004E197D" w:rsidP="007524AB">
      <w:pPr>
        <w:pStyle w:val="Heading3"/>
        <w:rPr>
          <w:sz w:val="20"/>
          <w:szCs w:val="20"/>
        </w:rPr>
      </w:pPr>
      <w:bookmarkStart w:id="233" w:name="_Toc67046692"/>
      <w:bookmarkStart w:id="234" w:name="_Toc78287385"/>
      <w:bookmarkStart w:id="235" w:name="_Toc78355792"/>
      <w:bookmarkEnd w:id="232"/>
      <w:r w:rsidRPr="00BD77D8">
        <w:t>Working in partnership</w:t>
      </w:r>
      <w:bookmarkEnd w:id="233"/>
      <w:bookmarkEnd w:id="234"/>
      <w:bookmarkEnd w:id="235"/>
      <w:r w:rsidR="006B3DFA" w:rsidRPr="00BD77D8">
        <w:t xml:space="preserve"> </w:t>
      </w:r>
    </w:p>
    <w:p w14:paraId="04979B99" w14:textId="19289321" w:rsidR="004E197D" w:rsidRPr="00BD77D8" w:rsidRDefault="004E197D" w:rsidP="007744C2">
      <w:pPr>
        <w:rPr>
          <w:rFonts w:eastAsia="Calibri"/>
          <w:w w:val="105"/>
          <w:lang w:val="en-US" w:eastAsia="en-US"/>
        </w:rPr>
      </w:pPr>
      <w:r w:rsidRPr="00BD77D8">
        <w:rPr>
          <w:rFonts w:eastAsia="Calibri"/>
          <w:w w:val="105"/>
          <w:lang w:val="en-US" w:eastAsia="en-US"/>
        </w:rPr>
        <w:t xml:space="preserve">The department is committed to brokering education, training and employment opportunities for Aboriginal and Torres Strait Islander Queenslanders. </w:t>
      </w:r>
    </w:p>
    <w:p w14:paraId="4738EE69" w14:textId="5682DB28" w:rsidR="004E197D" w:rsidRPr="00BD77D8" w:rsidRDefault="004E197D" w:rsidP="00AF1866">
      <w:pPr>
        <w:spacing w:after="120" w:line="240" w:lineRule="auto"/>
        <w:rPr>
          <w:b/>
          <w:bCs/>
        </w:rPr>
      </w:pPr>
      <w:r w:rsidRPr="00BD77D8">
        <w:rPr>
          <w:b/>
          <w:bCs/>
        </w:rPr>
        <w:t>Key achievements</w:t>
      </w:r>
    </w:p>
    <w:p w14:paraId="2D528890" w14:textId="77777777" w:rsidR="00956006" w:rsidRPr="00BD77D8" w:rsidRDefault="00D67523" w:rsidP="00AF1866">
      <w:pPr>
        <w:spacing w:after="120" w:line="240" w:lineRule="auto"/>
        <w:rPr>
          <w:rFonts w:eastAsia="Calibri"/>
          <w:w w:val="105"/>
          <w:lang w:val="en-US" w:eastAsia="en-US"/>
        </w:rPr>
      </w:pPr>
      <w:r w:rsidRPr="00BD77D8">
        <w:rPr>
          <w:rFonts w:eastAsia="Calibri"/>
          <w:w w:val="105"/>
          <w:lang w:val="en-US" w:eastAsia="en-US"/>
        </w:rPr>
        <w:t>During the reporting period, t</w:t>
      </w:r>
      <w:r w:rsidR="004E197D" w:rsidRPr="00BD77D8">
        <w:rPr>
          <w:rFonts w:eastAsia="Calibri"/>
          <w:w w:val="105"/>
          <w:lang w:val="en-US" w:eastAsia="en-US"/>
        </w:rPr>
        <w:t>he department</w:t>
      </w:r>
      <w:r w:rsidR="00956006" w:rsidRPr="00BD77D8">
        <w:rPr>
          <w:rFonts w:eastAsia="Calibri"/>
          <w:w w:val="105"/>
          <w:lang w:val="en-US" w:eastAsia="en-US"/>
        </w:rPr>
        <w:t>:</w:t>
      </w:r>
    </w:p>
    <w:p w14:paraId="4C0BE0FD" w14:textId="24F78AAB" w:rsidR="004E197D" w:rsidRPr="00BD77D8" w:rsidRDefault="004E197D" w:rsidP="00F92945">
      <w:pPr>
        <w:pStyle w:val="ListBullet"/>
        <w:spacing w:line="240" w:lineRule="auto"/>
        <w:ind w:left="357" w:hanging="357"/>
        <w:rPr>
          <w:rFonts w:eastAsia="Calibri"/>
        </w:rPr>
      </w:pPr>
      <w:r w:rsidRPr="00BD77D8">
        <w:rPr>
          <w:rFonts w:eastAsia="Calibri"/>
        </w:rPr>
        <w:t>worked collaboratively with</w:t>
      </w:r>
      <w:r w:rsidR="00606E46" w:rsidRPr="00BD77D8">
        <w:rPr>
          <w:rFonts w:eastAsia="Calibri"/>
        </w:rPr>
        <w:t xml:space="preserve"> the following</w:t>
      </w:r>
      <w:r w:rsidRPr="00BD77D8">
        <w:rPr>
          <w:rFonts w:eastAsia="Calibri"/>
        </w:rPr>
        <w:t xml:space="preserve"> industry partners to deliver activities aimed at increasing Aboriginal and Torres Strait Islander economic participation:</w:t>
      </w:r>
    </w:p>
    <w:p w14:paraId="05CEA02C" w14:textId="77777777" w:rsidR="00B56794" w:rsidRPr="00BD77D8" w:rsidRDefault="00B56794" w:rsidP="007625C3">
      <w:pPr>
        <w:pStyle w:val="ListBullet2"/>
        <w:numPr>
          <w:ilvl w:val="0"/>
          <w:numId w:val="12"/>
        </w:numPr>
        <w:rPr>
          <w:rFonts w:eastAsia="Calibri"/>
        </w:rPr>
      </w:pPr>
      <w:bookmarkStart w:id="236" w:name="_Toc67046693"/>
      <w:r w:rsidRPr="00BD77D8">
        <w:rPr>
          <w:rFonts w:eastAsia="Calibri"/>
        </w:rPr>
        <w:t>Australian Unity</w:t>
      </w:r>
    </w:p>
    <w:p w14:paraId="54DDFFB0" w14:textId="6BB12468" w:rsidR="009362D1" w:rsidRPr="00BD77D8" w:rsidRDefault="009362D1" w:rsidP="007625C3">
      <w:pPr>
        <w:pStyle w:val="ListBullet2"/>
        <w:numPr>
          <w:ilvl w:val="0"/>
          <w:numId w:val="12"/>
        </w:numPr>
        <w:rPr>
          <w:rFonts w:eastAsia="Calibri"/>
        </w:rPr>
      </w:pPr>
      <w:r w:rsidRPr="00BD77D8">
        <w:rPr>
          <w:rFonts w:eastAsia="Calibri"/>
        </w:rPr>
        <w:t>Clontarf Academy</w:t>
      </w:r>
    </w:p>
    <w:p w14:paraId="63A6D64B" w14:textId="77777777" w:rsidR="009362D1" w:rsidRPr="00BD77D8" w:rsidRDefault="009362D1" w:rsidP="007625C3">
      <w:pPr>
        <w:pStyle w:val="ListBullet2"/>
        <w:numPr>
          <w:ilvl w:val="0"/>
          <w:numId w:val="12"/>
        </w:numPr>
        <w:rPr>
          <w:rFonts w:eastAsia="Calibri"/>
        </w:rPr>
      </w:pPr>
      <w:r w:rsidRPr="00BD77D8">
        <w:rPr>
          <w:rFonts w:eastAsia="Calibri"/>
        </w:rPr>
        <w:t xml:space="preserve">Community Development providers </w:t>
      </w:r>
    </w:p>
    <w:p w14:paraId="1277D430" w14:textId="77777777" w:rsidR="009362D1" w:rsidRPr="00BD77D8" w:rsidRDefault="009362D1" w:rsidP="007625C3">
      <w:pPr>
        <w:pStyle w:val="ListBullet2"/>
        <w:numPr>
          <w:ilvl w:val="0"/>
          <w:numId w:val="12"/>
        </w:numPr>
        <w:rPr>
          <w:rFonts w:eastAsia="Calibri"/>
        </w:rPr>
      </w:pPr>
      <w:r w:rsidRPr="00BD77D8">
        <w:rPr>
          <w:rFonts w:eastAsia="Calibri"/>
        </w:rPr>
        <w:t>Construction Skills Queensland</w:t>
      </w:r>
    </w:p>
    <w:p w14:paraId="4992E00E" w14:textId="212C806B" w:rsidR="00B56794" w:rsidRPr="00BD77D8" w:rsidRDefault="00B56794" w:rsidP="007625C3">
      <w:pPr>
        <w:pStyle w:val="ListBullet2"/>
        <w:numPr>
          <w:ilvl w:val="0"/>
          <w:numId w:val="12"/>
        </w:numPr>
        <w:rPr>
          <w:rFonts w:eastAsia="Calibri"/>
        </w:rPr>
      </w:pPr>
      <w:r w:rsidRPr="00BD77D8">
        <w:rPr>
          <w:rFonts w:eastAsia="Calibri"/>
        </w:rPr>
        <w:t>Griffith University</w:t>
      </w:r>
    </w:p>
    <w:p w14:paraId="1A140038" w14:textId="62E36B29" w:rsidR="009362D1" w:rsidRPr="00BD77D8" w:rsidRDefault="009362D1" w:rsidP="007625C3">
      <w:pPr>
        <w:pStyle w:val="ListBullet2"/>
        <w:numPr>
          <w:ilvl w:val="0"/>
          <w:numId w:val="12"/>
        </w:numPr>
        <w:rPr>
          <w:rFonts w:eastAsia="Calibri"/>
        </w:rPr>
      </w:pPr>
      <w:r w:rsidRPr="00BD77D8">
        <w:rPr>
          <w:rFonts w:eastAsia="Calibri"/>
        </w:rPr>
        <w:t>Job Services Australia providers</w:t>
      </w:r>
    </w:p>
    <w:p w14:paraId="0C592276" w14:textId="77777777" w:rsidR="009362D1" w:rsidRPr="00BD77D8" w:rsidRDefault="009362D1" w:rsidP="007625C3">
      <w:pPr>
        <w:pStyle w:val="ListBullet2"/>
        <w:numPr>
          <w:ilvl w:val="0"/>
          <w:numId w:val="12"/>
        </w:numPr>
        <w:rPr>
          <w:rFonts w:eastAsia="Calibri"/>
        </w:rPr>
      </w:pPr>
      <w:r w:rsidRPr="00BD77D8">
        <w:rPr>
          <w:rFonts w:eastAsia="Calibri"/>
        </w:rPr>
        <w:t>Many Rivers</w:t>
      </w:r>
    </w:p>
    <w:p w14:paraId="528BD299" w14:textId="72270D33" w:rsidR="009362D1" w:rsidRPr="00BD77D8" w:rsidRDefault="009362D1" w:rsidP="007625C3">
      <w:pPr>
        <w:pStyle w:val="ListBullet2"/>
        <w:numPr>
          <w:ilvl w:val="0"/>
          <w:numId w:val="12"/>
        </w:numPr>
        <w:rPr>
          <w:rFonts w:eastAsia="Calibri"/>
        </w:rPr>
      </w:pPr>
      <w:r w:rsidRPr="00BD77D8">
        <w:rPr>
          <w:rFonts w:eastAsia="Calibri"/>
        </w:rPr>
        <w:t>Principal Contractors awarded contracts</w:t>
      </w:r>
    </w:p>
    <w:p w14:paraId="5F3244DA" w14:textId="1E8D6023" w:rsidR="00B56794" w:rsidRPr="00BD77D8" w:rsidRDefault="00B56794" w:rsidP="007625C3">
      <w:pPr>
        <w:pStyle w:val="ListBullet2"/>
        <w:numPr>
          <w:ilvl w:val="0"/>
          <w:numId w:val="12"/>
        </w:numPr>
        <w:rPr>
          <w:rFonts w:eastAsia="Calibri"/>
        </w:rPr>
      </w:pPr>
      <w:r w:rsidRPr="00BD77D8">
        <w:rPr>
          <w:rFonts w:eastAsia="Calibri"/>
        </w:rPr>
        <w:t>Queensland Resources Council</w:t>
      </w:r>
    </w:p>
    <w:p w14:paraId="7CF13F7E" w14:textId="39E6ADC7" w:rsidR="009362D1" w:rsidRPr="00BD77D8" w:rsidRDefault="009362D1" w:rsidP="007625C3">
      <w:pPr>
        <w:pStyle w:val="ListBullet2"/>
        <w:numPr>
          <w:ilvl w:val="0"/>
          <w:numId w:val="12"/>
        </w:numPr>
        <w:rPr>
          <w:rFonts w:eastAsia="Calibri"/>
        </w:rPr>
      </w:pPr>
      <w:r w:rsidRPr="00BD77D8">
        <w:rPr>
          <w:rFonts w:eastAsia="Calibri"/>
        </w:rPr>
        <w:t>Rio Tinto-Weipa operations</w:t>
      </w:r>
      <w:r w:rsidR="00B56794" w:rsidRPr="00BD77D8">
        <w:rPr>
          <w:rFonts w:eastAsia="Calibri"/>
        </w:rPr>
        <w:t>.</w:t>
      </w:r>
    </w:p>
    <w:p w14:paraId="77679856" w14:textId="09BEA1B1" w:rsidR="004E197D" w:rsidRPr="00BD77D8" w:rsidRDefault="00956006" w:rsidP="00F92945">
      <w:pPr>
        <w:pStyle w:val="ListBullet"/>
        <w:spacing w:line="240" w:lineRule="auto"/>
        <w:ind w:left="357" w:hanging="357"/>
        <w:rPr>
          <w:rFonts w:eastAsia="Calibri"/>
        </w:rPr>
      </w:pPr>
      <w:r w:rsidRPr="00BD77D8">
        <w:rPr>
          <w:rFonts w:eastAsia="Calibri"/>
        </w:rPr>
        <w:t>provided advice and support to industry partners including:</w:t>
      </w:r>
    </w:p>
    <w:p w14:paraId="6C16B4FE" w14:textId="37267F79" w:rsidR="004E197D" w:rsidRPr="00BD77D8" w:rsidRDefault="00956006" w:rsidP="007625C3">
      <w:pPr>
        <w:pStyle w:val="ListBullet2"/>
        <w:numPr>
          <w:ilvl w:val="0"/>
          <w:numId w:val="13"/>
        </w:numPr>
        <w:rPr>
          <w:rFonts w:eastAsia="Calibri"/>
        </w:rPr>
      </w:pPr>
      <w:r w:rsidRPr="00BD77D8">
        <w:rPr>
          <w:rFonts w:eastAsia="Calibri"/>
        </w:rPr>
        <w:t xml:space="preserve">delivering </w:t>
      </w:r>
      <w:r w:rsidR="004E197D" w:rsidRPr="00BD77D8">
        <w:rPr>
          <w:rFonts w:eastAsia="Calibri"/>
        </w:rPr>
        <w:t>best practice forums and webinars on Aboriginal and Torres Strait Islander employment and training</w:t>
      </w:r>
      <w:r w:rsidRPr="00BD77D8">
        <w:rPr>
          <w:rFonts w:eastAsia="Calibri"/>
        </w:rPr>
        <w:t>, and</w:t>
      </w:r>
      <w:r w:rsidR="004E197D" w:rsidRPr="00BD77D8">
        <w:rPr>
          <w:rFonts w:eastAsia="Calibri"/>
        </w:rPr>
        <w:t xml:space="preserve"> increasing procurement from </w:t>
      </w:r>
      <w:r w:rsidR="00606E46" w:rsidRPr="00BD77D8">
        <w:rPr>
          <w:rFonts w:eastAsia="Calibri"/>
        </w:rPr>
        <w:t>Aboriginal and Torres Strait Islander</w:t>
      </w:r>
      <w:r w:rsidR="00A97C65" w:rsidRPr="00BD77D8">
        <w:rPr>
          <w:rFonts w:eastAsia="Calibri"/>
        </w:rPr>
        <w:t xml:space="preserve"> </w:t>
      </w:r>
      <w:r w:rsidR="00D93770" w:rsidRPr="00BD77D8">
        <w:rPr>
          <w:rFonts w:eastAsia="Calibri"/>
        </w:rPr>
        <w:t>owned</w:t>
      </w:r>
      <w:r w:rsidR="004E197D" w:rsidRPr="00BD77D8">
        <w:rPr>
          <w:rFonts w:eastAsia="Calibri"/>
        </w:rPr>
        <w:t xml:space="preserve"> businesses</w:t>
      </w:r>
    </w:p>
    <w:p w14:paraId="3E2A6783" w14:textId="71C7E3A5" w:rsidR="004E197D" w:rsidRPr="00BD77D8" w:rsidRDefault="00956006" w:rsidP="007625C3">
      <w:pPr>
        <w:pStyle w:val="ListBullet2"/>
        <w:numPr>
          <w:ilvl w:val="0"/>
          <w:numId w:val="13"/>
        </w:numPr>
        <w:rPr>
          <w:rFonts w:eastAsia="Calibri"/>
        </w:rPr>
      </w:pPr>
      <w:r w:rsidRPr="00BD77D8">
        <w:rPr>
          <w:rFonts w:eastAsia="Calibri"/>
        </w:rPr>
        <w:t xml:space="preserve">conducting </w:t>
      </w:r>
      <w:r w:rsidR="009A7619" w:rsidRPr="00BD77D8">
        <w:rPr>
          <w:rFonts w:eastAsia="Calibri"/>
        </w:rPr>
        <w:t>‘M</w:t>
      </w:r>
      <w:r w:rsidR="004E197D" w:rsidRPr="00BD77D8">
        <w:rPr>
          <w:rFonts w:eastAsia="Calibri"/>
        </w:rPr>
        <w:t xml:space="preserve">eet the </w:t>
      </w:r>
      <w:r w:rsidR="009A7619" w:rsidRPr="00BD77D8">
        <w:rPr>
          <w:rFonts w:eastAsia="Calibri"/>
        </w:rPr>
        <w:t>B</w:t>
      </w:r>
      <w:r w:rsidR="004E197D" w:rsidRPr="00BD77D8">
        <w:rPr>
          <w:rFonts w:eastAsia="Calibri"/>
        </w:rPr>
        <w:t>uyer</w:t>
      </w:r>
      <w:r w:rsidR="009A7619" w:rsidRPr="00BD77D8">
        <w:rPr>
          <w:rFonts w:eastAsia="Calibri"/>
        </w:rPr>
        <w:t>’</w:t>
      </w:r>
      <w:r w:rsidR="004E197D" w:rsidRPr="00BD77D8">
        <w:rPr>
          <w:rFonts w:eastAsia="Calibri"/>
        </w:rPr>
        <w:t xml:space="preserve"> events</w:t>
      </w:r>
    </w:p>
    <w:p w14:paraId="7BD1F483" w14:textId="1CE2A37A" w:rsidR="004E197D" w:rsidRPr="00BD77D8" w:rsidRDefault="00956006" w:rsidP="007625C3">
      <w:pPr>
        <w:pStyle w:val="ListBullet2"/>
        <w:numPr>
          <w:ilvl w:val="0"/>
          <w:numId w:val="13"/>
        </w:numPr>
        <w:rPr>
          <w:rFonts w:eastAsia="Calibri"/>
        </w:rPr>
      </w:pPr>
      <w:r w:rsidRPr="00BD77D8">
        <w:rPr>
          <w:rFonts w:eastAsia="Calibri"/>
        </w:rPr>
        <w:lastRenderedPageBreak/>
        <w:t xml:space="preserve">developing </w:t>
      </w:r>
      <w:r w:rsidR="004E197D" w:rsidRPr="00BD77D8">
        <w:rPr>
          <w:rFonts w:eastAsia="Calibri"/>
        </w:rPr>
        <w:t>practitioner guides</w:t>
      </w:r>
    </w:p>
    <w:p w14:paraId="7290BAD6" w14:textId="77777777" w:rsidR="006E58EF" w:rsidRPr="00BD77D8" w:rsidRDefault="006E58EF" w:rsidP="006E58EF">
      <w:pPr>
        <w:pStyle w:val="ListBullet2"/>
        <w:numPr>
          <w:ilvl w:val="0"/>
          <w:numId w:val="13"/>
        </w:numPr>
        <w:rPr>
          <w:rFonts w:eastAsia="Calibri"/>
        </w:rPr>
      </w:pPr>
      <w:r w:rsidRPr="00BD77D8">
        <w:rPr>
          <w:rFonts w:eastAsia="Calibri"/>
        </w:rPr>
        <w:t xml:space="preserve">facilitating local Indigenous Business Month and business and industry connection events, in partnership with the Department of Employment, Small Business and Training </w:t>
      </w:r>
    </w:p>
    <w:p w14:paraId="409E4352" w14:textId="07F5C21F" w:rsidR="004E197D" w:rsidRPr="00BD77D8" w:rsidRDefault="00956006" w:rsidP="007625C3">
      <w:pPr>
        <w:pStyle w:val="ListBullet2"/>
        <w:numPr>
          <w:ilvl w:val="0"/>
          <w:numId w:val="13"/>
        </w:numPr>
        <w:rPr>
          <w:rFonts w:eastAsia="Calibri"/>
        </w:rPr>
      </w:pPr>
      <w:r w:rsidRPr="00BD77D8">
        <w:rPr>
          <w:rFonts w:eastAsia="Calibri"/>
        </w:rPr>
        <w:t xml:space="preserve">providing </w:t>
      </w:r>
      <w:r w:rsidR="004E197D" w:rsidRPr="00BD77D8">
        <w:rPr>
          <w:rFonts w:eastAsia="Calibri"/>
        </w:rPr>
        <w:t>one-on-one assistance to companies with the development and implementation of Aboriginal and Torres Strait Islander participation strategies, plans and targets for their operations</w:t>
      </w:r>
    </w:p>
    <w:p w14:paraId="128972D7" w14:textId="0C82DF5D" w:rsidR="004E197D" w:rsidRPr="00BD77D8" w:rsidRDefault="00956006" w:rsidP="007625C3">
      <w:pPr>
        <w:pStyle w:val="ListBullet2"/>
        <w:numPr>
          <w:ilvl w:val="0"/>
          <w:numId w:val="13"/>
        </w:numPr>
        <w:rPr>
          <w:rFonts w:eastAsia="Calibri"/>
        </w:rPr>
      </w:pPr>
      <w:r w:rsidRPr="00BD77D8">
        <w:rPr>
          <w:rFonts w:eastAsia="Calibri"/>
        </w:rPr>
        <w:t xml:space="preserve">promoting leading practices in </w:t>
      </w:r>
      <w:r w:rsidR="004E197D" w:rsidRPr="00BD77D8">
        <w:rPr>
          <w:rFonts w:eastAsia="Calibri"/>
        </w:rPr>
        <w:t>Aboriginal and Torres Strait Islander participation</w:t>
      </w:r>
      <w:r w:rsidRPr="00BD77D8">
        <w:rPr>
          <w:rFonts w:eastAsia="Calibri"/>
        </w:rPr>
        <w:t>,</w:t>
      </w:r>
      <w:r w:rsidR="004E197D" w:rsidRPr="00BD77D8">
        <w:rPr>
          <w:rFonts w:eastAsia="Calibri"/>
        </w:rPr>
        <w:t xml:space="preserve"> and good news stories</w:t>
      </w:r>
      <w:r w:rsidRPr="00BD77D8">
        <w:rPr>
          <w:rFonts w:eastAsia="Calibri"/>
        </w:rPr>
        <w:t>,</w:t>
      </w:r>
      <w:r w:rsidR="004E197D" w:rsidRPr="00BD77D8">
        <w:rPr>
          <w:rFonts w:eastAsia="Calibri"/>
        </w:rPr>
        <w:t xml:space="preserve"> through social media.</w:t>
      </w:r>
    </w:p>
    <w:p w14:paraId="3E07519C" w14:textId="77777777" w:rsidR="004E197D" w:rsidRPr="00BD77D8" w:rsidRDefault="004E197D" w:rsidP="007524AB">
      <w:pPr>
        <w:pStyle w:val="Heading3"/>
      </w:pPr>
      <w:bookmarkStart w:id="237" w:name="_Toc78287386"/>
      <w:bookmarkStart w:id="238" w:name="_Toc78355793"/>
      <w:r w:rsidRPr="00BD77D8">
        <w:t>Whole-of-government land tenure</w:t>
      </w:r>
      <w:bookmarkEnd w:id="236"/>
      <w:bookmarkEnd w:id="237"/>
      <w:bookmarkEnd w:id="238"/>
    </w:p>
    <w:p w14:paraId="39D2ADA8" w14:textId="77777777" w:rsidR="004E197D" w:rsidRPr="00BD77D8" w:rsidRDefault="004E197D" w:rsidP="00D21656">
      <w:pPr>
        <w:rPr>
          <w:rFonts w:eastAsia="Calibri"/>
          <w:spacing w:val="-1"/>
          <w:lang w:val="en-US" w:eastAsia="en-US"/>
        </w:rPr>
      </w:pPr>
      <w:r w:rsidRPr="00BD77D8">
        <w:rPr>
          <w:rFonts w:eastAsia="Calibri"/>
          <w:w w:val="105"/>
          <w:lang w:val="en-US" w:eastAsia="en-US"/>
        </w:rPr>
        <w:t>The department provided whole-of-government advice on land tenure within the remote and discrete Aboriginal and Torres Strait Islander communities in Queensland, including enabling and providing current and future home ownership and leasing opportunities. This assistance also extends to supporting state agencies with tenure and Native Title advice, and coordination of such activities across the 34 remote and discrete Aboriginal and Torres Strait Islander communities.</w:t>
      </w:r>
    </w:p>
    <w:p w14:paraId="625CD3A8" w14:textId="40B84B6E" w:rsidR="004E197D" w:rsidRPr="00BD77D8" w:rsidRDefault="004E197D" w:rsidP="00AF1866">
      <w:pPr>
        <w:spacing w:after="120" w:line="240" w:lineRule="auto"/>
        <w:rPr>
          <w:b/>
          <w:bCs/>
        </w:rPr>
      </w:pPr>
      <w:r w:rsidRPr="00BD77D8">
        <w:rPr>
          <w:b/>
          <w:bCs/>
        </w:rPr>
        <w:t>Key achievements</w:t>
      </w:r>
    </w:p>
    <w:p w14:paraId="2AD8D277" w14:textId="77777777" w:rsidR="00326C8A" w:rsidRPr="00BD77D8" w:rsidRDefault="00326C8A" w:rsidP="00AF1866">
      <w:pPr>
        <w:spacing w:after="120" w:line="240" w:lineRule="auto"/>
        <w:rPr>
          <w:rFonts w:eastAsia="Calibri"/>
          <w:lang w:val="en-US" w:eastAsia="en-US"/>
        </w:rPr>
      </w:pPr>
      <w:r w:rsidRPr="00BD77D8">
        <w:rPr>
          <w:rFonts w:eastAsia="Calibri"/>
          <w:lang w:val="en-US" w:eastAsia="en-US"/>
        </w:rPr>
        <w:t>During the reporting period, the</w:t>
      </w:r>
      <w:r w:rsidRPr="00BD77D8">
        <w:rPr>
          <w:rFonts w:eastAsia="Calibri"/>
          <w:spacing w:val="-14"/>
          <w:lang w:val="en-US" w:eastAsia="en-US"/>
        </w:rPr>
        <w:t xml:space="preserve"> </w:t>
      </w:r>
      <w:r w:rsidRPr="00BD77D8">
        <w:rPr>
          <w:rFonts w:eastAsia="Calibri"/>
          <w:spacing w:val="-1"/>
          <w:lang w:val="en-US" w:eastAsia="en-US"/>
        </w:rPr>
        <w:t>dep</w:t>
      </w:r>
      <w:r w:rsidRPr="00BD77D8">
        <w:rPr>
          <w:rFonts w:eastAsia="Calibri"/>
          <w:spacing w:val="-2"/>
          <w:lang w:val="en-US" w:eastAsia="en-US"/>
        </w:rPr>
        <w:t>artment:</w:t>
      </w:r>
    </w:p>
    <w:p w14:paraId="0AD53859" w14:textId="0E379956" w:rsidR="00AA319A" w:rsidRPr="00BD77D8" w:rsidRDefault="00AA319A" w:rsidP="004419C8">
      <w:pPr>
        <w:pStyle w:val="ListBullet"/>
        <w:tabs>
          <w:tab w:val="clear" w:pos="360"/>
          <w:tab w:val="num" w:pos="644"/>
        </w:tabs>
        <w:ind w:left="644"/>
        <w:rPr>
          <w:rFonts w:eastAsia="Calibri"/>
        </w:rPr>
      </w:pPr>
      <w:r w:rsidRPr="00BD77D8">
        <w:rPr>
          <w:rFonts w:eastAsia="Calibri"/>
        </w:rPr>
        <w:t>undertook the land tenure resolution process for the proposed Rural Fire and State Emergency Services Station at Bamaga</w:t>
      </w:r>
    </w:p>
    <w:p w14:paraId="30DF736B" w14:textId="1A6E3960" w:rsidR="00AA319A" w:rsidRPr="00BD77D8" w:rsidRDefault="00AA319A" w:rsidP="004419C8">
      <w:pPr>
        <w:pStyle w:val="ListBullet"/>
        <w:tabs>
          <w:tab w:val="clear" w:pos="360"/>
          <w:tab w:val="num" w:pos="644"/>
        </w:tabs>
        <w:ind w:left="644"/>
        <w:rPr>
          <w:rFonts w:eastAsia="Calibri"/>
        </w:rPr>
      </w:pPr>
      <w:r w:rsidRPr="00BD77D8">
        <w:rPr>
          <w:rFonts w:eastAsia="Calibri"/>
        </w:rPr>
        <w:t xml:space="preserve">completed land tenure actions for the Hopevale Congress Aboriginal Corporation to enable the negotiation of an Indigenous Land Use Agreement that supports country-based planning of trust land </w:t>
      </w:r>
    </w:p>
    <w:p w14:paraId="075B957C" w14:textId="21A6E3EE" w:rsidR="00AA319A" w:rsidRPr="00BD77D8" w:rsidRDefault="00AA319A" w:rsidP="004419C8">
      <w:pPr>
        <w:pStyle w:val="ListBullet"/>
        <w:tabs>
          <w:tab w:val="clear" w:pos="360"/>
          <w:tab w:val="num" w:pos="644"/>
        </w:tabs>
        <w:ind w:left="644"/>
        <w:rPr>
          <w:rFonts w:eastAsia="Calibri"/>
        </w:rPr>
      </w:pPr>
      <w:r w:rsidRPr="00BD77D8">
        <w:rPr>
          <w:rFonts w:eastAsia="Calibri"/>
        </w:rPr>
        <w:t>provided specialist tenure, Native Title and planning advice for the Coen supermarket and fuel depot development in Coen</w:t>
      </w:r>
    </w:p>
    <w:p w14:paraId="0432604A" w14:textId="2B56077B" w:rsidR="004E197D" w:rsidRPr="00BD77D8" w:rsidRDefault="00AA319A" w:rsidP="004419C8">
      <w:pPr>
        <w:pStyle w:val="ListBullet"/>
        <w:tabs>
          <w:tab w:val="clear" w:pos="360"/>
          <w:tab w:val="num" w:pos="644"/>
        </w:tabs>
        <w:ind w:left="644"/>
        <w:rPr>
          <w:rFonts w:eastAsia="Calibri"/>
        </w:rPr>
      </w:pPr>
      <w:r w:rsidRPr="00BD77D8">
        <w:rPr>
          <w:rFonts w:eastAsia="Calibri"/>
        </w:rPr>
        <w:t>facilitated the registration of 40-year social housing leases to enable social housing investment in the communities of Aurukun, Doomadgee, Kowanyama and Pormpuraaw</w:t>
      </w:r>
      <w:r w:rsidR="00BF43F6" w:rsidRPr="00BD77D8">
        <w:rPr>
          <w:rFonts w:eastAsia="Calibri"/>
        </w:rPr>
        <w:t>.</w:t>
      </w:r>
      <w:r w:rsidRPr="00BD77D8">
        <w:rPr>
          <w:rFonts w:eastAsia="Calibri"/>
        </w:rPr>
        <w:t xml:space="preserve">  </w:t>
      </w:r>
    </w:p>
    <w:p w14:paraId="1BA4BC58" w14:textId="77777777" w:rsidR="004E197D" w:rsidRPr="00BD77D8" w:rsidRDefault="004E197D" w:rsidP="00D21656">
      <w:pPr>
        <w:rPr>
          <w:rFonts w:eastAsia="Calibri"/>
          <w:w w:val="105"/>
          <w:lang w:val="en-US" w:eastAsia="en-US"/>
        </w:rPr>
      </w:pPr>
      <w:r w:rsidRPr="00BD77D8">
        <w:rPr>
          <w:rFonts w:eastAsia="Calibri"/>
          <w:w w:val="105"/>
          <w:lang w:val="en-US" w:eastAsia="en-US"/>
        </w:rPr>
        <w:t>The department facilitates home ownership pathways for Aboriginal and Torres Strait Islander Queenslanders in targeted communities throughout Queensland.</w:t>
      </w:r>
    </w:p>
    <w:p w14:paraId="19DA3E0F" w14:textId="77777777" w:rsidR="004E197D" w:rsidRPr="00BD77D8" w:rsidRDefault="004E197D" w:rsidP="00AF1866">
      <w:pPr>
        <w:spacing w:after="120" w:line="240" w:lineRule="auto"/>
        <w:rPr>
          <w:b/>
          <w:bCs/>
        </w:rPr>
      </w:pPr>
      <w:r w:rsidRPr="00BD77D8">
        <w:rPr>
          <w:b/>
          <w:bCs/>
        </w:rPr>
        <w:t xml:space="preserve">Key achievements </w:t>
      </w:r>
    </w:p>
    <w:p w14:paraId="3066B428" w14:textId="3C5E8277" w:rsidR="00D175D3" w:rsidRPr="00BD77D8" w:rsidRDefault="001662AA" w:rsidP="00AF1866">
      <w:pPr>
        <w:spacing w:after="120" w:line="240" w:lineRule="auto"/>
        <w:rPr>
          <w:rFonts w:eastAsia="Calibri"/>
          <w:lang w:val="en-US" w:eastAsia="en-US"/>
        </w:rPr>
      </w:pPr>
      <w:r w:rsidRPr="00BD77D8">
        <w:rPr>
          <w:rFonts w:eastAsia="Calibri"/>
          <w:w w:val="105"/>
          <w:lang w:val="en-US" w:eastAsia="en-US"/>
        </w:rPr>
        <w:t>During the reporting period</w:t>
      </w:r>
      <w:r w:rsidR="006B3DFA" w:rsidRPr="00BD77D8">
        <w:rPr>
          <w:rFonts w:eastAsia="Calibri"/>
          <w:w w:val="105"/>
          <w:lang w:val="en-US" w:eastAsia="en-US"/>
        </w:rPr>
        <w:t>,</w:t>
      </w:r>
      <w:r w:rsidRPr="00BD77D8">
        <w:rPr>
          <w:rFonts w:eastAsia="Calibri"/>
          <w:w w:val="105"/>
          <w:lang w:val="en-US" w:eastAsia="en-US"/>
        </w:rPr>
        <w:t xml:space="preserve"> t</w:t>
      </w:r>
      <w:r w:rsidR="004E197D" w:rsidRPr="00BD77D8">
        <w:rPr>
          <w:rFonts w:eastAsia="Calibri"/>
          <w:w w:val="105"/>
          <w:lang w:val="en-US" w:eastAsia="en-US"/>
        </w:rPr>
        <w:t>he department</w:t>
      </w:r>
      <w:r w:rsidRPr="00BD77D8">
        <w:rPr>
          <w:rFonts w:eastAsia="Calibri"/>
          <w:w w:val="105"/>
          <w:lang w:val="en-US" w:eastAsia="en-US"/>
        </w:rPr>
        <w:t>:</w:t>
      </w:r>
      <w:r w:rsidR="00735FF6" w:rsidRPr="00BD77D8">
        <w:rPr>
          <w:rFonts w:eastAsia="Calibri"/>
          <w:w w:val="105"/>
          <w:lang w:val="en-US" w:eastAsia="en-US"/>
        </w:rPr>
        <w:t xml:space="preserve"> </w:t>
      </w:r>
    </w:p>
    <w:p w14:paraId="37B6A880" w14:textId="379D2AE8" w:rsidR="004E197D" w:rsidRPr="00BD77D8" w:rsidRDefault="000933CC" w:rsidP="004419C8">
      <w:pPr>
        <w:pStyle w:val="ListBullet"/>
        <w:tabs>
          <w:tab w:val="clear" w:pos="360"/>
          <w:tab w:val="num" w:pos="644"/>
        </w:tabs>
        <w:ind w:left="644"/>
        <w:rPr>
          <w:rFonts w:eastAsia="Calibri"/>
        </w:rPr>
      </w:pPr>
      <w:r w:rsidRPr="00BD77D8">
        <w:rPr>
          <w:rFonts w:eastAsia="Calibri"/>
        </w:rPr>
        <w:t>m</w:t>
      </w:r>
      <w:r w:rsidR="004E197D" w:rsidRPr="00BD77D8">
        <w:rPr>
          <w:rFonts w:eastAsia="Calibri"/>
        </w:rPr>
        <w:t xml:space="preserve">ade </w:t>
      </w:r>
      <w:r w:rsidR="001A57D7" w:rsidRPr="00BD77D8">
        <w:rPr>
          <w:rFonts w:eastAsia="Calibri"/>
        </w:rPr>
        <w:t>38</w:t>
      </w:r>
      <w:r w:rsidR="004E197D" w:rsidRPr="00BD77D8">
        <w:rPr>
          <w:rFonts w:eastAsia="Calibri"/>
        </w:rPr>
        <w:t xml:space="preserve"> houses</w:t>
      </w:r>
      <w:r w:rsidR="001A57D7" w:rsidRPr="00BD77D8">
        <w:rPr>
          <w:rFonts w:eastAsia="Calibri"/>
        </w:rPr>
        <w:t xml:space="preserve"> available</w:t>
      </w:r>
      <w:r w:rsidR="004E197D" w:rsidRPr="00BD77D8">
        <w:rPr>
          <w:rFonts w:eastAsia="Calibri"/>
        </w:rPr>
        <w:t xml:space="preserve"> for ownership by Aboriginal</w:t>
      </w:r>
      <w:r w:rsidR="004C7FBB" w:rsidRPr="00BD77D8">
        <w:rPr>
          <w:rFonts w:eastAsia="Calibri"/>
        </w:rPr>
        <w:t xml:space="preserve"> peoples</w:t>
      </w:r>
      <w:r w:rsidR="004E197D" w:rsidRPr="00BD77D8">
        <w:rPr>
          <w:rFonts w:eastAsia="Calibri"/>
        </w:rPr>
        <w:t xml:space="preserve"> and Torres Strait Islander peoples in targeted communities through Queensland Government investment</w:t>
      </w:r>
      <w:r w:rsidR="00861AB3" w:rsidRPr="00BD77D8">
        <w:rPr>
          <w:rFonts w:eastAsia="Calibri"/>
        </w:rPr>
        <w:t>.</w:t>
      </w:r>
    </w:p>
    <w:p w14:paraId="6CA6FBBF" w14:textId="6BDA5821" w:rsidR="00861AB3" w:rsidRPr="00BD77D8" w:rsidRDefault="00861AB3" w:rsidP="007744C2">
      <w:pPr>
        <w:pStyle w:val="Heading3"/>
      </w:pPr>
      <w:bookmarkStart w:id="239" w:name="_Toc67046695"/>
      <w:bookmarkStart w:id="240" w:name="_Toc78287388"/>
      <w:bookmarkStart w:id="241" w:name="_Toc78355795"/>
      <w:r w:rsidRPr="00BD77D8">
        <w:rPr>
          <w:i/>
          <w:iCs/>
        </w:rPr>
        <w:t>Land Holding Act</w:t>
      </w:r>
      <w:r w:rsidR="00CE70F5" w:rsidRPr="00BD77D8">
        <w:rPr>
          <w:i/>
          <w:iCs/>
        </w:rPr>
        <w:t xml:space="preserve"> (1985)</w:t>
      </w:r>
      <w:r w:rsidR="00A97C65" w:rsidRPr="00BD77D8">
        <w:t>—</w:t>
      </w:r>
      <w:r w:rsidRPr="00BD77D8">
        <w:t>Resolution Project</w:t>
      </w:r>
    </w:p>
    <w:p w14:paraId="5D14B39D" w14:textId="57C2E874" w:rsidR="00861AB3" w:rsidRPr="00BD77D8" w:rsidRDefault="00861AB3" w:rsidP="00D21656">
      <w:pPr>
        <w:rPr>
          <w:rFonts w:eastAsia="Calibri"/>
          <w:w w:val="105"/>
          <w:lang w:val="en-US" w:eastAsia="en-US"/>
        </w:rPr>
      </w:pPr>
      <w:r w:rsidRPr="00BD77D8">
        <w:rPr>
          <w:rFonts w:eastAsia="Calibri"/>
          <w:w w:val="105"/>
          <w:lang w:val="en-US" w:eastAsia="en-US"/>
        </w:rPr>
        <w:t xml:space="preserve">The Land Holding Act Resolution Project is </w:t>
      </w:r>
      <w:r w:rsidR="00735FF6" w:rsidRPr="00BD77D8">
        <w:rPr>
          <w:rFonts w:eastAsia="Calibri"/>
          <w:w w:val="105"/>
          <w:lang w:val="en-US" w:eastAsia="en-US"/>
        </w:rPr>
        <w:t>a cross-</w:t>
      </w:r>
      <w:r w:rsidRPr="00BD77D8">
        <w:rPr>
          <w:rFonts w:eastAsia="Calibri"/>
          <w:w w:val="105"/>
          <w:lang w:val="en-US" w:eastAsia="en-US"/>
        </w:rPr>
        <w:t xml:space="preserve">agency project responsible for the resolution of historical lease, land tenure and asset issues, generated by the legislative and administrative failures of the original 1985 Land Holding Act. </w:t>
      </w:r>
      <w:r w:rsidR="00735FF6" w:rsidRPr="00BD77D8">
        <w:rPr>
          <w:rFonts w:eastAsia="Calibri"/>
          <w:w w:val="105"/>
          <w:lang w:val="en-US" w:eastAsia="en-US"/>
        </w:rPr>
        <w:t xml:space="preserve">The department’s </w:t>
      </w:r>
      <w:r w:rsidR="0080006D" w:rsidRPr="00BD77D8">
        <w:rPr>
          <w:rFonts w:eastAsia="Calibri"/>
          <w:w w:val="105"/>
          <w:lang w:val="en-US" w:eastAsia="en-US"/>
        </w:rPr>
        <w:t>project responsibility</w:t>
      </w:r>
      <w:r w:rsidR="00735FF6" w:rsidRPr="00BD77D8">
        <w:rPr>
          <w:rFonts w:eastAsia="Calibri"/>
          <w:w w:val="105"/>
          <w:lang w:val="en-US" w:eastAsia="en-US"/>
        </w:rPr>
        <w:t xml:space="preserve"> was to lead and </w:t>
      </w:r>
      <w:proofErr w:type="spellStart"/>
      <w:r w:rsidR="00735FF6" w:rsidRPr="00BD77D8">
        <w:rPr>
          <w:rFonts w:eastAsia="Calibri"/>
          <w:w w:val="105"/>
          <w:lang w:val="en-US" w:eastAsia="en-US"/>
        </w:rPr>
        <w:t>finalise</w:t>
      </w:r>
      <w:proofErr w:type="spellEnd"/>
      <w:r w:rsidR="00735FF6" w:rsidRPr="00BD77D8">
        <w:rPr>
          <w:rFonts w:eastAsia="Calibri"/>
          <w:w w:val="105"/>
          <w:lang w:val="en-US" w:eastAsia="en-US"/>
        </w:rPr>
        <w:t xml:space="preserve"> engagement with the applicants and beneficiaries of valid applications; and identify beneficiaries of applicants where the applicant has passe</w:t>
      </w:r>
      <w:r w:rsidR="00BF43F6" w:rsidRPr="00BD77D8">
        <w:rPr>
          <w:rFonts w:eastAsia="Calibri"/>
          <w:w w:val="105"/>
          <w:lang w:val="en-US" w:eastAsia="en-US"/>
        </w:rPr>
        <w:t>d</w:t>
      </w:r>
      <w:r w:rsidR="00735FF6" w:rsidRPr="00BD77D8">
        <w:rPr>
          <w:rFonts w:eastAsia="Calibri"/>
          <w:w w:val="105"/>
          <w:lang w:val="en-US" w:eastAsia="en-US"/>
        </w:rPr>
        <w:t xml:space="preserve"> away. </w:t>
      </w:r>
      <w:r w:rsidRPr="00BD77D8">
        <w:rPr>
          <w:rFonts w:eastAsia="Calibri"/>
          <w:w w:val="105"/>
          <w:lang w:val="en-US" w:eastAsia="en-US"/>
        </w:rPr>
        <w:t>The</w:t>
      </w:r>
      <w:r w:rsidR="003C10E5" w:rsidRPr="00BD77D8">
        <w:rPr>
          <w:rFonts w:eastAsia="Calibri"/>
          <w:w w:val="105"/>
          <w:lang w:val="en-US" w:eastAsia="en-US"/>
        </w:rPr>
        <w:t xml:space="preserve"> department’s involvement in the</w:t>
      </w:r>
      <w:r w:rsidRPr="00BD77D8">
        <w:rPr>
          <w:rFonts w:eastAsia="Calibri"/>
          <w:w w:val="105"/>
          <w:lang w:val="en-US" w:eastAsia="en-US"/>
        </w:rPr>
        <w:t xml:space="preserve"> project </w:t>
      </w:r>
      <w:r w:rsidR="00900AEB" w:rsidRPr="00BD77D8">
        <w:rPr>
          <w:rFonts w:eastAsia="Calibri"/>
          <w:w w:val="105"/>
          <w:lang w:val="en-US" w:eastAsia="en-US"/>
        </w:rPr>
        <w:t xml:space="preserve">was </w:t>
      </w:r>
      <w:proofErr w:type="spellStart"/>
      <w:r w:rsidR="00900AEB" w:rsidRPr="00BD77D8">
        <w:rPr>
          <w:rFonts w:eastAsia="Calibri"/>
          <w:w w:val="105"/>
          <w:lang w:val="en-US" w:eastAsia="en-US"/>
        </w:rPr>
        <w:t>finali</w:t>
      </w:r>
      <w:r w:rsidR="001153B4" w:rsidRPr="00BD77D8">
        <w:rPr>
          <w:rFonts w:eastAsia="Calibri"/>
          <w:w w:val="105"/>
          <w:lang w:val="en-US" w:eastAsia="en-US"/>
        </w:rPr>
        <w:t>s</w:t>
      </w:r>
      <w:r w:rsidR="00900AEB" w:rsidRPr="00BD77D8">
        <w:rPr>
          <w:rFonts w:eastAsia="Calibri"/>
          <w:w w:val="105"/>
          <w:lang w:val="en-US" w:eastAsia="en-US"/>
        </w:rPr>
        <w:t>ed</w:t>
      </w:r>
      <w:proofErr w:type="spellEnd"/>
      <w:r w:rsidR="00900AEB" w:rsidRPr="00BD77D8">
        <w:rPr>
          <w:rFonts w:eastAsia="Calibri"/>
          <w:w w:val="105"/>
          <w:lang w:val="en-US" w:eastAsia="en-US"/>
        </w:rPr>
        <w:t xml:space="preserve"> on </w:t>
      </w:r>
      <w:r w:rsidRPr="00BD77D8">
        <w:rPr>
          <w:rFonts w:eastAsia="Calibri"/>
          <w:w w:val="105"/>
          <w:lang w:val="en-US" w:eastAsia="en-US"/>
        </w:rPr>
        <w:t>30 June 2022.</w:t>
      </w:r>
    </w:p>
    <w:p w14:paraId="5939B8F7" w14:textId="63195C15" w:rsidR="00735FF6" w:rsidRPr="00BD77D8" w:rsidRDefault="00735FF6" w:rsidP="00AF1866">
      <w:pPr>
        <w:spacing w:after="120" w:line="240" w:lineRule="auto"/>
        <w:rPr>
          <w:b/>
          <w:bCs/>
        </w:rPr>
      </w:pPr>
      <w:r w:rsidRPr="00BD77D8">
        <w:rPr>
          <w:b/>
          <w:bCs/>
        </w:rPr>
        <w:t>Key achievements</w:t>
      </w:r>
    </w:p>
    <w:p w14:paraId="0CF990C7" w14:textId="7FE8D3DE" w:rsidR="00861AB3" w:rsidRPr="00BD77D8" w:rsidRDefault="00735FF6" w:rsidP="00F92945">
      <w:pPr>
        <w:spacing w:after="120" w:line="240" w:lineRule="auto"/>
      </w:pPr>
      <w:r w:rsidRPr="00BD77D8">
        <w:rPr>
          <w:rFonts w:eastAsia="Calibri"/>
          <w:w w:val="105"/>
          <w:lang w:val="en-US" w:eastAsia="en-US"/>
        </w:rPr>
        <w:t xml:space="preserve">During the reporting period, the department: </w:t>
      </w:r>
    </w:p>
    <w:p w14:paraId="128FAEBB" w14:textId="08E1107F" w:rsidR="001A57D7" w:rsidRPr="00BD77D8" w:rsidRDefault="00861AB3" w:rsidP="004419C8">
      <w:pPr>
        <w:pStyle w:val="ListBullet"/>
        <w:tabs>
          <w:tab w:val="clear" w:pos="360"/>
          <w:tab w:val="num" w:pos="644"/>
        </w:tabs>
        <w:ind w:left="644"/>
        <w:rPr>
          <w:rFonts w:eastAsia="Calibri"/>
        </w:rPr>
      </w:pPr>
      <w:r w:rsidRPr="00BD77D8">
        <w:rPr>
          <w:rFonts w:eastAsia="Calibri"/>
        </w:rPr>
        <w:t xml:space="preserve">finalised </w:t>
      </w:r>
      <w:r w:rsidR="00F83810" w:rsidRPr="00BD77D8">
        <w:rPr>
          <w:rFonts w:eastAsia="Calibri"/>
        </w:rPr>
        <w:t xml:space="preserve">the </w:t>
      </w:r>
      <w:r w:rsidR="001A57D7" w:rsidRPr="00BD77D8">
        <w:rPr>
          <w:rFonts w:eastAsia="Calibri"/>
        </w:rPr>
        <w:t xml:space="preserve">Land Holding Act Resolution Project engagement, noting that of the 436 valid applications, engagement produced a result in 358 cases. Of the 78 remaining cases: </w:t>
      </w:r>
    </w:p>
    <w:p w14:paraId="2D2F05AA" w14:textId="5C192603" w:rsidR="001A57D7" w:rsidRPr="00BD77D8" w:rsidRDefault="001A57D7" w:rsidP="00F729B3">
      <w:pPr>
        <w:pStyle w:val="ListBullet"/>
        <w:numPr>
          <w:ilvl w:val="0"/>
          <w:numId w:val="56"/>
        </w:numPr>
        <w:rPr>
          <w:rFonts w:eastAsia="Calibri"/>
        </w:rPr>
      </w:pPr>
      <w:r w:rsidRPr="00BD77D8">
        <w:rPr>
          <w:rFonts w:eastAsia="Calibri"/>
        </w:rPr>
        <w:t xml:space="preserve">27 were referred to </w:t>
      </w:r>
      <w:r w:rsidR="00F83810" w:rsidRPr="00BD77D8">
        <w:rPr>
          <w:rFonts w:eastAsia="Calibri"/>
        </w:rPr>
        <w:t xml:space="preserve">the </w:t>
      </w:r>
      <w:r w:rsidRPr="00BD77D8">
        <w:rPr>
          <w:rFonts w:eastAsia="Calibri"/>
        </w:rPr>
        <w:t xml:space="preserve">Department of Communities, Housing and the Digital Economy </w:t>
      </w:r>
      <w:r w:rsidR="0018094A" w:rsidRPr="00BD77D8">
        <w:rPr>
          <w:rFonts w:eastAsia="Calibri"/>
        </w:rPr>
        <w:t>(DCHDE)</w:t>
      </w:r>
    </w:p>
    <w:p w14:paraId="7FF91A67" w14:textId="77777777" w:rsidR="001A57D7" w:rsidRPr="00BD77D8" w:rsidRDefault="001A57D7" w:rsidP="00F729B3">
      <w:pPr>
        <w:pStyle w:val="ListBullet"/>
        <w:numPr>
          <w:ilvl w:val="0"/>
          <w:numId w:val="56"/>
        </w:numPr>
        <w:rPr>
          <w:rFonts w:eastAsia="Calibri"/>
        </w:rPr>
      </w:pPr>
      <w:r w:rsidRPr="00BD77D8">
        <w:rPr>
          <w:rFonts w:eastAsia="Calibri"/>
        </w:rPr>
        <w:t xml:space="preserve">35 were referred to the Department of Resources </w:t>
      </w:r>
    </w:p>
    <w:p w14:paraId="30E43136" w14:textId="3E7A4199" w:rsidR="00F83810" w:rsidRPr="00BD77D8" w:rsidRDefault="001A57D7" w:rsidP="00F729B3">
      <w:pPr>
        <w:pStyle w:val="ListBullet"/>
        <w:numPr>
          <w:ilvl w:val="0"/>
          <w:numId w:val="56"/>
        </w:numPr>
        <w:tabs>
          <w:tab w:val="num" w:pos="644"/>
        </w:tabs>
        <w:rPr>
          <w:rFonts w:eastAsia="Calibri"/>
        </w:rPr>
      </w:pPr>
      <w:r w:rsidRPr="00BD77D8">
        <w:rPr>
          <w:rFonts w:eastAsia="Calibri"/>
        </w:rPr>
        <w:t>16 cases remain with the department owing to their level of complexity and need for bespoke solutions.</w:t>
      </w:r>
      <w:r w:rsidR="00F83810" w:rsidRPr="00BD77D8">
        <w:rPr>
          <w:rFonts w:eastAsia="Calibri"/>
        </w:rPr>
        <w:t xml:space="preserve"> The department continues to provide support to these partner agencies to progress the remaining cases</w:t>
      </w:r>
    </w:p>
    <w:p w14:paraId="61F3FFF4" w14:textId="77777777" w:rsidR="000C7D37" w:rsidRPr="00BD77D8" w:rsidRDefault="00735FF6" w:rsidP="00E956DC">
      <w:pPr>
        <w:pStyle w:val="ListBullet"/>
        <w:tabs>
          <w:tab w:val="clear" w:pos="360"/>
          <w:tab w:val="num" w:pos="644"/>
        </w:tabs>
        <w:ind w:left="644"/>
        <w:rPr>
          <w:rFonts w:eastAsia="Calibri"/>
        </w:rPr>
      </w:pPr>
      <w:r w:rsidRPr="00BD77D8">
        <w:rPr>
          <w:rFonts w:eastAsia="Calibri"/>
        </w:rPr>
        <w:lastRenderedPageBreak/>
        <w:t>f</w:t>
      </w:r>
      <w:r w:rsidR="001A57D7" w:rsidRPr="00BD77D8">
        <w:rPr>
          <w:rFonts w:eastAsia="Calibri"/>
        </w:rPr>
        <w:t xml:space="preserve">inalised beneficiary assessments, noting that as </w:t>
      </w:r>
      <w:r w:rsidR="00C3464C" w:rsidRPr="00BD77D8">
        <w:rPr>
          <w:rFonts w:eastAsia="Calibri"/>
        </w:rPr>
        <w:t xml:space="preserve">at </w:t>
      </w:r>
      <w:r w:rsidR="001A57D7" w:rsidRPr="00BD77D8">
        <w:rPr>
          <w:rFonts w:eastAsia="Calibri"/>
        </w:rPr>
        <w:t xml:space="preserve">30 June 2022, of the 410* primary beneficiary assessments required to be completed, 388 </w:t>
      </w:r>
      <w:r w:rsidR="00552B4C" w:rsidRPr="00BD77D8">
        <w:rPr>
          <w:rFonts w:eastAsia="Calibri"/>
        </w:rPr>
        <w:t>were</w:t>
      </w:r>
      <w:r w:rsidR="001A57D7" w:rsidRPr="00BD77D8">
        <w:rPr>
          <w:rFonts w:eastAsia="Calibri"/>
        </w:rPr>
        <w:t xml:space="preserve"> completed with 22 being identified as unresolvable</w:t>
      </w:r>
      <w:r w:rsidR="000C7D37" w:rsidRPr="00BD77D8">
        <w:rPr>
          <w:rFonts w:eastAsia="Calibri"/>
        </w:rPr>
        <w:t xml:space="preserve"> </w:t>
      </w:r>
    </w:p>
    <w:p w14:paraId="43ECF6FF" w14:textId="2C171F3B" w:rsidR="00900AEB" w:rsidRPr="00BD77D8" w:rsidRDefault="001A57D7" w:rsidP="00930393">
      <w:pPr>
        <w:pStyle w:val="ListBullet"/>
        <w:numPr>
          <w:ilvl w:val="0"/>
          <w:numId w:val="0"/>
        </w:numPr>
        <w:spacing w:after="240" w:line="240" w:lineRule="auto"/>
        <w:ind w:left="567"/>
        <w:rPr>
          <w:rFonts w:eastAsia="Calibri"/>
          <w:sz w:val="18"/>
          <w:szCs w:val="18"/>
          <w:lang w:val="en-US" w:eastAsia="en-US"/>
        </w:rPr>
      </w:pPr>
      <w:r w:rsidRPr="00BD77D8">
        <w:rPr>
          <w:rFonts w:eastAsia="Calibri"/>
          <w:sz w:val="18"/>
          <w:szCs w:val="18"/>
          <w:lang w:val="en-US" w:eastAsia="en-US"/>
        </w:rPr>
        <w:t>(*</w:t>
      </w:r>
      <w:r w:rsidR="00C3464C" w:rsidRPr="00BD77D8">
        <w:rPr>
          <w:rFonts w:eastAsia="Calibri"/>
          <w:sz w:val="18"/>
          <w:szCs w:val="18"/>
          <w:lang w:val="en-US" w:eastAsia="en-US"/>
        </w:rPr>
        <w:t xml:space="preserve"> </w:t>
      </w:r>
      <w:r w:rsidRPr="00BD77D8">
        <w:rPr>
          <w:rFonts w:eastAsia="Calibri"/>
          <w:sz w:val="18"/>
          <w:szCs w:val="18"/>
          <w:lang w:val="en-US" w:eastAsia="en-US"/>
        </w:rPr>
        <w:t>the number of beneficiary assessments required to be completed is not a static number due to applicants who have passed away)</w:t>
      </w:r>
      <w:r w:rsidR="00D00E43" w:rsidRPr="00BD77D8">
        <w:rPr>
          <w:rFonts w:eastAsia="Calibri"/>
          <w:sz w:val="18"/>
          <w:szCs w:val="18"/>
          <w:lang w:val="en-US" w:eastAsia="en-US"/>
        </w:rPr>
        <w:t>.</w:t>
      </w:r>
    </w:p>
    <w:p w14:paraId="2D649C8E" w14:textId="3CD1582F" w:rsidR="00861AB3" w:rsidRPr="00BD77D8" w:rsidRDefault="00861AB3" w:rsidP="00930393">
      <w:pPr>
        <w:rPr>
          <w:lang w:eastAsia="en-US"/>
        </w:rPr>
      </w:pPr>
      <w:r w:rsidRPr="00BD77D8">
        <w:rPr>
          <w:lang w:eastAsia="en-US"/>
        </w:rPr>
        <w:t>Further information</w:t>
      </w:r>
      <w:r w:rsidR="00552B4C" w:rsidRPr="00BD77D8">
        <w:rPr>
          <w:lang w:eastAsia="en-US"/>
        </w:rPr>
        <w:t xml:space="preserve"> regarding the </w:t>
      </w:r>
      <w:r w:rsidRPr="00BD77D8">
        <w:rPr>
          <w:lang w:eastAsia="en-US"/>
        </w:rPr>
        <w:t>definition</w:t>
      </w:r>
      <w:r w:rsidR="00552B4C" w:rsidRPr="00BD77D8">
        <w:rPr>
          <w:lang w:eastAsia="en-US"/>
        </w:rPr>
        <w:t xml:space="preserve"> of</w:t>
      </w:r>
      <w:r w:rsidRPr="00BD77D8">
        <w:rPr>
          <w:lang w:eastAsia="en-US"/>
        </w:rPr>
        <w:t xml:space="preserve"> the Land Holding</w:t>
      </w:r>
      <w:r w:rsidR="002169EC" w:rsidRPr="00BD77D8">
        <w:rPr>
          <w:lang w:eastAsia="en-US"/>
        </w:rPr>
        <w:t xml:space="preserve"> Act </w:t>
      </w:r>
      <w:r w:rsidR="00CE70F5" w:rsidRPr="00BD77D8">
        <w:rPr>
          <w:lang w:eastAsia="en-US"/>
        </w:rPr>
        <w:t>P</w:t>
      </w:r>
      <w:r w:rsidRPr="00BD77D8">
        <w:rPr>
          <w:lang w:eastAsia="en-US"/>
        </w:rPr>
        <w:t>roject</w:t>
      </w:r>
      <w:r w:rsidR="00552B4C" w:rsidRPr="00BD77D8">
        <w:rPr>
          <w:lang w:eastAsia="en-US"/>
        </w:rPr>
        <w:t xml:space="preserve"> can be found</w:t>
      </w:r>
      <w:r w:rsidRPr="00BD77D8">
        <w:rPr>
          <w:lang w:eastAsia="en-US"/>
        </w:rPr>
        <w:t xml:space="preserve"> in Appendix </w:t>
      </w:r>
      <w:r w:rsidR="00C47901" w:rsidRPr="00BD77D8">
        <w:rPr>
          <w:lang w:eastAsia="en-US"/>
        </w:rPr>
        <w:t>1</w:t>
      </w:r>
      <w:r w:rsidR="00A97C65" w:rsidRPr="00BD77D8">
        <w:t>—</w:t>
      </w:r>
      <w:r w:rsidR="00C47901" w:rsidRPr="00BD77D8">
        <w:rPr>
          <w:lang w:eastAsia="en-US"/>
        </w:rPr>
        <w:t>Glossary</w:t>
      </w:r>
      <w:r w:rsidR="00F83810" w:rsidRPr="00BD77D8">
        <w:rPr>
          <w:lang w:eastAsia="en-US"/>
        </w:rPr>
        <w:t>,</w:t>
      </w:r>
      <w:r w:rsidRPr="00BD77D8">
        <w:rPr>
          <w:lang w:eastAsia="en-US"/>
        </w:rPr>
        <w:t xml:space="preserve"> on page</w:t>
      </w:r>
      <w:r w:rsidR="00C47901" w:rsidRPr="00BD77D8">
        <w:rPr>
          <w:lang w:eastAsia="en-US"/>
        </w:rPr>
        <w:t xml:space="preserve"> 6</w:t>
      </w:r>
      <w:r w:rsidR="006306DE" w:rsidRPr="00BD77D8">
        <w:rPr>
          <w:lang w:eastAsia="en-US"/>
        </w:rPr>
        <w:t>1</w:t>
      </w:r>
      <w:r w:rsidR="00CE70F5" w:rsidRPr="00BD77D8">
        <w:rPr>
          <w:lang w:eastAsia="en-US"/>
        </w:rPr>
        <w:t>.</w:t>
      </w:r>
    </w:p>
    <w:p w14:paraId="4F3FCA15" w14:textId="0E8D5485" w:rsidR="004E197D" w:rsidRPr="00BD77D8" w:rsidRDefault="004E197D" w:rsidP="007524AB">
      <w:pPr>
        <w:pStyle w:val="Heading3"/>
      </w:pPr>
      <w:r w:rsidRPr="00BD77D8">
        <w:t xml:space="preserve">Master </w:t>
      </w:r>
      <w:r w:rsidR="00A97C65" w:rsidRPr="00BD77D8">
        <w:t>p</w:t>
      </w:r>
      <w:r w:rsidRPr="00BD77D8">
        <w:t>lanning</w:t>
      </w:r>
      <w:bookmarkEnd w:id="239"/>
      <w:bookmarkEnd w:id="240"/>
      <w:bookmarkEnd w:id="241"/>
    </w:p>
    <w:p w14:paraId="5D386776" w14:textId="4FC1B7D4" w:rsidR="004E197D" w:rsidRPr="00BD77D8" w:rsidRDefault="004E197D" w:rsidP="00D21656">
      <w:pPr>
        <w:rPr>
          <w:rFonts w:eastAsia="Calibri"/>
          <w:spacing w:val="-1"/>
          <w:lang w:val="en-US" w:eastAsia="en-US"/>
        </w:rPr>
      </w:pPr>
      <w:r w:rsidRPr="00BD77D8">
        <w:rPr>
          <w:rFonts w:eastAsia="Calibri"/>
          <w:lang w:val="en-US" w:eastAsia="en-US"/>
        </w:rPr>
        <w:t>In</w:t>
      </w:r>
      <w:r w:rsidRPr="00BD77D8">
        <w:rPr>
          <w:rFonts w:eastAsia="Calibri"/>
          <w:spacing w:val="-14"/>
          <w:lang w:val="en-US" w:eastAsia="en-US"/>
        </w:rPr>
        <w:t xml:space="preserve"> </w:t>
      </w:r>
      <w:r w:rsidRPr="00BD77D8">
        <w:rPr>
          <w:rFonts w:eastAsia="Calibri"/>
          <w:spacing w:val="-1"/>
          <w:lang w:val="en-US" w:eastAsia="en-US"/>
        </w:rPr>
        <w:t>p</w:t>
      </w:r>
      <w:r w:rsidRPr="00BD77D8">
        <w:rPr>
          <w:rFonts w:eastAsia="Calibri"/>
          <w:lang w:val="en-US" w:eastAsia="en-US"/>
        </w:rPr>
        <w:t>artner</w:t>
      </w:r>
      <w:r w:rsidRPr="00BD77D8">
        <w:rPr>
          <w:rFonts w:eastAsia="Calibri"/>
          <w:spacing w:val="-1"/>
          <w:lang w:val="en-US" w:eastAsia="en-US"/>
        </w:rPr>
        <w:t>ship</w:t>
      </w:r>
      <w:r w:rsidRPr="00BD77D8">
        <w:rPr>
          <w:rFonts w:eastAsia="Calibri"/>
          <w:spacing w:val="-14"/>
          <w:lang w:val="en-US" w:eastAsia="en-US"/>
        </w:rPr>
        <w:t xml:space="preserve"> </w:t>
      </w:r>
      <w:r w:rsidRPr="00BD77D8">
        <w:rPr>
          <w:rFonts w:eastAsia="Calibri"/>
          <w:lang w:val="en-US" w:eastAsia="en-US"/>
        </w:rPr>
        <w:t>with remote and discrete Aboriginal and Torres Strait Islander communities, c</w:t>
      </w:r>
      <w:r w:rsidRPr="00BD77D8">
        <w:rPr>
          <w:rFonts w:eastAsia="Calibri"/>
          <w:spacing w:val="-3"/>
          <w:lang w:val="en-US" w:eastAsia="en-US"/>
        </w:rPr>
        <w:t>ou</w:t>
      </w:r>
      <w:r w:rsidRPr="00BD77D8">
        <w:rPr>
          <w:rFonts w:eastAsia="Calibri"/>
          <w:lang w:val="en-US" w:eastAsia="en-US"/>
        </w:rPr>
        <w:t>ncils,</w:t>
      </w:r>
      <w:r w:rsidRPr="00BD77D8">
        <w:rPr>
          <w:rFonts w:eastAsia="Calibri"/>
          <w:spacing w:val="-16"/>
          <w:lang w:val="en-US" w:eastAsia="en-US"/>
        </w:rPr>
        <w:t xml:space="preserve"> </w:t>
      </w:r>
      <w:r w:rsidRPr="00BD77D8">
        <w:rPr>
          <w:rFonts w:eastAsia="Calibri"/>
          <w:lang w:val="en-US" w:eastAsia="en-US"/>
        </w:rPr>
        <w:t>Tr</w:t>
      </w:r>
      <w:r w:rsidRPr="00BD77D8">
        <w:rPr>
          <w:rFonts w:eastAsia="Calibri"/>
          <w:spacing w:val="-1"/>
          <w:lang w:val="en-US" w:eastAsia="en-US"/>
        </w:rPr>
        <w:t>aditional</w:t>
      </w:r>
      <w:r w:rsidRPr="00BD77D8">
        <w:rPr>
          <w:rFonts w:eastAsia="Calibri"/>
          <w:spacing w:val="-16"/>
          <w:lang w:val="en-US" w:eastAsia="en-US"/>
        </w:rPr>
        <w:t xml:space="preserve"> </w:t>
      </w:r>
      <w:r w:rsidRPr="00BD77D8">
        <w:rPr>
          <w:rFonts w:eastAsia="Calibri"/>
          <w:lang w:val="en-US" w:eastAsia="en-US"/>
        </w:rPr>
        <w:t>Owner</w:t>
      </w:r>
      <w:r w:rsidRPr="00BD77D8">
        <w:rPr>
          <w:rFonts w:eastAsia="Calibri"/>
          <w:spacing w:val="-1"/>
          <w:lang w:val="en-US" w:eastAsia="en-US"/>
        </w:rPr>
        <w:t>s</w:t>
      </w:r>
      <w:r w:rsidRPr="00BD77D8">
        <w:rPr>
          <w:rFonts w:eastAsia="Calibri"/>
          <w:spacing w:val="-15"/>
          <w:lang w:val="en-US" w:eastAsia="en-US"/>
        </w:rPr>
        <w:t xml:space="preserve"> </w:t>
      </w:r>
      <w:r w:rsidRPr="00BD77D8">
        <w:rPr>
          <w:rFonts w:eastAsia="Calibri"/>
          <w:lang w:val="en-US" w:eastAsia="en-US"/>
        </w:rPr>
        <w:t>and</w:t>
      </w:r>
      <w:r w:rsidRPr="00BD77D8">
        <w:rPr>
          <w:rFonts w:eastAsia="Calibri"/>
          <w:spacing w:val="-15"/>
          <w:lang w:val="en-US" w:eastAsia="en-US"/>
        </w:rPr>
        <w:t xml:space="preserve"> </w:t>
      </w:r>
      <w:r w:rsidRPr="00BD77D8">
        <w:rPr>
          <w:rFonts w:eastAsia="Calibri"/>
          <w:lang w:val="en-US" w:eastAsia="en-US"/>
        </w:rPr>
        <w:t>re</w:t>
      </w:r>
      <w:r w:rsidRPr="00BD77D8">
        <w:rPr>
          <w:rFonts w:eastAsia="Calibri"/>
          <w:spacing w:val="-1"/>
          <w:lang w:val="en-US" w:eastAsia="en-US"/>
        </w:rPr>
        <w:t>sid</w:t>
      </w:r>
      <w:r w:rsidRPr="00BD77D8">
        <w:rPr>
          <w:rFonts w:eastAsia="Calibri"/>
          <w:lang w:val="en-US" w:eastAsia="en-US"/>
        </w:rPr>
        <w:t>ents, the</w:t>
      </w:r>
      <w:r w:rsidRPr="00BD77D8">
        <w:rPr>
          <w:rFonts w:eastAsia="Calibri"/>
          <w:spacing w:val="-12"/>
          <w:lang w:val="en-US" w:eastAsia="en-US"/>
        </w:rPr>
        <w:t xml:space="preserve"> </w:t>
      </w:r>
      <w:r w:rsidRPr="00BD77D8">
        <w:rPr>
          <w:rFonts w:eastAsia="Calibri"/>
          <w:spacing w:val="-1"/>
          <w:lang w:val="en-US" w:eastAsia="en-US"/>
        </w:rPr>
        <w:t>dep</w:t>
      </w:r>
      <w:r w:rsidRPr="00BD77D8">
        <w:rPr>
          <w:rFonts w:eastAsia="Calibri"/>
          <w:lang w:val="en-US" w:eastAsia="en-US"/>
        </w:rPr>
        <w:t>artment</w:t>
      </w:r>
      <w:r w:rsidRPr="00BD77D8">
        <w:rPr>
          <w:rFonts w:eastAsia="Calibri"/>
          <w:spacing w:val="-12"/>
          <w:lang w:val="en-US" w:eastAsia="en-US"/>
        </w:rPr>
        <w:t xml:space="preserve"> </w:t>
      </w:r>
      <w:r w:rsidRPr="00BD77D8">
        <w:rPr>
          <w:rFonts w:eastAsia="Calibri"/>
          <w:spacing w:val="-1"/>
          <w:lang w:val="en-US" w:eastAsia="en-US"/>
        </w:rPr>
        <w:t>led</w:t>
      </w:r>
      <w:r w:rsidRPr="00BD77D8">
        <w:rPr>
          <w:rFonts w:eastAsia="Calibri"/>
          <w:spacing w:val="-13"/>
          <w:lang w:val="en-US" w:eastAsia="en-US"/>
        </w:rPr>
        <w:t xml:space="preserve"> </w:t>
      </w:r>
      <w:r w:rsidRPr="00BD77D8">
        <w:rPr>
          <w:rFonts w:eastAsia="Calibri"/>
          <w:lang w:val="en-US" w:eastAsia="en-US"/>
        </w:rPr>
        <w:t>a</w:t>
      </w:r>
      <w:r w:rsidRPr="00BD77D8">
        <w:rPr>
          <w:rFonts w:eastAsia="Calibri"/>
          <w:spacing w:val="-11"/>
          <w:lang w:val="en-US" w:eastAsia="en-US"/>
        </w:rPr>
        <w:t xml:space="preserve"> </w:t>
      </w:r>
      <w:r w:rsidRPr="00BD77D8">
        <w:rPr>
          <w:rFonts w:eastAsia="Calibri"/>
          <w:lang w:val="en-US" w:eastAsia="en-US"/>
        </w:rPr>
        <w:t>r</w:t>
      </w:r>
      <w:r w:rsidRPr="00BD77D8">
        <w:rPr>
          <w:rFonts w:eastAsia="Calibri"/>
          <w:spacing w:val="-1"/>
          <w:lang w:val="en-US" w:eastAsia="en-US"/>
        </w:rPr>
        <w:t>ange</w:t>
      </w:r>
      <w:r w:rsidRPr="00BD77D8">
        <w:rPr>
          <w:rFonts w:eastAsia="Calibri"/>
          <w:spacing w:val="-12"/>
          <w:lang w:val="en-US" w:eastAsia="en-US"/>
        </w:rPr>
        <w:t xml:space="preserve"> </w:t>
      </w:r>
      <w:r w:rsidRPr="00BD77D8">
        <w:rPr>
          <w:rFonts w:eastAsia="Calibri"/>
          <w:lang w:val="en-US" w:eastAsia="en-US"/>
        </w:rPr>
        <w:t>of</w:t>
      </w:r>
      <w:r w:rsidRPr="00BD77D8">
        <w:rPr>
          <w:rFonts w:eastAsia="Calibri"/>
          <w:spacing w:val="-12"/>
          <w:lang w:val="en-US" w:eastAsia="en-US"/>
        </w:rPr>
        <w:t xml:space="preserve"> </w:t>
      </w:r>
      <w:r w:rsidRPr="00BD77D8">
        <w:rPr>
          <w:rFonts w:eastAsia="Calibri"/>
          <w:lang w:val="en-US" w:eastAsia="en-US"/>
        </w:rPr>
        <w:t>m</w:t>
      </w:r>
      <w:r w:rsidRPr="00BD77D8">
        <w:rPr>
          <w:rFonts w:eastAsia="Calibri"/>
          <w:spacing w:val="-1"/>
          <w:lang w:val="en-US" w:eastAsia="en-US"/>
        </w:rPr>
        <w:t>as</w:t>
      </w:r>
      <w:r w:rsidRPr="00BD77D8">
        <w:rPr>
          <w:rFonts w:eastAsia="Calibri"/>
          <w:lang w:val="en-US" w:eastAsia="en-US"/>
        </w:rPr>
        <w:t>ter</w:t>
      </w:r>
      <w:r w:rsidRPr="00BD77D8">
        <w:rPr>
          <w:rFonts w:eastAsia="Calibri"/>
          <w:spacing w:val="-12"/>
          <w:lang w:val="en-US" w:eastAsia="en-US"/>
        </w:rPr>
        <w:t xml:space="preserve"> </w:t>
      </w:r>
      <w:r w:rsidRPr="00BD77D8">
        <w:rPr>
          <w:rFonts w:eastAsia="Calibri"/>
          <w:spacing w:val="-1"/>
          <w:lang w:val="en-US" w:eastAsia="en-US"/>
        </w:rPr>
        <w:t>planning</w:t>
      </w:r>
      <w:r w:rsidRPr="00BD77D8">
        <w:rPr>
          <w:rFonts w:eastAsia="Calibri"/>
          <w:spacing w:val="-11"/>
          <w:lang w:val="en-US" w:eastAsia="en-US"/>
        </w:rPr>
        <w:t xml:space="preserve"> </w:t>
      </w:r>
      <w:r w:rsidRPr="00BD77D8">
        <w:rPr>
          <w:rFonts w:eastAsia="Calibri"/>
          <w:lang w:val="en-US" w:eastAsia="en-US"/>
        </w:rPr>
        <w:t xml:space="preserve">projects to </w:t>
      </w:r>
      <w:r w:rsidR="00B94EE7" w:rsidRPr="00BD77D8">
        <w:rPr>
          <w:rFonts w:eastAsia="Calibri"/>
          <w:lang w:val="en-US" w:eastAsia="en-US"/>
        </w:rPr>
        <w:t>plan</w:t>
      </w:r>
      <w:r w:rsidR="00C47901" w:rsidRPr="00BD77D8">
        <w:rPr>
          <w:rFonts w:eastAsia="Calibri"/>
          <w:lang w:val="en-US" w:eastAsia="en-US"/>
        </w:rPr>
        <w:t xml:space="preserve"> for the</w:t>
      </w:r>
      <w:r w:rsidRPr="00BD77D8">
        <w:rPr>
          <w:rFonts w:eastAsia="Calibri"/>
          <w:lang w:val="en-US" w:eastAsia="en-US"/>
        </w:rPr>
        <w:t xml:space="preserve"> needs and aspirations of Aboriginal and Torres Strait Islander Queenslanders, including commercial, residential, industrial and community goals. A master plan is a council policy document that provides internal and external stakeholders with effective and tailored guidance for decisions about future development and facilitates positive service delivery and economic outcomes for remote and discrete Aboriginal and Torres Strait Islander communities.</w:t>
      </w:r>
    </w:p>
    <w:p w14:paraId="57E5FFEB" w14:textId="353C8C95" w:rsidR="004E197D" w:rsidRPr="00BD77D8" w:rsidRDefault="004E197D" w:rsidP="00433A9A">
      <w:pPr>
        <w:spacing w:after="120" w:line="240" w:lineRule="auto"/>
        <w:rPr>
          <w:b/>
          <w:bCs/>
        </w:rPr>
      </w:pPr>
      <w:r w:rsidRPr="00BD77D8">
        <w:rPr>
          <w:b/>
          <w:bCs/>
        </w:rPr>
        <w:t>Key achievements</w:t>
      </w:r>
    </w:p>
    <w:p w14:paraId="2D97C359" w14:textId="3E570384" w:rsidR="004E197D" w:rsidRPr="00BD77D8" w:rsidRDefault="004E197D" w:rsidP="00AF1866">
      <w:pPr>
        <w:spacing w:after="120" w:line="240" w:lineRule="auto"/>
        <w:rPr>
          <w:lang w:val="en-US"/>
        </w:rPr>
      </w:pPr>
      <w:bookmarkStart w:id="242" w:name="_Toc67046696"/>
      <w:r w:rsidRPr="00BD77D8">
        <w:rPr>
          <w:lang w:val="en-US"/>
        </w:rPr>
        <w:t>The department facilitated the preparation of the following Master Plans</w:t>
      </w:r>
      <w:r w:rsidR="002704E5" w:rsidRPr="00BD77D8">
        <w:rPr>
          <w:lang w:val="en-US"/>
        </w:rPr>
        <w:t>, and new</w:t>
      </w:r>
      <w:r w:rsidRPr="00BD77D8">
        <w:rPr>
          <w:lang w:val="en-US"/>
        </w:rPr>
        <w:t xml:space="preserve"> Precinct Plans </w:t>
      </w:r>
      <w:r w:rsidR="002704E5" w:rsidRPr="00BD77D8">
        <w:rPr>
          <w:lang w:val="en-US"/>
        </w:rPr>
        <w:t>for communities:</w:t>
      </w:r>
      <w:r w:rsidR="00552B4C" w:rsidRPr="00BD77D8">
        <w:rPr>
          <w:lang w:val="en-US"/>
        </w:rPr>
        <w:t xml:space="preserve"> </w:t>
      </w:r>
    </w:p>
    <w:p w14:paraId="3A64E606" w14:textId="2892A96A" w:rsidR="00816C30" w:rsidRPr="00BD77D8" w:rsidRDefault="002E3A2B" w:rsidP="00816C30">
      <w:pPr>
        <w:spacing w:after="120" w:line="240" w:lineRule="auto"/>
        <w:rPr>
          <w:i/>
          <w:iCs/>
        </w:rPr>
      </w:pPr>
      <w:r w:rsidRPr="00BD77D8">
        <w:rPr>
          <w:i/>
          <w:iCs/>
        </w:rPr>
        <w:t>Ma</w:t>
      </w:r>
      <w:r w:rsidR="004E197D" w:rsidRPr="00BD77D8">
        <w:rPr>
          <w:i/>
          <w:iCs/>
        </w:rPr>
        <w:t>ster Plans</w:t>
      </w:r>
      <w:r w:rsidR="007B585C" w:rsidRPr="00BD77D8">
        <w:rPr>
          <w:i/>
          <w:iCs/>
        </w:rPr>
        <w:t xml:space="preserve"> </w:t>
      </w:r>
      <w:r w:rsidR="00816C30" w:rsidRPr="00BD77D8">
        <w:rPr>
          <w:i/>
          <w:iCs/>
        </w:rPr>
        <w:t xml:space="preserve"> </w:t>
      </w:r>
    </w:p>
    <w:p w14:paraId="6F757AFD" w14:textId="2EE37D18" w:rsidR="002E3A2B" w:rsidRPr="00BD77D8" w:rsidRDefault="002E3A2B" w:rsidP="007625C3">
      <w:pPr>
        <w:pStyle w:val="ListParagraph"/>
        <w:numPr>
          <w:ilvl w:val="0"/>
          <w:numId w:val="21"/>
        </w:numPr>
      </w:pPr>
      <w:r w:rsidRPr="00BD77D8">
        <w:rPr>
          <w:i/>
          <w:iCs/>
        </w:rPr>
        <w:t>Master Plans</w:t>
      </w:r>
      <w:r w:rsidRPr="00BD77D8">
        <w:t>: six Master Plans have been completed (Badu Island, Boigu Island, Dauan Island, Erub Island, Kubin Community Moa Island, Mabuiag Island)</w:t>
      </w:r>
    </w:p>
    <w:p w14:paraId="34FB91F0" w14:textId="1D7A149D" w:rsidR="00433A9A" w:rsidRPr="00BD77D8" w:rsidRDefault="007D52FA" w:rsidP="007625C3">
      <w:pPr>
        <w:pStyle w:val="ListParagraph"/>
        <w:numPr>
          <w:ilvl w:val="0"/>
          <w:numId w:val="21"/>
        </w:numPr>
      </w:pPr>
      <w:r w:rsidRPr="00BD77D8">
        <w:rPr>
          <w:i/>
          <w:iCs/>
        </w:rPr>
        <w:t>Rural Master Plans:</w:t>
      </w:r>
      <w:r w:rsidRPr="00BD77D8">
        <w:t xml:space="preserve"> three </w:t>
      </w:r>
      <w:r w:rsidR="00C64BCF" w:rsidRPr="00BD77D8">
        <w:t>Rural Master Plans</w:t>
      </w:r>
      <w:r w:rsidR="0043039E" w:rsidRPr="00BD77D8">
        <w:t xml:space="preserve"> are </w:t>
      </w:r>
      <w:r w:rsidRPr="00BD77D8">
        <w:t>nearing completion (</w:t>
      </w:r>
      <w:r w:rsidR="0043039E" w:rsidRPr="00BD77D8">
        <w:t xml:space="preserve">Northern Peninsula Area, Woorabinda and </w:t>
      </w:r>
      <w:r w:rsidRPr="00BD77D8">
        <w:t>Gunggandji-Mandingalbay Yidinji Peoples Prescribed Body Corporate (GMYPPBC), and one is underway in Hope Vale</w:t>
      </w:r>
    </w:p>
    <w:p w14:paraId="278A2660" w14:textId="4850D4A5" w:rsidR="00816C30" w:rsidRPr="00BD77D8" w:rsidRDefault="007D52FA" w:rsidP="00367874">
      <w:pPr>
        <w:pStyle w:val="ListParagraph"/>
        <w:numPr>
          <w:ilvl w:val="0"/>
          <w:numId w:val="21"/>
        </w:numPr>
      </w:pPr>
      <w:r w:rsidRPr="00BD77D8">
        <w:rPr>
          <w:i/>
          <w:iCs/>
        </w:rPr>
        <w:t>Urban Master Plans:</w:t>
      </w:r>
      <w:r w:rsidRPr="00BD77D8">
        <w:t xml:space="preserve"> </w:t>
      </w:r>
      <w:r w:rsidR="002E3A2B" w:rsidRPr="00BD77D8">
        <w:t>25 Urban Master Plans have been completed, including one review of an Urban Master Plan in Pormpuraaw (P</w:t>
      </w:r>
      <w:r w:rsidR="00433A9A" w:rsidRPr="00BD77D8">
        <w:t xml:space="preserve">lease refer to Appendix 5: Master Plan </w:t>
      </w:r>
      <w:r w:rsidR="00C47901" w:rsidRPr="00BD77D8">
        <w:t>i</w:t>
      </w:r>
      <w:r w:rsidR="00433A9A" w:rsidRPr="00BD77D8">
        <w:t>nformation</w:t>
      </w:r>
      <w:r w:rsidR="00C47901" w:rsidRPr="00BD77D8">
        <w:t xml:space="preserve"> on page 8</w:t>
      </w:r>
      <w:r w:rsidR="00BA691A" w:rsidRPr="00BD77D8">
        <w:t>1</w:t>
      </w:r>
      <w:r w:rsidR="00433A9A" w:rsidRPr="00BD77D8">
        <w:t>, for further details</w:t>
      </w:r>
      <w:r w:rsidR="002E3A2B" w:rsidRPr="00BD77D8">
        <w:t>)</w:t>
      </w:r>
      <w:r w:rsidR="00433A9A" w:rsidRPr="00BD77D8">
        <w:t>.</w:t>
      </w:r>
    </w:p>
    <w:p w14:paraId="287D20B9" w14:textId="77777777" w:rsidR="004E197D" w:rsidRPr="00BD77D8" w:rsidRDefault="004E197D" w:rsidP="006F2599">
      <w:pPr>
        <w:spacing w:after="120" w:line="240" w:lineRule="auto"/>
        <w:rPr>
          <w:i/>
          <w:iCs/>
        </w:rPr>
      </w:pPr>
      <w:r w:rsidRPr="00BD77D8">
        <w:rPr>
          <w:i/>
          <w:iCs/>
        </w:rPr>
        <w:t>New Precinct Plans for communities</w:t>
      </w:r>
    </w:p>
    <w:p w14:paraId="496C048D" w14:textId="2B61F6F1" w:rsidR="00C64BCF" w:rsidRPr="00BD77D8" w:rsidRDefault="00C64BCF" w:rsidP="00A463E0">
      <w:pPr>
        <w:pStyle w:val="ListParagraph"/>
        <w:numPr>
          <w:ilvl w:val="0"/>
          <w:numId w:val="30"/>
        </w:numPr>
      </w:pPr>
      <w:r w:rsidRPr="00BD77D8">
        <w:t>five Precinct Plans</w:t>
      </w:r>
      <w:r w:rsidR="00BD19CC" w:rsidRPr="00BD77D8">
        <w:t xml:space="preserve"> were completed in Mapoon (Economic and Tourism Strategies; Cullen Point Campground and Street Landscaping), in Aurukun for the Tourism Precinct</w:t>
      </w:r>
      <w:r w:rsidR="002E52F1" w:rsidRPr="00BD77D8">
        <w:t>,</w:t>
      </w:r>
      <w:r w:rsidR="00BD19CC" w:rsidRPr="00BD77D8">
        <w:t xml:space="preserve"> and in Cherbourg for its residential, recreational and cemetery facilities</w:t>
      </w:r>
    </w:p>
    <w:p w14:paraId="635D124D" w14:textId="58FEB693" w:rsidR="004E197D" w:rsidRPr="00BD77D8" w:rsidRDefault="00C64BCF" w:rsidP="00A97C65">
      <w:pPr>
        <w:pStyle w:val="ListParagraph"/>
        <w:numPr>
          <w:ilvl w:val="0"/>
          <w:numId w:val="30"/>
        </w:numPr>
        <w:spacing w:line="240" w:lineRule="auto"/>
        <w:ind w:left="714" w:hanging="357"/>
      </w:pPr>
      <w:r w:rsidRPr="00BD77D8">
        <w:t>six detailed contour and site analysis surveys</w:t>
      </w:r>
      <w:r w:rsidR="00BD19CC" w:rsidRPr="00BD77D8">
        <w:t xml:space="preserve"> </w:t>
      </w:r>
      <w:r w:rsidR="002E52F1" w:rsidRPr="00BD77D8">
        <w:t xml:space="preserve">were </w:t>
      </w:r>
      <w:r w:rsidR="00BD19CC" w:rsidRPr="00BD77D8">
        <w:t xml:space="preserve">carried out at Cherbourg, Doomadgee, Mornington Island (2 surveys), Woorabinda and </w:t>
      </w:r>
      <w:proofErr w:type="spellStart"/>
      <w:r w:rsidR="00BD19CC" w:rsidRPr="00BD77D8">
        <w:t>Wujal</w:t>
      </w:r>
      <w:proofErr w:type="spellEnd"/>
      <w:r w:rsidR="00BD19CC" w:rsidRPr="00BD77D8">
        <w:t xml:space="preserve"> </w:t>
      </w:r>
      <w:proofErr w:type="spellStart"/>
      <w:r w:rsidR="00BD19CC" w:rsidRPr="00BD77D8">
        <w:t>Wujal</w:t>
      </w:r>
      <w:proofErr w:type="spellEnd"/>
      <w:r w:rsidR="00BD19CC" w:rsidRPr="00BD77D8">
        <w:t>.</w:t>
      </w:r>
    </w:p>
    <w:p w14:paraId="199B0316" w14:textId="5B3B5C2D" w:rsidR="004E197D" w:rsidRPr="00BD77D8" w:rsidRDefault="004E197D" w:rsidP="00A4161C">
      <w:pPr>
        <w:pStyle w:val="Heading3"/>
      </w:pPr>
      <w:bookmarkStart w:id="243" w:name="_Toc78287389"/>
      <w:bookmarkStart w:id="244" w:name="_Toc78355796"/>
      <w:r w:rsidRPr="00BD77D8">
        <w:t xml:space="preserve">Town </w:t>
      </w:r>
      <w:r w:rsidR="00A97C65" w:rsidRPr="00BD77D8">
        <w:t>p</w:t>
      </w:r>
      <w:r w:rsidRPr="00BD77D8">
        <w:t>lanning</w:t>
      </w:r>
      <w:bookmarkEnd w:id="242"/>
      <w:bookmarkEnd w:id="243"/>
      <w:bookmarkEnd w:id="244"/>
    </w:p>
    <w:p w14:paraId="4CCE6F39" w14:textId="733AD20D" w:rsidR="001C511C" w:rsidRPr="00BD77D8" w:rsidRDefault="004E197D" w:rsidP="00673D8C">
      <w:pPr>
        <w:rPr>
          <w:rFonts w:eastAsia="Calibri"/>
          <w:spacing w:val="-1"/>
          <w:lang w:val="en-US" w:eastAsia="en-US"/>
        </w:rPr>
      </w:pPr>
      <w:r w:rsidRPr="00BD77D8">
        <w:rPr>
          <w:rFonts w:eastAsia="Calibri"/>
          <w:lang w:val="en-US" w:eastAsia="en-US"/>
        </w:rPr>
        <w:t>The</w:t>
      </w:r>
      <w:r w:rsidRPr="00BD77D8">
        <w:rPr>
          <w:rFonts w:eastAsia="Calibri"/>
          <w:spacing w:val="-10"/>
          <w:lang w:val="en-US" w:eastAsia="en-US"/>
        </w:rPr>
        <w:t xml:space="preserve"> </w:t>
      </w:r>
      <w:r w:rsidRPr="00BD77D8">
        <w:rPr>
          <w:rFonts w:eastAsia="Calibri"/>
          <w:spacing w:val="-1"/>
          <w:lang w:val="en-US" w:eastAsia="en-US"/>
        </w:rPr>
        <w:t>dep</w:t>
      </w:r>
      <w:r w:rsidRPr="00BD77D8">
        <w:rPr>
          <w:rFonts w:eastAsia="Calibri"/>
          <w:spacing w:val="-2"/>
          <w:lang w:val="en-US" w:eastAsia="en-US"/>
        </w:rPr>
        <w:t>artment</w:t>
      </w:r>
      <w:r w:rsidRPr="00BD77D8">
        <w:rPr>
          <w:rFonts w:eastAsia="Calibri"/>
          <w:spacing w:val="-11"/>
          <w:lang w:val="en-US" w:eastAsia="en-US"/>
        </w:rPr>
        <w:t xml:space="preserve"> </w:t>
      </w:r>
      <w:proofErr w:type="gramStart"/>
      <w:r w:rsidRPr="00BD77D8">
        <w:rPr>
          <w:rFonts w:eastAsia="Calibri"/>
          <w:spacing w:val="-2"/>
          <w:lang w:val="en-US" w:eastAsia="en-US"/>
        </w:rPr>
        <w:t>pr</w:t>
      </w:r>
      <w:r w:rsidRPr="00BD77D8">
        <w:rPr>
          <w:rFonts w:eastAsia="Calibri"/>
          <w:spacing w:val="-1"/>
          <w:lang w:val="en-US" w:eastAsia="en-US"/>
        </w:rPr>
        <w:t>o</w:t>
      </w:r>
      <w:r w:rsidRPr="00BD77D8">
        <w:rPr>
          <w:rFonts w:eastAsia="Calibri"/>
          <w:spacing w:val="-2"/>
          <w:lang w:val="en-US" w:eastAsia="en-US"/>
        </w:rPr>
        <w:t>v</w:t>
      </w:r>
      <w:r w:rsidRPr="00BD77D8">
        <w:rPr>
          <w:rFonts w:eastAsia="Calibri"/>
          <w:spacing w:val="-1"/>
          <w:lang w:val="en-US" w:eastAsia="en-US"/>
        </w:rPr>
        <w:t>ided</w:t>
      </w:r>
      <w:r w:rsidRPr="00BD77D8">
        <w:rPr>
          <w:rFonts w:eastAsia="Calibri"/>
          <w:spacing w:val="-11"/>
          <w:lang w:val="en-US" w:eastAsia="en-US"/>
        </w:rPr>
        <w:t xml:space="preserve"> </w:t>
      </w:r>
      <w:r w:rsidRPr="00BD77D8">
        <w:rPr>
          <w:rFonts w:eastAsia="Calibri"/>
          <w:spacing w:val="-2"/>
          <w:lang w:val="en-US" w:eastAsia="en-US"/>
        </w:rPr>
        <w:t>assis</w:t>
      </w:r>
      <w:r w:rsidRPr="00BD77D8">
        <w:rPr>
          <w:rFonts w:eastAsia="Calibri"/>
          <w:spacing w:val="-3"/>
          <w:lang w:val="en-US" w:eastAsia="en-US"/>
        </w:rPr>
        <w:t>t</w:t>
      </w:r>
      <w:r w:rsidRPr="00BD77D8">
        <w:rPr>
          <w:rFonts w:eastAsia="Calibri"/>
          <w:spacing w:val="-2"/>
          <w:lang w:val="en-US" w:eastAsia="en-US"/>
        </w:rPr>
        <w:t>anc</w:t>
      </w:r>
      <w:r w:rsidRPr="00BD77D8">
        <w:rPr>
          <w:rFonts w:eastAsia="Calibri"/>
          <w:spacing w:val="-3"/>
          <w:lang w:val="en-US" w:eastAsia="en-US"/>
        </w:rPr>
        <w:t>e</w:t>
      </w:r>
      <w:r w:rsidRPr="00BD77D8">
        <w:rPr>
          <w:rFonts w:eastAsia="Calibri"/>
          <w:spacing w:val="-10"/>
          <w:lang w:val="en-US" w:eastAsia="en-US"/>
        </w:rPr>
        <w:t xml:space="preserve"> </w:t>
      </w:r>
      <w:r w:rsidRPr="00BD77D8">
        <w:rPr>
          <w:rFonts w:eastAsia="Calibri"/>
          <w:lang w:val="en-US" w:eastAsia="en-US"/>
        </w:rPr>
        <w:t>to</w:t>
      </w:r>
      <w:proofErr w:type="gramEnd"/>
      <w:r w:rsidRPr="00BD77D8">
        <w:rPr>
          <w:rFonts w:eastAsia="Calibri"/>
          <w:lang w:val="en-US" w:eastAsia="en-US"/>
        </w:rPr>
        <w:t xml:space="preserve"> Aboriginal and Torres Strait Islander Councils to make informed planning decisions in their communities throughout Queensland</w:t>
      </w:r>
      <w:r w:rsidRPr="00BD77D8">
        <w:rPr>
          <w:rFonts w:eastAsia="Calibri"/>
          <w:spacing w:val="-2"/>
          <w:lang w:val="en-US" w:eastAsia="en-US"/>
        </w:rPr>
        <w:t>.</w:t>
      </w:r>
    </w:p>
    <w:p w14:paraId="17B7D6A6" w14:textId="67C9DB34" w:rsidR="004E197D" w:rsidRPr="00BD77D8" w:rsidRDefault="004E197D" w:rsidP="00AF1866">
      <w:pPr>
        <w:spacing w:after="120" w:line="240" w:lineRule="auto"/>
        <w:rPr>
          <w:b/>
          <w:bCs/>
        </w:rPr>
      </w:pPr>
      <w:r w:rsidRPr="00BD77D8">
        <w:rPr>
          <w:b/>
          <w:bCs/>
        </w:rPr>
        <w:t>Key achievements</w:t>
      </w:r>
    </w:p>
    <w:p w14:paraId="02B262DE" w14:textId="51EBBC1E" w:rsidR="004E197D" w:rsidRPr="00BD77D8" w:rsidRDefault="004E197D" w:rsidP="00D21656">
      <w:pPr>
        <w:pStyle w:val="Heading5"/>
        <w:rPr>
          <w:b w:val="0"/>
          <w:bCs/>
        </w:rPr>
      </w:pPr>
      <w:r w:rsidRPr="00BD77D8">
        <w:rPr>
          <w:b w:val="0"/>
          <w:bCs/>
        </w:rPr>
        <w:t>Planning schemes</w:t>
      </w:r>
    </w:p>
    <w:p w14:paraId="5B9CB0A6" w14:textId="6A83F2C1" w:rsidR="00D175D3" w:rsidRPr="00BD77D8" w:rsidRDefault="00D175D3" w:rsidP="006F2599">
      <w:pPr>
        <w:spacing w:after="120" w:line="240" w:lineRule="auto"/>
        <w:rPr>
          <w:rFonts w:eastAsia="Calibri"/>
          <w:lang w:val="en-US" w:eastAsia="en-US"/>
        </w:rPr>
      </w:pPr>
      <w:r w:rsidRPr="00BD77D8">
        <w:rPr>
          <w:rFonts w:eastAsia="Calibri"/>
          <w:lang w:val="en-US" w:eastAsia="en-US"/>
        </w:rPr>
        <w:t>During the reporting period, the department:</w:t>
      </w:r>
    </w:p>
    <w:p w14:paraId="237AE762" w14:textId="6D021FA2" w:rsidR="00C64BCF" w:rsidRPr="00BD77D8" w:rsidRDefault="00552B4C" w:rsidP="00A463E0">
      <w:pPr>
        <w:pStyle w:val="ListParagraph"/>
        <w:numPr>
          <w:ilvl w:val="0"/>
          <w:numId w:val="29"/>
        </w:numPr>
        <w:rPr>
          <w:rFonts w:eastAsia="Calibri"/>
          <w:lang w:val="en-US" w:eastAsia="en-US"/>
        </w:rPr>
      </w:pPr>
      <w:r w:rsidRPr="00BD77D8">
        <w:rPr>
          <w:rFonts w:eastAsia="Calibri"/>
          <w:lang w:val="en-US" w:eastAsia="en-US"/>
        </w:rPr>
        <w:t>a</w:t>
      </w:r>
      <w:r w:rsidR="00C64BCF" w:rsidRPr="00BD77D8">
        <w:rPr>
          <w:rFonts w:eastAsia="Calibri"/>
          <w:lang w:val="en-US" w:eastAsia="en-US"/>
        </w:rPr>
        <w:t xml:space="preserve">ssisted the Northern Peninsula Area Regional Council </w:t>
      </w:r>
      <w:r w:rsidR="0018094A" w:rsidRPr="00BD77D8">
        <w:rPr>
          <w:rFonts w:eastAsia="Calibri"/>
          <w:lang w:val="en-US" w:eastAsia="en-US"/>
        </w:rPr>
        <w:t xml:space="preserve">in the amendment of its Planning Scheme, improving and clarifying assessment benchmarks, notably codes to ensure they are sufficiently robust to enable and support the assessment of development applications as required by the </w:t>
      </w:r>
      <w:r w:rsidR="0018094A" w:rsidRPr="00BD77D8">
        <w:rPr>
          <w:rFonts w:eastAsia="Calibri"/>
          <w:i/>
          <w:iCs/>
          <w:lang w:val="en-US" w:eastAsia="en-US"/>
        </w:rPr>
        <w:t>Planning Act 2016</w:t>
      </w:r>
    </w:p>
    <w:p w14:paraId="6B5C99BD" w14:textId="5039F040" w:rsidR="004E197D" w:rsidRPr="00BD77D8" w:rsidRDefault="00552B4C" w:rsidP="00433A9A">
      <w:pPr>
        <w:pStyle w:val="ListParagraph"/>
        <w:numPr>
          <w:ilvl w:val="0"/>
          <w:numId w:val="29"/>
        </w:numPr>
        <w:spacing w:after="120" w:line="240" w:lineRule="auto"/>
        <w:ind w:left="714" w:hanging="357"/>
        <w:rPr>
          <w:rFonts w:eastAsia="Calibri"/>
          <w:lang w:val="en-US" w:eastAsia="en-US"/>
        </w:rPr>
      </w:pPr>
      <w:r w:rsidRPr="00BD77D8">
        <w:rPr>
          <w:rFonts w:eastAsia="Calibri"/>
          <w:lang w:val="en-US" w:eastAsia="en-US"/>
        </w:rPr>
        <w:t>d</w:t>
      </w:r>
      <w:r w:rsidR="00C64BCF" w:rsidRPr="00BD77D8">
        <w:rPr>
          <w:rFonts w:eastAsia="Calibri"/>
          <w:lang w:val="en-US" w:eastAsia="en-US"/>
        </w:rPr>
        <w:t>eveloped a new Planning Scheme for the Torres Shire Local Government Area</w:t>
      </w:r>
      <w:r w:rsidRPr="00BD77D8">
        <w:rPr>
          <w:rFonts w:eastAsia="Calibri"/>
          <w:lang w:val="en-US" w:eastAsia="en-US"/>
        </w:rPr>
        <w:t>,</w:t>
      </w:r>
      <w:r w:rsidR="00C64BCF" w:rsidRPr="00BD77D8">
        <w:rPr>
          <w:rFonts w:eastAsia="Calibri"/>
          <w:lang w:val="en-US" w:eastAsia="en-US"/>
        </w:rPr>
        <w:t xml:space="preserve"> including latest advances in </w:t>
      </w:r>
      <w:r w:rsidR="00A97C65" w:rsidRPr="00BD77D8">
        <w:rPr>
          <w:rFonts w:eastAsia="Calibri"/>
          <w:lang w:val="en-US" w:eastAsia="en-US"/>
        </w:rPr>
        <w:t>t</w:t>
      </w:r>
      <w:r w:rsidR="00C64BCF" w:rsidRPr="00BD77D8">
        <w:rPr>
          <w:rFonts w:eastAsia="Calibri"/>
          <w:lang w:val="en-US" w:eastAsia="en-US"/>
        </w:rPr>
        <w:t xml:space="preserve">own and </w:t>
      </w:r>
      <w:r w:rsidR="00A97C65" w:rsidRPr="00BD77D8">
        <w:rPr>
          <w:rFonts w:eastAsia="Calibri"/>
          <w:lang w:val="en-US" w:eastAsia="en-US"/>
        </w:rPr>
        <w:t>e</w:t>
      </w:r>
      <w:r w:rsidR="00C64BCF" w:rsidRPr="00BD77D8">
        <w:rPr>
          <w:rFonts w:eastAsia="Calibri"/>
          <w:lang w:val="en-US" w:eastAsia="en-US"/>
        </w:rPr>
        <w:t xml:space="preserve">nvironmental </w:t>
      </w:r>
      <w:r w:rsidR="00A97C65" w:rsidRPr="00BD77D8">
        <w:rPr>
          <w:rFonts w:eastAsia="Calibri"/>
          <w:lang w:val="en-US" w:eastAsia="en-US"/>
        </w:rPr>
        <w:t>p</w:t>
      </w:r>
      <w:r w:rsidR="00C64BCF" w:rsidRPr="00BD77D8">
        <w:rPr>
          <w:rFonts w:eastAsia="Calibri"/>
          <w:lang w:val="en-US" w:eastAsia="en-US"/>
        </w:rPr>
        <w:t xml:space="preserve">lanning as well as assessment procedures to enable and support the assessment of development applications as required under the </w:t>
      </w:r>
      <w:r w:rsidR="00C64BCF" w:rsidRPr="00BD77D8">
        <w:rPr>
          <w:rFonts w:eastAsia="Calibri"/>
          <w:i/>
          <w:iCs/>
          <w:lang w:val="en-US" w:eastAsia="en-US"/>
        </w:rPr>
        <w:t>Planning Act 2016</w:t>
      </w:r>
      <w:r w:rsidR="004419C8" w:rsidRPr="00BD77D8">
        <w:rPr>
          <w:rFonts w:eastAsia="Calibri"/>
          <w:i/>
          <w:iCs/>
          <w:lang w:val="en-US" w:eastAsia="en-US"/>
        </w:rPr>
        <w:t>.</w:t>
      </w:r>
    </w:p>
    <w:p w14:paraId="5A82D368" w14:textId="042AF08E" w:rsidR="004E197D" w:rsidRPr="00BD77D8" w:rsidRDefault="00BA691A" w:rsidP="00D21656">
      <w:pPr>
        <w:pStyle w:val="Heading5"/>
        <w:rPr>
          <w:b w:val="0"/>
          <w:bCs/>
        </w:rPr>
      </w:pPr>
      <w:r w:rsidRPr="00BD77D8">
        <w:rPr>
          <w:b w:val="0"/>
          <w:bCs/>
        </w:rPr>
        <w:br w:type="column"/>
      </w:r>
      <w:r w:rsidR="004E197D" w:rsidRPr="00BD77D8">
        <w:rPr>
          <w:b w:val="0"/>
          <w:bCs/>
        </w:rPr>
        <w:lastRenderedPageBreak/>
        <w:t>Development applications</w:t>
      </w:r>
    </w:p>
    <w:p w14:paraId="7A72C33C" w14:textId="559A22A4" w:rsidR="00816C30" w:rsidRPr="00BD77D8" w:rsidRDefault="00D175D3" w:rsidP="006F2599">
      <w:pPr>
        <w:spacing w:after="120" w:line="240" w:lineRule="auto"/>
        <w:rPr>
          <w:rFonts w:eastAsia="Calibri"/>
          <w:bCs/>
          <w:lang w:val="en-US" w:eastAsia="en-US"/>
        </w:rPr>
      </w:pPr>
      <w:r w:rsidRPr="00BD77D8">
        <w:rPr>
          <w:rFonts w:eastAsia="Calibri"/>
          <w:bCs/>
          <w:lang w:val="en-US" w:eastAsia="en-US"/>
        </w:rPr>
        <w:t>During the reporting period</w:t>
      </w:r>
      <w:r w:rsidR="007B585C" w:rsidRPr="00BD77D8">
        <w:rPr>
          <w:rFonts w:eastAsia="Calibri"/>
          <w:bCs/>
          <w:lang w:val="en-US" w:eastAsia="en-US"/>
        </w:rPr>
        <w:t>, the department</w:t>
      </w:r>
      <w:r w:rsidR="00816C30" w:rsidRPr="00BD77D8">
        <w:rPr>
          <w:rFonts w:eastAsia="Calibri"/>
          <w:bCs/>
          <w:lang w:val="en-US" w:eastAsia="en-US"/>
        </w:rPr>
        <w:t>:</w:t>
      </w:r>
    </w:p>
    <w:p w14:paraId="4BBB71CE" w14:textId="1C3A4F0E" w:rsidR="00D175D3" w:rsidRPr="00BD77D8" w:rsidRDefault="00D175D3" w:rsidP="001E6842">
      <w:pPr>
        <w:pStyle w:val="ListParagraph"/>
        <w:numPr>
          <w:ilvl w:val="0"/>
          <w:numId w:val="29"/>
        </w:numPr>
        <w:rPr>
          <w:rFonts w:eastAsia="Calibri"/>
          <w:bCs/>
          <w:lang w:val="en-US" w:eastAsia="en-US"/>
        </w:rPr>
      </w:pPr>
      <w:r w:rsidRPr="00BD77D8">
        <w:rPr>
          <w:rFonts w:eastAsia="Calibri"/>
          <w:lang w:val="en-US" w:eastAsia="en-US"/>
        </w:rPr>
        <w:t xml:space="preserve">prepared and managed </w:t>
      </w:r>
      <w:r w:rsidR="00C64BCF" w:rsidRPr="00BD77D8">
        <w:rPr>
          <w:rFonts w:eastAsia="Calibri"/>
          <w:lang w:val="en-US" w:eastAsia="en-US"/>
        </w:rPr>
        <w:t>44</w:t>
      </w:r>
      <w:r w:rsidRPr="00BD77D8">
        <w:rPr>
          <w:rFonts w:eastAsia="Calibri"/>
          <w:lang w:val="en-US" w:eastAsia="en-US"/>
        </w:rPr>
        <w:t xml:space="preserve"> development applications </w:t>
      </w:r>
      <w:r w:rsidR="00C64BCF" w:rsidRPr="00BD77D8">
        <w:rPr>
          <w:rFonts w:eastAsia="Calibri"/>
          <w:lang w:val="en-US" w:eastAsia="en-US"/>
        </w:rPr>
        <w:t xml:space="preserve">to support and inform </w:t>
      </w:r>
      <w:r w:rsidR="00A97C65" w:rsidRPr="00BD77D8">
        <w:rPr>
          <w:rFonts w:eastAsia="Calibri"/>
          <w:lang w:val="en-US" w:eastAsia="en-US"/>
        </w:rPr>
        <w:t>c</w:t>
      </w:r>
      <w:r w:rsidR="00C64BCF" w:rsidRPr="00BD77D8">
        <w:rPr>
          <w:rFonts w:eastAsia="Calibri"/>
          <w:lang w:val="en-US" w:eastAsia="en-US"/>
        </w:rPr>
        <w:t>ouncils in their local decision-making processes</w:t>
      </w:r>
      <w:r w:rsidRPr="00BD77D8">
        <w:rPr>
          <w:rFonts w:eastAsia="Calibri"/>
          <w:lang w:val="en-US" w:eastAsia="en-US"/>
        </w:rPr>
        <w:t>, including</w:t>
      </w:r>
      <w:r w:rsidRPr="00BD77D8">
        <w:rPr>
          <w:rFonts w:eastAsia="Calibri"/>
          <w:bCs/>
          <w:lang w:val="en-US" w:eastAsia="en-US"/>
        </w:rPr>
        <w:t>:</w:t>
      </w:r>
    </w:p>
    <w:p w14:paraId="34143DB9" w14:textId="402979D4" w:rsidR="00C64BCF" w:rsidRPr="00BD77D8" w:rsidRDefault="00C64BCF" w:rsidP="003954C5">
      <w:pPr>
        <w:pStyle w:val="ListParagraph"/>
        <w:numPr>
          <w:ilvl w:val="1"/>
          <w:numId w:val="69"/>
        </w:numPr>
        <w:rPr>
          <w:rFonts w:eastAsia="Calibri"/>
          <w:lang w:val="en-US" w:eastAsia="en-US"/>
        </w:rPr>
      </w:pPr>
      <w:r w:rsidRPr="00BD77D8">
        <w:rPr>
          <w:rFonts w:eastAsia="Calibri"/>
          <w:lang w:val="en-US" w:eastAsia="en-US"/>
        </w:rPr>
        <w:t>four economic development applications (three completed)</w:t>
      </w:r>
    </w:p>
    <w:p w14:paraId="0790B30F" w14:textId="5AF86AC1" w:rsidR="00C64BCF" w:rsidRPr="00BD77D8" w:rsidRDefault="00C64BCF" w:rsidP="003954C5">
      <w:pPr>
        <w:pStyle w:val="ListParagraph"/>
        <w:numPr>
          <w:ilvl w:val="1"/>
          <w:numId w:val="69"/>
        </w:numPr>
        <w:rPr>
          <w:rFonts w:eastAsia="Calibri"/>
          <w:lang w:val="en-US" w:eastAsia="en-US"/>
        </w:rPr>
      </w:pPr>
      <w:r w:rsidRPr="00BD77D8">
        <w:rPr>
          <w:rFonts w:eastAsia="Calibri"/>
          <w:lang w:val="en-US" w:eastAsia="en-US"/>
        </w:rPr>
        <w:t>two community facility applications (one completed)</w:t>
      </w:r>
    </w:p>
    <w:p w14:paraId="5531F98D" w14:textId="359F2998" w:rsidR="00C64BCF" w:rsidRPr="00BD77D8" w:rsidRDefault="00C64BCF" w:rsidP="003954C5">
      <w:pPr>
        <w:pStyle w:val="ListParagraph"/>
        <w:numPr>
          <w:ilvl w:val="1"/>
          <w:numId w:val="69"/>
        </w:numPr>
        <w:rPr>
          <w:rFonts w:eastAsia="Calibri"/>
          <w:lang w:val="en-US" w:eastAsia="en-US"/>
        </w:rPr>
      </w:pPr>
      <w:r w:rsidRPr="00BD77D8">
        <w:rPr>
          <w:rFonts w:eastAsia="Calibri"/>
          <w:lang w:val="en-US" w:eastAsia="en-US"/>
        </w:rPr>
        <w:t>16 Social Housing applications (eight completed)</w:t>
      </w:r>
    </w:p>
    <w:p w14:paraId="793F6B6A" w14:textId="6A2FA83F" w:rsidR="00C64BCF" w:rsidRPr="00BD77D8" w:rsidRDefault="00C64BCF" w:rsidP="00816C30">
      <w:pPr>
        <w:pStyle w:val="ListParagraph"/>
        <w:numPr>
          <w:ilvl w:val="0"/>
          <w:numId w:val="29"/>
        </w:numPr>
        <w:spacing w:after="120" w:line="240" w:lineRule="auto"/>
        <w:rPr>
          <w:rFonts w:eastAsia="Calibri"/>
          <w:lang w:val="en-US" w:eastAsia="en-US"/>
        </w:rPr>
      </w:pPr>
      <w:r w:rsidRPr="00BD77D8">
        <w:rPr>
          <w:rFonts w:eastAsia="Calibri"/>
          <w:lang w:val="en-US" w:eastAsia="en-US"/>
        </w:rPr>
        <w:t>provided 210 new housing opportunities in eight communities</w:t>
      </w:r>
      <w:r w:rsidR="00816C30" w:rsidRPr="00BD77D8">
        <w:rPr>
          <w:rFonts w:eastAsia="Calibri"/>
          <w:lang w:val="en-US" w:eastAsia="en-US"/>
        </w:rPr>
        <w:t xml:space="preserve"> through the </w:t>
      </w:r>
      <w:r w:rsidR="00AB49BD" w:rsidRPr="00BD77D8">
        <w:rPr>
          <w:rFonts w:eastAsia="Calibri"/>
          <w:lang w:val="en-US" w:eastAsia="en-US"/>
        </w:rPr>
        <w:t xml:space="preserve">DCHDE led </w:t>
      </w:r>
      <w:r w:rsidR="00816C30" w:rsidRPr="00BD77D8">
        <w:rPr>
          <w:rFonts w:eastAsia="Calibri"/>
          <w:lang w:val="en-US" w:eastAsia="en-US"/>
        </w:rPr>
        <w:t xml:space="preserve">Social </w:t>
      </w:r>
      <w:r w:rsidR="007B585C" w:rsidRPr="00BD77D8">
        <w:rPr>
          <w:rFonts w:eastAsia="Calibri"/>
          <w:lang w:val="en-US" w:eastAsia="en-US"/>
        </w:rPr>
        <w:t>Housing Program</w:t>
      </w:r>
      <w:r w:rsidRPr="00BD77D8">
        <w:rPr>
          <w:rFonts w:eastAsia="Calibri"/>
          <w:lang w:val="en-US" w:eastAsia="en-US"/>
        </w:rPr>
        <w:t>.</w:t>
      </w:r>
    </w:p>
    <w:p w14:paraId="47B079CB" w14:textId="42A0619B" w:rsidR="004E197D" w:rsidRPr="00BD77D8" w:rsidRDefault="004E197D" w:rsidP="006F2599">
      <w:pPr>
        <w:spacing w:after="120" w:line="240" w:lineRule="auto"/>
        <w:rPr>
          <w:rFonts w:eastAsia="Calibri"/>
          <w:lang w:val="en-US" w:eastAsia="en-US"/>
        </w:rPr>
      </w:pPr>
      <w:r w:rsidRPr="00BD77D8">
        <w:rPr>
          <w:rFonts w:eastAsia="Calibri"/>
          <w:lang w:val="en-US" w:eastAsia="en-US"/>
        </w:rPr>
        <w:t xml:space="preserve">On behalf of the </w:t>
      </w:r>
      <w:r w:rsidR="00A97C65" w:rsidRPr="00BD77D8">
        <w:rPr>
          <w:rFonts w:eastAsia="Calibri"/>
          <w:lang w:val="en-US" w:eastAsia="en-US"/>
        </w:rPr>
        <w:t>s</w:t>
      </w:r>
      <w:r w:rsidRPr="00BD77D8">
        <w:rPr>
          <w:rFonts w:eastAsia="Calibri"/>
          <w:lang w:val="en-US" w:eastAsia="en-US"/>
        </w:rPr>
        <w:t xml:space="preserve">tate </w:t>
      </w:r>
      <w:r w:rsidR="00A97C65" w:rsidRPr="00BD77D8">
        <w:rPr>
          <w:rFonts w:eastAsia="Calibri"/>
          <w:lang w:val="en-US" w:eastAsia="en-US"/>
        </w:rPr>
        <w:t>g</w:t>
      </w:r>
      <w:r w:rsidRPr="00BD77D8">
        <w:rPr>
          <w:rFonts w:eastAsia="Calibri"/>
          <w:lang w:val="en-US" w:eastAsia="en-US"/>
        </w:rPr>
        <w:t>overnment</w:t>
      </w:r>
      <w:r w:rsidR="00C64BCF" w:rsidRPr="00BD77D8">
        <w:rPr>
          <w:rFonts w:eastAsia="Calibri"/>
          <w:lang w:val="en-US" w:eastAsia="en-US"/>
        </w:rPr>
        <w:t xml:space="preserve"> and non-</w:t>
      </w:r>
      <w:r w:rsidR="00A97C65" w:rsidRPr="00BD77D8">
        <w:rPr>
          <w:rFonts w:eastAsia="Calibri"/>
          <w:lang w:val="en-US" w:eastAsia="en-US"/>
        </w:rPr>
        <w:t>g</w:t>
      </w:r>
      <w:r w:rsidR="00C64BCF" w:rsidRPr="00BD77D8">
        <w:rPr>
          <w:rFonts w:eastAsia="Calibri"/>
          <w:lang w:val="en-US" w:eastAsia="en-US"/>
        </w:rPr>
        <w:t>overnment entities</w:t>
      </w:r>
      <w:r w:rsidR="00552B4C" w:rsidRPr="00BD77D8">
        <w:rPr>
          <w:rFonts w:eastAsia="Calibri"/>
          <w:lang w:val="en-US" w:eastAsia="en-US"/>
        </w:rPr>
        <w:t>,</w:t>
      </w:r>
      <w:r w:rsidRPr="00BD77D8">
        <w:rPr>
          <w:rFonts w:eastAsia="Calibri"/>
          <w:lang w:val="en-US" w:eastAsia="en-US"/>
        </w:rPr>
        <w:t xml:space="preserve"> </w:t>
      </w:r>
      <w:r w:rsidR="002A1D7A" w:rsidRPr="00BD77D8">
        <w:rPr>
          <w:rFonts w:eastAsia="Calibri"/>
          <w:lang w:val="en-US" w:eastAsia="en-US"/>
        </w:rPr>
        <w:t>prepared and managed:</w:t>
      </w:r>
    </w:p>
    <w:p w14:paraId="15A155B4" w14:textId="5C126730"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three development application</w:t>
      </w:r>
      <w:r w:rsidR="00892255" w:rsidRPr="00BD77D8">
        <w:rPr>
          <w:rFonts w:eastAsia="Calibri"/>
          <w:lang w:val="en-US" w:eastAsia="en-US"/>
        </w:rPr>
        <w:t>s</w:t>
      </w:r>
      <w:r w:rsidRPr="00BD77D8">
        <w:rPr>
          <w:rFonts w:eastAsia="Calibri"/>
          <w:lang w:val="en-US" w:eastAsia="en-US"/>
        </w:rPr>
        <w:t xml:space="preserve"> including</w:t>
      </w:r>
      <w:r w:rsidR="00892255" w:rsidRPr="00BD77D8">
        <w:rPr>
          <w:rFonts w:eastAsia="Calibri"/>
          <w:lang w:val="en-US" w:eastAsia="en-US"/>
        </w:rPr>
        <w:t>:</w:t>
      </w:r>
      <w:r w:rsidRPr="00BD77D8">
        <w:rPr>
          <w:rFonts w:eastAsia="Calibri"/>
          <w:lang w:val="en-US" w:eastAsia="en-US"/>
        </w:rPr>
        <w:t xml:space="preserve"> </w:t>
      </w:r>
      <w:r w:rsidR="00F83810" w:rsidRPr="00BD77D8">
        <w:rPr>
          <w:rFonts w:eastAsia="Calibri"/>
          <w:lang w:val="en-US" w:eastAsia="en-US"/>
        </w:rPr>
        <w:t xml:space="preserve">Queensland </w:t>
      </w:r>
      <w:r w:rsidRPr="00BD77D8">
        <w:rPr>
          <w:rFonts w:eastAsia="Calibri"/>
          <w:lang w:val="en-US" w:eastAsia="en-US"/>
        </w:rPr>
        <w:t>Health, Q</w:t>
      </w:r>
      <w:r w:rsidR="004B0456" w:rsidRPr="00BD77D8">
        <w:rPr>
          <w:rFonts w:eastAsia="Calibri"/>
          <w:lang w:val="en-US" w:eastAsia="en-US"/>
        </w:rPr>
        <w:t xml:space="preserve">ueensland </w:t>
      </w:r>
      <w:r w:rsidRPr="00BD77D8">
        <w:rPr>
          <w:rFonts w:eastAsia="Calibri"/>
          <w:lang w:val="en-US" w:eastAsia="en-US"/>
        </w:rPr>
        <w:t>P</w:t>
      </w:r>
      <w:r w:rsidR="004B0456" w:rsidRPr="00BD77D8">
        <w:rPr>
          <w:rFonts w:eastAsia="Calibri"/>
          <w:lang w:val="en-US" w:eastAsia="en-US"/>
        </w:rPr>
        <w:t xml:space="preserve">olice </w:t>
      </w:r>
      <w:r w:rsidRPr="00BD77D8">
        <w:rPr>
          <w:rFonts w:eastAsia="Calibri"/>
          <w:lang w:val="en-US" w:eastAsia="en-US"/>
        </w:rPr>
        <w:t>S</w:t>
      </w:r>
      <w:r w:rsidR="004B0456" w:rsidRPr="00BD77D8">
        <w:rPr>
          <w:rFonts w:eastAsia="Calibri"/>
          <w:lang w:val="en-US" w:eastAsia="en-US"/>
        </w:rPr>
        <w:t>ervice,</w:t>
      </w:r>
      <w:r w:rsidRPr="00BD77D8">
        <w:rPr>
          <w:rFonts w:eastAsia="Calibri"/>
          <w:lang w:val="en-US" w:eastAsia="en-US"/>
        </w:rPr>
        <w:t xml:space="preserve"> and Q</w:t>
      </w:r>
      <w:r w:rsidR="004B0456" w:rsidRPr="00BD77D8">
        <w:rPr>
          <w:rFonts w:eastAsia="Calibri"/>
          <w:lang w:val="en-US" w:eastAsia="en-US"/>
        </w:rPr>
        <w:t xml:space="preserve">ueensland </w:t>
      </w:r>
      <w:r w:rsidRPr="00BD77D8">
        <w:rPr>
          <w:rFonts w:eastAsia="Calibri"/>
          <w:lang w:val="en-US" w:eastAsia="en-US"/>
        </w:rPr>
        <w:t>F</w:t>
      </w:r>
      <w:r w:rsidR="004B0456" w:rsidRPr="00BD77D8">
        <w:rPr>
          <w:rFonts w:eastAsia="Calibri"/>
          <w:lang w:val="en-US" w:eastAsia="en-US"/>
        </w:rPr>
        <w:t xml:space="preserve">ire and </w:t>
      </w:r>
      <w:r w:rsidRPr="00BD77D8">
        <w:rPr>
          <w:rFonts w:eastAsia="Calibri"/>
          <w:lang w:val="en-US" w:eastAsia="en-US"/>
        </w:rPr>
        <w:t>E</w:t>
      </w:r>
      <w:r w:rsidR="004B0456" w:rsidRPr="00BD77D8">
        <w:rPr>
          <w:rFonts w:eastAsia="Calibri"/>
          <w:lang w:val="en-US" w:eastAsia="en-US"/>
        </w:rPr>
        <w:t xml:space="preserve">mergency </w:t>
      </w:r>
      <w:r w:rsidRPr="00BD77D8">
        <w:rPr>
          <w:rFonts w:eastAsia="Calibri"/>
          <w:lang w:val="en-US" w:eastAsia="en-US"/>
        </w:rPr>
        <w:t>S</w:t>
      </w:r>
      <w:r w:rsidR="004B0456" w:rsidRPr="00BD77D8">
        <w:rPr>
          <w:rFonts w:eastAsia="Calibri"/>
          <w:lang w:val="en-US" w:eastAsia="en-US"/>
        </w:rPr>
        <w:t>ervices</w:t>
      </w:r>
    </w:p>
    <w:p w14:paraId="407BD879" w14:textId="66648ADB" w:rsidR="004E197D" w:rsidRPr="00BD77D8" w:rsidRDefault="00C64BCF" w:rsidP="00A463E0">
      <w:pPr>
        <w:pStyle w:val="ListParagraph"/>
        <w:numPr>
          <w:ilvl w:val="0"/>
          <w:numId w:val="29"/>
        </w:numPr>
        <w:spacing w:after="120" w:line="240" w:lineRule="auto"/>
        <w:ind w:left="714" w:hanging="357"/>
        <w:rPr>
          <w:rFonts w:eastAsia="Calibri"/>
          <w:lang w:val="en-US" w:eastAsia="en-US"/>
        </w:rPr>
      </w:pPr>
      <w:r w:rsidRPr="00BD77D8">
        <w:rPr>
          <w:rFonts w:eastAsia="Calibri"/>
          <w:lang w:val="en-US" w:eastAsia="en-US"/>
        </w:rPr>
        <w:t>eight non-</w:t>
      </w:r>
      <w:r w:rsidR="00A97C65" w:rsidRPr="00BD77D8">
        <w:rPr>
          <w:rFonts w:eastAsia="Calibri"/>
          <w:lang w:val="en-US" w:eastAsia="en-US"/>
        </w:rPr>
        <w:t>g</w:t>
      </w:r>
      <w:r w:rsidRPr="00BD77D8">
        <w:rPr>
          <w:rFonts w:eastAsia="Calibri"/>
          <w:lang w:val="en-US" w:eastAsia="en-US"/>
        </w:rPr>
        <w:t>overnment entity applications</w:t>
      </w:r>
      <w:r w:rsidR="004B0456" w:rsidRPr="00BD77D8">
        <w:rPr>
          <w:rFonts w:eastAsia="Calibri"/>
          <w:lang w:val="en-US" w:eastAsia="en-US"/>
        </w:rPr>
        <w:t>.</w:t>
      </w:r>
    </w:p>
    <w:p w14:paraId="1E6C0851" w14:textId="4640DF1F" w:rsidR="00C64BCF" w:rsidRPr="00BD77D8" w:rsidRDefault="00C64BCF" w:rsidP="006F2599">
      <w:pPr>
        <w:spacing w:after="120" w:line="240" w:lineRule="auto"/>
        <w:rPr>
          <w:rFonts w:eastAsia="Calibri"/>
          <w:lang w:val="en-US" w:eastAsia="en-US"/>
        </w:rPr>
      </w:pPr>
      <w:bookmarkStart w:id="245" w:name="_Toc67046697"/>
      <w:bookmarkStart w:id="246" w:name="_Toc78287390"/>
      <w:bookmarkStart w:id="247" w:name="_Toc78355797"/>
      <w:r w:rsidRPr="00BD77D8">
        <w:rPr>
          <w:rFonts w:eastAsia="Calibri"/>
          <w:lang w:val="en-US" w:eastAsia="en-US"/>
        </w:rPr>
        <w:t xml:space="preserve">On behalf of the home ownership </w:t>
      </w:r>
      <w:r w:rsidR="00AB49BD" w:rsidRPr="00BD77D8">
        <w:rPr>
          <w:rFonts w:eastAsia="Calibri"/>
          <w:lang w:val="en-US" w:eastAsia="en-US"/>
        </w:rPr>
        <w:t xml:space="preserve">DCHDE led </w:t>
      </w:r>
      <w:r w:rsidRPr="00BD77D8">
        <w:rPr>
          <w:rFonts w:eastAsia="Calibri"/>
          <w:lang w:val="en-US" w:eastAsia="en-US"/>
        </w:rPr>
        <w:t>program, prepared and managed:</w:t>
      </w:r>
    </w:p>
    <w:p w14:paraId="3187DEF9" w14:textId="70108D66"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 xml:space="preserve">six home ownership applications </w:t>
      </w:r>
      <w:r w:rsidR="00552B4C" w:rsidRPr="00BD77D8">
        <w:rPr>
          <w:rFonts w:eastAsia="Calibri"/>
          <w:lang w:val="en-US" w:eastAsia="en-US"/>
        </w:rPr>
        <w:t>(</w:t>
      </w:r>
      <w:r w:rsidRPr="00BD77D8">
        <w:rPr>
          <w:rFonts w:eastAsia="Calibri"/>
          <w:lang w:val="en-US" w:eastAsia="en-US"/>
        </w:rPr>
        <w:t>completed</w:t>
      </w:r>
      <w:r w:rsidR="00552B4C" w:rsidRPr="00BD77D8">
        <w:rPr>
          <w:rFonts w:eastAsia="Calibri"/>
          <w:lang w:val="en-US" w:eastAsia="en-US"/>
        </w:rPr>
        <w:t>)</w:t>
      </w:r>
    </w:p>
    <w:p w14:paraId="4481BE3D" w14:textId="39919CED"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 xml:space="preserve">four home ownership applications </w:t>
      </w:r>
      <w:r w:rsidR="00E76982" w:rsidRPr="00BD77D8">
        <w:rPr>
          <w:rFonts w:eastAsia="Calibri"/>
          <w:lang w:val="en-US" w:eastAsia="en-US"/>
        </w:rPr>
        <w:t>(</w:t>
      </w:r>
      <w:r w:rsidRPr="00BD77D8">
        <w:rPr>
          <w:rFonts w:eastAsia="Calibri"/>
          <w:lang w:val="en-US" w:eastAsia="en-US"/>
        </w:rPr>
        <w:t>awaiting local decision</w:t>
      </w:r>
      <w:r w:rsidR="00E76982" w:rsidRPr="00BD77D8">
        <w:rPr>
          <w:rFonts w:eastAsia="Calibri"/>
          <w:lang w:val="en-US" w:eastAsia="en-US"/>
        </w:rPr>
        <w:t>-</w:t>
      </w:r>
      <w:r w:rsidRPr="00BD77D8">
        <w:rPr>
          <w:rFonts w:eastAsia="Calibri"/>
          <w:lang w:val="en-US" w:eastAsia="en-US"/>
        </w:rPr>
        <w:t>making</w:t>
      </w:r>
      <w:r w:rsidR="00E76982" w:rsidRPr="00BD77D8">
        <w:rPr>
          <w:rFonts w:eastAsia="Calibri"/>
          <w:lang w:val="en-US" w:eastAsia="en-US"/>
        </w:rPr>
        <w:t>)</w:t>
      </w:r>
    </w:p>
    <w:p w14:paraId="406C0473" w14:textId="774CA424" w:rsidR="00C64BCF" w:rsidRPr="00BD77D8" w:rsidRDefault="00C64BCF" w:rsidP="00A463E0">
      <w:pPr>
        <w:pStyle w:val="ListParagraph"/>
        <w:numPr>
          <w:ilvl w:val="0"/>
          <w:numId w:val="29"/>
        </w:numPr>
        <w:spacing w:after="120" w:line="240" w:lineRule="auto"/>
        <w:ind w:left="714" w:hanging="357"/>
        <w:rPr>
          <w:rFonts w:eastAsia="Calibri"/>
          <w:lang w:val="en-US" w:eastAsia="en-US"/>
        </w:rPr>
      </w:pPr>
      <w:r w:rsidRPr="00BD77D8">
        <w:rPr>
          <w:rFonts w:eastAsia="Calibri"/>
          <w:lang w:val="en-US" w:eastAsia="en-US"/>
        </w:rPr>
        <w:t xml:space="preserve">one home ownership application </w:t>
      </w:r>
      <w:r w:rsidR="00E76982" w:rsidRPr="00BD77D8">
        <w:rPr>
          <w:rFonts w:eastAsia="Calibri"/>
          <w:lang w:val="en-US" w:eastAsia="en-US"/>
        </w:rPr>
        <w:t>(</w:t>
      </w:r>
      <w:r w:rsidRPr="00BD77D8">
        <w:rPr>
          <w:rFonts w:eastAsia="Calibri"/>
          <w:lang w:val="en-US" w:eastAsia="en-US"/>
        </w:rPr>
        <w:t>being prepared</w:t>
      </w:r>
      <w:r w:rsidR="00E76982" w:rsidRPr="00BD77D8">
        <w:rPr>
          <w:rFonts w:eastAsia="Calibri"/>
          <w:lang w:val="en-US" w:eastAsia="en-US"/>
        </w:rPr>
        <w:t>)</w:t>
      </w:r>
      <w:r w:rsidRPr="00BD77D8">
        <w:rPr>
          <w:rFonts w:eastAsia="Calibri"/>
          <w:lang w:val="en-US" w:eastAsia="en-US"/>
        </w:rPr>
        <w:t xml:space="preserve">. </w:t>
      </w:r>
    </w:p>
    <w:p w14:paraId="3B3E2C38" w14:textId="5C1797FA" w:rsidR="00C64BCF" w:rsidRPr="00BD77D8" w:rsidRDefault="00C64BCF" w:rsidP="006F2599">
      <w:pPr>
        <w:spacing w:after="120" w:line="240" w:lineRule="auto"/>
        <w:rPr>
          <w:rFonts w:eastAsia="Calibri"/>
          <w:lang w:val="en-US" w:eastAsia="en-US"/>
        </w:rPr>
      </w:pPr>
      <w:r w:rsidRPr="00BD77D8">
        <w:rPr>
          <w:rFonts w:eastAsia="Calibri"/>
          <w:lang w:val="en-US" w:eastAsia="en-US"/>
        </w:rPr>
        <w:t xml:space="preserve">During the reporting period, the department prepared detailed advice reports on proposed developments to support and inform </w:t>
      </w:r>
      <w:r w:rsidR="00A97C65" w:rsidRPr="00BD77D8">
        <w:rPr>
          <w:rFonts w:eastAsia="Calibri"/>
          <w:lang w:val="en-US" w:eastAsia="en-US"/>
        </w:rPr>
        <w:t>c</w:t>
      </w:r>
      <w:r w:rsidRPr="00BD77D8">
        <w:rPr>
          <w:rFonts w:eastAsia="Calibri"/>
          <w:lang w:val="en-US" w:eastAsia="en-US"/>
        </w:rPr>
        <w:t xml:space="preserve">ouncils in their </w:t>
      </w:r>
      <w:r w:rsidR="0018094A" w:rsidRPr="00BD77D8">
        <w:rPr>
          <w:rFonts w:eastAsia="Calibri"/>
          <w:lang w:val="en-US" w:eastAsia="en-US"/>
        </w:rPr>
        <w:t>l</w:t>
      </w:r>
      <w:r w:rsidRPr="00BD77D8">
        <w:rPr>
          <w:rFonts w:eastAsia="Calibri"/>
          <w:lang w:val="en-US" w:eastAsia="en-US"/>
        </w:rPr>
        <w:t>ocal decision-making  processes, including:</w:t>
      </w:r>
    </w:p>
    <w:p w14:paraId="5B3330D1" w14:textId="5870AC78"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two advice reports relating to investment opportunities</w:t>
      </w:r>
    </w:p>
    <w:p w14:paraId="55E49EE9" w14:textId="65E43BFA"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 xml:space="preserve">one advice report on </w:t>
      </w:r>
      <w:r w:rsidR="00E76982" w:rsidRPr="00BD77D8">
        <w:rPr>
          <w:rFonts w:eastAsia="Calibri"/>
          <w:lang w:val="en-US" w:eastAsia="en-US"/>
        </w:rPr>
        <w:t xml:space="preserve">the </w:t>
      </w:r>
      <w:r w:rsidRPr="00BD77D8">
        <w:rPr>
          <w:rFonts w:eastAsia="Calibri"/>
          <w:lang w:val="en-US" w:eastAsia="en-US"/>
        </w:rPr>
        <w:t>development of a community facility</w:t>
      </w:r>
    </w:p>
    <w:p w14:paraId="2384B77B" w14:textId="4E297AF4" w:rsidR="00C64BCF" w:rsidRPr="00BD77D8" w:rsidRDefault="00C64BCF" w:rsidP="00A463E0">
      <w:pPr>
        <w:pStyle w:val="ListParagraph"/>
        <w:numPr>
          <w:ilvl w:val="0"/>
          <w:numId w:val="29"/>
        </w:numPr>
        <w:spacing w:after="120" w:line="240" w:lineRule="auto"/>
        <w:ind w:left="714" w:hanging="357"/>
        <w:rPr>
          <w:rFonts w:eastAsia="Calibri"/>
          <w:lang w:val="en-US" w:eastAsia="en-US"/>
        </w:rPr>
      </w:pPr>
      <w:r w:rsidRPr="00BD77D8">
        <w:rPr>
          <w:rFonts w:eastAsia="Calibri"/>
          <w:lang w:val="en-US" w:eastAsia="en-US"/>
        </w:rPr>
        <w:t>four advice reports on residential developments.</w:t>
      </w:r>
    </w:p>
    <w:p w14:paraId="2D5B3196" w14:textId="585EAC45" w:rsidR="00C64BCF" w:rsidRPr="00BD77D8" w:rsidRDefault="00C64BCF" w:rsidP="00C64BCF">
      <w:pPr>
        <w:pStyle w:val="Heading3"/>
      </w:pPr>
      <w:r w:rsidRPr="00BD77D8">
        <w:t xml:space="preserve">Environmental </w:t>
      </w:r>
      <w:r w:rsidR="00A97C65" w:rsidRPr="00BD77D8">
        <w:t>p</w:t>
      </w:r>
      <w:r w:rsidRPr="00BD77D8">
        <w:t>lanning</w:t>
      </w:r>
    </w:p>
    <w:p w14:paraId="1E8A0323" w14:textId="7DD01C99" w:rsidR="00C64BCF" w:rsidRPr="00BD77D8" w:rsidRDefault="00C64BCF" w:rsidP="00C64BCF">
      <w:r w:rsidRPr="00BD77D8">
        <w:t xml:space="preserve">During the reporting period, the department undertook four </w:t>
      </w:r>
      <w:r w:rsidR="00A97C65" w:rsidRPr="00BD77D8">
        <w:t>s</w:t>
      </w:r>
      <w:r w:rsidRPr="00BD77D8">
        <w:t xml:space="preserve">pecialist </w:t>
      </w:r>
      <w:r w:rsidR="00A97C65" w:rsidRPr="00BD77D8">
        <w:t>s</w:t>
      </w:r>
      <w:r w:rsidRPr="00BD77D8">
        <w:t xml:space="preserve">tudies related to </w:t>
      </w:r>
      <w:r w:rsidR="00A97C65" w:rsidRPr="00BD77D8">
        <w:t>e</w:t>
      </w:r>
      <w:r w:rsidRPr="00BD77D8">
        <w:t xml:space="preserve">nvironmental </w:t>
      </w:r>
      <w:r w:rsidR="00A97C65" w:rsidRPr="00BD77D8">
        <w:t>p</w:t>
      </w:r>
      <w:r w:rsidRPr="00BD77D8">
        <w:t>lanning</w:t>
      </w:r>
      <w:r w:rsidR="00E76982" w:rsidRPr="00BD77D8">
        <w:t>:</w:t>
      </w:r>
    </w:p>
    <w:p w14:paraId="2FA71FAC" w14:textId="77777777" w:rsidR="00C64BCF" w:rsidRPr="00BD77D8" w:rsidRDefault="00C64BCF" w:rsidP="006F2599">
      <w:pPr>
        <w:spacing w:after="120" w:line="240" w:lineRule="auto"/>
      </w:pPr>
      <w:r w:rsidRPr="00BD77D8">
        <w:t>Kowanyama Flood Study</w:t>
      </w:r>
    </w:p>
    <w:p w14:paraId="3976C7AD" w14:textId="38621601"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The department carried out work on the Kowanyama Flood Study which included</w:t>
      </w:r>
      <w:r w:rsidR="007B585C" w:rsidRPr="00BD77D8">
        <w:rPr>
          <w:rFonts w:eastAsia="Calibri"/>
          <w:lang w:val="en-US" w:eastAsia="en-US"/>
        </w:rPr>
        <w:t>:</w:t>
      </w:r>
      <w:r w:rsidRPr="00BD77D8">
        <w:rPr>
          <w:rFonts w:eastAsia="Calibri"/>
          <w:lang w:val="en-US" w:eastAsia="en-US"/>
        </w:rPr>
        <w:t xml:space="preserve"> Digital Elevation Modelling (DEM), hydraulic model</w:t>
      </w:r>
      <w:r w:rsidR="00433A9A" w:rsidRPr="00BD77D8">
        <w:rPr>
          <w:rFonts w:eastAsia="Calibri"/>
          <w:lang w:val="en-US" w:eastAsia="en-US"/>
        </w:rPr>
        <w:t>ling</w:t>
      </w:r>
      <w:r w:rsidRPr="00BD77D8">
        <w:rPr>
          <w:rFonts w:eastAsia="Calibri"/>
          <w:lang w:val="en-US" w:eastAsia="en-US"/>
        </w:rPr>
        <w:t xml:space="preserve">, climate change rainfall </w:t>
      </w:r>
      <w:r w:rsidR="00433A9A" w:rsidRPr="00BD77D8">
        <w:rPr>
          <w:rFonts w:eastAsia="Calibri"/>
          <w:lang w:val="en-US" w:eastAsia="en-US"/>
        </w:rPr>
        <w:t xml:space="preserve">impacts and </w:t>
      </w:r>
      <w:r w:rsidRPr="00BD77D8">
        <w:rPr>
          <w:rFonts w:eastAsia="Calibri"/>
          <w:lang w:val="en-US" w:eastAsia="en-US"/>
        </w:rPr>
        <w:t>taking into consideration available storm surge and sea-level rise information</w:t>
      </w:r>
      <w:r w:rsidR="00E76982" w:rsidRPr="00BD77D8">
        <w:rPr>
          <w:rFonts w:eastAsia="Calibri"/>
          <w:lang w:val="en-US" w:eastAsia="en-US"/>
        </w:rPr>
        <w:t>.</w:t>
      </w:r>
      <w:r w:rsidR="007B585C" w:rsidRPr="00BD77D8">
        <w:rPr>
          <w:rFonts w:eastAsia="Calibri"/>
          <w:lang w:val="en-US" w:eastAsia="en-US"/>
        </w:rPr>
        <w:t xml:space="preserve"> </w:t>
      </w:r>
    </w:p>
    <w:p w14:paraId="1CD7088C" w14:textId="7F4FD71B" w:rsidR="00C64BCF" w:rsidRPr="00BD77D8" w:rsidRDefault="00C64BCF" w:rsidP="00A97C65">
      <w:pPr>
        <w:pStyle w:val="ListParagraph"/>
        <w:numPr>
          <w:ilvl w:val="0"/>
          <w:numId w:val="29"/>
        </w:numPr>
        <w:spacing w:after="120" w:line="240" w:lineRule="auto"/>
        <w:ind w:left="714" w:hanging="357"/>
        <w:rPr>
          <w:rFonts w:eastAsia="Calibri"/>
          <w:lang w:val="en-US" w:eastAsia="en-US"/>
        </w:rPr>
      </w:pPr>
      <w:r w:rsidRPr="00BD77D8">
        <w:rPr>
          <w:rFonts w:eastAsia="Calibri"/>
          <w:lang w:val="en-US" w:eastAsia="en-US"/>
        </w:rPr>
        <w:t>The final Flood Study and Flood Modelling have been provided to the Kowanyama Aboriginal Shire Council for review and adoption.</w:t>
      </w:r>
    </w:p>
    <w:p w14:paraId="006FAE64" w14:textId="3CA0B34D" w:rsidR="00C64BCF" w:rsidRPr="00BD77D8" w:rsidRDefault="00C64BCF" w:rsidP="00B85C9A">
      <w:pPr>
        <w:spacing w:after="120" w:line="240" w:lineRule="auto"/>
      </w:pPr>
      <w:r w:rsidRPr="00BD77D8">
        <w:t>Mapoon Bushfire Study</w:t>
      </w:r>
    </w:p>
    <w:p w14:paraId="5781E966" w14:textId="126362B7"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Modelling, Geographic Information System (GIS) Mapping, climate change impacts and current ecological (Flora) mapping information aspects of the Mapoon Bushfire Study were completed by the department</w:t>
      </w:r>
      <w:r w:rsidR="00E76982" w:rsidRPr="00BD77D8">
        <w:rPr>
          <w:rFonts w:eastAsia="Calibri"/>
          <w:lang w:val="en-US" w:eastAsia="en-US"/>
        </w:rPr>
        <w:t>.</w:t>
      </w:r>
    </w:p>
    <w:p w14:paraId="2DE3DB4D" w14:textId="09CED05D" w:rsidR="00C64BCF" w:rsidRPr="00BD77D8" w:rsidRDefault="00C64BCF" w:rsidP="00A463E0">
      <w:pPr>
        <w:pStyle w:val="ListParagraph"/>
        <w:numPr>
          <w:ilvl w:val="0"/>
          <w:numId w:val="29"/>
        </w:numPr>
        <w:spacing w:after="120" w:line="240" w:lineRule="auto"/>
        <w:ind w:left="714" w:hanging="357"/>
      </w:pPr>
      <w:r w:rsidRPr="00BD77D8">
        <w:rPr>
          <w:rFonts w:eastAsia="Calibri"/>
          <w:lang w:val="en-US" w:eastAsia="en-US"/>
        </w:rPr>
        <w:t>The Mapoon Aboriginal</w:t>
      </w:r>
      <w:r w:rsidRPr="00BD77D8">
        <w:t xml:space="preserve"> Shire Council adopted the Bushfire Study as policy in December 2021</w:t>
      </w:r>
      <w:r w:rsidR="00E76982" w:rsidRPr="00BD77D8">
        <w:t>.</w:t>
      </w:r>
    </w:p>
    <w:p w14:paraId="1960F7D6" w14:textId="70642E27" w:rsidR="00C64BCF" w:rsidRPr="00BD77D8" w:rsidRDefault="00C64BCF" w:rsidP="00B85C9A">
      <w:pPr>
        <w:spacing w:after="120" w:line="240" w:lineRule="auto"/>
      </w:pPr>
      <w:r w:rsidRPr="00BD77D8">
        <w:t>Mapoon Flood Study</w:t>
      </w:r>
    </w:p>
    <w:p w14:paraId="38107E92" w14:textId="28B3780D"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The following aspects of the Mapoon Flood Study have been undertaken by the department: modelling, DEM, GIS Mapping, climate change rainfall</w:t>
      </w:r>
      <w:r w:rsidR="00433A9A" w:rsidRPr="00BD77D8">
        <w:rPr>
          <w:rFonts w:eastAsia="Calibri"/>
          <w:lang w:val="en-US" w:eastAsia="en-US"/>
        </w:rPr>
        <w:t xml:space="preserve"> impacts</w:t>
      </w:r>
      <w:r w:rsidRPr="00BD77D8">
        <w:rPr>
          <w:rFonts w:eastAsia="Calibri"/>
          <w:lang w:val="en-US" w:eastAsia="en-US"/>
        </w:rPr>
        <w:t xml:space="preserve"> </w:t>
      </w:r>
      <w:r w:rsidR="00826DA3" w:rsidRPr="00BD77D8">
        <w:rPr>
          <w:rFonts w:eastAsia="Calibri"/>
          <w:lang w:val="en-US" w:eastAsia="en-US"/>
        </w:rPr>
        <w:t xml:space="preserve">and </w:t>
      </w:r>
      <w:r w:rsidRPr="00BD77D8">
        <w:rPr>
          <w:rFonts w:eastAsia="Calibri"/>
          <w:lang w:val="en-US" w:eastAsia="en-US"/>
        </w:rPr>
        <w:t>taking into consideration available storm surge and sea-level rise information</w:t>
      </w:r>
      <w:r w:rsidR="00E76982" w:rsidRPr="00BD77D8">
        <w:rPr>
          <w:rFonts w:eastAsia="Calibri"/>
          <w:lang w:val="en-US" w:eastAsia="en-US"/>
        </w:rPr>
        <w:t>.</w:t>
      </w:r>
    </w:p>
    <w:p w14:paraId="512D773F" w14:textId="506C41CE" w:rsidR="00C64BCF" w:rsidRPr="00BD77D8" w:rsidRDefault="00C64BCF" w:rsidP="00A463E0">
      <w:pPr>
        <w:pStyle w:val="ListParagraph"/>
        <w:numPr>
          <w:ilvl w:val="0"/>
          <w:numId w:val="29"/>
        </w:numPr>
        <w:spacing w:after="120" w:line="240" w:lineRule="auto"/>
        <w:ind w:left="714" w:hanging="357"/>
      </w:pPr>
      <w:r w:rsidRPr="00BD77D8">
        <w:rPr>
          <w:rFonts w:eastAsia="Calibri"/>
          <w:lang w:val="en-US" w:eastAsia="en-US"/>
        </w:rPr>
        <w:t>Mapoon Aboriginal Shire Council</w:t>
      </w:r>
      <w:r w:rsidRPr="00BD77D8">
        <w:t xml:space="preserve"> adopted the Flood Study as policy in December 2021.</w:t>
      </w:r>
    </w:p>
    <w:p w14:paraId="5844984F" w14:textId="77777777" w:rsidR="00C64BCF" w:rsidRPr="00BD77D8" w:rsidRDefault="00C64BCF" w:rsidP="00B85C9A">
      <w:pPr>
        <w:spacing w:after="120" w:line="240" w:lineRule="auto"/>
      </w:pPr>
      <w:r w:rsidRPr="00BD77D8">
        <w:t>Mapoon Ecological Study</w:t>
      </w:r>
    </w:p>
    <w:p w14:paraId="5A93E22B" w14:textId="7B771C8B"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The department is currently undertaking site investigations including drone and GIS mapping for the Mapoon Ecological Study (Flora and Fauna)</w:t>
      </w:r>
      <w:r w:rsidR="00E76982" w:rsidRPr="00BD77D8">
        <w:rPr>
          <w:rFonts w:eastAsia="Calibri"/>
          <w:lang w:val="en-US" w:eastAsia="en-US"/>
        </w:rPr>
        <w:t>.</w:t>
      </w:r>
    </w:p>
    <w:p w14:paraId="7CB44B72" w14:textId="3F3E62CF" w:rsidR="00C64BCF" w:rsidRPr="00BD77D8" w:rsidRDefault="00C64BCF" w:rsidP="00A463E0">
      <w:pPr>
        <w:pStyle w:val="ListParagraph"/>
        <w:numPr>
          <w:ilvl w:val="0"/>
          <w:numId w:val="29"/>
        </w:numPr>
        <w:rPr>
          <w:rFonts w:eastAsia="Calibri"/>
          <w:lang w:val="en-US" w:eastAsia="en-US"/>
        </w:rPr>
      </w:pPr>
      <w:r w:rsidRPr="00BD77D8">
        <w:rPr>
          <w:rFonts w:eastAsia="Calibri"/>
          <w:lang w:val="en-US" w:eastAsia="en-US"/>
        </w:rPr>
        <w:t>The Mapoon Ecological Study outcome will inform, enable and support the determination of relevant natural hazard risk management through local decision</w:t>
      </w:r>
      <w:r w:rsidR="00E76982" w:rsidRPr="00BD77D8">
        <w:rPr>
          <w:rFonts w:eastAsia="Calibri"/>
          <w:lang w:val="en-US" w:eastAsia="en-US"/>
        </w:rPr>
        <w:t>-</w:t>
      </w:r>
      <w:r w:rsidRPr="00BD77D8">
        <w:rPr>
          <w:rFonts w:eastAsia="Calibri"/>
          <w:lang w:val="en-US" w:eastAsia="en-US"/>
        </w:rPr>
        <w:t>making.</w:t>
      </w:r>
    </w:p>
    <w:p w14:paraId="5E98D9C1" w14:textId="357FA39B" w:rsidR="004E197D" w:rsidRPr="00BD77D8" w:rsidRDefault="004E197D" w:rsidP="007524AB">
      <w:pPr>
        <w:pStyle w:val="Heading3"/>
      </w:pPr>
      <w:r w:rsidRPr="00BD77D8">
        <w:lastRenderedPageBreak/>
        <w:t>Community survey programs</w:t>
      </w:r>
      <w:bookmarkEnd w:id="245"/>
      <w:bookmarkEnd w:id="246"/>
      <w:bookmarkEnd w:id="247"/>
    </w:p>
    <w:p w14:paraId="28E6A7B1" w14:textId="05FA3B53" w:rsidR="004E197D" w:rsidRPr="00BD77D8" w:rsidRDefault="001E6842" w:rsidP="00D21656">
      <w:pPr>
        <w:rPr>
          <w:rFonts w:eastAsia="Calibri"/>
          <w:w w:val="105"/>
          <w:lang w:val="en-US" w:eastAsia="en-US"/>
        </w:rPr>
      </w:pPr>
      <w:r w:rsidRPr="00BD77D8">
        <w:rPr>
          <w:rFonts w:eastAsia="Calibri"/>
          <w:w w:val="105"/>
          <w:lang w:val="en-US" w:eastAsia="en-US"/>
        </w:rPr>
        <w:t>During 2021</w:t>
      </w:r>
      <w:r w:rsidR="00A97C65" w:rsidRPr="00BD77D8">
        <w:rPr>
          <w:rFonts w:eastAsia="Calibri"/>
          <w:w w:val="105"/>
          <w:lang w:val="en-US" w:eastAsia="en-US"/>
        </w:rPr>
        <w:t>–</w:t>
      </w:r>
      <w:r w:rsidRPr="00BD77D8">
        <w:rPr>
          <w:rFonts w:eastAsia="Calibri"/>
          <w:w w:val="105"/>
          <w:lang w:val="en-US" w:eastAsia="en-US"/>
        </w:rPr>
        <w:t>2022, t</w:t>
      </w:r>
      <w:r w:rsidR="004E197D" w:rsidRPr="00BD77D8">
        <w:rPr>
          <w:rFonts w:eastAsia="Calibri"/>
          <w:w w:val="105"/>
          <w:lang w:val="en-US" w:eastAsia="en-US"/>
        </w:rPr>
        <w:t xml:space="preserve">he department led programs to </w:t>
      </w:r>
      <w:proofErr w:type="spellStart"/>
      <w:r w:rsidR="004E197D" w:rsidRPr="00BD77D8">
        <w:rPr>
          <w:rFonts w:eastAsia="Calibri"/>
          <w:w w:val="105"/>
          <w:lang w:val="en-US" w:eastAsia="en-US"/>
        </w:rPr>
        <w:t>standardise</w:t>
      </w:r>
      <w:proofErr w:type="spellEnd"/>
      <w:r w:rsidR="004E197D" w:rsidRPr="00BD77D8">
        <w:rPr>
          <w:rFonts w:eastAsia="Calibri"/>
          <w:w w:val="105"/>
          <w:lang w:val="en-US" w:eastAsia="en-US"/>
        </w:rPr>
        <w:t xml:space="preserve"> survey infrastructure and to progress economic development throughout the remote and discrete Aboriginal and Torres Strait Islander communities in Queensland.</w:t>
      </w:r>
    </w:p>
    <w:p w14:paraId="33BBFE54" w14:textId="239F1094" w:rsidR="004E197D" w:rsidRPr="00BD77D8" w:rsidRDefault="004E197D" w:rsidP="00E43202">
      <w:pPr>
        <w:spacing w:after="120"/>
        <w:rPr>
          <w:rFonts w:eastAsia="Calibri"/>
          <w:spacing w:val="-1"/>
          <w:lang w:val="en-US" w:eastAsia="en-US"/>
        </w:rPr>
      </w:pPr>
      <w:r w:rsidRPr="00BD77D8">
        <w:rPr>
          <w:rFonts w:eastAsia="Calibri"/>
          <w:w w:val="105"/>
          <w:lang w:val="en-US" w:eastAsia="en-US"/>
        </w:rPr>
        <w:t xml:space="preserve">Although the implementation of the survey programs has resulted in </w:t>
      </w:r>
      <w:r w:rsidR="00763B81" w:rsidRPr="00BD77D8">
        <w:rPr>
          <w:rFonts w:eastAsia="Calibri"/>
          <w:w w:val="105"/>
          <w:lang w:val="en-US" w:eastAsia="en-US"/>
        </w:rPr>
        <w:t xml:space="preserve">the </w:t>
      </w:r>
      <w:r w:rsidRPr="00BD77D8">
        <w:rPr>
          <w:rFonts w:eastAsia="Calibri"/>
          <w:w w:val="105"/>
          <w:lang w:val="en-US" w:eastAsia="en-US"/>
        </w:rPr>
        <w:t>resolution of most of the long outstanding land tenure issues</w:t>
      </w:r>
      <w:r w:rsidR="00E76982" w:rsidRPr="00BD77D8">
        <w:rPr>
          <w:rFonts w:eastAsia="Calibri"/>
          <w:w w:val="105"/>
          <w:lang w:val="en-US" w:eastAsia="en-US"/>
        </w:rPr>
        <w:t xml:space="preserve">, </w:t>
      </w:r>
      <w:r w:rsidRPr="00BD77D8">
        <w:rPr>
          <w:rFonts w:eastAsia="Calibri"/>
          <w:w w:val="105"/>
          <w:lang w:val="en-US" w:eastAsia="en-US"/>
        </w:rPr>
        <w:t xml:space="preserve">ongoing surveying is required to deliver outcomes in line with </w:t>
      </w:r>
      <w:r w:rsidR="00A97C65" w:rsidRPr="00BD77D8">
        <w:rPr>
          <w:rFonts w:eastAsia="Calibri"/>
          <w:w w:val="105"/>
          <w:lang w:val="en-US" w:eastAsia="en-US"/>
        </w:rPr>
        <w:t>m</w:t>
      </w:r>
      <w:r w:rsidRPr="00BD77D8">
        <w:rPr>
          <w:rFonts w:eastAsia="Calibri"/>
          <w:w w:val="105"/>
          <w:lang w:val="en-US" w:eastAsia="en-US"/>
        </w:rPr>
        <w:t xml:space="preserve">aster </w:t>
      </w:r>
      <w:r w:rsidR="00A97C65" w:rsidRPr="00BD77D8">
        <w:rPr>
          <w:rFonts w:eastAsia="Calibri"/>
          <w:w w:val="105"/>
          <w:lang w:val="en-US" w:eastAsia="en-US"/>
        </w:rPr>
        <w:t>p</w:t>
      </w:r>
      <w:r w:rsidRPr="00BD77D8">
        <w:rPr>
          <w:rFonts w:eastAsia="Calibri"/>
          <w:w w:val="105"/>
          <w:lang w:val="en-US" w:eastAsia="en-US"/>
        </w:rPr>
        <w:t>lanning and new community aspirations</w:t>
      </w:r>
      <w:r w:rsidR="00763B81" w:rsidRPr="00BD77D8">
        <w:rPr>
          <w:rFonts w:eastAsia="Calibri"/>
          <w:w w:val="105"/>
          <w:lang w:val="en-US" w:eastAsia="en-US"/>
        </w:rPr>
        <w:t>,</w:t>
      </w:r>
      <w:r w:rsidRPr="00BD77D8">
        <w:rPr>
          <w:rFonts w:eastAsia="Calibri"/>
          <w:w w:val="105"/>
          <w:lang w:val="en-US" w:eastAsia="en-US"/>
        </w:rPr>
        <w:t xml:space="preserve"> including improved land management, new roads, social housing, home ownership, and private and commercial leasing.</w:t>
      </w:r>
    </w:p>
    <w:p w14:paraId="4E18ABDD" w14:textId="3602DB01" w:rsidR="004E197D" w:rsidRPr="00BD77D8" w:rsidRDefault="004E197D" w:rsidP="00AF1866">
      <w:pPr>
        <w:spacing w:after="120" w:line="240" w:lineRule="auto"/>
        <w:rPr>
          <w:b/>
          <w:bCs/>
        </w:rPr>
      </w:pPr>
      <w:r w:rsidRPr="00BD77D8">
        <w:rPr>
          <w:b/>
          <w:bCs/>
        </w:rPr>
        <w:t>Key achievements</w:t>
      </w:r>
    </w:p>
    <w:p w14:paraId="269887DC" w14:textId="7EAB6A6B" w:rsidR="00763B81" w:rsidRPr="00BD77D8" w:rsidRDefault="00763B81" w:rsidP="00B85C9A">
      <w:pPr>
        <w:spacing w:after="120" w:line="240" w:lineRule="auto"/>
        <w:rPr>
          <w:rFonts w:eastAsia="Calibri"/>
          <w:lang w:val="en-US" w:eastAsia="en-US"/>
        </w:rPr>
      </w:pPr>
      <w:r w:rsidRPr="00BD77D8">
        <w:rPr>
          <w:rFonts w:eastAsia="Calibri"/>
          <w:lang w:val="en-US" w:eastAsia="en-US"/>
        </w:rPr>
        <w:t>During the reporting period, the department:</w:t>
      </w:r>
    </w:p>
    <w:p w14:paraId="4309C760" w14:textId="1E4BD4E3" w:rsidR="00D00E43" w:rsidRPr="00BD77D8" w:rsidRDefault="00D00E43" w:rsidP="00A463E0">
      <w:pPr>
        <w:pStyle w:val="ListParagraph"/>
        <w:numPr>
          <w:ilvl w:val="0"/>
          <w:numId w:val="29"/>
        </w:numPr>
        <w:rPr>
          <w:rFonts w:eastAsia="Calibri"/>
          <w:lang w:val="en-US" w:eastAsia="en-US"/>
        </w:rPr>
      </w:pPr>
      <w:r w:rsidRPr="00BD77D8">
        <w:rPr>
          <w:rFonts w:eastAsia="Calibri"/>
          <w:lang w:val="en-US" w:eastAsia="en-US"/>
        </w:rPr>
        <w:t>developed the Built-Environment Integrated Information System (BEIIS)</w:t>
      </w:r>
      <w:r w:rsidR="00A97C65" w:rsidRPr="00BD77D8">
        <w:rPr>
          <w:rFonts w:eastAsia="Calibri"/>
          <w:lang w:val="en-US" w:eastAsia="en-US"/>
        </w:rPr>
        <w:t>,</w:t>
      </w:r>
      <w:r w:rsidRPr="00BD77D8">
        <w:rPr>
          <w:rFonts w:eastAsia="Calibri"/>
          <w:lang w:val="en-US" w:eastAsia="en-US"/>
        </w:rPr>
        <w:t xml:space="preserve"> which features land and infrastructure</w:t>
      </w:r>
      <w:r w:rsidR="00A97C65" w:rsidRPr="00BD77D8">
        <w:rPr>
          <w:rFonts w:eastAsia="Calibri"/>
          <w:lang w:val="en-US" w:eastAsia="en-US"/>
        </w:rPr>
        <w:t>-</w:t>
      </w:r>
      <w:r w:rsidRPr="00BD77D8">
        <w:rPr>
          <w:rFonts w:eastAsia="Calibri"/>
          <w:lang w:val="en-US" w:eastAsia="en-US"/>
        </w:rPr>
        <w:t>related spatial data available to the 34 Aboriginal and Torres Strait Islander communities, government departments and other key stakeholders</w:t>
      </w:r>
    </w:p>
    <w:p w14:paraId="693277D4" w14:textId="53637167" w:rsidR="00D00E43" w:rsidRPr="00BD77D8" w:rsidRDefault="00D00E43" w:rsidP="00A463E0">
      <w:pPr>
        <w:pStyle w:val="ListParagraph"/>
        <w:numPr>
          <w:ilvl w:val="0"/>
          <w:numId w:val="29"/>
        </w:numPr>
        <w:rPr>
          <w:rFonts w:eastAsia="Calibri"/>
          <w:lang w:val="en-US" w:eastAsia="en-US"/>
        </w:rPr>
      </w:pPr>
      <w:r w:rsidRPr="00BD77D8">
        <w:rPr>
          <w:rFonts w:eastAsia="Calibri"/>
          <w:lang w:val="en-US" w:eastAsia="en-US"/>
        </w:rPr>
        <w:t>managed 30 cadastral survey plans</w:t>
      </w:r>
    </w:p>
    <w:p w14:paraId="502BE492" w14:textId="16663892" w:rsidR="00D00E43" w:rsidRPr="00BD77D8" w:rsidRDefault="00D00E43" w:rsidP="00A463E0">
      <w:pPr>
        <w:pStyle w:val="ListParagraph"/>
        <w:numPr>
          <w:ilvl w:val="0"/>
          <w:numId w:val="29"/>
        </w:numPr>
        <w:rPr>
          <w:rFonts w:eastAsia="Calibri"/>
          <w:lang w:val="en-US" w:eastAsia="en-US"/>
        </w:rPr>
      </w:pPr>
      <w:r w:rsidRPr="00BD77D8">
        <w:rPr>
          <w:rFonts w:eastAsia="Calibri"/>
          <w:lang w:val="en-US" w:eastAsia="en-US"/>
        </w:rPr>
        <w:t>completed 31 Digital Asset Management Plans</w:t>
      </w:r>
      <w:r w:rsidR="007B585C" w:rsidRPr="00BD77D8">
        <w:rPr>
          <w:rFonts w:eastAsia="Calibri"/>
          <w:lang w:val="en-US" w:eastAsia="en-US"/>
        </w:rPr>
        <w:t>,</w:t>
      </w:r>
      <w:r w:rsidRPr="00BD77D8">
        <w:rPr>
          <w:rFonts w:eastAsia="Calibri"/>
          <w:lang w:val="en-US" w:eastAsia="en-US"/>
        </w:rPr>
        <w:t xml:space="preserve"> including the creation of a geodatabase and online mapping feature service of this data</w:t>
      </w:r>
    </w:p>
    <w:p w14:paraId="238624D7" w14:textId="5B21A111" w:rsidR="00D54C44" w:rsidRPr="00BD77D8" w:rsidRDefault="00D00E43" w:rsidP="00A463E0">
      <w:pPr>
        <w:pStyle w:val="ListParagraph"/>
        <w:numPr>
          <w:ilvl w:val="0"/>
          <w:numId w:val="29"/>
        </w:numPr>
        <w:rPr>
          <w:rFonts w:eastAsia="Calibri"/>
          <w:w w:val="105"/>
          <w:lang w:val="en-US" w:eastAsia="en-US"/>
        </w:rPr>
      </w:pPr>
      <w:r w:rsidRPr="00BD77D8">
        <w:rPr>
          <w:rFonts w:eastAsia="Calibri"/>
          <w:lang w:val="en-US" w:eastAsia="en-US"/>
        </w:rPr>
        <w:t xml:space="preserve">assisted three </w:t>
      </w:r>
      <w:r w:rsidR="00A97C65" w:rsidRPr="00BD77D8">
        <w:rPr>
          <w:rFonts w:eastAsia="Calibri"/>
          <w:lang w:val="en-US" w:eastAsia="en-US"/>
        </w:rPr>
        <w:t>c</w:t>
      </w:r>
      <w:r w:rsidRPr="00BD77D8">
        <w:rPr>
          <w:rFonts w:eastAsia="Calibri"/>
          <w:lang w:val="en-US" w:eastAsia="en-US"/>
        </w:rPr>
        <w:t>ouncils assign community street addressing</w:t>
      </w:r>
      <w:r w:rsidRPr="00BD77D8">
        <w:rPr>
          <w:rFonts w:eastAsia="Calibri"/>
          <w:w w:val="105"/>
          <w:lang w:val="en-US" w:eastAsia="en-US"/>
        </w:rPr>
        <w:t>.</w:t>
      </w:r>
    </w:p>
    <w:p w14:paraId="6E6506FD" w14:textId="793618EB" w:rsidR="004E197D" w:rsidRPr="00BD77D8" w:rsidRDefault="004E197D" w:rsidP="007524AB">
      <w:pPr>
        <w:pStyle w:val="Heading3"/>
      </w:pPr>
      <w:bookmarkStart w:id="248" w:name="_Toc67046698"/>
      <w:bookmarkStart w:id="249" w:name="_Toc78287391"/>
      <w:bookmarkStart w:id="250" w:name="_Toc78355798"/>
      <w:r w:rsidRPr="00BD77D8">
        <w:t>Indigenous Land Use Agreements</w:t>
      </w:r>
      <w:bookmarkEnd w:id="248"/>
      <w:bookmarkEnd w:id="249"/>
      <w:bookmarkEnd w:id="250"/>
    </w:p>
    <w:p w14:paraId="34CA0455" w14:textId="45B7196A" w:rsidR="004E197D" w:rsidRPr="00BD77D8" w:rsidRDefault="004E197D" w:rsidP="00D21656">
      <w:pPr>
        <w:rPr>
          <w:rFonts w:eastAsia="Calibri"/>
          <w:w w:val="105"/>
          <w:lang w:val="en-US" w:eastAsia="en-US"/>
        </w:rPr>
      </w:pPr>
      <w:r w:rsidRPr="00BD77D8">
        <w:rPr>
          <w:rFonts w:eastAsia="Calibri"/>
          <w:w w:val="105"/>
          <w:lang w:val="en-US" w:eastAsia="en-US"/>
        </w:rPr>
        <w:t>Indigenous Land Use Agreements</w:t>
      </w:r>
      <w:r w:rsidR="000C7D37" w:rsidRPr="00BD77D8">
        <w:rPr>
          <w:rFonts w:eastAsia="Calibri"/>
          <w:w w:val="105"/>
          <w:lang w:val="en-US" w:eastAsia="en-US"/>
        </w:rPr>
        <w:t xml:space="preserve"> (ILUA</w:t>
      </w:r>
      <w:r w:rsidR="007B585C" w:rsidRPr="00BD77D8">
        <w:rPr>
          <w:rFonts w:eastAsia="Calibri"/>
          <w:w w:val="105"/>
          <w:lang w:val="en-US" w:eastAsia="en-US"/>
        </w:rPr>
        <w:t>s</w:t>
      </w:r>
      <w:r w:rsidR="000C7D37" w:rsidRPr="00BD77D8">
        <w:rPr>
          <w:rFonts w:eastAsia="Calibri"/>
          <w:w w:val="105"/>
          <w:lang w:val="en-US" w:eastAsia="en-US"/>
        </w:rPr>
        <w:t>)</w:t>
      </w:r>
      <w:r w:rsidRPr="00BD77D8">
        <w:rPr>
          <w:rFonts w:eastAsia="Calibri"/>
          <w:w w:val="105"/>
          <w:lang w:val="en-US" w:eastAsia="en-US"/>
        </w:rPr>
        <w:t xml:space="preserve"> are voluntary agreements between Native Title parties and others about the use and management of land. I</w:t>
      </w:r>
      <w:r w:rsidR="000C7D37" w:rsidRPr="00BD77D8">
        <w:rPr>
          <w:rFonts w:eastAsia="Calibri"/>
          <w:w w:val="105"/>
          <w:lang w:val="en-US" w:eastAsia="en-US"/>
        </w:rPr>
        <w:t>LUA</w:t>
      </w:r>
      <w:r w:rsidR="000D186F" w:rsidRPr="00BD77D8">
        <w:rPr>
          <w:rFonts w:eastAsia="Calibri"/>
          <w:w w:val="105"/>
          <w:lang w:val="en-US" w:eastAsia="en-US"/>
        </w:rPr>
        <w:t>s</w:t>
      </w:r>
      <w:r w:rsidRPr="00BD77D8">
        <w:rPr>
          <w:rFonts w:eastAsia="Calibri"/>
          <w:w w:val="105"/>
          <w:lang w:val="en-US" w:eastAsia="en-US"/>
        </w:rPr>
        <w:t xml:space="preserve"> allow Aboriginal </w:t>
      </w:r>
      <w:r w:rsidR="004C7FBB" w:rsidRPr="00BD77D8">
        <w:rPr>
          <w:rFonts w:eastAsia="Calibri"/>
          <w:w w:val="105"/>
          <w:lang w:val="en-US" w:eastAsia="en-US"/>
        </w:rPr>
        <w:t xml:space="preserve">peoples </w:t>
      </w:r>
      <w:r w:rsidRPr="00BD77D8">
        <w:rPr>
          <w:rFonts w:eastAsia="Calibri"/>
          <w:w w:val="105"/>
          <w:lang w:val="en-US" w:eastAsia="en-US"/>
        </w:rPr>
        <w:t>and Torres Strait Islander peoples to negotiate flexible arrangements that suit their circumstances and aspirations.</w:t>
      </w:r>
    </w:p>
    <w:p w14:paraId="4515046D" w14:textId="791CD5B3" w:rsidR="004E197D" w:rsidRPr="00BD77D8" w:rsidRDefault="004E197D" w:rsidP="00D21656">
      <w:pPr>
        <w:rPr>
          <w:rFonts w:eastAsia="Calibri"/>
          <w:w w:val="105"/>
          <w:lang w:val="en-US" w:eastAsia="en-US"/>
        </w:rPr>
      </w:pPr>
      <w:r w:rsidRPr="00BD77D8">
        <w:rPr>
          <w:rFonts w:eastAsia="Calibri"/>
          <w:w w:val="105"/>
          <w:lang w:val="en-US" w:eastAsia="en-US"/>
        </w:rPr>
        <w:t>The department works with councils, other state government agencies, Traditional Owners and Registered Native Title Bodies Corporate on negotiating various types of land use agreements to support economic development for communities. Agreements negotiated usually provide for state, Commonwealth or local government infrastructure development, home ownership or leasing, social housing construction or leasing, and commercial leasing. They also provide an up-front compensation amount for some future acts, body corporate fees for service</w:t>
      </w:r>
      <w:r w:rsidR="00763B81" w:rsidRPr="00BD77D8">
        <w:rPr>
          <w:rFonts w:eastAsia="Calibri"/>
          <w:w w:val="105"/>
          <w:lang w:val="en-US" w:eastAsia="en-US"/>
        </w:rPr>
        <w:t>,</w:t>
      </w:r>
      <w:r w:rsidRPr="00BD77D8">
        <w:rPr>
          <w:rFonts w:eastAsia="Calibri"/>
          <w:w w:val="105"/>
          <w:lang w:val="en-US" w:eastAsia="en-US"/>
        </w:rPr>
        <w:t xml:space="preserve"> and cultural heritage clearance procedures</w:t>
      </w:r>
      <w:r w:rsidR="00763B81" w:rsidRPr="00BD77D8">
        <w:rPr>
          <w:rFonts w:eastAsia="Calibri"/>
          <w:w w:val="105"/>
          <w:lang w:val="en-US" w:eastAsia="en-US"/>
        </w:rPr>
        <w:t xml:space="preserve">, </w:t>
      </w:r>
      <w:r w:rsidRPr="00BD77D8">
        <w:rPr>
          <w:rFonts w:eastAsia="Calibri"/>
          <w:w w:val="105"/>
          <w:lang w:val="en-US" w:eastAsia="en-US"/>
        </w:rPr>
        <w:t>including remuneration for cultural heritage monitors.</w:t>
      </w:r>
    </w:p>
    <w:p w14:paraId="623F33EE" w14:textId="4958F711" w:rsidR="00D00E43" w:rsidRPr="00BD77D8" w:rsidRDefault="00D00E43" w:rsidP="00D21656">
      <w:pPr>
        <w:rPr>
          <w:rFonts w:eastAsia="Calibri"/>
          <w:spacing w:val="-1"/>
          <w:lang w:val="en-US" w:eastAsia="en-US"/>
        </w:rPr>
      </w:pPr>
      <w:r w:rsidRPr="00BD77D8">
        <w:rPr>
          <w:rFonts w:eastAsia="Calibri"/>
          <w:spacing w:val="-1"/>
          <w:lang w:val="en-US" w:eastAsia="en-US"/>
        </w:rPr>
        <w:t xml:space="preserve">Where an ILUA is not possible, the department works with councils, other state government agencies, Traditional Owners and Registered Native Title Bodies Corporates to address Native Title under section 24JAA of the </w:t>
      </w:r>
      <w:r w:rsidRPr="00BD77D8">
        <w:rPr>
          <w:rFonts w:eastAsia="Calibri"/>
          <w:i/>
          <w:iCs/>
          <w:spacing w:val="-1"/>
          <w:lang w:val="en-US" w:eastAsia="en-US"/>
        </w:rPr>
        <w:t>Native Title Act 1993</w:t>
      </w:r>
      <w:r w:rsidRPr="00BD77D8">
        <w:rPr>
          <w:rFonts w:eastAsia="Calibri"/>
          <w:spacing w:val="-1"/>
          <w:lang w:val="en-US" w:eastAsia="en-US"/>
        </w:rPr>
        <w:t xml:space="preserve"> (NTA) for social housing and other essential government infrastructure such as, education, health, police and emergency facilities.    </w:t>
      </w:r>
    </w:p>
    <w:p w14:paraId="52579161" w14:textId="769056FA" w:rsidR="004E197D" w:rsidRPr="00BD77D8" w:rsidRDefault="004E197D" w:rsidP="00AF1866">
      <w:pPr>
        <w:spacing w:after="120" w:line="240" w:lineRule="auto"/>
        <w:rPr>
          <w:b/>
          <w:bCs/>
        </w:rPr>
      </w:pPr>
      <w:bookmarkStart w:id="251" w:name="_Hlk78203470"/>
      <w:r w:rsidRPr="00BD77D8">
        <w:rPr>
          <w:b/>
          <w:bCs/>
        </w:rPr>
        <w:t>Key achievements</w:t>
      </w:r>
    </w:p>
    <w:p w14:paraId="048DE902" w14:textId="3C8D9E44" w:rsidR="00763B81" w:rsidRPr="00BD77D8" w:rsidRDefault="00763B81" w:rsidP="00B85C9A">
      <w:pPr>
        <w:spacing w:after="120" w:line="240" w:lineRule="auto"/>
        <w:rPr>
          <w:rFonts w:eastAsia="Calibri"/>
          <w:w w:val="105"/>
          <w:lang w:val="en-US" w:eastAsia="en-US"/>
        </w:rPr>
      </w:pPr>
      <w:r w:rsidRPr="00BD77D8">
        <w:rPr>
          <w:rFonts w:eastAsia="Calibri"/>
          <w:w w:val="105"/>
          <w:lang w:val="en-US" w:eastAsia="en-US"/>
        </w:rPr>
        <w:t>During the reporting period, the department provided advice to Prescribed Body Corporates, and progressed and completed the following I</w:t>
      </w:r>
      <w:r w:rsidR="007B585C" w:rsidRPr="00BD77D8">
        <w:rPr>
          <w:rFonts w:eastAsia="Calibri"/>
          <w:w w:val="105"/>
          <w:lang w:val="en-US" w:eastAsia="en-US"/>
        </w:rPr>
        <w:t>LUAs</w:t>
      </w:r>
      <w:r w:rsidRPr="00BD77D8">
        <w:rPr>
          <w:rFonts w:eastAsia="Calibri"/>
          <w:w w:val="105"/>
          <w:lang w:val="en-US" w:eastAsia="en-US"/>
        </w:rPr>
        <w:t>:</w:t>
      </w:r>
    </w:p>
    <w:p w14:paraId="04711088" w14:textId="7DF6851E" w:rsidR="004E197D" w:rsidRPr="00BD77D8" w:rsidRDefault="004E197D" w:rsidP="00B85C9A">
      <w:pPr>
        <w:spacing w:after="120" w:line="240" w:lineRule="auto"/>
        <w:rPr>
          <w:i/>
          <w:iCs/>
        </w:rPr>
      </w:pPr>
      <w:r w:rsidRPr="00BD77D8">
        <w:rPr>
          <w:i/>
          <w:iCs/>
        </w:rPr>
        <w:t>Torres Strait Infrastructure and Housing</w:t>
      </w:r>
      <w:r w:rsidR="004859D4" w:rsidRPr="00BD77D8">
        <w:rPr>
          <w:i/>
          <w:iCs/>
        </w:rPr>
        <w:t xml:space="preserve"> </w:t>
      </w:r>
      <w:r w:rsidR="007B585C" w:rsidRPr="00BD77D8">
        <w:rPr>
          <w:i/>
          <w:iCs/>
        </w:rPr>
        <w:t>ILUAs</w:t>
      </w:r>
    </w:p>
    <w:p w14:paraId="440B6BEC" w14:textId="7B797D4A" w:rsidR="004E197D" w:rsidRPr="00BD77D8" w:rsidRDefault="00A97C65" w:rsidP="00A463E0">
      <w:pPr>
        <w:pStyle w:val="ListParagraph"/>
        <w:numPr>
          <w:ilvl w:val="0"/>
          <w:numId w:val="31"/>
        </w:numPr>
        <w:spacing w:after="120" w:line="240" w:lineRule="auto"/>
        <w:ind w:left="777" w:hanging="357"/>
        <w:rPr>
          <w:rFonts w:eastAsia="Calibri"/>
          <w:w w:val="105"/>
          <w:lang w:val="en-US" w:eastAsia="en-US"/>
        </w:rPr>
      </w:pPr>
      <w:r w:rsidRPr="00BD77D8">
        <w:rPr>
          <w:rFonts w:eastAsia="Calibri"/>
          <w:w w:val="105"/>
          <w:lang w:val="en-US" w:eastAsia="en-US"/>
        </w:rPr>
        <w:t>n</w:t>
      </w:r>
      <w:r w:rsidR="007539BA" w:rsidRPr="00BD77D8">
        <w:rPr>
          <w:rFonts w:eastAsia="Calibri"/>
          <w:w w:val="105"/>
          <w:lang w:val="en-US" w:eastAsia="en-US"/>
        </w:rPr>
        <w:t xml:space="preserve">egotiated two ILUAs for the islands of Poruma and Mer. </w:t>
      </w:r>
    </w:p>
    <w:p w14:paraId="525F92B4" w14:textId="367D3F6A" w:rsidR="004E197D" w:rsidRPr="00BD77D8" w:rsidRDefault="004E197D" w:rsidP="00B85C9A">
      <w:pPr>
        <w:spacing w:after="120" w:line="240" w:lineRule="auto"/>
        <w:rPr>
          <w:i/>
          <w:iCs/>
        </w:rPr>
      </w:pPr>
      <w:r w:rsidRPr="00BD77D8">
        <w:rPr>
          <w:i/>
          <w:iCs/>
        </w:rPr>
        <w:t xml:space="preserve">Township </w:t>
      </w:r>
      <w:r w:rsidR="007B585C" w:rsidRPr="00BD77D8">
        <w:rPr>
          <w:i/>
          <w:iCs/>
        </w:rPr>
        <w:t>ILUAs</w:t>
      </w:r>
    </w:p>
    <w:p w14:paraId="0CE3A466" w14:textId="69E72031" w:rsidR="004E197D" w:rsidRPr="00BD77D8" w:rsidRDefault="00A97C65" w:rsidP="00A463E0">
      <w:pPr>
        <w:pStyle w:val="ListParagraph"/>
        <w:numPr>
          <w:ilvl w:val="0"/>
          <w:numId w:val="31"/>
        </w:numPr>
        <w:spacing w:after="120" w:line="240" w:lineRule="auto"/>
        <w:ind w:left="777" w:hanging="357"/>
        <w:rPr>
          <w:rFonts w:eastAsia="Calibri"/>
          <w:w w:val="105"/>
          <w:lang w:val="en-US" w:eastAsia="en-US"/>
        </w:rPr>
      </w:pPr>
      <w:r w:rsidRPr="00BD77D8">
        <w:rPr>
          <w:rFonts w:eastAsia="Calibri"/>
          <w:w w:val="105"/>
          <w:lang w:val="en-US" w:eastAsia="en-US"/>
        </w:rPr>
        <w:t>n</w:t>
      </w:r>
      <w:r w:rsidR="007539BA" w:rsidRPr="00BD77D8">
        <w:rPr>
          <w:rFonts w:eastAsia="Calibri"/>
          <w:w w:val="105"/>
          <w:lang w:val="en-US" w:eastAsia="en-US"/>
        </w:rPr>
        <w:t xml:space="preserve">egotiated ILUAs for Cherbourg and Lockhart River.   </w:t>
      </w:r>
    </w:p>
    <w:p w14:paraId="1426A79D" w14:textId="3F0E33A1" w:rsidR="004E197D" w:rsidRPr="00BD77D8" w:rsidRDefault="004E197D" w:rsidP="00B85C9A">
      <w:pPr>
        <w:spacing w:after="120" w:line="240" w:lineRule="auto"/>
        <w:rPr>
          <w:i/>
          <w:iCs/>
        </w:rPr>
      </w:pPr>
      <w:r w:rsidRPr="00BD77D8">
        <w:rPr>
          <w:i/>
          <w:iCs/>
        </w:rPr>
        <w:t>Social Housing</w:t>
      </w:r>
      <w:r w:rsidR="007B585C" w:rsidRPr="00BD77D8">
        <w:rPr>
          <w:i/>
          <w:iCs/>
        </w:rPr>
        <w:t xml:space="preserve"> ILUAs</w:t>
      </w:r>
      <w:r w:rsidR="004859D4" w:rsidRPr="00BD77D8">
        <w:rPr>
          <w:i/>
          <w:iCs/>
        </w:rPr>
        <w:t xml:space="preserve"> template</w:t>
      </w:r>
      <w:r w:rsidRPr="00BD77D8">
        <w:rPr>
          <w:i/>
          <w:iCs/>
        </w:rPr>
        <w:t xml:space="preserve"> for Aboriginal communities</w:t>
      </w:r>
    </w:p>
    <w:bookmarkEnd w:id="251"/>
    <w:p w14:paraId="267A2362" w14:textId="4806D55F" w:rsidR="004E197D" w:rsidRPr="00BD77D8" w:rsidRDefault="00A97C65" w:rsidP="00A463E0">
      <w:pPr>
        <w:pStyle w:val="ListParagraph"/>
        <w:numPr>
          <w:ilvl w:val="0"/>
          <w:numId w:val="31"/>
        </w:numPr>
        <w:spacing w:after="120" w:line="240" w:lineRule="auto"/>
        <w:ind w:left="777" w:hanging="357"/>
        <w:rPr>
          <w:rFonts w:eastAsia="Calibri"/>
          <w:w w:val="105"/>
          <w:lang w:val="en-US" w:eastAsia="en-US"/>
        </w:rPr>
      </w:pPr>
      <w:proofErr w:type="spellStart"/>
      <w:r w:rsidRPr="00BD77D8">
        <w:rPr>
          <w:rFonts w:eastAsia="Calibri"/>
          <w:w w:val="105"/>
          <w:lang w:val="en-US" w:eastAsia="en-US"/>
        </w:rPr>
        <w:t>f</w:t>
      </w:r>
      <w:r w:rsidR="007539BA" w:rsidRPr="00BD77D8">
        <w:rPr>
          <w:rFonts w:eastAsia="Calibri"/>
          <w:w w:val="105"/>
          <w:lang w:val="en-US" w:eastAsia="en-US"/>
        </w:rPr>
        <w:t>inalised</w:t>
      </w:r>
      <w:proofErr w:type="spellEnd"/>
      <w:r w:rsidR="007539BA" w:rsidRPr="00BD77D8">
        <w:rPr>
          <w:rFonts w:eastAsia="Calibri"/>
          <w:w w:val="105"/>
          <w:lang w:val="en-US" w:eastAsia="en-US"/>
        </w:rPr>
        <w:t xml:space="preserve"> the template to provide an option for </w:t>
      </w:r>
      <w:r w:rsidRPr="00BD77D8">
        <w:rPr>
          <w:rFonts w:eastAsia="Calibri"/>
          <w:w w:val="105"/>
          <w:lang w:val="en-US" w:eastAsia="en-US"/>
        </w:rPr>
        <w:t>c</w:t>
      </w:r>
      <w:r w:rsidR="007539BA" w:rsidRPr="00BD77D8">
        <w:rPr>
          <w:rFonts w:eastAsia="Calibri"/>
          <w:w w:val="105"/>
          <w:lang w:val="en-US" w:eastAsia="en-US"/>
        </w:rPr>
        <w:t>ouncils to address Native Title for Queensland and the Commonwealth’s social housing investment</w:t>
      </w:r>
      <w:r w:rsidR="00B85C9A" w:rsidRPr="00BD77D8">
        <w:rPr>
          <w:rFonts w:eastAsia="Calibri"/>
          <w:w w:val="105"/>
          <w:lang w:val="en-US" w:eastAsia="en-US"/>
        </w:rPr>
        <w:t>.</w:t>
      </w:r>
    </w:p>
    <w:p w14:paraId="3318FE79" w14:textId="7E5B3074" w:rsidR="007539BA" w:rsidRPr="00BD77D8" w:rsidRDefault="00BA691A" w:rsidP="00B85C9A">
      <w:pPr>
        <w:spacing w:after="120" w:line="240" w:lineRule="auto"/>
        <w:rPr>
          <w:i/>
          <w:iCs/>
        </w:rPr>
      </w:pPr>
      <w:r w:rsidRPr="00BD77D8">
        <w:rPr>
          <w:i/>
          <w:iCs/>
        </w:rPr>
        <w:br w:type="column"/>
      </w:r>
      <w:r w:rsidR="007539BA" w:rsidRPr="00BD77D8">
        <w:rPr>
          <w:i/>
          <w:iCs/>
        </w:rPr>
        <w:lastRenderedPageBreak/>
        <w:t>Native Title consent for social housing investment and other essential infrastructure</w:t>
      </w:r>
    </w:p>
    <w:p w14:paraId="60E72745" w14:textId="2FF661A6" w:rsidR="007539BA" w:rsidRPr="00BD77D8" w:rsidRDefault="00A97C65" w:rsidP="00A463E0">
      <w:pPr>
        <w:pStyle w:val="ListParagraph"/>
        <w:numPr>
          <w:ilvl w:val="0"/>
          <w:numId w:val="31"/>
        </w:numPr>
        <w:rPr>
          <w:rFonts w:eastAsia="Calibri"/>
          <w:w w:val="105"/>
          <w:lang w:val="en-US" w:eastAsia="en-US"/>
        </w:rPr>
      </w:pPr>
      <w:r w:rsidRPr="00BD77D8">
        <w:rPr>
          <w:rFonts w:eastAsia="Calibri"/>
          <w:w w:val="105"/>
          <w:lang w:val="en-US" w:eastAsia="en-US"/>
        </w:rPr>
        <w:t>c</w:t>
      </w:r>
      <w:r w:rsidR="007539BA" w:rsidRPr="00BD77D8">
        <w:rPr>
          <w:rFonts w:eastAsia="Calibri"/>
          <w:w w:val="105"/>
          <w:lang w:val="en-US" w:eastAsia="en-US"/>
        </w:rPr>
        <w:t xml:space="preserve">ompleted the Native Title consent process to enable social housing investment for the communities of Aurukun, Cherbourg, </w:t>
      </w:r>
      <w:proofErr w:type="spellStart"/>
      <w:r w:rsidR="007539BA" w:rsidRPr="00BD77D8">
        <w:rPr>
          <w:rFonts w:eastAsia="Calibri"/>
          <w:w w:val="105"/>
          <w:lang w:val="en-US" w:eastAsia="en-US"/>
        </w:rPr>
        <w:t>Kowanyama</w:t>
      </w:r>
      <w:proofErr w:type="spellEnd"/>
      <w:r w:rsidR="007539BA" w:rsidRPr="00BD77D8">
        <w:rPr>
          <w:rFonts w:eastAsia="Calibri"/>
          <w:w w:val="105"/>
          <w:lang w:val="en-US" w:eastAsia="en-US"/>
        </w:rPr>
        <w:t xml:space="preserve">, </w:t>
      </w:r>
      <w:proofErr w:type="spellStart"/>
      <w:r w:rsidR="007539BA" w:rsidRPr="00BD77D8">
        <w:rPr>
          <w:rFonts w:eastAsia="Calibri"/>
          <w:w w:val="105"/>
          <w:lang w:val="en-US" w:eastAsia="en-US"/>
        </w:rPr>
        <w:t>Napranum</w:t>
      </w:r>
      <w:proofErr w:type="spellEnd"/>
      <w:r w:rsidR="007539BA" w:rsidRPr="00BD77D8">
        <w:rPr>
          <w:rFonts w:eastAsia="Calibri"/>
          <w:w w:val="105"/>
          <w:lang w:val="en-US" w:eastAsia="en-US"/>
        </w:rPr>
        <w:t xml:space="preserve">, </w:t>
      </w:r>
      <w:proofErr w:type="spellStart"/>
      <w:r w:rsidR="007539BA" w:rsidRPr="00BD77D8">
        <w:rPr>
          <w:rFonts w:eastAsia="Calibri"/>
          <w:w w:val="105"/>
          <w:lang w:val="en-US" w:eastAsia="en-US"/>
        </w:rPr>
        <w:t>Wujal</w:t>
      </w:r>
      <w:proofErr w:type="spellEnd"/>
      <w:r w:rsidR="007539BA" w:rsidRPr="00BD77D8">
        <w:rPr>
          <w:rFonts w:eastAsia="Calibri"/>
          <w:w w:val="105"/>
          <w:lang w:val="en-US" w:eastAsia="en-US"/>
        </w:rPr>
        <w:t xml:space="preserve"> </w:t>
      </w:r>
      <w:proofErr w:type="spellStart"/>
      <w:r w:rsidR="007539BA" w:rsidRPr="00BD77D8">
        <w:rPr>
          <w:rFonts w:eastAsia="Calibri"/>
          <w:w w:val="105"/>
          <w:lang w:val="en-US" w:eastAsia="en-US"/>
        </w:rPr>
        <w:t>Wujal</w:t>
      </w:r>
      <w:proofErr w:type="spellEnd"/>
      <w:r w:rsidR="007539BA" w:rsidRPr="00BD77D8">
        <w:rPr>
          <w:rFonts w:eastAsia="Calibri"/>
          <w:w w:val="105"/>
          <w:lang w:val="en-US" w:eastAsia="en-US"/>
        </w:rPr>
        <w:t xml:space="preserve"> and </w:t>
      </w:r>
      <w:proofErr w:type="spellStart"/>
      <w:r w:rsidR="007539BA" w:rsidRPr="00BD77D8">
        <w:rPr>
          <w:rFonts w:eastAsia="Calibri"/>
          <w:w w:val="105"/>
          <w:lang w:val="en-US" w:eastAsia="en-US"/>
        </w:rPr>
        <w:t>Woorabinda</w:t>
      </w:r>
      <w:proofErr w:type="spellEnd"/>
      <w:r w:rsidR="007539BA" w:rsidRPr="00BD77D8">
        <w:rPr>
          <w:rFonts w:eastAsia="Calibri"/>
          <w:w w:val="105"/>
          <w:lang w:val="en-US" w:eastAsia="en-US"/>
        </w:rPr>
        <w:t xml:space="preserve"> </w:t>
      </w:r>
    </w:p>
    <w:p w14:paraId="628279B5" w14:textId="7E555967" w:rsidR="007539BA" w:rsidRPr="00BD77D8" w:rsidRDefault="00A97C65" w:rsidP="00A463E0">
      <w:pPr>
        <w:pStyle w:val="ListParagraph"/>
        <w:numPr>
          <w:ilvl w:val="0"/>
          <w:numId w:val="31"/>
        </w:numPr>
        <w:rPr>
          <w:rFonts w:eastAsia="Calibri"/>
          <w:w w:val="105"/>
          <w:lang w:val="en-US" w:eastAsia="en-US"/>
        </w:rPr>
      </w:pPr>
      <w:r w:rsidRPr="00BD77D8">
        <w:rPr>
          <w:rFonts w:eastAsia="Calibri"/>
          <w:w w:val="105"/>
          <w:lang w:val="en-US" w:eastAsia="en-US"/>
        </w:rPr>
        <w:t>p</w:t>
      </w:r>
      <w:r w:rsidR="007539BA" w:rsidRPr="00BD77D8">
        <w:rPr>
          <w:rFonts w:eastAsia="Calibri"/>
          <w:w w:val="105"/>
          <w:lang w:val="en-US" w:eastAsia="en-US"/>
        </w:rPr>
        <w:t xml:space="preserve">rogressed the Native Title consent process for Police and Corrective Services and Aged care facilities at </w:t>
      </w:r>
      <w:proofErr w:type="spellStart"/>
      <w:r w:rsidR="007539BA" w:rsidRPr="00BD77D8">
        <w:rPr>
          <w:rFonts w:eastAsia="Calibri"/>
          <w:w w:val="105"/>
          <w:lang w:val="en-US" w:eastAsia="en-US"/>
        </w:rPr>
        <w:t>Wujal</w:t>
      </w:r>
      <w:proofErr w:type="spellEnd"/>
      <w:r w:rsidR="007539BA" w:rsidRPr="00BD77D8">
        <w:rPr>
          <w:rFonts w:eastAsia="Calibri"/>
          <w:w w:val="105"/>
          <w:lang w:val="en-US" w:eastAsia="en-US"/>
        </w:rPr>
        <w:t xml:space="preserve"> </w:t>
      </w:r>
      <w:proofErr w:type="spellStart"/>
      <w:r w:rsidR="007539BA" w:rsidRPr="00BD77D8">
        <w:rPr>
          <w:rFonts w:eastAsia="Calibri"/>
          <w:w w:val="105"/>
          <w:lang w:val="en-US" w:eastAsia="en-US"/>
        </w:rPr>
        <w:t>Wujal</w:t>
      </w:r>
      <w:proofErr w:type="spellEnd"/>
      <w:r w:rsidR="007539BA" w:rsidRPr="00BD77D8">
        <w:rPr>
          <w:rFonts w:eastAsia="Calibri"/>
          <w:w w:val="105"/>
          <w:lang w:val="en-US" w:eastAsia="en-US"/>
        </w:rPr>
        <w:t>.</w:t>
      </w:r>
    </w:p>
    <w:p w14:paraId="57C63323" w14:textId="16D4A509" w:rsidR="007A3138" w:rsidRPr="00BD77D8" w:rsidRDefault="006531F8" w:rsidP="007A3138">
      <w:pPr>
        <w:spacing w:line="240" w:lineRule="auto"/>
        <w:ind w:left="142"/>
        <w:rPr>
          <w:rFonts w:eastAsia="Calibri"/>
          <w:b/>
          <w:sz w:val="20"/>
          <w:szCs w:val="20"/>
          <w:lang w:val="en-US" w:eastAsia="en-US"/>
        </w:rPr>
      </w:pPr>
      <w:bookmarkStart w:id="252" w:name="_Toc113544393"/>
      <w:bookmarkStart w:id="253" w:name="_Hlk102653482"/>
      <w:r w:rsidRPr="00BD77D8">
        <w:rPr>
          <w:rStyle w:val="Heading2Char"/>
          <w:color w:val="auto"/>
        </w:rPr>
        <w:t>Our Performance</w:t>
      </w:r>
      <w:r w:rsidR="005A1C92" w:rsidRPr="00BD77D8">
        <w:rPr>
          <w:rStyle w:val="Heading2Char"/>
          <w:color w:val="auto"/>
        </w:rPr>
        <w:t>—</w:t>
      </w:r>
      <w:r w:rsidRPr="00BD77D8">
        <w:rPr>
          <w:rStyle w:val="Heading2Char"/>
          <w:color w:val="auto"/>
        </w:rPr>
        <w:t>Aboriginal and Torres Strait Islander Partnerships</w:t>
      </w:r>
      <w:r w:rsidR="00B74C92" w:rsidRPr="00BD77D8">
        <w:rPr>
          <w:rStyle w:val="Heading2Char"/>
          <w:color w:val="auto"/>
        </w:rPr>
        <w:t>, Community Participation</w:t>
      </w:r>
      <w:bookmarkEnd w:id="252"/>
      <w:r w:rsidR="007A3138" w:rsidRPr="00BD77D8">
        <w:rPr>
          <w:b/>
          <w:sz w:val="26"/>
          <w:szCs w:val="26"/>
          <w:lang w:eastAsia="en-US"/>
        </w:rPr>
        <w:t xml:space="preserve"> </w:t>
      </w:r>
    </w:p>
    <w:tbl>
      <w:tblPr>
        <w:tblStyle w:val="TableGrid1"/>
        <w:tblW w:w="10390" w:type="dxa"/>
        <w:tblInd w:w="100" w:type="dxa"/>
        <w:tblLayout w:type="fixed"/>
        <w:tblCellMar>
          <w:left w:w="0" w:type="dxa"/>
          <w:right w:w="0" w:type="dxa"/>
        </w:tblCellMar>
        <w:tblLook w:val="01E0" w:firstRow="1" w:lastRow="1" w:firstColumn="1" w:lastColumn="1" w:noHBand="0" w:noVBand="0"/>
      </w:tblPr>
      <w:tblGrid>
        <w:gridCol w:w="6621"/>
        <w:gridCol w:w="1310"/>
        <w:gridCol w:w="1183"/>
        <w:gridCol w:w="1276"/>
      </w:tblGrid>
      <w:tr w:rsidR="00BD77D8" w:rsidRPr="00BD77D8" w14:paraId="21E0C01B" w14:textId="77777777" w:rsidTr="000B430F">
        <w:trPr>
          <w:trHeight w:val="20"/>
          <w:tblHeader/>
        </w:trPr>
        <w:tc>
          <w:tcPr>
            <w:tcW w:w="6621" w:type="dxa"/>
            <w:shd w:val="clear" w:color="auto" w:fill="F2F2F2" w:themeFill="background1" w:themeFillShade="F2"/>
          </w:tcPr>
          <w:p w14:paraId="4F308616" w14:textId="1EBD78AC" w:rsidR="006531F8" w:rsidRPr="00BD77D8" w:rsidRDefault="006531F8" w:rsidP="00A97F9F">
            <w:pPr>
              <w:spacing w:after="120" w:line="240" w:lineRule="auto"/>
              <w:rPr>
                <w:rFonts w:ascii="Arial" w:hAnsi="Arial"/>
                <w:b/>
                <w:bCs/>
              </w:rPr>
            </w:pPr>
            <w:r w:rsidRPr="00BD77D8">
              <w:rPr>
                <w:rFonts w:ascii="Arial" w:hAnsi="Arial"/>
                <w:b/>
                <w:bCs/>
              </w:rPr>
              <w:t>S</w:t>
            </w:r>
            <w:r w:rsidR="00B74C92" w:rsidRPr="00BD77D8">
              <w:rPr>
                <w:rFonts w:ascii="Arial" w:hAnsi="Arial"/>
                <w:b/>
                <w:bCs/>
              </w:rPr>
              <w:t>ervice standards</w:t>
            </w:r>
          </w:p>
        </w:tc>
        <w:tc>
          <w:tcPr>
            <w:tcW w:w="1310" w:type="dxa"/>
            <w:shd w:val="clear" w:color="auto" w:fill="F2F2F2" w:themeFill="background1" w:themeFillShade="F2"/>
          </w:tcPr>
          <w:p w14:paraId="1394D3E9" w14:textId="77777777" w:rsidR="006531F8" w:rsidRPr="00BD77D8" w:rsidRDefault="006531F8" w:rsidP="00A97F9F">
            <w:pPr>
              <w:spacing w:after="120" w:line="240" w:lineRule="auto"/>
              <w:jc w:val="center"/>
              <w:rPr>
                <w:rFonts w:ascii="Arial" w:hAnsi="Arial"/>
                <w:b/>
                <w:bCs/>
              </w:rPr>
            </w:pPr>
            <w:r w:rsidRPr="00BD77D8">
              <w:rPr>
                <w:rFonts w:ascii="Arial" w:hAnsi="Arial"/>
                <w:b/>
                <w:bCs/>
              </w:rPr>
              <w:t>Notes</w:t>
            </w:r>
          </w:p>
        </w:tc>
        <w:tc>
          <w:tcPr>
            <w:tcW w:w="1183" w:type="dxa"/>
            <w:shd w:val="clear" w:color="auto" w:fill="F2F2F2" w:themeFill="background1" w:themeFillShade="F2"/>
          </w:tcPr>
          <w:p w14:paraId="4F9243EC" w14:textId="0E2409B1" w:rsidR="006531F8" w:rsidRPr="00BD77D8" w:rsidRDefault="006531F8" w:rsidP="00A97F9F">
            <w:pPr>
              <w:spacing w:after="120" w:line="240" w:lineRule="auto"/>
              <w:jc w:val="center"/>
              <w:rPr>
                <w:rFonts w:ascii="Arial" w:hAnsi="Arial"/>
                <w:b/>
                <w:bCs/>
              </w:rPr>
            </w:pPr>
            <w:r w:rsidRPr="00BD77D8">
              <w:rPr>
                <w:rFonts w:ascii="Arial" w:hAnsi="Arial"/>
                <w:b/>
                <w:bCs/>
              </w:rPr>
              <w:t>2021</w:t>
            </w:r>
            <w:r w:rsidR="00A97C65" w:rsidRPr="00BD77D8">
              <w:rPr>
                <w:b/>
                <w:bCs/>
                <w:sz w:val="18"/>
                <w:szCs w:val="18"/>
              </w:rPr>
              <w:t>–</w:t>
            </w:r>
            <w:r w:rsidRPr="00BD77D8">
              <w:rPr>
                <w:rFonts w:ascii="Arial" w:hAnsi="Arial"/>
                <w:b/>
                <w:bCs/>
              </w:rPr>
              <w:t>2022</w:t>
            </w:r>
          </w:p>
          <w:p w14:paraId="39448A01" w14:textId="77777777" w:rsidR="006531F8" w:rsidRPr="00BD77D8" w:rsidRDefault="006531F8" w:rsidP="00A97F9F">
            <w:pPr>
              <w:spacing w:after="120" w:line="240" w:lineRule="auto"/>
              <w:jc w:val="center"/>
              <w:rPr>
                <w:rFonts w:ascii="Arial" w:hAnsi="Arial"/>
                <w:b/>
                <w:bCs/>
              </w:rPr>
            </w:pPr>
            <w:r w:rsidRPr="00BD77D8">
              <w:rPr>
                <w:rFonts w:ascii="Arial" w:hAnsi="Arial"/>
                <w:b/>
                <w:bCs/>
              </w:rPr>
              <w:t>Target/Est.</w:t>
            </w:r>
          </w:p>
        </w:tc>
        <w:tc>
          <w:tcPr>
            <w:tcW w:w="1276" w:type="dxa"/>
            <w:shd w:val="clear" w:color="auto" w:fill="F2F2F2" w:themeFill="background1" w:themeFillShade="F2"/>
          </w:tcPr>
          <w:p w14:paraId="156F16F7" w14:textId="53AE3D67" w:rsidR="006531F8" w:rsidRPr="00BD77D8" w:rsidRDefault="006531F8" w:rsidP="00A97F9F">
            <w:pPr>
              <w:spacing w:after="120" w:line="240" w:lineRule="auto"/>
              <w:jc w:val="center"/>
              <w:rPr>
                <w:rFonts w:ascii="Arial" w:hAnsi="Arial"/>
                <w:b/>
                <w:bCs/>
              </w:rPr>
            </w:pPr>
            <w:r w:rsidRPr="00BD77D8">
              <w:rPr>
                <w:rFonts w:ascii="Arial" w:hAnsi="Arial"/>
                <w:b/>
                <w:bCs/>
              </w:rPr>
              <w:t>2021</w:t>
            </w:r>
            <w:r w:rsidR="00A97C65" w:rsidRPr="00BD77D8">
              <w:rPr>
                <w:b/>
                <w:bCs/>
                <w:sz w:val="18"/>
                <w:szCs w:val="18"/>
              </w:rPr>
              <w:t>–</w:t>
            </w:r>
            <w:r w:rsidRPr="00BD77D8">
              <w:rPr>
                <w:rFonts w:ascii="Arial" w:hAnsi="Arial"/>
                <w:b/>
                <w:bCs/>
              </w:rPr>
              <w:t>2022</w:t>
            </w:r>
          </w:p>
          <w:p w14:paraId="61D0C9F6" w14:textId="77777777" w:rsidR="006531F8" w:rsidRPr="00BD77D8" w:rsidRDefault="006531F8" w:rsidP="00A97F9F">
            <w:pPr>
              <w:spacing w:after="120" w:line="240" w:lineRule="auto"/>
              <w:jc w:val="center"/>
              <w:rPr>
                <w:rFonts w:ascii="Arial" w:hAnsi="Arial"/>
                <w:b/>
                <w:bCs/>
                <w:highlight w:val="yellow"/>
              </w:rPr>
            </w:pPr>
            <w:r w:rsidRPr="00BD77D8">
              <w:rPr>
                <w:rFonts w:ascii="Arial" w:hAnsi="Arial"/>
                <w:b/>
                <w:bCs/>
              </w:rPr>
              <w:t>Actual</w:t>
            </w:r>
          </w:p>
        </w:tc>
      </w:tr>
      <w:tr w:rsidR="00BD77D8" w:rsidRPr="00BD77D8" w14:paraId="5A6CB534" w14:textId="77777777" w:rsidTr="00A97F9F">
        <w:trPr>
          <w:trHeight w:val="20"/>
        </w:trPr>
        <w:tc>
          <w:tcPr>
            <w:tcW w:w="6621" w:type="dxa"/>
          </w:tcPr>
          <w:p w14:paraId="46368833" w14:textId="77777777" w:rsidR="006531F8" w:rsidRPr="00BD77D8" w:rsidRDefault="006531F8" w:rsidP="00A97F9F">
            <w:pPr>
              <w:spacing w:after="120"/>
              <w:rPr>
                <w:rFonts w:ascii="Arial" w:hAnsi="Arial"/>
                <w:i/>
                <w:iCs/>
              </w:rPr>
            </w:pPr>
            <w:r w:rsidRPr="00BD77D8">
              <w:rPr>
                <w:rFonts w:ascii="Arial" w:hAnsi="Arial"/>
                <w:i/>
                <w:iCs/>
              </w:rPr>
              <w:t>Effectiveness measure</w:t>
            </w:r>
          </w:p>
        </w:tc>
        <w:tc>
          <w:tcPr>
            <w:tcW w:w="1310" w:type="dxa"/>
          </w:tcPr>
          <w:p w14:paraId="3513F5CD" w14:textId="77777777" w:rsidR="006531F8" w:rsidRPr="00BD77D8" w:rsidRDefault="006531F8" w:rsidP="00A97F9F">
            <w:pPr>
              <w:rPr>
                <w:rFonts w:ascii="Arial" w:hAnsi="Arial"/>
              </w:rPr>
            </w:pPr>
          </w:p>
        </w:tc>
        <w:tc>
          <w:tcPr>
            <w:tcW w:w="1183" w:type="dxa"/>
            <w:vAlign w:val="center"/>
          </w:tcPr>
          <w:p w14:paraId="59C99B2E" w14:textId="77777777" w:rsidR="006531F8" w:rsidRPr="00BD77D8" w:rsidRDefault="006531F8" w:rsidP="00A97F9F">
            <w:pPr>
              <w:jc w:val="center"/>
              <w:rPr>
                <w:rFonts w:ascii="Arial" w:hAnsi="Arial"/>
              </w:rPr>
            </w:pPr>
          </w:p>
        </w:tc>
        <w:tc>
          <w:tcPr>
            <w:tcW w:w="1276" w:type="dxa"/>
            <w:vAlign w:val="center"/>
          </w:tcPr>
          <w:p w14:paraId="26530828" w14:textId="77777777" w:rsidR="006531F8" w:rsidRPr="00BD77D8" w:rsidRDefault="006531F8" w:rsidP="00A97F9F">
            <w:pPr>
              <w:rPr>
                <w:rFonts w:ascii="Arial" w:hAnsi="Arial"/>
              </w:rPr>
            </w:pPr>
          </w:p>
        </w:tc>
      </w:tr>
      <w:tr w:rsidR="00BD77D8" w:rsidRPr="00BD77D8" w14:paraId="5F062A95" w14:textId="77777777" w:rsidTr="00433A9A">
        <w:trPr>
          <w:trHeight w:val="613"/>
        </w:trPr>
        <w:tc>
          <w:tcPr>
            <w:tcW w:w="6621" w:type="dxa"/>
          </w:tcPr>
          <w:p w14:paraId="17708175" w14:textId="77492E62" w:rsidR="006531F8" w:rsidRPr="00BD77D8" w:rsidRDefault="00B74C92" w:rsidP="00B74C92">
            <w:pPr>
              <w:rPr>
                <w:rFonts w:ascii="Arial" w:hAnsi="Arial"/>
              </w:rPr>
            </w:pPr>
            <w:r w:rsidRPr="00BD77D8">
              <w:rPr>
                <w:rFonts w:ascii="Arial" w:hAnsi="Arial"/>
              </w:rPr>
              <w:t>Customer satisfaction with cultural heritage services provided by the department</w:t>
            </w:r>
          </w:p>
        </w:tc>
        <w:tc>
          <w:tcPr>
            <w:tcW w:w="1310" w:type="dxa"/>
          </w:tcPr>
          <w:p w14:paraId="522318C1" w14:textId="252F0802" w:rsidR="006531F8" w:rsidRPr="00BD77D8" w:rsidRDefault="006531F8" w:rsidP="00A97F9F">
            <w:pPr>
              <w:jc w:val="center"/>
              <w:rPr>
                <w:rFonts w:ascii="Arial" w:hAnsi="Arial"/>
              </w:rPr>
            </w:pPr>
          </w:p>
        </w:tc>
        <w:tc>
          <w:tcPr>
            <w:tcW w:w="1183" w:type="dxa"/>
          </w:tcPr>
          <w:p w14:paraId="2779873F" w14:textId="2E3E4021" w:rsidR="006531F8" w:rsidRPr="00BD77D8" w:rsidRDefault="00B74C92" w:rsidP="00B85C9A">
            <w:pPr>
              <w:jc w:val="center"/>
              <w:rPr>
                <w:rFonts w:ascii="Arial" w:hAnsi="Arial"/>
              </w:rPr>
            </w:pPr>
            <w:r w:rsidRPr="00BD77D8">
              <w:rPr>
                <w:rFonts w:ascii="Arial" w:hAnsi="Arial"/>
              </w:rPr>
              <w:t>75%</w:t>
            </w:r>
          </w:p>
        </w:tc>
        <w:tc>
          <w:tcPr>
            <w:tcW w:w="1276" w:type="dxa"/>
            <w:shd w:val="clear" w:color="auto" w:fill="auto"/>
          </w:tcPr>
          <w:p w14:paraId="2D5CDFE5" w14:textId="3A427AF4" w:rsidR="006531F8" w:rsidRPr="00BD77D8" w:rsidRDefault="00B74C92" w:rsidP="00433A9A">
            <w:pPr>
              <w:spacing w:line="240" w:lineRule="auto"/>
              <w:jc w:val="center"/>
              <w:rPr>
                <w:rFonts w:ascii="Arial" w:hAnsi="Arial"/>
                <w:sz w:val="16"/>
                <w:szCs w:val="16"/>
              </w:rPr>
            </w:pPr>
            <w:r w:rsidRPr="00BD77D8">
              <w:rPr>
                <w:rFonts w:ascii="Arial" w:hAnsi="Arial"/>
              </w:rPr>
              <w:t>7</w:t>
            </w:r>
            <w:r w:rsidR="009A7619" w:rsidRPr="00BD77D8">
              <w:rPr>
                <w:rFonts w:ascii="Arial" w:hAnsi="Arial"/>
              </w:rPr>
              <w:t>8</w:t>
            </w:r>
            <w:r w:rsidR="006531F8" w:rsidRPr="00BD77D8">
              <w:rPr>
                <w:rFonts w:ascii="Arial" w:hAnsi="Arial"/>
              </w:rPr>
              <w:t>%</w:t>
            </w:r>
          </w:p>
        </w:tc>
      </w:tr>
      <w:tr w:rsidR="00BD77D8" w:rsidRPr="00BD77D8" w14:paraId="2EF26CB7" w14:textId="77777777" w:rsidTr="00B85C9A">
        <w:trPr>
          <w:trHeight w:val="20"/>
        </w:trPr>
        <w:tc>
          <w:tcPr>
            <w:tcW w:w="6621" w:type="dxa"/>
          </w:tcPr>
          <w:p w14:paraId="0A9C8088" w14:textId="65E3F0ED" w:rsidR="006531F8" w:rsidRPr="00BD77D8" w:rsidRDefault="006531F8" w:rsidP="00A97F9F">
            <w:pPr>
              <w:spacing w:after="120"/>
              <w:rPr>
                <w:rFonts w:ascii="Arial" w:hAnsi="Arial"/>
                <w:i/>
                <w:iCs/>
              </w:rPr>
            </w:pPr>
            <w:r w:rsidRPr="00BD77D8">
              <w:rPr>
                <w:rFonts w:ascii="Arial" w:hAnsi="Arial"/>
                <w:i/>
                <w:iCs/>
              </w:rPr>
              <w:t>Efficiency measure</w:t>
            </w:r>
            <w:r w:rsidR="00B74C92" w:rsidRPr="00BD77D8">
              <w:rPr>
                <w:rFonts w:ascii="Arial" w:hAnsi="Arial"/>
                <w:i/>
                <w:iCs/>
              </w:rPr>
              <w:t>s</w:t>
            </w:r>
          </w:p>
        </w:tc>
        <w:tc>
          <w:tcPr>
            <w:tcW w:w="1310" w:type="dxa"/>
          </w:tcPr>
          <w:p w14:paraId="30FB9230" w14:textId="77777777" w:rsidR="006531F8" w:rsidRPr="00BD77D8" w:rsidRDefault="006531F8" w:rsidP="00A97F9F">
            <w:pPr>
              <w:jc w:val="center"/>
              <w:rPr>
                <w:rFonts w:ascii="Arial" w:hAnsi="Arial"/>
              </w:rPr>
            </w:pPr>
          </w:p>
        </w:tc>
        <w:tc>
          <w:tcPr>
            <w:tcW w:w="1183" w:type="dxa"/>
          </w:tcPr>
          <w:p w14:paraId="3E23F86E" w14:textId="77777777" w:rsidR="006531F8" w:rsidRPr="00BD77D8" w:rsidRDefault="006531F8" w:rsidP="00B85C9A">
            <w:pPr>
              <w:jc w:val="center"/>
              <w:rPr>
                <w:rFonts w:ascii="Arial" w:hAnsi="Arial"/>
              </w:rPr>
            </w:pPr>
          </w:p>
        </w:tc>
        <w:tc>
          <w:tcPr>
            <w:tcW w:w="1276" w:type="dxa"/>
            <w:shd w:val="clear" w:color="auto" w:fill="auto"/>
          </w:tcPr>
          <w:p w14:paraId="04FE6842" w14:textId="77777777" w:rsidR="006531F8" w:rsidRPr="00BD77D8" w:rsidRDefault="006531F8" w:rsidP="00B85C9A">
            <w:pPr>
              <w:jc w:val="center"/>
              <w:rPr>
                <w:rFonts w:ascii="Arial" w:hAnsi="Arial"/>
              </w:rPr>
            </w:pPr>
          </w:p>
        </w:tc>
      </w:tr>
      <w:tr w:rsidR="00BD77D8" w:rsidRPr="00BD77D8" w14:paraId="4FA975E9" w14:textId="77777777" w:rsidTr="00B85C9A">
        <w:trPr>
          <w:trHeight w:val="20"/>
        </w:trPr>
        <w:tc>
          <w:tcPr>
            <w:tcW w:w="6621" w:type="dxa"/>
          </w:tcPr>
          <w:p w14:paraId="25417FEC" w14:textId="374A3EBA" w:rsidR="006531F8" w:rsidRPr="00BD77D8" w:rsidRDefault="00B74C92" w:rsidP="00B777CD">
            <w:r w:rsidRPr="00BD77D8">
              <w:rPr>
                <w:rFonts w:ascii="Arial" w:hAnsi="Arial"/>
              </w:rPr>
              <w:t>Average cost per cultural heritage search request processed</w:t>
            </w:r>
          </w:p>
        </w:tc>
        <w:tc>
          <w:tcPr>
            <w:tcW w:w="1310" w:type="dxa"/>
          </w:tcPr>
          <w:p w14:paraId="5CD55999" w14:textId="78022D42" w:rsidR="006531F8" w:rsidRPr="00BD77D8" w:rsidRDefault="00873FC0" w:rsidP="00A97F9F">
            <w:pPr>
              <w:jc w:val="center"/>
              <w:rPr>
                <w:rFonts w:ascii="Arial" w:hAnsi="Arial"/>
              </w:rPr>
            </w:pPr>
            <w:r w:rsidRPr="00BD77D8">
              <w:rPr>
                <w:rFonts w:ascii="Arial" w:hAnsi="Arial"/>
              </w:rPr>
              <w:t>1</w:t>
            </w:r>
          </w:p>
        </w:tc>
        <w:tc>
          <w:tcPr>
            <w:tcW w:w="1183" w:type="dxa"/>
          </w:tcPr>
          <w:p w14:paraId="7FDB2CC0" w14:textId="71DDC7E0" w:rsidR="006531F8" w:rsidRPr="00BD77D8" w:rsidRDefault="00B74C92" w:rsidP="00B85C9A">
            <w:pPr>
              <w:jc w:val="center"/>
              <w:rPr>
                <w:rFonts w:ascii="Arial" w:hAnsi="Arial"/>
              </w:rPr>
            </w:pPr>
            <w:r w:rsidRPr="00BD77D8">
              <w:rPr>
                <w:rFonts w:ascii="Arial" w:hAnsi="Arial"/>
              </w:rPr>
              <w:t>$33</w:t>
            </w:r>
          </w:p>
        </w:tc>
        <w:tc>
          <w:tcPr>
            <w:tcW w:w="1276" w:type="dxa"/>
            <w:shd w:val="clear" w:color="auto" w:fill="auto"/>
          </w:tcPr>
          <w:p w14:paraId="3563C5D6" w14:textId="53172842" w:rsidR="006531F8" w:rsidRPr="00BD77D8" w:rsidRDefault="003D34E3" w:rsidP="00B85C9A">
            <w:pPr>
              <w:spacing w:line="240" w:lineRule="auto"/>
              <w:jc w:val="center"/>
              <w:rPr>
                <w:rFonts w:ascii="Arial" w:hAnsi="Arial"/>
              </w:rPr>
            </w:pPr>
            <w:r w:rsidRPr="00BD77D8">
              <w:rPr>
                <w:rFonts w:ascii="Arial" w:hAnsi="Arial"/>
              </w:rPr>
              <w:t>$</w:t>
            </w:r>
            <w:r w:rsidR="00D2034B" w:rsidRPr="00BD77D8">
              <w:rPr>
                <w:rFonts w:ascii="Arial" w:hAnsi="Arial"/>
              </w:rPr>
              <w:t>19.50</w:t>
            </w:r>
          </w:p>
        </w:tc>
      </w:tr>
      <w:tr w:rsidR="00BD77D8" w:rsidRPr="00BD77D8" w14:paraId="491D4077" w14:textId="77777777" w:rsidTr="00B85C9A">
        <w:trPr>
          <w:trHeight w:val="20"/>
        </w:trPr>
        <w:tc>
          <w:tcPr>
            <w:tcW w:w="6621" w:type="dxa"/>
          </w:tcPr>
          <w:p w14:paraId="643649A5" w14:textId="50C3ACC2" w:rsidR="00A6234F" w:rsidRPr="00BD77D8" w:rsidRDefault="00A6234F" w:rsidP="00433A9A">
            <w:r w:rsidRPr="00BD77D8">
              <w:rPr>
                <w:rFonts w:ascii="Arial" w:hAnsi="Arial"/>
              </w:rPr>
              <w:t>Average cost per community and personal history request processed</w:t>
            </w:r>
          </w:p>
        </w:tc>
        <w:tc>
          <w:tcPr>
            <w:tcW w:w="1310" w:type="dxa"/>
          </w:tcPr>
          <w:p w14:paraId="11B427EB" w14:textId="7BCF969C" w:rsidR="00B74C92" w:rsidRPr="00BD77D8" w:rsidRDefault="00873FC0" w:rsidP="00A97F9F">
            <w:pPr>
              <w:jc w:val="center"/>
            </w:pPr>
            <w:r w:rsidRPr="00BD77D8">
              <w:t>2, 3</w:t>
            </w:r>
          </w:p>
        </w:tc>
        <w:tc>
          <w:tcPr>
            <w:tcW w:w="1183" w:type="dxa"/>
          </w:tcPr>
          <w:p w14:paraId="476C2834" w14:textId="0BEA7D27" w:rsidR="00B74C92" w:rsidRPr="00BD77D8" w:rsidRDefault="00A6234F" w:rsidP="00B85C9A">
            <w:pPr>
              <w:jc w:val="center"/>
              <w:rPr>
                <w:rFonts w:ascii="Arial" w:hAnsi="Arial"/>
              </w:rPr>
            </w:pPr>
            <w:r w:rsidRPr="00BD77D8">
              <w:rPr>
                <w:rFonts w:ascii="Arial" w:hAnsi="Arial"/>
              </w:rPr>
              <w:t>$5,310</w:t>
            </w:r>
          </w:p>
        </w:tc>
        <w:tc>
          <w:tcPr>
            <w:tcW w:w="1276" w:type="dxa"/>
            <w:shd w:val="clear" w:color="auto" w:fill="auto"/>
          </w:tcPr>
          <w:p w14:paraId="1B4F37D2" w14:textId="67779A00" w:rsidR="00B74C92" w:rsidRPr="00BD77D8" w:rsidRDefault="003D34E3" w:rsidP="00B85C9A">
            <w:pPr>
              <w:spacing w:after="0" w:line="240" w:lineRule="auto"/>
              <w:jc w:val="center"/>
              <w:rPr>
                <w:rFonts w:ascii="Arial" w:hAnsi="Arial"/>
              </w:rPr>
            </w:pPr>
            <w:r w:rsidRPr="00BD77D8">
              <w:rPr>
                <w:rFonts w:ascii="Arial" w:hAnsi="Arial"/>
              </w:rPr>
              <w:t>$</w:t>
            </w:r>
            <w:r w:rsidR="00D2034B" w:rsidRPr="00BD77D8">
              <w:rPr>
                <w:rFonts w:ascii="Arial" w:hAnsi="Arial"/>
              </w:rPr>
              <w:t>5,981</w:t>
            </w:r>
          </w:p>
        </w:tc>
      </w:tr>
      <w:tr w:rsidR="00BD77D8" w:rsidRPr="00BD77D8" w14:paraId="6FF19576" w14:textId="77777777" w:rsidTr="00B85C9A">
        <w:trPr>
          <w:trHeight w:val="20"/>
        </w:trPr>
        <w:tc>
          <w:tcPr>
            <w:tcW w:w="6621" w:type="dxa"/>
          </w:tcPr>
          <w:p w14:paraId="177EE5AB" w14:textId="49CFF73A" w:rsidR="00A6234F" w:rsidRPr="00BD77D8" w:rsidRDefault="00A6234F" w:rsidP="00433A9A">
            <w:r w:rsidRPr="00BD77D8">
              <w:rPr>
                <w:rFonts w:ascii="Arial" w:hAnsi="Arial"/>
              </w:rPr>
              <w:t>Total cost per hour of community participation policy</w:t>
            </w:r>
          </w:p>
        </w:tc>
        <w:tc>
          <w:tcPr>
            <w:tcW w:w="1310" w:type="dxa"/>
          </w:tcPr>
          <w:p w14:paraId="7A3D82CC" w14:textId="592E36F1" w:rsidR="00A6234F" w:rsidRPr="00BD77D8" w:rsidRDefault="00873FC0" w:rsidP="00A6234F">
            <w:pPr>
              <w:jc w:val="center"/>
            </w:pPr>
            <w:r w:rsidRPr="00BD77D8">
              <w:t>4</w:t>
            </w:r>
          </w:p>
        </w:tc>
        <w:tc>
          <w:tcPr>
            <w:tcW w:w="1183" w:type="dxa"/>
          </w:tcPr>
          <w:p w14:paraId="24CFB65C" w14:textId="58C21667" w:rsidR="00A6234F" w:rsidRPr="00BD77D8" w:rsidRDefault="00A6234F" w:rsidP="00B85C9A">
            <w:pPr>
              <w:spacing w:after="0" w:line="240" w:lineRule="auto"/>
              <w:jc w:val="center"/>
              <w:rPr>
                <w:rFonts w:ascii="Arial" w:hAnsi="Arial"/>
              </w:rPr>
            </w:pPr>
            <w:r w:rsidRPr="00BD77D8">
              <w:rPr>
                <w:rFonts w:ascii="Arial" w:hAnsi="Arial"/>
              </w:rPr>
              <w:t>$103</w:t>
            </w:r>
          </w:p>
        </w:tc>
        <w:tc>
          <w:tcPr>
            <w:tcW w:w="1276" w:type="dxa"/>
            <w:shd w:val="clear" w:color="auto" w:fill="auto"/>
          </w:tcPr>
          <w:p w14:paraId="4F93B0C7" w14:textId="792DD0B0" w:rsidR="00A6234F" w:rsidRPr="00BD77D8" w:rsidRDefault="003D34E3" w:rsidP="00B85C9A">
            <w:pPr>
              <w:spacing w:line="240" w:lineRule="auto"/>
              <w:jc w:val="center"/>
            </w:pPr>
            <w:r w:rsidRPr="00BD77D8">
              <w:rPr>
                <w:rFonts w:ascii="Arial" w:hAnsi="Arial"/>
              </w:rPr>
              <w:t>$</w:t>
            </w:r>
            <w:r w:rsidR="00D2034B" w:rsidRPr="00BD77D8">
              <w:rPr>
                <w:rFonts w:ascii="Arial" w:hAnsi="Arial"/>
              </w:rPr>
              <w:t>9</w:t>
            </w:r>
            <w:r w:rsidR="009F5D86" w:rsidRPr="00BD77D8">
              <w:rPr>
                <w:rFonts w:ascii="Arial" w:hAnsi="Arial"/>
              </w:rPr>
              <w:t>7.50</w:t>
            </w:r>
          </w:p>
        </w:tc>
      </w:tr>
    </w:tbl>
    <w:p w14:paraId="331D5D50" w14:textId="77777777" w:rsidR="006531F8" w:rsidRPr="00BD77D8" w:rsidRDefault="006531F8" w:rsidP="006531F8">
      <w:pPr>
        <w:pStyle w:val="EndnoteText"/>
        <w:spacing w:before="120" w:after="0"/>
      </w:pPr>
      <w:r w:rsidRPr="00BD77D8">
        <w:t>Notes:</w:t>
      </w:r>
    </w:p>
    <w:bookmarkEnd w:id="253"/>
    <w:p w14:paraId="0410D980" w14:textId="2E935FFA" w:rsidR="00873FC0" w:rsidRPr="00BD77D8" w:rsidRDefault="00445884" w:rsidP="00F729B3">
      <w:pPr>
        <w:pStyle w:val="ListParagraph"/>
        <w:numPr>
          <w:ilvl w:val="0"/>
          <w:numId w:val="65"/>
        </w:numPr>
        <w:spacing w:after="0"/>
        <w:rPr>
          <w:rFonts w:eastAsia="Calibri"/>
          <w:sz w:val="18"/>
          <w:szCs w:val="18"/>
        </w:rPr>
      </w:pPr>
      <w:r w:rsidRPr="00BD77D8">
        <w:rPr>
          <w:rFonts w:eastAsia="Calibri"/>
          <w:sz w:val="18"/>
          <w:szCs w:val="18"/>
        </w:rPr>
        <w:t>Average cost per cultural heritage search request is lower than the target due to higher volumes received and processed in the financial year.</w:t>
      </w:r>
    </w:p>
    <w:p w14:paraId="1574B362" w14:textId="7805707C" w:rsidR="00873FC0" w:rsidRPr="00BD77D8" w:rsidRDefault="000B430F" w:rsidP="00FB5CA0">
      <w:pPr>
        <w:pStyle w:val="ListParagraph"/>
        <w:numPr>
          <w:ilvl w:val="0"/>
          <w:numId w:val="65"/>
        </w:numPr>
        <w:spacing w:after="0"/>
        <w:rPr>
          <w:rFonts w:eastAsia="Calibri"/>
          <w:sz w:val="18"/>
          <w:szCs w:val="18"/>
        </w:rPr>
      </w:pPr>
      <w:r w:rsidRPr="00BD77D8">
        <w:rPr>
          <w:rFonts w:eastAsia="Calibri"/>
          <w:sz w:val="18"/>
          <w:szCs w:val="18"/>
        </w:rPr>
        <w:t>The variance between the 2021–</w:t>
      </w:r>
      <w:r w:rsidR="00FB4DC6" w:rsidRPr="00BD77D8">
        <w:rPr>
          <w:rFonts w:eastAsia="Calibri"/>
          <w:sz w:val="18"/>
          <w:szCs w:val="18"/>
        </w:rPr>
        <w:t>20</w:t>
      </w:r>
      <w:r w:rsidRPr="00BD77D8">
        <w:rPr>
          <w:rFonts w:eastAsia="Calibri"/>
          <w:sz w:val="18"/>
          <w:szCs w:val="18"/>
        </w:rPr>
        <w:t>22 Target/Estimate and the 2021–</w:t>
      </w:r>
      <w:r w:rsidR="00FB4DC6" w:rsidRPr="00BD77D8">
        <w:rPr>
          <w:rFonts w:eastAsia="Calibri"/>
          <w:sz w:val="18"/>
          <w:szCs w:val="18"/>
        </w:rPr>
        <w:t>20</w:t>
      </w:r>
      <w:r w:rsidRPr="00BD77D8">
        <w:rPr>
          <w:rFonts w:eastAsia="Calibri"/>
          <w:sz w:val="18"/>
          <w:szCs w:val="18"/>
        </w:rPr>
        <w:t>22 Actual is due to a higher number of cultural heritage search requests being processed in 2021–</w:t>
      </w:r>
      <w:r w:rsidR="00FB4DC6" w:rsidRPr="00BD77D8">
        <w:rPr>
          <w:rFonts w:eastAsia="Calibri"/>
          <w:sz w:val="18"/>
          <w:szCs w:val="18"/>
        </w:rPr>
        <w:t>20</w:t>
      </w:r>
      <w:r w:rsidRPr="00BD77D8">
        <w:rPr>
          <w:rFonts w:eastAsia="Calibri"/>
          <w:sz w:val="18"/>
          <w:szCs w:val="18"/>
        </w:rPr>
        <w:t>22 than originally forecast.</w:t>
      </w:r>
    </w:p>
    <w:p w14:paraId="39127B13" w14:textId="03CED866" w:rsidR="00873FC0" w:rsidRPr="00BD77D8" w:rsidRDefault="00873FC0" w:rsidP="00F729B3">
      <w:pPr>
        <w:pStyle w:val="ListParagraph"/>
        <w:numPr>
          <w:ilvl w:val="0"/>
          <w:numId w:val="65"/>
        </w:numPr>
        <w:spacing w:after="0"/>
        <w:rPr>
          <w:rFonts w:eastAsia="Calibri"/>
          <w:sz w:val="18"/>
          <w:szCs w:val="18"/>
        </w:rPr>
      </w:pPr>
      <w:r w:rsidRPr="00BD77D8">
        <w:rPr>
          <w:rFonts w:eastAsia="Calibri"/>
          <w:sz w:val="18"/>
          <w:szCs w:val="18"/>
        </w:rPr>
        <w:t xml:space="preserve">As a result of the review of the program structure, this service standard has been discontinued. </w:t>
      </w:r>
    </w:p>
    <w:p w14:paraId="0D36C69E" w14:textId="14C8F495" w:rsidR="006531F8" w:rsidRPr="00BD77D8" w:rsidRDefault="001C1E0C" w:rsidP="00F729B3">
      <w:pPr>
        <w:pStyle w:val="ListParagraph"/>
        <w:numPr>
          <w:ilvl w:val="0"/>
          <w:numId w:val="65"/>
        </w:numPr>
        <w:spacing w:after="0"/>
        <w:rPr>
          <w:rFonts w:eastAsia="Calibri"/>
          <w:sz w:val="18"/>
          <w:szCs w:val="18"/>
        </w:rPr>
      </w:pPr>
      <w:r w:rsidRPr="00BD77D8">
        <w:rPr>
          <w:rFonts w:eastAsia="Calibri"/>
          <w:sz w:val="18"/>
          <w:szCs w:val="18"/>
        </w:rPr>
        <w:t>T</w:t>
      </w:r>
      <w:r w:rsidR="00873FC0" w:rsidRPr="00BD77D8">
        <w:rPr>
          <w:rFonts w:eastAsia="Calibri"/>
          <w:sz w:val="18"/>
          <w:szCs w:val="18"/>
        </w:rPr>
        <w:t>his service standard is discontinued as it has been replaced with a new service standard, ‘Total cost per hour of policy provided for Aboriginal peoples and Torres Strait Islander peoples’ in the department’s 2022</w:t>
      </w:r>
      <w:r w:rsidR="00A97C65" w:rsidRPr="00BD77D8">
        <w:rPr>
          <w:rFonts w:eastAsia="Calibri"/>
          <w:sz w:val="18"/>
          <w:szCs w:val="18"/>
        </w:rPr>
        <w:t>–</w:t>
      </w:r>
      <w:r w:rsidR="00873FC0" w:rsidRPr="00BD77D8">
        <w:rPr>
          <w:rFonts w:eastAsia="Calibri"/>
          <w:sz w:val="18"/>
          <w:szCs w:val="18"/>
        </w:rPr>
        <w:t>2023 Service Delivery Statements.</w:t>
      </w:r>
    </w:p>
    <w:p w14:paraId="314B6CF5" w14:textId="3BE591B0" w:rsidR="00A6234F" w:rsidRPr="00BD77D8" w:rsidRDefault="00A6234F" w:rsidP="00930393">
      <w:pPr>
        <w:pStyle w:val="Heading2"/>
        <w:spacing w:before="240"/>
        <w:rPr>
          <w:color w:val="auto"/>
          <w:sz w:val="20"/>
          <w:szCs w:val="20"/>
          <w:lang w:val="en-US"/>
        </w:rPr>
      </w:pPr>
      <w:bookmarkStart w:id="254" w:name="_Toc113544394"/>
      <w:r w:rsidRPr="00BD77D8">
        <w:rPr>
          <w:color w:val="auto"/>
        </w:rPr>
        <w:t>Our Performance</w:t>
      </w:r>
      <w:r w:rsidR="005A1C92" w:rsidRPr="00BD77D8">
        <w:rPr>
          <w:color w:val="auto"/>
        </w:rPr>
        <w:t>—</w:t>
      </w:r>
      <w:r w:rsidRPr="00BD77D8">
        <w:rPr>
          <w:color w:val="auto"/>
        </w:rPr>
        <w:t>Aboriginal and Torres Strait Islander Partnerships, Economic Participation</w:t>
      </w:r>
      <w:bookmarkEnd w:id="254"/>
    </w:p>
    <w:tbl>
      <w:tblPr>
        <w:tblStyle w:val="TableGrid1"/>
        <w:tblW w:w="10390" w:type="dxa"/>
        <w:tblInd w:w="100" w:type="dxa"/>
        <w:tblLayout w:type="fixed"/>
        <w:tblCellMar>
          <w:left w:w="0" w:type="dxa"/>
          <w:right w:w="0" w:type="dxa"/>
        </w:tblCellMar>
        <w:tblLook w:val="01E0" w:firstRow="1" w:lastRow="1" w:firstColumn="1" w:lastColumn="1" w:noHBand="0" w:noVBand="0"/>
      </w:tblPr>
      <w:tblGrid>
        <w:gridCol w:w="6621"/>
        <w:gridCol w:w="1310"/>
        <w:gridCol w:w="1183"/>
        <w:gridCol w:w="1276"/>
      </w:tblGrid>
      <w:tr w:rsidR="00BD77D8" w:rsidRPr="00BD77D8" w14:paraId="1CDFA856" w14:textId="77777777" w:rsidTr="000B430F">
        <w:trPr>
          <w:trHeight w:val="20"/>
          <w:tblHeader/>
        </w:trPr>
        <w:tc>
          <w:tcPr>
            <w:tcW w:w="6621" w:type="dxa"/>
            <w:shd w:val="clear" w:color="auto" w:fill="F2F2F2" w:themeFill="background1" w:themeFillShade="F2"/>
          </w:tcPr>
          <w:p w14:paraId="359FC367" w14:textId="77777777" w:rsidR="00A6234F" w:rsidRPr="00BD77D8" w:rsidRDefault="00A6234F" w:rsidP="00A6234F">
            <w:pPr>
              <w:spacing w:after="120" w:line="240" w:lineRule="auto"/>
              <w:rPr>
                <w:rFonts w:ascii="Arial" w:eastAsia="Times New Roman" w:hAnsi="Arial"/>
                <w:b/>
                <w:bCs/>
                <w:lang w:eastAsia="en-AU"/>
              </w:rPr>
            </w:pPr>
            <w:r w:rsidRPr="00BD77D8">
              <w:rPr>
                <w:rFonts w:ascii="Arial" w:eastAsia="Times New Roman" w:hAnsi="Arial"/>
                <w:b/>
                <w:bCs/>
                <w:lang w:eastAsia="en-AU"/>
              </w:rPr>
              <w:t>Service standards</w:t>
            </w:r>
          </w:p>
        </w:tc>
        <w:tc>
          <w:tcPr>
            <w:tcW w:w="1310" w:type="dxa"/>
            <w:shd w:val="clear" w:color="auto" w:fill="F2F2F2" w:themeFill="background1" w:themeFillShade="F2"/>
          </w:tcPr>
          <w:p w14:paraId="4D1827F0" w14:textId="77777777" w:rsidR="00A6234F" w:rsidRPr="00BD77D8" w:rsidRDefault="00A6234F" w:rsidP="00A6234F">
            <w:pPr>
              <w:spacing w:after="120" w:line="240" w:lineRule="auto"/>
              <w:jc w:val="center"/>
              <w:rPr>
                <w:rFonts w:ascii="Arial" w:eastAsia="Times New Roman" w:hAnsi="Arial"/>
                <w:b/>
                <w:bCs/>
                <w:lang w:eastAsia="en-AU"/>
              </w:rPr>
            </w:pPr>
            <w:r w:rsidRPr="00BD77D8">
              <w:rPr>
                <w:rFonts w:ascii="Arial" w:eastAsia="Times New Roman" w:hAnsi="Arial"/>
                <w:b/>
                <w:bCs/>
                <w:lang w:eastAsia="en-AU"/>
              </w:rPr>
              <w:t>Notes</w:t>
            </w:r>
          </w:p>
        </w:tc>
        <w:tc>
          <w:tcPr>
            <w:tcW w:w="1183" w:type="dxa"/>
            <w:shd w:val="clear" w:color="auto" w:fill="F2F2F2" w:themeFill="background1" w:themeFillShade="F2"/>
          </w:tcPr>
          <w:p w14:paraId="32C0F85B" w14:textId="35DE6C7B" w:rsidR="00A6234F" w:rsidRPr="00BD77D8" w:rsidRDefault="00A6234F" w:rsidP="00A6234F">
            <w:pPr>
              <w:spacing w:after="120" w:line="240" w:lineRule="auto"/>
              <w:jc w:val="center"/>
              <w:rPr>
                <w:rFonts w:ascii="Arial" w:eastAsia="Times New Roman" w:hAnsi="Arial"/>
                <w:b/>
                <w:bCs/>
                <w:lang w:eastAsia="en-AU"/>
              </w:rPr>
            </w:pPr>
            <w:r w:rsidRPr="00BD77D8">
              <w:rPr>
                <w:rFonts w:ascii="Arial" w:eastAsia="Times New Roman" w:hAnsi="Arial"/>
                <w:b/>
                <w:bCs/>
                <w:lang w:eastAsia="en-AU"/>
              </w:rPr>
              <w:t>2021</w:t>
            </w:r>
            <w:r w:rsidR="00A97C65" w:rsidRPr="00BD77D8">
              <w:rPr>
                <w:rFonts w:ascii="Arial" w:eastAsia="Times New Roman" w:hAnsi="Arial"/>
                <w:b/>
                <w:bCs/>
                <w:lang w:eastAsia="en-AU"/>
              </w:rPr>
              <w:t>–</w:t>
            </w:r>
            <w:r w:rsidRPr="00BD77D8">
              <w:rPr>
                <w:rFonts w:ascii="Arial" w:eastAsia="Times New Roman" w:hAnsi="Arial"/>
                <w:b/>
                <w:bCs/>
                <w:lang w:eastAsia="en-AU"/>
              </w:rPr>
              <w:t>2022</w:t>
            </w:r>
          </w:p>
          <w:p w14:paraId="3004908E" w14:textId="77777777" w:rsidR="00A6234F" w:rsidRPr="00BD77D8" w:rsidRDefault="00A6234F" w:rsidP="00A6234F">
            <w:pPr>
              <w:spacing w:after="120" w:line="240" w:lineRule="auto"/>
              <w:jc w:val="center"/>
              <w:rPr>
                <w:rFonts w:ascii="Arial" w:eastAsia="Times New Roman" w:hAnsi="Arial"/>
                <w:b/>
                <w:bCs/>
                <w:lang w:eastAsia="en-AU"/>
              </w:rPr>
            </w:pPr>
            <w:r w:rsidRPr="00BD77D8">
              <w:rPr>
                <w:rFonts w:ascii="Arial" w:eastAsia="Times New Roman" w:hAnsi="Arial"/>
                <w:b/>
                <w:bCs/>
                <w:lang w:eastAsia="en-AU"/>
              </w:rPr>
              <w:t>Target/Est.</w:t>
            </w:r>
          </w:p>
        </w:tc>
        <w:tc>
          <w:tcPr>
            <w:tcW w:w="1276" w:type="dxa"/>
            <w:shd w:val="clear" w:color="auto" w:fill="F2F2F2" w:themeFill="background1" w:themeFillShade="F2"/>
          </w:tcPr>
          <w:p w14:paraId="3A2A54BA" w14:textId="469268F2" w:rsidR="00A6234F" w:rsidRPr="00BD77D8" w:rsidRDefault="00A6234F" w:rsidP="00A6234F">
            <w:pPr>
              <w:spacing w:after="120" w:line="240" w:lineRule="auto"/>
              <w:jc w:val="center"/>
              <w:rPr>
                <w:rFonts w:ascii="Arial" w:eastAsia="Times New Roman" w:hAnsi="Arial"/>
                <w:b/>
                <w:bCs/>
                <w:lang w:eastAsia="en-AU"/>
              </w:rPr>
            </w:pPr>
            <w:r w:rsidRPr="00BD77D8">
              <w:rPr>
                <w:rFonts w:ascii="Arial" w:eastAsia="Times New Roman" w:hAnsi="Arial"/>
                <w:b/>
                <w:bCs/>
                <w:lang w:eastAsia="en-AU"/>
              </w:rPr>
              <w:t>2021</w:t>
            </w:r>
            <w:r w:rsidR="00397B57" w:rsidRPr="00BD77D8">
              <w:rPr>
                <w:rFonts w:ascii="Arial" w:eastAsia="Times New Roman" w:hAnsi="Arial"/>
                <w:b/>
                <w:bCs/>
                <w:lang w:eastAsia="en-AU"/>
              </w:rPr>
              <w:t>–</w:t>
            </w:r>
            <w:r w:rsidRPr="00BD77D8">
              <w:rPr>
                <w:rFonts w:ascii="Arial" w:eastAsia="Times New Roman" w:hAnsi="Arial"/>
                <w:b/>
                <w:bCs/>
                <w:lang w:eastAsia="en-AU"/>
              </w:rPr>
              <w:t>2022</w:t>
            </w:r>
          </w:p>
          <w:p w14:paraId="050145CE" w14:textId="77777777" w:rsidR="00A6234F" w:rsidRPr="00BD77D8" w:rsidRDefault="00A6234F" w:rsidP="00A6234F">
            <w:pPr>
              <w:spacing w:after="120" w:line="240" w:lineRule="auto"/>
              <w:jc w:val="center"/>
              <w:rPr>
                <w:rFonts w:ascii="Arial" w:eastAsia="Times New Roman" w:hAnsi="Arial"/>
                <w:b/>
                <w:bCs/>
                <w:highlight w:val="yellow"/>
                <w:lang w:eastAsia="en-AU"/>
              </w:rPr>
            </w:pPr>
            <w:r w:rsidRPr="00BD77D8">
              <w:rPr>
                <w:rFonts w:ascii="Arial" w:eastAsia="Times New Roman" w:hAnsi="Arial"/>
                <w:b/>
                <w:bCs/>
                <w:lang w:eastAsia="en-AU"/>
              </w:rPr>
              <w:t>Actual</w:t>
            </w:r>
          </w:p>
        </w:tc>
      </w:tr>
      <w:tr w:rsidR="00BD77D8" w:rsidRPr="00BD77D8" w14:paraId="177868CD" w14:textId="77777777" w:rsidTr="00A97F9F">
        <w:trPr>
          <w:trHeight w:val="20"/>
        </w:trPr>
        <w:tc>
          <w:tcPr>
            <w:tcW w:w="6621" w:type="dxa"/>
          </w:tcPr>
          <w:p w14:paraId="4B499D12" w14:textId="3F14C1F8" w:rsidR="00A6234F" w:rsidRPr="00BD77D8" w:rsidRDefault="00A6234F" w:rsidP="00A6234F">
            <w:pPr>
              <w:spacing w:after="120"/>
              <w:rPr>
                <w:rFonts w:ascii="Arial" w:eastAsia="Times New Roman" w:hAnsi="Arial"/>
                <w:i/>
                <w:iCs/>
                <w:lang w:eastAsia="en-AU"/>
              </w:rPr>
            </w:pPr>
            <w:r w:rsidRPr="00BD77D8">
              <w:rPr>
                <w:rFonts w:ascii="Arial" w:eastAsia="Times New Roman" w:hAnsi="Arial"/>
                <w:i/>
                <w:iCs/>
                <w:lang w:eastAsia="en-AU"/>
              </w:rPr>
              <w:t>Effectiveness measure</w:t>
            </w:r>
            <w:r w:rsidR="00B777CD" w:rsidRPr="00BD77D8">
              <w:rPr>
                <w:rFonts w:ascii="Arial" w:eastAsia="Times New Roman" w:hAnsi="Arial"/>
                <w:i/>
                <w:iCs/>
                <w:lang w:eastAsia="en-AU"/>
              </w:rPr>
              <w:t>s</w:t>
            </w:r>
          </w:p>
        </w:tc>
        <w:tc>
          <w:tcPr>
            <w:tcW w:w="1310" w:type="dxa"/>
          </w:tcPr>
          <w:p w14:paraId="621B8D5C" w14:textId="77777777" w:rsidR="00A6234F" w:rsidRPr="00BD77D8" w:rsidRDefault="00A6234F" w:rsidP="00A6234F">
            <w:pPr>
              <w:rPr>
                <w:rFonts w:ascii="Arial" w:eastAsia="Times New Roman" w:hAnsi="Arial"/>
                <w:lang w:eastAsia="en-AU"/>
              </w:rPr>
            </w:pPr>
          </w:p>
        </w:tc>
        <w:tc>
          <w:tcPr>
            <w:tcW w:w="1183" w:type="dxa"/>
            <w:vAlign w:val="center"/>
          </w:tcPr>
          <w:p w14:paraId="560AE9BF" w14:textId="77777777" w:rsidR="00A6234F" w:rsidRPr="00BD77D8" w:rsidRDefault="00A6234F" w:rsidP="00A6234F">
            <w:pPr>
              <w:jc w:val="center"/>
              <w:rPr>
                <w:rFonts w:ascii="Arial" w:eastAsia="Times New Roman" w:hAnsi="Arial"/>
                <w:lang w:eastAsia="en-AU"/>
              </w:rPr>
            </w:pPr>
          </w:p>
        </w:tc>
        <w:tc>
          <w:tcPr>
            <w:tcW w:w="1276" w:type="dxa"/>
            <w:vAlign w:val="center"/>
          </w:tcPr>
          <w:p w14:paraId="7BB630BB" w14:textId="77777777" w:rsidR="00A6234F" w:rsidRPr="00BD77D8" w:rsidRDefault="00A6234F" w:rsidP="00A6234F">
            <w:pPr>
              <w:rPr>
                <w:rFonts w:ascii="Arial" w:eastAsia="Times New Roman" w:hAnsi="Arial"/>
                <w:lang w:eastAsia="en-AU"/>
              </w:rPr>
            </w:pPr>
          </w:p>
        </w:tc>
      </w:tr>
      <w:tr w:rsidR="00BD77D8" w:rsidRPr="00BD77D8" w14:paraId="0CEAE4E4" w14:textId="77777777" w:rsidTr="008F6839">
        <w:trPr>
          <w:trHeight w:val="705"/>
        </w:trPr>
        <w:tc>
          <w:tcPr>
            <w:tcW w:w="6621" w:type="dxa"/>
          </w:tcPr>
          <w:p w14:paraId="7DFED28C" w14:textId="79EF2341" w:rsidR="00945ABE" w:rsidRPr="00BD77D8" w:rsidRDefault="00945ABE" w:rsidP="00945ABE">
            <w:r w:rsidRPr="00BD77D8">
              <w:rPr>
                <w:rFonts w:ascii="Arial" w:hAnsi="Arial"/>
              </w:rPr>
              <w:t xml:space="preserve">Number of Aboriginal and Torres Strait Islander businesses securing government procurement </w:t>
            </w:r>
          </w:p>
        </w:tc>
        <w:tc>
          <w:tcPr>
            <w:tcW w:w="1310" w:type="dxa"/>
          </w:tcPr>
          <w:p w14:paraId="33E04750" w14:textId="4DE10539" w:rsidR="00945ABE" w:rsidRPr="00BD77D8" w:rsidRDefault="001114E9" w:rsidP="00945ABE">
            <w:pPr>
              <w:jc w:val="center"/>
            </w:pPr>
            <w:r w:rsidRPr="00BD77D8">
              <w:t>1</w:t>
            </w:r>
          </w:p>
        </w:tc>
        <w:tc>
          <w:tcPr>
            <w:tcW w:w="1183" w:type="dxa"/>
          </w:tcPr>
          <w:p w14:paraId="3E1C84AE" w14:textId="66287E7B" w:rsidR="00945ABE" w:rsidRPr="00BD77D8" w:rsidRDefault="00945ABE" w:rsidP="00945ABE">
            <w:pPr>
              <w:jc w:val="center"/>
            </w:pPr>
            <w:r w:rsidRPr="00BD77D8">
              <w:t>450</w:t>
            </w:r>
          </w:p>
        </w:tc>
        <w:tc>
          <w:tcPr>
            <w:tcW w:w="1276" w:type="dxa"/>
          </w:tcPr>
          <w:p w14:paraId="671ADF06" w14:textId="0D156B50" w:rsidR="00736E87" w:rsidRPr="00BD77D8" w:rsidRDefault="00945ABE" w:rsidP="001114E9">
            <w:pPr>
              <w:spacing w:line="240" w:lineRule="auto"/>
              <w:jc w:val="center"/>
              <w:rPr>
                <w:highlight w:val="yellow"/>
              </w:rPr>
            </w:pPr>
            <w:r w:rsidRPr="00BD77D8">
              <w:t>4</w:t>
            </w:r>
            <w:r w:rsidR="008F6839" w:rsidRPr="00BD77D8">
              <w:t>75</w:t>
            </w:r>
          </w:p>
        </w:tc>
      </w:tr>
      <w:tr w:rsidR="00BD77D8" w:rsidRPr="00BD77D8" w14:paraId="72968D00" w14:textId="77777777" w:rsidTr="008F6839">
        <w:trPr>
          <w:trHeight w:val="660"/>
        </w:trPr>
        <w:tc>
          <w:tcPr>
            <w:tcW w:w="6621" w:type="dxa"/>
          </w:tcPr>
          <w:p w14:paraId="60DE4E58" w14:textId="30407EBA" w:rsidR="00945ABE" w:rsidRPr="00BD77D8" w:rsidRDefault="00945ABE" w:rsidP="00945ABE">
            <w:r w:rsidRPr="00BD77D8">
              <w:rPr>
                <w:rFonts w:ascii="Arial" w:hAnsi="Arial"/>
              </w:rPr>
              <w:t>Value of government procurement from Aboriginal and Torres Strait Islander</w:t>
            </w:r>
            <w:r w:rsidR="00C936CF" w:rsidRPr="00BD77D8">
              <w:rPr>
                <w:rFonts w:ascii="Arial" w:hAnsi="Arial"/>
              </w:rPr>
              <w:t xml:space="preserve"> owned</w:t>
            </w:r>
            <w:r w:rsidRPr="00BD77D8">
              <w:rPr>
                <w:rFonts w:ascii="Arial" w:hAnsi="Arial"/>
              </w:rPr>
              <w:t xml:space="preserve"> businesses </w:t>
            </w:r>
          </w:p>
        </w:tc>
        <w:tc>
          <w:tcPr>
            <w:tcW w:w="1310" w:type="dxa"/>
          </w:tcPr>
          <w:p w14:paraId="4B70698C" w14:textId="050C1A1C" w:rsidR="00945ABE" w:rsidRPr="00BD77D8" w:rsidRDefault="002E0A95" w:rsidP="00945ABE">
            <w:pPr>
              <w:jc w:val="center"/>
            </w:pPr>
            <w:r w:rsidRPr="00BD77D8">
              <w:t>2</w:t>
            </w:r>
          </w:p>
        </w:tc>
        <w:tc>
          <w:tcPr>
            <w:tcW w:w="1183" w:type="dxa"/>
          </w:tcPr>
          <w:p w14:paraId="328E090F" w14:textId="40084AED" w:rsidR="00945ABE" w:rsidRPr="00BD77D8" w:rsidRDefault="00945ABE" w:rsidP="00945ABE">
            <w:pPr>
              <w:jc w:val="center"/>
            </w:pPr>
            <w:r w:rsidRPr="00BD77D8">
              <w:t>$350M</w:t>
            </w:r>
          </w:p>
        </w:tc>
        <w:tc>
          <w:tcPr>
            <w:tcW w:w="1276" w:type="dxa"/>
          </w:tcPr>
          <w:p w14:paraId="0DFE5F31" w14:textId="2BF17E3B" w:rsidR="00736E87" w:rsidRPr="00BD77D8" w:rsidRDefault="00945ABE" w:rsidP="001114E9">
            <w:pPr>
              <w:spacing w:line="240" w:lineRule="auto"/>
              <w:jc w:val="center"/>
              <w:rPr>
                <w:highlight w:val="yellow"/>
              </w:rPr>
            </w:pPr>
            <w:r w:rsidRPr="00BD77D8">
              <w:t>$3</w:t>
            </w:r>
            <w:r w:rsidR="008F6839" w:rsidRPr="00BD77D8">
              <w:t>38</w:t>
            </w:r>
            <w:r w:rsidRPr="00BD77D8">
              <w:t>M</w:t>
            </w:r>
          </w:p>
        </w:tc>
      </w:tr>
      <w:tr w:rsidR="00BD77D8" w:rsidRPr="00BD77D8" w14:paraId="26EE6F55" w14:textId="77777777" w:rsidTr="00B47173">
        <w:trPr>
          <w:trHeight w:val="532"/>
        </w:trPr>
        <w:tc>
          <w:tcPr>
            <w:tcW w:w="6621" w:type="dxa"/>
            <w:tcBorders>
              <w:left w:val="single" w:sz="4" w:space="0" w:color="auto"/>
              <w:bottom w:val="dotted" w:sz="4" w:space="0" w:color="auto"/>
              <w:right w:val="dotted" w:sz="4" w:space="0" w:color="auto"/>
            </w:tcBorders>
            <w:shd w:val="clear" w:color="auto" w:fill="auto"/>
          </w:tcPr>
          <w:p w14:paraId="0678D055" w14:textId="1DDD9B9D" w:rsidR="00945ABE" w:rsidRPr="00BD77D8" w:rsidRDefault="00945ABE" w:rsidP="00945ABE">
            <w:pPr>
              <w:rPr>
                <w:rFonts w:ascii="Arial" w:hAnsi="Arial"/>
              </w:rPr>
            </w:pPr>
            <w:r w:rsidRPr="00BD77D8">
              <w:rPr>
                <w:rFonts w:ascii="Arial" w:hAnsi="Arial"/>
              </w:rPr>
              <w:t>Number of job placements for Aboriginal and Torres Strait Islander peoples facilitated by the department</w:t>
            </w:r>
          </w:p>
        </w:tc>
        <w:tc>
          <w:tcPr>
            <w:tcW w:w="1310" w:type="dxa"/>
          </w:tcPr>
          <w:p w14:paraId="63DD09F2" w14:textId="5FF54990" w:rsidR="00945ABE" w:rsidRPr="00BD77D8" w:rsidRDefault="002E0A95" w:rsidP="00945ABE">
            <w:pPr>
              <w:jc w:val="center"/>
            </w:pPr>
            <w:r w:rsidRPr="00BD77D8">
              <w:t>3</w:t>
            </w:r>
          </w:p>
        </w:tc>
        <w:tc>
          <w:tcPr>
            <w:tcW w:w="1183" w:type="dxa"/>
          </w:tcPr>
          <w:p w14:paraId="31D3642E" w14:textId="3C361A27" w:rsidR="00945ABE" w:rsidRPr="00BD77D8" w:rsidRDefault="00945ABE" w:rsidP="00945ABE">
            <w:pPr>
              <w:jc w:val="center"/>
            </w:pPr>
            <w:r w:rsidRPr="00BD77D8">
              <w:t>720</w:t>
            </w:r>
          </w:p>
        </w:tc>
        <w:tc>
          <w:tcPr>
            <w:tcW w:w="1276" w:type="dxa"/>
          </w:tcPr>
          <w:p w14:paraId="15B6F555" w14:textId="1116A4CE" w:rsidR="00217046" w:rsidRPr="00BD77D8" w:rsidRDefault="00FC6DB2" w:rsidP="008F6839">
            <w:pPr>
              <w:spacing w:line="240" w:lineRule="auto"/>
              <w:jc w:val="center"/>
            </w:pPr>
            <w:r w:rsidRPr="00BD77D8">
              <w:t>736</w:t>
            </w:r>
            <w:r w:rsidR="008F6839" w:rsidRPr="00BD77D8">
              <w:t xml:space="preserve"> </w:t>
            </w:r>
            <w:r w:rsidR="00217046" w:rsidRPr="00BD77D8">
              <w:t xml:space="preserve"> </w:t>
            </w:r>
          </w:p>
        </w:tc>
      </w:tr>
      <w:tr w:rsidR="00BD77D8" w:rsidRPr="00BD77D8" w14:paraId="59CAB56B" w14:textId="77777777" w:rsidTr="00B47173">
        <w:trPr>
          <w:trHeight w:val="769"/>
        </w:trPr>
        <w:tc>
          <w:tcPr>
            <w:tcW w:w="6621" w:type="dxa"/>
            <w:tcBorders>
              <w:left w:val="single" w:sz="4" w:space="0" w:color="auto"/>
              <w:bottom w:val="dotted" w:sz="4" w:space="0" w:color="auto"/>
              <w:right w:val="dotted" w:sz="4" w:space="0" w:color="auto"/>
            </w:tcBorders>
            <w:shd w:val="clear" w:color="auto" w:fill="auto"/>
          </w:tcPr>
          <w:p w14:paraId="23C98C44" w14:textId="379A32B3" w:rsidR="00945ABE" w:rsidRPr="00BD77D8" w:rsidRDefault="00945ABE" w:rsidP="00945ABE">
            <w:pPr>
              <w:rPr>
                <w:rFonts w:ascii="Arial" w:hAnsi="Arial"/>
              </w:rPr>
            </w:pPr>
            <w:r w:rsidRPr="00BD77D8">
              <w:rPr>
                <w:rFonts w:ascii="Arial" w:hAnsi="Arial"/>
              </w:rPr>
              <w:t>Percentage of Aborigina</w:t>
            </w:r>
            <w:r w:rsidR="003D215E" w:rsidRPr="00BD77D8">
              <w:rPr>
                <w:rFonts w:ascii="Arial" w:hAnsi="Arial"/>
              </w:rPr>
              <w:t>l</w:t>
            </w:r>
            <w:r w:rsidRPr="00BD77D8">
              <w:rPr>
                <w:rFonts w:ascii="Arial" w:hAnsi="Arial"/>
              </w:rPr>
              <w:t xml:space="preserve"> and Torres Strait Islander p</w:t>
            </w:r>
            <w:r w:rsidR="00C936CF" w:rsidRPr="00BD77D8">
              <w:rPr>
                <w:rFonts w:ascii="Arial" w:hAnsi="Arial"/>
              </w:rPr>
              <w:t>articipants remaining in</w:t>
            </w:r>
            <w:r w:rsidRPr="00BD77D8">
              <w:rPr>
                <w:rFonts w:ascii="Arial" w:hAnsi="Arial"/>
              </w:rPr>
              <w:t xml:space="preserve"> employ</w:t>
            </w:r>
            <w:r w:rsidR="00C936CF" w:rsidRPr="00BD77D8">
              <w:rPr>
                <w:rFonts w:ascii="Arial" w:hAnsi="Arial"/>
              </w:rPr>
              <w:t>ment</w:t>
            </w:r>
            <w:r w:rsidRPr="00BD77D8">
              <w:rPr>
                <w:rFonts w:ascii="Arial" w:hAnsi="Arial"/>
              </w:rPr>
              <w:t xml:space="preserve"> 3 months after placement by the Youth Employment Program</w:t>
            </w:r>
          </w:p>
        </w:tc>
        <w:tc>
          <w:tcPr>
            <w:tcW w:w="1310" w:type="dxa"/>
          </w:tcPr>
          <w:p w14:paraId="0616C37B" w14:textId="7D8595BC" w:rsidR="00945ABE" w:rsidRPr="00BD77D8" w:rsidRDefault="002E0A95" w:rsidP="00945ABE">
            <w:pPr>
              <w:jc w:val="center"/>
            </w:pPr>
            <w:r w:rsidRPr="00BD77D8">
              <w:t>3</w:t>
            </w:r>
          </w:p>
        </w:tc>
        <w:tc>
          <w:tcPr>
            <w:tcW w:w="1183" w:type="dxa"/>
          </w:tcPr>
          <w:p w14:paraId="3255F0B2" w14:textId="4D487349" w:rsidR="00945ABE" w:rsidRPr="00BD77D8" w:rsidRDefault="00945ABE" w:rsidP="00945ABE">
            <w:pPr>
              <w:jc w:val="center"/>
            </w:pPr>
            <w:r w:rsidRPr="00BD77D8">
              <w:t>70%</w:t>
            </w:r>
          </w:p>
        </w:tc>
        <w:tc>
          <w:tcPr>
            <w:tcW w:w="1276" w:type="dxa"/>
          </w:tcPr>
          <w:p w14:paraId="25FF9A2F" w14:textId="2F7EF344" w:rsidR="00217046" w:rsidRPr="00BD77D8" w:rsidRDefault="00FC6DB2" w:rsidP="008F6839">
            <w:pPr>
              <w:spacing w:line="240" w:lineRule="auto"/>
              <w:jc w:val="center"/>
            </w:pPr>
            <w:r w:rsidRPr="00BD77D8">
              <w:t>80%</w:t>
            </w:r>
          </w:p>
        </w:tc>
      </w:tr>
      <w:tr w:rsidR="00BD77D8" w:rsidRPr="00BD77D8" w14:paraId="43DA76A7" w14:textId="77777777" w:rsidTr="00B47173">
        <w:trPr>
          <w:trHeight w:val="855"/>
        </w:trPr>
        <w:tc>
          <w:tcPr>
            <w:tcW w:w="6621" w:type="dxa"/>
            <w:tcBorders>
              <w:left w:val="single" w:sz="4" w:space="0" w:color="auto"/>
              <w:bottom w:val="dotted" w:sz="4" w:space="0" w:color="auto"/>
              <w:right w:val="dotted" w:sz="4" w:space="0" w:color="auto"/>
            </w:tcBorders>
            <w:shd w:val="clear" w:color="auto" w:fill="auto"/>
          </w:tcPr>
          <w:p w14:paraId="1EDB10F0" w14:textId="7D5FBDC4" w:rsidR="00945ABE" w:rsidRPr="00BD77D8" w:rsidRDefault="00945ABE" w:rsidP="00945ABE">
            <w:pPr>
              <w:rPr>
                <w:rFonts w:ascii="Arial" w:hAnsi="Arial"/>
              </w:rPr>
            </w:pPr>
            <w:r w:rsidRPr="00BD77D8">
              <w:rPr>
                <w:rFonts w:ascii="Arial" w:hAnsi="Arial"/>
              </w:rPr>
              <w:lastRenderedPageBreak/>
              <w:t>Percentage of Aboriginal and Torres Strait Islander p</w:t>
            </w:r>
            <w:r w:rsidR="00C936CF" w:rsidRPr="00BD77D8">
              <w:rPr>
                <w:rFonts w:ascii="Arial" w:hAnsi="Arial"/>
              </w:rPr>
              <w:t>articipants remaining in</w:t>
            </w:r>
            <w:r w:rsidRPr="00BD77D8">
              <w:rPr>
                <w:rFonts w:ascii="Arial" w:hAnsi="Arial"/>
              </w:rPr>
              <w:t xml:space="preserve"> employ</w:t>
            </w:r>
            <w:r w:rsidR="00C936CF" w:rsidRPr="00BD77D8">
              <w:rPr>
                <w:rFonts w:ascii="Arial" w:hAnsi="Arial"/>
              </w:rPr>
              <w:t>ment</w:t>
            </w:r>
            <w:r w:rsidRPr="00BD77D8">
              <w:rPr>
                <w:rFonts w:ascii="Arial" w:hAnsi="Arial"/>
              </w:rPr>
              <w:t xml:space="preserve"> 6 months after placement by the Youth Employment Program</w:t>
            </w:r>
          </w:p>
        </w:tc>
        <w:tc>
          <w:tcPr>
            <w:tcW w:w="1310" w:type="dxa"/>
          </w:tcPr>
          <w:p w14:paraId="55258E85" w14:textId="6CE7A02C" w:rsidR="00945ABE" w:rsidRPr="00BD77D8" w:rsidRDefault="002E0A95" w:rsidP="00945ABE">
            <w:pPr>
              <w:jc w:val="center"/>
            </w:pPr>
            <w:r w:rsidRPr="00BD77D8">
              <w:t>3</w:t>
            </w:r>
          </w:p>
        </w:tc>
        <w:tc>
          <w:tcPr>
            <w:tcW w:w="1183" w:type="dxa"/>
          </w:tcPr>
          <w:p w14:paraId="1CD95B29" w14:textId="50F54EAF" w:rsidR="00945ABE" w:rsidRPr="00BD77D8" w:rsidRDefault="00945ABE" w:rsidP="00945ABE">
            <w:pPr>
              <w:jc w:val="center"/>
            </w:pPr>
            <w:r w:rsidRPr="00BD77D8">
              <w:t>50%</w:t>
            </w:r>
          </w:p>
        </w:tc>
        <w:tc>
          <w:tcPr>
            <w:tcW w:w="1276" w:type="dxa"/>
          </w:tcPr>
          <w:p w14:paraId="598AFB60" w14:textId="2A7138C6" w:rsidR="00217046" w:rsidRPr="00BD77D8" w:rsidRDefault="00FC6DB2" w:rsidP="00217046">
            <w:pPr>
              <w:spacing w:line="240" w:lineRule="auto"/>
              <w:jc w:val="center"/>
            </w:pPr>
            <w:r w:rsidRPr="00BD77D8">
              <w:t>54%</w:t>
            </w:r>
          </w:p>
        </w:tc>
      </w:tr>
      <w:tr w:rsidR="00BD77D8" w:rsidRPr="00BD77D8" w14:paraId="36CFF259" w14:textId="77777777" w:rsidTr="00B777CD">
        <w:trPr>
          <w:trHeight w:val="981"/>
        </w:trPr>
        <w:tc>
          <w:tcPr>
            <w:tcW w:w="6621" w:type="dxa"/>
            <w:tcBorders>
              <w:left w:val="single" w:sz="4" w:space="0" w:color="auto"/>
              <w:bottom w:val="dotted" w:sz="4" w:space="0" w:color="auto"/>
              <w:right w:val="dotted" w:sz="4" w:space="0" w:color="auto"/>
            </w:tcBorders>
            <w:shd w:val="clear" w:color="auto" w:fill="auto"/>
          </w:tcPr>
          <w:p w14:paraId="0159457C" w14:textId="4BA85F7B" w:rsidR="00945ABE" w:rsidRPr="00BD77D8" w:rsidRDefault="00945ABE" w:rsidP="00945ABE">
            <w:pPr>
              <w:rPr>
                <w:rFonts w:ascii="Arial" w:eastAsia="Times New Roman" w:hAnsi="Arial"/>
                <w:lang w:eastAsia="en-AU"/>
              </w:rPr>
            </w:pPr>
            <w:r w:rsidRPr="00BD77D8">
              <w:rPr>
                <w:rFonts w:ascii="Arial" w:hAnsi="Arial"/>
              </w:rPr>
              <w:t>Number of houses made available for ownership by Aboriginal and Torres Strait Islander peoples in targeted communities through Queensland Government investment</w:t>
            </w:r>
          </w:p>
        </w:tc>
        <w:tc>
          <w:tcPr>
            <w:tcW w:w="1310" w:type="dxa"/>
          </w:tcPr>
          <w:p w14:paraId="58CB64B0" w14:textId="3D00F849" w:rsidR="00945ABE" w:rsidRPr="00BD77D8" w:rsidRDefault="002E0A95" w:rsidP="00945ABE">
            <w:pPr>
              <w:jc w:val="center"/>
              <w:rPr>
                <w:rFonts w:ascii="Arial" w:eastAsia="Times New Roman" w:hAnsi="Arial"/>
                <w:lang w:eastAsia="en-AU"/>
              </w:rPr>
            </w:pPr>
            <w:r w:rsidRPr="00BD77D8">
              <w:t>3</w:t>
            </w:r>
          </w:p>
        </w:tc>
        <w:tc>
          <w:tcPr>
            <w:tcW w:w="1183" w:type="dxa"/>
          </w:tcPr>
          <w:p w14:paraId="0DE28816" w14:textId="4C7D293B" w:rsidR="00945ABE" w:rsidRPr="00BD77D8" w:rsidRDefault="00945ABE" w:rsidP="00945ABE">
            <w:pPr>
              <w:jc w:val="center"/>
            </w:pPr>
            <w:r w:rsidRPr="00BD77D8">
              <w:t>30</w:t>
            </w:r>
          </w:p>
        </w:tc>
        <w:tc>
          <w:tcPr>
            <w:tcW w:w="1276" w:type="dxa"/>
          </w:tcPr>
          <w:p w14:paraId="6EAB25A4" w14:textId="78EB5381" w:rsidR="00DC3C64" w:rsidRPr="00BD77D8" w:rsidRDefault="00945ABE" w:rsidP="008F6839">
            <w:pPr>
              <w:spacing w:line="240" w:lineRule="auto"/>
              <w:jc w:val="center"/>
              <w:rPr>
                <w:highlight w:val="cyan"/>
              </w:rPr>
            </w:pPr>
            <w:r w:rsidRPr="00BD77D8">
              <w:t>3</w:t>
            </w:r>
            <w:r w:rsidR="00FC6DB2" w:rsidRPr="00BD77D8">
              <w:t>8</w:t>
            </w:r>
            <w:r w:rsidR="00DF7CF7" w:rsidRPr="00BD77D8">
              <w:t xml:space="preserve"> </w:t>
            </w:r>
          </w:p>
        </w:tc>
      </w:tr>
      <w:tr w:rsidR="00BD77D8" w:rsidRPr="00BD77D8" w14:paraId="5BC2AE7D" w14:textId="77777777" w:rsidTr="00B777CD">
        <w:trPr>
          <w:trHeight w:val="20"/>
        </w:trPr>
        <w:tc>
          <w:tcPr>
            <w:tcW w:w="6621" w:type="dxa"/>
          </w:tcPr>
          <w:p w14:paraId="62911E37" w14:textId="0E6655A5" w:rsidR="00945ABE" w:rsidRPr="00BD77D8" w:rsidRDefault="00945ABE" w:rsidP="00945ABE">
            <w:pPr>
              <w:spacing w:after="120"/>
              <w:rPr>
                <w:rFonts w:ascii="Arial" w:eastAsia="Times New Roman" w:hAnsi="Arial"/>
                <w:i/>
                <w:iCs/>
                <w:lang w:eastAsia="en-AU"/>
              </w:rPr>
            </w:pPr>
            <w:r w:rsidRPr="00BD77D8">
              <w:rPr>
                <w:rFonts w:ascii="Arial" w:eastAsia="Times New Roman" w:hAnsi="Arial"/>
                <w:i/>
                <w:iCs/>
                <w:lang w:eastAsia="en-AU"/>
              </w:rPr>
              <w:t>Efficiency measure</w:t>
            </w:r>
          </w:p>
        </w:tc>
        <w:tc>
          <w:tcPr>
            <w:tcW w:w="1310" w:type="dxa"/>
          </w:tcPr>
          <w:p w14:paraId="744114AB" w14:textId="77777777" w:rsidR="00945ABE" w:rsidRPr="00BD77D8" w:rsidRDefault="00945ABE" w:rsidP="00945ABE">
            <w:pPr>
              <w:jc w:val="center"/>
              <w:rPr>
                <w:rFonts w:ascii="Arial" w:eastAsia="Times New Roman" w:hAnsi="Arial"/>
                <w:lang w:eastAsia="en-AU"/>
              </w:rPr>
            </w:pPr>
          </w:p>
        </w:tc>
        <w:tc>
          <w:tcPr>
            <w:tcW w:w="1183" w:type="dxa"/>
          </w:tcPr>
          <w:p w14:paraId="7FC2EB83" w14:textId="77777777" w:rsidR="00945ABE" w:rsidRPr="00BD77D8" w:rsidRDefault="00945ABE" w:rsidP="00945ABE">
            <w:pPr>
              <w:jc w:val="center"/>
            </w:pPr>
          </w:p>
        </w:tc>
        <w:tc>
          <w:tcPr>
            <w:tcW w:w="1276" w:type="dxa"/>
          </w:tcPr>
          <w:p w14:paraId="73D2097B" w14:textId="77777777" w:rsidR="00945ABE" w:rsidRPr="00BD77D8" w:rsidRDefault="00945ABE" w:rsidP="00945ABE">
            <w:pPr>
              <w:jc w:val="center"/>
              <w:rPr>
                <w:rFonts w:ascii="Arial" w:eastAsia="Times New Roman" w:hAnsi="Arial"/>
                <w:lang w:eastAsia="en-AU"/>
              </w:rPr>
            </w:pPr>
          </w:p>
        </w:tc>
      </w:tr>
      <w:tr w:rsidR="00BD77D8" w:rsidRPr="00BD77D8" w14:paraId="21C85A19" w14:textId="77777777" w:rsidTr="00B777CD">
        <w:trPr>
          <w:trHeight w:val="20"/>
        </w:trPr>
        <w:tc>
          <w:tcPr>
            <w:tcW w:w="6621" w:type="dxa"/>
          </w:tcPr>
          <w:p w14:paraId="0FBBEEC8" w14:textId="718C6D22" w:rsidR="00945ABE" w:rsidRPr="00BD77D8" w:rsidRDefault="00945ABE" w:rsidP="00945ABE">
            <w:pPr>
              <w:rPr>
                <w:rFonts w:ascii="Arial" w:eastAsia="Times New Roman" w:hAnsi="Arial"/>
                <w:lang w:eastAsia="en-AU"/>
              </w:rPr>
            </w:pPr>
            <w:r w:rsidRPr="00BD77D8">
              <w:rPr>
                <w:rFonts w:ascii="Arial" w:eastAsia="Times New Roman" w:hAnsi="Arial"/>
                <w:lang w:eastAsia="en-AU"/>
              </w:rPr>
              <w:t>Total cost per hour of economic participation policy</w:t>
            </w:r>
            <w:r w:rsidRPr="00BD77D8">
              <w:rPr>
                <w:rFonts w:ascii="Arial" w:eastAsia="Times New Roman" w:hAnsi="Arial"/>
                <w:vertAlign w:val="superscript"/>
                <w:lang w:eastAsia="en-AU"/>
              </w:rPr>
              <w:t xml:space="preserve"> </w:t>
            </w:r>
          </w:p>
        </w:tc>
        <w:tc>
          <w:tcPr>
            <w:tcW w:w="1310" w:type="dxa"/>
          </w:tcPr>
          <w:p w14:paraId="37C43ADC" w14:textId="1E3733FE" w:rsidR="00945ABE" w:rsidRPr="00BD77D8" w:rsidRDefault="002E0A95" w:rsidP="00FB4DC6">
            <w:pPr>
              <w:jc w:val="center"/>
              <w:rPr>
                <w:rFonts w:ascii="Arial" w:eastAsia="Times New Roman" w:hAnsi="Arial"/>
                <w:lang w:eastAsia="en-AU"/>
              </w:rPr>
            </w:pPr>
            <w:r w:rsidRPr="00BD77D8">
              <w:t xml:space="preserve"> 4</w:t>
            </w:r>
          </w:p>
        </w:tc>
        <w:tc>
          <w:tcPr>
            <w:tcW w:w="1183" w:type="dxa"/>
          </w:tcPr>
          <w:p w14:paraId="7E12D958" w14:textId="77777777" w:rsidR="00945ABE" w:rsidRPr="00BD77D8" w:rsidRDefault="00945ABE" w:rsidP="00945ABE">
            <w:pPr>
              <w:jc w:val="center"/>
            </w:pPr>
            <w:r w:rsidRPr="00BD77D8">
              <w:t>$103</w:t>
            </w:r>
          </w:p>
        </w:tc>
        <w:tc>
          <w:tcPr>
            <w:tcW w:w="1276" w:type="dxa"/>
          </w:tcPr>
          <w:p w14:paraId="2211D941" w14:textId="53EE2B5F" w:rsidR="00945ABE" w:rsidRPr="00BD77D8" w:rsidRDefault="003D34E3" w:rsidP="00945ABE">
            <w:pPr>
              <w:jc w:val="center"/>
              <w:rPr>
                <w:rFonts w:ascii="Arial" w:eastAsia="Times New Roman" w:hAnsi="Arial"/>
                <w:lang w:eastAsia="en-AU"/>
              </w:rPr>
            </w:pPr>
            <w:r w:rsidRPr="00BD77D8">
              <w:rPr>
                <w:rFonts w:ascii="Arial" w:eastAsia="Times New Roman" w:hAnsi="Arial"/>
                <w:lang w:eastAsia="en-AU"/>
              </w:rPr>
              <w:t>$</w:t>
            </w:r>
            <w:r w:rsidR="00D2034B" w:rsidRPr="00BD77D8">
              <w:rPr>
                <w:rFonts w:ascii="Arial" w:eastAsia="Times New Roman" w:hAnsi="Arial"/>
                <w:lang w:eastAsia="en-AU"/>
              </w:rPr>
              <w:t>9</w:t>
            </w:r>
            <w:r w:rsidR="009F5D86" w:rsidRPr="00BD77D8">
              <w:rPr>
                <w:rFonts w:ascii="Arial" w:eastAsia="Times New Roman" w:hAnsi="Arial"/>
                <w:lang w:eastAsia="en-AU"/>
              </w:rPr>
              <w:t>7.50</w:t>
            </w:r>
            <w:r w:rsidR="00945ABE" w:rsidRPr="00BD77D8">
              <w:rPr>
                <w:rFonts w:ascii="Arial" w:eastAsia="Times New Roman" w:hAnsi="Arial"/>
                <w:lang w:eastAsia="en-AU"/>
              </w:rPr>
              <w:t xml:space="preserve"> </w:t>
            </w:r>
          </w:p>
        </w:tc>
      </w:tr>
    </w:tbl>
    <w:p w14:paraId="1E352F80" w14:textId="77777777" w:rsidR="00A6234F" w:rsidRPr="00BD77D8" w:rsidRDefault="00A6234F" w:rsidP="00A6234F">
      <w:pPr>
        <w:spacing w:before="120" w:after="0" w:line="240" w:lineRule="auto"/>
        <w:rPr>
          <w:sz w:val="18"/>
          <w:szCs w:val="18"/>
        </w:rPr>
      </w:pPr>
      <w:bookmarkStart w:id="255" w:name="_Hlk106129315"/>
      <w:r w:rsidRPr="00BD77D8">
        <w:rPr>
          <w:sz w:val="18"/>
          <w:szCs w:val="18"/>
        </w:rPr>
        <w:t>Notes:</w:t>
      </w:r>
    </w:p>
    <w:p w14:paraId="2FC2A205" w14:textId="0E117B31" w:rsidR="001114E9" w:rsidRPr="00BD77D8" w:rsidRDefault="001114E9" w:rsidP="00130F7C">
      <w:pPr>
        <w:pStyle w:val="NoteIndent"/>
        <w:numPr>
          <w:ilvl w:val="0"/>
          <w:numId w:val="66"/>
        </w:numPr>
        <w:rPr>
          <w:sz w:val="18"/>
        </w:rPr>
      </w:pPr>
      <w:r w:rsidRPr="00BD77D8">
        <w:rPr>
          <w:sz w:val="18"/>
        </w:rPr>
        <w:t xml:space="preserve">This is a </w:t>
      </w:r>
      <w:r w:rsidR="002E0A95" w:rsidRPr="00BD77D8">
        <w:rPr>
          <w:sz w:val="18"/>
        </w:rPr>
        <w:t>whole-of-government</w:t>
      </w:r>
      <w:r w:rsidRPr="00BD77D8">
        <w:rPr>
          <w:sz w:val="18"/>
        </w:rPr>
        <w:t xml:space="preserve"> measure of effectiveness </w:t>
      </w:r>
      <w:r w:rsidR="00397B57" w:rsidRPr="00BD77D8">
        <w:rPr>
          <w:sz w:val="18"/>
        </w:rPr>
        <w:t>for</w:t>
      </w:r>
      <w:r w:rsidRPr="00BD77D8">
        <w:rPr>
          <w:sz w:val="18"/>
        </w:rPr>
        <w:t xml:space="preserve"> the Queensland Government’s progress in growing the number of Aboriginal and Torres Strait Islander businesses that have secured </w:t>
      </w:r>
      <w:r w:rsidR="00397B57" w:rsidRPr="00BD77D8">
        <w:rPr>
          <w:sz w:val="18"/>
        </w:rPr>
        <w:t>g</w:t>
      </w:r>
      <w:r w:rsidRPr="00BD77D8">
        <w:rPr>
          <w:sz w:val="18"/>
        </w:rPr>
        <w:t>overnment procurement. The department contributes to this measure by connecting agency and industry business supply and employment opportunities, and by linking investments that support Aboriginal and Torres Strait Islander businesses to build capability/capacity to win procurement contracts. The collation of data for this measure has been delayed due to</w:t>
      </w:r>
      <w:r w:rsidR="002E0A95" w:rsidRPr="00BD77D8">
        <w:rPr>
          <w:sz w:val="18"/>
        </w:rPr>
        <w:t xml:space="preserve"> </w:t>
      </w:r>
      <w:r w:rsidRPr="00BD77D8">
        <w:rPr>
          <w:sz w:val="18"/>
        </w:rPr>
        <w:t>COVID-19</w:t>
      </w:r>
      <w:r w:rsidR="00071D91" w:rsidRPr="00BD77D8">
        <w:rPr>
          <w:sz w:val="18"/>
        </w:rPr>
        <w:t xml:space="preserve"> and other external impacts</w:t>
      </w:r>
      <w:r w:rsidRPr="00BD77D8">
        <w:rPr>
          <w:sz w:val="18"/>
        </w:rPr>
        <w:t xml:space="preserve">, and as a result, only the data available </w:t>
      </w:r>
      <w:r w:rsidR="002E0A95" w:rsidRPr="00BD77D8">
        <w:rPr>
          <w:sz w:val="18"/>
        </w:rPr>
        <w:t xml:space="preserve">(as at 31 March 2022) </w:t>
      </w:r>
      <w:r w:rsidRPr="00BD77D8">
        <w:rPr>
          <w:sz w:val="18"/>
        </w:rPr>
        <w:t>at</w:t>
      </w:r>
      <w:r w:rsidR="002E0A95" w:rsidRPr="00BD77D8">
        <w:rPr>
          <w:sz w:val="18"/>
        </w:rPr>
        <w:t xml:space="preserve"> time of</w:t>
      </w:r>
      <w:r w:rsidRPr="00BD77D8">
        <w:rPr>
          <w:sz w:val="18"/>
        </w:rPr>
        <w:t xml:space="preserve"> publication has been able to be provided. The 20</w:t>
      </w:r>
      <w:r w:rsidR="002E0A95" w:rsidRPr="00BD77D8">
        <w:rPr>
          <w:sz w:val="18"/>
        </w:rPr>
        <w:t>21</w:t>
      </w:r>
      <w:r w:rsidRPr="00BD77D8">
        <w:rPr>
          <w:sz w:val="18"/>
        </w:rPr>
        <w:t>–202</w:t>
      </w:r>
      <w:r w:rsidR="002E0A95" w:rsidRPr="00BD77D8">
        <w:rPr>
          <w:sz w:val="18"/>
        </w:rPr>
        <w:t>2</w:t>
      </w:r>
      <w:r w:rsidRPr="00BD77D8">
        <w:rPr>
          <w:sz w:val="18"/>
        </w:rPr>
        <w:t xml:space="preserve"> actual result will be published on the department's website by 31 March 202</w:t>
      </w:r>
      <w:r w:rsidR="002E0A95" w:rsidRPr="00BD77D8">
        <w:rPr>
          <w:sz w:val="18"/>
        </w:rPr>
        <w:t>3.</w:t>
      </w:r>
    </w:p>
    <w:p w14:paraId="110CD98D" w14:textId="26082AC2" w:rsidR="002E0A95" w:rsidRPr="00BD77D8" w:rsidRDefault="002E0A95" w:rsidP="00E066A9">
      <w:pPr>
        <w:pStyle w:val="NoteIndent"/>
        <w:numPr>
          <w:ilvl w:val="0"/>
          <w:numId w:val="66"/>
        </w:numPr>
        <w:rPr>
          <w:sz w:val="18"/>
        </w:rPr>
      </w:pPr>
      <w:r w:rsidRPr="00BD77D8">
        <w:rPr>
          <w:sz w:val="18"/>
        </w:rPr>
        <w:t xml:space="preserve">This is a whole-of-government service standard which measures the Queensland Government’s progress in increasing the total value of </w:t>
      </w:r>
      <w:r w:rsidR="00397B57" w:rsidRPr="00BD77D8">
        <w:rPr>
          <w:sz w:val="18"/>
        </w:rPr>
        <w:t>g</w:t>
      </w:r>
      <w:r w:rsidRPr="00BD77D8">
        <w:rPr>
          <w:sz w:val="18"/>
        </w:rPr>
        <w:t>overnment procurement from Aboriginal and Torres Strait Islander businesses. The department connects agency and industry business supply and employment opportunities, and links investments that support Aboriginal and Torres Strait Islander businesses to build capability/capacity to win procurement contracts. The collation of data for this measure has been delayed due to COVID-19</w:t>
      </w:r>
      <w:r w:rsidR="00071D91" w:rsidRPr="00BD77D8">
        <w:rPr>
          <w:sz w:val="18"/>
        </w:rPr>
        <w:t xml:space="preserve"> and other external impacts</w:t>
      </w:r>
      <w:r w:rsidRPr="00BD77D8">
        <w:rPr>
          <w:sz w:val="18"/>
        </w:rPr>
        <w:t xml:space="preserve">, and as a result, only the data available (as at 31 March 2022) at </w:t>
      </w:r>
      <w:r w:rsidR="00FF5997" w:rsidRPr="00BD77D8">
        <w:rPr>
          <w:sz w:val="18"/>
        </w:rPr>
        <w:t>t</w:t>
      </w:r>
      <w:r w:rsidRPr="00BD77D8">
        <w:rPr>
          <w:sz w:val="18"/>
        </w:rPr>
        <w:t>h</w:t>
      </w:r>
      <w:r w:rsidR="00FF5997" w:rsidRPr="00BD77D8">
        <w:rPr>
          <w:sz w:val="18"/>
        </w:rPr>
        <w:t>e</w:t>
      </w:r>
      <w:r w:rsidRPr="00BD77D8">
        <w:rPr>
          <w:sz w:val="18"/>
        </w:rPr>
        <w:t xml:space="preserve"> time of publication has been able to be provided. The 2021–2022 actual result will be published on the department’s website by 31 March 2023.</w:t>
      </w:r>
    </w:p>
    <w:p w14:paraId="3A045156" w14:textId="460E5AEA" w:rsidR="007D4B7F" w:rsidRPr="00BD77D8" w:rsidRDefault="007D4B7F" w:rsidP="00F729B3">
      <w:pPr>
        <w:pStyle w:val="NoteIndent"/>
        <w:numPr>
          <w:ilvl w:val="0"/>
          <w:numId w:val="66"/>
        </w:numPr>
        <w:rPr>
          <w:sz w:val="18"/>
        </w:rPr>
      </w:pPr>
      <w:r w:rsidRPr="00BD77D8">
        <w:rPr>
          <w:sz w:val="18"/>
        </w:rPr>
        <w:t xml:space="preserve">As a result of the review of the program structure, this service standard has been discontinued. </w:t>
      </w:r>
    </w:p>
    <w:bookmarkEnd w:id="255"/>
    <w:p w14:paraId="2051B548" w14:textId="73398DE4" w:rsidR="00B26FC7" w:rsidRPr="00BD77D8" w:rsidRDefault="007D4B7F" w:rsidP="00397B57">
      <w:pPr>
        <w:pStyle w:val="NoteIndent"/>
        <w:numPr>
          <w:ilvl w:val="0"/>
          <w:numId w:val="66"/>
        </w:numPr>
        <w:ind w:left="714" w:hanging="357"/>
        <w:rPr>
          <w:sz w:val="18"/>
        </w:rPr>
      </w:pPr>
      <w:r w:rsidRPr="00BD77D8">
        <w:rPr>
          <w:sz w:val="18"/>
        </w:rPr>
        <w:t xml:space="preserve">This service standard is discontinued as it has been replaced with a new service standard, ‘Total cost per hour of policy provided for Aboriginal </w:t>
      </w:r>
      <w:r w:rsidR="00FF5997" w:rsidRPr="00BD77D8">
        <w:rPr>
          <w:sz w:val="18"/>
        </w:rPr>
        <w:t xml:space="preserve">peoples </w:t>
      </w:r>
      <w:r w:rsidRPr="00BD77D8">
        <w:rPr>
          <w:sz w:val="18"/>
        </w:rPr>
        <w:t>and Torres Strait Islander peoples</w:t>
      </w:r>
      <w:r w:rsidR="00873FC0" w:rsidRPr="00BD77D8">
        <w:rPr>
          <w:sz w:val="18"/>
        </w:rPr>
        <w:t xml:space="preserve"> in the department’s 2022</w:t>
      </w:r>
      <w:r w:rsidR="00397B57" w:rsidRPr="00BD77D8">
        <w:rPr>
          <w:sz w:val="18"/>
        </w:rPr>
        <w:t>–</w:t>
      </w:r>
      <w:r w:rsidR="00FB4DC6" w:rsidRPr="00BD77D8">
        <w:rPr>
          <w:sz w:val="18"/>
        </w:rPr>
        <w:t>20</w:t>
      </w:r>
      <w:r w:rsidR="00873FC0" w:rsidRPr="00BD77D8">
        <w:rPr>
          <w:sz w:val="18"/>
        </w:rPr>
        <w:t>23 Service Delivery Statements’</w:t>
      </w:r>
      <w:r w:rsidRPr="00BD77D8">
        <w:rPr>
          <w:sz w:val="18"/>
        </w:rPr>
        <w:t xml:space="preserve">. </w:t>
      </w:r>
      <w:bookmarkStart w:id="256" w:name="_Toc73714431"/>
      <w:bookmarkStart w:id="257" w:name="_Toc78287396"/>
      <w:bookmarkStart w:id="258" w:name="_Toc78355803"/>
    </w:p>
    <w:p w14:paraId="2F3145AD" w14:textId="700AA3DD" w:rsidR="00B777CD" w:rsidRPr="00BD77D8" w:rsidRDefault="003C0DB9" w:rsidP="00BA691A">
      <w:pPr>
        <w:pStyle w:val="Heading2"/>
        <w:spacing w:before="1080"/>
        <w:rPr>
          <w:color w:val="auto"/>
          <w:sz w:val="20"/>
          <w:szCs w:val="20"/>
        </w:rPr>
      </w:pPr>
      <w:bookmarkStart w:id="259" w:name="_Toc113544395"/>
      <w:r w:rsidRPr="00BD77D8">
        <w:rPr>
          <w:color w:val="auto"/>
        </w:rPr>
        <w:t>Future directions</w:t>
      </w:r>
      <w:bookmarkEnd w:id="256"/>
      <w:bookmarkEnd w:id="257"/>
      <w:bookmarkEnd w:id="258"/>
      <w:bookmarkEnd w:id="259"/>
      <w:r w:rsidR="00B777CD" w:rsidRPr="00BD77D8">
        <w:rPr>
          <w:color w:val="auto"/>
        </w:rPr>
        <w:t xml:space="preserve"> </w:t>
      </w:r>
    </w:p>
    <w:p w14:paraId="6F10B9FC" w14:textId="77EC8D3D" w:rsidR="0033652B" w:rsidRPr="00BD77D8" w:rsidRDefault="0033652B" w:rsidP="006D4747">
      <w:pPr>
        <w:pStyle w:val="ListBullet"/>
        <w:numPr>
          <w:ilvl w:val="0"/>
          <w:numId w:val="0"/>
        </w:numPr>
        <w:ind w:left="360" w:hanging="360"/>
        <w:rPr>
          <w:b/>
          <w:bCs/>
        </w:rPr>
      </w:pPr>
      <w:r w:rsidRPr="00BD77D8">
        <w:rPr>
          <w:b/>
          <w:bCs/>
        </w:rPr>
        <w:t>Promote inclusion and access to programs and services</w:t>
      </w:r>
      <w:r w:rsidR="005D44AC" w:rsidRPr="00BD77D8">
        <w:rPr>
          <w:b/>
          <w:bCs/>
        </w:rPr>
        <w:t xml:space="preserve"> by:</w:t>
      </w:r>
    </w:p>
    <w:p w14:paraId="62C54EFF" w14:textId="225D0D59" w:rsidR="0033652B" w:rsidRPr="00BD77D8" w:rsidRDefault="00D44AFF" w:rsidP="0033652B">
      <w:pPr>
        <w:pStyle w:val="ListBullet"/>
      </w:pPr>
      <w:r w:rsidRPr="00BD77D8">
        <w:t>d</w:t>
      </w:r>
      <w:r w:rsidR="0033652B" w:rsidRPr="00BD77D8">
        <w:t>evelop</w:t>
      </w:r>
      <w:r w:rsidRPr="00BD77D8">
        <w:t>ing</w:t>
      </w:r>
      <w:r w:rsidR="0033652B" w:rsidRPr="00BD77D8">
        <w:t xml:space="preserve"> a Queensland Indigenous Voice model that best meet</w:t>
      </w:r>
      <w:r w:rsidR="00397B57" w:rsidRPr="00BD77D8">
        <w:t>s</w:t>
      </w:r>
      <w:r w:rsidR="0033652B" w:rsidRPr="00BD77D8">
        <w:t xml:space="preserve"> the needs and priorities of </w:t>
      </w:r>
      <w:r w:rsidR="008E3CD4" w:rsidRPr="00BD77D8">
        <w:t xml:space="preserve">Aboriginal and Torres Strait Islander </w:t>
      </w:r>
      <w:r w:rsidR="0033652B" w:rsidRPr="00BD77D8">
        <w:t>Queenslanders informed by existing reforms underway in Queensland, including Path to Treaty and Local Thriving Communities</w:t>
      </w:r>
      <w:r w:rsidR="008F581B" w:rsidRPr="00BD77D8">
        <w:t>,</w:t>
      </w:r>
      <w:r w:rsidR="0033652B" w:rsidRPr="00BD77D8">
        <w:t xml:space="preserve"> and </w:t>
      </w:r>
      <w:r w:rsidR="008F581B" w:rsidRPr="00BD77D8">
        <w:t xml:space="preserve">by </w:t>
      </w:r>
      <w:r w:rsidR="0033652B" w:rsidRPr="00BD77D8">
        <w:t xml:space="preserve">the </w:t>
      </w:r>
      <w:r w:rsidR="009C58CC" w:rsidRPr="00BD77D8">
        <w:t xml:space="preserve">national Indigenous Voice </w:t>
      </w:r>
      <w:r w:rsidR="0033652B" w:rsidRPr="00BD77D8">
        <w:t xml:space="preserve">process </w:t>
      </w:r>
    </w:p>
    <w:p w14:paraId="7F75C378" w14:textId="1EDF8946" w:rsidR="0033652B" w:rsidRPr="00BD77D8" w:rsidRDefault="00D44AFF" w:rsidP="0033652B">
      <w:pPr>
        <w:pStyle w:val="ListBullet"/>
      </w:pPr>
      <w:r w:rsidRPr="00BD77D8">
        <w:t>w</w:t>
      </w:r>
      <w:r w:rsidR="0033652B" w:rsidRPr="00BD77D8">
        <w:t>ork</w:t>
      </w:r>
      <w:r w:rsidRPr="00BD77D8">
        <w:t>ing</w:t>
      </w:r>
      <w:r w:rsidR="0033652B" w:rsidRPr="00BD77D8">
        <w:t xml:space="preserve"> with strategic partners, including disability and seniors service providers, and Aboriginal and Torres Strait Islander communities, to prepare for, respond to, and recover from pandemic and other disaster event</w:t>
      </w:r>
      <w:r w:rsidR="007B585C" w:rsidRPr="00BD77D8">
        <w:t>s</w:t>
      </w:r>
      <w:r w:rsidR="009C58CC" w:rsidRPr="00BD77D8">
        <w:t>.</w:t>
      </w:r>
    </w:p>
    <w:p w14:paraId="1D9B3B9C" w14:textId="6FBBDBF9" w:rsidR="003C0DB9" w:rsidRPr="00BD77D8" w:rsidRDefault="007D19A5" w:rsidP="006D4747">
      <w:pPr>
        <w:pStyle w:val="ListBullet"/>
        <w:numPr>
          <w:ilvl w:val="0"/>
          <w:numId w:val="0"/>
        </w:numPr>
        <w:ind w:left="360" w:hanging="360"/>
        <w:rPr>
          <w:b/>
          <w:bCs/>
        </w:rPr>
      </w:pPr>
      <w:r w:rsidRPr="00BD77D8">
        <w:rPr>
          <w:b/>
          <w:bCs/>
        </w:rPr>
        <w:t>I</w:t>
      </w:r>
      <w:r w:rsidR="003C0DB9" w:rsidRPr="00BD77D8">
        <w:rPr>
          <w:b/>
          <w:bCs/>
        </w:rPr>
        <w:t>ncrease engagement through co-design</w:t>
      </w:r>
      <w:r w:rsidR="00956006" w:rsidRPr="00BD77D8">
        <w:rPr>
          <w:b/>
          <w:bCs/>
        </w:rPr>
        <w:t xml:space="preserve"> by:</w:t>
      </w:r>
    </w:p>
    <w:p w14:paraId="67AA48C5" w14:textId="21F7F5E9" w:rsidR="0033652B" w:rsidRPr="00BD77D8" w:rsidRDefault="00D44AFF" w:rsidP="0033652B">
      <w:pPr>
        <w:pStyle w:val="ListBullet"/>
      </w:pPr>
      <w:r w:rsidRPr="00BD77D8">
        <w:t>c</w:t>
      </w:r>
      <w:r w:rsidR="0033652B" w:rsidRPr="00BD77D8">
        <w:t>ontinu</w:t>
      </w:r>
      <w:r w:rsidRPr="00BD77D8">
        <w:t>ing</w:t>
      </w:r>
      <w:r w:rsidR="0033652B" w:rsidRPr="00BD77D8">
        <w:t xml:space="preserve"> to drive the Queensland Government’s commitment to reframing the relationship with Aboriginal and Torres Strait Islander Queenslanders through implementing the next steps to the Path to Treaty, including truth</w:t>
      </w:r>
      <w:r w:rsidR="00B26FC7" w:rsidRPr="00BD77D8">
        <w:t>-</w:t>
      </w:r>
      <w:r w:rsidR="0033652B" w:rsidRPr="00BD77D8">
        <w:t xml:space="preserve">telling and healing actions, supporting </w:t>
      </w:r>
      <w:r w:rsidR="008E3CD4" w:rsidRPr="00BD77D8">
        <w:t>Aboriginal and Torres Strait Islander Queenslanders’</w:t>
      </w:r>
      <w:r w:rsidR="0033652B" w:rsidRPr="00BD77D8">
        <w:t xml:space="preserve"> treaty readiness and leading</w:t>
      </w:r>
      <w:r w:rsidR="00C72EF1" w:rsidRPr="00BD77D8">
        <w:t xml:space="preserve"> the</w:t>
      </w:r>
      <w:r w:rsidR="0033652B" w:rsidRPr="00BD77D8">
        <w:t xml:space="preserve"> </w:t>
      </w:r>
      <w:r w:rsidR="00C72EF1" w:rsidRPr="00BD77D8">
        <w:t>g</w:t>
      </w:r>
      <w:r w:rsidR="0033652B" w:rsidRPr="00BD77D8">
        <w:t>overnment</w:t>
      </w:r>
      <w:r w:rsidR="00C72EF1" w:rsidRPr="00BD77D8">
        <w:t>’s</w:t>
      </w:r>
      <w:r w:rsidR="0033652B" w:rsidRPr="00BD77D8">
        <w:t xml:space="preserve"> treaty readiness</w:t>
      </w:r>
    </w:p>
    <w:p w14:paraId="0AB6A169" w14:textId="7DD5577A" w:rsidR="0033652B" w:rsidRPr="00BD77D8" w:rsidRDefault="00D44AFF" w:rsidP="0033652B">
      <w:pPr>
        <w:pStyle w:val="ListBullet"/>
      </w:pPr>
      <w:r w:rsidRPr="00BD77D8">
        <w:t>l</w:t>
      </w:r>
      <w:r w:rsidR="0033652B" w:rsidRPr="00BD77D8">
        <w:t>ead</w:t>
      </w:r>
      <w:r w:rsidRPr="00BD77D8">
        <w:t>ing</w:t>
      </w:r>
      <w:r w:rsidR="0033652B" w:rsidRPr="00BD77D8">
        <w:t xml:space="preserve"> the implementation of the National Agreement on Closing the Gap </w:t>
      </w:r>
    </w:p>
    <w:p w14:paraId="0E948FBC" w14:textId="04E19190" w:rsidR="00C81C2A" w:rsidRPr="00BD77D8" w:rsidRDefault="00D44AFF" w:rsidP="0033652B">
      <w:pPr>
        <w:pStyle w:val="ListBullet"/>
      </w:pPr>
      <w:r w:rsidRPr="00BD77D8">
        <w:t>w</w:t>
      </w:r>
      <w:r w:rsidR="0033652B" w:rsidRPr="00BD77D8">
        <w:t>ork</w:t>
      </w:r>
      <w:r w:rsidRPr="00BD77D8">
        <w:t>ing</w:t>
      </w:r>
      <w:r w:rsidR="0033652B" w:rsidRPr="00BD77D8">
        <w:t xml:space="preserve"> with Queensland’s Aboriginal and Torres Strait Islander communities to build local Aboriginal and Torres Strait Islander authority and governance and establish local decision-making bodies through the Local Thriving Communities reform</w:t>
      </w:r>
      <w:r w:rsidR="009C58CC" w:rsidRPr="00BD77D8">
        <w:t>.</w:t>
      </w:r>
    </w:p>
    <w:p w14:paraId="7EEB6D42" w14:textId="2D15AAB1" w:rsidR="003C0DB9" w:rsidRPr="00BD77D8" w:rsidRDefault="003C0DB9" w:rsidP="006D4747">
      <w:pPr>
        <w:pStyle w:val="ListBullet"/>
        <w:numPr>
          <w:ilvl w:val="0"/>
          <w:numId w:val="0"/>
        </w:numPr>
        <w:ind w:left="360" w:hanging="360"/>
        <w:rPr>
          <w:rFonts w:eastAsia="Calibri"/>
          <w:b/>
          <w:bCs/>
        </w:rPr>
      </w:pPr>
      <w:r w:rsidRPr="00BD77D8">
        <w:rPr>
          <w:rFonts w:eastAsia="Calibri"/>
          <w:b/>
          <w:bCs/>
        </w:rPr>
        <w:lastRenderedPageBreak/>
        <w:t>Influence social and economic outcomes</w:t>
      </w:r>
      <w:r w:rsidR="00A21932" w:rsidRPr="00BD77D8">
        <w:rPr>
          <w:rFonts w:eastAsia="Calibri"/>
          <w:b/>
          <w:bCs/>
        </w:rPr>
        <w:t xml:space="preserve"> by:</w:t>
      </w:r>
    </w:p>
    <w:p w14:paraId="12D0A8FB" w14:textId="65528F9C" w:rsidR="0033652B" w:rsidRPr="00BD77D8" w:rsidRDefault="0033652B" w:rsidP="0033652B">
      <w:pPr>
        <w:pStyle w:val="ListBullet"/>
      </w:pPr>
      <w:r w:rsidRPr="00BD77D8">
        <w:t xml:space="preserve">driving the whole-of-government implementation of the Queensland Indigenous (Aboriginal and Torres Strait Islander) Procurement Policy </w:t>
      </w:r>
    </w:p>
    <w:p w14:paraId="69EF5BA7" w14:textId="03FCA20C" w:rsidR="0033652B" w:rsidRPr="00BD77D8" w:rsidRDefault="0033652B" w:rsidP="0033652B">
      <w:pPr>
        <w:pStyle w:val="ListBullet"/>
      </w:pPr>
      <w:r w:rsidRPr="00BD77D8">
        <w:t xml:space="preserve">empowering individuals, businesses and communities to achieve their economic aspirations through supporting the development of policies and programs to increase participation by Aboriginal and Torres Strait Islander Queenslanders in employment and business </w:t>
      </w:r>
    </w:p>
    <w:p w14:paraId="1E9C17E5" w14:textId="557DCF8E" w:rsidR="0033652B" w:rsidRPr="00BD77D8" w:rsidRDefault="009C58CC" w:rsidP="0033652B">
      <w:pPr>
        <w:pStyle w:val="ListBullet"/>
      </w:pPr>
      <w:r w:rsidRPr="00BD77D8">
        <w:t xml:space="preserve">releasing </w:t>
      </w:r>
      <w:r w:rsidR="0033652B" w:rsidRPr="00BD77D8">
        <w:t xml:space="preserve">a new economic strategy that expressly recognises the rich and vibrant contribution of </w:t>
      </w:r>
      <w:r w:rsidR="008E3CD4" w:rsidRPr="00BD77D8">
        <w:t>Aboriginal</w:t>
      </w:r>
      <w:r w:rsidR="004C7FBB" w:rsidRPr="00BD77D8">
        <w:t xml:space="preserve"> peoples</w:t>
      </w:r>
      <w:r w:rsidR="008E3CD4" w:rsidRPr="00BD77D8">
        <w:t xml:space="preserve"> and Torres Strait Islander </w:t>
      </w:r>
      <w:r w:rsidR="0033652B" w:rsidRPr="00BD77D8">
        <w:t>peoples to the Queensland economy</w:t>
      </w:r>
    </w:p>
    <w:p w14:paraId="7C42A754" w14:textId="2AA01533" w:rsidR="0033652B" w:rsidRPr="00BD77D8" w:rsidRDefault="0033652B" w:rsidP="0033652B">
      <w:pPr>
        <w:pStyle w:val="ListBullet"/>
      </w:pPr>
      <w:r w:rsidRPr="00BD77D8">
        <w:t xml:space="preserve">continuing the development and implementation of strategic initiatives that support economic development and whole-of-government co-ordination of infrastructure works within remote and discrete communities, and other areas of Queensland </w:t>
      </w:r>
    </w:p>
    <w:p w14:paraId="559D1B2C" w14:textId="241A3774" w:rsidR="003C0DB9" w:rsidRPr="00BD77D8" w:rsidRDefault="003C0DB9" w:rsidP="0033652B">
      <w:pPr>
        <w:pStyle w:val="ListBullet"/>
        <w:numPr>
          <w:ilvl w:val="0"/>
          <w:numId w:val="0"/>
        </w:numPr>
        <w:ind w:left="360" w:hanging="360"/>
        <w:rPr>
          <w:rFonts w:eastAsia="Calibri"/>
          <w:b/>
          <w:bCs/>
        </w:rPr>
      </w:pPr>
      <w:r w:rsidRPr="00BD77D8">
        <w:rPr>
          <w:rFonts w:eastAsia="Calibri"/>
          <w:b/>
          <w:bCs/>
        </w:rPr>
        <w:t>Foster safe and connected communities</w:t>
      </w:r>
      <w:r w:rsidR="00A21932" w:rsidRPr="00BD77D8">
        <w:rPr>
          <w:rFonts w:eastAsia="Calibri"/>
          <w:b/>
          <w:bCs/>
        </w:rPr>
        <w:t xml:space="preserve"> by:</w:t>
      </w:r>
    </w:p>
    <w:p w14:paraId="76F46101" w14:textId="24C810E7" w:rsidR="0033652B" w:rsidRPr="00BD77D8" w:rsidRDefault="006F5B4F" w:rsidP="0033652B">
      <w:pPr>
        <w:pStyle w:val="ListBullet"/>
      </w:pPr>
      <w:bookmarkStart w:id="260" w:name="_Toc43444790"/>
      <w:r w:rsidRPr="00BD77D8">
        <w:t xml:space="preserve">providing ongoing </w:t>
      </w:r>
      <w:r w:rsidR="00D44AFF" w:rsidRPr="00BD77D8">
        <w:t>s</w:t>
      </w:r>
      <w:r w:rsidR="0033652B" w:rsidRPr="00BD77D8">
        <w:t>upport</w:t>
      </w:r>
      <w:r w:rsidRPr="00BD77D8">
        <w:t xml:space="preserve"> for</w:t>
      </w:r>
      <w:r w:rsidR="0033652B" w:rsidRPr="00BD77D8">
        <w:t xml:space="preserve"> the implementation of the </w:t>
      </w:r>
      <w:r w:rsidR="0033652B" w:rsidRPr="00BD77D8">
        <w:rPr>
          <w:i/>
          <w:iCs/>
        </w:rPr>
        <w:t>Domestic and Family Violence Prevention Strategy 2016–2026</w:t>
      </w:r>
      <w:r w:rsidR="0033652B" w:rsidRPr="00BD77D8">
        <w:t xml:space="preserve">, and the strategies within </w:t>
      </w:r>
      <w:r w:rsidR="0033652B" w:rsidRPr="00BD77D8">
        <w:rPr>
          <w:i/>
          <w:iCs/>
        </w:rPr>
        <w:t xml:space="preserve">Queensland’s Framework for Action — Reshaping our approach to Aboriginal and Torres Strait Islander domestic and family violence, </w:t>
      </w:r>
      <w:r w:rsidR="0033652B" w:rsidRPr="00BD77D8">
        <w:t>and</w:t>
      </w:r>
      <w:r w:rsidR="0033652B" w:rsidRPr="00BD77D8">
        <w:rPr>
          <w:i/>
          <w:iCs/>
        </w:rPr>
        <w:t xml:space="preserve"> Queensland’s Plan to respond to domestic and family violence against people with disability</w:t>
      </w:r>
      <w:r w:rsidR="0033652B" w:rsidRPr="00BD77D8">
        <w:t xml:space="preserve"> </w:t>
      </w:r>
    </w:p>
    <w:p w14:paraId="183A5C13" w14:textId="746B9F9C" w:rsidR="0033652B" w:rsidRPr="00BD77D8" w:rsidRDefault="00D44AFF" w:rsidP="0033652B">
      <w:pPr>
        <w:pStyle w:val="ListBullet"/>
      </w:pPr>
      <w:r w:rsidRPr="00BD77D8">
        <w:t>w</w:t>
      </w:r>
      <w:r w:rsidR="0033652B" w:rsidRPr="00BD77D8">
        <w:t>ork</w:t>
      </w:r>
      <w:r w:rsidRPr="00BD77D8">
        <w:t>ing</w:t>
      </w:r>
      <w:r w:rsidR="0033652B" w:rsidRPr="00BD77D8">
        <w:t xml:space="preserve"> with relevant Ministers and departments to implement the renewed approach to alcohol management in Aboriginal and Torres Strait Islander communities; </w:t>
      </w:r>
      <w:r w:rsidR="00421059" w:rsidRPr="00BD77D8">
        <w:t xml:space="preserve">and </w:t>
      </w:r>
      <w:r w:rsidR="0033652B" w:rsidRPr="00BD77D8">
        <w:t>supporting timely responses and community-led strategies that promote a safe, regulated supply of alcohol</w:t>
      </w:r>
    </w:p>
    <w:p w14:paraId="11EB105C" w14:textId="273AC55D" w:rsidR="0033652B" w:rsidRPr="00BD77D8" w:rsidRDefault="00D44AFF" w:rsidP="0033652B">
      <w:pPr>
        <w:pStyle w:val="ListBullet"/>
      </w:pPr>
      <w:r w:rsidRPr="00BD77D8">
        <w:t>s</w:t>
      </w:r>
      <w:r w:rsidR="0033652B" w:rsidRPr="00BD77D8">
        <w:t>upport</w:t>
      </w:r>
      <w:r w:rsidRPr="00BD77D8">
        <w:t>ing</w:t>
      </w:r>
      <w:r w:rsidR="0033652B" w:rsidRPr="00BD77D8">
        <w:t xml:space="preserve"> activities that promote reconciliation through the development and monitoring of the </w:t>
      </w:r>
      <w:r w:rsidR="0033652B" w:rsidRPr="00BD77D8">
        <w:rPr>
          <w:i/>
          <w:iCs/>
        </w:rPr>
        <w:t>Queensland Government Reconciliation Action Plan 2018–2022</w:t>
      </w:r>
      <w:r w:rsidR="0033652B" w:rsidRPr="00BD77D8">
        <w:t xml:space="preserve">, including the Celebrating Reconciliation Grants Program </w:t>
      </w:r>
    </w:p>
    <w:p w14:paraId="01DF4988" w14:textId="0B1A948E" w:rsidR="0033652B" w:rsidRPr="00BD77D8" w:rsidRDefault="00D44AFF" w:rsidP="0033652B">
      <w:pPr>
        <w:pStyle w:val="ListBullet"/>
      </w:pPr>
      <w:r w:rsidRPr="00BD77D8">
        <w:t>s</w:t>
      </w:r>
      <w:r w:rsidR="0033652B" w:rsidRPr="00BD77D8">
        <w:t>upport</w:t>
      </w:r>
      <w:r w:rsidRPr="00BD77D8">
        <w:t>ing</w:t>
      </w:r>
      <w:r w:rsidR="0033652B" w:rsidRPr="00BD77D8">
        <w:t xml:space="preserve"> communities to protect and value Aboriginal and Torres Strait Islander cultures and heritage by reviewing and administ</w:t>
      </w:r>
      <w:r w:rsidR="009A7619" w:rsidRPr="00BD77D8">
        <w:t>ering</w:t>
      </w:r>
      <w:r w:rsidR="0033652B" w:rsidRPr="00BD77D8">
        <w:t xml:space="preserve"> Queensland’s Cultural Heritage Acts</w:t>
      </w:r>
    </w:p>
    <w:p w14:paraId="6E148B0B" w14:textId="5EDF9B78" w:rsidR="0033652B" w:rsidRPr="00BD77D8" w:rsidRDefault="00D44AFF" w:rsidP="0033652B">
      <w:pPr>
        <w:pStyle w:val="ListBullet"/>
      </w:pPr>
      <w:r w:rsidRPr="00BD77D8">
        <w:t>c</w:t>
      </w:r>
      <w:r w:rsidR="0033652B" w:rsidRPr="00BD77D8">
        <w:t>ontinu</w:t>
      </w:r>
      <w:r w:rsidRPr="00BD77D8">
        <w:t>ing</w:t>
      </w:r>
      <w:r w:rsidR="0033652B" w:rsidRPr="00BD77D8">
        <w:t xml:space="preserve"> to provide assistance and research related to community and personal histories of Aboriginal</w:t>
      </w:r>
      <w:r w:rsidR="004C7FBB" w:rsidRPr="00BD77D8">
        <w:t xml:space="preserve"> peoples</w:t>
      </w:r>
      <w:r w:rsidR="0033652B" w:rsidRPr="00BD77D8">
        <w:t xml:space="preserve"> and Torres Strait Islander peoples </w:t>
      </w:r>
    </w:p>
    <w:p w14:paraId="5A790ADB" w14:textId="61076803" w:rsidR="001E5A9A" w:rsidRPr="00BD77D8" w:rsidRDefault="00D44AFF" w:rsidP="0033652B">
      <w:pPr>
        <w:pStyle w:val="ListBullet"/>
      </w:pPr>
      <w:r w:rsidRPr="00BD77D8">
        <w:t>p</w:t>
      </w:r>
      <w:r w:rsidR="0033652B" w:rsidRPr="00BD77D8">
        <w:t>artner</w:t>
      </w:r>
      <w:r w:rsidRPr="00BD77D8">
        <w:t>ing</w:t>
      </w:r>
      <w:r w:rsidR="0033652B" w:rsidRPr="00BD77D8">
        <w:t xml:space="preserve"> with community leadership to deliver community-led initiatives to improve Aboriginal and Torres Strait Islander people’s social and emotional wellbeing outcomes.</w:t>
      </w:r>
      <w:bookmarkEnd w:id="138"/>
      <w:r w:rsidR="001E5A9A" w:rsidRPr="00BD77D8">
        <w:br w:type="page"/>
      </w:r>
    </w:p>
    <w:p w14:paraId="1A53AA07" w14:textId="332B8FDA" w:rsidR="00B25CF3" w:rsidRPr="00BD77D8" w:rsidRDefault="00392640" w:rsidP="005A62CB">
      <w:pPr>
        <w:pStyle w:val="Heading1"/>
        <w:rPr>
          <w:color w:val="auto"/>
        </w:rPr>
      </w:pPr>
      <w:bookmarkStart w:id="261" w:name="_Toc78287397"/>
      <w:bookmarkStart w:id="262" w:name="_Toc78355804"/>
      <w:bookmarkStart w:id="263" w:name="_Toc113544396"/>
      <w:bookmarkStart w:id="264" w:name="_Hlk115352578"/>
      <w:r w:rsidRPr="00BD77D8">
        <w:rPr>
          <w:color w:val="auto"/>
        </w:rPr>
        <w:lastRenderedPageBreak/>
        <w:t xml:space="preserve">05 </w:t>
      </w:r>
      <w:r w:rsidR="00B25CF3" w:rsidRPr="00BD77D8">
        <w:rPr>
          <w:color w:val="auto"/>
        </w:rPr>
        <w:t>Strengthen capability, innovation and governance</w:t>
      </w:r>
      <w:bookmarkEnd w:id="260"/>
      <w:bookmarkEnd w:id="261"/>
      <w:bookmarkEnd w:id="262"/>
      <w:bookmarkEnd w:id="263"/>
    </w:p>
    <w:p w14:paraId="4BD22125" w14:textId="77777777" w:rsidR="00A47407" w:rsidRPr="00BD77D8" w:rsidRDefault="00A47407" w:rsidP="0018616D">
      <w:pPr>
        <w:pStyle w:val="Heading3"/>
      </w:pPr>
      <w:r w:rsidRPr="00BD77D8">
        <w:t>DELIVERED DEPARTMENTAL OBJECTIVES</w:t>
      </w:r>
    </w:p>
    <w:p w14:paraId="16595D18" w14:textId="50A992FC" w:rsidR="00A47407" w:rsidRPr="00BD77D8" w:rsidRDefault="00D12723" w:rsidP="00A47407">
      <w:pPr>
        <w:spacing w:before="240"/>
      </w:pPr>
      <w:r w:rsidRPr="00BD77D8">
        <w:t xml:space="preserve">ENABLED THE DEPARTMENT </w:t>
      </w:r>
      <w:r w:rsidR="00835E22" w:rsidRPr="00BD77D8">
        <w:t>TO RESPOND AND ADAPT TO CHANGING INTERNAL AND EXTERNAL CHALLENGES, AND TO ACHIEVE ITS STRATEGIC OBJECTIVES, BY:</w:t>
      </w:r>
      <w:r w:rsidRPr="00BD77D8">
        <w:t xml:space="preserve"> </w:t>
      </w:r>
    </w:p>
    <w:p w14:paraId="7D551C89" w14:textId="37CBE105" w:rsidR="00A47407" w:rsidRPr="00BD77D8" w:rsidRDefault="00D12723" w:rsidP="00A47407">
      <w:pPr>
        <w:pStyle w:val="ListBullet"/>
      </w:pPr>
      <w:r w:rsidRPr="00BD77D8">
        <w:rPr>
          <w:b/>
          <w:bCs/>
        </w:rPr>
        <w:t>STREN</w:t>
      </w:r>
      <w:r w:rsidR="00D93770" w:rsidRPr="00BD77D8">
        <w:rPr>
          <w:b/>
          <w:bCs/>
        </w:rPr>
        <w:t>G</w:t>
      </w:r>
      <w:r w:rsidRPr="00BD77D8">
        <w:rPr>
          <w:b/>
          <w:bCs/>
        </w:rPr>
        <w:t xml:space="preserve">THENING </w:t>
      </w:r>
      <w:r w:rsidRPr="00BD77D8">
        <w:t>CAPABILITY, INNOVATION AND GOVERNANCE</w:t>
      </w:r>
    </w:p>
    <w:p w14:paraId="29357B91" w14:textId="2E3D3207" w:rsidR="00B519D9" w:rsidRPr="00BD77D8" w:rsidRDefault="00B519D9" w:rsidP="0018616D">
      <w:pPr>
        <w:pStyle w:val="Heading2"/>
        <w:rPr>
          <w:b/>
          <w:bCs w:val="0"/>
          <w:color w:val="auto"/>
          <w:sz w:val="20"/>
          <w:szCs w:val="20"/>
        </w:rPr>
      </w:pPr>
      <w:bookmarkStart w:id="265" w:name="_Toc113544397"/>
      <w:r w:rsidRPr="00BD77D8">
        <w:rPr>
          <w:color w:val="auto"/>
        </w:rPr>
        <w:t>Our people</w:t>
      </w:r>
      <w:bookmarkEnd w:id="265"/>
      <w:r w:rsidR="00736E87" w:rsidRPr="00BD77D8">
        <w:rPr>
          <w:color w:val="auto"/>
        </w:rPr>
        <w:t xml:space="preserve"> </w:t>
      </w:r>
    </w:p>
    <w:p w14:paraId="03D23189" w14:textId="77777777" w:rsidR="00B519D9" w:rsidRPr="00BD77D8" w:rsidRDefault="00B519D9" w:rsidP="00B519D9">
      <w:pPr>
        <w:pStyle w:val="Heading3"/>
        <w:rPr>
          <w:rFonts w:eastAsia="Calibri"/>
        </w:rPr>
      </w:pPr>
      <w:r w:rsidRPr="00BD77D8">
        <w:rPr>
          <w:rFonts w:eastAsia="Calibri"/>
        </w:rPr>
        <w:t xml:space="preserve">Workforce profile </w:t>
      </w:r>
    </w:p>
    <w:p w14:paraId="31C30FAA" w14:textId="0DA3A70A" w:rsidR="00B519D9" w:rsidRPr="00BD77D8" w:rsidRDefault="00B519D9" w:rsidP="00B519D9">
      <w:r w:rsidRPr="00BD77D8">
        <w:t xml:space="preserve">Employees are our most valuable asset. Our people are a key component of leading change with a focus on improving the outcomes for seniors, people with disability and Aboriginal and Torres Strait Islander Queenslanders. </w:t>
      </w:r>
    </w:p>
    <w:p w14:paraId="233CBDC2" w14:textId="4CCFD35B" w:rsidR="00B519D9" w:rsidRPr="00BD77D8" w:rsidRDefault="00B519D9" w:rsidP="00B519D9">
      <w:r w:rsidRPr="00BD77D8">
        <w:t>The department’s SOLID values underpin all that we do and set the tone for our work. They set the scene for high</w:t>
      </w:r>
      <w:r w:rsidR="00C72EF1" w:rsidRPr="00BD77D8">
        <w:t>-</w:t>
      </w:r>
      <w:r w:rsidRPr="00BD77D8">
        <w:t xml:space="preserve">expectation relationships in which individual strengths and capabilities are acknowledged and valued. They encourage us to respectfully challenge ourselves and work together to create solutions and pathways to positive change. </w:t>
      </w:r>
    </w:p>
    <w:p w14:paraId="6C487C83" w14:textId="168A4342" w:rsidR="00B519D9" w:rsidRPr="00BD77D8" w:rsidRDefault="00B519D9" w:rsidP="00B519D9">
      <w:r w:rsidRPr="00BD77D8">
        <w:t>The department is committed to supporting a thriving workplace where all people feel safe, valued and respected, and where the principles of inclusion are strongly reflected in our culture and values</w:t>
      </w:r>
      <w:r w:rsidR="00C72EF1" w:rsidRPr="00BD77D8">
        <w:t xml:space="preserve">, as set out </w:t>
      </w:r>
      <w:r w:rsidRPr="00BD77D8">
        <w:t xml:space="preserve">in our </w:t>
      </w:r>
      <w:r w:rsidRPr="00BD77D8">
        <w:rPr>
          <w:i/>
          <w:iCs/>
        </w:rPr>
        <w:t>Inclusion and Diversity Strategy 2021</w:t>
      </w:r>
      <w:r w:rsidR="00C72EF1" w:rsidRPr="00BD77D8">
        <w:rPr>
          <w:i/>
          <w:iCs/>
        </w:rPr>
        <w:t>–</w:t>
      </w:r>
      <w:r w:rsidRPr="00BD77D8">
        <w:rPr>
          <w:i/>
          <w:iCs/>
        </w:rPr>
        <w:t>24.</w:t>
      </w:r>
      <w:r w:rsidRPr="00BD77D8">
        <w:t xml:space="preserve"> </w:t>
      </w:r>
    </w:p>
    <w:p w14:paraId="417FEBE2" w14:textId="3BC483C0" w:rsidR="000F7F6B" w:rsidRPr="00BD77D8" w:rsidRDefault="00873FC0" w:rsidP="000F7F6B">
      <w:pPr>
        <w:spacing w:after="120"/>
        <w:rPr>
          <w:b/>
          <w:bCs/>
        </w:rPr>
      </w:pPr>
      <w:r w:rsidRPr="00BD77D8">
        <w:rPr>
          <w:b/>
          <w:bCs/>
        </w:rPr>
        <w:t>Full-time equivalent employees</w:t>
      </w:r>
    </w:p>
    <w:p w14:paraId="34F48CD5" w14:textId="67B49414" w:rsidR="0016561A" w:rsidRPr="00BD77D8" w:rsidRDefault="00C72EF1" w:rsidP="00B47173">
      <w:pPr>
        <w:spacing w:after="120" w:line="240" w:lineRule="auto"/>
      </w:pPr>
      <w:r w:rsidRPr="00BD77D8">
        <w:t xml:space="preserve">The </w:t>
      </w:r>
      <w:r w:rsidR="000F7F6B" w:rsidRPr="00BD77D8">
        <w:t>S</w:t>
      </w:r>
      <w:r w:rsidR="003A4262" w:rsidRPr="00BD77D8">
        <w:t xml:space="preserve">ervice </w:t>
      </w:r>
      <w:r w:rsidR="001C6E8F" w:rsidRPr="00BD77D8">
        <w:t>D</w:t>
      </w:r>
      <w:r w:rsidR="003A4262" w:rsidRPr="00BD77D8">
        <w:t xml:space="preserve">elivery </w:t>
      </w:r>
      <w:r w:rsidR="001C6E8F" w:rsidRPr="00BD77D8">
        <w:t xml:space="preserve">Statement </w:t>
      </w:r>
      <w:r w:rsidR="003A4262" w:rsidRPr="00BD77D8">
        <w:t>breakdown of full-time equivalent employees as at 30</w:t>
      </w:r>
      <w:r w:rsidR="0016561A" w:rsidRPr="00BD77D8">
        <w:t xml:space="preserve"> June 202</w:t>
      </w:r>
      <w:r w:rsidR="001C5646" w:rsidRPr="00BD77D8">
        <w:t>2</w:t>
      </w:r>
      <w:r w:rsidR="0016561A" w:rsidRPr="00BD77D8">
        <w:t xml:space="preserve"> is highlighted below</w:t>
      </w:r>
      <w:r w:rsidRPr="00BD77D8">
        <w:t>.</w:t>
      </w:r>
    </w:p>
    <w:p w14:paraId="153E8BBD" w14:textId="13E65DAE" w:rsidR="00B53D4D" w:rsidRPr="00BD77D8" w:rsidRDefault="00B53D4D" w:rsidP="00AF1866">
      <w:pPr>
        <w:spacing w:after="120" w:line="240" w:lineRule="auto"/>
      </w:pPr>
      <w:r w:rsidRPr="00BD77D8">
        <w:t>Workforce profile data</w:t>
      </w:r>
      <w:r w:rsidR="0018616D" w:rsidRPr="00BD77D8">
        <w:t>:</w:t>
      </w:r>
    </w:p>
    <w:tbl>
      <w:tblPr>
        <w:tblStyle w:val="TableGrid"/>
        <w:tblW w:w="0" w:type="auto"/>
        <w:tblLook w:val="04A0" w:firstRow="1" w:lastRow="0" w:firstColumn="1" w:lastColumn="0" w:noHBand="0" w:noVBand="1"/>
      </w:tblPr>
      <w:tblGrid>
        <w:gridCol w:w="8358"/>
        <w:gridCol w:w="2101"/>
      </w:tblGrid>
      <w:tr w:rsidR="00BD77D8" w:rsidRPr="00BD77D8" w14:paraId="0F8DDB7F" w14:textId="77777777" w:rsidTr="00440E79">
        <w:trPr>
          <w:trHeight w:val="728"/>
        </w:trPr>
        <w:tc>
          <w:tcPr>
            <w:tcW w:w="8359" w:type="dxa"/>
            <w:shd w:val="clear" w:color="auto" w:fill="F2F2F2" w:themeFill="background1" w:themeFillShade="F2"/>
          </w:tcPr>
          <w:p w14:paraId="46712F23" w14:textId="6AFC762A" w:rsidR="00B53D4D" w:rsidRPr="00BD77D8" w:rsidRDefault="00873FC0" w:rsidP="001F37FE">
            <w:pPr>
              <w:spacing w:after="120" w:line="240" w:lineRule="auto"/>
              <w:rPr>
                <w:rFonts w:ascii="Arial" w:hAnsi="Arial"/>
                <w:b/>
                <w:bCs/>
              </w:rPr>
            </w:pPr>
            <w:r w:rsidRPr="00BD77D8">
              <w:rPr>
                <w:rFonts w:ascii="Arial" w:hAnsi="Arial"/>
                <w:b/>
                <w:bCs/>
              </w:rPr>
              <w:t>Service area</w:t>
            </w:r>
          </w:p>
        </w:tc>
        <w:tc>
          <w:tcPr>
            <w:tcW w:w="2101" w:type="dxa"/>
            <w:shd w:val="clear" w:color="auto" w:fill="F2F2F2" w:themeFill="background1" w:themeFillShade="F2"/>
          </w:tcPr>
          <w:p w14:paraId="56E884D7" w14:textId="658C6D6C" w:rsidR="001C6E8F" w:rsidRPr="00BD77D8" w:rsidRDefault="001C6E8F" w:rsidP="001F37FE">
            <w:pPr>
              <w:spacing w:after="120" w:line="240" w:lineRule="auto"/>
              <w:jc w:val="center"/>
              <w:rPr>
                <w:rFonts w:ascii="Arial" w:hAnsi="Arial"/>
                <w:b/>
                <w:bCs/>
              </w:rPr>
            </w:pPr>
            <w:r w:rsidRPr="00BD77D8">
              <w:rPr>
                <w:rFonts w:ascii="Arial" w:hAnsi="Arial"/>
                <w:b/>
                <w:bCs/>
              </w:rPr>
              <w:t>2021</w:t>
            </w:r>
            <w:r w:rsidR="00C72EF1" w:rsidRPr="00BD77D8">
              <w:rPr>
                <w:rFonts w:ascii="Arial" w:hAnsi="Arial"/>
                <w:b/>
                <w:bCs/>
              </w:rPr>
              <w:t>–</w:t>
            </w:r>
            <w:r w:rsidR="00322382" w:rsidRPr="00BD77D8">
              <w:rPr>
                <w:rFonts w:ascii="Arial" w:hAnsi="Arial"/>
                <w:b/>
                <w:bCs/>
              </w:rPr>
              <w:t>20</w:t>
            </w:r>
            <w:r w:rsidRPr="00BD77D8">
              <w:rPr>
                <w:rFonts w:ascii="Arial" w:hAnsi="Arial"/>
                <w:b/>
                <w:bCs/>
              </w:rPr>
              <w:t>22</w:t>
            </w:r>
          </w:p>
          <w:p w14:paraId="7F2A29AD" w14:textId="7CB50836" w:rsidR="00B53D4D" w:rsidRPr="00BD77D8" w:rsidRDefault="00B53D4D" w:rsidP="001F37FE">
            <w:pPr>
              <w:spacing w:after="120" w:line="240" w:lineRule="auto"/>
              <w:jc w:val="center"/>
              <w:rPr>
                <w:rFonts w:ascii="Arial" w:hAnsi="Arial"/>
                <w:b/>
                <w:bCs/>
              </w:rPr>
            </w:pPr>
            <w:r w:rsidRPr="00BD77D8">
              <w:rPr>
                <w:rFonts w:ascii="Arial" w:hAnsi="Arial"/>
                <w:b/>
                <w:bCs/>
              </w:rPr>
              <w:t>FTE</w:t>
            </w:r>
            <w:r w:rsidR="00736E87" w:rsidRPr="00BD77D8">
              <w:rPr>
                <w:rFonts w:ascii="Arial" w:hAnsi="Arial"/>
                <w:b/>
                <w:bCs/>
              </w:rPr>
              <w:t xml:space="preserve"> </w:t>
            </w:r>
          </w:p>
        </w:tc>
      </w:tr>
      <w:tr w:rsidR="00BD77D8" w:rsidRPr="00BD77D8" w14:paraId="47673FD0" w14:textId="77777777" w:rsidTr="00873FC0">
        <w:tc>
          <w:tcPr>
            <w:tcW w:w="8359" w:type="dxa"/>
          </w:tcPr>
          <w:p w14:paraId="5F80CB3E" w14:textId="3AFBEF52" w:rsidR="001C6E8F" w:rsidRPr="00BD77D8" w:rsidRDefault="001C6E8F" w:rsidP="001C6E8F">
            <w:pPr>
              <w:rPr>
                <w:rFonts w:ascii="Arial" w:hAnsi="Arial"/>
              </w:rPr>
            </w:pPr>
            <w:r w:rsidRPr="00BD77D8">
              <w:rPr>
                <w:rFonts w:ascii="Arial" w:hAnsi="Arial"/>
              </w:rPr>
              <w:t>Seniors and Disability Services</w:t>
            </w:r>
          </w:p>
        </w:tc>
        <w:tc>
          <w:tcPr>
            <w:tcW w:w="2101" w:type="dxa"/>
            <w:vAlign w:val="center"/>
          </w:tcPr>
          <w:p w14:paraId="6B02042E" w14:textId="3C7E0AC3" w:rsidR="001C6E8F" w:rsidRPr="00BD77D8" w:rsidRDefault="001C6E8F" w:rsidP="00873FC0">
            <w:pPr>
              <w:jc w:val="center"/>
              <w:rPr>
                <w:rFonts w:ascii="Arial" w:hAnsi="Arial"/>
              </w:rPr>
            </w:pPr>
            <w:r w:rsidRPr="00BD77D8">
              <w:rPr>
                <w:rFonts w:ascii="Arial" w:hAnsi="Arial"/>
              </w:rPr>
              <w:t>1</w:t>
            </w:r>
            <w:r w:rsidR="00873FC0" w:rsidRPr="00BD77D8">
              <w:rPr>
                <w:rFonts w:ascii="Arial" w:hAnsi="Arial"/>
              </w:rPr>
              <w:t>,</w:t>
            </w:r>
            <w:r w:rsidRPr="00BD77D8">
              <w:rPr>
                <w:rFonts w:ascii="Arial" w:hAnsi="Arial"/>
              </w:rPr>
              <w:t>648</w:t>
            </w:r>
          </w:p>
        </w:tc>
      </w:tr>
      <w:tr w:rsidR="00BD77D8" w:rsidRPr="00BD77D8" w14:paraId="788F8FFA" w14:textId="77777777" w:rsidTr="00873FC0">
        <w:tc>
          <w:tcPr>
            <w:tcW w:w="8359" w:type="dxa"/>
          </w:tcPr>
          <w:p w14:paraId="68A9D43E" w14:textId="4C9DE879" w:rsidR="001C6E8F" w:rsidRPr="00BD77D8" w:rsidRDefault="001C6E8F" w:rsidP="001C6E8F">
            <w:pPr>
              <w:rPr>
                <w:rFonts w:ascii="Arial" w:hAnsi="Arial"/>
              </w:rPr>
            </w:pPr>
            <w:r w:rsidRPr="00BD77D8">
              <w:rPr>
                <w:rFonts w:ascii="Arial" w:hAnsi="Arial"/>
              </w:rPr>
              <w:t>Aboriginal and Torres Strait Islander Partnerships Services</w:t>
            </w:r>
          </w:p>
        </w:tc>
        <w:tc>
          <w:tcPr>
            <w:tcW w:w="2101" w:type="dxa"/>
            <w:vAlign w:val="center"/>
          </w:tcPr>
          <w:p w14:paraId="5640371F" w14:textId="60EC4AFD" w:rsidR="001C6E8F" w:rsidRPr="00BD77D8" w:rsidRDefault="001C6E8F" w:rsidP="00873FC0">
            <w:pPr>
              <w:jc w:val="center"/>
              <w:rPr>
                <w:rFonts w:ascii="Arial" w:hAnsi="Arial"/>
              </w:rPr>
            </w:pPr>
            <w:r w:rsidRPr="00BD77D8">
              <w:rPr>
                <w:rFonts w:ascii="Arial" w:hAnsi="Arial"/>
              </w:rPr>
              <w:t>311</w:t>
            </w:r>
          </w:p>
        </w:tc>
      </w:tr>
      <w:tr w:rsidR="00BD77D8" w:rsidRPr="00BD77D8" w14:paraId="3A99614B" w14:textId="77777777" w:rsidTr="00873FC0">
        <w:tc>
          <w:tcPr>
            <w:tcW w:w="8359" w:type="dxa"/>
          </w:tcPr>
          <w:p w14:paraId="7A89F22F" w14:textId="77777777" w:rsidR="001C6E8F" w:rsidRPr="00BD77D8" w:rsidRDefault="001C6E8F" w:rsidP="001C6E8F">
            <w:pPr>
              <w:rPr>
                <w:rFonts w:ascii="Arial" w:hAnsi="Arial"/>
              </w:rPr>
            </w:pPr>
            <w:r w:rsidRPr="00BD77D8">
              <w:rPr>
                <w:rFonts w:ascii="Arial" w:hAnsi="Arial"/>
              </w:rPr>
              <w:t>Total FTE for Department of Seniors, Disability Services and Aboriginal and Torres Strait Islander Partnerships</w:t>
            </w:r>
          </w:p>
          <w:p w14:paraId="502A3E2C" w14:textId="379115F8" w:rsidR="00CD753A" w:rsidRPr="00BD77D8" w:rsidRDefault="00CD753A" w:rsidP="00CD753A">
            <w:pPr>
              <w:pStyle w:val="ListBullet"/>
              <w:numPr>
                <w:ilvl w:val="0"/>
                <w:numId w:val="0"/>
              </w:numPr>
              <w:ind w:left="360" w:hanging="360"/>
              <w:rPr>
                <w:rFonts w:ascii="Arial" w:hAnsi="Arial"/>
                <w:sz w:val="18"/>
                <w:szCs w:val="18"/>
              </w:rPr>
            </w:pPr>
            <w:r w:rsidRPr="00BD77D8">
              <w:rPr>
                <w:rFonts w:ascii="Arial" w:hAnsi="Arial"/>
                <w:sz w:val="18"/>
                <w:szCs w:val="18"/>
              </w:rPr>
              <w:t xml:space="preserve">*Number based on the last full pay fortnight – ending 17 June 2022. </w:t>
            </w:r>
          </w:p>
        </w:tc>
        <w:tc>
          <w:tcPr>
            <w:tcW w:w="2101" w:type="dxa"/>
            <w:vAlign w:val="center"/>
          </w:tcPr>
          <w:p w14:paraId="7FA0102C" w14:textId="23B04AC1" w:rsidR="001C6E8F" w:rsidRPr="00BD77D8" w:rsidRDefault="001C6E8F" w:rsidP="00873FC0">
            <w:pPr>
              <w:jc w:val="center"/>
              <w:rPr>
                <w:rFonts w:ascii="Arial" w:hAnsi="Arial"/>
              </w:rPr>
            </w:pPr>
            <w:r w:rsidRPr="00BD77D8">
              <w:rPr>
                <w:rFonts w:ascii="Arial" w:hAnsi="Arial"/>
              </w:rPr>
              <w:t>1</w:t>
            </w:r>
            <w:r w:rsidR="00873FC0" w:rsidRPr="00BD77D8">
              <w:rPr>
                <w:rFonts w:ascii="Arial" w:hAnsi="Arial"/>
              </w:rPr>
              <w:t>,</w:t>
            </w:r>
            <w:r w:rsidRPr="00BD77D8">
              <w:rPr>
                <w:rFonts w:ascii="Arial" w:hAnsi="Arial"/>
              </w:rPr>
              <w:t>959</w:t>
            </w:r>
            <w:r w:rsidR="00CD753A" w:rsidRPr="00BD77D8">
              <w:rPr>
                <w:rFonts w:ascii="Arial" w:hAnsi="Arial"/>
              </w:rPr>
              <w:t>*</w:t>
            </w:r>
          </w:p>
        </w:tc>
      </w:tr>
    </w:tbl>
    <w:p w14:paraId="6BB7F1BD" w14:textId="3D30864F" w:rsidR="000F7F6B" w:rsidRPr="00BD77D8" w:rsidRDefault="00873FC0" w:rsidP="00B47173">
      <w:pPr>
        <w:spacing w:before="360" w:after="120" w:line="240" w:lineRule="auto"/>
        <w:rPr>
          <w:rFonts w:eastAsia="Calibri"/>
          <w:b/>
          <w:bCs/>
          <w:lang w:val="en-US" w:eastAsia="en-US"/>
        </w:rPr>
      </w:pPr>
      <w:r w:rsidRPr="00BD77D8">
        <w:rPr>
          <w:rFonts w:eastAsia="Calibri"/>
          <w:b/>
          <w:bCs/>
          <w:lang w:val="en-US" w:eastAsia="en-US"/>
        </w:rPr>
        <w:t>Employment diversity</w:t>
      </w:r>
    </w:p>
    <w:p w14:paraId="3E0F1835" w14:textId="1AB15EFB" w:rsidR="0016561A" w:rsidRPr="00BD77D8" w:rsidRDefault="00B53D4D" w:rsidP="00AF1866">
      <w:pPr>
        <w:spacing w:after="120" w:line="240" w:lineRule="auto"/>
        <w:rPr>
          <w:rFonts w:eastAsia="Calibri"/>
          <w:vertAlign w:val="superscript"/>
          <w:lang w:val="en-US" w:eastAsia="en-US"/>
        </w:rPr>
      </w:pPr>
      <w:r w:rsidRPr="00BD77D8">
        <w:rPr>
          <w:rFonts w:eastAsia="Calibri"/>
          <w:lang w:val="en-US" w:eastAsia="en-US"/>
        </w:rPr>
        <w:t>Target group data</w:t>
      </w:r>
      <w:r w:rsidRPr="00BD77D8">
        <w:rPr>
          <w:rFonts w:eastAsia="Calibri"/>
          <w:vertAlign w:val="superscript"/>
          <w:lang w:val="en-US" w:eastAsia="en-US"/>
        </w:rPr>
        <w:t>1</w:t>
      </w:r>
    </w:p>
    <w:tbl>
      <w:tblPr>
        <w:tblStyle w:val="TableGrid16"/>
        <w:tblW w:w="10485" w:type="dxa"/>
        <w:tblLook w:val="04A0" w:firstRow="1" w:lastRow="0" w:firstColumn="1" w:lastColumn="0" w:noHBand="0" w:noVBand="1"/>
      </w:tblPr>
      <w:tblGrid>
        <w:gridCol w:w="3964"/>
        <w:gridCol w:w="3119"/>
        <w:gridCol w:w="3402"/>
      </w:tblGrid>
      <w:tr w:rsidR="00BD77D8" w:rsidRPr="00BD77D8" w14:paraId="00453C39" w14:textId="77777777" w:rsidTr="00440E79">
        <w:tc>
          <w:tcPr>
            <w:tcW w:w="3964" w:type="dxa"/>
            <w:shd w:val="clear" w:color="auto" w:fill="F2F2F2" w:themeFill="background1" w:themeFillShade="F2"/>
          </w:tcPr>
          <w:p w14:paraId="630CF0AE" w14:textId="77777777" w:rsidR="000B63FC" w:rsidRPr="00BD77D8" w:rsidRDefault="000B63FC" w:rsidP="000B63FC">
            <w:pPr>
              <w:spacing w:after="0" w:line="240" w:lineRule="auto"/>
              <w:rPr>
                <w:rFonts w:ascii="Arial" w:hAnsi="Arial"/>
                <w:b/>
                <w:bCs/>
              </w:rPr>
            </w:pPr>
            <w:r w:rsidRPr="00BD77D8">
              <w:rPr>
                <w:rFonts w:ascii="Arial" w:hAnsi="Arial"/>
                <w:b/>
                <w:bCs/>
              </w:rPr>
              <w:t>Gender</w:t>
            </w:r>
          </w:p>
        </w:tc>
        <w:tc>
          <w:tcPr>
            <w:tcW w:w="3119" w:type="dxa"/>
            <w:shd w:val="clear" w:color="auto" w:fill="F2F2F2" w:themeFill="background1" w:themeFillShade="F2"/>
          </w:tcPr>
          <w:p w14:paraId="027A2825" w14:textId="77777777" w:rsidR="000B63FC" w:rsidRPr="00BD77D8" w:rsidRDefault="000B63FC" w:rsidP="005A2A39">
            <w:pPr>
              <w:spacing w:after="0" w:line="240" w:lineRule="auto"/>
              <w:jc w:val="center"/>
              <w:rPr>
                <w:rFonts w:ascii="Arial" w:hAnsi="Arial"/>
                <w:b/>
                <w:bCs/>
              </w:rPr>
            </w:pPr>
            <w:r w:rsidRPr="00BD77D8">
              <w:rPr>
                <w:rFonts w:ascii="Arial" w:hAnsi="Arial"/>
                <w:b/>
                <w:bCs/>
              </w:rPr>
              <w:t>Number</w:t>
            </w:r>
          </w:p>
          <w:p w14:paraId="2362BA42" w14:textId="77777777" w:rsidR="000B63FC" w:rsidRPr="00BD77D8" w:rsidRDefault="000B63FC" w:rsidP="005A2A39">
            <w:pPr>
              <w:spacing w:after="0" w:line="240" w:lineRule="auto"/>
              <w:jc w:val="center"/>
              <w:rPr>
                <w:rFonts w:ascii="Arial" w:hAnsi="Arial"/>
                <w:b/>
                <w:bCs/>
              </w:rPr>
            </w:pPr>
            <w:r w:rsidRPr="00BD77D8">
              <w:rPr>
                <w:rFonts w:ascii="Arial" w:hAnsi="Arial"/>
                <w:b/>
                <w:bCs/>
              </w:rPr>
              <w:t>(Headcount)</w:t>
            </w:r>
          </w:p>
        </w:tc>
        <w:tc>
          <w:tcPr>
            <w:tcW w:w="3402" w:type="dxa"/>
            <w:shd w:val="clear" w:color="auto" w:fill="F2F2F2" w:themeFill="background1" w:themeFillShade="F2"/>
          </w:tcPr>
          <w:p w14:paraId="1D902CE7" w14:textId="77777777" w:rsidR="000B63FC" w:rsidRPr="00BD77D8" w:rsidRDefault="000B63FC" w:rsidP="005A2A39">
            <w:pPr>
              <w:spacing w:after="0" w:line="240" w:lineRule="auto"/>
              <w:jc w:val="center"/>
              <w:rPr>
                <w:rFonts w:ascii="Arial" w:hAnsi="Arial"/>
                <w:b/>
                <w:bCs/>
              </w:rPr>
            </w:pPr>
            <w:r w:rsidRPr="00BD77D8">
              <w:rPr>
                <w:rFonts w:ascii="Arial" w:hAnsi="Arial"/>
                <w:b/>
                <w:bCs/>
              </w:rPr>
              <w:t>Percentage of total workforce</w:t>
            </w:r>
          </w:p>
          <w:p w14:paraId="3F1769DE" w14:textId="77777777" w:rsidR="000B63FC" w:rsidRPr="00BD77D8" w:rsidRDefault="000B63FC" w:rsidP="005A2A39">
            <w:pPr>
              <w:spacing w:after="0" w:line="240" w:lineRule="auto"/>
              <w:jc w:val="center"/>
              <w:rPr>
                <w:rFonts w:ascii="Arial" w:hAnsi="Arial"/>
                <w:b/>
                <w:bCs/>
              </w:rPr>
            </w:pPr>
            <w:r w:rsidRPr="00BD77D8">
              <w:rPr>
                <w:rFonts w:ascii="Arial" w:hAnsi="Arial"/>
                <w:b/>
                <w:bCs/>
              </w:rPr>
              <w:t>(Calculated on headcount)</w:t>
            </w:r>
          </w:p>
        </w:tc>
      </w:tr>
      <w:tr w:rsidR="00BD77D8" w:rsidRPr="00BD77D8" w14:paraId="1C5DFF21" w14:textId="77777777" w:rsidTr="005A2A39">
        <w:tc>
          <w:tcPr>
            <w:tcW w:w="3964" w:type="dxa"/>
          </w:tcPr>
          <w:p w14:paraId="7B2410A0" w14:textId="77777777" w:rsidR="000B63FC" w:rsidRPr="00BD77D8" w:rsidRDefault="000B63FC" w:rsidP="0018094A">
            <w:pPr>
              <w:rPr>
                <w:rFonts w:ascii="Arial" w:hAnsi="Arial"/>
              </w:rPr>
            </w:pPr>
            <w:r w:rsidRPr="00BD77D8">
              <w:rPr>
                <w:rFonts w:ascii="Arial" w:hAnsi="Arial"/>
              </w:rPr>
              <w:t>Woman</w:t>
            </w:r>
          </w:p>
        </w:tc>
        <w:tc>
          <w:tcPr>
            <w:tcW w:w="3119" w:type="dxa"/>
          </w:tcPr>
          <w:p w14:paraId="319EB3A0" w14:textId="77777777" w:rsidR="000B63FC" w:rsidRPr="00BD77D8" w:rsidRDefault="000B63FC" w:rsidP="005A2A39">
            <w:pPr>
              <w:spacing w:after="0" w:line="240" w:lineRule="auto"/>
              <w:jc w:val="center"/>
              <w:rPr>
                <w:rFonts w:ascii="Arial" w:hAnsi="Arial"/>
              </w:rPr>
            </w:pPr>
            <w:r w:rsidRPr="00BD77D8">
              <w:rPr>
                <w:rFonts w:ascii="Arial" w:hAnsi="Arial"/>
              </w:rPr>
              <w:t>1,321</w:t>
            </w:r>
          </w:p>
        </w:tc>
        <w:tc>
          <w:tcPr>
            <w:tcW w:w="3402" w:type="dxa"/>
          </w:tcPr>
          <w:p w14:paraId="305DDFC3" w14:textId="77777777" w:rsidR="000B63FC" w:rsidRPr="00BD77D8" w:rsidRDefault="000B63FC" w:rsidP="005A2A39">
            <w:pPr>
              <w:spacing w:after="0" w:line="240" w:lineRule="auto"/>
              <w:jc w:val="center"/>
              <w:rPr>
                <w:rFonts w:ascii="Arial" w:hAnsi="Arial"/>
              </w:rPr>
            </w:pPr>
            <w:r w:rsidRPr="00BD77D8">
              <w:rPr>
                <w:rFonts w:ascii="Arial" w:hAnsi="Arial"/>
              </w:rPr>
              <w:t>66.38%</w:t>
            </w:r>
          </w:p>
        </w:tc>
      </w:tr>
      <w:tr w:rsidR="00BD77D8" w:rsidRPr="00BD77D8" w14:paraId="357FC9C3" w14:textId="77777777" w:rsidTr="005A2A39">
        <w:tc>
          <w:tcPr>
            <w:tcW w:w="3964" w:type="dxa"/>
          </w:tcPr>
          <w:p w14:paraId="5D114CCF" w14:textId="77777777" w:rsidR="000B63FC" w:rsidRPr="00BD77D8" w:rsidRDefault="000B63FC" w:rsidP="0018094A">
            <w:pPr>
              <w:rPr>
                <w:rFonts w:ascii="Arial" w:hAnsi="Arial"/>
              </w:rPr>
            </w:pPr>
            <w:r w:rsidRPr="00BD77D8">
              <w:rPr>
                <w:rFonts w:ascii="Arial" w:hAnsi="Arial"/>
              </w:rPr>
              <w:t>Man</w:t>
            </w:r>
          </w:p>
        </w:tc>
        <w:tc>
          <w:tcPr>
            <w:tcW w:w="3119" w:type="dxa"/>
          </w:tcPr>
          <w:p w14:paraId="7BBC8766" w14:textId="77777777" w:rsidR="000B63FC" w:rsidRPr="00BD77D8" w:rsidRDefault="000B63FC" w:rsidP="005A2A39">
            <w:pPr>
              <w:spacing w:after="0" w:line="240" w:lineRule="auto"/>
              <w:jc w:val="center"/>
              <w:rPr>
                <w:rFonts w:ascii="Arial" w:hAnsi="Arial"/>
              </w:rPr>
            </w:pPr>
            <w:r w:rsidRPr="00BD77D8">
              <w:rPr>
                <w:rFonts w:ascii="Arial" w:hAnsi="Arial"/>
              </w:rPr>
              <w:t>667</w:t>
            </w:r>
          </w:p>
        </w:tc>
        <w:tc>
          <w:tcPr>
            <w:tcW w:w="3402" w:type="dxa"/>
          </w:tcPr>
          <w:p w14:paraId="0AA34AF8" w14:textId="77777777" w:rsidR="000B63FC" w:rsidRPr="00BD77D8" w:rsidRDefault="000B63FC" w:rsidP="005A2A39">
            <w:pPr>
              <w:spacing w:after="0" w:line="240" w:lineRule="auto"/>
              <w:jc w:val="center"/>
              <w:rPr>
                <w:rFonts w:ascii="Arial" w:hAnsi="Arial"/>
              </w:rPr>
            </w:pPr>
            <w:r w:rsidRPr="00BD77D8">
              <w:rPr>
                <w:rFonts w:ascii="Arial" w:hAnsi="Arial"/>
              </w:rPr>
              <w:t>33.52%</w:t>
            </w:r>
          </w:p>
        </w:tc>
      </w:tr>
      <w:tr w:rsidR="000B63FC" w:rsidRPr="00BD77D8" w14:paraId="2465F412" w14:textId="77777777" w:rsidTr="005A2A39">
        <w:tc>
          <w:tcPr>
            <w:tcW w:w="3964" w:type="dxa"/>
            <w:tcBorders>
              <w:bottom w:val="single" w:sz="4" w:space="0" w:color="auto"/>
            </w:tcBorders>
          </w:tcPr>
          <w:p w14:paraId="026C0420" w14:textId="77777777" w:rsidR="000B63FC" w:rsidRPr="00BD77D8" w:rsidRDefault="000B63FC" w:rsidP="0018094A">
            <w:pPr>
              <w:rPr>
                <w:rFonts w:ascii="Arial" w:hAnsi="Arial"/>
              </w:rPr>
            </w:pPr>
            <w:r w:rsidRPr="00BD77D8">
              <w:rPr>
                <w:rFonts w:ascii="Arial" w:hAnsi="Arial"/>
              </w:rPr>
              <w:t>Non-binary</w:t>
            </w:r>
          </w:p>
        </w:tc>
        <w:tc>
          <w:tcPr>
            <w:tcW w:w="3119" w:type="dxa"/>
          </w:tcPr>
          <w:p w14:paraId="04E701A4" w14:textId="77777777" w:rsidR="000B63FC" w:rsidRPr="00BD77D8" w:rsidRDefault="000B63FC" w:rsidP="005A2A39">
            <w:pPr>
              <w:spacing w:after="0" w:line="240" w:lineRule="auto"/>
              <w:jc w:val="center"/>
              <w:rPr>
                <w:rFonts w:ascii="Arial" w:hAnsi="Arial"/>
              </w:rPr>
            </w:pPr>
            <w:r w:rsidRPr="00BD77D8">
              <w:rPr>
                <w:rFonts w:ascii="Arial" w:hAnsi="Arial"/>
              </w:rPr>
              <w:t>&lt;5</w:t>
            </w:r>
          </w:p>
        </w:tc>
        <w:tc>
          <w:tcPr>
            <w:tcW w:w="3402" w:type="dxa"/>
          </w:tcPr>
          <w:p w14:paraId="2D36A508" w14:textId="77777777" w:rsidR="000B63FC" w:rsidRPr="00BD77D8" w:rsidRDefault="000B63FC" w:rsidP="005A2A39">
            <w:pPr>
              <w:spacing w:after="0" w:line="240" w:lineRule="auto"/>
              <w:jc w:val="center"/>
              <w:rPr>
                <w:rFonts w:ascii="Arial" w:hAnsi="Arial"/>
              </w:rPr>
            </w:pPr>
            <w:r w:rsidRPr="00BD77D8">
              <w:rPr>
                <w:rFonts w:ascii="Arial" w:hAnsi="Arial"/>
              </w:rPr>
              <w:t>0.10%</w:t>
            </w:r>
          </w:p>
        </w:tc>
      </w:tr>
    </w:tbl>
    <w:p w14:paraId="2659EEAB" w14:textId="77777777" w:rsidR="00930393" w:rsidRPr="00BD77D8" w:rsidRDefault="00930393"/>
    <w:tbl>
      <w:tblPr>
        <w:tblStyle w:val="TableGrid16"/>
        <w:tblW w:w="10485" w:type="dxa"/>
        <w:tblLook w:val="04A0" w:firstRow="1" w:lastRow="0" w:firstColumn="1" w:lastColumn="0" w:noHBand="0" w:noVBand="1"/>
      </w:tblPr>
      <w:tblGrid>
        <w:gridCol w:w="4248"/>
        <w:gridCol w:w="2835"/>
        <w:gridCol w:w="3402"/>
      </w:tblGrid>
      <w:tr w:rsidR="00BD77D8" w:rsidRPr="00BD77D8" w14:paraId="3956D4B2" w14:textId="77777777" w:rsidTr="00C72EF1">
        <w:trPr>
          <w:tblHeader/>
        </w:trPr>
        <w:tc>
          <w:tcPr>
            <w:tcW w:w="4248" w:type="dxa"/>
            <w:shd w:val="clear" w:color="auto" w:fill="F2F2F2" w:themeFill="background1" w:themeFillShade="F2"/>
          </w:tcPr>
          <w:p w14:paraId="76512EC4" w14:textId="7B8C1865" w:rsidR="000B63FC" w:rsidRPr="00BD77D8" w:rsidRDefault="000B63FC" w:rsidP="000B63FC">
            <w:pPr>
              <w:spacing w:after="0" w:line="240" w:lineRule="auto"/>
              <w:rPr>
                <w:rFonts w:ascii="Arial" w:hAnsi="Arial"/>
                <w:b/>
                <w:bCs/>
              </w:rPr>
            </w:pPr>
            <w:r w:rsidRPr="00BD77D8">
              <w:rPr>
                <w:rFonts w:ascii="Arial" w:hAnsi="Arial"/>
                <w:b/>
                <w:bCs/>
              </w:rPr>
              <w:lastRenderedPageBreak/>
              <w:t xml:space="preserve">Diversity </w:t>
            </w:r>
            <w:r w:rsidR="00C72EF1" w:rsidRPr="00BD77D8">
              <w:rPr>
                <w:rFonts w:ascii="Arial" w:hAnsi="Arial"/>
                <w:b/>
                <w:bCs/>
              </w:rPr>
              <w:t>g</w:t>
            </w:r>
            <w:r w:rsidRPr="00BD77D8">
              <w:rPr>
                <w:rFonts w:ascii="Arial" w:hAnsi="Arial"/>
                <w:b/>
                <w:bCs/>
              </w:rPr>
              <w:t>roups</w:t>
            </w:r>
          </w:p>
        </w:tc>
        <w:tc>
          <w:tcPr>
            <w:tcW w:w="2835" w:type="dxa"/>
            <w:shd w:val="clear" w:color="auto" w:fill="F2F2F2" w:themeFill="background1" w:themeFillShade="F2"/>
          </w:tcPr>
          <w:p w14:paraId="237BFDB1" w14:textId="77777777" w:rsidR="000B63FC" w:rsidRPr="00BD77D8" w:rsidRDefault="000B63FC" w:rsidP="005A2A39">
            <w:pPr>
              <w:spacing w:after="0" w:line="240" w:lineRule="auto"/>
              <w:jc w:val="center"/>
              <w:rPr>
                <w:rFonts w:ascii="Arial" w:hAnsi="Arial"/>
                <w:b/>
                <w:bCs/>
              </w:rPr>
            </w:pPr>
            <w:r w:rsidRPr="00BD77D8">
              <w:rPr>
                <w:rFonts w:ascii="Arial" w:hAnsi="Arial"/>
                <w:b/>
                <w:bCs/>
              </w:rPr>
              <w:t>Number</w:t>
            </w:r>
          </w:p>
          <w:p w14:paraId="66C0417F" w14:textId="77777777" w:rsidR="000B63FC" w:rsidRPr="00BD77D8" w:rsidRDefault="000B63FC" w:rsidP="005A2A39">
            <w:pPr>
              <w:spacing w:after="0" w:line="240" w:lineRule="auto"/>
              <w:jc w:val="center"/>
              <w:rPr>
                <w:rFonts w:ascii="Arial" w:hAnsi="Arial"/>
                <w:b/>
                <w:bCs/>
              </w:rPr>
            </w:pPr>
            <w:r w:rsidRPr="00BD77D8">
              <w:rPr>
                <w:rFonts w:ascii="Arial" w:hAnsi="Arial"/>
                <w:b/>
                <w:bCs/>
              </w:rPr>
              <w:t>(Headcount)</w:t>
            </w:r>
          </w:p>
        </w:tc>
        <w:tc>
          <w:tcPr>
            <w:tcW w:w="3402" w:type="dxa"/>
            <w:shd w:val="clear" w:color="auto" w:fill="F2F2F2" w:themeFill="background1" w:themeFillShade="F2"/>
          </w:tcPr>
          <w:p w14:paraId="789D88F0" w14:textId="77777777" w:rsidR="000B63FC" w:rsidRPr="00BD77D8" w:rsidRDefault="000B63FC" w:rsidP="005A2A39">
            <w:pPr>
              <w:spacing w:after="0" w:line="240" w:lineRule="auto"/>
              <w:jc w:val="center"/>
              <w:rPr>
                <w:rFonts w:ascii="Arial" w:hAnsi="Arial"/>
                <w:b/>
                <w:bCs/>
              </w:rPr>
            </w:pPr>
            <w:r w:rsidRPr="00BD77D8">
              <w:rPr>
                <w:rFonts w:ascii="Arial" w:hAnsi="Arial"/>
                <w:b/>
                <w:bCs/>
              </w:rPr>
              <w:t>Percentage of total workforce</w:t>
            </w:r>
          </w:p>
          <w:p w14:paraId="4E9B5D4B" w14:textId="77777777" w:rsidR="000B63FC" w:rsidRPr="00BD77D8" w:rsidRDefault="000B63FC" w:rsidP="005A2A39">
            <w:pPr>
              <w:spacing w:after="0" w:line="240" w:lineRule="auto"/>
              <w:jc w:val="center"/>
              <w:rPr>
                <w:rFonts w:ascii="Arial" w:hAnsi="Arial"/>
                <w:b/>
                <w:bCs/>
              </w:rPr>
            </w:pPr>
            <w:r w:rsidRPr="00BD77D8">
              <w:rPr>
                <w:rFonts w:ascii="Arial" w:hAnsi="Arial"/>
                <w:b/>
                <w:bCs/>
              </w:rPr>
              <w:t>(Calculated on headcount)</w:t>
            </w:r>
          </w:p>
        </w:tc>
      </w:tr>
      <w:tr w:rsidR="00BD77D8" w:rsidRPr="00BD77D8" w14:paraId="12AA3A93" w14:textId="77777777" w:rsidTr="00C72EF1">
        <w:tc>
          <w:tcPr>
            <w:tcW w:w="4248" w:type="dxa"/>
          </w:tcPr>
          <w:p w14:paraId="532A9152" w14:textId="77777777" w:rsidR="000B63FC" w:rsidRPr="00BD77D8" w:rsidRDefault="000B63FC" w:rsidP="0018094A">
            <w:pPr>
              <w:rPr>
                <w:rFonts w:ascii="Arial" w:hAnsi="Arial"/>
              </w:rPr>
            </w:pPr>
            <w:r w:rsidRPr="00BD77D8">
              <w:rPr>
                <w:rFonts w:ascii="Arial" w:hAnsi="Arial"/>
              </w:rPr>
              <w:t>Women</w:t>
            </w:r>
          </w:p>
        </w:tc>
        <w:tc>
          <w:tcPr>
            <w:tcW w:w="2835" w:type="dxa"/>
          </w:tcPr>
          <w:p w14:paraId="2315DCC5" w14:textId="77777777" w:rsidR="000B63FC" w:rsidRPr="00BD77D8" w:rsidRDefault="000B63FC" w:rsidP="005A2A39">
            <w:pPr>
              <w:spacing w:after="0" w:line="240" w:lineRule="auto"/>
              <w:jc w:val="center"/>
              <w:rPr>
                <w:rFonts w:ascii="Arial" w:hAnsi="Arial"/>
              </w:rPr>
            </w:pPr>
            <w:r w:rsidRPr="00BD77D8">
              <w:rPr>
                <w:rFonts w:ascii="Arial" w:hAnsi="Arial"/>
              </w:rPr>
              <w:t>1,324</w:t>
            </w:r>
          </w:p>
        </w:tc>
        <w:tc>
          <w:tcPr>
            <w:tcW w:w="3402" w:type="dxa"/>
          </w:tcPr>
          <w:p w14:paraId="18C32D36" w14:textId="77777777" w:rsidR="000B63FC" w:rsidRPr="00BD77D8" w:rsidRDefault="000B63FC" w:rsidP="005A2A39">
            <w:pPr>
              <w:spacing w:after="0" w:line="240" w:lineRule="auto"/>
              <w:jc w:val="center"/>
              <w:rPr>
                <w:rFonts w:ascii="Arial" w:hAnsi="Arial"/>
              </w:rPr>
            </w:pPr>
            <w:r w:rsidRPr="00BD77D8">
              <w:rPr>
                <w:rFonts w:ascii="Arial" w:hAnsi="Arial"/>
              </w:rPr>
              <w:t>66.53%</w:t>
            </w:r>
          </w:p>
        </w:tc>
      </w:tr>
      <w:tr w:rsidR="00BD77D8" w:rsidRPr="00BD77D8" w14:paraId="653DD0FD" w14:textId="77777777" w:rsidTr="00C72EF1">
        <w:tc>
          <w:tcPr>
            <w:tcW w:w="4248" w:type="dxa"/>
          </w:tcPr>
          <w:p w14:paraId="2795D798" w14:textId="04F1F182" w:rsidR="000B63FC" w:rsidRPr="00BD77D8" w:rsidRDefault="000B63FC" w:rsidP="0018094A">
            <w:pPr>
              <w:rPr>
                <w:rFonts w:ascii="Arial" w:hAnsi="Arial"/>
              </w:rPr>
            </w:pPr>
            <w:r w:rsidRPr="00BD77D8">
              <w:rPr>
                <w:rFonts w:ascii="Arial" w:hAnsi="Arial"/>
              </w:rPr>
              <w:t xml:space="preserve">Aboriginal </w:t>
            </w:r>
            <w:r w:rsidR="00C72EF1" w:rsidRPr="00BD77D8">
              <w:rPr>
                <w:rFonts w:ascii="Arial" w:hAnsi="Arial"/>
              </w:rPr>
              <w:t>p</w:t>
            </w:r>
            <w:r w:rsidRPr="00BD77D8">
              <w:rPr>
                <w:rFonts w:ascii="Arial" w:hAnsi="Arial"/>
              </w:rPr>
              <w:t xml:space="preserve">eoples and Torres Strait Islander </w:t>
            </w:r>
            <w:r w:rsidR="00C72EF1" w:rsidRPr="00BD77D8">
              <w:rPr>
                <w:rFonts w:ascii="Arial" w:hAnsi="Arial"/>
              </w:rPr>
              <w:t>p</w:t>
            </w:r>
            <w:r w:rsidRPr="00BD77D8">
              <w:rPr>
                <w:rFonts w:ascii="Arial" w:hAnsi="Arial"/>
              </w:rPr>
              <w:t>eoples</w:t>
            </w:r>
          </w:p>
        </w:tc>
        <w:tc>
          <w:tcPr>
            <w:tcW w:w="2835" w:type="dxa"/>
          </w:tcPr>
          <w:p w14:paraId="3A7CB2EB" w14:textId="77777777" w:rsidR="000B63FC" w:rsidRPr="00BD77D8" w:rsidRDefault="000B63FC" w:rsidP="005A2A39">
            <w:pPr>
              <w:spacing w:after="0" w:line="240" w:lineRule="auto"/>
              <w:jc w:val="center"/>
              <w:rPr>
                <w:rFonts w:ascii="Arial" w:hAnsi="Arial"/>
              </w:rPr>
            </w:pPr>
            <w:r w:rsidRPr="00BD77D8">
              <w:rPr>
                <w:rFonts w:ascii="Arial" w:hAnsi="Arial"/>
              </w:rPr>
              <w:t>126</w:t>
            </w:r>
          </w:p>
        </w:tc>
        <w:tc>
          <w:tcPr>
            <w:tcW w:w="3402" w:type="dxa"/>
          </w:tcPr>
          <w:p w14:paraId="5CE8ACE6" w14:textId="77777777" w:rsidR="000B63FC" w:rsidRPr="00BD77D8" w:rsidRDefault="000B63FC" w:rsidP="005A2A39">
            <w:pPr>
              <w:spacing w:after="0" w:line="240" w:lineRule="auto"/>
              <w:jc w:val="center"/>
              <w:rPr>
                <w:rFonts w:ascii="Arial" w:hAnsi="Arial"/>
              </w:rPr>
            </w:pPr>
            <w:r w:rsidRPr="00BD77D8">
              <w:rPr>
                <w:rFonts w:ascii="Arial" w:hAnsi="Arial"/>
              </w:rPr>
              <w:t>6.33%</w:t>
            </w:r>
          </w:p>
        </w:tc>
      </w:tr>
      <w:tr w:rsidR="00BD77D8" w:rsidRPr="00BD77D8" w14:paraId="3AB502DE" w14:textId="77777777" w:rsidTr="00C72EF1">
        <w:tc>
          <w:tcPr>
            <w:tcW w:w="4248" w:type="dxa"/>
          </w:tcPr>
          <w:p w14:paraId="0F876729" w14:textId="77777777" w:rsidR="000B63FC" w:rsidRPr="00BD77D8" w:rsidRDefault="000B63FC" w:rsidP="0018094A">
            <w:pPr>
              <w:rPr>
                <w:rFonts w:ascii="Arial" w:hAnsi="Arial"/>
              </w:rPr>
            </w:pPr>
            <w:r w:rsidRPr="00BD77D8">
              <w:rPr>
                <w:rFonts w:ascii="Arial" w:hAnsi="Arial"/>
              </w:rPr>
              <w:t>People with disability</w:t>
            </w:r>
          </w:p>
        </w:tc>
        <w:tc>
          <w:tcPr>
            <w:tcW w:w="2835" w:type="dxa"/>
          </w:tcPr>
          <w:p w14:paraId="588D3CED" w14:textId="77777777" w:rsidR="000B63FC" w:rsidRPr="00BD77D8" w:rsidRDefault="000B63FC" w:rsidP="005A2A39">
            <w:pPr>
              <w:spacing w:after="0" w:line="240" w:lineRule="auto"/>
              <w:jc w:val="center"/>
              <w:rPr>
                <w:rFonts w:ascii="Arial" w:hAnsi="Arial"/>
              </w:rPr>
            </w:pPr>
            <w:r w:rsidRPr="00BD77D8">
              <w:rPr>
                <w:rFonts w:ascii="Arial" w:hAnsi="Arial"/>
              </w:rPr>
              <w:t>100</w:t>
            </w:r>
          </w:p>
        </w:tc>
        <w:tc>
          <w:tcPr>
            <w:tcW w:w="3402" w:type="dxa"/>
          </w:tcPr>
          <w:p w14:paraId="3D67304E" w14:textId="77777777" w:rsidR="000B63FC" w:rsidRPr="00BD77D8" w:rsidRDefault="000B63FC" w:rsidP="005A2A39">
            <w:pPr>
              <w:spacing w:after="0" w:line="240" w:lineRule="auto"/>
              <w:jc w:val="center"/>
              <w:rPr>
                <w:rFonts w:ascii="Arial" w:hAnsi="Arial"/>
              </w:rPr>
            </w:pPr>
            <w:r w:rsidRPr="00BD77D8">
              <w:rPr>
                <w:rFonts w:ascii="Arial" w:hAnsi="Arial"/>
              </w:rPr>
              <w:t>5.03%</w:t>
            </w:r>
          </w:p>
        </w:tc>
      </w:tr>
      <w:tr w:rsidR="00BD77D8" w:rsidRPr="00BD77D8" w14:paraId="73BE3F3D" w14:textId="77777777" w:rsidTr="00C72EF1">
        <w:tc>
          <w:tcPr>
            <w:tcW w:w="4248" w:type="dxa"/>
          </w:tcPr>
          <w:p w14:paraId="4D3BD304" w14:textId="04AEA189" w:rsidR="000B63FC" w:rsidRPr="00BD77D8" w:rsidRDefault="000B63FC" w:rsidP="0018094A">
            <w:pPr>
              <w:rPr>
                <w:rFonts w:ascii="Arial" w:hAnsi="Arial"/>
              </w:rPr>
            </w:pPr>
            <w:r w:rsidRPr="00BD77D8">
              <w:rPr>
                <w:rFonts w:ascii="Arial" w:hAnsi="Arial"/>
              </w:rPr>
              <w:t xml:space="preserve">Culturally and </w:t>
            </w:r>
            <w:r w:rsidR="00C72EF1" w:rsidRPr="00BD77D8">
              <w:rPr>
                <w:rFonts w:ascii="Arial" w:hAnsi="Arial"/>
              </w:rPr>
              <w:t>l</w:t>
            </w:r>
            <w:r w:rsidRPr="00BD77D8">
              <w:rPr>
                <w:rFonts w:ascii="Arial" w:hAnsi="Arial"/>
              </w:rPr>
              <w:t xml:space="preserve">inguistically </w:t>
            </w:r>
            <w:proofErr w:type="gramStart"/>
            <w:r w:rsidR="00C72EF1" w:rsidRPr="00BD77D8">
              <w:rPr>
                <w:rFonts w:ascii="Arial" w:hAnsi="Arial"/>
              </w:rPr>
              <w:t>d</w:t>
            </w:r>
            <w:r w:rsidRPr="00BD77D8">
              <w:rPr>
                <w:rFonts w:ascii="Arial" w:hAnsi="Arial"/>
              </w:rPr>
              <w:t>iverse</w:t>
            </w:r>
            <w:r w:rsidR="00C72EF1" w:rsidRPr="00BD77D8">
              <w:rPr>
                <w:rFonts w:ascii="Arial" w:hAnsi="Arial"/>
              </w:rPr>
              <w:t>—b</w:t>
            </w:r>
            <w:r w:rsidRPr="00BD77D8">
              <w:rPr>
                <w:rFonts w:ascii="Arial" w:hAnsi="Arial"/>
              </w:rPr>
              <w:t>orn</w:t>
            </w:r>
            <w:proofErr w:type="gramEnd"/>
            <w:r w:rsidRPr="00BD77D8">
              <w:rPr>
                <w:rFonts w:ascii="Arial" w:hAnsi="Arial"/>
              </w:rPr>
              <w:t xml:space="preserve"> overseas </w:t>
            </w:r>
          </w:p>
        </w:tc>
        <w:tc>
          <w:tcPr>
            <w:tcW w:w="2835" w:type="dxa"/>
          </w:tcPr>
          <w:p w14:paraId="0B1B2E87" w14:textId="77777777" w:rsidR="000B63FC" w:rsidRPr="00BD77D8" w:rsidRDefault="000B63FC" w:rsidP="005A2A39">
            <w:pPr>
              <w:spacing w:after="0" w:line="240" w:lineRule="auto"/>
              <w:jc w:val="center"/>
              <w:rPr>
                <w:rFonts w:ascii="Arial" w:hAnsi="Arial"/>
              </w:rPr>
            </w:pPr>
            <w:r w:rsidRPr="00BD77D8">
              <w:rPr>
                <w:rFonts w:ascii="Arial" w:hAnsi="Arial"/>
              </w:rPr>
              <w:t>58</w:t>
            </w:r>
          </w:p>
        </w:tc>
        <w:tc>
          <w:tcPr>
            <w:tcW w:w="3402" w:type="dxa"/>
          </w:tcPr>
          <w:p w14:paraId="2CD49E00" w14:textId="77777777" w:rsidR="000B63FC" w:rsidRPr="00BD77D8" w:rsidRDefault="000B63FC" w:rsidP="005A2A39">
            <w:pPr>
              <w:spacing w:after="0" w:line="240" w:lineRule="auto"/>
              <w:jc w:val="center"/>
              <w:rPr>
                <w:rFonts w:ascii="Arial" w:hAnsi="Arial"/>
              </w:rPr>
            </w:pPr>
            <w:r w:rsidRPr="00BD77D8">
              <w:rPr>
                <w:rFonts w:ascii="Arial" w:hAnsi="Arial"/>
              </w:rPr>
              <w:t>2.91%</w:t>
            </w:r>
          </w:p>
        </w:tc>
      </w:tr>
      <w:tr w:rsidR="00BD77D8" w:rsidRPr="00BD77D8" w14:paraId="603C070E" w14:textId="77777777" w:rsidTr="00C72EF1">
        <w:tc>
          <w:tcPr>
            <w:tcW w:w="4248" w:type="dxa"/>
            <w:tcBorders>
              <w:bottom w:val="single" w:sz="4" w:space="0" w:color="auto"/>
            </w:tcBorders>
          </w:tcPr>
          <w:p w14:paraId="648CEDCF" w14:textId="46283D99" w:rsidR="000B63FC" w:rsidRPr="00BD77D8" w:rsidRDefault="000B63FC" w:rsidP="0018094A">
            <w:pPr>
              <w:rPr>
                <w:rFonts w:ascii="Arial" w:hAnsi="Arial"/>
              </w:rPr>
            </w:pPr>
            <w:r w:rsidRPr="00BD77D8">
              <w:rPr>
                <w:rFonts w:ascii="Arial" w:hAnsi="Arial"/>
              </w:rPr>
              <w:t xml:space="preserve">Culturally and </w:t>
            </w:r>
            <w:r w:rsidR="00C72EF1" w:rsidRPr="00BD77D8">
              <w:rPr>
                <w:rFonts w:ascii="Arial" w:hAnsi="Arial"/>
              </w:rPr>
              <w:t>l</w:t>
            </w:r>
            <w:r w:rsidRPr="00BD77D8">
              <w:rPr>
                <w:rFonts w:ascii="Arial" w:hAnsi="Arial"/>
              </w:rPr>
              <w:t xml:space="preserve">inguistically </w:t>
            </w:r>
            <w:r w:rsidR="00C72EF1" w:rsidRPr="00BD77D8">
              <w:rPr>
                <w:rFonts w:ascii="Arial" w:hAnsi="Arial"/>
              </w:rPr>
              <w:t>d</w:t>
            </w:r>
            <w:r w:rsidRPr="00BD77D8">
              <w:rPr>
                <w:rFonts w:ascii="Arial" w:hAnsi="Arial"/>
              </w:rPr>
              <w:t>iverse</w:t>
            </w:r>
            <w:r w:rsidR="00C72EF1" w:rsidRPr="00BD77D8">
              <w:rPr>
                <w:rFonts w:ascii="Arial" w:hAnsi="Arial"/>
              </w:rPr>
              <w:t>—s</w:t>
            </w:r>
            <w:r w:rsidRPr="00BD77D8">
              <w:rPr>
                <w:rFonts w:ascii="Arial" w:hAnsi="Arial"/>
              </w:rPr>
              <w:t>peak</w:t>
            </w:r>
            <w:r w:rsidR="00C72EF1" w:rsidRPr="00BD77D8">
              <w:rPr>
                <w:rFonts w:ascii="Arial" w:hAnsi="Arial"/>
              </w:rPr>
              <w:t>s</w:t>
            </w:r>
            <w:r w:rsidRPr="00BD77D8">
              <w:rPr>
                <w:rFonts w:ascii="Arial" w:hAnsi="Arial"/>
              </w:rPr>
              <w:t xml:space="preserve"> a language at home other than English (including Aboriginal and Torres Strait Islander languages or Australian South Sea Islander languages)</w:t>
            </w:r>
          </w:p>
        </w:tc>
        <w:tc>
          <w:tcPr>
            <w:tcW w:w="2835" w:type="dxa"/>
          </w:tcPr>
          <w:p w14:paraId="0D8C18B6" w14:textId="77777777" w:rsidR="000B63FC" w:rsidRPr="00BD77D8" w:rsidRDefault="000B63FC" w:rsidP="005A2A39">
            <w:pPr>
              <w:spacing w:after="0" w:line="240" w:lineRule="auto"/>
              <w:ind w:firstLine="32"/>
              <w:jc w:val="center"/>
              <w:rPr>
                <w:rFonts w:ascii="Arial" w:hAnsi="Arial"/>
              </w:rPr>
            </w:pPr>
            <w:r w:rsidRPr="00BD77D8">
              <w:rPr>
                <w:rFonts w:ascii="Arial" w:hAnsi="Arial"/>
              </w:rPr>
              <w:t>40</w:t>
            </w:r>
          </w:p>
        </w:tc>
        <w:tc>
          <w:tcPr>
            <w:tcW w:w="3402" w:type="dxa"/>
          </w:tcPr>
          <w:p w14:paraId="529CB0EB" w14:textId="77777777" w:rsidR="000B63FC" w:rsidRPr="00BD77D8" w:rsidRDefault="000B63FC" w:rsidP="005A2A39">
            <w:pPr>
              <w:spacing w:after="0" w:line="240" w:lineRule="auto"/>
              <w:jc w:val="center"/>
              <w:rPr>
                <w:rFonts w:ascii="Arial" w:hAnsi="Arial"/>
              </w:rPr>
            </w:pPr>
            <w:r w:rsidRPr="00BD77D8">
              <w:rPr>
                <w:rFonts w:ascii="Arial" w:hAnsi="Arial"/>
              </w:rPr>
              <w:t>2.01%</w:t>
            </w:r>
          </w:p>
        </w:tc>
      </w:tr>
      <w:tr w:rsidR="00BD77D8" w:rsidRPr="00BD77D8" w14:paraId="7F57E2C4" w14:textId="77777777" w:rsidTr="00C72EF1">
        <w:tc>
          <w:tcPr>
            <w:tcW w:w="4248" w:type="dxa"/>
            <w:shd w:val="clear" w:color="auto" w:fill="F2F2F2" w:themeFill="background1" w:themeFillShade="F2"/>
          </w:tcPr>
          <w:p w14:paraId="79E77C33" w14:textId="2033085F" w:rsidR="000B63FC" w:rsidRPr="00BD77D8" w:rsidRDefault="007B585C" w:rsidP="000B63FC">
            <w:pPr>
              <w:spacing w:after="0" w:line="240" w:lineRule="auto"/>
              <w:rPr>
                <w:rFonts w:ascii="Arial" w:hAnsi="Arial"/>
                <w:b/>
                <w:bCs/>
              </w:rPr>
            </w:pPr>
            <w:r w:rsidRPr="00BD77D8">
              <w:rPr>
                <w:rFonts w:ascii="Arial" w:hAnsi="Arial"/>
                <w:b/>
                <w:bCs/>
              </w:rPr>
              <w:t xml:space="preserve">Women in </w:t>
            </w:r>
            <w:r w:rsidR="00C72EF1" w:rsidRPr="00BD77D8">
              <w:rPr>
                <w:rFonts w:ascii="Arial" w:hAnsi="Arial"/>
                <w:b/>
                <w:bCs/>
              </w:rPr>
              <w:t>l</w:t>
            </w:r>
            <w:r w:rsidRPr="00BD77D8">
              <w:rPr>
                <w:rFonts w:ascii="Arial" w:hAnsi="Arial"/>
                <w:b/>
                <w:bCs/>
              </w:rPr>
              <w:t>eadership</w:t>
            </w:r>
          </w:p>
        </w:tc>
        <w:tc>
          <w:tcPr>
            <w:tcW w:w="2835" w:type="dxa"/>
            <w:shd w:val="clear" w:color="auto" w:fill="F2F2F2" w:themeFill="background1" w:themeFillShade="F2"/>
          </w:tcPr>
          <w:p w14:paraId="4094A1BF" w14:textId="77777777" w:rsidR="000B63FC" w:rsidRPr="00BD77D8" w:rsidRDefault="000B63FC" w:rsidP="005A2A39">
            <w:pPr>
              <w:spacing w:after="0" w:line="240" w:lineRule="auto"/>
              <w:jc w:val="center"/>
              <w:rPr>
                <w:rFonts w:ascii="Arial" w:hAnsi="Arial"/>
                <w:b/>
                <w:bCs/>
              </w:rPr>
            </w:pPr>
            <w:r w:rsidRPr="00BD77D8">
              <w:rPr>
                <w:rFonts w:ascii="Arial" w:hAnsi="Arial"/>
                <w:b/>
                <w:bCs/>
              </w:rPr>
              <w:t>Number</w:t>
            </w:r>
          </w:p>
          <w:p w14:paraId="210DE18C" w14:textId="77777777" w:rsidR="000B63FC" w:rsidRPr="00BD77D8" w:rsidRDefault="000B63FC" w:rsidP="005A2A39">
            <w:pPr>
              <w:spacing w:after="0" w:line="240" w:lineRule="auto"/>
              <w:jc w:val="center"/>
              <w:rPr>
                <w:rFonts w:ascii="Arial" w:hAnsi="Arial"/>
                <w:b/>
                <w:bCs/>
              </w:rPr>
            </w:pPr>
            <w:r w:rsidRPr="00BD77D8">
              <w:rPr>
                <w:rFonts w:ascii="Arial" w:hAnsi="Arial"/>
                <w:b/>
                <w:bCs/>
              </w:rPr>
              <w:t>(Headcount)</w:t>
            </w:r>
          </w:p>
        </w:tc>
        <w:tc>
          <w:tcPr>
            <w:tcW w:w="3402" w:type="dxa"/>
            <w:shd w:val="clear" w:color="auto" w:fill="F2F2F2" w:themeFill="background1" w:themeFillShade="F2"/>
          </w:tcPr>
          <w:p w14:paraId="2C928470" w14:textId="6BD2F3DA" w:rsidR="000B63FC" w:rsidRPr="00BD77D8" w:rsidRDefault="000B63FC" w:rsidP="005A2A39">
            <w:pPr>
              <w:spacing w:after="0" w:line="240" w:lineRule="auto"/>
              <w:jc w:val="center"/>
              <w:rPr>
                <w:rFonts w:ascii="Arial" w:hAnsi="Arial"/>
                <w:b/>
                <w:bCs/>
              </w:rPr>
            </w:pPr>
            <w:r w:rsidRPr="00BD77D8">
              <w:rPr>
                <w:rFonts w:ascii="Arial" w:hAnsi="Arial"/>
                <w:b/>
                <w:bCs/>
              </w:rPr>
              <w:t xml:space="preserve">Percentage of total </w:t>
            </w:r>
            <w:r w:rsidR="00C72EF1" w:rsidRPr="00BD77D8">
              <w:rPr>
                <w:rFonts w:ascii="Arial" w:hAnsi="Arial"/>
                <w:b/>
                <w:bCs/>
              </w:rPr>
              <w:t>l</w:t>
            </w:r>
            <w:r w:rsidRPr="00BD77D8">
              <w:rPr>
                <w:rFonts w:ascii="Arial" w:hAnsi="Arial"/>
                <w:b/>
                <w:bCs/>
              </w:rPr>
              <w:t xml:space="preserve">eadership </w:t>
            </w:r>
            <w:r w:rsidR="00C72EF1" w:rsidRPr="00BD77D8">
              <w:rPr>
                <w:rFonts w:ascii="Arial" w:hAnsi="Arial"/>
                <w:b/>
                <w:bCs/>
              </w:rPr>
              <w:t>c</w:t>
            </w:r>
            <w:r w:rsidRPr="00BD77D8">
              <w:rPr>
                <w:rFonts w:ascii="Arial" w:hAnsi="Arial"/>
                <w:b/>
                <w:bCs/>
              </w:rPr>
              <w:t>ohort</w:t>
            </w:r>
          </w:p>
          <w:p w14:paraId="0BEF8898" w14:textId="77777777" w:rsidR="000B63FC" w:rsidRPr="00BD77D8" w:rsidRDefault="000B63FC" w:rsidP="005A2A39">
            <w:pPr>
              <w:spacing w:after="0" w:line="240" w:lineRule="auto"/>
              <w:jc w:val="center"/>
              <w:rPr>
                <w:rFonts w:ascii="Arial" w:hAnsi="Arial"/>
                <w:b/>
                <w:bCs/>
              </w:rPr>
            </w:pPr>
            <w:r w:rsidRPr="00BD77D8">
              <w:rPr>
                <w:rFonts w:ascii="Arial" w:hAnsi="Arial"/>
                <w:b/>
                <w:bCs/>
              </w:rPr>
              <w:t>(Calculated on headcount)</w:t>
            </w:r>
          </w:p>
        </w:tc>
      </w:tr>
      <w:tr w:rsidR="00BD77D8" w:rsidRPr="00BD77D8" w14:paraId="47714147" w14:textId="77777777" w:rsidTr="00C72EF1">
        <w:tc>
          <w:tcPr>
            <w:tcW w:w="4248" w:type="dxa"/>
          </w:tcPr>
          <w:p w14:paraId="69A37834" w14:textId="030FAA29" w:rsidR="000B63FC" w:rsidRPr="00BD77D8" w:rsidRDefault="000B63FC" w:rsidP="0018094A">
            <w:pPr>
              <w:rPr>
                <w:rFonts w:ascii="Arial" w:hAnsi="Arial"/>
              </w:rPr>
            </w:pPr>
            <w:r w:rsidRPr="00BD77D8">
              <w:rPr>
                <w:rFonts w:ascii="Arial" w:hAnsi="Arial"/>
              </w:rPr>
              <w:t xml:space="preserve">Women in </w:t>
            </w:r>
            <w:r w:rsidR="00C72EF1" w:rsidRPr="00BD77D8">
              <w:rPr>
                <w:rFonts w:ascii="Arial" w:hAnsi="Arial"/>
              </w:rPr>
              <w:t>l</w:t>
            </w:r>
            <w:r w:rsidRPr="00BD77D8">
              <w:rPr>
                <w:rFonts w:ascii="Arial" w:hAnsi="Arial"/>
              </w:rPr>
              <w:t xml:space="preserve">eadership </w:t>
            </w:r>
            <w:r w:rsidR="00C72EF1" w:rsidRPr="00BD77D8">
              <w:rPr>
                <w:rFonts w:ascii="Arial" w:hAnsi="Arial"/>
              </w:rPr>
              <w:t>r</w:t>
            </w:r>
            <w:r w:rsidRPr="00BD77D8">
              <w:rPr>
                <w:rFonts w:ascii="Arial" w:hAnsi="Arial"/>
              </w:rPr>
              <w:t>oles</w:t>
            </w:r>
            <w:r w:rsidRPr="00BD77D8">
              <w:rPr>
                <w:rFonts w:ascii="Arial" w:hAnsi="Arial"/>
                <w:vertAlign w:val="superscript"/>
              </w:rPr>
              <w:t>2</w:t>
            </w:r>
          </w:p>
        </w:tc>
        <w:tc>
          <w:tcPr>
            <w:tcW w:w="2835" w:type="dxa"/>
          </w:tcPr>
          <w:p w14:paraId="3F475E99" w14:textId="77777777" w:rsidR="000B63FC" w:rsidRPr="00BD77D8" w:rsidRDefault="000B63FC" w:rsidP="005A2A39">
            <w:pPr>
              <w:spacing w:after="0" w:line="240" w:lineRule="auto"/>
              <w:jc w:val="center"/>
              <w:rPr>
                <w:rFonts w:ascii="Arial" w:hAnsi="Arial"/>
              </w:rPr>
            </w:pPr>
            <w:r w:rsidRPr="00BD77D8">
              <w:rPr>
                <w:rFonts w:ascii="Arial" w:hAnsi="Arial"/>
              </w:rPr>
              <w:t>35</w:t>
            </w:r>
          </w:p>
        </w:tc>
        <w:tc>
          <w:tcPr>
            <w:tcW w:w="3402" w:type="dxa"/>
          </w:tcPr>
          <w:p w14:paraId="3004E927" w14:textId="77777777" w:rsidR="000B63FC" w:rsidRPr="00BD77D8" w:rsidRDefault="000B63FC" w:rsidP="005A2A39">
            <w:pPr>
              <w:spacing w:after="0" w:line="240" w:lineRule="auto"/>
              <w:jc w:val="center"/>
              <w:rPr>
                <w:rFonts w:ascii="Arial" w:hAnsi="Arial"/>
              </w:rPr>
            </w:pPr>
            <w:r w:rsidRPr="00BD77D8">
              <w:rPr>
                <w:rFonts w:ascii="Arial" w:hAnsi="Arial"/>
              </w:rPr>
              <w:t>53.85%</w:t>
            </w:r>
          </w:p>
        </w:tc>
      </w:tr>
    </w:tbl>
    <w:p w14:paraId="2FC80420" w14:textId="2108023A" w:rsidR="001F37FE" w:rsidRPr="00BD77D8" w:rsidRDefault="001F37FE" w:rsidP="00930393">
      <w:pPr>
        <w:spacing w:before="120" w:after="0" w:line="240" w:lineRule="auto"/>
        <w:rPr>
          <w:sz w:val="18"/>
          <w:szCs w:val="18"/>
        </w:rPr>
      </w:pPr>
      <w:bookmarkStart w:id="266" w:name="_Toc78287398"/>
      <w:bookmarkStart w:id="267" w:name="_Toc78355805"/>
      <w:r w:rsidRPr="00BD77D8">
        <w:rPr>
          <w:sz w:val="18"/>
          <w:szCs w:val="18"/>
        </w:rPr>
        <w:t>Notes</w:t>
      </w:r>
    </w:p>
    <w:p w14:paraId="0D2C673F" w14:textId="6984BA40" w:rsidR="00E53A76" w:rsidRPr="00BD77D8" w:rsidRDefault="00E53A76" w:rsidP="00F729B3">
      <w:pPr>
        <w:pStyle w:val="ListParagraph"/>
        <w:numPr>
          <w:ilvl w:val="0"/>
          <w:numId w:val="67"/>
        </w:numPr>
        <w:spacing w:after="0" w:line="240" w:lineRule="auto"/>
        <w:rPr>
          <w:sz w:val="18"/>
          <w:szCs w:val="18"/>
        </w:rPr>
      </w:pPr>
      <w:r w:rsidRPr="00BD77D8">
        <w:rPr>
          <w:sz w:val="18"/>
          <w:szCs w:val="18"/>
        </w:rPr>
        <w:t xml:space="preserve">To ensure privacy, in tables where there are less than 5 respondents in a category, specific numbers </w:t>
      </w:r>
      <w:r w:rsidR="00001083" w:rsidRPr="00BD77D8">
        <w:rPr>
          <w:sz w:val="18"/>
          <w:szCs w:val="18"/>
        </w:rPr>
        <w:t>have been</w:t>
      </w:r>
      <w:r w:rsidRPr="00BD77D8">
        <w:rPr>
          <w:sz w:val="18"/>
          <w:szCs w:val="18"/>
        </w:rPr>
        <w:t xml:space="preserve"> replaced by &lt;5.</w:t>
      </w:r>
    </w:p>
    <w:p w14:paraId="3A8EE15F" w14:textId="4BF61259" w:rsidR="00494A9B" w:rsidRPr="00BD77D8" w:rsidRDefault="00E53A76" w:rsidP="00F729B3">
      <w:pPr>
        <w:pStyle w:val="ListParagraph"/>
        <w:numPr>
          <w:ilvl w:val="0"/>
          <w:numId w:val="67"/>
        </w:numPr>
        <w:spacing w:after="0" w:line="240" w:lineRule="auto"/>
        <w:rPr>
          <w:sz w:val="18"/>
          <w:szCs w:val="18"/>
        </w:rPr>
      </w:pPr>
      <w:r w:rsidRPr="00BD77D8">
        <w:rPr>
          <w:sz w:val="18"/>
          <w:szCs w:val="18"/>
        </w:rPr>
        <w:t xml:space="preserve">Women in </w:t>
      </w:r>
      <w:r w:rsidR="00C72EF1" w:rsidRPr="00BD77D8">
        <w:rPr>
          <w:sz w:val="18"/>
          <w:szCs w:val="18"/>
        </w:rPr>
        <w:t>l</w:t>
      </w:r>
      <w:r w:rsidRPr="00BD77D8">
        <w:rPr>
          <w:sz w:val="18"/>
          <w:szCs w:val="18"/>
        </w:rPr>
        <w:t xml:space="preserve">eadership </w:t>
      </w:r>
      <w:r w:rsidR="00C72EF1" w:rsidRPr="00BD77D8">
        <w:rPr>
          <w:sz w:val="18"/>
          <w:szCs w:val="18"/>
        </w:rPr>
        <w:t>r</w:t>
      </w:r>
      <w:r w:rsidRPr="00BD77D8">
        <w:rPr>
          <w:sz w:val="18"/>
          <w:szCs w:val="18"/>
        </w:rPr>
        <w:t xml:space="preserve">oles </w:t>
      </w:r>
      <w:r w:rsidR="00001083" w:rsidRPr="00BD77D8">
        <w:rPr>
          <w:sz w:val="18"/>
          <w:szCs w:val="18"/>
        </w:rPr>
        <w:t xml:space="preserve">relate to </w:t>
      </w:r>
      <w:r w:rsidRPr="00BD77D8">
        <w:rPr>
          <w:sz w:val="18"/>
          <w:szCs w:val="18"/>
        </w:rPr>
        <w:t xml:space="preserve">those positions that are </w:t>
      </w:r>
      <w:r w:rsidR="00C72EF1" w:rsidRPr="00BD77D8">
        <w:rPr>
          <w:sz w:val="18"/>
          <w:szCs w:val="18"/>
        </w:rPr>
        <w:t>s</w:t>
      </w:r>
      <w:r w:rsidRPr="00BD77D8">
        <w:rPr>
          <w:sz w:val="18"/>
          <w:szCs w:val="18"/>
        </w:rPr>
        <w:t xml:space="preserve">enior </w:t>
      </w:r>
      <w:r w:rsidR="00C72EF1" w:rsidRPr="00BD77D8">
        <w:rPr>
          <w:sz w:val="18"/>
          <w:szCs w:val="18"/>
        </w:rPr>
        <w:t>o</w:t>
      </w:r>
      <w:r w:rsidRPr="00BD77D8">
        <w:rPr>
          <w:sz w:val="18"/>
          <w:szCs w:val="18"/>
        </w:rPr>
        <w:t>fficer and equivalent</w:t>
      </w:r>
      <w:r w:rsidR="00001083" w:rsidRPr="00BD77D8">
        <w:rPr>
          <w:sz w:val="18"/>
          <w:szCs w:val="18"/>
        </w:rPr>
        <w:t>, or</w:t>
      </w:r>
      <w:r w:rsidRPr="00BD77D8">
        <w:rPr>
          <w:sz w:val="18"/>
          <w:szCs w:val="18"/>
        </w:rPr>
        <w:t xml:space="preserve"> above.</w:t>
      </w:r>
    </w:p>
    <w:p w14:paraId="3855F9D4" w14:textId="69DC6758" w:rsidR="001C6E8F" w:rsidRPr="00BD77D8" w:rsidRDefault="001C6E8F" w:rsidP="00930393">
      <w:pPr>
        <w:spacing w:before="120"/>
        <w:rPr>
          <w:rFonts w:eastAsia="Calibri"/>
          <w:lang w:val="en-US" w:eastAsia="en-US"/>
        </w:rPr>
      </w:pPr>
      <w:r w:rsidRPr="00BD77D8">
        <w:rPr>
          <w:rFonts w:eastAsia="Calibri"/>
          <w:lang w:val="en-US" w:eastAsia="en-US"/>
        </w:rPr>
        <w:t>The department has</w:t>
      </w:r>
      <w:r w:rsidR="00073D35" w:rsidRPr="00BD77D8">
        <w:rPr>
          <w:rFonts w:eastAsia="Calibri"/>
          <w:lang w:val="en-US" w:eastAsia="en-US"/>
        </w:rPr>
        <w:t xml:space="preserve"> 53.85 per cent </w:t>
      </w:r>
      <w:r w:rsidR="00172CB1" w:rsidRPr="00BD77D8">
        <w:rPr>
          <w:rFonts w:eastAsia="Calibri"/>
          <w:lang w:val="en-US" w:eastAsia="en-US"/>
        </w:rPr>
        <w:t xml:space="preserve">of women </w:t>
      </w:r>
      <w:r w:rsidR="00073D35" w:rsidRPr="00BD77D8">
        <w:rPr>
          <w:rFonts w:eastAsia="Calibri"/>
          <w:lang w:val="en-US" w:eastAsia="en-US"/>
        </w:rPr>
        <w:t xml:space="preserve">in leadership roles </w:t>
      </w:r>
      <w:r w:rsidRPr="00BD77D8">
        <w:rPr>
          <w:rFonts w:eastAsia="Calibri"/>
          <w:lang w:val="en-US" w:eastAsia="en-US"/>
        </w:rPr>
        <w:t>which exceeds the public sector target of 50</w:t>
      </w:r>
      <w:r w:rsidR="00C72EF1" w:rsidRPr="00BD77D8">
        <w:rPr>
          <w:rFonts w:eastAsia="Calibri"/>
          <w:lang w:val="en-US" w:eastAsia="en-US"/>
        </w:rPr>
        <w:t xml:space="preserve"> per cent</w:t>
      </w:r>
      <w:r w:rsidRPr="00BD77D8">
        <w:rPr>
          <w:rFonts w:eastAsia="Calibri"/>
          <w:lang w:val="en-US" w:eastAsia="en-US"/>
        </w:rPr>
        <w:t>.</w:t>
      </w:r>
      <w:r w:rsidR="00001083" w:rsidRPr="00BD77D8">
        <w:t xml:space="preserve"> It is also noted that</w:t>
      </w:r>
      <w:r w:rsidR="00073D35" w:rsidRPr="00BD77D8">
        <w:t xml:space="preserve"> 66.53 per cent of our total employment numbers are female employees</w:t>
      </w:r>
      <w:r w:rsidR="00001083" w:rsidRPr="00BD77D8">
        <w:rPr>
          <w:rFonts w:eastAsia="Calibri"/>
          <w:lang w:val="en-US" w:eastAsia="en-US"/>
        </w:rPr>
        <w:t xml:space="preserve">. </w:t>
      </w:r>
      <w:r w:rsidRPr="00BD77D8">
        <w:rPr>
          <w:rFonts w:eastAsia="Calibri"/>
          <w:lang w:val="en-US" w:eastAsia="en-US"/>
        </w:rPr>
        <w:t>The department has</w:t>
      </w:r>
      <w:r w:rsidR="00001083" w:rsidRPr="00BD77D8">
        <w:rPr>
          <w:rFonts w:eastAsia="Calibri"/>
          <w:lang w:val="en-US" w:eastAsia="en-US"/>
        </w:rPr>
        <w:t xml:space="preserve"> </w:t>
      </w:r>
      <w:r w:rsidRPr="00BD77D8">
        <w:rPr>
          <w:rFonts w:eastAsia="Calibri"/>
          <w:lang w:val="en-US" w:eastAsia="en-US"/>
        </w:rPr>
        <w:t xml:space="preserve">commenced preliminary work with the Public Service Commission on future reporting on gender pay equity. </w:t>
      </w:r>
    </w:p>
    <w:p w14:paraId="555E1E7E" w14:textId="2A0AC152" w:rsidR="001C6E8F" w:rsidRPr="00BD77D8" w:rsidRDefault="001C6E8F" w:rsidP="001C6E8F">
      <w:pPr>
        <w:rPr>
          <w:rFonts w:eastAsia="Calibri"/>
          <w:lang w:val="en-US" w:eastAsia="en-US"/>
        </w:rPr>
      </w:pPr>
      <w:r w:rsidRPr="00BD77D8">
        <w:rPr>
          <w:rFonts w:eastAsia="Calibri"/>
          <w:lang w:val="en-US" w:eastAsia="en-US"/>
        </w:rPr>
        <w:t>In 2021</w:t>
      </w:r>
      <w:r w:rsidR="00C72EF1" w:rsidRPr="00BD77D8">
        <w:rPr>
          <w:rFonts w:eastAsia="Calibri"/>
          <w:lang w:val="en-US" w:eastAsia="en-US"/>
        </w:rPr>
        <w:t>–</w:t>
      </w:r>
      <w:r w:rsidR="008F581B" w:rsidRPr="00BD77D8">
        <w:rPr>
          <w:rFonts w:eastAsia="Calibri"/>
          <w:lang w:val="en-US" w:eastAsia="en-US"/>
        </w:rPr>
        <w:t>20</w:t>
      </w:r>
      <w:r w:rsidRPr="00BD77D8">
        <w:rPr>
          <w:rFonts w:eastAsia="Calibri"/>
          <w:lang w:val="en-US" w:eastAsia="en-US"/>
        </w:rPr>
        <w:t xml:space="preserve">22, in consultation with the department’s inclusion and diversity network, the department developed an Inclusion and </w:t>
      </w:r>
      <w:r w:rsidR="00CF7F9D" w:rsidRPr="00BD77D8">
        <w:rPr>
          <w:rFonts w:eastAsia="Calibri"/>
          <w:lang w:val="en-US" w:eastAsia="en-US"/>
        </w:rPr>
        <w:t>D</w:t>
      </w:r>
      <w:r w:rsidRPr="00BD77D8">
        <w:rPr>
          <w:rFonts w:eastAsia="Calibri"/>
          <w:lang w:val="en-US" w:eastAsia="en-US"/>
        </w:rPr>
        <w:t xml:space="preserve">iversity </w:t>
      </w:r>
      <w:r w:rsidR="00CF7F9D" w:rsidRPr="00BD77D8">
        <w:rPr>
          <w:rFonts w:eastAsia="Calibri"/>
          <w:lang w:val="en-US" w:eastAsia="en-US"/>
        </w:rPr>
        <w:t>S</w:t>
      </w:r>
      <w:r w:rsidRPr="00BD77D8">
        <w:rPr>
          <w:rFonts w:eastAsia="Calibri"/>
          <w:lang w:val="en-US" w:eastAsia="en-US"/>
        </w:rPr>
        <w:t>trategy 2021-</w:t>
      </w:r>
      <w:r w:rsidR="00CF7F9D" w:rsidRPr="00BD77D8">
        <w:rPr>
          <w:rFonts w:eastAsia="Calibri"/>
          <w:lang w:val="en-US" w:eastAsia="en-US"/>
        </w:rPr>
        <w:t>20</w:t>
      </w:r>
      <w:r w:rsidRPr="00BD77D8">
        <w:rPr>
          <w:rFonts w:eastAsia="Calibri"/>
          <w:lang w:val="en-US" w:eastAsia="en-US"/>
        </w:rPr>
        <w:t>24</w:t>
      </w:r>
      <w:r w:rsidR="00CF7F9D" w:rsidRPr="00BD77D8">
        <w:rPr>
          <w:rFonts w:eastAsia="Calibri"/>
          <w:lang w:val="en-US" w:eastAsia="en-US"/>
        </w:rPr>
        <w:t>,</w:t>
      </w:r>
      <w:r w:rsidRPr="00BD77D8">
        <w:rPr>
          <w:rFonts w:eastAsia="Calibri"/>
          <w:lang w:val="en-US" w:eastAsia="en-US"/>
        </w:rPr>
        <w:t xml:space="preserve"> which outlines a range of initiatives including improv</w:t>
      </w:r>
      <w:r w:rsidR="00C72EF1" w:rsidRPr="00BD77D8">
        <w:rPr>
          <w:rFonts w:eastAsia="Calibri"/>
          <w:lang w:val="en-US" w:eastAsia="en-US"/>
        </w:rPr>
        <w:t>ing</w:t>
      </w:r>
      <w:r w:rsidRPr="00BD77D8">
        <w:rPr>
          <w:rFonts w:eastAsia="Calibri"/>
          <w:lang w:val="en-US" w:eastAsia="en-US"/>
        </w:rPr>
        <w:t xml:space="preserve"> employment outcomes for target groups. These include Aboriginal and Torres Strait Islander employees and employees with disability. </w:t>
      </w:r>
    </w:p>
    <w:p w14:paraId="16C4B7DE" w14:textId="71F26DDF" w:rsidR="001C6E8F" w:rsidRPr="00BD77D8" w:rsidRDefault="001C6E8F" w:rsidP="001C6E8F">
      <w:pPr>
        <w:rPr>
          <w:rFonts w:eastAsia="Calibri"/>
          <w:lang w:val="en-US" w:eastAsia="en-US"/>
        </w:rPr>
      </w:pPr>
      <w:bookmarkStart w:id="268" w:name="_Hlk112838300"/>
      <w:bookmarkStart w:id="269" w:name="_Hlk109650086"/>
      <w:r w:rsidRPr="00BD77D8">
        <w:rPr>
          <w:rFonts w:eastAsia="Calibri"/>
          <w:lang w:val="en-US" w:eastAsia="en-US"/>
        </w:rPr>
        <w:t>The department has 6.33</w:t>
      </w:r>
      <w:r w:rsidR="00C72EF1" w:rsidRPr="00BD77D8">
        <w:rPr>
          <w:rFonts w:eastAsia="Calibri"/>
          <w:lang w:val="en-US" w:eastAsia="en-US"/>
        </w:rPr>
        <w:t xml:space="preserve"> per cent</w:t>
      </w:r>
      <w:r w:rsidRPr="00BD77D8">
        <w:rPr>
          <w:rFonts w:eastAsia="Calibri"/>
          <w:lang w:val="en-US" w:eastAsia="en-US"/>
        </w:rPr>
        <w:t xml:space="preserve"> of its employees who identify as Aboriginal and Torres Strait Islander employees which exceeds the public sector target of 3</w:t>
      </w:r>
      <w:r w:rsidR="00C72EF1" w:rsidRPr="00BD77D8">
        <w:rPr>
          <w:rFonts w:eastAsia="Calibri"/>
          <w:lang w:val="en-US" w:eastAsia="en-US"/>
        </w:rPr>
        <w:t xml:space="preserve"> per cent</w:t>
      </w:r>
      <w:r w:rsidRPr="00BD77D8">
        <w:rPr>
          <w:rFonts w:eastAsia="Calibri"/>
          <w:lang w:val="en-US" w:eastAsia="en-US"/>
        </w:rPr>
        <w:t xml:space="preserve">. </w:t>
      </w:r>
      <w:bookmarkEnd w:id="268"/>
      <w:r w:rsidRPr="00BD77D8">
        <w:rPr>
          <w:rFonts w:eastAsia="Calibri"/>
          <w:lang w:val="en-US" w:eastAsia="en-US"/>
        </w:rPr>
        <w:t>The department has 5.03</w:t>
      </w:r>
      <w:r w:rsidR="00C72EF1" w:rsidRPr="00BD77D8">
        <w:rPr>
          <w:rFonts w:eastAsia="Calibri"/>
          <w:lang w:val="en-US" w:eastAsia="en-US"/>
        </w:rPr>
        <w:t xml:space="preserve"> per cent</w:t>
      </w:r>
      <w:r w:rsidRPr="00BD77D8">
        <w:rPr>
          <w:rFonts w:eastAsia="Calibri"/>
          <w:lang w:val="en-US" w:eastAsia="en-US"/>
        </w:rPr>
        <w:t xml:space="preserve"> of employees who identify as having a disability</w:t>
      </w:r>
      <w:r w:rsidR="00CF7F9D" w:rsidRPr="00BD77D8">
        <w:rPr>
          <w:rFonts w:eastAsia="Calibri"/>
          <w:lang w:val="en-US" w:eastAsia="en-US"/>
        </w:rPr>
        <w:t>,</w:t>
      </w:r>
      <w:r w:rsidRPr="00BD77D8">
        <w:rPr>
          <w:rFonts w:eastAsia="Calibri"/>
          <w:lang w:val="en-US" w:eastAsia="en-US"/>
        </w:rPr>
        <w:t xml:space="preserve"> which is well above the public sector average</w:t>
      </w:r>
      <w:r w:rsidR="0052565E" w:rsidRPr="00BD77D8">
        <w:rPr>
          <w:rFonts w:eastAsia="Calibri"/>
          <w:lang w:val="en-US" w:eastAsia="en-US"/>
        </w:rPr>
        <w:t xml:space="preserve"> of </w:t>
      </w:r>
      <w:r w:rsidR="008927E0" w:rsidRPr="00BD77D8">
        <w:rPr>
          <w:rFonts w:eastAsia="Calibri"/>
          <w:lang w:val="en-US" w:eastAsia="en-US"/>
        </w:rPr>
        <w:t>3.31</w:t>
      </w:r>
      <w:r w:rsidR="00C72EF1" w:rsidRPr="00BD77D8">
        <w:rPr>
          <w:rFonts w:eastAsia="Calibri"/>
          <w:lang w:val="en-US" w:eastAsia="en-US"/>
        </w:rPr>
        <w:t xml:space="preserve"> per cent</w:t>
      </w:r>
      <w:r w:rsidRPr="00BD77D8">
        <w:rPr>
          <w:rFonts w:eastAsia="Calibri"/>
          <w:lang w:val="en-US" w:eastAsia="en-US"/>
        </w:rPr>
        <w:t xml:space="preserve"> but below the public sector target of 8</w:t>
      </w:r>
      <w:r w:rsidR="00C72EF1" w:rsidRPr="00BD77D8">
        <w:rPr>
          <w:rFonts w:eastAsia="Calibri"/>
          <w:lang w:val="en-US" w:eastAsia="en-US"/>
        </w:rPr>
        <w:t xml:space="preserve"> per cent</w:t>
      </w:r>
      <w:r w:rsidRPr="00BD77D8">
        <w:rPr>
          <w:rFonts w:eastAsia="Calibri"/>
          <w:lang w:val="en-US" w:eastAsia="en-US"/>
        </w:rPr>
        <w:t xml:space="preserve">. </w:t>
      </w:r>
    </w:p>
    <w:bookmarkEnd w:id="269"/>
    <w:p w14:paraId="051E9633" w14:textId="0C2BFA9A" w:rsidR="001C6E8F" w:rsidRPr="00BD77D8" w:rsidRDefault="001C6E8F" w:rsidP="001C6E8F">
      <w:pPr>
        <w:rPr>
          <w:rFonts w:eastAsia="Calibri"/>
          <w:lang w:val="en-US" w:eastAsia="en-US"/>
        </w:rPr>
      </w:pPr>
      <w:r w:rsidRPr="00BD77D8">
        <w:rPr>
          <w:rFonts w:eastAsia="Calibri"/>
          <w:lang w:val="en-US" w:eastAsia="en-US"/>
        </w:rPr>
        <w:t>It is anticipated that staff network groups for Aboriginal and Torres Strait Islander employees and employees with disability will be established in 2022</w:t>
      </w:r>
      <w:r w:rsidR="00C72EF1" w:rsidRPr="00BD77D8">
        <w:rPr>
          <w:rFonts w:eastAsia="Calibri"/>
          <w:lang w:val="en-US" w:eastAsia="en-US"/>
        </w:rPr>
        <w:t>–</w:t>
      </w:r>
      <w:r w:rsidR="0052565E" w:rsidRPr="00BD77D8">
        <w:rPr>
          <w:rFonts w:eastAsia="Calibri"/>
          <w:lang w:val="en-US" w:eastAsia="en-US"/>
        </w:rPr>
        <w:t>20</w:t>
      </w:r>
      <w:r w:rsidRPr="00BD77D8">
        <w:rPr>
          <w:rFonts w:eastAsia="Calibri"/>
          <w:lang w:val="en-US" w:eastAsia="en-US"/>
        </w:rPr>
        <w:t>23.</w:t>
      </w:r>
      <w:r w:rsidR="002709C2" w:rsidRPr="00BD77D8">
        <w:t xml:space="preserve"> </w:t>
      </w:r>
      <w:r w:rsidR="002709C2" w:rsidRPr="00BD77D8">
        <w:rPr>
          <w:rFonts w:eastAsia="Calibri"/>
          <w:lang w:val="en-US" w:eastAsia="en-US"/>
        </w:rPr>
        <w:t>These network groups focus on supporting employees through their personal and professional development.</w:t>
      </w:r>
    </w:p>
    <w:bookmarkEnd w:id="266"/>
    <w:bookmarkEnd w:id="267"/>
    <w:p w14:paraId="77B93519" w14:textId="42F8DE99" w:rsidR="0011334C" w:rsidRPr="00BD77D8" w:rsidRDefault="0011334C" w:rsidP="00B519D9">
      <w:pPr>
        <w:pStyle w:val="Heading3"/>
      </w:pPr>
      <w:r w:rsidRPr="00BD77D8">
        <w:t>Strategic workforce planning and performance</w:t>
      </w:r>
      <w:r w:rsidR="001153B4" w:rsidRPr="00BD77D8">
        <w:t xml:space="preserve"> </w:t>
      </w:r>
    </w:p>
    <w:p w14:paraId="2DBAD877" w14:textId="2F08D6CA" w:rsidR="00590ED0" w:rsidRPr="00BD77D8" w:rsidRDefault="00590ED0" w:rsidP="00590ED0">
      <w:r w:rsidRPr="00BD77D8">
        <w:t xml:space="preserve">In 2021, the department approved its </w:t>
      </w:r>
      <w:r w:rsidRPr="00BD77D8">
        <w:rPr>
          <w:i/>
          <w:iCs/>
        </w:rPr>
        <w:t>Strategic Workforce Plan 2021</w:t>
      </w:r>
      <w:r w:rsidR="00C72EF1" w:rsidRPr="00BD77D8">
        <w:rPr>
          <w:i/>
          <w:iCs/>
        </w:rPr>
        <w:t>–</w:t>
      </w:r>
      <w:r w:rsidR="0052565E" w:rsidRPr="00BD77D8">
        <w:rPr>
          <w:i/>
          <w:iCs/>
        </w:rPr>
        <w:t>20</w:t>
      </w:r>
      <w:r w:rsidRPr="00BD77D8">
        <w:rPr>
          <w:i/>
          <w:iCs/>
        </w:rPr>
        <w:t>25</w:t>
      </w:r>
      <w:r w:rsidR="0052565E" w:rsidRPr="00BD77D8">
        <w:t>,</w:t>
      </w:r>
      <w:r w:rsidRPr="00BD77D8">
        <w:t xml:space="preserve"> </w:t>
      </w:r>
      <w:r w:rsidRPr="00BD77D8">
        <w:rPr>
          <w:i/>
          <w:iCs/>
        </w:rPr>
        <w:t>A Capable Workforce</w:t>
      </w:r>
      <w:r w:rsidR="0052565E" w:rsidRPr="00BD77D8">
        <w:rPr>
          <w:i/>
          <w:iCs/>
        </w:rPr>
        <w:t>;</w:t>
      </w:r>
      <w:r w:rsidRPr="00BD77D8">
        <w:t xml:space="preserve"> </w:t>
      </w:r>
      <w:r w:rsidRPr="00BD77D8">
        <w:rPr>
          <w:i/>
          <w:iCs/>
        </w:rPr>
        <w:t>A Quality Workplace</w:t>
      </w:r>
      <w:r w:rsidRPr="00BD77D8">
        <w:t>. The strategic plan aligns workforce initiatives with the department’s priorities and provides a consistent reference point for its workforce agenda.</w:t>
      </w:r>
    </w:p>
    <w:p w14:paraId="00080101" w14:textId="6770A1E4" w:rsidR="00590ED0" w:rsidRPr="00BD77D8" w:rsidRDefault="00590ED0" w:rsidP="00590ED0">
      <w:r w:rsidRPr="00BD77D8">
        <w:t>The objectives and strategies set out in our Strategic Workforce Plan 2021</w:t>
      </w:r>
      <w:r w:rsidR="00C72EF1" w:rsidRPr="00BD77D8">
        <w:t>–</w:t>
      </w:r>
      <w:r w:rsidR="0052565E" w:rsidRPr="00BD77D8">
        <w:t>20</w:t>
      </w:r>
      <w:r w:rsidRPr="00BD77D8">
        <w:t xml:space="preserve">25 support the achievement of the department’s vision and </w:t>
      </w:r>
      <w:r w:rsidR="00C72EF1" w:rsidRPr="00BD77D8">
        <w:t>are</w:t>
      </w:r>
      <w:r w:rsidRPr="00BD77D8">
        <w:t xml:space="preserve"> designed to guide the department to develop an agile, high</w:t>
      </w:r>
      <w:r w:rsidR="00C72EF1" w:rsidRPr="00BD77D8">
        <w:t>-</w:t>
      </w:r>
      <w:r w:rsidRPr="00BD77D8">
        <w:t>performing, professional and innovative workforce that can meet the department’s current and future business needs.</w:t>
      </w:r>
    </w:p>
    <w:p w14:paraId="4CB37DC8" w14:textId="25B4F2BE" w:rsidR="00590ED0" w:rsidRPr="00BD77D8" w:rsidRDefault="00590ED0" w:rsidP="00590ED0">
      <w:r w:rsidRPr="00BD77D8">
        <w:lastRenderedPageBreak/>
        <w:t xml:space="preserve">The department has a range of other strategies and frameworks in place to foster </w:t>
      </w:r>
      <w:r w:rsidR="0052565E" w:rsidRPr="00BD77D8">
        <w:t xml:space="preserve">a </w:t>
      </w:r>
      <w:r w:rsidRPr="00BD77D8">
        <w:t xml:space="preserve">healthy workplace culture and an </w:t>
      </w:r>
      <w:r w:rsidR="00AC6AFA" w:rsidRPr="00BD77D8">
        <w:t>inclusive workplace</w:t>
      </w:r>
      <w:r w:rsidRPr="00BD77D8">
        <w:t>, while creating an agile future</w:t>
      </w:r>
      <w:r w:rsidR="00322382" w:rsidRPr="00BD77D8">
        <w:t>-</w:t>
      </w:r>
      <w:r w:rsidRPr="00BD77D8">
        <w:t>focused organisation. These include the Safety, Wellbeing and Injury Management Strategy and Operating framework, Positive Performance Management framework, the Wellbeing Strategy</w:t>
      </w:r>
      <w:r w:rsidR="00C72EF1" w:rsidRPr="00BD77D8">
        <w:t>,</w:t>
      </w:r>
      <w:r w:rsidRPr="00BD77D8">
        <w:t xml:space="preserve"> and the Workforce Capability </w:t>
      </w:r>
      <w:r w:rsidR="0052565E" w:rsidRPr="00BD77D8">
        <w:t>F</w:t>
      </w:r>
      <w:r w:rsidRPr="00BD77D8">
        <w:t>ramework 2021</w:t>
      </w:r>
      <w:r w:rsidR="007E50B0" w:rsidRPr="00BD77D8">
        <w:t>–</w:t>
      </w:r>
      <w:r w:rsidRPr="00BD77D8">
        <w:t>2025, all of which have our SOLID values at their core. In addition, the department is White Ribbon</w:t>
      </w:r>
      <w:r w:rsidR="00C72EF1" w:rsidRPr="00BD77D8">
        <w:t>-</w:t>
      </w:r>
      <w:r w:rsidRPr="00BD77D8">
        <w:t>accredited and has an ongoing commitment to supporting employees in relation to domestic and family violence.</w:t>
      </w:r>
    </w:p>
    <w:p w14:paraId="7C31C5B5" w14:textId="1CED4623" w:rsidR="00185BFB" w:rsidRPr="00BD77D8" w:rsidRDefault="00185BFB" w:rsidP="009F1FB5">
      <w:pPr>
        <w:pStyle w:val="Heading3"/>
      </w:pPr>
      <w:r w:rsidRPr="00BD77D8">
        <w:t>Attraction and retention strategies</w:t>
      </w:r>
    </w:p>
    <w:p w14:paraId="61B69191" w14:textId="77777777" w:rsidR="00993EFA" w:rsidRPr="00BD77D8" w:rsidRDefault="00993EFA" w:rsidP="009F1FB5">
      <w:pPr>
        <w:rPr>
          <w:rFonts w:eastAsia="Calibri"/>
          <w:lang w:val="en-US" w:eastAsia="en-US"/>
        </w:rPr>
      </w:pPr>
      <w:r w:rsidRPr="00BD77D8">
        <w:rPr>
          <w:rFonts w:eastAsia="Calibri"/>
          <w:lang w:val="en-US" w:eastAsia="en-US"/>
        </w:rPr>
        <w:t xml:space="preserve">Attracting and retaining a diverse talent pool drawn from all sections of the community is crucial to the department’s ability to deliver effective services that reflect the community and its expectations. </w:t>
      </w:r>
    </w:p>
    <w:p w14:paraId="33FB500D" w14:textId="03FCEF73" w:rsidR="00993EFA" w:rsidRPr="00BD77D8" w:rsidRDefault="00993EFA" w:rsidP="009F1FB5">
      <w:pPr>
        <w:rPr>
          <w:rFonts w:eastAsia="Calibri"/>
          <w:lang w:val="en-US" w:eastAsia="en-US"/>
        </w:rPr>
      </w:pPr>
      <w:r w:rsidRPr="00BD77D8">
        <w:rPr>
          <w:rFonts w:eastAsia="Calibri"/>
          <w:lang w:val="en-US" w:eastAsia="en-US"/>
        </w:rPr>
        <w:t>The department offers a range of career path</w:t>
      </w:r>
      <w:r w:rsidR="00C81C2A" w:rsidRPr="00BD77D8">
        <w:rPr>
          <w:rFonts w:eastAsia="Calibri"/>
          <w:lang w:val="en-US" w:eastAsia="en-US"/>
        </w:rPr>
        <w:t>way</w:t>
      </w:r>
      <w:r w:rsidRPr="00BD77D8">
        <w:rPr>
          <w:rFonts w:eastAsia="Calibri"/>
          <w:lang w:val="en-US" w:eastAsia="en-US"/>
        </w:rPr>
        <w:t xml:space="preserve">s and benefits to support and retain a skilled and capable workforce. This includes offering competitive salary and working conditions to enable a work-life balance. The span of learning and development opportunities available demonstrates the department’s continued commitment to developing </w:t>
      </w:r>
      <w:r w:rsidR="0052565E" w:rsidRPr="00BD77D8">
        <w:rPr>
          <w:rFonts w:eastAsia="Calibri"/>
          <w:lang w:val="en-US" w:eastAsia="en-US"/>
        </w:rPr>
        <w:t xml:space="preserve">staff </w:t>
      </w:r>
      <w:r w:rsidRPr="00BD77D8">
        <w:rPr>
          <w:rFonts w:eastAsia="Calibri"/>
          <w:lang w:val="en-US" w:eastAsia="en-US"/>
        </w:rPr>
        <w:t>capabilit</w:t>
      </w:r>
      <w:r w:rsidR="0052565E" w:rsidRPr="00BD77D8">
        <w:rPr>
          <w:rFonts w:eastAsia="Calibri"/>
          <w:lang w:val="en-US" w:eastAsia="en-US"/>
        </w:rPr>
        <w:t>y</w:t>
      </w:r>
      <w:r w:rsidRPr="00BD77D8">
        <w:rPr>
          <w:rFonts w:eastAsia="Calibri"/>
          <w:lang w:val="en-US" w:eastAsia="en-US"/>
        </w:rPr>
        <w:t xml:space="preserve"> and providing career pathways for our workforce.</w:t>
      </w:r>
    </w:p>
    <w:p w14:paraId="5B7D4A89" w14:textId="22045B2A" w:rsidR="0058405E" w:rsidRPr="00BD77D8" w:rsidRDefault="0058405E" w:rsidP="009F1FB5">
      <w:pPr>
        <w:rPr>
          <w:rFonts w:eastAsia="Calibri"/>
          <w:lang w:val="en-US" w:eastAsia="en-US"/>
        </w:rPr>
      </w:pPr>
      <w:r w:rsidRPr="00BD77D8">
        <w:rPr>
          <w:rFonts w:eastAsia="Calibri"/>
          <w:lang w:val="en-US" w:eastAsia="en-US"/>
        </w:rPr>
        <w:t xml:space="preserve">In </w:t>
      </w:r>
      <w:r w:rsidR="001C5646" w:rsidRPr="00BD77D8">
        <w:rPr>
          <w:rFonts w:eastAsia="Calibri"/>
          <w:lang w:val="en-US" w:eastAsia="en-US"/>
        </w:rPr>
        <w:t>2021</w:t>
      </w:r>
      <w:r w:rsidR="00C72EF1" w:rsidRPr="00BD77D8">
        <w:rPr>
          <w:rFonts w:eastAsia="Calibri"/>
          <w:lang w:val="en-US" w:eastAsia="en-US"/>
        </w:rPr>
        <w:t>–</w:t>
      </w:r>
      <w:r w:rsidR="001C5646" w:rsidRPr="00BD77D8">
        <w:rPr>
          <w:rFonts w:eastAsia="Calibri"/>
          <w:lang w:val="en-US" w:eastAsia="en-US"/>
        </w:rPr>
        <w:t>2022</w:t>
      </w:r>
      <w:r w:rsidRPr="00BD77D8">
        <w:rPr>
          <w:rFonts w:eastAsia="Calibri"/>
          <w:lang w:val="en-US" w:eastAsia="en-US"/>
        </w:rPr>
        <w:t xml:space="preserve">, the department focused on implementing a range of recruitment and selection strategies to support frontline service delivery roles to attract and retain casual </w:t>
      </w:r>
      <w:r w:rsidR="007C3B71" w:rsidRPr="00BD77D8">
        <w:rPr>
          <w:rFonts w:eastAsia="Calibri"/>
          <w:lang w:val="en-US" w:eastAsia="en-US"/>
        </w:rPr>
        <w:t>R</w:t>
      </w:r>
      <w:r w:rsidRPr="00BD77D8">
        <w:rPr>
          <w:rFonts w:eastAsia="Calibri"/>
          <w:lang w:val="en-US" w:eastAsia="en-US"/>
        </w:rPr>
        <w:t xml:space="preserve">esidential </w:t>
      </w:r>
      <w:r w:rsidR="007C3B71" w:rsidRPr="00BD77D8">
        <w:rPr>
          <w:rFonts w:eastAsia="Calibri"/>
          <w:lang w:val="en-US" w:eastAsia="en-US"/>
        </w:rPr>
        <w:t>C</w:t>
      </w:r>
      <w:r w:rsidRPr="00BD77D8">
        <w:rPr>
          <w:rFonts w:eastAsia="Calibri"/>
          <w:lang w:val="en-US" w:eastAsia="en-US"/>
        </w:rPr>
        <w:t xml:space="preserve">are </w:t>
      </w:r>
      <w:r w:rsidR="007C3B71" w:rsidRPr="00BD77D8">
        <w:rPr>
          <w:rFonts w:eastAsia="Calibri"/>
          <w:lang w:val="en-US" w:eastAsia="en-US"/>
        </w:rPr>
        <w:t>O</w:t>
      </w:r>
      <w:r w:rsidRPr="00BD77D8">
        <w:rPr>
          <w:rFonts w:eastAsia="Calibri"/>
          <w:lang w:val="en-US" w:eastAsia="en-US"/>
        </w:rPr>
        <w:t xml:space="preserve">fficers within Accommodation Support and Respite Services. This included </w:t>
      </w:r>
      <w:r w:rsidR="007C3B71" w:rsidRPr="00BD77D8">
        <w:rPr>
          <w:rFonts w:eastAsia="Calibri"/>
          <w:lang w:val="en-US" w:eastAsia="en-US"/>
        </w:rPr>
        <w:t>the</w:t>
      </w:r>
      <w:r w:rsidRPr="00BD77D8">
        <w:rPr>
          <w:rFonts w:eastAsia="Calibri"/>
          <w:lang w:val="en-US" w:eastAsia="en-US"/>
        </w:rPr>
        <w:t xml:space="preserve"> focus group </w:t>
      </w:r>
      <w:r w:rsidR="007C3B71" w:rsidRPr="00BD77D8">
        <w:rPr>
          <w:rFonts w:eastAsia="Calibri"/>
          <w:lang w:val="en-US" w:eastAsia="en-US"/>
        </w:rPr>
        <w:t xml:space="preserve">continuing </w:t>
      </w:r>
      <w:r w:rsidRPr="00BD77D8">
        <w:rPr>
          <w:rFonts w:eastAsia="Calibri"/>
          <w:lang w:val="en-US" w:eastAsia="en-US"/>
        </w:rPr>
        <w:t xml:space="preserve">to address recruitment challenges, and </w:t>
      </w:r>
      <w:r w:rsidR="0052565E" w:rsidRPr="00BD77D8">
        <w:rPr>
          <w:rFonts w:eastAsia="Calibri"/>
          <w:lang w:val="en-US" w:eastAsia="en-US"/>
        </w:rPr>
        <w:t xml:space="preserve">the </w:t>
      </w:r>
      <w:r w:rsidR="007C3B71" w:rsidRPr="00BD77D8">
        <w:rPr>
          <w:rFonts w:eastAsia="Calibri"/>
          <w:lang w:val="en-US" w:eastAsia="en-US"/>
        </w:rPr>
        <w:t>development of a virtual information session video to provide interested applicants with an overview of the role</w:t>
      </w:r>
      <w:r w:rsidRPr="00BD77D8">
        <w:rPr>
          <w:rFonts w:eastAsia="Calibri"/>
          <w:lang w:val="en-US" w:eastAsia="en-US"/>
        </w:rPr>
        <w:t xml:space="preserve">. </w:t>
      </w:r>
    </w:p>
    <w:p w14:paraId="51F3CE82" w14:textId="317DAE4D" w:rsidR="007C3B71" w:rsidRPr="00BD77D8" w:rsidRDefault="007C3B71" w:rsidP="009F1FB5">
      <w:pPr>
        <w:rPr>
          <w:rFonts w:eastAsia="Calibri"/>
          <w:lang w:val="en-US" w:eastAsia="en-US"/>
        </w:rPr>
      </w:pPr>
      <w:r w:rsidRPr="00BD77D8">
        <w:rPr>
          <w:rFonts w:eastAsia="Calibri"/>
          <w:lang w:val="en-US" w:eastAsia="en-US"/>
        </w:rPr>
        <w:t>The department’s recruitment and selection policy</w:t>
      </w:r>
      <w:r w:rsidR="0052565E" w:rsidRPr="00BD77D8">
        <w:rPr>
          <w:rFonts w:eastAsia="Calibri"/>
          <w:lang w:val="en-US" w:eastAsia="en-US"/>
        </w:rPr>
        <w:t>,</w:t>
      </w:r>
      <w:r w:rsidRPr="00BD77D8">
        <w:rPr>
          <w:rFonts w:eastAsia="Calibri"/>
          <w:lang w:val="en-US" w:eastAsia="en-US"/>
        </w:rPr>
        <w:t xml:space="preserve"> and supporting guideline and templates were also reviewed and refreshed.</w:t>
      </w:r>
    </w:p>
    <w:p w14:paraId="4F12ED55" w14:textId="09A9A90E" w:rsidR="00141A0C" w:rsidRPr="00BD77D8" w:rsidRDefault="00141A0C" w:rsidP="009F1FB5">
      <w:pPr>
        <w:rPr>
          <w:rFonts w:eastAsia="Calibri"/>
          <w:lang w:val="en-US" w:eastAsia="en-US"/>
        </w:rPr>
      </w:pPr>
      <w:bookmarkStart w:id="270" w:name="_Hlk112838339"/>
      <w:r w:rsidRPr="00BD77D8">
        <w:rPr>
          <w:rFonts w:eastAsia="Calibri"/>
          <w:lang w:val="en-US" w:eastAsia="en-US"/>
        </w:rPr>
        <w:t>We also partner</w:t>
      </w:r>
      <w:r w:rsidR="0052565E" w:rsidRPr="00BD77D8">
        <w:rPr>
          <w:rFonts w:eastAsia="Calibri"/>
          <w:lang w:val="en-US" w:eastAsia="en-US"/>
        </w:rPr>
        <w:t>ed</w:t>
      </w:r>
      <w:r w:rsidRPr="00BD77D8">
        <w:rPr>
          <w:rFonts w:eastAsia="Calibri"/>
          <w:lang w:val="en-US" w:eastAsia="en-US"/>
        </w:rPr>
        <w:t xml:space="preserve"> with the Public Service Commission to attract, retain and develop Aboriginal and Torres Strait Islander public servants and public service employees with disability. Two positions </w:t>
      </w:r>
      <w:r w:rsidR="007C3B71" w:rsidRPr="00BD77D8">
        <w:rPr>
          <w:rFonts w:eastAsia="Calibri"/>
          <w:lang w:val="en-US" w:eastAsia="en-US"/>
        </w:rPr>
        <w:t>were</w:t>
      </w:r>
      <w:r w:rsidRPr="00BD77D8">
        <w:rPr>
          <w:rFonts w:eastAsia="Calibri"/>
          <w:lang w:val="en-US" w:eastAsia="en-US"/>
        </w:rPr>
        <w:t xml:space="preserve"> funded by the department in these areas and the two employees work</w:t>
      </w:r>
      <w:r w:rsidR="007C3B71" w:rsidRPr="00BD77D8">
        <w:rPr>
          <w:rFonts w:eastAsia="Calibri"/>
          <w:lang w:val="en-US" w:eastAsia="en-US"/>
        </w:rPr>
        <w:t>ed</w:t>
      </w:r>
      <w:r w:rsidRPr="00BD77D8">
        <w:rPr>
          <w:rFonts w:eastAsia="Calibri"/>
          <w:lang w:val="en-US" w:eastAsia="en-US"/>
        </w:rPr>
        <w:t xml:space="preserve"> in the Public Service Commission. Specific areas of work include</w:t>
      </w:r>
      <w:r w:rsidR="007C3B71" w:rsidRPr="00BD77D8">
        <w:rPr>
          <w:rFonts w:eastAsia="Calibri"/>
          <w:lang w:val="en-US" w:eastAsia="en-US"/>
        </w:rPr>
        <w:t>d</w:t>
      </w:r>
      <w:r w:rsidRPr="00BD77D8">
        <w:rPr>
          <w:rFonts w:eastAsia="Calibri"/>
          <w:lang w:val="en-US" w:eastAsia="en-US"/>
        </w:rPr>
        <w:t xml:space="preserve"> the development and implementation of the Aboriginal and Torres Strait Islander Careers Pathways Service and assisting the public service with employment initiatives for people with disability.</w:t>
      </w:r>
    </w:p>
    <w:bookmarkEnd w:id="270"/>
    <w:p w14:paraId="411C8255" w14:textId="52F5BDFE" w:rsidR="0011334C" w:rsidRPr="00BD77D8" w:rsidRDefault="0011334C" w:rsidP="009F1FB5">
      <w:pPr>
        <w:pStyle w:val="Heading3"/>
      </w:pPr>
      <w:r w:rsidRPr="00BD77D8">
        <w:t>Learning and development opportunities</w:t>
      </w:r>
      <w:r w:rsidR="0058405E" w:rsidRPr="00BD77D8">
        <w:t xml:space="preserve"> </w:t>
      </w:r>
    </w:p>
    <w:p w14:paraId="737A0B8E" w14:textId="17DF6F88" w:rsidR="005C1C44" w:rsidRPr="00BD77D8" w:rsidRDefault="005C1C44" w:rsidP="009F1FB5">
      <w:pPr>
        <w:rPr>
          <w:rFonts w:eastAsia="Calibri"/>
          <w:lang w:val="en-US"/>
        </w:rPr>
      </w:pPr>
      <w:r w:rsidRPr="00BD77D8">
        <w:rPr>
          <w:rFonts w:eastAsia="Calibri"/>
          <w:lang w:val="en-US"/>
        </w:rPr>
        <w:t>The department’s approach to capability development is underpinned by a growth mindset and maintains that all employees can grow and improve, and</w:t>
      </w:r>
      <w:r w:rsidR="00E514A1" w:rsidRPr="00BD77D8">
        <w:rPr>
          <w:rFonts w:eastAsia="Calibri"/>
          <w:lang w:val="en-US"/>
        </w:rPr>
        <w:t xml:space="preserve"> that they</w:t>
      </w:r>
      <w:r w:rsidRPr="00BD77D8">
        <w:rPr>
          <w:rFonts w:eastAsia="Calibri"/>
          <w:lang w:val="en-US"/>
        </w:rPr>
        <w:t xml:space="preserve"> should be supported in this by their leaders and colleagues.</w:t>
      </w:r>
      <w:r w:rsidR="007C3B71" w:rsidRPr="00BD77D8">
        <w:rPr>
          <w:rFonts w:eastAsia="Calibri"/>
          <w:lang w:val="en-US"/>
        </w:rPr>
        <w:t xml:space="preserve"> The department continues to invest and value the importance of a skilled and capable workforce. The range of training and capability development strategies enable staff</w:t>
      </w:r>
      <w:r w:rsidR="007B585C" w:rsidRPr="00BD77D8">
        <w:rPr>
          <w:rFonts w:eastAsia="Calibri"/>
          <w:lang w:val="en-US"/>
        </w:rPr>
        <w:t>,</w:t>
      </w:r>
      <w:r w:rsidR="007C3B71" w:rsidRPr="00BD77D8">
        <w:rPr>
          <w:rFonts w:eastAsia="Calibri"/>
          <w:lang w:val="en-US"/>
        </w:rPr>
        <w:t xml:space="preserve"> from commencement of employment</w:t>
      </w:r>
      <w:r w:rsidR="007B585C" w:rsidRPr="00BD77D8">
        <w:rPr>
          <w:rFonts w:eastAsia="Calibri"/>
          <w:lang w:val="en-US"/>
        </w:rPr>
        <w:t>,</w:t>
      </w:r>
      <w:r w:rsidR="007C3B71" w:rsidRPr="00BD77D8">
        <w:rPr>
          <w:rFonts w:eastAsia="Calibri"/>
          <w:lang w:val="en-US"/>
        </w:rPr>
        <w:t xml:space="preserve"> to have a clear and shared understanding </w:t>
      </w:r>
      <w:r w:rsidR="0052565E" w:rsidRPr="00BD77D8">
        <w:rPr>
          <w:rFonts w:eastAsia="Calibri"/>
          <w:lang w:val="en-US"/>
        </w:rPr>
        <w:t>of</w:t>
      </w:r>
      <w:r w:rsidR="007C3B71" w:rsidRPr="00BD77D8">
        <w:rPr>
          <w:rFonts w:eastAsia="Calibri"/>
          <w:lang w:val="en-US"/>
        </w:rPr>
        <w:t xml:space="preserve"> their role demonstrating SOLID values, working in teams and delive</w:t>
      </w:r>
      <w:r w:rsidR="0052565E" w:rsidRPr="00BD77D8">
        <w:rPr>
          <w:rFonts w:eastAsia="Calibri"/>
          <w:lang w:val="en-US"/>
        </w:rPr>
        <w:t>ring</w:t>
      </w:r>
      <w:r w:rsidR="007C3B71" w:rsidRPr="00BD77D8">
        <w:rPr>
          <w:rFonts w:eastAsia="Calibri"/>
          <w:lang w:val="en-US"/>
        </w:rPr>
        <w:t xml:space="preserve"> effective services to Queensland communities.</w:t>
      </w:r>
    </w:p>
    <w:p w14:paraId="3C8CCD12" w14:textId="2F8E186A" w:rsidR="007C3B71" w:rsidRPr="00BD77D8" w:rsidRDefault="007C3B71" w:rsidP="007C3B71">
      <w:pPr>
        <w:rPr>
          <w:rFonts w:eastAsia="Calibri"/>
          <w:lang w:val="en-US"/>
        </w:rPr>
      </w:pPr>
      <w:r w:rsidRPr="00BD77D8">
        <w:rPr>
          <w:rFonts w:eastAsia="Calibri"/>
          <w:lang w:val="en-US"/>
        </w:rPr>
        <w:t>All training and capability development activities were guided by the Workforce Capability Framework 2021</w:t>
      </w:r>
      <w:r w:rsidR="00354BF7" w:rsidRPr="00BD77D8">
        <w:rPr>
          <w:rFonts w:eastAsia="Calibri"/>
          <w:lang w:val="en-US"/>
        </w:rPr>
        <w:t>–</w:t>
      </w:r>
      <w:r w:rsidR="0052565E" w:rsidRPr="00BD77D8">
        <w:rPr>
          <w:rFonts w:eastAsia="Calibri"/>
          <w:lang w:val="en-US"/>
        </w:rPr>
        <w:t>20</w:t>
      </w:r>
      <w:r w:rsidRPr="00BD77D8">
        <w:rPr>
          <w:rFonts w:eastAsia="Calibri"/>
          <w:lang w:val="en-US"/>
        </w:rPr>
        <w:t>25 and linked to individual’s performance and development agreements.</w:t>
      </w:r>
    </w:p>
    <w:p w14:paraId="2CE3CA45" w14:textId="16D5E9A4" w:rsidR="007C3B71" w:rsidRPr="00BD77D8" w:rsidRDefault="007C3B71" w:rsidP="007C3B71">
      <w:pPr>
        <w:rPr>
          <w:rFonts w:eastAsia="Calibri"/>
          <w:lang w:val="en-US"/>
        </w:rPr>
      </w:pPr>
      <w:r w:rsidRPr="00BD77D8">
        <w:rPr>
          <w:rFonts w:eastAsia="Calibri"/>
          <w:lang w:val="en-US"/>
        </w:rPr>
        <w:t>In 2021</w:t>
      </w:r>
      <w:r w:rsidR="00354BF7" w:rsidRPr="00BD77D8">
        <w:rPr>
          <w:rFonts w:eastAsia="Calibri"/>
          <w:lang w:val="en-US"/>
        </w:rPr>
        <w:t>–</w:t>
      </w:r>
      <w:r w:rsidRPr="00BD77D8">
        <w:rPr>
          <w:rFonts w:eastAsia="Calibri"/>
          <w:lang w:val="en-US"/>
        </w:rPr>
        <w:t>2022, 24,806 staff participa</w:t>
      </w:r>
      <w:r w:rsidR="0052565E" w:rsidRPr="00BD77D8">
        <w:rPr>
          <w:rFonts w:eastAsia="Calibri"/>
          <w:lang w:val="en-US"/>
        </w:rPr>
        <w:t>ted</w:t>
      </w:r>
      <w:r w:rsidRPr="00BD77D8">
        <w:rPr>
          <w:rFonts w:eastAsia="Calibri"/>
          <w:lang w:val="en-US"/>
        </w:rPr>
        <w:t xml:space="preserve"> </w:t>
      </w:r>
      <w:r w:rsidR="0052565E" w:rsidRPr="00BD77D8">
        <w:rPr>
          <w:rFonts w:eastAsia="Calibri"/>
          <w:lang w:val="en-US"/>
        </w:rPr>
        <w:t>in</w:t>
      </w:r>
      <w:r w:rsidRPr="00BD77D8">
        <w:rPr>
          <w:rFonts w:eastAsia="Calibri"/>
          <w:lang w:val="en-US"/>
        </w:rPr>
        <w:t xml:space="preserve"> a range of learning and development activities</w:t>
      </w:r>
      <w:r w:rsidR="0052565E" w:rsidRPr="00BD77D8">
        <w:rPr>
          <w:rFonts w:eastAsia="Calibri"/>
          <w:lang w:val="en-US"/>
        </w:rPr>
        <w:t>,</w:t>
      </w:r>
      <w:r w:rsidRPr="00BD77D8">
        <w:rPr>
          <w:rFonts w:eastAsia="Calibri"/>
          <w:lang w:val="en-US"/>
        </w:rPr>
        <w:t xml:space="preserve"> including mandatory training, role</w:t>
      </w:r>
      <w:r w:rsidR="0052565E" w:rsidRPr="00BD77D8">
        <w:rPr>
          <w:rFonts w:eastAsia="Calibri"/>
          <w:lang w:val="en-US"/>
        </w:rPr>
        <w:t>-</w:t>
      </w:r>
      <w:r w:rsidRPr="00BD77D8">
        <w:rPr>
          <w:rFonts w:eastAsia="Calibri"/>
          <w:lang w:val="en-US"/>
        </w:rPr>
        <w:t>specific capability training, professional development opportunities and skill development.</w:t>
      </w:r>
    </w:p>
    <w:p w14:paraId="5F8D0798" w14:textId="40C06803" w:rsidR="007C3B71" w:rsidRPr="00BD77D8" w:rsidRDefault="007C3B71" w:rsidP="007C3B71">
      <w:pPr>
        <w:rPr>
          <w:rFonts w:eastAsia="Calibri"/>
          <w:lang w:val="en-US"/>
        </w:rPr>
      </w:pPr>
      <w:r w:rsidRPr="00BD77D8">
        <w:rPr>
          <w:rFonts w:eastAsia="Calibri"/>
          <w:lang w:val="en-US"/>
        </w:rPr>
        <w:t>Additionally, 84 staff completed national qualifications to support role requirements and professional development. Qualifications included Certificate IV in Community Services, Certificate IV in Disability, Diploma of Community Services and Diploma of Leadership and Management.</w:t>
      </w:r>
    </w:p>
    <w:p w14:paraId="2D901D67" w14:textId="69D529AA" w:rsidR="00536B43" w:rsidRPr="00BD77D8" w:rsidRDefault="00536B43" w:rsidP="00536B43">
      <w:pPr>
        <w:rPr>
          <w:rFonts w:eastAsia="Calibri"/>
          <w:lang w:val="en-US"/>
        </w:rPr>
      </w:pPr>
      <w:r w:rsidRPr="00BD77D8">
        <w:rPr>
          <w:rFonts w:eastAsia="Calibri"/>
          <w:lang w:val="en-US"/>
        </w:rPr>
        <w:t>During 2021</w:t>
      </w:r>
      <w:r w:rsidR="00354BF7" w:rsidRPr="00BD77D8">
        <w:rPr>
          <w:rFonts w:eastAsia="Calibri"/>
          <w:lang w:val="en-US"/>
        </w:rPr>
        <w:t>–</w:t>
      </w:r>
      <w:r w:rsidRPr="00BD77D8">
        <w:rPr>
          <w:rFonts w:eastAsia="Calibri"/>
          <w:lang w:val="en-US"/>
        </w:rPr>
        <w:t xml:space="preserve">2022, the department worked with the Public Service Commission to support the Aboriginal and Torres Strait Islander Career Pathways Service, which was established in 2019. Currently, there are 36 Aboriginal and Torres Strait Islander participants and supervisors from this department participating in the Career Pathways Service. Opportunities for participants, </w:t>
      </w:r>
      <w:proofErr w:type="gramStart"/>
      <w:r w:rsidRPr="00BD77D8">
        <w:rPr>
          <w:rFonts w:eastAsia="Calibri"/>
          <w:lang w:val="en-US"/>
        </w:rPr>
        <w:t>as a result of</w:t>
      </w:r>
      <w:proofErr w:type="gramEnd"/>
      <w:r w:rsidRPr="00BD77D8">
        <w:rPr>
          <w:rFonts w:eastAsia="Calibri"/>
          <w:lang w:val="en-US"/>
        </w:rPr>
        <w:t xml:space="preserve"> their involvement, include higher duties </w:t>
      </w:r>
      <w:r w:rsidRPr="00BD77D8">
        <w:rPr>
          <w:rFonts w:eastAsia="Calibri"/>
          <w:lang w:val="en-US"/>
        </w:rPr>
        <w:lastRenderedPageBreak/>
        <w:t>secondments, access to learning and development opportunities, and mentoring, coaching and networking opportunities.</w:t>
      </w:r>
    </w:p>
    <w:p w14:paraId="4AA8F57D" w14:textId="4557D751" w:rsidR="00597A63" w:rsidRPr="00BD77D8" w:rsidRDefault="00597A63" w:rsidP="00F90726">
      <w:pPr>
        <w:pStyle w:val="Heading3"/>
      </w:pPr>
      <w:bookmarkStart w:id="271" w:name="_Hlk112838364"/>
      <w:r w:rsidRPr="00BD77D8">
        <w:t>Building cultural capacity</w:t>
      </w:r>
    </w:p>
    <w:p w14:paraId="49A532FB" w14:textId="34279668" w:rsidR="007C3B71" w:rsidRPr="00BD77D8" w:rsidRDefault="007C3B71" w:rsidP="007C3B71">
      <w:pPr>
        <w:rPr>
          <w:rFonts w:eastAsia="Calibri"/>
          <w:lang w:val="en-US"/>
        </w:rPr>
      </w:pPr>
      <w:r w:rsidRPr="00BD77D8">
        <w:rPr>
          <w:rFonts w:eastAsia="Calibri"/>
          <w:lang w:val="en-US"/>
        </w:rPr>
        <w:t xml:space="preserve">The department </w:t>
      </w:r>
      <w:proofErr w:type="spellStart"/>
      <w:r w:rsidRPr="00BD77D8">
        <w:rPr>
          <w:rFonts w:eastAsia="Calibri"/>
          <w:lang w:val="en-US"/>
        </w:rPr>
        <w:t>recognises</w:t>
      </w:r>
      <w:proofErr w:type="spellEnd"/>
      <w:r w:rsidRPr="00BD77D8">
        <w:rPr>
          <w:rFonts w:eastAsia="Calibri"/>
          <w:lang w:val="en-US"/>
        </w:rPr>
        <w:t xml:space="preserve"> that the cultural capability of all staff is integral to achieving our vision of thriving Queensland communities and creating an inclusive workplace. In 2021</w:t>
      </w:r>
      <w:r w:rsidR="00354BF7" w:rsidRPr="00BD77D8">
        <w:rPr>
          <w:rFonts w:eastAsia="Calibri"/>
          <w:lang w:val="en-US"/>
        </w:rPr>
        <w:t>–</w:t>
      </w:r>
      <w:r w:rsidRPr="00BD77D8">
        <w:rPr>
          <w:rFonts w:eastAsia="Calibri"/>
          <w:lang w:val="en-US"/>
        </w:rPr>
        <w:t xml:space="preserve">2022, 699 staff completed mandatory cultural awareness training, and </w:t>
      </w:r>
      <w:r w:rsidR="00354BF7" w:rsidRPr="00BD77D8">
        <w:rPr>
          <w:rFonts w:eastAsia="Calibri"/>
          <w:lang w:val="en-US"/>
        </w:rPr>
        <w:t>13</w:t>
      </w:r>
      <w:r w:rsidRPr="00BD77D8">
        <w:rPr>
          <w:rFonts w:eastAsia="Calibri"/>
          <w:lang w:val="en-US"/>
        </w:rPr>
        <w:t xml:space="preserve"> staff </w:t>
      </w:r>
      <w:r w:rsidR="00EF7607" w:rsidRPr="00BD77D8">
        <w:rPr>
          <w:rFonts w:eastAsia="Calibri"/>
          <w:lang w:val="en-US"/>
        </w:rPr>
        <w:t xml:space="preserve">were </w:t>
      </w:r>
      <w:r w:rsidRPr="00BD77D8">
        <w:rPr>
          <w:rFonts w:eastAsia="Calibri"/>
          <w:lang w:val="en-US"/>
        </w:rPr>
        <w:t>supported to participate in the Certificate IV in Indigenous Cultural Capability as part of the whole of government initiative to develop public service cultural capability.</w:t>
      </w:r>
    </w:p>
    <w:bookmarkEnd w:id="271"/>
    <w:p w14:paraId="3272F4A4" w14:textId="666F0CB7" w:rsidR="008C6F6C" w:rsidRPr="00BD77D8" w:rsidRDefault="008C6F6C" w:rsidP="007C3B71">
      <w:pPr>
        <w:rPr>
          <w:rFonts w:eastAsia="Calibri"/>
          <w:lang w:val="en-US"/>
        </w:rPr>
      </w:pPr>
      <w:r w:rsidRPr="00BD77D8">
        <w:rPr>
          <w:rFonts w:eastAsia="Calibri"/>
          <w:lang w:val="en-US"/>
        </w:rPr>
        <w:t>Further</w:t>
      </w:r>
      <w:r w:rsidR="00597A63" w:rsidRPr="00BD77D8">
        <w:rPr>
          <w:rFonts w:eastAsia="Calibri"/>
          <w:lang w:val="en-US"/>
        </w:rPr>
        <w:t>,</w:t>
      </w:r>
      <w:r w:rsidRPr="00BD77D8">
        <w:rPr>
          <w:rFonts w:eastAsia="Calibri"/>
          <w:lang w:val="en-US"/>
        </w:rPr>
        <w:t xml:space="preserve"> during th</w:t>
      </w:r>
      <w:r w:rsidR="00597A63" w:rsidRPr="00BD77D8">
        <w:rPr>
          <w:rFonts w:eastAsia="Calibri"/>
          <w:lang w:val="en-US"/>
        </w:rPr>
        <w:t>is</w:t>
      </w:r>
      <w:r w:rsidRPr="00BD77D8">
        <w:rPr>
          <w:rFonts w:eastAsia="Calibri"/>
          <w:lang w:val="en-US"/>
        </w:rPr>
        <w:t xml:space="preserve"> reporting period the department achieved:</w:t>
      </w:r>
    </w:p>
    <w:p w14:paraId="66F6BECD" w14:textId="6EA02C4E" w:rsidR="008C6F6C" w:rsidRPr="00BD77D8" w:rsidRDefault="008C6F6C" w:rsidP="00A463E0">
      <w:pPr>
        <w:pStyle w:val="ListParagraph"/>
        <w:numPr>
          <w:ilvl w:val="0"/>
          <w:numId w:val="29"/>
        </w:numPr>
        <w:rPr>
          <w:rFonts w:eastAsia="Calibri"/>
          <w:lang w:val="en-US" w:eastAsia="en-US"/>
        </w:rPr>
      </w:pPr>
      <w:r w:rsidRPr="00BD77D8">
        <w:rPr>
          <w:rFonts w:eastAsia="Calibri"/>
          <w:lang w:val="en-US" w:eastAsia="en-US"/>
        </w:rPr>
        <w:t>100 per cent of departmental Cultural Capability Action Plan deliverables implemented</w:t>
      </w:r>
    </w:p>
    <w:p w14:paraId="1E6B86C9" w14:textId="1775D86A" w:rsidR="008C6F6C" w:rsidRPr="00BD77D8" w:rsidRDefault="008C6F6C" w:rsidP="00A463E0">
      <w:pPr>
        <w:pStyle w:val="ListParagraph"/>
        <w:numPr>
          <w:ilvl w:val="0"/>
          <w:numId w:val="29"/>
        </w:numPr>
        <w:rPr>
          <w:rFonts w:eastAsia="Calibri"/>
          <w:lang w:val="en-US" w:eastAsia="en-US"/>
        </w:rPr>
      </w:pPr>
      <w:r w:rsidRPr="00BD77D8">
        <w:rPr>
          <w:rFonts w:eastAsia="Calibri"/>
          <w:lang w:val="en-US" w:eastAsia="en-US"/>
        </w:rPr>
        <w:t>100 per cent of the departmental Reconciliation Action Plan deliverables implemented</w:t>
      </w:r>
      <w:r w:rsidR="004249DE" w:rsidRPr="00BD77D8">
        <w:rPr>
          <w:rFonts w:eastAsia="Calibri"/>
          <w:lang w:val="en-US" w:eastAsia="en-US"/>
        </w:rPr>
        <w:t>.</w:t>
      </w:r>
    </w:p>
    <w:p w14:paraId="0C5176B0" w14:textId="1FF02168" w:rsidR="005C1C44" w:rsidRPr="00BD77D8" w:rsidRDefault="005C1C44" w:rsidP="009F1FB5">
      <w:pPr>
        <w:pStyle w:val="Heading3"/>
      </w:pPr>
      <w:r w:rsidRPr="00BD77D8">
        <w:t xml:space="preserve">Employee induction </w:t>
      </w:r>
    </w:p>
    <w:p w14:paraId="2C42EF51" w14:textId="02CB42EE" w:rsidR="005C1C44" w:rsidRPr="00BD77D8" w:rsidRDefault="005C1C44" w:rsidP="009F1FB5">
      <w:pPr>
        <w:rPr>
          <w:rFonts w:eastAsia="Calibri"/>
          <w:lang w:val="en-US"/>
        </w:rPr>
      </w:pPr>
      <w:r w:rsidRPr="00BD77D8">
        <w:rPr>
          <w:rFonts w:eastAsia="Calibri"/>
          <w:lang w:val="en-US"/>
        </w:rPr>
        <w:t>The department provides a comprehensive departmental induction program to support and orientate new employees to their environment</w:t>
      </w:r>
      <w:r w:rsidR="00E514A1" w:rsidRPr="00BD77D8">
        <w:rPr>
          <w:rFonts w:eastAsia="Calibri"/>
          <w:lang w:val="en-US"/>
        </w:rPr>
        <w:t xml:space="preserve"> and provide them </w:t>
      </w:r>
      <w:r w:rsidRPr="00BD77D8">
        <w:rPr>
          <w:rFonts w:eastAsia="Calibri"/>
          <w:lang w:val="en-US"/>
        </w:rPr>
        <w:t xml:space="preserve">with meaningful work as quickly as possible. </w:t>
      </w:r>
    </w:p>
    <w:p w14:paraId="1EE3C4CE" w14:textId="0EF14AE6" w:rsidR="005C1C44" w:rsidRPr="00BD77D8" w:rsidRDefault="007C3B71" w:rsidP="009F1FB5">
      <w:pPr>
        <w:rPr>
          <w:rFonts w:eastAsia="Calibri"/>
          <w:lang w:val="en-US"/>
        </w:rPr>
      </w:pPr>
      <w:r w:rsidRPr="00BD77D8">
        <w:rPr>
          <w:rFonts w:eastAsia="Calibri"/>
          <w:lang w:val="en-US"/>
        </w:rPr>
        <w:t>In 2021–</w:t>
      </w:r>
      <w:r w:rsidR="00EF7607" w:rsidRPr="00BD77D8">
        <w:rPr>
          <w:rFonts w:eastAsia="Calibri"/>
          <w:lang w:val="en-US"/>
        </w:rPr>
        <w:t>20</w:t>
      </w:r>
      <w:r w:rsidRPr="00BD77D8">
        <w:rPr>
          <w:rFonts w:eastAsia="Calibri"/>
          <w:lang w:val="en-US"/>
        </w:rPr>
        <w:t xml:space="preserve">22, the department’s induction process was reviewed and refreshed to ensure alignment with its SOLID values. </w:t>
      </w:r>
      <w:r w:rsidR="005C1C44" w:rsidRPr="00BD77D8">
        <w:rPr>
          <w:rFonts w:eastAsia="Calibri"/>
          <w:lang w:val="en-US"/>
        </w:rPr>
        <w:t>A range of mandatory modules are provided</w:t>
      </w:r>
      <w:r w:rsidR="00E514A1" w:rsidRPr="00BD77D8">
        <w:rPr>
          <w:rFonts w:eastAsia="Calibri"/>
          <w:lang w:val="en-US"/>
        </w:rPr>
        <w:t xml:space="preserve"> to new employees</w:t>
      </w:r>
      <w:r w:rsidR="005C1C44" w:rsidRPr="00BD77D8">
        <w:rPr>
          <w:rFonts w:eastAsia="Calibri"/>
          <w:lang w:val="en-US"/>
        </w:rPr>
        <w:t>. Additional role-specific training is delivered for key frontline staff including residential care officers and forensic officers.</w:t>
      </w:r>
    </w:p>
    <w:p w14:paraId="2301C62A" w14:textId="14D54159" w:rsidR="005C1C44" w:rsidRPr="00BD77D8" w:rsidRDefault="005C1C44" w:rsidP="00B85C9A">
      <w:pPr>
        <w:spacing w:after="120" w:line="240" w:lineRule="auto"/>
        <w:rPr>
          <w:rFonts w:eastAsia="Calibri"/>
          <w:lang w:val="en-US"/>
        </w:rPr>
      </w:pPr>
      <w:r w:rsidRPr="00BD77D8">
        <w:rPr>
          <w:rFonts w:eastAsia="Calibri"/>
          <w:lang w:val="en-US"/>
        </w:rPr>
        <w:t xml:space="preserve">All new employees undertake </w:t>
      </w:r>
      <w:r w:rsidR="007C3B71" w:rsidRPr="00BD77D8">
        <w:rPr>
          <w:rFonts w:eastAsia="Calibri"/>
          <w:lang w:val="en-US"/>
        </w:rPr>
        <w:t>the</w:t>
      </w:r>
      <w:r w:rsidRPr="00BD77D8">
        <w:rPr>
          <w:rFonts w:eastAsia="Calibri"/>
          <w:lang w:val="en-US"/>
        </w:rPr>
        <w:t xml:space="preserve"> induction process, which is designed to:</w:t>
      </w:r>
    </w:p>
    <w:p w14:paraId="161BFCFF" w14:textId="77777777" w:rsidR="005C1C44" w:rsidRPr="00BD77D8" w:rsidRDefault="005C1C44" w:rsidP="00A463E0">
      <w:pPr>
        <w:pStyle w:val="ListParagraph"/>
        <w:numPr>
          <w:ilvl w:val="0"/>
          <w:numId w:val="29"/>
        </w:numPr>
        <w:rPr>
          <w:rFonts w:eastAsia="Calibri"/>
          <w:lang w:val="en-US" w:eastAsia="en-US"/>
        </w:rPr>
      </w:pPr>
      <w:r w:rsidRPr="00BD77D8">
        <w:rPr>
          <w:rFonts w:eastAsia="Calibri"/>
          <w:lang w:val="en-US" w:eastAsia="en-US"/>
        </w:rPr>
        <w:t>ensure a smooth transition into the department and work environment</w:t>
      </w:r>
    </w:p>
    <w:p w14:paraId="4AC57DE8" w14:textId="77777777" w:rsidR="005C1C44" w:rsidRPr="00BD77D8" w:rsidRDefault="005C1C44" w:rsidP="00A463E0">
      <w:pPr>
        <w:pStyle w:val="ListParagraph"/>
        <w:numPr>
          <w:ilvl w:val="0"/>
          <w:numId w:val="29"/>
        </w:numPr>
        <w:rPr>
          <w:rFonts w:eastAsia="Calibri"/>
          <w:lang w:val="en-US" w:eastAsia="en-US"/>
        </w:rPr>
      </w:pPr>
      <w:r w:rsidRPr="00BD77D8">
        <w:rPr>
          <w:rFonts w:eastAsia="Calibri"/>
          <w:lang w:val="en-US" w:eastAsia="en-US"/>
        </w:rPr>
        <w:t>provide information on employment conditions and entitlements</w:t>
      </w:r>
    </w:p>
    <w:p w14:paraId="157BFAC3" w14:textId="77777777" w:rsidR="005C1C44" w:rsidRPr="00BD77D8" w:rsidRDefault="005C1C44" w:rsidP="00A463E0">
      <w:pPr>
        <w:pStyle w:val="ListParagraph"/>
        <w:numPr>
          <w:ilvl w:val="0"/>
          <w:numId w:val="29"/>
        </w:numPr>
        <w:rPr>
          <w:rFonts w:eastAsia="Calibri"/>
          <w:lang w:val="en-US" w:eastAsia="en-US"/>
        </w:rPr>
      </w:pPr>
      <w:r w:rsidRPr="00BD77D8">
        <w:rPr>
          <w:rFonts w:eastAsia="Calibri"/>
          <w:lang w:val="en-US" w:eastAsia="en-US"/>
        </w:rPr>
        <w:t xml:space="preserve">help new starters to understand the responsibilities and </w:t>
      </w:r>
      <w:proofErr w:type="spellStart"/>
      <w:r w:rsidRPr="00BD77D8">
        <w:rPr>
          <w:rFonts w:eastAsia="Calibri"/>
          <w:lang w:val="en-US" w:eastAsia="en-US"/>
        </w:rPr>
        <w:t>behaviours</w:t>
      </w:r>
      <w:proofErr w:type="spellEnd"/>
      <w:r w:rsidRPr="00BD77D8">
        <w:rPr>
          <w:rFonts w:eastAsia="Calibri"/>
          <w:lang w:val="en-US" w:eastAsia="en-US"/>
        </w:rPr>
        <w:t xml:space="preserve"> expected of them by the Queensland Government and the department</w:t>
      </w:r>
    </w:p>
    <w:p w14:paraId="7DE95615" w14:textId="3BC6DDBD" w:rsidR="007C3B71" w:rsidRPr="00BD77D8" w:rsidRDefault="005C1C44" w:rsidP="00A463E0">
      <w:pPr>
        <w:pStyle w:val="ListParagraph"/>
        <w:numPr>
          <w:ilvl w:val="0"/>
          <w:numId w:val="29"/>
        </w:numPr>
        <w:rPr>
          <w:rFonts w:eastAsia="Calibri"/>
          <w:lang w:val="en-US" w:eastAsia="en-US"/>
        </w:rPr>
      </w:pPr>
      <w:r w:rsidRPr="00BD77D8">
        <w:rPr>
          <w:rFonts w:eastAsia="Calibri"/>
          <w:lang w:val="en-US" w:eastAsia="en-US"/>
        </w:rPr>
        <w:t>provide an understanding of the function and operations of the department, as well as</w:t>
      </w:r>
      <w:r w:rsidR="00C137CE" w:rsidRPr="00BD77D8">
        <w:rPr>
          <w:rFonts w:eastAsia="Calibri"/>
          <w:lang w:val="en-US" w:eastAsia="en-US"/>
        </w:rPr>
        <w:t xml:space="preserve"> </w:t>
      </w:r>
      <w:r w:rsidRPr="00BD77D8">
        <w:rPr>
          <w:rFonts w:eastAsia="Calibri"/>
          <w:lang w:val="en-US" w:eastAsia="en-US"/>
        </w:rPr>
        <w:t>th</w:t>
      </w:r>
      <w:r w:rsidR="00C137CE" w:rsidRPr="00BD77D8">
        <w:rPr>
          <w:rFonts w:eastAsia="Calibri"/>
          <w:lang w:val="en-US" w:eastAsia="en-US"/>
        </w:rPr>
        <w:t>os</w:t>
      </w:r>
      <w:r w:rsidRPr="00BD77D8">
        <w:rPr>
          <w:rFonts w:eastAsia="Calibri"/>
          <w:lang w:val="en-US" w:eastAsia="en-US"/>
        </w:rPr>
        <w:t xml:space="preserve">e </w:t>
      </w:r>
      <w:r w:rsidR="00C137CE" w:rsidRPr="00BD77D8">
        <w:rPr>
          <w:rFonts w:eastAsia="Calibri"/>
          <w:lang w:val="en-US" w:eastAsia="en-US"/>
        </w:rPr>
        <w:t xml:space="preserve">of the </w:t>
      </w:r>
      <w:r w:rsidRPr="00BD77D8">
        <w:rPr>
          <w:rFonts w:eastAsia="Calibri"/>
          <w:lang w:val="en-US" w:eastAsia="en-US"/>
        </w:rPr>
        <w:t>business group or work unit</w:t>
      </w:r>
    </w:p>
    <w:p w14:paraId="504FB746" w14:textId="01E198B3" w:rsidR="005C1C44" w:rsidRPr="00BD77D8" w:rsidRDefault="007C3B71" w:rsidP="00A463E0">
      <w:pPr>
        <w:pStyle w:val="ListParagraph"/>
        <w:numPr>
          <w:ilvl w:val="0"/>
          <w:numId w:val="29"/>
        </w:numPr>
        <w:rPr>
          <w:rFonts w:eastAsia="Calibri"/>
          <w:lang w:val="en-US" w:eastAsia="en-US"/>
        </w:rPr>
      </w:pPr>
      <w:r w:rsidRPr="00BD77D8">
        <w:rPr>
          <w:rFonts w:eastAsia="Calibri"/>
          <w:lang w:val="en-US" w:eastAsia="en-US"/>
        </w:rPr>
        <w:t>provide an understanding of the department’s SOLID values</w:t>
      </w:r>
      <w:r w:rsidR="005C1C44" w:rsidRPr="00BD77D8">
        <w:rPr>
          <w:rFonts w:eastAsia="Calibri"/>
          <w:lang w:val="en-US" w:eastAsia="en-US"/>
        </w:rPr>
        <w:t>.</w:t>
      </w:r>
    </w:p>
    <w:p w14:paraId="3185150B" w14:textId="6ED63811" w:rsidR="0088727B" w:rsidRPr="00BD77D8" w:rsidRDefault="005C1C44" w:rsidP="00B85C9A">
      <w:pPr>
        <w:rPr>
          <w:rFonts w:eastAsia="Calibri"/>
          <w:lang w:val="en-US"/>
        </w:rPr>
      </w:pPr>
      <w:r w:rsidRPr="00BD77D8">
        <w:rPr>
          <w:rFonts w:eastAsia="Calibri"/>
          <w:lang w:val="en-US"/>
        </w:rPr>
        <w:t xml:space="preserve">All employees, including new employees, are required to undertake mandatory online courses through the department’s </w:t>
      </w:r>
      <w:proofErr w:type="spellStart"/>
      <w:r w:rsidRPr="00BD77D8">
        <w:rPr>
          <w:rFonts w:eastAsia="Calibri"/>
          <w:lang w:val="en-US"/>
        </w:rPr>
        <w:t>iLearn</w:t>
      </w:r>
      <w:proofErr w:type="spellEnd"/>
      <w:r w:rsidRPr="00BD77D8">
        <w:rPr>
          <w:rFonts w:eastAsia="Calibri"/>
          <w:lang w:val="en-US"/>
        </w:rPr>
        <w:t xml:space="preserve"> site or complete self-paced workbooks to ensure they have the necessary skills and knowledge to deliver effective and efficient services. In </w:t>
      </w:r>
      <w:r w:rsidR="001C5646" w:rsidRPr="00BD77D8">
        <w:rPr>
          <w:rFonts w:eastAsia="Calibri"/>
          <w:lang w:val="en-US"/>
        </w:rPr>
        <w:t>2021</w:t>
      </w:r>
      <w:r w:rsidR="00354BF7" w:rsidRPr="00BD77D8">
        <w:rPr>
          <w:rFonts w:eastAsia="Calibri"/>
          <w:lang w:val="en-US"/>
        </w:rPr>
        <w:t>–</w:t>
      </w:r>
      <w:r w:rsidR="001C5646" w:rsidRPr="00BD77D8">
        <w:rPr>
          <w:rFonts w:eastAsia="Calibri"/>
          <w:lang w:val="en-US"/>
        </w:rPr>
        <w:t>2022</w:t>
      </w:r>
      <w:r w:rsidRPr="00BD77D8">
        <w:rPr>
          <w:rFonts w:eastAsia="Calibri"/>
          <w:lang w:val="en-US"/>
        </w:rPr>
        <w:t>, 1</w:t>
      </w:r>
      <w:r w:rsidR="007C3B71" w:rsidRPr="00BD77D8">
        <w:rPr>
          <w:rFonts w:eastAsia="Calibri"/>
          <w:lang w:val="en-US"/>
        </w:rPr>
        <w:t>3,356</w:t>
      </w:r>
      <w:r w:rsidRPr="00BD77D8">
        <w:rPr>
          <w:rFonts w:eastAsia="Calibri"/>
          <w:lang w:val="en-US"/>
        </w:rPr>
        <w:t xml:space="preserve"> staff </w:t>
      </w:r>
      <w:r w:rsidR="00EF7607" w:rsidRPr="00BD77D8">
        <w:rPr>
          <w:rFonts w:eastAsia="Calibri"/>
          <w:lang w:val="en-US"/>
        </w:rPr>
        <w:t xml:space="preserve">participated in </w:t>
      </w:r>
      <w:r w:rsidRPr="00BD77D8">
        <w:rPr>
          <w:rFonts w:eastAsia="Calibri"/>
          <w:lang w:val="en-US"/>
        </w:rPr>
        <w:t>mandatory</w:t>
      </w:r>
      <w:r w:rsidR="007C3B71" w:rsidRPr="00BD77D8">
        <w:rPr>
          <w:rFonts w:eastAsia="Calibri"/>
          <w:lang w:val="en-US"/>
        </w:rPr>
        <w:t xml:space="preserve"> departmental</w:t>
      </w:r>
      <w:r w:rsidRPr="00BD77D8">
        <w:rPr>
          <w:rFonts w:eastAsia="Calibri"/>
          <w:lang w:val="en-US"/>
        </w:rPr>
        <w:t xml:space="preserve"> training c</w:t>
      </w:r>
      <w:r w:rsidR="00EF7607" w:rsidRPr="00BD77D8">
        <w:rPr>
          <w:rFonts w:eastAsia="Calibri"/>
          <w:lang w:val="en-US"/>
        </w:rPr>
        <w:t>ourses</w:t>
      </w:r>
      <w:r w:rsidRPr="00BD77D8">
        <w:rPr>
          <w:rFonts w:eastAsia="Calibri"/>
          <w:lang w:val="en-US"/>
        </w:rPr>
        <w:t xml:space="preserve"> achieved flexibly via online, face</w:t>
      </w:r>
      <w:r w:rsidR="00D722F5" w:rsidRPr="00BD77D8">
        <w:rPr>
          <w:rFonts w:eastAsia="Calibri"/>
          <w:lang w:val="en-US"/>
        </w:rPr>
        <w:t>-</w:t>
      </w:r>
      <w:r w:rsidRPr="00BD77D8">
        <w:rPr>
          <w:rFonts w:eastAsia="Calibri"/>
          <w:lang w:val="en-US"/>
        </w:rPr>
        <w:t>to</w:t>
      </w:r>
      <w:r w:rsidR="00D722F5" w:rsidRPr="00BD77D8">
        <w:rPr>
          <w:rFonts w:eastAsia="Calibri"/>
          <w:lang w:val="en-US"/>
        </w:rPr>
        <w:t>-</w:t>
      </w:r>
      <w:r w:rsidRPr="00BD77D8">
        <w:rPr>
          <w:rFonts w:eastAsia="Calibri"/>
          <w:lang w:val="en-US"/>
        </w:rPr>
        <w:t>face or self-paced workbooks</w:t>
      </w:r>
      <w:r w:rsidR="008C6F6C" w:rsidRPr="00BD77D8">
        <w:rPr>
          <w:rFonts w:eastAsia="Calibri"/>
          <w:lang w:val="en-US"/>
        </w:rPr>
        <w:t>.</w:t>
      </w:r>
    </w:p>
    <w:p w14:paraId="6A1C17DA" w14:textId="70275F6F" w:rsidR="005C1C44" w:rsidRPr="00BD77D8" w:rsidRDefault="005C1C44" w:rsidP="0088727B">
      <w:pPr>
        <w:pStyle w:val="Heading3"/>
      </w:pPr>
      <w:r w:rsidRPr="00BD77D8">
        <w:t>Leadership development</w:t>
      </w:r>
    </w:p>
    <w:p w14:paraId="52CBFD8E" w14:textId="0805DC1A" w:rsidR="005C1C44" w:rsidRPr="00BD77D8" w:rsidRDefault="005C1C44" w:rsidP="009F1FB5">
      <w:pPr>
        <w:rPr>
          <w:rFonts w:eastAsia="Calibri"/>
          <w:lang w:val="en-US"/>
        </w:rPr>
      </w:pPr>
      <w:r w:rsidRPr="00BD77D8">
        <w:rPr>
          <w:rFonts w:eastAsia="Calibri"/>
          <w:lang w:val="en-US"/>
        </w:rPr>
        <w:t>Effective leadership is critical to ensur</w:t>
      </w:r>
      <w:r w:rsidR="00EF7607" w:rsidRPr="00BD77D8">
        <w:rPr>
          <w:rFonts w:eastAsia="Calibri"/>
          <w:lang w:val="en-US"/>
        </w:rPr>
        <w:t>ing</w:t>
      </w:r>
      <w:r w:rsidRPr="00BD77D8">
        <w:rPr>
          <w:rFonts w:eastAsia="Calibri"/>
          <w:lang w:val="en-US"/>
        </w:rPr>
        <w:t xml:space="preserve"> we have a positive and supportive workplace culture focused on high performance, innovation and continuous improvement. </w:t>
      </w:r>
    </w:p>
    <w:p w14:paraId="76CB17FC" w14:textId="77777777" w:rsidR="005C1C44" w:rsidRPr="00BD77D8" w:rsidRDefault="005C1C44" w:rsidP="009F1FB5">
      <w:pPr>
        <w:rPr>
          <w:rFonts w:eastAsia="Calibri"/>
          <w:lang w:val="en-US"/>
        </w:rPr>
      </w:pPr>
      <w:r w:rsidRPr="00BD77D8">
        <w:rPr>
          <w:rFonts w:eastAsia="Calibri"/>
          <w:lang w:val="en-US"/>
        </w:rPr>
        <w:t xml:space="preserve">The department’s approach to leadership development is underpinned by the public service leadership competencies for Queensland. </w:t>
      </w:r>
    </w:p>
    <w:p w14:paraId="1293C445" w14:textId="6F02AD04" w:rsidR="00ED3419" w:rsidRPr="00BD77D8" w:rsidRDefault="00ED3419" w:rsidP="00ED3419">
      <w:pPr>
        <w:rPr>
          <w:rFonts w:eastAsia="Calibri"/>
          <w:lang w:val="en-US"/>
        </w:rPr>
      </w:pPr>
      <w:r w:rsidRPr="00BD77D8">
        <w:rPr>
          <w:rFonts w:eastAsia="Calibri"/>
          <w:lang w:val="en-US"/>
        </w:rPr>
        <w:t>During 2021</w:t>
      </w:r>
      <w:r w:rsidR="00354BF7" w:rsidRPr="00BD77D8">
        <w:rPr>
          <w:rFonts w:eastAsia="Calibri"/>
          <w:lang w:val="en-US"/>
        </w:rPr>
        <w:t>–</w:t>
      </w:r>
      <w:r w:rsidRPr="00BD77D8">
        <w:rPr>
          <w:rFonts w:eastAsia="Calibri"/>
          <w:lang w:val="en-US"/>
        </w:rPr>
        <w:t>2022, the department supported 17 staff to participate in LEAD4QLD, and currently, a cohort of 15 team leaders/program leaders have commenced the LEAD4QLD program. A further nine staff were supported to participate in the People Matters leadership programs.</w:t>
      </w:r>
    </w:p>
    <w:p w14:paraId="17D1358F" w14:textId="65CA4FDF" w:rsidR="00317847" w:rsidRPr="00BD77D8" w:rsidRDefault="00317847" w:rsidP="009F1FB5">
      <w:pPr>
        <w:rPr>
          <w:rFonts w:eastAsia="Calibri"/>
          <w:lang w:val="en-US"/>
        </w:rPr>
      </w:pPr>
      <w:r w:rsidRPr="00BD77D8">
        <w:rPr>
          <w:rFonts w:eastAsia="Calibri"/>
          <w:lang w:val="en-US"/>
        </w:rPr>
        <w:t>In addition, one staff member completed the Public Sector Management Program</w:t>
      </w:r>
      <w:r w:rsidR="00892255" w:rsidRPr="00BD77D8">
        <w:rPr>
          <w:rFonts w:eastAsia="Calibri"/>
          <w:lang w:val="en-US"/>
        </w:rPr>
        <w:t>,</w:t>
      </w:r>
      <w:r w:rsidRPr="00BD77D8">
        <w:rPr>
          <w:rFonts w:eastAsia="Calibri"/>
          <w:lang w:val="en-US"/>
        </w:rPr>
        <w:t xml:space="preserve"> and another completed the Diploma of Leadership and Management via an external</w:t>
      </w:r>
      <w:r w:rsidR="00EF7607" w:rsidRPr="00BD77D8">
        <w:rPr>
          <w:rFonts w:eastAsia="Calibri"/>
          <w:lang w:val="en-US"/>
        </w:rPr>
        <w:t>ly</w:t>
      </w:r>
      <w:r w:rsidRPr="00BD77D8">
        <w:rPr>
          <w:rFonts w:eastAsia="Calibri"/>
          <w:lang w:val="en-US"/>
        </w:rPr>
        <w:t xml:space="preserve"> registered training provider.</w:t>
      </w:r>
    </w:p>
    <w:p w14:paraId="1210782D" w14:textId="24164DC7" w:rsidR="00C448A9" w:rsidRPr="00BD77D8" w:rsidRDefault="005A62CB" w:rsidP="009F1FB5">
      <w:pPr>
        <w:pStyle w:val="Heading3"/>
      </w:pPr>
      <w:r w:rsidRPr="00BD77D8">
        <w:t>Managing high performance</w:t>
      </w:r>
      <w:r w:rsidR="00C448A9" w:rsidRPr="00BD77D8">
        <w:t xml:space="preserve"> </w:t>
      </w:r>
    </w:p>
    <w:p w14:paraId="07A9FFC7" w14:textId="02B47BA8" w:rsidR="00CC230A" w:rsidRPr="00BD77D8" w:rsidRDefault="005A62CB" w:rsidP="009F1FB5">
      <w:pPr>
        <w:rPr>
          <w:rFonts w:eastAsia="Calibri"/>
          <w:lang w:val="en-US"/>
        </w:rPr>
      </w:pPr>
      <w:r w:rsidRPr="00BD77D8">
        <w:rPr>
          <w:rFonts w:eastAsia="Calibri"/>
          <w:lang w:val="en-US"/>
        </w:rPr>
        <w:t>High standards of performance</w:t>
      </w:r>
      <w:r w:rsidR="00265B3F" w:rsidRPr="00BD77D8">
        <w:rPr>
          <w:rFonts w:eastAsia="Calibri"/>
          <w:lang w:val="en-US"/>
        </w:rPr>
        <w:t>,</w:t>
      </w:r>
      <w:r w:rsidRPr="00BD77D8">
        <w:rPr>
          <w:rFonts w:eastAsia="Calibri"/>
          <w:lang w:val="en-US"/>
        </w:rPr>
        <w:t xml:space="preserve"> clear </w:t>
      </w:r>
      <w:proofErr w:type="spellStart"/>
      <w:r w:rsidRPr="00BD77D8">
        <w:rPr>
          <w:rFonts w:eastAsia="Calibri"/>
          <w:lang w:val="en-US"/>
        </w:rPr>
        <w:t>behavioural</w:t>
      </w:r>
      <w:proofErr w:type="spellEnd"/>
      <w:r w:rsidRPr="00BD77D8">
        <w:rPr>
          <w:rFonts w:eastAsia="Calibri"/>
          <w:lang w:val="en-US"/>
        </w:rPr>
        <w:t xml:space="preserve"> expectations</w:t>
      </w:r>
      <w:r w:rsidR="00265B3F" w:rsidRPr="00BD77D8">
        <w:rPr>
          <w:rFonts w:eastAsia="Calibri"/>
          <w:lang w:val="en-US"/>
        </w:rPr>
        <w:t xml:space="preserve"> and our SOLID values</w:t>
      </w:r>
      <w:r w:rsidRPr="00BD77D8">
        <w:rPr>
          <w:rFonts w:eastAsia="Calibri"/>
          <w:lang w:val="en-US"/>
        </w:rPr>
        <w:t xml:space="preserve"> are aligned to the Queensland Public Service values </w:t>
      </w:r>
      <w:r w:rsidR="00265B3F" w:rsidRPr="00BD77D8">
        <w:rPr>
          <w:rFonts w:eastAsia="Calibri"/>
          <w:lang w:val="en-US"/>
        </w:rPr>
        <w:t xml:space="preserve">and </w:t>
      </w:r>
      <w:r w:rsidR="00C448A9" w:rsidRPr="00BD77D8">
        <w:rPr>
          <w:rFonts w:eastAsia="Calibri"/>
          <w:lang w:val="en-US"/>
        </w:rPr>
        <w:t>employee performanc</w:t>
      </w:r>
      <w:r w:rsidR="002B672C" w:rsidRPr="00BD77D8">
        <w:rPr>
          <w:rFonts w:eastAsia="Calibri"/>
          <w:lang w:val="en-US"/>
        </w:rPr>
        <w:t>e development</w:t>
      </w:r>
      <w:r w:rsidR="00C448A9" w:rsidRPr="00BD77D8">
        <w:rPr>
          <w:rFonts w:eastAsia="Calibri"/>
          <w:lang w:val="en-US"/>
        </w:rPr>
        <w:t xml:space="preserve"> framework</w:t>
      </w:r>
      <w:r w:rsidR="00CC230A" w:rsidRPr="00BD77D8">
        <w:rPr>
          <w:rFonts w:eastAsia="Calibri"/>
          <w:lang w:val="en-US"/>
        </w:rPr>
        <w:t>. The framework</w:t>
      </w:r>
      <w:r w:rsidR="002B672C" w:rsidRPr="00BD77D8">
        <w:rPr>
          <w:rFonts w:eastAsia="Calibri"/>
          <w:lang w:val="en-US"/>
        </w:rPr>
        <w:t xml:space="preserve">, which </w:t>
      </w:r>
      <w:r w:rsidR="002B672C" w:rsidRPr="00BD77D8">
        <w:rPr>
          <w:rFonts w:eastAsia="Calibri"/>
          <w:lang w:val="en-US"/>
        </w:rPr>
        <w:lastRenderedPageBreak/>
        <w:t>was refreshed by the department in 2021,</w:t>
      </w:r>
      <w:r w:rsidR="00C448A9" w:rsidRPr="00BD77D8">
        <w:rPr>
          <w:rFonts w:eastAsia="Calibri"/>
          <w:lang w:val="en-US"/>
        </w:rPr>
        <w:t xml:space="preserve"> promotes a positive and healthy workplace culture where employees and supervisors engage in a performance management process </w:t>
      </w:r>
      <w:r w:rsidR="00CC230A" w:rsidRPr="00BD77D8">
        <w:rPr>
          <w:rFonts w:eastAsia="Calibri"/>
          <w:lang w:val="en-US"/>
        </w:rPr>
        <w:t>with</w:t>
      </w:r>
      <w:r w:rsidR="00C448A9" w:rsidRPr="00BD77D8">
        <w:rPr>
          <w:rFonts w:eastAsia="Calibri"/>
          <w:lang w:val="en-US"/>
        </w:rPr>
        <w:t xml:space="preserve"> regular, meaningful and supportive conversations about performance expectations and capability development opportunities.  </w:t>
      </w:r>
    </w:p>
    <w:p w14:paraId="34D35D75" w14:textId="44FB4ED2" w:rsidR="00C448A9" w:rsidRPr="00BD77D8" w:rsidRDefault="00C448A9" w:rsidP="009F1FB5">
      <w:pPr>
        <w:rPr>
          <w:rFonts w:eastAsia="Calibri"/>
          <w:lang w:val="en-US"/>
        </w:rPr>
      </w:pPr>
      <w:r w:rsidRPr="00BD77D8">
        <w:rPr>
          <w:rFonts w:eastAsia="Calibri"/>
          <w:lang w:val="en-US"/>
        </w:rPr>
        <w:t xml:space="preserve">Performance and Development Agreements </w:t>
      </w:r>
      <w:r w:rsidR="00265B3F" w:rsidRPr="00BD77D8">
        <w:rPr>
          <w:rFonts w:eastAsia="Calibri"/>
          <w:lang w:val="en-US"/>
        </w:rPr>
        <w:t>are</w:t>
      </w:r>
      <w:r w:rsidRPr="00BD77D8">
        <w:rPr>
          <w:rFonts w:eastAsia="Calibri"/>
          <w:lang w:val="en-US"/>
        </w:rPr>
        <w:t xml:space="preserve"> used to provide an opportunity for supervisors and their staff to discuss </w:t>
      </w:r>
      <w:r w:rsidR="002B672C" w:rsidRPr="00BD77D8">
        <w:rPr>
          <w:rFonts w:eastAsia="Calibri"/>
          <w:lang w:val="en-US"/>
        </w:rPr>
        <w:t xml:space="preserve">and record </w:t>
      </w:r>
      <w:r w:rsidRPr="00BD77D8">
        <w:rPr>
          <w:rFonts w:eastAsia="Calibri"/>
          <w:lang w:val="en-US"/>
        </w:rPr>
        <w:t xml:space="preserve">performance expectations, how their role links to the department’s goals, and the immediate and future career goals for the employee. </w:t>
      </w:r>
    </w:p>
    <w:p w14:paraId="28844750" w14:textId="33A18BC9" w:rsidR="00C448A9" w:rsidRPr="00BD77D8" w:rsidRDefault="00C448A9" w:rsidP="009F1FB5">
      <w:pPr>
        <w:pStyle w:val="Heading3"/>
      </w:pPr>
      <w:r w:rsidRPr="00BD77D8">
        <w:t xml:space="preserve">Employee health, safety and wellbeing </w:t>
      </w:r>
    </w:p>
    <w:p w14:paraId="75B0934A" w14:textId="53188DA3" w:rsidR="00C448A9" w:rsidRPr="00BD77D8" w:rsidRDefault="00C448A9" w:rsidP="00B47173">
      <w:pPr>
        <w:spacing w:after="120"/>
        <w:rPr>
          <w:rFonts w:eastAsia="Calibri"/>
          <w:lang w:val="en-US"/>
        </w:rPr>
      </w:pPr>
      <w:r w:rsidRPr="00BD77D8">
        <w:rPr>
          <w:rFonts w:eastAsia="Calibri"/>
          <w:lang w:val="en-US"/>
        </w:rPr>
        <w:t xml:space="preserve">The </w:t>
      </w:r>
      <w:r w:rsidRPr="00BD77D8">
        <w:rPr>
          <w:rFonts w:eastAsia="Calibri"/>
          <w:i/>
          <w:iCs/>
          <w:lang w:val="en-US"/>
        </w:rPr>
        <w:t>Strategic Workforce Plan 20</w:t>
      </w:r>
      <w:r w:rsidR="002B672C" w:rsidRPr="00BD77D8">
        <w:rPr>
          <w:rFonts w:eastAsia="Calibri"/>
          <w:i/>
          <w:iCs/>
          <w:lang w:val="en-US"/>
        </w:rPr>
        <w:t>21</w:t>
      </w:r>
      <w:r w:rsidRPr="00BD77D8">
        <w:rPr>
          <w:rFonts w:eastAsia="Calibri"/>
          <w:i/>
          <w:iCs/>
          <w:lang w:val="en-US"/>
        </w:rPr>
        <w:t>–20</w:t>
      </w:r>
      <w:r w:rsidR="002B672C" w:rsidRPr="00BD77D8">
        <w:rPr>
          <w:rFonts w:eastAsia="Calibri"/>
          <w:i/>
          <w:iCs/>
          <w:lang w:val="en-US"/>
        </w:rPr>
        <w:t>25</w:t>
      </w:r>
      <w:r w:rsidRPr="00BD77D8">
        <w:rPr>
          <w:rFonts w:eastAsia="Calibri"/>
          <w:lang w:val="en-US"/>
        </w:rPr>
        <w:t xml:space="preserve"> identifies the department’s commitment to supporting employees’</w:t>
      </w:r>
      <w:r w:rsidR="002B672C" w:rsidRPr="00BD77D8">
        <w:rPr>
          <w:rFonts w:eastAsia="Calibri"/>
          <w:lang w:val="en-US"/>
        </w:rPr>
        <w:t xml:space="preserve"> </w:t>
      </w:r>
      <w:r w:rsidRPr="00BD77D8">
        <w:rPr>
          <w:rFonts w:eastAsia="Calibri"/>
          <w:lang w:val="en-US"/>
        </w:rPr>
        <w:t>wellbeing</w:t>
      </w:r>
      <w:r w:rsidR="002B672C" w:rsidRPr="00BD77D8">
        <w:rPr>
          <w:rFonts w:eastAsia="Calibri"/>
          <w:lang w:val="en-US"/>
        </w:rPr>
        <w:t xml:space="preserve"> and safety</w:t>
      </w:r>
      <w:r w:rsidRPr="00BD77D8">
        <w:rPr>
          <w:rFonts w:eastAsia="Calibri"/>
          <w:lang w:val="en-US"/>
        </w:rPr>
        <w:t xml:space="preserve">. This </w:t>
      </w:r>
      <w:r w:rsidR="00354BF7" w:rsidRPr="00BD77D8">
        <w:rPr>
          <w:rFonts w:eastAsia="Calibri"/>
          <w:lang w:val="en-US"/>
        </w:rPr>
        <w:t>p</w:t>
      </w:r>
      <w:r w:rsidRPr="00BD77D8">
        <w:rPr>
          <w:rFonts w:eastAsia="Calibri"/>
          <w:lang w:val="en-US"/>
        </w:rPr>
        <w:t>lan is supported by our Health, Safety and Wellbeing Policy and Wellbeing Strategy 20</w:t>
      </w:r>
      <w:r w:rsidR="002B672C" w:rsidRPr="00BD77D8">
        <w:rPr>
          <w:rFonts w:eastAsia="Calibri"/>
          <w:lang w:val="en-US"/>
        </w:rPr>
        <w:t>22</w:t>
      </w:r>
      <w:r w:rsidR="00354BF7" w:rsidRPr="00BD77D8">
        <w:rPr>
          <w:rFonts w:eastAsia="Calibri"/>
          <w:lang w:val="en-US"/>
        </w:rPr>
        <w:t>–</w:t>
      </w:r>
      <w:r w:rsidRPr="00BD77D8">
        <w:rPr>
          <w:rFonts w:eastAsia="Calibri"/>
          <w:lang w:val="en-US"/>
        </w:rPr>
        <w:t>202</w:t>
      </w:r>
      <w:r w:rsidR="002B672C" w:rsidRPr="00BD77D8">
        <w:rPr>
          <w:rFonts w:eastAsia="Calibri"/>
          <w:lang w:val="en-US"/>
        </w:rPr>
        <w:t>5</w:t>
      </w:r>
      <w:r w:rsidRPr="00BD77D8">
        <w:rPr>
          <w:rFonts w:eastAsia="Calibri"/>
          <w:lang w:val="en-US"/>
        </w:rPr>
        <w:t>, and related procedures and guidelines, which aim to:</w:t>
      </w:r>
    </w:p>
    <w:p w14:paraId="120F65D0" w14:textId="77777777" w:rsidR="00C448A9" w:rsidRPr="00BD77D8" w:rsidRDefault="00C448A9" w:rsidP="00A463E0">
      <w:pPr>
        <w:pStyle w:val="ListParagraph"/>
        <w:numPr>
          <w:ilvl w:val="0"/>
          <w:numId w:val="29"/>
        </w:numPr>
        <w:rPr>
          <w:rFonts w:eastAsia="Calibri"/>
          <w:lang w:val="en-US" w:eastAsia="en-US"/>
        </w:rPr>
      </w:pPr>
      <w:r w:rsidRPr="00BD77D8">
        <w:rPr>
          <w:rFonts w:eastAsia="Calibri"/>
          <w:lang w:val="en-US" w:eastAsia="en-US"/>
        </w:rPr>
        <w:t>establish and maintain a workplace that is free from risks to the health, safety and wellbeing of individuals</w:t>
      </w:r>
    </w:p>
    <w:p w14:paraId="73C18DA3" w14:textId="77777777" w:rsidR="00C448A9" w:rsidRPr="00BD77D8" w:rsidRDefault="00C448A9" w:rsidP="00A463E0">
      <w:pPr>
        <w:pStyle w:val="ListParagraph"/>
        <w:numPr>
          <w:ilvl w:val="0"/>
          <w:numId w:val="29"/>
        </w:numPr>
        <w:rPr>
          <w:rFonts w:eastAsia="Calibri"/>
          <w:lang w:val="en-US" w:eastAsia="en-US"/>
        </w:rPr>
      </w:pPr>
      <w:r w:rsidRPr="00BD77D8">
        <w:rPr>
          <w:rFonts w:eastAsia="Calibri"/>
          <w:lang w:val="en-US" w:eastAsia="en-US"/>
        </w:rPr>
        <w:t>maintain a workplace in which employees strive for optimum levels of wellbeing</w:t>
      </w:r>
    </w:p>
    <w:p w14:paraId="6363A571" w14:textId="77777777" w:rsidR="00C448A9" w:rsidRPr="00BD77D8" w:rsidRDefault="00C448A9" w:rsidP="00A463E0">
      <w:pPr>
        <w:pStyle w:val="ListParagraph"/>
        <w:numPr>
          <w:ilvl w:val="0"/>
          <w:numId w:val="29"/>
        </w:numPr>
        <w:rPr>
          <w:rFonts w:eastAsia="Calibri"/>
          <w:lang w:val="en-US" w:eastAsia="en-US"/>
        </w:rPr>
      </w:pPr>
      <w:r w:rsidRPr="00BD77D8">
        <w:rPr>
          <w:rFonts w:eastAsia="Calibri"/>
          <w:lang w:val="en-US" w:eastAsia="en-US"/>
        </w:rPr>
        <w:t>detail the agreed employer or employee responsibilities, including responsibilities for reporting workplace hazards and incidents.</w:t>
      </w:r>
    </w:p>
    <w:p w14:paraId="00CECA61" w14:textId="34884F91" w:rsidR="00C448A9" w:rsidRPr="00BD77D8" w:rsidRDefault="00C448A9" w:rsidP="00B47173">
      <w:pPr>
        <w:spacing w:after="120" w:line="240" w:lineRule="auto"/>
        <w:rPr>
          <w:rFonts w:eastAsia="Calibri"/>
          <w:lang w:val="en-US"/>
        </w:rPr>
      </w:pPr>
      <w:r w:rsidRPr="00BD77D8">
        <w:rPr>
          <w:rFonts w:eastAsia="Calibri"/>
          <w:lang w:val="en-US"/>
        </w:rPr>
        <w:t>During the reporting period, measures were implemented to improve workplace health, safety and wellbeing across the department. These included:</w:t>
      </w:r>
    </w:p>
    <w:p w14:paraId="1836950D" w14:textId="2C280C53" w:rsidR="00C448A9" w:rsidRPr="00BD77D8" w:rsidRDefault="00C448A9" w:rsidP="00A463E0">
      <w:pPr>
        <w:pStyle w:val="ListParagraph"/>
        <w:numPr>
          <w:ilvl w:val="0"/>
          <w:numId w:val="29"/>
        </w:numPr>
        <w:rPr>
          <w:rFonts w:eastAsia="Calibri"/>
          <w:lang w:val="en-US" w:eastAsia="en-US"/>
        </w:rPr>
      </w:pPr>
      <w:r w:rsidRPr="00BD77D8">
        <w:rPr>
          <w:rFonts w:eastAsia="Calibri"/>
          <w:lang w:val="en-US" w:eastAsia="en-US"/>
        </w:rPr>
        <w:t xml:space="preserve">providing ongoing employee support through the department’s Employee Assistance Program delivered by </w:t>
      </w:r>
      <w:proofErr w:type="spellStart"/>
      <w:r w:rsidRPr="00BD77D8">
        <w:rPr>
          <w:rFonts w:eastAsia="Calibri"/>
          <w:lang w:val="en-US" w:eastAsia="en-US"/>
        </w:rPr>
        <w:t>Benestar</w:t>
      </w:r>
      <w:proofErr w:type="spellEnd"/>
      <w:r w:rsidR="00EF7607" w:rsidRPr="00BD77D8">
        <w:rPr>
          <w:rFonts w:eastAsia="Calibri"/>
          <w:lang w:val="en-US" w:eastAsia="en-US"/>
        </w:rPr>
        <w:t>, including</w:t>
      </w:r>
      <w:r w:rsidRPr="00BD77D8">
        <w:rPr>
          <w:rFonts w:eastAsia="Calibri"/>
          <w:lang w:val="en-US" w:eastAsia="en-US"/>
        </w:rPr>
        <w:t xml:space="preserve"> a range of services such as Manager Assist, on-site employee support and a dedicated support line for Aboriginal and Torres Strait Islander staff </w:t>
      </w:r>
    </w:p>
    <w:p w14:paraId="0100D4D7" w14:textId="423E8C47" w:rsidR="00C448A9" w:rsidRPr="00BD77D8" w:rsidRDefault="00C448A9" w:rsidP="00A463E0">
      <w:pPr>
        <w:pStyle w:val="ListParagraph"/>
        <w:numPr>
          <w:ilvl w:val="0"/>
          <w:numId w:val="29"/>
        </w:numPr>
        <w:rPr>
          <w:rFonts w:eastAsia="Calibri"/>
          <w:lang w:val="en-US" w:eastAsia="en-US"/>
        </w:rPr>
      </w:pPr>
      <w:r w:rsidRPr="00BD77D8">
        <w:rPr>
          <w:rFonts w:eastAsia="Calibri"/>
          <w:lang w:val="en-US" w:eastAsia="en-US"/>
        </w:rPr>
        <w:t>producing regular communications to promote a positive workplace culture including regular updates on human resource matters and distribution of a weekly wellbeing newsletter</w:t>
      </w:r>
    </w:p>
    <w:p w14:paraId="35B6E51A" w14:textId="095D8732" w:rsidR="002B672C" w:rsidRPr="00BD77D8" w:rsidRDefault="002B672C" w:rsidP="00A463E0">
      <w:pPr>
        <w:pStyle w:val="ListParagraph"/>
        <w:numPr>
          <w:ilvl w:val="0"/>
          <w:numId w:val="29"/>
        </w:numPr>
        <w:rPr>
          <w:rFonts w:eastAsia="Calibri"/>
          <w:lang w:val="en-US" w:eastAsia="en-US"/>
        </w:rPr>
      </w:pPr>
      <w:r w:rsidRPr="00BD77D8">
        <w:rPr>
          <w:rFonts w:eastAsia="Calibri"/>
          <w:lang w:val="en-US" w:eastAsia="en-US"/>
        </w:rPr>
        <w:t>promoti</w:t>
      </w:r>
      <w:r w:rsidR="00EF7607" w:rsidRPr="00BD77D8">
        <w:rPr>
          <w:rFonts w:eastAsia="Calibri"/>
          <w:lang w:val="en-US" w:eastAsia="en-US"/>
        </w:rPr>
        <w:t>ng</w:t>
      </w:r>
      <w:r w:rsidRPr="00BD77D8">
        <w:rPr>
          <w:rFonts w:eastAsia="Calibri"/>
          <w:lang w:val="en-US" w:eastAsia="en-US"/>
        </w:rPr>
        <w:t xml:space="preserve"> wellbeing and health initiatives including Mental Health Week and Safe Work Month</w:t>
      </w:r>
    </w:p>
    <w:p w14:paraId="447FED70" w14:textId="5748A873" w:rsidR="002B672C" w:rsidRPr="00BD77D8" w:rsidRDefault="002B672C" w:rsidP="00A463E0">
      <w:pPr>
        <w:pStyle w:val="ListParagraph"/>
        <w:numPr>
          <w:ilvl w:val="0"/>
          <w:numId w:val="29"/>
        </w:numPr>
        <w:rPr>
          <w:rFonts w:eastAsia="Calibri"/>
          <w:lang w:val="en-US" w:eastAsia="en-US"/>
        </w:rPr>
      </w:pPr>
      <w:r w:rsidRPr="00BD77D8">
        <w:rPr>
          <w:rFonts w:eastAsia="Calibri"/>
          <w:lang w:val="en-US" w:eastAsia="en-US"/>
        </w:rPr>
        <w:t>develo</w:t>
      </w:r>
      <w:r w:rsidR="00EF7607" w:rsidRPr="00BD77D8">
        <w:rPr>
          <w:rFonts w:eastAsia="Calibri"/>
          <w:lang w:val="en-US" w:eastAsia="en-US"/>
        </w:rPr>
        <w:t>ping</w:t>
      </w:r>
      <w:r w:rsidRPr="00BD77D8">
        <w:rPr>
          <w:rFonts w:eastAsia="Calibri"/>
          <w:lang w:val="en-US" w:eastAsia="en-US"/>
        </w:rPr>
        <w:t xml:space="preserve"> resources to support </w:t>
      </w:r>
      <w:r w:rsidR="00EF7607" w:rsidRPr="00BD77D8">
        <w:rPr>
          <w:rFonts w:eastAsia="Calibri"/>
          <w:lang w:val="en-US" w:eastAsia="en-US"/>
        </w:rPr>
        <w:t xml:space="preserve">the </w:t>
      </w:r>
      <w:r w:rsidRPr="00BD77D8">
        <w:rPr>
          <w:rFonts w:eastAsia="Calibri"/>
          <w:lang w:val="en-US" w:eastAsia="en-US"/>
        </w:rPr>
        <w:t>implementation of self-care and workplace wellbeing strategies</w:t>
      </w:r>
    </w:p>
    <w:p w14:paraId="17F1F52B" w14:textId="524AEA4F" w:rsidR="00C448A9" w:rsidRPr="00BD77D8" w:rsidRDefault="002B672C" w:rsidP="00A463E0">
      <w:pPr>
        <w:pStyle w:val="ListParagraph"/>
        <w:numPr>
          <w:ilvl w:val="0"/>
          <w:numId w:val="29"/>
        </w:numPr>
        <w:rPr>
          <w:rFonts w:eastAsia="Calibri"/>
          <w:lang w:val="en-US" w:eastAsia="en-US"/>
        </w:rPr>
      </w:pPr>
      <w:r w:rsidRPr="00BD77D8">
        <w:rPr>
          <w:rFonts w:eastAsia="Calibri"/>
          <w:lang w:val="en-US" w:eastAsia="en-US"/>
        </w:rPr>
        <w:t>completi</w:t>
      </w:r>
      <w:r w:rsidR="00EF7607" w:rsidRPr="00BD77D8">
        <w:rPr>
          <w:rFonts w:eastAsia="Calibri"/>
          <w:lang w:val="en-US" w:eastAsia="en-US"/>
        </w:rPr>
        <w:t xml:space="preserve">ng the </w:t>
      </w:r>
      <w:r w:rsidRPr="00BD77D8">
        <w:rPr>
          <w:rFonts w:eastAsia="Calibri"/>
          <w:lang w:val="en-US" w:eastAsia="en-US"/>
        </w:rPr>
        <w:t>White Ribbon reaccreditation for the department and updat</w:t>
      </w:r>
      <w:r w:rsidR="00EF7607" w:rsidRPr="00BD77D8">
        <w:rPr>
          <w:rFonts w:eastAsia="Calibri"/>
          <w:lang w:val="en-US" w:eastAsia="en-US"/>
        </w:rPr>
        <w:t>ing</w:t>
      </w:r>
      <w:r w:rsidRPr="00BD77D8">
        <w:rPr>
          <w:rFonts w:eastAsia="Calibri"/>
          <w:lang w:val="en-US" w:eastAsia="en-US"/>
        </w:rPr>
        <w:t xml:space="preserve"> </w:t>
      </w:r>
      <w:r w:rsidR="00C448A9" w:rsidRPr="00BD77D8">
        <w:rPr>
          <w:rFonts w:eastAsia="Calibri"/>
          <w:lang w:val="en-US" w:eastAsia="en-US"/>
        </w:rPr>
        <w:t>training and resources to better support staff impacted by domestic and family violence</w:t>
      </w:r>
    </w:p>
    <w:p w14:paraId="38571F2B" w14:textId="068E0E04" w:rsidR="00C448A9" w:rsidRPr="00BD77D8" w:rsidRDefault="00C448A9" w:rsidP="00A463E0">
      <w:pPr>
        <w:pStyle w:val="ListParagraph"/>
        <w:numPr>
          <w:ilvl w:val="0"/>
          <w:numId w:val="29"/>
        </w:numPr>
        <w:rPr>
          <w:rFonts w:eastAsia="Calibri"/>
          <w:lang w:val="en-US" w:eastAsia="en-US"/>
        </w:rPr>
      </w:pPr>
      <w:r w:rsidRPr="00BD77D8">
        <w:rPr>
          <w:rFonts w:eastAsia="Calibri"/>
          <w:lang w:val="en-US" w:eastAsia="en-US"/>
        </w:rPr>
        <w:t>hosting weekly all staff online forums led by the Director-General and other senior leaders, to ensure staff stay connected, share best practice advice, celebrate success, and provide direct access to information from senior leaders</w:t>
      </w:r>
    </w:p>
    <w:p w14:paraId="168BC369" w14:textId="7F66D69C" w:rsidR="002B672C" w:rsidRPr="00BD77D8" w:rsidRDefault="00C448A9" w:rsidP="00A463E0">
      <w:pPr>
        <w:pStyle w:val="ListParagraph"/>
        <w:numPr>
          <w:ilvl w:val="0"/>
          <w:numId w:val="29"/>
        </w:numPr>
        <w:rPr>
          <w:rFonts w:eastAsia="Calibri"/>
          <w:lang w:val="en-US" w:eastAsia="en-US"/>
        </w:rPr>
      </w:pPr>
      <w:r w:rsidRPr="00BD77D8">
        <w:rPr>
          <w:rFonts w:eastAsia="Calibri"/>
          <w:lang w:val="en-US" w:eastAsia="en-US"/>
        </w:rPr>
        <w:t xml:space="preserve">providing staff with a range of supports and resources to assist them through the </w:t>
      </w:r>
      <w:r w:rsidR="00D722F5" w:rsidRPr="00BD77D8">
        <w:rPr>
          <w:rFonts w:eastAsia="Calibri"/>
          <w:lang w:val="en-US" w:eastAsia="en-US"/>
        </w:rPr>
        <w:t xml:space="preserve">COVID-19 </w:t>
      </w:r>
      <w:r w:rsidRPr="00BD77D8">
        <w:rPr>
          <w:rFonts w:eastAsia="Calibri"/>
          <w:lang w:val="en-US" w:eastAsia="en-US"/>
        </w:rPr>
        <w:t>pandemic. This included</w:t>
      </w:r>
      <w:r w:rsidR="00EF7607" w:rsidRPr="00BD77D8">
        <w:rPr>
          <w:rFonts w:eastAsia="Calibri"/>
          <w:lang w:val="en-US" w:eastAsia="en-US"/>
        </w:rPr>
        <w:t xml:space="preserve"> advice on</w:t>
      </w:r>
      <w:r w:rsidRPr="00BD77D8">
        <w:rPr>
          <w:rFonts w:eastAsia="Calibri"/>
          <w:lang w:val="en-US" w:eastAsia="en-US"/>
        </w:rPr>
        <w:t xml:space="preserve"> enhanced hygiene practices, social distancing</w:t>
      </w:r>
      <w:r w:rsidR="00354BF7" w:rsidRPr="00BD77D8">
        <w:rPr>
          <w:rFonts w:eastAsia="Calibri"/>
          <w:lang w:val="en-US" w:eastAsia="en-US"/>
        </w:rPr>
        <w:t xml:space="preserve"> and</w:t>
      </w:r>
      <w:r w:rsidRPr="00BD77D8">
        <w:rPr>
          <w:rFonts w:eastAsia="Calibri"/>
          <w:lang w:val="en-US" w:eastAsia="en-US"/>
        </w:rPr>
        <w:t xml:space="preserve"> flexible work arrangements</w:t>
      </w:r>
      <w:r w:rsidR="00354BF7" w:rsidRPr="00BD77D8">
        <w:rPr>
          <w:rFonts w:eastAsia="Calibri"/>
          <w:lang w:val="en-US" w:eastAsia="en-US"/>
        </w:rPr>
        <w:t>,</w:t>
      </w:r>
      <w:r w:rsidRPr="00BD77D8">
        <w:rPr>
          <w:rFonts w:eastAsia="Calibri"/>
          <w:lang w:val="en-US" w:eastAsia="en-US"/>
        </w:rPr>
        <w:t xml:space="preserve"> and </w:t>
      </w:r>
      <w:r w:rsidR="00EF7607" w:rsidRPr="00BD77D8">
        <w:rPr>
          <w:rFonts w:eastAsia="Calibri"/>
          <w:lang w:val="en-US" w:eastAsia="en-US"/>
        </w:rPr>
        <w:t>developing</w:t>
      </w:r>
      <w:r w:rsidRPr="00BD77D8">
        <w:rPr>
          <w:rFonts w:eastAsia="Calibri"/>
          <w:lang w:val="en-US" w:eastAsia="en-US"/>
        </w:rPr>
        <w:t xml:space="preserve"> additional fact sheets around personal protective equipment</w:t>
      </w:r>
    </w:p>
    <w:p w14:paraId="7E6F1755" w14:textId="60BFF2EB" w:rsidR="002B672C" w:rsidRPr="00BD77D8" w:rsidRDefault="002B672C" w:rsidP="00A463E0">
      <w:pPr>
        <w:pStyle w:val="ListParagraph"/>
        <w:numPr>
          <w:ilvl w:val="0"/>
          <w:numId w:val="29"/>
        </w:numPr>
        <w:rPr>
          <w:rFonts w:eastAsia="Calibri"/>
          <w:lang w:val="en-US" w:eastAsia="en-US"/>
        </w:rPr>
      </w:pPr>
      <w:r w:rsidRPr="00BD77D8">
        <w:rPr>
          <w:rFonts w:eastAsia="Calibri"/>
          <w:lang w:val="en-US" w:eastAsia="en-US"/>
        </w:rPr>
        <w:t>develop</w:t>
      </w:r>
      <w:r w:rsidR="00EF7607" w:rsidRPr="00BD77D8">
        <w:rPr>
          <w:rFonts w:eastAsia="Calibri"/>
          <w:lang w:val="en-US" w:eastAsia="en-US"/>
        </w:rPr>
        <w:t>ing</w:t>
      </w:r>
      <w:r w:rsidRPr="00BD77D8">
        <w:rPr>
          <w:rFonts w:eastAsia="Calibri"/>
          <w:lang w:val="en-US" w:eastAsia="en-US"/>
        </w:rPr>
        <w:t xml:space="preserve"> and implement</w:t>
      </w:r>
      <w:r w:rsidR="00EF7607" w:rsidRPr="00BD77D8">
        <w:rPr>
          <w:rFonts w:eastAsia="Calibri"/>
          <w:lang w:val="en-US" w:eastAsia="en-US"/>
        </w:rPr>
        <w:t>ing</w:t>
      </w:r>
      <w:r w:rsidRPr="00BD77D8">
        <w:rPr>
          <w:rFonts w:eastAsia="Calibri"/>
          <w:lang w:val="en-US" w:eastAsia="en-US"/>
        </w:rPr>
        <w:t xml:space="preserve"> the COVID-19 vaccination</w:t>
      </w:r>
      <w:r w:rsidR="002709C2" w:rsidRPr="00BD77D8">
        <w:rPr>
          <w:rFonts w:eastAsia="Calibri"/>
          <w:lang w:val="en-US" w:eastAsia="en-US"/>
        </w:rPr>
        <w:t xml:space="preserve"> requirements</w:t>
      </w:r>
      <w:r w:rsidRPr="00BD77D8">
        <w:rPr>
          <w:rFonts w:eastAsia="Calibri"/>
          <w:lang w:val="en-US" w:eastAsia="en-US"/>
        </w:rPr>
        <w:t xml:space="preserve"> policy</w:t>
      </w:r>
    </w:p>
    <w:p w14:paraId="06DF1490" w14:textId="7E17C2D5" w:rsidR="002B672C" w:rsidRPr="00BD77D8" w:rsidRDefault="002B672C" w:rsidP="00A463E0">
      <w:pPr>
        <w:pStyle w:val="ListParagraph"/>
        <w:numPr>
          <w:ilvl w:val="0"/>
          <w:numId w:val="29"/>
        </w:numPr>
        <w:rPr>
          <w:rFonts w:eastAsia="Calibri"/>
          <w:lang w:val="en-US" w:eastAsia="en-US"/>
        </w:rPr>
      </w:pPr>
      <w:r w:rsidRPr="00BD77D8">
        <w:rPr>
          <w:rFonts w:eastAsia="Calibri"/>
          <w:lang w:val="en-US" w:eastAsia="en-US"/>
        </w:rPr>
        <w:t>develop</w:t>
      </w:r>
      <w:r w:rsidR="00EF7607" w:rsidRPr="00BD77D8">
        <w:rPr>
          <w:rFonts w:eastAsia="Calibri"/>
          <w:lang w:val="en-US" w:eastAsia="en-US"/>
        </w:rPr>
        <w:t>ing</w:t>
      </w:r>
      <w:r w:rsidRPr="00BD77D8">
        <w:rPr>
          <w:rFonts w:eastAsia="Calibri"/>
          <w:lang w:val="en-US" w:eastAsia="en-US"/>
        </w:rPr>
        <w:t xml:space="preserve"> the Safety, Wellbeing and Injury Management (SWIM) Strategy 2022</w:t>
      </w:r>
      <w:r w:rsidR="00354BF7" w:rsidRPr="00BD77D8">
        <w:rPr>
          <w:rFonts w:eastAsia="Calibri"/>
          <w:lang w:val="en-US" w:eastAsia="en-US"/>
        </w:rPr>
        <w:t>–</w:t>
      </w:r>
      <w:r w:rsidRPr="00BD77D8">
        <w:rPr>
          <w:rFonts w:eastAsia="Calibri"/>
          <w:lang w:val="en-US" w:eastAsia="en-US"/>
        </w:rPr>
        <w:t>2025</w:t>
      </w:r>
      <w:r w:rsidR="00EF7607" w:rsidRPr="00BD77D8">
        <w:rPr>
          <w:rFonts w:eastAsia="Calibri"/>
          <w:lang w:val="en-US" w:eastAsia="en-US"/>
        </w:rPr>
        <w:t>,</w:t>
      </w:r>
      <w:r w:rsidRPr="00BD77D8">
        <w:rPr>
          <w:rFonts w:eastAsia="Calibri"/>
          <w:lang w:val="en-US" w:eastAsia="en-US"/>
        </w:rPr>
        <w:t xml:space="preserve"> and </w:t>
      </w:r>
      <w:r w:rsidR="00EF7607" w:rsidRPr="00BD77D8">
        <w:rPr>
          <w:rFonts w:eastAsia="Calibri"/>
          <w:lang w:val="en-US" w:eastAsia="en-US"/>
        </w:rPr>
        <w:t xml:space="preserve">the </w:t>
      </w:r>
      <w:r w:rsidRPr="00BD77D8">
        <w:rPr>
          <w:rFonts w:eastAsia="Calibri"/>
          <w:lang w:val="en-US" w:eastAsia="en-US"/>
        </w:rPr>
        <w:t>SWIM Operating Framework</w:t>
      </w:r>
    </w:p>
    <w:p w14:paraId="0A17B4A1" w14:textId="5C539F11" w:rsidR="008F581B" w:rsidRPr="00BD77D8" w:rsidRDefault="008F581B" w:rsidP="00A463E0">
      <w:pPr>
        <w:pStyle w:val="ListParagraph"/>
        <w:numPr>
          <w:ilvl w:val="0"/>
          <w:numId w:val="29"/>
        </w:numPr>
        <w:rPr>
          <w:rFonts w:eastAsia="Calibri"/>
          <w:lang w:val="en-US" w:eastAsia="en-US"/>
        </w:rPr>
      </w:pPr>
      <w:r w:rsidRPr="00BD77D8">
        <w:rPr>
          <w:rFonts w:eastAsia="Calibri"/>
          <w:lang w:val="en-US" w:eastAsia="en-US"/>
        </w:rPr>
        <w:t>developing the departmental Wellbeing Strategy 2022</w:t>
      </w:r>
      <w:r w:rsidR="00354BF7" w:rsidRPr="00BD77D8">
        <w:rPr>
          <w:rFonts w:eastAsia="Calibri"/>
          <w:lang w:val="en-US" w:eastAsia="en-US"/>
        </w:rPr>
        <w:t>–</w:t>
      </w:r>
      <w:r w:rsidR="00C137CE" w:rsidRPr="00BD77D8">
        <w:rPr>
          <w:rFonts w:eastAsia="Calibri"/>
          <w:lang w:val="en-US" w:eastAsia="en-US"/>
        </w:rPr>
        <w:t>20</w:t>
      </w:r>
      <w:r w:rsidRPr="00BD77D8">
        <w:rPr>
          <w:rFonts w:eastAsia="Calibri"/>
          <w:lang w:val="en-US" w:eastAsia="en-US"/>
        </w:rPr>
        <w:t>25</w:t>
      </w:r>
      <w:r w:rsidR="001A008E" w:rsidRPr="00BD77D8">
        <w:rPr>
          <w:rFonts w:eastAsia="Calibri"/>
          <w:lang w:val="en-US" w:eastAsia="en-US"/>
        </w:rPr>
        <w:t xml:space="preserve"> and </w:t>
      </w:r>
      <w:r w:rsidRPr="00BD77D8">
        <w:rPr>
          <w:rFonts w:eastAsia="Calibri"/>
          <w:lang w:val="en-US" w:eastAsia="en-US"/>
        </w:rPr>
        <w:t>the Wellbeing Action Plan 2022</w:t>
      </w:r>
      <w:r w:rsidR="00354BF7" w:rsidRPr="00BD77D8">
        <w:rPr>
          <w:rFonts w:eastAsia="Calibri"/>
          <w:lang w:val="en-US" w:eastAsia="en-US"/>
        </w:rPr>
        <w:t>–</w:t>
      </w:r>
      <w:r w:rsidRPr="00BD77D8">
        <w:rPr>
          <w:rFonts w:eastAsia="Calibri"/>
          <w:lang w:val="en-US" w:eastAsia="en-US"/>
        </w:rPr>
        <w:t>23</w:t>
      </w:r>
      <w:r w:rsidR="001A008E" w:rsidRPr="00BD77D8">
        <w:rPr>
          <w:rFonts w:eastAsia="Calibri"/>
          <w:lang w:val="en-US" w:eastAsia="en-US"/>
        </w:rPr>
        <w:t>,</w:t>
      </w:r>
      <w:r w:rsidRPr="00BD77D8">
        <w:rPr>
          <w:rFonts w:eastAsia="Calibri"/>
          <w:lang w:val="en-US" w:eastAsia="en-US"/>
        </w:rPr>
        <w:t xml:space="preserve"> and </w:t>
      </w:r>
      <w:r w:rsidR="001A008E" w:rsidRPr="00BD77D8">
        <w:rPr>
          <w:rFonts w:eastAsia="Calibri"/>
          <w:lang w:val="en-US" w:eastAsia="en-US"/>
        </w:rPr>
        <w:t xml:space="preserve">providing the </w:t>
      </w:r>
      <w:r w:rsidR="00354BF7" w:rsidRPr="00BD77D8">
        <w:rPr>
          <w:rFonts w:eastAsia="Calibri"/>
          <w:lang w:val="en-US" w:eastAsia="en-US"/>
        </w:rPr>
        <w:t>w</w:t>
      </w:r>
      <w:r w:rsidRPr="00BD77D8">
        <w:rPr>
          <w:rFonts w:eastAsia="Calibri"/>
          <w:lang w:val="en-US" w:eastAsia="en-US"/>
        </w:rPr>
        <w:t xml:space="preserve">ellbeing </w:t>
      </w:r>
      <w:r w:rsidR="00354BF7" w:rsidRPr="00BD77D8">
        <w:rPr>
          <w:rFonts w:eastAsia="Calibri"/>
          <w:lang w:val="en-US" w:eastAsia="en-US"/>
        </w:rPr>
        <w:t>p</w:t>
      </w:r>
      <w:r w:rsidRPr="00BD77D8">
        <w:rPr>
          <w:rFonts w:eastAsia="Calibri"/>
          <w:lang w:val="en-US" w:eastAsia="en-US"/>
        </w:rPr>
        <w:t>ortal</w:t>
      </w:r>
    </w:p>
    <w:p w14:paraId="4A7946A6" w14:textId="46319AFC" w:rsidR="008F581B" w:rsidRPr="00BD77D8" w:rsidRDefault="008F581B" w:rsidP="00A463E0">
      <w:pPr>
        <w:pStyle w:val="ListParagraph"/>
        <w:numPr>
          <w:ilvl w:val="0"/>
          <w:numId w:val="29"/>
        </w:numPr>
        <w:rPr>
          <w:rFonts w:eastAsia="Calibri"/>
          <w:lang w:val="en-US" w:eastAsia="en-US"/>
        </w:rPr>
      </w:pPr>
      <w:r w:rsidRPr="00BD77D8">
        <w:rPr>
          <w:rFonts w:eastAsia="Calibri"/>
          <w:lang w:val="en-US" w:eastAsia="en-US"/>
        </w:rPr>
        <w:t xml:space="preserve">developing and promoting the </w:t>
      </w:r>
      <w:r w:rsidR="00354BF7" w:rsidRPr="00BD77D8">
        <w:rPr>
          <w:rFonts w:eastAsia="Calibri"/>
          <w:lang w:val="en-US" w:eastAsia="en-US"/>
        </w:rPr>
        <w:t>b</w:t>
      </w:r>
      <w:r w:rsidRPr="00BD77D8">
        <w:rPr>
          <w:rFonts w:eastAsia="Calibri"/>
          <w:lang w:val="en-US" w:eastAsia="en-US"/>
        </w:rPr>
        <w:t xml:space="preserve">ullying and </w:t>
      </w:r>
      <w:r w:rsidR="00354BF7" w:rsidRPr="00BD77D8">
        <w:rPr>
          <w:rFonts w:eastAsia="Calibri"/>
          <w:lang w:val="en-US" w:eastAsia="en-US"/>
        </w:rPr>
        <w:t>h</w:t>
      </w:r>
      <w:r w:rsidRPr="00BD77D8">
        <w:rPr>
          <w:rFonts w:eastAsia="Calibri"/>
          <w:lang w:val="en-US" w:eastAsia="en-US"/>
        </w:rPr>
        <w:t>arassment portal and resources</w:t>
      </w:r>
    </w:p>
    <w:p w14:paraId="01538639" w14:textId="4FEF1C33" w:rsidR="00C448A9" w:rsidRPr="00BD77D8" w:rsidRDefault="00EF7607" w:rsidP="00A463E0">
      <w:pPr>
        <w:pStyle w:val="ListParagraph"/>
        <w:numPr>
          <w:ilvl w:val="0"/>
          <w:numId w:val="29"/>
        </w:numPr>
        <w:rPr>
          <w:rFonts w:eastAsia="Calibri"/>
          <w:lang w:val="en-US" w:eastAsia="en-US"/>
        </w:rPr>
      </w:pPr>
      <w:r w:rsidRPr="00BD77D8">
        <w:rPr>
          <w:rFonts w:eastAsia="Calibri"/>
          <w:lang w:val="en-US" w:eastAsia="en-US"/>
        </w:rPr>
        <w:t>i</w:t>
      </w:r>
      <w:r w:rsidR="002B672C" w:rsidRPr="00BD77D8">
        <w:rPr>
          <w:rFonts w:eastAsia="Calibri"/>
          <w:lang w:val="en-US" w:eastAsia="en-US"/>
        </w:rPr>
        <w:t>mplement</w:t>
      </w:r>
      <w:r w:rsidRPr="00BD77D8">
        <w:rPr>
          <w:rFonts w:eastAsia="Calibri"/>
          <w:lang w:val="en-US" w:eastAsia="en-US"/>
        </w:rPr>
        <w:t>ing</w:t>
      </w:r>
      <w:r w:rsidR="002B672C" w:rsidRPr="00BD77D8">
        <w:rPr>
          <w:rFonts w:eastAsia="Calibri"/>
          <w:lang w:val="en-US" w:eastAsia="en-US"/>
        </w:rPr>
        <w:t xml:space="preserve"> the annual </w:t>
      </w:r>
      <w:r w:rsidR="006A5DCF" w:rsidRPr="00BD77D8">
        <w:rPr>
          <w:rFonts w:eastAsia="Calibri"/>
          <w:lang w:val="en-US" w:eastAsia="en-US"/>
        </w:rPr>
        <w:t>in</w:t>
      </w:r>
      <w:r w:rsidR="002B672C" w:rsidRPr="00BD77D8">
        <w:rPr>
          <w:rFonts w:eastAsia="Calibri"/>
          <w:lang w:val="en-US" w:eastAsia="en-US"/>
        </w:rPr>
        <w:t>flu</w:t>
      </w:r>
      <w:r w:rsidR="006A5DCF" w:rsidRPr="00BD77D8">
        <w:rPr>
          <w:rFonts w:eastAsia="Calibri"/>
          <w:lang w:val="en-US" w:eastAsia="en-US"/>
        </w:rPr>
        <w:t>enza</w:t>
      </w:r>
      <w:r w:rsidR="002B672C" w:rsidRPr="00BD77D8">
        <w:rPr>
          <w:rFonts w:eastAsia="Calibri"/>
          <w:lang w:val="en-US" w:eastAsia="en-US"/>
        </w:rPr>
        <w:t xml:space="preserve"> vaccination program</w:t>
      </w:r>
      <w:r w:rsidR="00C448A9" w:rsidRPr="00BD77D8">
        <w:rPr>
          <w:rFonts w:eastAsia="Calibri"/>
          <w:lang w:val="en-US" w:eastAsia="en-US"/>
        </w:rPr>
        <w:t>.</w:t>
      </w:r>
    </w:p>
    <w:p w14:paraId="7C63D27A" w14:textId="4B4697CA" w:rsidR="00094B42" w:rsidRPr="00BD77D8" w:rsidRDefault="00CA656F" w:rsidP="009F1FB5">
      <w:pPr>
        <w:pStyle w:val="Heading3"/>
      </w:pPr>
      <w:r w:rsidRPr="00BD77D8">
        <w:t xml:space="preserve">Employee opinion survey </w:t>
      </w:r>
    </w:p>
    <w:p w14:paraId="469FFCDA" w14:textId="03657B09" w:rsidR="00BB4461" w:rsidRPr="00BD77D8" w:rsidRDefault="00BB4461" w:rsidP="00E43202">
      <w:pPr>
        <w:spacing w:after="120"/>
      </w:pPr>
      <w:r w:rsidRPr="00BD77D8">
        <w:t>The Working for Queensland Survey (WFQ) is an annual survey measur</w:t>
      </w:r>
      <w:r w:rsidR="00354BF7" w:rsidRPr="00BD77D8">
        <w:t>ing</w:t>
      </w:r>
      <w:r w:rsidRPr="00BD77D8">
        <w:t xml:space="preserve"> Queensland Public Sector employee perceptions of their work, manager, team and organisation. The results of the WFQ survey are used to drive positive workplace change across the organisation.</w:t>
      </w:r>
    </w:p>
    <w:p w14:paraId="6A69BCD2" w14:textId="77777777" w:rsidR="00AC3A41" w:rsidRPr="00BD77D8" w:rsidRDefault="00AC3A41" w:rsidP="00AC3A41">
      <w:pPr>
        <w:spacing w:after="120"/>
      </w:pPr>
      <w:r w:rsidRPr="00BD77D8">
        <w:t>Fifty per cent of staff responded to the 2021 survey. As a restructured department, the 2021 results provide a new baseline for ongoing improvement opportunities.</w:t>
      </w:r>
    </w:p>
    <w:p w14:paraId="757DA684" w14:textId="005625CE" w:rsidR="00AC3A41" w:rsidRPr="00BD77D8" w:rsidRDefault="00AC3A41" w:rsidP="00AC3A41">
      <w:pPr>
        <w:spacing w:after="120"/>
      </w:pPr>
      <w:r w:rsidRPr="00BD77D8">
        <w:lastRenderedPageBreak/>
        <w:t>The results of many factors are very similar to the whole of public sector results, including agency engagement at 56</w:t>
      </w:r>
      <w:r w:rsidR="00354BF7" w:rsidRPr="00BD77D8">
        <w:t xml:space="preserve"> per cent</w:t>
      </w:r>
      <w:r w:rsidRPr="00BD77D8">
        <w:t xml:space="preserve"> and organisational leadership at 48</w:t>
      </w:r>
      <w:r w:rsidR="00354BF7" w:rsidRPr="00BD77D8">
        <w:t xml:space="preserve"> per cent</w:t>
      </w:r>
      <w:r w:rsidRPr="00BD77D8">
        <w:t>.</w:t>
      </w:r>
    </w:p>
    <w:p w14:paraId="706A1B2C" w14:textId="678A5CE2" w:rsidR="00AC3A41" w:rsidRPr="00BD77D8" w:rsidRDefault="00AC3A41" w:rsidP="00AC3A41">
      <w:pPr>
        <w:spacing w:after="120"/>
      </w:pPr>
      <w:r w:rsidRPr="00BD77D8">
        <w:t xml:space="preserve">The department was particularly strong on understanding how the </w:t>
      </w:r>
      <w:r w:rsidRPr="00BD77D8">
        <w:rPr>
          <w:i/>
          <w:iCs/>
        </w:rPr>
        <w:t>Human Rights Act 2019</w:t>
      </w:r>
      <w:r w:rsidRPr="00BD77D8">
        <w:t xml:space="preserve"> applies to our work and anti-discrimination</w:t>
      </w:r>
      <w:r w:rsidR="00EF7607" w:rsidRPr="00BD77D8">
        <w:t>,</w:t>
      </w:r>
      <w:r w:rsidRPr="00BD77D8">
        <w:t xml:space="preserve"> including staff who felt they ma</w:t>
      </w:r>
      <w:r w:rsidR="00354BF7" w:rsidRPr="00BD77D8">
        <w:t>d</w:t>
      </w:r>
      <w:r w:rsidRPr="00BD77D8">
        <w:t>e a difference in this area.</w:t>
      </w:r>
    </w:p>
    <w:p w14:paraId="31A165B0" w14:textId="71D775A1" w:rsidR="00AC3A41" w:rsidRPr="00BD77D8" w:rsidRDefault="00AC3A41" w:rsidP="00AC3A41">
      <w:pPr>
        <w:spacing w:after="120"/>
      </w:pPr>
      <w:r w:rsidRPr="00BD77D8">
        <w:t xml:space="preserve">In response to areas where improvements are needed, the department is actively working to reduce reported experiences of bullying and harassment, implementing positive performance management, building </w:t>
      </w:r>
      <w:r w:rsidR="00EF7607" w:rsidRPr="00BD77D8">
        <w:t xml:space="preserve">the </w:t>
      </w:r>
      <w:r w:rsidRPr="00BD77D8">
        <w:t>capability of managers and implementing a new employee wellbeing plan.</w:t>
      </w:r>
    </w:p>
    <w:p w14:paraId="513874F0" w14:textId="52C8D360" w:rsidR="00AC3A41" w:rsidRPr="00BD77D8" w:rsidRDefault="00AC3A41" w:rsidP="00AC3A41">
      <w:pPr>
        <w:spacing w:after="120"/>
      </w:pPr>
      <w:r w:rsidRPr="00BD77D8">
        <w:t xml:space="preserve">SOLID values are continuing to be embedded and regular </w:t>
      </w:r>
      <w:r w:rsidR="006A5DCF" w:rsidRPr="00BD77D8">
        <w:t>workshops</w:t>
      </w:r>
      <w:r w:rsidRPr="00BD77D8">
        <w:t>, engagement and communication with staff continues.</w:t>
      </w:r>
    </w:p>
    <w:p w14:paraId="08CE7A3C" w14:textId="36E1EB9B" w:rsidR="0038428D" w:rsidRPr="00BD77D8" w:rsidRDefault="0038428D" w:rsidP="00042900">
      <w:pPr>
        <w:pStyle w:val="Heading2"/>
        <w:rPr>
          <w:color w:val="auto"/>
          <w:sz w:val="20"/>
          <w:szCs w:val="20"/>
        </w:rPr>
      </w:pPr>
      <w:bookmarkStart w:id="272" w:name="_Toc113544398"/>
      <w:r w:rsidRPr="00BD77D8">
        <w:rPr>
          <w:color w:val="auto"/>
        </w:rPr>
        <w:t>Code of Conduct and Public Sector Ethics</w:t>
      </w:r>
      <w:bookmarkEnd w:id="272"/>
      <w:r w:rsidRPr="00BD77D8">
        <w:rPr>
          <w:color w:val="auto"/>
        </w:rPr>
        <w:t xml:space="preserve"> </w:t>
      </w:r>
    </w:p>
    <w:p w14:paraId="74340046" w14:textId="77777777" w:rsidR="0038428D" w:rsidRPr="00BD77D8" w:rsidRDefault="0038428D" w:rsidP="00172CB1">
      <w:pPr>
        <w:spacing w:after="120"/>
        <w:rPr>
          <w:rFonts w:eastAsia="Calibri"/>
          <w:lang w:val="en-US" w:eastAsia="en-US"/>
        </w:rPr>
      </w:pPr>
      <w:r w:rsidRPr="00BD77D8">
        <w:rPr>
          <w:rFonts w:eastAsia="Calibri"/>
          <w:lang w:val="en-US" w:eastAsia="en-US"/>
        </w:rPr>
        <w:t xml:space="preserve">The </w:t>
      </w:r>
      <w:r w:rsidRPr="00BD77D8">
        <w:rPr>
          <w:rFonts w:eastAsia="Calibri"/>
          <w:i/>
          <w:iCs/>
          <w:lang w:val="en-US" w:eastAsia="en-US"/>
        </w:rPr>
        <w:t>Code of Conduct</w:t>
      </w:r>
      <w:r w:rsidRPr="00BD77D8">
        <w:rPr>
          <w:rFonts w:eastAsia="Calibri"/>
          <w:lang w:val="en-US" w:eastAsia="en-US"/>
        </w:rPr>
        <w:t xml:space="preserve"> </w:t>
      </w:r>
      <w:r w:rsidRPr="00BD77D8">
        <w:rPr>
          <w:rFonts w:eastAsia="Calibri"/>
          <w:i/>
          <w:iCs/>
          <w:lang w:val="en-US" w:eastAsia="en-US"/>
        </w:rPr>
        <w:t>for the Queensland Public Service</w:t>
      </w:r>
      <w:r w:rsidRPr="00BD77D8">
        <w:rPr>
          <w:rFonts w:eastAsia="Calibri"/>
          <w:lang w:val="en-US" w:eastAsia="en-US"/>
        </w:rPr>
        <w:t xml:space="preserve"> (the Code of Conduct) is based on the ethics, principles and associated set of values prescribed by the </w:t>
      </w:r>
      <w:r w:rsidRPr="00BD77D8">
        <w:rPr>
          <w:rFonts w:eastAsia="Calibri"/>
          <w:i/>
          <w:iCs/>
          <w:lang w:val="en-US" w:eastAsia="en-US"/>
        </w:rPr>
        <w:t>Public Sector Ethics Act 1994</w:t>
      </w:r>
      <w:r w:rsidRPr="00BD77D8">
        <w:rPr>
          <w:rFonts w:eastAsia="Calibri"/>
          <w:lang w:val="en-US" w:eastAsia="en-US"/>
        </w:rPr>
        <w:t>. It also contains standards of conduct for each of the ethics’ principles, namely:</w:t>
      </w:r>
    </w:p>
    <w:p w14:paraId="09FB6B47" w14:textId="77777777" w:rsidR="0038428D" w:rsidRPr="00BD77D8" w:rsidRDefault="0038428D" w:rsidP="00A463E0">
      <w:pPr>
        <w:pStyle w:val="ListParagraph"/>
        <w:numPr>
          <w:ilvl w:val="0"/>
          <w:numId w:val="29"/>
        </w:numPr>
        <w:rPr>
          <w:rFonts w:eastAsia="Calibri"/>
          <w:lang w:val="en-US" w:eastAsia="en-US"/>
        </w:rPr>
      </w:pPr>
      <w:r w:rsidRPr="00BD77D8">
        <w:rPr>
          <w:rFonts w:eastAsia="Calibri"/>
          <w:lang w:val="en-US" w:eastAsia="en-US"/>
        </w:rPr>
        <w:t>integrity and impartiality</w:t>
      </w:r>
    </w:p>
    <w:p w14:paraId="0D4F415D" w14:textId="77777777" w:rsidR="0038428D" w:rsidRPr="00BD77D8" w:rsidRDefault="0038428D" w:rsidP="00A463E0">
      <w:pPr>
        <w:pStyle w:val="ListParagraph"/>
        <w:numPr>
          <w:ilvl w:val="0"/>
          <w:numId w:val="29"/>
        </w:numPr>
        <w:rPr>
          <w:rFonts w:eastAsia="Calibri"/>
          <w:lang w:val="en-US" w:eastAsia="en-US"/>
        </w:rPr>
      </w:pPr>
      <w:r w:rsidRPr="00BD77D8">
        <w:rPr>
          <w:rFonts w:eastAsia="Calibri"/>
          <w:lang w:val="en-US" w:eastAsia="en-US"/>
        </w:rPr>
        <w:t>promoting the public good</w:t>
      </w:r>
    </w:p>
    <w:p w14:paraId="348B3399" w14:textId="77777777" w:rsidR="0038428D" w:rsidRPr="00BD77D8" w:rsidRDefault="0038428D" w:rsidP="00A463E0">
      <w:pPr>
        <w:pStyle w:val="ListParagraph"/>
        <w:numPr>
          <w:ilvl w:val="0"/>
          <w:numId w:val="29"/>
        </w:numPr>
        <w:rPr>
          <w:rFonts w:eastAsia="Calibri"/>
          <w:lang w:val="en-US" w:eastAsia="en-US"/>
        </w:rPr>
      </w:pPr>
      <w:r w:rsidRPr="00BD77D8">
        <w:rPr>
          <w:rFonts w:eastAsia="Calibri"/>
          <w:lang w:val="en-US" w:eastAsia="en-US"/>
        </w:rPr>
        <w:t>commitment to the system of government</w:t>
      </w:r>
    </w:p>
    <w:p w14:paraId="5B4751DE" w14:textId="77777777" w:rsidR="0038428D" w:rsidRPr="00BD77D8" w:rsidRDefault="0038428D" w:rsidP="00A463E0">
      <w:pPr>
        <w:pStyle w:val="ListParagraph"/>
        <w:numPr>
          <w:ilvl w:val="0"/>
          <w:numId w:val="29"/>
        </w:numPr>
        <w:rPr>
          <w:rFonts w:eastAsia="Calibri"/>
          <w:lang w:val="en-US" w:eastAsia="en-US"/>
        </w:rPr>
      </w:pPr>
      <w:r w:rsidRPr="00BD77D8">
        <w:rPr>
          <w:rFonts w:eastAsia="Calibri"/>
          <w:lang w:val="en-US" w:eastAsia="en-US"/>
        </w:rPr>
        <w:t>accountability and transparency.</w:t>
      </w:r>
    </w:p>
    <w:p w14:paraId="5A1C90F5" w14:textId="1C7C5B38" w:rsidR="0038428D" w:rsidRPr="00BD77D8" w:rsidRDefault="0038428D" w:rsidP="0038428D">
      <w:pPr>
        <w:spacing w:after="120"/>
        <w:rPr>
          <w:rFonts w:eastAsia="Calibri"/>
          <w:lang w:val="en-US" w:eastAsia="en-US"/>
        </w:rPr>
      </w:pPr>
      <w:r w:rsidRPr="00BD77D8">
        <w:rPr>
          <w:rFonts w:eastAsia="Calibri"/>
          <w:lang w:val="en-US" w:eastAsia="en-US"/>
        </w:rPr>
        <w:t>The Code of Conduct applies to all departmental employees including volunteers, students, contractors, consultants and anyone working in any other capacity for the department. Adherence to the Code of Conduct is another way the department demonstrates ethical leadership in how it performs its role.</w:t>
      </w:r>
    </w:p>
    <w:p w14:paraId="14F1E2A5" w14:textId="2CC8872E" w:rsidR="0038428D" w:rsidRPr="00BD77D8" w:rsidRDefault="00EF7607" w:rsidP="0038428D">
      <w:pPr>
        <w:spacing w:after="120"/>
        <w:rPr>
          <w:rFonts w:eastAsia="Calibri"/>
          <w:lang w:val="en-US" w:eastAsia="en-US"/>
        </w:rPr>
      </w:pPr>
      <w:r w:rsidRPr="00BD77D8">
        <w:rPr>
          <w:rFonts w:eastAsia="Calibri"/>
          <w:lang w:val="en-US" w:eastAsia="en-US"/>
        </w:rPr>
        <w:t>During 2021</w:t>
      </w:r>
      <w:r w:rsidR="00354BF7" w:rsidRPr="00BD77D8">
        <w:rPr>
          <w:rFonts w:eastAsia="Calibri"/>
          <w:lang w:val="en-US" w:eastAsia="en-US"/>
        </w:rPr>
        <w:t>–</w:t>
      </w:r>
      <w:r w:rsidRPr="00BD77D8">
        <w:rPr>
          <w:rFonts w:eastAsia="Calibri"/>
          <w:lang w:val="en-US" w:eastAsia="en-US"/>
        </w:rPr>
        <w:t>2022, t</w:t>
      </w:r>
      <w:r w:rsidR="0038428D" w:rsidRPr="00BD77D8">
        <w:rPr>
          <w:rFonts w:eastAsia="Calibri"/>
          <w:lang w:val="en-US" w:eastAsia="en-US"/>
        </w:rPr>
        <w:t xml:space="preserve">he department regularly provided ethical decision-making education to employees, and ensured all new employees undertook ethics-related training as part of the mandatory induction process. </w:t>
      </w:r>
    </w:p>
    <w:p w14:paraId="1E908D0A" w14:textId="27C9760A" w:rsidR="0038428D" w:rsidRPr="00BD77D8" w:rsidRDefault="0038428D" w:rsidP="0038428D">
      <w:pPr>
        <w:rPr>
          <w:rFonts w:eastAsia="Calibri"/>
          <w:lang w:val="en-US" w:eastAsia="en-US"/>
        </w:rPr>
      </w:pPr>
      <w:r w:rsidRPr="00BD77D8">
        <w:rPr>
          <w:rFonts w:eastAsia="Calibri"/>
          <w:lang w:val="en-US" w:eastAsia="en-US"/>
        </w:rPr>
        <w:t xml:space="preserve">During </w:t>
      </w:r>
      <w:r w:rsidR="00EF7607" w:rsidRPr="00BD77D8">
        <w:rPr>
          <w:rFonts w:eastAsia="Calibri"/>
          <w:lang w:val="en-US" w:eastAsia="en-US"/>
        </w:rPr>
        <w:t xml:space="preserve">the </w:t>
      </w:r>
      <w:r w:rsidR="007D6017" w:rsidRPr="00BD77D8">
        <w:rPr>
          <w:rFonts w:eastAsia="Calibri"/>
          <w:lang w:val="en-US" w:eastAsia="en-US"/>
        </w:rPr>
        <w:t>year</w:t>
      </w:r>
      <w:r w:rsidRPr="00BD77D8">
        <w:rPr>
          <w:rFonts w:eastAsia="Calibri"/>
          <w:lang w:val="en-US" w:eastAsia="en-US"/>
        </w:rPr>
        <w:t>,</w:t>
      </w:r>
      <w:r w:rsidR="00911849" w:rsidRPr="00BD77D8">
        <w:rPr>
          <w:rFonts w:eastAsia="Calibri"/>
          <w:lang w:val="en-US" w:eastAsia="en-US"/>
        </w:rPr>
        <w:t xml:space="preserve"> 941</w:t>
      </w:r>
      <w:r w:rsidRPr="00BD77D8">
        <w:rPr>
          <w:rFonts w:eastAsia="Calibri"/>
          <w:lang w:val="en-US" w:eastAsia="en-US"/>
        </w:rPr>
        <w:t xml:space="preserve"> employees completed ethical decision-making and code of conduct training.</w:t>
      </w:r>
    </w:p>
    <w:p w14:paraId="2A7F7BD8" w14:textId="721758EC" w:rsidR="0038428D" w:rsidRPr="00BD77D8" w:rsidRDefault="0038428D" w:rsidP="0038428D">
      <w:pPr>
        <w:pStyle w:val="Heading3"/>
        <w:rPr>
          <w:sz w:val="20"/>
          <w:szCs w:val="20"/>
        </w:rPr>
      </w:pPr>
      <w:r w:rsidRPr="00BD77D8">
        <w:t>Management of suspected corrupt conduct and misconduct</w:t>
      </w:r>
    </w:p>
    <w:p w14:paraId="77BEE4AF" w14:textId="77777777" w:rsidR="0038428D" w:rsidRPr="00BD77D8" w:rsidRDefault="0038428D" w:rsidP="0038428D">
      <w:pPr>
        <w:rPr>
          <w:rFonts w:eastAsia="Calibri"/>
          <w:i/>
          <w:lang w:val="en-US" w:eastAsia="en-US"/>
        </w:rPr>
      </w:pPr>
      <w:r w:rsidRPr="00BD77D8">
        <w:rPr>
          <w:rFonts w:eastAsia="Calibri"/>
          <w:lang w:val="en-US" w:eastAsia="en-US"/>
        </w:rPr>
        <w:t xml:space="preserve">Allegations of corrupt conduct, or a breach of the </w:t>
      </w:r>
      <w:r w:rsidRPr="00BD77D8">
        <w:rPr>
          <w:rFonts w:eastAsia="Calibri"/>
          <w:i/>
          <w:iCs/>
          <w:lang w:val="en-US" w:eastAsia="en-US"/>
        </w:rPr>
        <w:t>Code of Conduct for the Queensland Public Service</w:t>
      </w:r>
      <w:r w:rsidRPr="00BD77D8">
        <w:rPr>
          <w:rFonts w:eastAsia="Calibri"/>
          <w:lang w:val="en-US" w:eastAsia="en-US"/>
        </w:rPr>
        <w:t xml:space="preserve"> involving a departmental employee, are reported to Ethical Standards. The matter is assessed with consideration given to the definition of corrupt conduct outlined in section 15 of the </w:t>
      </w:r>
      <w:r w:rsidRPr="00BD77D8">
        <w:rPr>
          <w:rFonts w:eastAsia="Calibri"/>
          <w:i/>
          <w:lang w:val="en-US" w:eastAsia="en-US"/>
        </w:rPr>
        <w:t>Crime and Corruption Act 2001</w:t>
      </w:r>
      <w:r w:rsidRPr="00BD77D8">
        <w:rPr>
          <w:rFonts w:eastAsia="Calibri"/>
          <w:lang w:val="en-US" w:eastAsia="en-US"/>
        </w:rPr>
        <w:t xml:space="preserve"> and the </w:t>
      </w:r>
      <w:r w:rsidRPr="00BD77D8">
        <w:rPr>
          <w:rFonts w:eastAsia="Calibri"/>
          <w:i/>
          <w:lang w:val="en-US" w:eastAsia="en-US"/>
        </w:rPr>
        <w:t>Public Interest Disclosure Act 2010.</w:t>
      </w:r>
    </w:p>
    <w:p w14:paraId="7157F7E5" w14:textId="4F02F4AD" w:rsidR="0038428D" w:rsidRPr="00BD77D8" w:rsidRDefault="0038428D" w:rsidP="0038428D">
      <w:pPr>
        <w:rPr>
          <w:rFonts w:eastAsia="Calibri"/>
          <w:lang w:val="en-US" w:eastAsia="en-US"/>
        </w:rPr>
      </w:pPr>
      <w:r w:rsidRPr="00BD77D8">
        <w:rPr>
          <w:rFonts w:eastAsia="Calibri"/>
          <w:lang w:val="en-US" w:eastAsia="en-US"/>
        </w:rPr>
        <w:t>During 2021</w:t>
      </w:r>
      <w:r w:rsidR="00354BF7" w:rsidRPr="00BD77D8">
        <w:rPr>
          <w:rFonts w:eastAsia="Calibri"/>
          <w:lang w:val="en-US" w:eastAsia="en-US"/>
        </w:rPr>
        <w:t>–</w:t>
      </w:r>
      <w:r w:rsidRPr="00BD77D8">
        <w:rPr>
          <w:rFonts w:eastAsia="Calibri"/>
          <w:lang w:val="en-US" w:eastAsia="en-US"/>
        </w:rPr>
        <w:t>2022, the department received</w:t>
      </w:r>
      <w:r w:rsidR="00911849" w:rsidRPr="00BD77D8">
        <w:rPr>
          <w:rFonts w:eastAsia="Calibri"/>
          <w:lang w:val="en-US" w:eastAsia="en-US"/>
        </w:rPr>
        <w:t xml:space="preserve"> 131 </w:t>
      </w:r>
      <w:r w:rsidRPr="00BD77D8">
        <w:rPr>
          <w:rFonts w:eastAsia="Calibri"/>
          <w:lang w:val="en-US" w:eastAsia="en-US"/>
        </w:rPr>
        <w:t>referrals</w:t>
      </w:r>
      <w:r w:rsidR="007D6017" w:rsidRPr="00BD77D8">
        <w:rPr>
          <w:rFonts w:eastAsia="Calibri"/>
          <w:lang w:val="en-US" w:eastAsia="en-US"/>
        </w:rPr>
        <w:t>. Of the 131 referral</w:t>
      </w:r>
      <w:r w:rsidR="005C34E5" w:rsidRPr="00BD77D8">
        <w:rPr>
          <w:rFonts w:eastAsia="Calibri"/>
          <w:lang w:val="en-US" w:eastAsia="en-US"/>
        </w:rPr>
        <w:t>s</w:t>
      </w:r>
      <w:r w:rsidR="007D6017" w:rsidRPr="00BD77D8">
        <w:rPr>
          <w:rFonts w:eastAsia="Calibri"/>
          <w:lang w:val="en-US" w:eastAsia="en-US"/>
        </w:rPr>
        <w:t xml:space="preserve">, </w:t>
      </w:r>
      <w:r w:rsidR="00911849" w:rsidRPr="00BD77D8">
        <w:rPr>
          <w:rFonts w:eastAsia="Calibri"/>
          <w:lang w:val="en-US" w:eastAsia="en-US"/>
        </w:rPr>
        <w:t>31</w:t>
      </w:r>
      <w:r w:rsidRPr="00BD77D8">
        <w:rPr>
          <w:rFonts w:eastAsia="Calibri"/>
          <w:lang w:val="en-US" w:eastAsia="en-US"/>
        </w:rPr>
        <w:t xml:space="preserve"> were assessed as corrupt conduct matters</w:t>
      </w:r>
      <w:r w:rsidR="0065797A" w:rsidRPr="00BD77D8">
        <w:rPr>
          <w:rFonts w:eastAsia="Calibri"/>
          <w:lang w:val="en-US" w:eastAsia="en-US"/>
        </w:rPr>
        <w:t>,</w:t>
      </w:r>
      <w:r w:rsidRPr="00BD77D8">
        <w:rPr>
          <w:rFonts w:eastAsia="Calibri"/>
          <w:lang w:val="en-US" w:eastAsia="en-US"/>
        </w:rPr>
        <w:t xml:space="preserve"> </w:t>
      </w:r>
      <w:r w:rsidR="00911849" w:rsidRPr="00BD77D8">
        <w:rPr>
          <w:rFonts w:eastAsia="Calibri"/>
          <w:lang w:val="en-US" w:eastAsia="en-US"/>
        </w:rPr>
        <w:t xml:space="preserve">82 </w:t>
      </w:r>
      <w:r w:rsidRPr="00BD77D8">
        <w:rPr>
          <w:rFonts w:eastAsia="Calibri"/>
          <w:lang w:val="en-US" w:eastAsia="en-US"/>
        </w:rPr>
        <w:t>as misconduct matters</w:t>
      </w:r>
      <w:r w:rsidR="0065797A" w:rsidRPr="00BD77D8">
        <w:rPr>
          <w:rFonts w:eastAsia="Calibri"/>
          <w:lang w:val="en-US" w:eastAsia="en-US"/>
        </w:rPr>
        <w:t>,</w:t>
      </w:r>
      <w:r w:rsidR="007D6017" w:rsidRPr="00BD77D8">
        <w:rPr>
          <w:rFonts w:eastAsia="Calibri"/>
          <w:lang w:val="en-US" w:eastAsia="en-US"/>
        </w:rPr>
        <w:t xml:space="preserve"> and </w:t>
      </w:r>
      <w:r w:rsidR="00911849" w:rsidRPr="00BD77D8">
        <w:rPr>
          <w:rFonts w:eastAsia="Calibri"/>
          <w:lang w:val="en-US" w:eastAsia="en-US"/>
        </w:rPr>
        <w:t>18 matters did not reach the threshold of misconduct/corrupt conduct or remained in assessment.</w:t>
      </w:r>
    </w:p>
    <w:p w14:paraId="56CE02CD" w14:textId="77777777" w:rsidR="0038428D" w:rsidRPr="00BD77D8" w:rsidRDefault="0038428D" w:rsidP="0038428D">
      <w:pPr>
        <w:pStyle w:val="Heading3"/>
      </w:pPr>
      <w:r w:rsidRPr="00BD77D8">
        <w:t xml:space="preserve">Early retirement, redundancy and retrenchment </w:t>
      </w:r>
    </w:p>
    <w:p w14:paraId="493ED945" w14:textId="3D1A4B5B" w:rsidR="0038428D" w:rsidRPr="00BD77D8" w:rsidRDefault="0038428D" w:rsidP="00E43202">
      <w:pPr>
        <w:spacing w:after="120"/>
      </w:pPr>
      <w:r w:rsidRPr="00BD77D8">
        <w:t xml:space="preserve">During the </w:t>
      </w:r>
      <w:r w:rsidR="007D6017" w:rsidRPr="00BD77D8">
        <w:t xml:space="preserve">reporting </w:t>
      </w:r>
      <w:r w:rsidRPr="00BD77D8">
        <w:t xml:space="preserve">period, </w:t>
      </w:r>
      <w:r w:rsidR="00911849" w:rsidRPr="00BD77D8">
        <w:t xml:space="preserve">one </w:t>
      </w:r>
      <w:r w:rsidRPr="00BD77D8">
        <w:t>employee received a redundancy package at a cost of $</w:t>
      </w:r>
      <w:r w:rsidR="00911849" w:rsidRPr="00BD77D8">
        <w:t>94,498</w:t>
      </w:r>
      <w:r w:rsidR="005C34E5" w:rsidRPr="00BD77D8">
        <w:t>,</w:t>
      </w:r>
      <w:r w:rsidR="00911849" w:rsidRPr="00BD77D8">
        <w:t xml:space="preserve"> plus leave </w:t>
      </w:r>
      <w:r w:rsidR="007D6017" w:rsidRPr="00BD77D8">
        <w:t xml:space="preserve">that was </w:t>
      </w:r>
      <w:r w:rsidR="00911849" w:rsidRPr="00BD77D8">
        <w:t xml:space="preserve">owing to the officer. </w:t>
      </w:r>
    </w:p>
    <w:p w14:paraId="2F2C6C24" w14:textId="55CF5669" w:rsidR="007A3138" w:rsidRPr="00BD77D8" w:rsidRDefault="007A3138" w:rsidP="007A3138">
      <w:pPr>
        <w:pStyle w:val="Heading2"/>
        <w:rPr>
          <w:color w:val="auto"/>
          <w:sz w:val="22"/>
          <w:szCs w:val="22"/>
        </w:rPr>
      </w:pPr>
      <w:bookmarkStart w:id="273" w:name="_Toc113544399"/>
      <w:r w:rsidRPr="00BD77D8">
        <w:rPr>
          <w:color w:val="auto"/>
        </w:rPr>
        <w:t>Upholding human rights</w:t>
      </w:r>
      <w:bookmarkEnd w:id="273"/>
      <w:r w:rsidRPr="00BD77D8">
        <w:rPr>
          <w:color w:val="auto"/>
        </w:rPr>
        <w:t xml:space="preserve"> </w:t>
      </w:r>
    </w:p>
    <w:p w14:paraId="563D6CD4" w14:textId="2CFACD45" w:rsidR="007A3138" w:rsidRPr="00BD77D8" w:rsidRDefault="007A3138" w:rsidP="007A3138">
      <w:pPr>
        <w:rPr>
          <w:rFonts w:eastAsia="Calibri"/>
          <w:lang w:val="en-US" w:eastAsia="en-US"/>
        </w:rPr>
      </w:pPr>
      <w:r w:rsidRPr="00BD77D8">
        <w:rPr>
          <w:rFonts w:eastAsia="Calibri"/>
          <w:lang w:val="en-US" w:eastAsia="en-US"/>
        </w:rPr>
        <w:t xml:space="preserve">The department gives regard to the Queensland </w:t>
      </w:r>
      <w:r w:rsidRPr="00BD77D8">
        <w:rPr>
          <w:rFonts w:eastAsia="Calibri"/>
          <w:i/>
          <w:lang w:val="en-US" w:eastAsia="en-US"/>
        </w:rPr>
        <w:t>Human Rights Act 2019</w:t>
      </w:r>
      <w:r w:rsidRPr="00BD77D8">
        <w:rPr>
          <w:rFonts w:eastAsia="Calibri"/>
          <w:lang w:val="en-US" w:eastAsia="en-US"/>
        </w:rPr>
        <w:t xml:space="preserve"> </w:t>
      </w:r>
      <w:r w:rsidR="0088727B" w:rsidRPr="00BD77D8">
        <w:rPr>
          <w:rFonts w:eastAsia="Calibri"/>
          <w:lang w:val="en-US" w:eastAsia="en-US"/>
        </w:rPr>
        <w:t>(HR Act)</w:t>
      </w:r>
      <w:r w:rsidR="0088727B" w:rsidRPr="00BD77D8">
        <w:rPr>
          <w:rFonts w:eastAsia="Calibri"/>
          <w:i/>
          <w:iCs/>
          <w:lang w:val="en-US" w:eastAsia="en-US"/>
        </w:rPr>
        <w:t xml:space="preserve"> </w:t>
      </w:r>
      <w:r w:rsidRPr="00BD77D8">
        <w:rPr>
          <w:rFonts w:eastAsia="Calibri"/>
          <w:lang w:val="en-US" w:eastAsia="en-US"/>
        </w:rPr>
        <w:t xml:space="preserve">within all aspects of decision-making, policies, processes and practices to ensure an </w:t>
      </w:r>
      <w:proofErr w:type="spellStart"/>
      <w:r w:rsidRPr="00BD77D8">
        <w:rPr>
          <w:rFonts w:eastAsia="Calibri"/>
          <w:lang w:val="en-US" w:eastAsia="en-US"/>
        </w:rPr>
        <w:t>organisational</w:t>
      </w:r>
      <w:proofErr w:type="spellEnd"/>
      <w:r w:rsidRPr="00BD77D8">
        <w:rPr>
          <w:rFonts w:eastAsia="Calibri"/>
          <w:lang w:val="en-US" w:eastAsia="en-US"/>
        </w:rPr>
        <w:t xml:space="preserve"> culture that respects, protects and promotes all human rights. </w:t>
      </w:r>
    </w:p>
    <w:p w14:paraId="0D84F35C" w14:textId="0DA26A37" w:rsidR="007A3138" w:rsidRPr="00BD77D8" w:rsidRDefault="007A3138" w:rsidP="007A3138">
      <w:pPr>
        <w:rPr>
          <w:rFonts w:eastAsia="Calibri"/>
          <w:bCs/>
          <w:iCs/>
          <w:sz w:val="22"/>
          <w:szCs w:val="22"/>
          <w:lang w:eastAsia="en-US"/>
        </w:rPr>
      </w:pPr>
      <w:r w:rsidRPr="00BD77D8">
        <w:rPr>
          <w:rFonts w:eastAsia="Calibri"/>
          <w:lang w:val="en-US" w:eastAsia="en-US"/>
        </w:rPr>
        <w:t>As at 30 June 2022,</w:t>
      </w:r>
      <w:r w:rsidR="00911849" w:rsidRPr="00BD77D8">
        <w:rPr>
          <w:rFonts w:eastAsia="Calibri"/>
          <w:lang w:val="en-US" w:eastAsia="en-US"/>
        </w:rPr>
        <w:t xml:space="preserve"> 906 </w:t>
      </w:r>
      <w:r w:rsidRPr="00BD77D8">
        <w:rPr>
          <w:rFonts w:eastAsia="Calibri"/>
          <w:lang w:val="en-US" w:eastAsia="en-US"/>
        </w:rPr>
        <w:t xml:space="preserve">employees completed </w:t>
      </w:r>
      <w:r w:rsidR="00911849" w:rsidRPr="00BD77D8">
        <w:rPr>
          <w:rFonts w:eastAsia="Calibri"/>
          <w:lang w:val="en-US" w:eastAsia="en-US"/>
        </w:rPr>
        <w:t xml:space="preserve">or refreshed </w:t>
      </w:r>
      <w:r w:rsidRPr="00BD77D8">
        <w:rPr>
          <w:rFonts w:eastAsia="Calibri"/>
          <w:lang w:val="en-US" w:eastAsia="en-US"/>
        </w:rPr>
        <w:t>the</w:t>
      </w:r>
      <w:r w:rsidR="0088727B" w:rsidRPr="00BD77D8">
        <w:rPr>
          <w:rFonts w:eastAsia="Calibri"/>
          <w:lang w:val="en-US" w:eastAsia="en-US"/>
        </w:rPr>
        <w:t xml:space="preserve"> HR Act </w:t>
      </w:r>
      <w:r w:rsidR="00911849" w:rsidRPr="00BD77D8">
        <w:rPr>
          <w:rFonts w:eastAsia="Calibri"/>
          <w:lang w:val="en-US" w:eastAsia="en-US"/>
        </w:rPr>
        <w:t>initial awareness m</w:t>
      </w:r>
      <w:r w:rsidRPr="00BD77D8">
        <w:rPr>
          <w:rFonts w:eastAsia="Calibri"/>
          <w:lang w:val="en-US" w:eastAsia="en-US"/>
        </w:rPr>
        <w:t xml:space="preserve">andatory </w:t>
      </w:r>
      <w:r w:rsidR="00911849" w:rsidRPr="00BD77D8">
        <w:rPr>
          <w:rFonts w:eastAsia="Calibri"/>
          <w:lang w:val="en-US" w:eastAsia="en-US"/>
        </w:rPr>
        <w:t>t</w:t>
      </w:r>
      <w:r w:rsidRPr="00BD77D8">
        <w:rPr>
          <w:rFonts w:eastAsia="Calibri"/>
          <w:lang w:val="en-US" w:eastAsia="en-US"/>
        </w:rPr>
        <w:t>raining with a further</w:t>
      </w:r>
      <w:r w:rsidR="00911849" w:rsidRPr="00BD77D8">
        <w:rPr>
          <w:rFonts w:eastAsia="Calibri"/>
          <w:lang w:val="en-US" w:eastAsia="en-US"/>
        </w:rPr>
        <w:t xml:space="preserve"> 385</w:t>
      </w:r>
      <w:r w:rsidRPr="00BD77D8">
        <w:rPr>
          <w:rFonts w:eastAsia="Calibri"/>
          <w:lang w:val="en-US" w:eastAsia="en-US"/>
        </w:rPr>
        <w:t xml:space="preserve"> staff completing the Human Rights </w:t>
      </w:r>
      <w:r w:rsidR="00911849" w:rsidRPr="00BD77D8">
        <w:rPr>
          <w:rFonts w:eastAsia="Calibri"/>
          <w:lang w:val="en-US" w:eastAsia="en-US"/>
        </w:rPr>
        <w:t>r</w:t>
      </w:r>
      <w:r w:rsidRPr="00BD77D8">
        <w:rPr>
          <w:rFonts w:eastAsia="Calibri"/>
          <w:lang w:val="en-US" w:eastAsia="en-US"/>
        </w:rPr>
        <w:t>ole</w:t>
      </w:r>
      <w:r w:rsidR="00ED3CA1" w:rsidRPr="00BD77D8">
        <w:rPr>
          <w:rFonts w:eastAsia="Calibri"/>
          <w:lang w:val="en-US" w:eastAsia="en-US"/>
        </w:rPr>
        <w:t>-</w:t>
      </w:r>
      <w:r w:rsidR="00911849" w:rsidRPr="00BD77D8">
        <w:rPr>
          <w:rFonts w:eastAsia="Calibri"/>
          <w:lang w:val="en-US" w:eastAsia="en-US"/>
        </w:rPr>
        <w:t>s</w:t>
      </w:r>
      <w:r w:rsidRPr="00BD77D8">
        <w:rPr>
          <w:rFonts w:eastAsia="Calibri"/>
          <w:lang w:val="en-US" w:eastAsia="en-US"/>
        </w:rPr>
        <w:t xml:space="preserve">pecific </w:t>
      </w:r>
      <w:r w:rsidR="00911849" w:rsidRPr="00BD77D8">
        <w:rPr>
          <w:rFonts w:eastAsia="Calibri"/>
          <w:lang w:val="en-US" w:eastAsia="en-US"/>
        </w:rPr>
        <w:t>t</w:t>
      </w:r>
      <w:r w:rsidRPr="00BD77D8">
        <w:rPr>
          <w:rFonts w:eastAsia="Calibri"/>
          <w:lang w:val="en-US" w:eastAsia="en-US"/>
        </w:rPr>
        <w:t xml:space="preserve">raining, and </w:t>
      </w:r>
      <w:r w:rsidR="00911849" w:rsidRPr="00BD77D8">
        <w:rPr>
          <w:rFonts w:eastAsia="Calibri"/>
          <w:lang w:val="en-US" w:eastAsia="en-US"/>
        </w:rPr>
        <w:t>six staff complet</w:t>
      </w:r>
      <w:r w:rsidR="0088727B" w:rsidRPr="00BD77D8">
        <w:rPr>
          <w:rFonts w:eastAsia="Calibri"/>
          <w:lang w:val="en-US" w:eastAsia="en-US"/>
        </w:rPr>
        <w:t>ing</w:t>
      </w:r>
      <w:r w:rsidR="00911849" w:rsidRPr="00BD77D8">
        <w:rPr>
          <w:rFonts w:eastAsia="Calibri"/>
          <w:lang w:val="en-US" w:eastAsia="en-US"/>
        </w:rPr>
        <w:t xml:space="preserve"> </w:t>
      </w:r>
      <w:r w:rsidRPr="00BD77D8">
        <w:rPr>
          <w:rFonts w:eastAsia="Calibri"/>
          <w:lang w:val="en-US" w:eastAsia="en-US"/>
        </w:rPr>
        <w:t xml:space="preserve">other Human Rights </w:t>
      </w:r>
      <w:r w:rsidR="00911849" w:rsidRPr="00BD77D8">
        <w:rPr>
          <w:rFonts w:eastAsia="Calibri"/>
          <w:lang w:val="en-US" w:eastAsia="en-US"/>
        </w:rPr>
        <w:t>t</w:t>
      </w:r>
      <w:r w:rsidRPr="00BD77D8">
        <w:rPr>
          <w:rFonts w:eastAsia="Calibri"/>
          <w:lang w:val="en-US" w:eastAsia="en-US"/>
        </w:rPr>
        <w:t>raining</w:t>
      </w:r>
      <w:r w:rsidR="007D6017" w:rsidRPr="00BD77D8">
        <w:rPr>
          <w:rFonts w:eastAsia="Calibri"/>
          <w:lang w:val="en-US" w:eastAsia="en-US"/>
        </w:rPr>
        <w:t xml:space="preserve"> programs.</w:t>
      </w:r>
      <w:r w:rsidRPr="00BD77D8">
        <w:rPr>
          <w:rFonts w:eastAsia="Calibri"/>
          <w:lang w:val="en-US" w:eastAsia="en-US"/>
        </w:rPr>
        <w:t xml:space="preserve">  </w:t>
      </w:r>
    </w:p>
    <w:p w14:paraId="02C7054C" w14:textId="78D34CBF" w:rsidR="007D6017" w:rsidRPr="00BD77D8" w:rsidRDefault="007D6017" w:rsidP="007A3138">
      <w:pPr>
        <w:rPr>
          <w:rFonts w:eastAsia="Calibri"/>
          <w:lang w:val="en-US" w:eastAsia="en-US"/>
        </w:rPr>
      </w:pPr>
      <w:r w:rsidRPr="00BD77D8">
        <w:rPr>
          <w:rFonts w:eastAsia="Calibri"/>
          <w:lang w:val="en-US" w:eastAsia="en-US"/>
        </w:rPr>
        <w:lastRenderedPageBreak/>
        <w:t>The department’s 2021 Employee Opinion Survey results showed that 90</w:t>
      </w:r>
      <w:r w:rsidR="0065797A" w:rsidRPr="00BD77D8">
        <w:rPr>
          <w:rFonts w:eastAsia="Calibri"/>
          <w:lang w:val="en-US" w:eastAsia="en-US"/>
        </w:rPr>
        <w:t xml:space="preserve"> per cent</w:t>
      </w:r>
      <w:r w:rsidRPr="00BD77D8">
        <w:rPr>
          <w:rFonts w:eastAsia="Calibri"/>
          <w:lang w:val="en-US" w:eastAsia="en-US"/>
        </w:rPr>
        <w:t xml:space="preserve"> of staff </w:t>
      </w:r>
      <w:proofErr w:type="gramStart"/>
      <w:r w:rsidRPr="00BD77D8">
        <w:rPr>
          <w:rFonts w:eastAsia="Calibri"/>
          <w:lang w:val="en-US" w:eastAsia="en-US"/>
        </w:rPr>
        <w:t>had an understanding of</w:t>
      </w:r>
      <w:proofErr w:type="gramEnd"/>
      <w:r w:rsidRPr="00BD77D8">
        <w:rPr>
          <w:rFonts w:eastAsia="Calibri"/>
          <w:lang w:val="en-US" w:eastAsia="en-US"/>
        </w:rPr>
        <w:t xml:space="preserve"> the </w:t>
      </w:r>
      <w:r w:rsidR="0088727B" w:rsidRPr="00BD77D8">
        <w:rPr>
          <w:rFonts w:eastAsia="Calibri"/>
          <w:lang w:val="en-US" w:eastAsia="en-US"/>
        </w:rPr>
        <w:t xml:space="preserve">HR Act </w:t>
      </w:r>
      <w:r w:rsidRPr="00BD77D8">
        <w:rPr>
          <w:rFonts w:eastAsia="Calibri"/>
          <w:lang w:val="en-US" w:eastAsia="en-US"/>
        </w:rPr>
        <w:t xml:space="preserve">and how it applies to their work. This result was 13 percentage points above the Queensland </w:t>
      </w:r>
      <w:r w:rsidR="00441C2F" w:rsidRPr="00BD77D8">
        <w:rPr>
          <w:rFonts w:eastAsia="Calibri"/>
          <w:lang w:val="en-US" w:eastAsia="en-US"/>
        </w:rPr>
        <w:t>p</w:t>
      </w:r>
      <w:r w:rsidRPr="00BD77D8">
        <w:rPr>
          <w:rFonts w:eastAsia="Calibri"/>
          <w:lang w:val="en-US" w:eastAsia="en-US"/>
        </w:rPr>
        <w:t>ublic sector average</w:t>
      </w:r>
      <w:r w:rsidR="00FC6DB2" w:rsidRPr="00BD77D8">
        <w:rPr>
          <w:rFonts w:eastAsia="Calibri"/>
          <w:lang w:val="en-US" w:eastAsia="en-US"/>
        </w:rPr>
        <w:t xml:space="preserve">. </w:t>
      </w:r>
      <w:r w:rsidRPr="00BD77D8">
        <w:rPr>
          <w:rFonts w:eastAsia="Calibri"/>
          <w:lang w:val="en-US" w:eastAsia="en-US"/>
        </w:rPr>
        <w:t>This was a significant achievement for the department during 2021.</w:t>
      </w:r>
    </w:p>
    <w:p w14:paraId="750E5411" w14:textId="44F14AD9" w:rsidR="007A3138" w:rsidRPr="00BD77D8" w:rsidRDefault="007A3138" w:rsidP="002A06B9">
      <w:pPr>
        <w:pStyle w:val="Heading3"/>
        <w:rPr>
          <w:rFonts w:eastAsia="Calibri"/>
          <w:b/>
          <w:bCs w:val="0"/>
          <w:sz w:val="20"/>
          <w:szCs w:val="20"/>
        </w:rPr>
      </w:pPr>
      <w:r w:rsidRPr="00BD77D8">
        <w:rPr>
          <w:rFonts w:eastAsia="Calibri"/>
        </w:rPr>
        <w:t xml:space="preserve">Actions to further the objects of the </w:t>
      </w:r>
      <w:r w:rsidRPr="00BD77D8">
        <w:rPr>
          <w:rFonts w:eastAsia="Calibri"/>
          <w:i/>
          <w:iCs/>
        </w:rPr>
        <w:t>Human Rights Act 2019</w:t>
      </w:r>
      <w:r w:rsidR="00DF7CF7" w:rsidRPr="00BD77D8">
        <w:rPr>
          <w:rFonts w:eastAsia="Calibri"/>
          <w:i/>
          <w:iCs/>
        </w:rPr>
        <w:t xml:space="preserve"> </w:t>
      </w:r>
    </w:p>
    <w:p w14:paraId="41BC0C2F" w14:textId="75D59D69" w:rsidR="007A3138" w:rsidRPr="00BD77D8" w:rsidRDefault="007A3138" w:rsidP="00B47173">
      <w:pPr>
        <w:spacing w:after="120"/>
        <w:rPr>
          <w:rFonts w:eastAsia="Calibri"/>
        </w:rPr>
      </w:pPr>
      <w:r w:rsidRPr="00BD77D8">
        <w:rPr>
          <w:rFonts w:eastAsia="Calibri"/>
        </w:rPr>
        <w:t xml:space="preserve">During the reporting period the department has undertaken the following activities to further the objects of the </w:t>
      </w:r>
      <w:r w:rsidR="0088727B" w:rsidRPr="00BD77D8">
        <w:rPr>
          <w:rFonts w:eastAsia="Calibri"/>
        </w:rPr>
        <w:t>HR Act</w:t>
      </w:r>
      <w:r w:rsidRPr="00BD77D8">
        <w:rPr>
          <w:rFonts w:eastAsia="Calibri"/>
        </w:rPr>
        <w:t>:</w:t>
      </w:r>
    </w:p>
    <w:p w14:paraId="662C323A" w14:textId="50494113" w:rsidR="007A3138" w:rsidRPr="00BD77D8" w:rsidRDefault="007A3138" w:rsidP="00A463E0">
      <w:pPr>
        <w:pStyle w:val="ListParagraph"/>
        <w:numPr>
          <w:ilvl w:val="0"/>
          <w:numId w:val="24"/>
        </w:numPr>
        <w:rPr>
          <w:rFonts w:eastAsia="Calibri"/>
        </w:rPr>
      </w:pPr>
      <w:r w:rsidRPr="00BD77D8">
        <w:rPr>
          <w:rFonts w:eastAsia="Calibri"/>
        </w:rPr>
        <w:t xml:space="preserve">On 8 December 2021, Ms Neroli Holmes, Deputy Commissioner, </w:t>
      </w:r>
      <w:r w:rsidR="0088727B" w:rsidRPr="00BD77D8">
        <w:rPr>
          <w:rFonts w:eastAsia="Calibri"/>
        </w:rPr>
        <w:t>Queensland Human Rights Commission (</w:t>
      </w:r>
      <w:r w:rsidRPr="00BD77D8">
        <w:rPr>
          <w:rFonts w:eastAsia="Calibri"/>
        </w:rPr>
        <w:t>QHRC</w:t>
      </w:r>
      <w:r w:rsidR="0088727B" w:rsidRPr="00BD77D8">
        <w:rPr>
          <w:rFonts w:eastAsia="Calibri"/>
        </w:rPr>
        <w:t>)</w:t>
      </w:r>
      <w:r w:rsidRPr="00BD77D8">
        <w:rPr>
          <w:rFonts w:eastAsia="Calibri"/>
        </w:rPr>
        <w:t>, presented information to departmental staff through the weekly All Staff Forum (on-line Teams presentation) about the QHRC</w:t>
      </w:r>
      <w:r w:rsidR="0088727B" w:rsidRPr="00BD77D8">
        <w:rPr>
          <w:rFonts w:eastAsia="Calibri"/>
        </w:rPr>
        <w:t>’s</w:t>
      </w:r>
      <w:r w:rsidRPr="00BD77D8">
        <w:rPr>
          <w:rFonts w:eastAsia="Calibri"/>
        </w:rPr>
        <w:t xml:space="preserve"> second annual report, and provided summaries of outcomes and trends, and case examples. Ms Holmes also took questions from staff members. This was an activity undertaken to promote human rights during Human Rights Week, and an opportunity for departmental staff to hear about the work of the Commission. </w:t>
      </w:r>
    </w:p>
    <w:p w14:paraId="488FBC07" w14:textId="77777777" w:rsidR="007A3138" w:rsidRPr="00BD77D8" w:rsidRDefault="007A3138" w:rsidP="00A463E0">
      <w:pPr>
        <w:pStyle w:val="ListParagraph"/>
        <w:numPr>
          <w:ilvl w:val="0"/>
          <w:numId w:val="24"/>
        </w:numPr>
        <w:rPr>
          <w:rFonts w:eastAsia="Calibri"/>
        </w:rPr>
      </w:pPr>
      <w:r w:rsidRPr="00BD77D8">
        <w:rPr>
          <w:rFonts w:eastAsia="Calibri"/>
        </w:rPr>
        <w:t>Human Rights Week 2021 promotions included links and information on the department’s internal and external websites, and social media platforms.</w:t>
      </w:r>
    </w:p>
    <w:p w14:paraId="4D2D3408" w14:textId="0B35AEC8" w:rsidR="007A3138" w:rsidRPr="00BD77D8" w:rsidRDefault="007A3138" w:rsidP="00A463E0">
      <w:pPr>
        <w:pStyle w:val="ListParagraph"/>
        <w:numPr>
          <w:ilvl w:val="0"/>
          <w:numId w:val="24"/>
        </w:numPr>
        <w:rPr>
          <w:rFonts w:eastAsia="Calibri"/>
        </w:rPr>
      </w:pPr>
      <w:r w:rsidRPr="00BD77D8">
        <w:rPr>
          <w:rFonts w:eastAsia="Calibri"/>
        </w:rPr>
        <w:t xml:space="preserve">In partnership with the Commonwealth and other states and territories, </w:t>
      </w:r>
      <w:r w:rsidR="0088727B" w:rsidRPr="00BD77D8">
        <w:rPr>
          <w:rFonts w:eastAsia="Calibri"/>
        </w:rPr>
        <w:t xml:space="preserve">the department </w:t>
      </w:r>
      <w:r w:rsidRPr="00BD77D8">
        <w:rPr>
          <w:rFonts w:eastAsia="Calibri"/>
        </w:rPr>
        <w:t xml:space="preserve">developed and launched </w:t>
      </w:r>
      <w:r w:rsidRPr="00BD77D8">
        <w:rPr>
          <w:rFonts w:eastAsia="Calibri"/>
          <w:i/>
          <w:iCs/>
        </w:rPr>
        <w:t>Australia’s Disability Strategy 2021</w:t>
      </w:r>
      <w:r w:rsidR="0065797A" w:rsidRPr="00BD77D8">
        <w:rPr>
          <w:rFonts w:eastAsia="Calibri"/>
          <w:i/>
          <w:iCs/>
        </w:rPr>
        <w:t>–</w:t>
      </w:r>
      <w:r w:rsidRPr="00BD77D8">
        <w:rPr>
          <w:rFonts w:eastAsia="Calibri"/>
          <w:i/>
          <w:iCs/>
        </w:rPr>
        <w:t>2031</w:t>
      </w:r>
      <w:r w:rsidRPr="00BD77D8">
        <w:rPr>
          <w:rFonts w:eastAsia="Calibri"/>
        </w:rPr>
        <w:t>, which will play an important role in protecting, promoting and realising the human rights of people with disability in Queensland and across Australia, in line with Australia’s commitments under the United Nations Convention on the Rights of Persons with Disabilities (UN CRPD)</w:t>
      </w:r>
      <w:r w:rsidR="0088727B" w:rsidRPr="00BD77D8">
        <w:rPr>
          <w:rFonts w:eastAsia="Calibri"/>
        </w:rPr>
        <w:t>.</w:t>
      </w:r>
    </w:p>
    <w:p w14:paraId="257CA61E" w14:textId="545D1DAE" w:rsidR="00E2597D" w:rsidRPr="00BD77D8" w:rsidRDefault="00E2597D" w:rsidP="00A463E0">
      <w:pPr>
        <w:pStyle w:val="ListParagraph"/>
        <w:numPr>
          <w:ilvl w:val="0"/>
          <w:numId w:val="24"/>
        </w:numPr>
        <w:rPr>
          <w:rFonts w:eastAsia="Calibri"/>
        </w:rPr>
      </w:pPr>
      <w:r w:rsidRPr="00BD77D8">
        <w:rPr>
          <w:rFonts w:eastAsia="Calibri"/>
        </w:rPr>
        <w:t xml:space="preserve">A three-month public consultation process was undertaken between November 2021 and January 2022 as part of the current review of Queensland’s positive behaviour support and restrictive practices authorisation framework. In recognition of the significant human rights issues involved, </w:t>
      </w:r>
      <w:r w:rsidR="0088727B" w:rsidRPr="00BD77D8">
        <w:rPr>
          <w:rFonts w:eastAsia="Calibri"/>
        </w:rPr>
        <w:t xml:space="preserve">the </w:t>
      </w:r>
      <w:r w:rsidRPr="00BD77D8">
        <w:rPr>
          <w:rFonts w:eastAsia="Calibri"/>
        </w:rPr>
        <w:t>key focus of the review include</w:t>
      </w:r>
      <w:r w:rsidR="0088727B" w:rsidRPr="00BD77D8">
        <w:rPr>
          <w:rFonts w:eastAsia="Calibri"/>
        </w:rPr>
        <w:t>d</w:t>
      </w:r>
      <w:r w:rsidRPr="00BD77D8">
        <w:rPr>
          <w:rFonts w:eastAsia="Calibri"/>
        </w:rPr>
        <w:t xml:space="preserve"> promoting the reduction and elimination of the use of restrictive practices, and ensuring restrictive practices are used only as a last resort and in the least restrictive way possible.</w:t>
      </w:r>
    </w:p>
    <w:p w14:paraId="5A31E86D" w14:textId="6123AF68" w:rsidR="007A3138" w:rsidRPr="00BD77D8" w:rsidRDefault="007A3138" w:rsidP="00A463E0">
      <w:pPr>
        <w:pStyle w:val="ListParagraph"/>
        <w:numPr>
          <w:ilvl w:val="0"/>
          <w:numId w:val="24"/>
        </w:numPr>
        <w:rPr>
          <w:rFonts w:eastAsia="Calibri"/>
        </w:rPr>
      </w:pPr>
      <w:r w:rsidRPr="00BD77D8">
        <w:rPr>
          <w:rFonts w:eastAsia="Calibri"/>
        </w:rPr>
        <w:t>Implementation of the Local Thriving Communities</w:t>
      </w:r>
      <w:r w:rsidR="00BE2CCC" w:rsidRPr="00BD77D8">
        <w:rPr>
          <w:rFonts w:eastAsia="Calibri"/>
        </w:rPr>
        <w:t>’</w:t>
      </w:r>
      <w:r w:rsidRPr="00BD77D8">
        <w:rPr>
          <w:rFonts w:eastAsia="Calibri"/>
        </w:rPr>
        <w:t xml:space="preserve"> (LTC)</w:t>
      </w:r>
      <w:r w:rsidR="0088727B" w:rsidRPr="00BD77D8">
        <w:rPr>
          <w:rFonts w:eastAsia="Calibri"/>
        </w:rPr>
        <w:t xml:space="preserve"> reform</w:t>
      </w:r>
      <w:r w:rsidR="00BE2CCC" w:rsidRPr="00BD77D8">
        <w:rPr>
          <w:rFonts w:eastAsia="Calibri"/>
        </w:rPr>
        <w:t xml:space="preserve"> advance</w:t>
      </w:r>
      <w:r w:rsidR="0088727B" w:rsidRPr="00BD77D8">
        <w:rPr>
          <w:rFonts w:eastAsia="Calibri"/>
        </w:rPr>
        <w:t>d</w:t>
      </w:r>
      <w:r w:rsidR="00BE2CCC" w:rsidRPr="00BD77D8">
        <w:rPr>
          <w:rFonts w:eastAsia="Calibri"/>
        </w:rPr>
        <w:t xml:space="preserve"> t</w:t>
      </w:r>
      <w:r w:rsidRPr="00BD77D8">
        <w:rPr>
          <w:rFonts w:eastAsia="Calibri"/>
        </w:rPr>
        <w:t>he preamble to the</w:t>
      </w:r>
      <w:r w:rsidR="0088727B" w:rsidRPr="00BD77D8">
        <w:rPr>
          <w:rFonts w:eastAsia="Calibri"/>
        </w:rPr>
        <w:t xml:space="preserve"> HR Act</w:t>
      </w:r>
      <w:r w:rsidRPr="00BD77D8">
        <w:rPr>
          <w:rFonts w:eastAsia="Calibri"/>
        </w:rPr>
        <w:t xml:space="preserve"> </w:t>
      </w:r>
      <w:r w:rsidR="0088727B" w:rsidRPr="00BD77D8">
        <w:rPr>
          <w:rFonts w:eastAsia="Calibri"/>
        </w:rPr>
        <w:t xml:space="preserve">which </w:t>
      </w:r>
      <w:r w:rsidRPr="00BD77D8">
        <w:rPr>
          <w:rFonts w:eastAsia="Calibri"/>
        </w:rPr>
        <w:t>acknowledges the importance of self-determination for Aboriginal and Torres Strait Islander Queenslanders. Consistent with this acknowledgement, Local Thriving Communities (LTC) is a long-term reform that facilitates the Queensland Government to respond to community needs and priorities</w:t>
      </w:r>
      <w:r w:rsidR="00BE2CCC" w:rsidRPr="00BD77D8">
        <w:rPr>
          <w:rFonts w:eastAsia="Calibri"/>
        </w:rPr>
        <w:t>;</w:t>
      </w:r>
      <w:r w:rsidRPr="00BD77D8">
        <w:rPr>
          <w:rFonts w:eastAsia="Calibri"/>
        </w:rPr>
        <w:t xml:space="preserve"> </w:t>
      </w:r>
      <w:r w:rsidR="0088727B" w:rsidRPr="00BD77D8">
        <w:rPr>
          <w:rFonts w:eastAsia="Calibri"/>
        </w:rPr>
        <w:t xml:space="preserve">to </w:t>
      </w:r>
      <w:r w:rsidRPr="00BD77D8">
        <w:rPr>
          <w:rFonts w:eastAsia="Calibri"/>
        </w:rPr>
        <w:t>bring decision-making closer to communities</w:t>
      </w:r>
      <w:r w:rsidR="00BE2CCC" w:rsidRPr="00BD77D8">
        <w:rPr>
          <w:rFonts w:eastAsia="Calibri"/>
        </w:rPr>
        <w:t>;</w:t>
      </w:r>
      <w:r w:rsidRPr="00BD77D8">
        <w:rPr>
          <w:rFonts w:eastAsia="Calibri"/>
        </w:rPr>
        <w:t xml:space="preserve"> and </w:t>
      </w:r>
      <w:r w:rsidR="0088727B" w:rsidRPr="00BD77D8">
        <w:rPr>
          <w:rFonts w:eastAsia="Calibri"/>
        </w:rPr>
        <w:t xml:space="preserve">to </w:t>
      </w:r>
      <w:r w:rsidRPr="00BD77D8">
        <w:rPr>
          <w:rFonts w:eastAsia="Calibri"/>
        </w:rPr>
        <w:t>enhance self-determination</w:t>
      </w:r>
      <w:r w:rsidR="0088727B" w:rsidRPr="00BD77D8">
        <w:rPr>
          <w:rFonts w:eastAsia="Calibri"/>
        </w:rPr>
        <w:t>.</w:t>
      </w:r>
    </w:p>
    <w:p w14:paraId="6786F69A" w14:textId="2A506A71" w:rsidR="009C58CC" w:rsidRPr="00BD77D8" w:rsidRDefault="007A3138" w:rsidP="00A463E0">
      <w:pPr>
        <w:pStyle w:val="ListParagraph"/>
        <w:numPr>
          <w:ilvl w:val="0"/>
          <w:numId w:val="24"/>
        </w:numPr>
        <w:rPr>
          <w:rFonts w:eastAsia="Calibri"/>
        </w:rPr>
      </w:pPr>
      <w:r w:rsidRPr="00BD77D8">
        <w:rPr>
          <w:rFonts w:eastAsia="Calibri"/>
        </w:rPr>
        <w:t>The department is progressing a Path to Treaty in Queensland, which will help give effect to the principles of the</w:t>
      </w:r>
      <w:r w:rsidR="00DA14CA" w:rsidRPr="00BD77D8">
        <w:rPr>
          <w:rFonts w:eastAsia="Calibri"/>
        </w:rPr>
        <w:t xml:space="preserve"> HR Act</w:t>
      </w:r>
      <w:r w:rsidRPr="00BD77D8">
        <w:rPr>
          <w:rFonts w:eastAsia="Calibri"/>
        </w:rPr>
        <w:t xml:space="preserve"> that acknowledge the specific cultural rights of Aboriginal</w:t>
      </w:r>
      <w:r w:rsidR="004C7FBB" w:rsidRPr="00BD77D8">
        <w:rPr>
          <w:rFonts w:eastAsia="Calibri"/>
        </w:rPr>
        <w:t xml:space="preserve"> peoples</w:t>
      </w:r>
      <w:r w:rsidRPr="00BD77D8">
        <w:rPr>
          <w:rFonts w:eastAsia="Calibri"/>
        </w:rPr>
        <w:t xml:space="preserve"> and Torres Strait Islander people</w:t>
      </w:r>
      <w:r w:rsidR="00BE2CCC" w:rsidRPr="00BD77D8">
        <w:rPr>
          <w:rFonts w:eastAsia="Calibri"/>
        </w:rPr>
        <w:t>s</w:t>
      </w:r>
      <w:r w:rsidRPr="00BD77D8">
        <w:rPr>
          <w:rFonts w:eastAsia="Calibri"/>
        </w:rPr>
        <w:t xml:space="preserve"> as recognised by section 28 of the</w:t>
      </w:r>
      <w:r w:rsidR="0088727B" w:rsidRPr="00BD77D8">
        <w:rPr>
          <w:rFonts w:eastAsia="Calibri"/>
        </w:rPr>
        <w:t xml:space="preserve"> HR Act.</w:t>
      </w:r>
      <w:r w:rsidRPr="00BD77D8">
        <w:rPr>
          <w:rFonts w:eastAsia="Calibri"/>
        </w:rPr>
        <w:t xml:space="preserve"> Path to Treaty is a long-term process</w:t>
      </w:r>
      <w:r w:rsidR="00BE2CCC" w:rsidRPr="00BD77D8">
        <w:rPr>
          <w:rFonts w:eastAsia="Calibri"/>
        </w:rPr>
        <w:t>,</w:t>
      </w:r>
      <w:r w:rsidRPr="00BD77D8">
        <w:rPr>
          <w:rFonts w:eastAsia="Calibri"/>
        </w:rPr>
        <w:t xml:space="preserve"> and actions and decisions </w:t>
      </w:r>
      <w:r w:rsidR="00BE2CCC" w:rsidRPr="00BD77D8">
        <w:rPr>
          <w:rFonts w:eastAsia="Calibri"/>
        </w:rPr>
        <w:t xml:space="preserve">related to this program </w:t>
      </w:r>
      <w:r w:rsidRPr="00BD77D8">
        <w:rPr>
          <w:rFonts w:eastAsia="Calibri"/>
        </w:rPr>
        <w:t>will incorporate considerations of all relevant human rights to ensure compatibility with the</w:t>
      </w:r>
      <w:r w:rsidR="0088727B" w:rsidRPr="00BD77D8">
        <w:rPr>
          <w:rFonts w:eastAsia="Calibri"/>
        </w:rPr>
        <w:t xml:space="preserve"> HR Act.</w:t>
      </w:r>
    </w:p>
    <w:p w14:paraId="36CE5D5B" w14:textId="08B1AE59" w:rsidR="009C58CC" w:rsidRPr="00BD77D8" w:rsidRDefault="009C58CC" w:rsidP="007625C3">
      <w:pPr>
        <w:pStyle w:val="ListParagraph"/>
        <w:numPr>
          <w:ilvl w:val="0"/>
          <w:numId w:val="23"/>
        </w:numPr>
        <w:rPr>
          <w:rFonts w:eastAsia="Calibri"/>
        </w:rPr>
      </w:pPr>
      <w:r w:rsidRPr="00BD77D8">
        <w:rPr>
          <w:rFonts w:eastAsia="Calibri"/>
        </w:rPr>
        <w:t xml:space="preserve">The </w:t>
      </w:r>
      <w:r w:rsidR="00DA14CA" w:rsidRPr="00BD77D8">
        <w:rPr>
          <w:rFonts w:eastAsia="Calibri"/>
        </w:rPr>
        <w:t>d</w:t>
      </w:r>
      <w:r w:rsidRPr="00BD77D8">
        <w:rPr>
          <w:rFonts w:eastAsia="Calibri"/>
        </w:rPr>
        <w:t>epartment is partnering with the Public Service Reform Office and Aboriginal and Torres Strait Islander stakeholders to ensure the public sector legislative framework</w:t>
      </w:r>
      <w:r w:rsidR="00BE2CCC" w:rsidRPr="00BD77D8">
        <w:rPr>
          <w:rFonts w:eastAsia="Calibri"/>
        </w:rPr>
        <w:t>,</w:t>
      </w:r>
      <w:r w:rsidRPr="00BD77D8">
        <w:rPr>
          <w:rFonts w:eastAsia="Calibri"/>
        </w:rPr>
        <w:t xml:space="preserve"> currently being developed</w:t>
      </w:r>
      <w:r w:rsidR="00DA14CA" w:rsidRPr="00BD77D8">
        <w:rPr>
          <w:rFonts w:eastAsia="Calibri"/>
        </w:rPr>
        <w:t>,</w:t>
      </w:r>
      <w:r w:rsidRPr="00BD77D8">
        <w:rPr>
          <w:rFonts w:eastAsia="Calibri"/>
        </w:rPr>
        <w:t xml:space="preserve"> promotes and protects the distinct cultural rights of Aboriginal</w:t>
      </w:r>
      <w:r w:rsidR="004C7FBB" w:rsidRPr="00BD77D8">
        <w:rPr>
          <w:rFonts w:eastAsia="Calibri"/>
        </w:rPr>
        <w:t xml:space="preserve"> peoples</w:t>
      </w:r>
      <w:r w:rsidRPr="00BD77D8">
        <w:rPr>
          <w:rFonts w:eastAsia="Calibri"/>
        </w:rPr>
        <w:t xml:space="preserve"> and Torres Strait Islander peoples as provided for in section 28 of the</w:t>
      </w:r>
      <w:r w:rsidR="00DA14CA" w:rsidRPr="00BD77D8">
        <w:rPr>
          <w:rFonts w:eastAsia="Calibri"/>
        </w:rPr>
        <w:t xml:space="preserve"> HR Act.</w:t>
      </w:r>
    </w:p>
    <w:p w14:paraId="0EC0ABFA" w14:textId="4E6831C0" w:rsidR="007A3138" w:rsidRPr="00BD77D8" w:rsidRDefault="007A3138" w:rsidP="007A3138">
      <w:pPr>
        <w:pStyle w:val="Heading3"/>
        <w:rPr>
          <w:rFonts w:eastAsia="Calibri"/>
          <w:b/>
          <w:bCs w:val="0"/>
          <w:sz w:val="20"/>
          <w:szCs w:val="20"/>
        </w:rPr>
      </w:pPr>
      <w:bookmarkStart w:id="274" w:name="_Hlk109050780"/>
      <w:r w:rsidRPr="00BD77D8">
        <w:rPr>
          <w:rFonts w:eastAsia="Calibri"/>
        </w:rPr>
        <w:t>Human rights complaints</w:t>
      </w:r>
      <w:r w:rsidR="00DF7CF7" w:rsidRPr="00BD77D8">
        <w:rPr>
          <w:rFonts w:eastAsia="Calibri"/>
        </w:rPr>
        <w:t xml:space="preserve"> </w:t>
      </w:r>
    </w:p>
    <w:p w14:paraId="109260D4" w14:textId="5A71FB7E" w:rsidR="007A3138" w:rsidRPr="00BD77D8" w:rsidRDefault="007A3138" w:rsidP="007A3138">
      <w:pPr>
        <w:pStyle w:val="Heading4"/>
        <w:rPr>
          <w:b w:val="0"/>
          <w:bCs/>
        </w:rPr>
      </w:pPr>
      <w:r w:rsidRPr="00BD77D8">
        <w:t xml:space="preserve">Customer human rights complaints </w:t>
      </w:r>
    </w:p>
    <w:p w14:paraId="5A9951AC" w14:textId="61C37435" w:rsidR="007A3138" w:rsidRPr="00BD77D8" w:rsidRDefault="007A3138" w:rsidP="00B161F3">
      <w:pPr>
        <w:spacing w:after="120" w:line="240" w:lineRule="auto"/>
        <w:rPr>
          <w:rFonts w:eastAsia="Calibri"/>
          <w:lang w:val="en-US" w:eastAsia="en-US"/>
        </w:rPr>
      </w:pPr>
      <w:r w:rsidRPr="00BD77D8">
        <w:rPr>
          <w:rFonts w:eastAsia="Calibri"/>
          <w:lang w:val="en-US" w:eastAsia="en-US"/>
        </w:rPr>
        <w:t xml:space="preserve">During the reporting period, the department had </w:t>
      </w:r>
      <w:r w:rsidR="00B5407C" w:rsidRPr="00BD77D8">
        <w:rPr>
          <w:rFonts w:eastAsia="Calibri"/>
          <w:lang w:val="en-US" w:eastAsia="en-US"/>
        </w:rPr>
        <w:t>three</w:t>
      </w:r>
      <w:r w:rsidR="00B161F3" w:rsidRPr="00BD77D8">
        <w:rPr>
          <w:rFonts w:eastAsia="Calibri"/>
          <w:lang w:val="en-US" w:eastAsia="en-US"/>
        </w:rPr>
        <w:t>*</w:t>
      </w:r>
      <w:r w:rsidRPr="00BD77D8">
        <w:rPr>
          <w:rFonts w:eastAsia="Calibri"/>
          <w:lang w:val="en-US" w:eastAsia="en-US"/>
        </w:rPr>
        <w:t xml:space="preserve"> customer complaints that were identified to engage </w:t>
      </w:r>
      <w:r w:rsidR="00B5407C" w:rsidRPr="00BD77D8">
        <w:rPr>
          <w:rFonts w:eastAsia="Calibri"/>
          <w:lang w:val="en-US" w:eastAsia="en-US"/>
        </w:rPr>
        <w:t xml:space="preserve">various </w:t>
      </w:r>
      <w:r w:rsidRPr="00BD77D8">
        <w:rPr>
          <w:rFonts w:eastAsia="Calibri"/>
          <w:lang w:val="en-US" w:eastAsia="en-US"/>
        </w:rPr>
        <w:t>human rights</w:t>
      </w:r>
      <w:r w:rsidR="00B161F3" w:rsidRPr="00BD77D8">
        <w:rPr>
          <w:rFonts w:eastAsia="Calibri"/>
          <w:lang w:val="en-US" w:eastAsia="en-US"/>
        </w:rPr>
        <w:t xml:space="preserve"> </w:t>
      </w:r>
      <w:r w:rsidR="00B161F3" w:rsidRPr="00BD77D8">
        <w:rPr>
          <w:rFonts w:eastAsia="Calibri"/>
          <w:sz w:val="18"/>
          <w:szCs w:val="18"/>
          <w:lang w:val="en-US" w:eastAsia="en-US"/>
        </w:rPr>
        <w:t xml:space="preserve">(*some matters contained multiple </w:t>
      </w:r>
      <w:r w:rsidR="00DA14CA" w:rsidRPr="00BD77D8">
        <w:rPr>
          <w:rFonts w:eastAsia="Calibri"/>
          <w:sz w:val="18"/>
          <w:szCs w:val="18"/>
          <w:lang w:val="en-US" w:eastAsia="en-US"/>
        </w:rPr>
        <w:t>h</w:t>
      </w:r>
      <w:r w:rsidR="00B161F3" w:rsidRPr="00BD77D8">
        <w:rPr>
          <w:rFonts w:eastAsia="Calibri"/>
          <w:sz w:val="18"/>
          <w:szCs w:val="18"/>
          <w:lang w:val="en-US" w:eastAsia="en-US"/>
        </w:rPr>
        <w:t xml:space="preserve">uman </w:t>
      </w:r>
      <w:r w:rsidR="00DA14CA" w:rsidRPr="00BD77D8">
        <w:rPr>
          <w:rFonts w:eastAsia="Calibri"/>
          <w:sz w:val="18"/>
          <w:szCs w:val="18"/>
          <w:lang w:val="en-US" w:eastAsia="en-US"/>
        </w:rPr>
        <w:t>r</w:t>
      </w:r>
      <w:r w:rsidR="00B161F3" w:rsidRPr="00BD77D8">
        <w:rPr>
          <w:rFonts w:eastAsia="Calibri"/>
          <w:sz w:val="18"/>
          <w:szCs w:val="18"/>
          <w:lang w:val="en-US" w:eastAsia="en-US"/>
        </w:rPr>
        <w:t>ights issues)</w:t>
      </w:r>
      <w:r w:rsidR="002B6659" w:rsidRPr="00BD77D8">
        <w:rPr>
          <w:rFonts w:eastAsia="Calibri"/>
          <w:lang w:val="en-US" w:eastAsia="en-US"/>
        </w:rPr>
        <w:t>:</w:t>
      </w:r>
    </w:p>
    <w:p w14:paraId="57097BEC" w14:textId="69218264" w:rsidR="002B6659" w:rsidRPr="00BD77D8" w:rsidRDefault="0065797A" w:rsidP="002B6659">
      <w:pPr>
        <w:pStyle w:val="ListBullet"/>
        <w:rPr>
          <w:lang w:val="en-US"/>
        </w:rPr>
      </w:pPr>
      <w:r w:rsidRPr="00BD77D8">
        <w:rPr>
          <w:lang w:val="en-US"/>
        </w:rPr>
        <w:t>2</w:t>
      </w:r>
      <w:r w:rsidR="002B6659" w:rsidRPr="00BD77D8">
        <w:rPr>
          <w:lang w:val="en-US"/>
        </w:rPr>
        <w:t xml:space="preserve"> related to s.17. Protection from torture and cruel, inhuman or degrading treatment </w:t>
      </w:r>
    </w:p>
    <w:p w14:paraId="21E3FBDB" w14:textId="7C28A8AF" w:rsidR="002B6659" w:rsidRPr="00BD77D8" w:rsidRDefault="0065797A" w:rsidP="002B6659">
      <w:pPr>
        <w:pStyle w:val="ListBullet"/>
        <w:rPr>
          <w:lang w:val="en-US"/>
        </w:rPr>
      </w:pPr>
      <w:r w:rsidRPr="00BD77D8">
        <w:rPr>
          <w:lang w:val="en-US"/>
        </w:rPr>
        <w:t>2</w:t>
      </w:r>
      <w:r w:rsidR="002B6659" w:rsidRPr="00BD77D8">
        <w:rPr>
          <w:lang w:val="en-US"/>
        </w:rPr>
        <w:t xml:space="preserve"> related to s.29. Right to liberty and security of person</w:t>
      </w:r>
    </w:p>
    <w:p w14:paraId="4241C259" w14:textId="7EDA5CA4" w:rsidR="002B6659" w:rsidRPr="00BD77D8" w:rsidRDefault="0065797A" w:rsidP="002B6659">
      <w:pPr>
        <w:pStyle w:val="ListBullet"/>
        <w:rPr>
          <w:lang w:val="en-US"/>
        </w:rPr>
      </w:pPr>
      <w:r w:rsidRPr="00BD77D8">
        <w:rPr>
          <w:lang w:val="en-US"/>
        </w:rPr>
        <w:t>1</w:t>
      </w:r>
      <w:r w:rsidR="002B6659" w:rsidRPr="00BD77D8">
        <w:rPr>
          <w:lang w:val="en-US"/>
        </w:rPr>
        <w:t xml:space="preserve"> related to s.25. Privacy and reputation </w:t>
      </w:r>
    </w:p>
    <w:p w14:paraId="6FC9963D" w14:textId="24F24FBA" w:rsidR="002B6659" w:rsidRPr="00BD77D8" w:rsidRDefault="0065797A" w:rsidP="002B6659">
      <w:pPr>
        <w:pStyle w:val="ListBullet"/>
        <w:rPr>
          <w:lang w:val="en-US"/>
        </w:rPr>
      </w:pPr>
      <w:r w:rsidRPr="00BD77D8">
        <w:rPr>
          <w:lang w:val="en-US"/>
        </w:rPr>
        <w:t>1</w:t>
      </w:r>
      <w:r w:rsidR="002B6659" w:rsidRPr="00BD77D8">
        <w:rPr>
          <w:lang w:val="en-US"/>
        </w:rPr>
        <w:t xml:space="preserve"> related to s.30. Humane treatment when deprived of liberty </w:t>
      </w:r>
    </w:p>
    <w:p w14:paraId="23958E0F" w14:textId="15A98B5F" w:rsidR="002B6659" w:rsidRPr="00BD77D8" w:rsidRDefault="0065797A" w:rsidP="00ED3419">
      <w:pPr>
        <w:pStyle w:val="ListBullet"/>
        <w:spacing w:after="360" w:line="240" w:lineRule="auto"/>
        <w:ind w:left="357" w:hanging="357"/>
        <w:rPr>
          <w:lang w:val="en-US"/>
        </w:rPr>
      </w:pPr>
      <w:r w:rsidRPr="00BD77D8">
        <w:rPr>
          <w:lang w:val="en-US"/>
        </w:rPr>
        <w:t>1</w:t>
      </w:r>
      <w:r w:rsidR="002B6659" w:rsidRPr="00BD77D8">
        <w:rPr>
          <w:lang w:val="en-US"/>
        </w:rPr>
        <w:t xml:space="preserve"> related to s.28. Cultural rights</w:t>
      </w:r>
      <w:r w:rsidRPr="00BD77D8">
        <w:rPr>
          <w:lang w:val="en-US"/>
        </w:rPr>
        <w:t>—</w:t>
      </w:r>
      <w:r w:rsidR="002B6659" w:rsidRPr="00BD77D8">
        <w:rPr>
          <w:lang w:val="en-US"/>
        </w:rPr>
        <w:t xml:space="preserve">Aboriginal </w:t>
      </w:r>
      <w:r w:rsidR="00ED3CA1" w:rsidRPr="00BD77D8">
        <w:rPr>
          <w:lang w:val="en-US"/>
        </w:rPr>
        <w:t xml:space="preserve">peoples </w:t>
      </w:r>
      <w:r w:rsidR="002B6659" w:rsidRPr="00BD77D8">
        <w:rPr>
          <w:lang w:val="en-US"/>
        </w:rPr>
        <w:t>and Torres Strait Islander peoples.</w:t>
      </w:r>
    </w:p>
    <w:p w14:paraId="4B801660" w14:textId="3A67157D" w:rsidR="00B161F3" w:rsidRPr="00BD77D8" w:rsidRDefault="007A3138" w:rsidP="00F45FDE">
      <w:pPr>
        <w:spacing w:before="240" w:after="120" w:line="240" w:lineRule="auto"/>
        <w:rPr>
          <w:rFonts w:eastAsia="Calibri"/>
          <w:lang w:val="en-US" w:eastAsia="en-US"/>
        </w:rPr>
      </w:pPr>
      <w:r w:rsidRPr="00BD77D8">
        <w:rPr>
          <w:rFonts w:eastAsia="Calibri"/>
          <w:lang w:val="en-US" w:eastAsia="en-US"/>
        </w:rPr>
        <w:lastRenderedPageBreak/>
        <w:t>Outcome and resolutions as at 30 June 2022:</w:t>
      </w:r>
    </w:p>
    <w:p w14:paraId="37EAB8F5" w14:textId="14335171" w:rsidR="002B6659" w:rsidRPr="00BD77D8" w:rsidRDefault="002B6659" w:rsidP="00B161F3">
      <w:pPr>
        <w:pStyle w:val="ListBullet"/>
        <w:rPr>
          <w:rFonts w:eastAsia="Calibri"/>
          <w:lang w:val="en-US" w:eastAsia="en-US"/>
        </w:rPr>
      </w:pPr>
      <w:r w:rsidRPr="00BD77D8">
        <w:rPr>
          <w:rFonts w:eastAsia="Calibri"/>
          <w:lang w:val="en-US" w:eastAsia="en-US"/>
        </w:rPr>
        <w:t>concerns about three human rights were resolved as not substantiated (related to s.25, s.17 and s.29)</w:t>
      </w:r>
    </w:p>
    <w:p w14:paraId="419C810A" w14:textId="04A7EA1D" w:rsidR="007A3138" w:rsidRPr="00BD77D8" w:rsidRDefault="002B6659" w:rsidP="00B161F3">
      <w:pPr>
        <w:pStyle w:val="ListBullet"/>
        <w:spacing w:line="240" w:lineRule="auto"/>
        <w:ind w:left="357" w:hanging="357"/>
        <w:rPr>
          <w:rFonts w:eastAsia="Calibri"/>
          <w:lang w:val="en-US" w:eastAsia="en-US"/>
        </w:rPr>
      </w:pPr>
      <w:r w:rsidRPr="00BD77D8">
        <w:rPr>
          <w:rFonts w:eastAsia="Calibri"/>
          <w:lang w:val="en-US" w:eastAsia="en-US"/>
        </w:rPr>
        <w:t xml:space="preserve">concerns about the other four were still being considered by the department/not yet </w:t>
      </w:r>
      <w:proofErr w:type="spellStart"/>
      <w:r w:rsidRPr="00BD77D8">
        <w:rPr>
          <w:rFonts w:eastAsia="Calibri"/>
          <w:lang w:val="en-US" w:eastAsia="en-US"/>
        </w:rPr>
        <w:t>finalised</w:t>
      </w:r>
      <w:proofErr w:type="spellEnd"/>
      <w:r w:rsidRPr="00BD77D8">
        <w:rPr>
          <w:rFonts w:eastAsia="Calibri"/>
          <w:lang w:val="en-US" w:eastAsia="en-US"/>
        </w:rPr>
        <w:t xml:space="preserve"> (subject to ongoing departmental investigation or other processes).</w:t>
      </w:r>
    </w:p>
    <w:p w14:paraId="2C0F2863" w14:textId="155ABB20" w:rsidR="007A3138" w:rsidRPr="00BD77D8" w:rsidRDefault="007A3138" w:rsidP="007A3138">
      <w:pPr>
        <w:pStyle w:val="Heading4"/>
        <w:rPr>
          <w:b w:val="0"/>
          <w:bCs/>
          <w:sz w:val="20"/>
          <w:szCs w:val="20"/>
        </w:rPr>
      </w:pPr>
      <w:r w:rsidRPr="00BD77D8">
        <w:t>Human resources</w:t>
      </w:r>
      <w:r w:rsidR="00C42F09" w:rsidRPr="00BD77D8">
        <w:t>—</w:t>
      </w:r>
      <w:r w:rsidRPr="00BD77D8">
        <w:t>staff (internal) human rights complaints</w:t>
      </w:r>
    </w:p>
    <w:p w14:paraId="5C8D29F1" w14:textId="16AB3BCB" w:rsidR="007A3138" w:rsidRPr="00BD77D8" w:rsidRDefault="007A3138" w:rsidP="007A3138">
      <w:pPr>
        <w:rPr>
          <w:rFonts w:eastAsia="Calibri"/>
          <w:lang w:val="en-US" w:eastAsia="en-US"/>
        </w:rPr>
      </w:pPr>
      <w:bookmarkStart w:id="275" w:name="_Hlk77934935"/>
      <w:r w:rsidRPr="00BD77D8">
        <w:rPr>
          <w:rFonts w:eastAsia="Calibri"/>
          <w:lang w:val="en-US" w:eastAsia="en-US"/>
        </w:rPr>
        <w:t xml:space="preserve">During the reporting period, the department did not receive any complaints directly referring to the </w:t>
      </w:r>
      <w:r w:rsidRPr="00BD77D8">
        <w:rPr>
          <w:rFonts w:eastAsia="Calibri"/>
          <w:i/>
          <w:lang w:val="en-US" w:eastAsia="en-US"/>
        </w:rPr>
        <w:t>Human Rights Act 2019</w:t>
      </w:r>
      <w:r w:rsidRPr="00BD77D8">
        <w:rPr>
          <w:rFonts w:eastAsia="Calibri"/>
          <w:lang w:val="en-US" w:eastAsia="en-US"/>
        </w:rPr>
        <w:t>; however, when assessed</w:t>
      </w:r>
      <w:r w:rsidR="00BE2CCC" w:rsidRPr="00BD77D8">
        <w:rPr>
          <w:rFonts w:eastAsia="Calibri"/>
          <w:lang w:val="en-US" w:eastAsia="en-US"/>
        </w:rPr>
        <w:t>,</w:t>
      </w:r>
      <w:r w:rsidRPr="00BD77D8">
        <w:rPr>
          <w:rFonts w:eastAsia="Calibri"/>
          <w:lang w:val="en-US" w:eastAsia="en-US"/>
        </w:rPr>
        <w:t xml:space="preserve"> there were</w:t>
      </w:r>
      <w:r w:rsidR="00911849" w:rsidRPr="00BD77D8">
        <w:rPr>
          <w:rFonts w:eastAsia="Calibri"/>
          <w:lang w:val="en-US" w:eastAsia="en-US"/>
        </w:rPr>
        <w:t xml:space="preserve"> 42*</w:t>
      </w:r>
      <w:r w:rsidRPr="00BD77D8">
        <w:rPr>
          <w:rFonts w:eastAsia="Calibri"/>
          <w:lang w:val="en-US" w:eastAsia="en-US"/>
        </w:rPr>
        <w:t xml:space="preserve"> matters containing identified human rights that may have been engaged</w:t>
      </w:r>
      <w:r w:rsidR="00911849" w:rsidRPr="00BD77D8">
        <w:rPr>
          <w:rFonts w:eastAsia="Calibri"/>
          <w:lang w:val="en-US" w:eastAsia="en-US"/>
        </w:rPr>
        <w:t xml:space="preserve"> </w:t>
      </w:r>
      <w:bookmarkStart w:id="276" w:name="_Hlk111473301"/>
      <w:r w:rsidR="00911849" w:rsidRPr="00BD77D8">
        <w:rPr>
          <w:rFonts w:eastAsia="Calibri"/>
          <w:sz w:val="18"/>
          <w:szCs w:val="18"/>
          <w:lang w:val="en-US" w:eastAsia="en-US"/>
        </w:rPr>
        <w:t xml:space="preserve">(*some matters contained multiple </w:t>
      </w:r>
      <w:r w:rsidR="00DA14CA" w:rsidRPr="00BD77D8">
        <w:rPr>
          <w:rFonts w:eastAsia="Calibri"/>
          <w:sz w:val="18"/>
          <w:szCs w:val="18"/>
          <w:lang w:val="en-US" w:eastAsia="en-US"/>
        </w:rPr>
        <w:t>h</w:t>
      </w:r>
      <w:r w:rsidR="00911849" w:rsidRPr="00BD77D8">
        <w:rPr>
          <w:rFonts w:eastAsia="Calibri"/>
          <w:sz w:val="18"/>
          <w:szCs w:val="18"/>
          <w:lang w:val="en-US" w:eastAsia="en-US"/>
        </w:rPr>
        <w:t xml:space="preserve">uman </w:t>
      </w:r>
      <w:r w:rsidR="00DA14CA" w:rsidRPr="00BD77D8">
        <w:rPr>
          <w:rFonts w:eastAsia="Calibri"/>
          <w:sz w:val="18"/>
          <w:szCs w:val="18"/>
          <w:lang w:val="en-US" w:eastAsia="en-US"/>
        </w:rPr>
        <w:t>r</w:t>
      </w:r>
      <w:r w:rsidR="00911849" w:rsidRPr="00BD77D8">
        <w:rPr>
          <w:rFonts w:eastAsia="Calibri"/>
          <w:sz w:val="18"/>
          <w:szCs w:val="18"/>
          <w:lang w:val="en-US" w:eastAsia="en-US"/>
        </w:rPr>
        <w:t>ights issues</w:t>
      </w:r>
      <w:bookmarkEnd w:id="276"/>
      <w:r w:rsidR="00911849" w:rsidRPr="00BD77D8">
        <w:rPr>
          <w:rFonts w:eastAsia="Calibri"/>
          <w:sz w:val="18"/>
          <w:szCs w:val="18"/>
          <w:lang w:val="en-US" w:eastAsia="en-US"/>
        </w:rPr>
        <w:t>)</w:t>
      </w:r>
      <w:r w:rsidRPr="00BD77D8">
        <w:rPr>
          <w:rFonts w:eastAsia="Calibri"/>
          <w:lang w:val="en-US" w:eastAsia="en-US"/>
        </w:rPr>
        <w:t>.</w:t>
      </w:r>
    </w:p>
    <w:bookmarkEnd w:id="275"/>
    <w:p w14:paraId="2E8EE36F" w14:textId="77777777" w:rsidR="007A3138" w:rsidRPr="00BD77D8" w:rsidRDefault="007A3138" w:rsidP="00B161F3">
      <w:pPr>
        <w:spacing w:after="120" w:line="240" w:lineRule="auto"/>
        <w:rPr>
          <w:rFonts w:eastAsia="Calibri"/>
          <w:lang w:val="en-US" w:eastAsia="en-US"/>
        </w:rPr>
      </w:pPr>
      <w:r w:rsidRPr="00BD77D8">
        <w:rPr>
          <w:rFonts w:eastAsia="Calibri"/>
          <w:lang w:val="en-US" w:eastAsia="en-US"/>
        </w:rPr>
        <w:t>The identified human rights that were alleged to have been engaged were:</w:t>
      </w:r>
    </w:p>
    <w:p w14:paraId="35E2825E" w14:textId="42C65263" w:rsidR="00911849" w:rsidRPr="00BD77D8" w:rsidRDefault="00C42F09" w:rsidP="00A463E0">
      <w:pPr>
        <w:pStyle w:val="ListParagraph"/>
        <w:numPr>
          <w:ilvl w:val="0"/>
          <w:numId w:val="29"/>
        </w:numPr>
        <w:rPr>
          <w:rFonts w:eastAsia="Calibri"/>
          <w:lang w:val="en-US" w:eastAsia="en-US"/>
        </w:rPr>
      </w:pPr>
      <w:r w:rsidRPr="00BD77D8">
        <w:rPr>
          <w:rFonts w:eastAsia="Calibri"/>
          <w:lang w:val="en-US" w:eastAsia="en-US"/>
        </w:rPr>
        <w:t>3</w:t>
      </w:r>
      <w:r w:rsidR="00911849" w:rsidRPr="00BD77D8">
        <w:rPr>
          <w:rFonts w:eastAsia="Calibri"/>
          <w:lang w:val="en-US" w:eastAsia="en-US"/>
        </w:rPr>
        <w:t xml:space="preserve"> referred to s15. Recognition and equality before the law</w:t>
      </w:r>
    </w:p>
    <w:p w14:paraId="4DB01E73" w14:textId="50EF9C79" w:rsidR="00911849" w:rsidRPr="00BD77D8" w:rsidRDefault="00911849" w:rsidP="00A463E0">
      <w:pPr>
        <w:pStyle w:val="ListParagraph"/>
        <w:numPr>
          <w:ilvl w:val="0"/>
          <w:numId w:val="29"/>
        </w:numPr>
        <w:rPr>
          <w:rFonts w:eastAsia="Calibri"/>
          <w:lang w:val="en-US" w:eastAsia="en-US"/>
        </w:rPr>
      </w:pPr>
      <w:r w:rsidRPr="00BD77D8">
        <w:rPr>
          <w:rFonts w:eastAsia="Calibri"/>
          <w:lang w:val="en-US" w:eastAsia="en-US"/>
        </w:rPr>
        <w:t xml:space="preserve">19 referred to s17. Protection from torture and cruel, inhuman or degrading treatment </w:t>
      </w:r>
    </w:p>
    <w:p w14:paraId="788CF47F" w14:textId="2765436B" w:rsidR="00911849" w:rsidRPr="00BD77D8" w:rsidRDefault="00C42F09" w:rsidP="00A463E0">
      <w:pPr>
        <w:pStyle w:val="ListParagraph"/>
        <w:numPr>
          <w:ilvl w:val="0"/>
          <w:numId w:val="29"/>
        </w:numPr>
        <w:rPr>
          <w:rFonts w:eastAsia="Calibri"/>
          <w:lang w:val="en-US" w:eastAsia="en-US"/>
        </w:rPr>
      </w:pPr>
      <w:r w:rsidRPr="00BD77D8">
        <w:rPr>
          <w:rFonts w:eastAsia="Calibri"/>
          <w:lang w:val="en-US" w:eastAsia="en-US"/>
        </w:rPr>
        <w:t>4</w:t>
      </w:r>
      <w:r w:rsidR="00911849" w:rsidRPr="00BD77D8">
        <w:rPr>
          <w:rFonts w:eastAsia="Calibri"/>
          <w:lang w:val="en-US" w:eastAsia="en-US"/>
        </w:rPr>
        <w:t xml:space="preserve"> referred to s25. Privacy and reputation</w:t>
      </w:r>
    </w:p>
    <w:p w14:paraId="528C9A5B" w14:textId="1352C1B9" w:rsidR="00911849" w:rsidRPr="00BD77D8" w:rsidRDefault="00911849" w:rsidP="00A463E0">
      <w:pPr>
        <w:pStyle w:val="ListParagraph"/>
        <w:numPr>
          <w:ilvl w:val="0"/>
          <w:numId w:val="29"/>
        </w:numPr>
        <w:rPr>
          <w:rFonts w:eastAsia="Calibri"/>
          <w:lang w:val="en-US" w:eastAsia="en-US"/>
        </w:rPr>
      </w:pPr>
      <w:r w:rsidRPr="00BD77D8">
        <w:rPr>
          <w:rFonts w:eastAsia="Calibri"/>
          <w:lang w:val="en-US" w:eastAsia="en-US"/>
        </w:rPr>
        <w:t>18 referred to s29. Right to liberty and security of person</w:t>
      </w:r>
    </w:p>
    <w:p w14:paraId="3AB7EDD8" w14:textId="6C0B429A" w:rsidR="007A3138" w:rsidRPr="00BD77D8" w:rsidRDefault="00C42F09" w:rsidP="00A463E0">
      <w:pPr>
        <w:pStyle w:val="ListParagraph"/>
        <w:numPr>
          <w:ilvl w:val="0"/>
          <w:numId w:val="29"/>
        </w:numPr>
        <w:spacing w:after="240" w:line="240" w:lineRule="auto"/>
        <w:ind w:left="714" w:hanging="357"/>
        <w:rPr>
          <w:rFonts w:eastAsia="Calibri"/>
          <w:lang w:val="en-US" w:eastAsia="en-US"/>
        </w:rPr>
      </w:pPr>
      <w:r w:rsidRPr="00BD77D8">
        <w:rPr>
          <w:rFonts w:eastAsia="Calibri"/>
          <w:lang w:val="en-US" w:eastAsia="en-US"/>
        </w:rPr>
        <w:t>2</w:t>
      </w:r>
      <w:r w:rsidR="00911849" w:rsidRPr="00BD77D8">
        <w:rPr>
          <w:rFonts w:eastAsia="Calibri"/>
          <w:lang w:val="en-US" w:eastAsia="en-US"/>
        </w:rPr>
        <w:t xml:space="preserve"> referred to s37. Right to health services</w:t>
      </w:r>
      <w:r w:rsidR="00B161F3" w:rsidRPr="00BD77D8">
        <w:rPr>
          <w:rFonts w:eastAsia="Calibri"/>
          <w:lang w:val="en-US" w:eastAsia="en-US"/>
        </w:rPr>
        <w:t>.</w:t>
      </w:r>
    </w:p>
    <w:p w14:paraId="3D2C4D1D" w14:textId="67F16B46" w:rsidR="007A3138" w:rsidRPr="00BD77D8" w:rsidRDefault="00BE2CCC" w:rsidP="00B161F3">
      <w:pPr>
        <w:spacing w:before="240" w:after="120" w:line="240" w:lineRule="auto"/>
        <w:rPr>
          <w:rFonts w:eastAsia="Calibri"/>
          <w:lang w:val="en-US" w:eastAsia="en-US"/>
        </w:rPr>
      </w:pPr>
      <w:r w:rsidRPr="00BD77D8">
        <w:rPr>
          <w:rFonts w:eastAsia="Calibri"/>
          <w:lang w:val="en-US" w:eastAsia="en-US"/>
        </w:rPr>
        <w:t>As at 30 June 2022, the o</w:t>
      </w:r>
      <w:r w:rsidR="007A3138" w:rsidRPr="00BD77D8">
        <w:rPr>
          <w:rFonts w:eastAsia="Calibri"/>
          <w:lang w:val="en-US" w:eastAsia="en-US"/>
        </w:rPr>
        <w:t>utcome</w:t>
      </w:r>
      <w:r w:rsidRPr="00BD77D8">
        <w:rPr>
          <w:rFonts w:eastAsia="Calibri"/>
          <w:lang w:val="en-US" w:eastAsia="en-US"/>
        </w:rPr>
        <w:t>s</w:t>
      </w:r>
      <w:r w:rsidR="007A3138" w:rsidRPr="00BD77D8">
        <w:rPr>
          <w:rFonts w:eastAsia="Calibri"/>
          <w:lang w:val="en-US" w:eastAsia="en-US"/>
        </w:rPr>
        <w:t xml:space="preserve"> and resolutions </w:t>
      </w:r>
      <w:r w:rsidRPr="00BD77D8">
        <w:rPr>
          <w:rFonts w:eastAsia="Calibri"/>
          <w:lang w:val="en-US" w:eastAsia="en-US"/>
        </w:rPr>
        <w:t>were</w:t>
      </w:r>
      <w:r w:rsidR="007A3138" w:rsidRPr="00BD77D8">
        <w:rPr>
          <w:rFonts w:eastAsia="Calibri"/>
          <w:lang w:val="en-US" w:eastAsia="en-US"/>
        </w:rPr>
        <w:t>:</w:t>
      </w:r>
    </w:p>
    <w:p w14:paraId="75C602AA" w14:textId="4EF58780" w:rsidR="00A30488" w:rsidRPr="00BD77D8" w:rsidRDefault="00A30488" w:rsidP="00A463E0">
      <w:pPr>
        <w:pStyle w:val="ListParagraph"/>
        <w:numPr>
          <w:ilvl w:val="0"/>
          <w:numId w:val="29"/>
        </w:numPr>
        <w:rPr>
          <w:rFonts w:eastAsia="Calibri"/>
          <w:lang w:val="en-US" w:eastAsia="en-US"/>
        </w:rPr>
      </w:pPr>
      <w:r w:rsidRPr="00BD77D8">
        <w:rPr>
          <w:rFonts w:eastAsia="Calibri"/>
          <w:lang w:val="en-US" w:eastAsia="en-US"/>
        </w:rPr>
        <w:t>21 were resolved as not substantiated (</w:t>
      </w:r>
      <w:r w:rsidR="00C42F09" w:rsidRPr="00BD77D8">
        <w:rPr>
          <w:rFonts w:eastAsia="Calibri"/>
          <w:lang w:val="en-US" w:eastAsia="en-US"/>
        </w:rPr>
        <w:t>5</w:t>
      </w:r>
      <w:r w:rsidRPr="00BD77D8">
        <w:rPr>
          <w:rFonts w:eastAsia="Calibri"/>
          <w:lang w:val="en-US" w:eastAsia="en-US"/>
        </w:rPr>
        <w:t xml:space="preserve"> related to s17. </w:t>
      </w:r>
      <w:r w:rsidR="00C42F09" w:rsidRPr="00BD77D8">
        <w:rPr>
          <w:rFonts w:eastAsia="Calibri"/>
          <w:lang w:val="en-US" w:eastAsia="en-US"/>
        </w:rPr>
        <w:t>p</w:t>
      </w:r>
      <w:r w:rsidRPr="00BD77D8">
        <w:rPr>
          <w:rFonts w:eastAsia="Calibri"/>
          <w:lang w:val="en-US" w:eastAsia="en-US"/>
        </w:rPr>
        <w:t xml:space="preserve">rotection from torture and cruel, inhuman or degrading treatment; one related to s25. </w:t>
      </w:r>
      <w:r w:rsidR="00C42F09" w:rsidRPr="00BD77D8">
        <w:rPr>
          <w:rFonts w:eastAsia="Calibri"/>
          <w:lang w:val="en-US" w:eastAsia="en-US"/>
        </w:rPr>
        <w:t>p</w:t>
      </w:r>
      <w:r w:rsidRPr="00BD77D8">
        <w:rPr>
          <w:rFonts w:eastAsia="Calibri"/>
          <w:lang w:val="en-US" w:eastAsia="en-US"/>
        </w:rPr>
        <w:t xml:space="preserve">rivacy and reputation and 15 related to s29. </w:t>
      </w:r>
      <w:r w:rsidR="00C42F09" w:rsidRPr="00BD77D8">
        <w:rPr>
          <w:rFonts w:eastAsia="Calibri"/>
          <w:lang w:val="en-US" w:eastAsia="en-US"/>
        </w:rPr>
        <w:t>r</w:t>
      </w:r>
      <w:r w:rsidRPr="00BD77D8">
        <w:rPr>
          <w:rFonts w:eastAsia="Calibri"/>
          <w:lang w:val="en-US" w:eastAsia="en-US"/>
        </w:rPr>
        <w:t>ight to liberty and security of person)</w:t>
      </w:r>
    </w:p>
    <w:p w14:paraId="4861189C" w14:textId="3EE6E56F" w:rsidR="00A30488" w:rsidRPr="00BD77D8" w:rsidRDefault="00C42F09" w:rsidP="00A463E0">
      <w:pPr>
        <w:pStyle w:val="ListParagraph"/>
        <w:numPr>
          <w:ilvl w:val="0"/>
          <w:numId w:val="29"/>
        </w:numPr>
        <w:rPr>
          <w:rFonts w:eastAsia="Calibri"/>
          <w:lang w:val="en-US" w:eastAsia="en-US"/>
        </w:rPr>
      </w:pPr>
      <w:r w:rsidRPr="00BD77D8">
        <w:rPr>
          <w:rFonts w:eastAsia="Calibri"/>
          <w:lang w:val="en-US" w:eastAsia="en-US"/>
        </w:rPr>
        <w:t>8</w:t>
      </w:r>
      <w:r w:rsidR="00A30488" w:rsidRPr="00BD77D8">
        <w:rPr>
          <w:rFonts w:eastAsia="Calibri"/>
          <w:lang w:val="en-US" w:eastAsia="en-US"/>
        </w:rPr>
        <w:t xml:space="preserve"> were resolved as substantiated (</w:t>
      </w:r>
      <w:r w:rsidRPr="00BD77D8">
        <w:rPr>
          <w:rFonts w:eastAsia="Calibri"/>
          <w:lang w:val="en-US" w:eastAsia="en-US"/>
        </w:rPr>
        <w:t>2</w:t>
      </w:r>
      <w:r w:rsidR="00A30488" w:rsidRPr="00BD77D8">
        <w:rPr>
          <w:rFonts w:eastAsia="Calibri"/>
          <w:lang w:val="en-US" w:eastAsia="en-US"/>
        </w:rPr>
        <w:t xml:space="preserve"> related to s15. </w:t>
      </w:r>
      <w:r w:rsidRPr="00BD77D8">
        <w:rPr>
          <w:rFonts w:eastAsia="Calibri"/>
          <w:lang w:val="en-US" w:eastAsia="en-US"/>
        </w:rPr>
        <w:t>r</w:t>
      </w:r>
      <w:r w:rsidR="00A30488" w:rsidRPr="00BD77D8">
        <w:rPr>
          <w:rFonts w:eastAsia="Calibri"/>
          <w:lang w:val="en-US" w:eastAsia="en-US"/>
        </w:rPr>
        <w:t xml:space="preserve">ecognition and equality before the law; </w:t>
      </w:r>
      <w:r w:rsidRPr="00BD77D8">
        <w:rPr>
          <w:rFonts w:eastAsia="Calibri"/>
          <w:lang w:val="en-US" w:eastAsia="en-US"/>
        </w:rPr>
        <w:t>2</w:t>
      </w:r>
      <w:r w:rsidR="00A30488" w:rsidRPr="00BD77D8">
        <w:rPr>
          <w:rFonts w:eastAsia="Calibri"/>
          <w:lang w:val="en-US" w:eastAsia="en-US"/>
        </w:rPr>
        <w:t xml:space="preserve"> related to s17. </w:t>
      </w:r>
      <w:r w:rsidRPr="00BD77D8">
        <w:rPr>
          <w:rFonts w:eastAsia="Calibri"/>
          <w:lang w:val="en-US" w:eastAsia="en-US"/>
        </w:rPr>
        <w:t>p</w:t>
      </w:r>
      <w:r w:rsidR="00A30488" w:rsidRPr="00BD77D8">
        <w:rPr>
          <w:rFonts w:eastAsia="Calibri"/>
          <w:lang w:val="en-US" w:eastAsia="en-US"/>
        </w:rPr>
        <w:t xml:space="preserve">rotection from torture and cruel, inhuman or degrading treatment; </w:t>
      </w:r>
      <w:r w:rsidRPr="00BD77D8">
        <w:rPr>
          <w:rFonts w:eastAsia="Calibri"/>
          <w:lang w:val="en-US" w:eastAsia="en-US"/>
        </w:rPr>
        <w:t>1</w:t>
      </w:r>
      <w:r w:rsidR="00A30488" w:rsidRPr="00BD77D8">
        <w:rPr>
          <w:rFonts w:eastAsia="Calibri"/>
          <w:lang w:val="en-US" w:eastAsia="en-US"/>
        </w:rPr>
        <w:t xml:space="preserve"> related to s25. </w:t>
      </w:r>
      <w:r w:rsidRPr="00BD77D8">
        <w:rPr>
          <w:rFonts w:eastAsia="Calibri"/>
          <w:lang w:val="en-US" w:eastAsia="en-US"/>
        </w:rPr>
        <w:t>p</w:t>
      </w:r>
      <w:r w:rsidR="00A30488" w:rsidRPr="00BD77D8">
        <w:rPr>
          <w:rFonts w:eastAsia="Calibri"/>
          <w:lang w:val="en-US" w:eastAsia="en-US"/>
        </w:rPr>
        <w:t xml:space="preserve">rivacy and reputation; </w:t>
      </w:r>
      <w:r w:rsidRPr="00BD77D8">
        <w:rPr>
          <w:rFonts w:eastAsia="Calibri"/>
          <w:lang w:val="en-US" w:eastAsia="en-US"/>
        </w:rPr>
        <w:t>2</w:t>
      </w:r>
      <w:r w:rsidR="00A30488" w:rsidRPr="00BD77D8">
        <w:rPr>
          <w:rFonts w:eastAsia="Calibri"/>
          <w:lang w:val="en-US" w:eastAsia="en-US"/>
        </w:rPr>
        <w:t xml:space="preserve"> related to s29. </w:t>
      </w:r>
      <w:r w:rsidRPr="00BD77D8">
        <w:rPr>
          <w:rFonts w:eastAsia="Calibri"/>
          <w:lang w:val="en-US" w:eastAsia="en-US"/>
        </w:rPr>
        <w:t>r</w:t>
      </w:r>
      <w:r w:rsidR="00A30488" w:rsidRPr="00BD77D8">
        <w:rPr>
          <w:rFonts w:eastAsia="Calibri"/>
          <w:lang w:val="en-US" w:eastAsia="en-US"/>
        </w:rPr>
        <w:t>ight to liberty and security of person</w:t>
      </w:r>
      <w:r w:rsidR="00BE2CCC" w:rsidRPr="00BD77D8">
        <w:rPr>
          <w:rFonts w:eastAsia="Calibri"/>
          <w:lang w:val="en-US" w:eastAsia="en-US"/>
        </w:rPr>
        <w:t>;</w:t>
      </w:r>
      <w:r w:rsidR="00A30488" w:rsidRPr="00BD77D8">
        <w:rPr>
          <w:rFonts w:eastAsia="Calibri"/>
          <w:lang w:val="en-US" w:eastAsia="en-US"/>
        </w:rPr>
        <w:t xml:space="preserve"> and </w:t>
      </w:r>
      <w:r w:rsidRPr="00BD77D8">
        <w:rPr>
          <w:rFonts w:eastAsia="Calibri"/>
          <w:lang w:val="en-US" w:eastAsia="en-US"/>
        </w:rPr>
        <w:t>1</w:t>
      </w:r>
      <w:r w:rsidR="00A30488" w:rsidRPr="00BD77D8">
        <w:rPr>
          <w:rFonts w:eastAsia="Calibri"/>
          <w:lang w:val="en-US" w:eastAsia="en-US"/>
        </w:rPr>
        <w:t xml:space="preserve"> related to s37. </w:t>
      </w:r>
      <w:r w:rsidRPr="00BD77D8">
        <w:rPr>
          <w:rFonts w:eastAsia="Calibri"/>
          <w:lang w:val="en-US" w:eastAsia="en-US"/>
        </w:rPr>
        <w:t>r</w:t>
      </w:r>
      <w:r w:rsidR="00A30488" w:rsidRPr="00BD77D8">
        <w:rPr>
          <w:rFonts w:eastAsia="Calibri"/>
          <w:lang w:val="en-US" w:eastAsia="en-US"/>
        </w:rPr>
        <w:t>ight to health services)</w:t>
      </w:r>
    </w:p>
    <w:p w14:paraId="3DB51BB9" w14:textId="32CBE393" w:rsidR="00A30488" w:rsidRPr="00BD77D8" w:rsidRDefault="00A30488" w:rsidP="00A463E0">
      <w:pPr>
        <w:pStyle w:val="ListParagraph"/>
        <w:numPr>
          <w:ilvl w:val="0"/>
          <w:numId w:val="29"/>
        </w:numPr>
        <w:rPr>
          <w:rFonts w:eastAsia="Calibri"/>
          <w:lang w:val="en-US" w:eastAsia="en-US"/>
        </w:rPr>
      </w:pPr>
      <w:r w:rsidRPr="00BD77D8">
        <w:rPr>
          <w:rFonts w:eastAsia="Calibri"/>
          <w:lang w:val="en-US" w:eastAsia="en-US"/>
        </w:rPr>
        <w:t xml:space="preserve">17 were still being considered by the department/not yet </w:t>
      </w:r>
      <w:proofErr w:type="spellStart"/>
      <w:r w:rsidRPr="00BD77D8">
        <w:rPr>
          <w:rFonts w:eastAsia="Calibri"/>
          <w:lang w:val="en-US" w:eastAsia="en-US"/>
        </w:rPr>
        <w:t>finalised</w:t>
      </w:r>
      <w:proofErr w:type="spellEnd"/>
      <w:r w:rsidRPr="00BD77D8">
        <w:rPr>
          <w:rFonts w:eastAsia="Calibri"/>
          <w:lang w:val="en-US" w:eastAsia="en-US"/>
        </w:rPr>
        <w:t xml:space="preserve"> (subject to ongoing departmental investigation or other processes)</w:t>
      </w:r>
      <w:r w:rsidR="00ED3CA1" w:rsidRPr="00BD77D8">
        <w:rPr>
          <w:rFonts w:eastAsia="Calibri"/>
          <w:lang w:val="en-US" w:eastAsia="en-US"/>
        </w:rPr>
        <w:t>.</w:t>
      </w:r>
    </w:p>
    <w:bookmarkEnd w:id="274"/>
    <w:p w14:paraId="63ACD1C7" w14:textId="6F37666A" w:rsidR="00DF7CF7" w:rsidRPr="00BD77D8" w:rsidRDefault="007A3138" w:rsidP="00DF7CF7">
      <w:pPr>
        <w:pStyle w:val="Heading3"/>
        <w:rPr>
          <w:rFonts w:eastAsia="Calibri"/>
          <w:b/>
          <w:bCs w:val="0"/>
          <w:sz w:val="20"/>
          <w:szCs w:val="20"/>
        </w:rPr>
      </w:pPr>
      <w:r w:rsidRPr="00BD77D8">
        <w:t xml:space="preserve">Reviews of policy, programs, procedures, practices or services undertaken for compatibility with human rights </w:t>
      </w:r>
    </w:p>
    <w:p w14:paraId="2C6A5C88" w14:textId="77777777" w:rsidR="007A3138" w:rsidRPr="00BD77D8" w:rsidRDefault="007A3138" w:rsidP="00B161F3">
      <w:pPr>
        <w:spacing w:after="120" w:line="240" w:lineRule="auto"/>
        <w:rPr>
          <w:rFonts w:eastAsia="Calibri"/>
          <w:lang w:val="en-US" w:eastAsia="en-US"/>
        </w:rPr>
      </w:pPr>
      <w:r w:rsidRPr="00BD77D8">
        <w:rPr>
          <w:rFonts w:eastAsia="Calibri"/>
          <w:lang w:val="en-US" w:eastAsia="en-US"/>
        </w:rPr>
        <w:t>During the reporting period, the following reviews were undertaken for compatibility with human rights:</w:t>
      </w:r>
    </w:p>
    <w:p w14:paraId="6CB8204F" w14:textId="662AFE5A" w:rsidR="007A3138" w:rsidRPr="00BD77D8" w:rsidRDefault="00ED3CA1" w:rsidP="00A463E0">
      <w:pPr>
        <w:pStyle w:val="ListParagraph"/>
        <w:numPr>
          <w:ilvl w:val="0"/>
          <w:numId w:val="26"/>
        </w:numPr>
        <w:rPr>
          <w:rFonts w:eastAsia="Calibri"/>
          <w:lang w:val="en-US" w:eastAsia="en-US"/>
        </w:rPr>
      </w:pPr>
      <w:r w:rsidRPr="00BD77D8">
        <w:rPr>
          <w:rFonts w:eastAsia="Calibri"/>
          <w:lang w:val="en-US" w:eastAsia="en-US"/>
        </w:rPr>
        <w:t>t</w:t>
      </w:r>
      <w:r w:rsidR="007A3138" w:rsidRPr="00BD77D8">
        <w:rPr>
          <w:rFonts w:eastAsia="Calibri"/>
          <w:lang w:val="en-US" w:eastAsia="en-US"/>
        </w:rPr>
        <w:t xml:space="preserve">he review of the </w:t>
      </w:r>
      <w:r w:rsidR="007A3138" w:rsidRPr="00BD77D8">
        <w:rPr>
          <w:rFonts w:eastAsia="Calibri"/>
          <w:i/>
          <w:iCs/>
          <w:lang w:val="en-US" w:eastAsia="en-US"/>
        </w:rPr>
        <w:t xml:space="preserve">Aboriginal Cultural Heritage Act 2003 </w:t>
      </w:r>
      <w:r w:rsidR="007A3138" w:rsidRPr="00BD77D8">
        <w:rPr>
          <w:rFonts w:eastAsia="Calibri"/>
          <w:lang w:val="en-US" w:eastAsia="en-US"/>
        </w:rPr>
        <w:t xml:space="preserve">and </w:t>
      </w:r>
      <w:r w:rsidR="007A3138" w:rsidRPr="00BD77D8">
        <w:rPr>
          <w:rFonts w:eastAsia="Calibri"/>
          <w:i/>
          <w:iCs/>
          <w:lang w:val="en-US" w:eastAsia="en-US"/>
        </w:rPr>
        <w:t>Torres Strait Islander Cultural Heritage Act 2003</w:t>
      </w:r>
      <w:r w:rsidR="007A3138" w:rsidRPr="00BD77D8">
        <w:rPr>
          <w:rFonts w:eastAsia="Calibri"/>
          <w:lang w:val="en-US" w:eastAsia="en-US"/>
        </w:rPr>
        <w:t xml:space="preserve"> (Cultural Heritage Acts) is underway, and </w:t>
      </w:r>
      <w:r w:rsidR="009C58CC" w:rsidRPr="00BD77D8">
        <w:rPr>
          <w:rFonts w:eastAsia="Calibri"/>
          <w:lang w:val="en-US" w:eastAsia="en-US"/>
        </w:rPr>
        <w:t xml:space="preserve">an </w:t>
      </w:r>
      <w:r w:rsidR="007A3138" w:rsidRPr="00BD77D8">
        <w:rPr>
          <w:rFonts w:eastAsia="Calibri"/>
          <w:lang w:val="en-US" w:eastAsia="en-US"/>
        </w:rPr>
        <w:t>options pape</w:t>
      </w:r>
      <w:r w:rsidR="009C58CC" w:rsidRPr="00BD77D8">
        <w:rPr>
          <w:rFonts w:eastAsia="Calibri"/>
          <w:lang w:val="en-US" w:eastAsia="en-US"/>
        </w:rPr>
        <w:t>r was publicly released from 17 December 2021 to 31 March 2022</w:t>
      </w:r>
    </w:p>
    <w:p w14:paraId="7DE2B345" w14:textId="328B7436" w:rsidR="00E2597D" w:rsidRPr="00BD77D8" w:rsidRDefault="00ED3CA1" w:rsidP="00A463E0">
      <w:pPr>
        <w:pStyle w:val="ListParagraph"/>
        <w:numPr>
          <w:ilvl w:val="0"/>
          <w:numId w:val="26"/>
        </w:numPr>
        <w:rPr>
          <w:rFonts w:eastAsia="Calibri"/>
          <w:lang w:val="en-US" w:eastAsia="en-US"/>
        </w:rPr>
      </w:pPr>
      <w:r w:rsidRPr="00BD77D8">
        <w:rPr>
          <w:rFonts w:eastAsia="Calibri"/>
          <w:lang w:val="en-US" w:eastAsia="en-US"/>
        </w:rPr>
        <w:t>h</w:t>
      </w:r>
      <w:r w:rsidR="00E2597D" w:rsidRPr="00BD77D8">
        <w:rPr>
          <w:rFonts w:eastAsia="Calibri"/>
          <w:lang w:val="en-US" w:eastAsia="en-US"/>
        </w:rPr>
        <w:t xml:space="preserve">uman rights certificates were developed with respect to the </w:t>
      </w:r>
      <w:r w:rsidR="00E2597D" w:rsidRPr="00BD77D8">
        <w:rPr>
          <w:rFonts w:eastAsia="Calibri"/>
          <w:i/>
          <w:iCs/>
          <w:lang w:val="en-US" w:eastAsia="en-US"/>
        </w:rPr>
        <w:t>Liquor (Mornington) and Other Legislation Amendment Regulation 2022 (</w:t>
      </w:r>
      <w:r w:rsidR="00E2597D" w:rsidRPr="00BD77D8">
        <w:rPr>
          <w:rFonts w:eastAsia="Calibri"/>
          <w:lang w:val="en-US" w:eastAsia="en-US"/>
        </w:rPr>
        <w:t>Amendment Regulation</w:t>
      </w:r>
      <w:proofErr w:type="gramStart"/>
      <w:r w:rsidR="00F90726" w:rsidRPr="00BD77D8">
        <w:rPr>
          <w:rFonts w:eastAsia="Calibri"/>
          <w:lang w:val="en-US" w:eastAsia="en-US"/>
        </w:rPr>
        <w:t>)</w:t>
      </w:r>
      <w:proofErr w:type="gramEnd"/>
      <w:r w:rsidR="00E2597D" w:rsidRPr="00BD77D8">
        <w:rPr>
          <w:rFonts w:eastAsia="Calibri"/>
          <w:lang w:val="en-US" w:eastAsia="en-US"/>
        </w:rPr>
        <w:t xml:space="preserve"> and the </w:t>
      </w:r>
      <w:r w:rsidR="00E2597D" w:rsidRPr="00BD77D8">
        <w:rPr>
          <w:rFonts w:eastAsia="Calibri"/>
          <w:i/>
          <w:iCs/>
          <w:lang w:val="en-US" w:eastAsia="en-US"/>
        </w:rPr>
        <w:t>Liquor (Kowanyama) and Other Legislation Amendment Regulation 2022</w:t>
      </w:r>
      <w:r w:rsidR="00E2597D" w:rsidRPr="00BD77D8">
        <w:rPr>
          <w:rFonts w:eastAsia="Calibri"/>
          <w:lang w:val="en-US" w:eastAsia="en-US"/>
        </w:rPr>
        <w:t xml:space="preserve"> made under the </w:t>
      </w:r>
      <w:r w:rsidR="00E2597D" w:rsidRPr="00BD77D8">
        <w:rPr>
          <w:rFonts w:eastAsia="Calibri"/>
          <w:i/>
          <w:iCs/>
          <w:lang w:val="en-US" w:eastAsia="en-US"/>
        </w:rPr>
        <w:t>Liquor Act 1992</w:t>
      </w:r>
      <w:r w:rsidR="00E2597D" w:rsidRPr="00BD77D8">
        <w:rPr>
          <w:rFonts w:eastAsia="Calibri"/>
          <w:lang w:val="en-US" w:eastAsia="en-US"/>
        </w:rPr>
        <w:t xml:space="preserve"> (Liquor Act) and the </w:t>
      </w:r>
      <w:r w:rsidR="00E2597D" w:rsidRPr="00BD77D8">
        <w:rPr>
          <w:rFonts w:eastAsia="Calibri"/>
          <w:i/>
          <w:iCs/>
          <w:lang w:val="en-US" w:eastAsia="en-US"/>
        </w:rPr>
        <w:t xml:space="preserve">Aboriginal and Torres Strait Islander Communities (Justice, Land and Other Matters) Act 1984 </w:t>
      </w:r>
      <w:r w:rsidR="00E2597D" w:rsidRPr="00BD77D8">
        <w:rPr>
          <w:rFonts w:eastAsia="Calibri"/>
          <w:lang w:val="en-US" w:eastAsia="en-US"/>
        </w:rPr>
        <w:t>(JLOM</w:t>
      </w:r>
      <w:r w:rsidR="00E2597D" w:rsidRPr="00BD77D8">
        <w:rPr>
          <w:rFonts w:eastAsia="Calibri"/>
          <w:i/>
          <w:iCs/>
          <w:lang w:val="en-US" w:eastAsia="en-US"/>
        </w:rPr>
        <w:t xml:space="preserve"> </w:t>
      </w:r>
      <w:r w:rsidR="00E2597D" w:rsidRPr="00BD77D8">
        <w:rPr>
          <w:rFonts w:eastAsia="Calibri"/>
          <w:lang w:val="en-US" w:eastAsia="en-US"/>
        </w:rPr>
        <w:t>Act)</w:t>
      </w:r>
      <w:r w:rsidR="00E2597D" w:rsidRPr="00BD77D8">
        <w:rPr>
          <w:rFonts w:eastAsia="Calibri"/>
          <w:i/>
          <w:iCs/>
          <w:lang w:val="en-US" w:eastAsia="en-US"/>
        </w:rPr>
        <w:t xml:space="preserve">. </w:t>
      </w:r>
      <w:r w:rsidR="00E2597D" w:rsidRPr="00BD77D8">
        <w:rPr>
          <w:rFonts w:eastAsia="Calibri"/>
          <w:lang w:val="en-US" w:eastAsia="en-US"/>
        </w:rPr>
        <w:t xml:space="preserve">Due to Mornington and Kowanyama Shires’ requests to maintain a ban on home brew and home brew equipment following </w:t>
      </w:r>
      <w:r w:rsidR="00DA14CA" w:rsidRPr="00BD77D8">
        <w:rPr>
          <w:rFonts w:eastAsia="Calibri"/>
          <w:lang w:val="en-US" w:eastAsia="en-US"/>
        </w:rPr>
        <w:t xml:space="preserve">the </w:t>
      </w:r>
      <w:r w:rsidR="00E2597D" w:rsidRPr="00BD77D8">
        <w:rPr>
          <w:rFonts w:eastAsia="Calibri"/>
          <w:lang w:val="en-US" w:eastAsia="en-US"/>
        </w:rPr>
        <w:t xml:space="preserve">introduction of an alcohol carriage limit, the following human rights were engaged by the Amendment Regulation: equal protection of the law without discrimination (section 15(3) of the </w:t>
      </w:r>
      <w:r w:rsidR="00DA14CA" w:rsidRPr="00BD77D8">
        <w:rPr>
          <w:rFonts w:eastAsia="Calibri"/>
          <w:lang w:val="en-US" w:eastAsia="en-US"/>
        </w:rPr>
        <w:t>HR Act</w:t>
      </w:r>
      <w:r w:rsidR="00E2597D" w:rsidRPr="00BD77D8">
        <w:rPr>
          <w:rFonts w:eastAsia="Calibri"/>
          <w:lang w:val="en-US" w:eastAsia="en-US"/>
        </w:rPr>
        <w:t xml:space="preserve">); and right to property (section 24 of the </w:t>
      </w:r>
      <w:r w:rsidR="00DA14CA" w:rsidRPr="00BD77D8">
        <w:rPr>
          <w:rFonts w:eastAsia="Calibri"/>
          <w:lang w:val="en-US" w:eastAsia="en-US"/>
        </w:rPr>
        <w:t>HR</w:t>
      </w:r>
      <w:r w:rsidR="00E2597D" w:rsidRPr="00BD77D8">
        <w:rPr>
          <w:rFonts w:eastAsia="Calibri"/>
          <w:lang w:val="en-US" w:eastAsia="en-US"/>
        </w:rPr>
        <w:t xml:space="preserve"> Act)</w:t>
      </w:r>
    </w:p>
    <w:p w14:paraId="0829B3B6" w14:textId="4B53FAE7" w:rsidR="00E2597D" w:rsidRPr="00BD77D8" w:rsidRDefault="00ED3CA1" w:rsidP="00A463E0">
      <w:pPr>
        <w:pStyle w:val="ListParagraph"/>
        <w:numPr>
          <w:ilvl w:val="0"/>
          <w:numId w:val="26"/>
        </w:numPr>
        <w:rPr>
          <w:rFonts w:eastAsia="Calibri"/>
          <w:lang w:val="en-US" w:eastAsia="en-US"/>
        </w:rPr>
      </w:pPr>
      <w:r w:rsidRPr="00BD77D8">
        <w:rPr>
          <w:rFonts w:eastAsia="Calibri"/>
          <w:lang w:val="en-US" w:eastAsia="en-US"/>
        </w:rPr>
        <w:t>t</w:t>
      </w:r>
      <w:r w:rsidR="00E2597D" w:rsidRPr="00BD77D8">
        <w:rPr>
          <w:rFonts w:eastAsia="Calibri"/>
          <w:lang w:val="en-US" w:eastAsia="en-US"/>
        </w:rPr>
        <w:t xml:space="preserve">he provisions in the JLOM Act regarding home brew constitute a ‘special measure’ under the </w:t>
      </w:r>
      <w:r w:rsidR="00E2597D" w:rsidRPr="00BD77D8">
        <w:rPr>
          <w:rFonts w:eastAsia="Calibri"/>
          <w:i/>
          <w:iCs/>
          <w:lang w:val="en-US" w:eastAsia="en-US"/>
        </w:rPr>
        <w:t>Racial Discrimination Act 1975</w:t>
      </w:r>
      <w:r w:rsidR="00E2597D" w:rsidRPr="00BD77D8">
        <w:rPr>
          <w:rFonts w:eastAsia="Calibri"/>
          <w:lang w:val="en-US" w:eastAsia="en-US"/>
        </w:rPr>
        <w:t xml:space="preserve"> (</w:t>
      </w:r>
      <w:proofErr w:type="spellStart"/>
      <w:r w:rsidR="00E2597D" w:rsidRPr="00BD77D8">
        <w:rPr>
          <w:rFonts w:eastAsia="Calibri"/>
          <w:lang w:val="en-US" w:eastAsia="en-US"/>
        </w:rPr>
        <w:t>Cth</w:t>
      </w:r>
      <w:proofErr w:type="spellEnd"/>
      <w:r w:rsidR="00E2597D" w:rsidRPr="00BD77D8">
        <w:rPr>
          <w:rFonts w:eastAsia="Calibri"/>
          <w:lang w:val="en-US" w:eastAsia="en-US"/>
        </w:rPr>
        <w:t xml:space="preserve">). It was recommended that human rights engaged in relation to these purposes were reasonable and justifiable to support local decision-making around alcohol management to impose constraints on individual liberties in </w:t>
      </w:r>
      <w:proofErr w:type="spellStart"/>
      <w:r w:rsidR="00E2597D" w:rsidRPr="00BD77D8">
        <w:rPr>
          <w:rFonts w:eastAsia="Calibri"/>
          <w:lang w:val="en-US" w:eastAsia="en-US"/>
        </w:rPr>
        <w:t>favour</w:t>
      </w:r>
      <w:proofErr w:type="spellEnd"/>
      <w:r w:rsidR="00E2597D" w:rsidRPr="00BD77D8">
        <w:rPr>
          <w:rFonts w:eastAsia="Calibri"/>
          <w:lang w:val="en-US" w:eastAsia="en-US"/>
        </w:rPr>
        <w:t xml:space="preserve"> of promoting safety for the broader community  </w:t>
      </w:r>
    </w:p>
    <w:p w14:paraId="4CA94A6E" w14:textId="22ED32C1" w:rsidR="007A3138" w:rsidRPr="00BD77D8" w:rsidRDefault="00ED3CA1" w:rsidP="00A463E0">
      <w:pPr>
        <w:pStyle w:val="ListParagraph"/>
        <w:numPr>
          <w:ilvl w:val="0"/>
          <w:numId w:val="26"/>
        </w:numPr>
        <w:rPr>
          <w:rFonts w:eastAsia="Calibri"/>
          <w:lang w:val="en-US" w:eastAsia="en-US"/>
        </w:rPr>
      </w:pPr>
      <w:r w:rsidRPr="00BD77D8">
        <w:rPr>
          <w:rFonts w:eastAsia="Calibri"/>
          <w:lang w:val="en-US" w:eastAsia="en-US"/>
        </w:rPr>
        <w:t>c</w:t>
      </w:r>
      <w:r w:rsidR="007A3138" w:rsidRPr="00BD77D8">
        <w:rPr>
          <w:rFonts w:eastAsia="Calibri"/>
          <w:lang w:val="en-US" w:eastAsia="en-US"/>
        </w:rPr>
        <w:t>omm</w:t>
      </w:r>
      <w:r w:rsidR="00883B8F" w:rsidRPr="00BD77D8">
        <w:rPr>
          <w:rFonts w:eastAsia="Calibri"/>
          <w:lang w:val="en-US" w:eastAsia="en-US"/>
        </w:rPr>
        <w:t>issioning an independen</w:t>
      </w:r>
      <w:r w:rsidR="007A3138" w:rsidRPr="00BD77D8">
        <w:rPr>
          <w:rFonts w:eastAsia="Calibri"/>
          <w:lang w:val="en-US" w:eastAsia="en-US"/>
        </w:rPr>
        <w:t>t review of the portfolio body, the Family Responsibilities Commission (FRC), which will include ensuring the work of the FRC is consistent with the</w:t>
      </w:r>
      <w:r w:rsidR="00DA14CA" w:rsidRPr="00BD77D8">
        <w:rPr>
          <w:rFonts w:eastAsia="Calibri"/>
          <w:lang w:val="en-US" w:eastAsia="en-US"/>
        </w:rPr>
        <w:t xml:space="preserve"> HR Act</w:t>
      </w:r>
    </w:p>
    <w:p w14:paraId="159935B4" w14:textId="48B3B445" w:rsidR="007A3138" w:rsidRPr="00BD77D8" w:rsidRDefault="00ED3CA1" w:rsidP="00A463E0">
      <w:pPr>
        <w:pStyle w:val="ListParagraph"/>
        <w:numPr>
          <w:ilvl w:val="0"/>
          <w:numId w:val="26"/>
        </w:numPr>
        <w:rPr>
          <w:rFonts w:eastAsia="Calibri"/>
          <w:lang w:val="en-US" w:eastAsia="en-US"/>
        </w:rPr>
      </w:pPr>
      <w:r w:rsidRPr="00BD77D8">
        <w:rPr>
          <w:rFonts w:eastAsia="Calibri"/>
          <w:lang w:val="en-US" w:eastAsia="en-US"/>
        </w:rPr>
        <w:t>c</w:t>
      </w:r>
      <w:r w:rsidR="00A04B9B" w:rsidRPr="00BD77D8">
        <w:rPr>
          <w:rFonts w:eastAsia="Calibri"/>
          <w:lang w:val="en-US" w:eastAsia="en-US"/>
        </w:rPr>
        <w:t>onsideration of</w:t>
      </w:r>
      <w:r w:rsidR="007A3138" w:rsidRPr="00BD77D8">
        <w:rPr>
          <w:rFonts w:eastAsia="Calibri"/>
          <w:lang w:val="en-US" w:eastAsia="en-US"/>
        </w:rPr>
        <w:t xml:space="preserve"> the legislative amendments to the </w:t>
      </w:r>
      <w:r w:rsidR="007A3138" w:rsidRPr="00BD77D8">
        <w:rPr>
          <w:rFonts w:eastAsia="Calibri"/>
          <w:i/>
          <w:iCs/>
          <w:lang w:val="en-US" w:eastAsia="en-US"/>
        </w:rPr>
        <w:t>Disability Services Act 2006</w:t>
      </w:r>
      <w:r w:rsidR="007A3138" w:rsidRPr="00BD77D8">
        <w:rPr>
          <w:rFonts w:eastAsia="Calibri"/>
          <w:lang w:val="en-US" w:eastAsia="en-US"/>
        </w:rPr>
        <w:t xml:space="preserve"> and the </w:t>
      </w:r>
      <w:r w:rsidR="007A3138" w:rsidRPr="00BD77D8">
        <w:rPr>
          <w:rFonts w:eastAsia="Calibri"/>
          <w:i/>
          <w:iCs/>
          <w:lang w:val="en-US" w:eastAsia="en-US"/>
        </w:rPr>
        <w:t>Guide, Hearing and Assistance Dog Act 2009</w:t>
      </w:r>
      <w:r w:rsidR="007A3138" w:rsidRPr="00BD77D8">
        <w:rPr>
          <w:rFonts w:eastAsia="Calibri"/>
          <w:lang w:val="en-US" w:eastAsia="en-US"/>
        </w:rPr>
        <w:t xml:space="preserve"> to address minor potential incompatibilities with the</w:t>
      </w:r>
      <w:r w:rsidR="00DA14CA" w:rsidRPr="00BD77D8">
        <w:rPr>
          <w:rFonts w:eastAsia="Calibri"/>
          <w:lang w:val="en-US" w:eastAsia="en-US"/>
        </w:rPr>
        <w:t xml:space="preserve"> HR Act</w:t>
      </w:r>
      <w:r w:rsidR="007A3138" w:rsidRPr="00BD77D8">
        <w:rPr>
          <w:rFonts w:eastAsia="Calibri"/>
          <w:lang w:val="en-US" w:eastAsia="en-US"/>
        </w:rPr>
        <w:t>,</w:t>
      </w:r>
      <w:r w:rsidR="00A04B9B" w:rsidRPr="00BD77D8">
        <w:rPr>
          <w:rFonts w:eastAsia="Calibri"/>
          <w:lang w:val="en-US" w:eastAsia="en-US"/>
        </w:rPr>
        <w:t xml:space="preserve"> </w:t>
      </w:r>
      <w:r w:rsidR="00DA14CA" w:rsidRPr="00BD77D8">
        <w:rPr>
          <w:rFonts w:eastAsia="Calibri"/>
          <w:lang w:val="en-US" w:eastAsia="en-US"/>
        </w:rPr>
        <w:t>will</w:t>
      </w:r>
      <w:r w:rsidR="00A04B9B" w:rsidRPr="00BD77D8">
        <w:rPr>
          <w:rFonts w:eastAsia="Calibri"/>
          <w:lang w:val="en-US" w:eastAsia="en-US"/>
        </w:rPr>
        <w:t xml:space="preserve"> be progressed</w:t>
      </w:r>
      <w:r w:rsidR="007A3138" w:rsidRPr="00BD77D8">
        <w:rPr>
          <w:rFonts w:eastAsia="Calibri"/>
          <w:lang w:val="en-US" w:eastAsia="en-US"/>
        </w:rPr>
        <w:t xml:space="preserve"> through portfolio legislative vehicles proceeding to Parliament</w:t>
      </w:r>
    </w:p>
    <w:p w14:paraId="4F8E423C" w14:textId="70F1D75D" w:rsidR="005A34FB" w:rsidRPr="00BD77D8" w:rsidRDefault="00ED3CA1" w:rsidP="00A463E0">
      <w:pPr>
        <w:pStyle w:val="ListParagraph"/>
        <w:numPr>
          <w:ilvl w:val="0"/>
          <w:numId w:val="26"/>
        </w:numPr>
        <w:rPr>
          <w:rFonts w:eastAsia="Calibri"/>
          <w:lang w:val="en-US" w:eastAsia="en-US"/>
        </w:rPr>
      </w:pPr>
      <w:r w:rsidRPr="00BD77D8">
        <w:rPr>
          <w:rFonts w:eastAsia="Calibri"/>
          <w:lang w:val="en-US" w:eastAsia="en-US"/>
        </w:rPr>
        <w:lastRenderedPageBreak/>
        <w:t>a</w:t>
      </w:r>
      <w:r w:rsidR="005A34FB" w:rsidRPr="00BD77D8">
        <w:rPr>
          <w:rFonts w:eastAsia="Calibri"/>
          <w:lang w:val="en-US" w:eastAsia="en-US"/>
        </w:rPr>
        <w:t>ll human resources policies were assessed as compatible with human rights.</w:t>
      </w:r>
    </w:p>
    <w:p w14:paraId="06FF4531" w14:textId="46F55C9B" w:rsidR="00AB4D70" w:rsidRPr="00BD77D8" w:rsidRDefault="00254945" w:rsidP="00042900">
      <w:pPr>
        <w:pStyle w:val="Heading2"/>
        <w:rPr>
          <w:color w:val="auto"/>
        </w:rPr>
      </w:pPr>
      <w:bookmarkStart w:id="277" w:name="_Toc113544400"/>
      <w:bookmarkStart w:id="278" w:name="_Toc43444822"/>
      <w:r w:rsidRPr="00BD77D8">
        <w:rPr>
          <w:color w:val="auto"/>
        </w:rPr>
        <w:t>Governance</w:t>
      </w:r>
      <w:r w:rsidR="005A1C92" w:rsidRPr="00BD77D8">
        <w:rPr>
          <w:color w:val="auto"/>
        </w:rPr>
        <w:t>—</w:t>
      </w:r>
      <w:r w:rsidRPr="00BD77D8">
        <w:rPr>
          <w:color w:val="auto"/>
        </w:rPr>
        <w:t>risk management and accountability</w:t>
      </w:r>
      <w:bookmarkEnd w:id="277"/>
      <w:r w:rsidR="00DF7CF7" w:rsidRPr="00BD77D8">
        <w:rPr>
          <w:color w:val="auto"/>
        </w:rPr>
        <w:t xml:space="preserve"> </w:t>
      </w:r>
    </w:p>
    <w:p w14:paraId="0A3B3343" w14:textId="5DD86F24" w:rsidR="00DF7CF7" w:rsidRPr="00BD77D8" w:rsidRDefault="00254945" w:rsidP="00DF7CF7">
      <w:pPr>
        <w:pStyle w:val="Heading2"/>
        <w:rPr>
          <w:b/>
          <w:bCs w:val="0"/>
          <w:color w:val="auto"/>
          <w:sz w:val="20"/>
          <w:szCs w:val="20"/>
        </w:rPr>
      </w:pPr>
      <w:bookmarkStart w:id="279" w:name="_Toc113544401"/>
      <w:bookmarkStart w:id="280" w:name="_Hlk109125695"/>
      <w:r w:rsidRPr="00BD77D8">
        <w:rPr>
          <w:color w:val="auto"/>
        </w:rPr>
        <w:t>Risk management</w:t>
      </w:r>
      <w:bookmarkEnd w:id="279"/>
      <w:r w:rsidR="00DF7CF7" w:rsidRPr="00BD77D8">
        <w:rPr>
          <w:color w:val="auto"/>
        </w:rPr>
        <w:t xml:space="preserve"> </w:t>
      </w:r>
    </w:p>
    <w:p w14:paraId="15540D85" w14:textId="00C0CA6B" w:rsidR="009679A6" w:rsidRPr="00BD77D8" w:rsidRDefault="009679A6" w:rsidP="00254945">
      <w:pPr>
        <w:rPr>
          <w:rFonts w:eastAsia="Calibri"/>
          <w:lang w:val="en-US" w:eastAsia="en-US"/>
        </w:rPr>
      </w:pPr>
      <w:r w:rsidRPr="00BD77D8">
        <w:rPr>
          <w:rFonts w:eastAsia="Calibri"/>
          <w:lang w:val="en-US" w:eastAsia="en-US"/>
        </w:rPr>
        <w:t>Risk management is a key element of good corporate governance</w:t>
      </w:r>
      <w:r w:rsidR="00AA2816" w:rsidRPr="00BD77D8">
        <w:rPr>
          <w:rFonts w:eastAsia="Calibri"/>
          <w:lang w:val="en-US" w:eastAsia="en-US"/>
        </w:rPr>
        <w:t xml:space="preserve">. </w:t>
      </w:r>
      <w:r w:rsidRPr="00BD77D8">
        <w:rPr>
          <w:rFonts w:eastAsia="Calibri"/>
          <w:lang w:val="en-US" w:eastAsia="en-US"/>
        </w:rPr>
        <w:t xml:space="preserve">In accordance with the </w:t>
      </w:r>
      <w:r w:rsidRPr="00BD77D8">
        <w:rPr>
          <w:rFonts w:eastAsia="Calibri"/>
          <w:i/>
          <w:iCs/>
          <w:lang w:val="en-US" w:eastAsia="en-US"/>
        </w:rPr>
        <w:t>Financial Accountability Act 2009</w:t>
      </w:r>
      <w:r w:rsidRPr="00BD77D8">
        <w:rPr>
          <w:rFonts w:eastAsia="Calibri"/>
          <w:lang w:val="en-US" w:eastAsia="en-US"/>
        </w:rPr>
        <w:t>, overall accountability for risk management resides with the Director-General</w:t>
      </w:r>
      <w:r w:rsidR="005809C7" w:rsidRPr="00BD77D8">
        <w:rPr>
          <w:rFonts w:eastAsia="Calibri"/>
          <w:lang w:val="en-US" w:eastAsia="en-US"/>
        </w:rPr>
        <w:t>, is exercised through the Board of Management and is the responsibility of all staff throughout the department. The department’s Audit and Risk Committee assists the Director-General in the oversight of the effective</w:t>
      </w:r>
      <w:r w:rsidR="002D7FA9" w:rsidRPr="00BD77D8">
        <w:rPr>
          <w:rFonts w:eastAsia="Calibri"/>
          <w:lang w:val="en-US" w:eastAsia="en-US"/>
        </w:rPr>
        <w:t xml:space="preserve">ness </w:t>
      </w:r>
      <w:r w:rsidR="005809C7" w:rsidRPr="00BD77D8">
        <w:rPr>
          <w:rFonts w:eastAsia="Calibri"/>
          <w:lang w:val="en-US" w:eastAsia="en-US"/>
        </w:rPr>
        <w:t>of the risk management framework.</w:t>
      </w:r>
    </w:p>
    <w:p w14:paraId="735D4435" w14:textId="5D28F653" w:rsidR="00254945" w:rsidRPr="00BD77D8" w:rsidRDefault="00254945" w:rsidP="00254945">
      <w:pPr>
        <w:rPr>
          <w:rFonts w:eastAsia="Calibri"/>
          <w:lang w:val="en-US" w:eastAsia="en-US"/>
        </w:rPr>
      </w:pPr>
      <w:r w:rsidRPr="00BD77D8">
        <w:rPr>
          <w:rFonts w:eastAsia="Calibri"/>
          <w:lang w:val="en-US" w:eastAsia="en-US"/>
        </w:rPr>
        <w:t>The department’s risk management framework</w:t>
      </w:r>
      <w:r w:rsidR="005809C7" w:rsidRPr="00BD77D8">
        <w:rPr>
          <w:rFonts w:eastAsia="Calibri"/>
          <w:lang w:val="en-US" w:eastAsia="en-US"/>
        </w:rPr>
        <w:t xml:space="preserve"> </w:t>
      </w:r>
      <w:r w:rsidRPr="00BD77D8">
        <w:rPr>
          <w:rFonts w:eastAsia="Calibri"/>
          <w:lang w:val="en-US" w:eastAsia="en-US"/>
        </w:rPr>
        <w:t xml:space="preserve">provides the management approach, principles and processes for managing risk within the department in accordance with the </w:t>
      </w:r>
      <w:r w:rsidRPr="00BD77D8">
        <w:rPr>
          <w:rFonts w:eastAsia="Calibri"/>
          <w:i/>
          <w:lang w:val="en-US" w:eastAsia="en-US"/>
        </w:rPr>
        <w:t>Financial Accountability Act 20</w:t>
      </w:r>
      <w:r w:rsidR="009679A6" w:rsidRPr="00BD77D8">
        <w:rPr>
          <w:rFonts w:eastAsia="Calibri"/>
          <w:i/>
          <w:lang w:val="en-US" w:eastAsia="en-US"/>
        </w:rPr>
        <w:t>0</w:t>
      </w:r>
      <w:r w:rsidRPr="00BD77D8">
        <w:rPr>
          <w:rFonts w:eastAsia="Calibri"/>
          <w:i/>
          <w:lang w:val="en-US" w:eastAsia="en-US"/>
        </w:rPr>
        <w:t>9</w:t>
      </w:r>
      <w:r w:rsidR="006C0507" w:rsidRPr="00BD77D8">
        <w:rPr>
          <w:rFonts w:eastAsia="Calibri"/>
          <w:i/>
          <w:lang w:val="en-US" w:eastAsia="en-US"/>
        </w:rPr>
        <w:t xml:space="preserve">, Financial and Performance Management Standard 2019 </w:t>
      </w:r>
      <w:r w:rsidRPr="00BD77D8">
        <w:rPr>
          <w:rFonts w:eastAsia="Calibri"/>
          <w:lang w:val="en-US" w:eastAsia="en-US"/>
        </w:rPr>
        <w:t xml:space="preserve">and Queensland Treasury’s whole-of-government risk management guidelines. </w:t>
      </w:r>
      <w:r w:rsidR="005809C7" w:rsidRPr="00BD77D8">
        <w:rPr>
          <w:rFonts w:eastAsia="Calibri"/>
          <w:lang w:val="en-US" w:eastAsia="en-US"/>
        </w:rPr>
        <w:t>The</w:t>
      </w:r>
      <w:r w:rsidRPr="00BD77D8">
        <w:rPr>
          <w:rFonts w:eastAsia="Calibri"/>
          <w:lang w:val="en-US" w:eastAsia="en-US"/>
        </w:rPr>
        <w:t xml:space="preserve"> framework aligns with the </w:t>
      </w:r>
      <w:r w:rsidRPr="00BD77D8">
        <w:rPr>
          <w:rFonts w:eastAsia="Calibri"/>
          <w:i/>
          <w:iCs/>
          <w:lang w:val="en-US" w:eastAsia="en-US"/>
        </w:rPr>
        <w:t xml:space="preserve">AS/NZS ISO 31000:2018 Risk management — Guidelines </w:t>
      </w:r>
      <w:r w:rsidRPr="00BD77D8">
        <w:rPr>
          <w:rFonts w:eastAsia="Calibri"/>
          <w:lang w:val="en-US" w:eastAsia="en-US"/>
        </w:rPr>
        <w:t>and other best practice risk and resilience methodologie</w:t>
      </w:r>
      <w:r w:rsidR="005809C7" w:rsidRPr="00BD77D8">
        <w:rPr>
          <w:rFonts w:eastAsia="Calibri"/>
          <w:lang w:val="en-US" w:eastAsia="en-US"/>
        </w:rPr>
        <w:t xml:space="preserve">s. </w:t>
      </w:r>
    </w:p>
    <w:p w14:paraId="5C0EA5E8" w14:textId="72440CEE" w:rsidR="00254945" w:rsidRPr="00BD77D8" w:rsidRDefault="00254945" w:rsidP="00254945">
      <w:pPr>
        <w:rPr>
          <w:rFonts w:eastAsia="Calibri"/>
          <w:lang w:val="en-US" w:eastAsia="en-US"/>
        </w:rPr>
      </w:pPr>
      <w:r w:rsidRPr="00BD77D8">
        <w:rPr>
          <w:rFonts w:eastAsia="Calibri"/>
          <w:lang w:val="en-US" w:eastAsia="en-US"/>
        </w:rPr>
        <w:t xml:space="preserve">This approach ensures identified risk events that </w:t>
      </w:r>
      <w:r w:rsidR="004767D6" w:rsidRPr="00BD77D8">
        <w:rPr>
          <w:rFonts w:eastAsia="Calibri"/>
          <w:lang w:val="en-US" w:eastAsia="en-US"/>
        </w:rPr>
        <w:t>may</w:t>
      </w:r>
      <w:r w:rsidRPr="00BD77D8">
        <w:rPr>
          <w:rFonts w:eastAsia="Calibri"/>
          <w:lang w:val="en-US" w:eastAsia="en-US"/>
        </w:rPr>
        <w:t xml:space="preserve"> impact on the delivery of the department’s strategic objectives, are effectively managed in a structured and coordinated manner</w:t>
      </w:r>
      <w:r w:rsidR="00BF5F01" w:rsidRPr="00BD77D8">
        <w:rPr>
          <w:rFonts w:eastAsia="Calibri"/>
          <w:lang w:val="en-US" w:eastAsia="en-US"/>
        </w:rPr>
        <w:t>,</w:t>
      </w:r>
      <w:r w:rsidRPr="00BD77D8">
        <w:rPr>
          <w:rFonts w:eastAsia="Calibri"/>
          <w:lang w:val="en-US" w:eastAsia="en-US"/>
        </w:rPr>
        <w:t xml:space="preserve"> and are reflected in the department's culture and practices.</w:t>
      </w:r>
    </w:p>
    <w:p w14:paraId="38FF8A7A" w14:textId="77777777" w:rsidR="00254945" w:rsidRPr="00BD77D8" w:rsidRDefault="00254945" w:rsidP="00B47173">
      <w:pPr>
        <w:spacing w:after="120" w:line="240" w:lineRule="auto"/>
        <w:rPr>
          <w:rFonts w:eastAsia="Calibri"/>
          <w:lang w:val="en-US" w:eastAsia="en-US"/>
        </w:rPr>
      </w:pPr>
      <w:r w:rsidRPr="00BD77D8">
        <w:rPr>
          <w:rFonts w:eastAsia="Calibri"/>
          <w:lang w:val="en-US" w:eastAsia="en-US"/>
        </w:rPr>
        <w:t>During the reporting period, the department:</w:t>
      </w:r>
    </w:p>
    <w:p w14:paraId="3E7031F4" w14:textId="71B1EB38" w:rsidR="00254945" w:rsidRPr="00BD77D8" w:rsidRDefault="00254945" w:rsidP="00A463E0">
      <w:pPr>
        <w:pStyle w:val="ListParagraph"/>
        <w:numPr>
          <w:ilvl w:val="0"/>
          <w:numId w:val="26"/>
        </w:numPr>
        <w:rPr>
          <w:rFonts w:eastAsia="Calibri"/>
          <w:lang w:val="en-US" w:eastAsia="en-US"/>
        </w:rPr>
      </w:pPr>
      <w:r w:rsidRPr="00BD77D8">
        <w:rPr>
          <w:rFonts w:eastAsia="Calibri"/>
          <w:lang w:val="en-US" w:eastAsia="en-US"/>
        </w:rPr>
        <w:t xml:space="preserve">conducted a Board of Management Strategic Risk </w:t>
      </w:r>
      <w:r w:rsidR="006C0507" w:rsidRPr="00BD77D8">
        <w:rPr>
          <w:rFonts w:eastAsia="Calibri"/>
          <w:lang w:val="en-US" w:eastAsia="en-US"/>
        </w:rPr>
        <w:t xml:space="preserve">Assessment </w:t>
      </w:r>
      <w:r w:rsidR="00172CB1" w:rsidRPr="00BD77D8">
        <w:rPr>
          <w:rFonts w:eastAsia="Calibri"/>
          <w:lang w:val="en-US" w:eastAsia="en-US"/>
        </w:rPr>
        <w:t>w</w:t>
      </w:r>
      <w:r w:rsidRPr="00BD77D8">
        <w:rPr>
          <w:rFonts w:eastAsia="Calibri"/>
          <w:lang w:val="en-US" w:eastAsia="en-US"/>
        </w:rPr>
        <w:t>orkshop to identify the emerging risks that may impact on the delivery of our department’s strategic objectives and the opportunities arising from these risks. The workshop included a presentation on global and national insights to stimulate blue</w:t>
      </w:r>
      <w:r w:rsidR="00D51A9A" w:rsidRPr="00BD77D8">
        <w:rPr>
          <w:rFonts w:eastAsia="Calibri"/>
          <w:lang w:val="en-US" w:eastAsia="en-US"/>
        </w:rPr>
        <w:t>-</w:t>
      </w:r>
      <w:r w:rsidRPr="00BD77D8">
        <w:rPr>
          <w:rFonts w:eastAsia="Calibri"/>
          <w:lang w:val="en-US" w:eastAsia="en-US"/>
        </w:rPr>
        <w:t xml:space="preserve">sky thinking about the potential strategic risks that </w:t>
      </w:r>
      <w:r w:rsidR="00BF5F01" w:rsidRPr="00BD77D8">
        <w:rPr>
          <w:rFonts w:eastAsia="Calibri"/>
          <w:lang w:val="en-US" w:eastAsia="en-US"/>
        </w:rPr>
        <w:t>the</w:t>
      </w:r>
      <w:r w:rsidRPr="00BD77D8">
        <w:rPr>
          <w:rFonts w:eastAsia="Calibri"/>
          <w:lang w:val="en-US" w:eastAsia="en-US"/>
        </w:rPr>
        <w:t xml:space="preserve"> department may be exposed to in the current environment</w:t>
      </w:r>
      <w:r w:rsidR="008677EE" w:rsidRPr="00BD77D8">
        <w:rPr>
          <w:rFonts w:eastAsia="Calibri"/>
          <w:lang w:val="en-US" w:eastAsia="en-US"/>
        </w:rPr>
        <w:t xml:space="preserve">. The workshop resulted in a recalibration of </w:t>
      </w:r>
      <w:r w:rsidR="00CD7263" w:rsidRPr="00BD77D8">
        <w:rPr>
          <w:rFonts w:eastAsia="Calibri"/>
          <w:lang w:val="en-US" w:eastAsia="en-US"/>
        </w:rPr>
        <w:t>the department’s</w:t>
      </w:r>
      <w:r w:rsidR="008677EE" w:rsidRPr="00BD77D8">
        <w:rPr>
          <w:rFonts w:eastAsia="Calibri"/>
          <w:lang w:val="en-US" w:eastAsia="en-US"/>
        </w:rPr>
        <w:t xml:space="preserve"> strategic risks, framed as opportunities and reflected in the </w:t>
      </w:r>
      <w:r w:rsidR="00ED3419" w:rsidRPr="00BD77D8">
        <w:rPr>
          <w:rFonts w:eastAsia="Calibri"/>
          <w:lang w:val="en-US" w:eastAsia="en-US"/>
        </w:rPr>
        <w:t>2022-2025</w:t>
      </w:r>
      <w:r w:rsidR="008677EE" w:rsidRPr="00BD77D8">
        <w:rPr>
          <w:rFonts w:eastAsia="Calibri"/>
          <w:lang w:val="en-US" w:eastAsia="en-US"/>
        </w:rPr>
        <w:t xml:space="preserve"> </w:t>
      </w:r>
      <w:r w:rsidR="00D51A9A" w:rsidRPr="00BD77D8">
        <w:rPr>
          <w:rFonts w:eastAsia="Calibri"/>
          <w:lang w:val="en-US" w:eastAsia="en-US"/>
        </w:rPr>
        <w:t>s</w:t>
      </w:r>
      <w:r w:rsidR="008677EE" w:rsidRPr="00BD77D8">
        <w:rPr>
          <w:rFonts w:eastAsia="Calibri"/>
          <w:lang w:val="en-US" w:eastAsia="en-US"/>
        </w:rPr>
        <w:t xml:space="preserve">trategic </w:t>
      </w:r>
      <w:r w:rsidR="00D51A9A" w:rsidRPr="00BD77D8">
        <w:rPr>
          <w:rFonts w:eastAsia="Calibri"/>
          <w:lang w:val="en-US" w:eastAsia="en-US"/>
        </w:rPr>
        <w:t>p</w:t>
      </w:r>
      <w:r w:rsidR="008677EE" w:rsidRPr="00BD77D8">
        <w:rPr>
          <w:rFonts w:eastAsia="Calibri"/>
          <w:lang w:val="en-US" w:eastAsia="en-US"/>
        </w:rPr>
        <w:t>lan</w:t>
      </w:r>
    </w:p>
    <w:p w14:paraId="713929FD" w14:textId="32CAE333" w:rsidR="00254945" w:rsidRPr="00BD77D8" w:rsidRDefault="007A3138" w:rsidP="00A463E0">
      <w:pPr>
        <w:pStyle w:val="ListParagraph"/>
        <w:numPr>
          <w:ilvl w:val="0"/>
          <w:numId w:val="26"/>
        </w:numPr>
        <w:rPr>
          <w:rFonts w:eastAsia="Calibri"/>
          <w:lang w:val="en-US" w:eastAsia="en-US"/>
        </w:rPr>
      </w:pPr>
      <w:r w:rsidRPr="00BD77D8">
        <w:rPr>
          <w:rFonts w:eastAsia="Calibri"/>
          <w:lang w:val="en-US" w:eastAsia="en-US"/>
        </w:rPr>
        <w:t xml:space="preserve">continued to implement </w:t>
      </w:r>
      <w:r w:rsidR="00254945" w:rsidRPr="00BD77D8">
        <w:rPr>
          <w:rFonts w:eastAsia="Calibri"/>
          <w:lang w:val="en-US" w:eastAsia="en-US"/>
        </w:rPr>
        <w:t xml:space="preserve">the department’s </w:t>
      </w:r>
      <w:r w:rsidRPr="00BD77D8">
        <w:rPr>
          <w:rFonts w:eastAsia="Calibri"/>
          <w:lang w:val="en-US" w:eastAsia="en-US"/>
        </w:rPr>
        <w:t xml:space="preserve">risk management framework, </w:t>
      </w:r>
      <w:r w:rsidR="00254945" w:rsidRPr="00BD77D8">
        <w:rPr>
          <w:rFonts w:eastAsia="Calibri"/>
          <w:lang w:val="en-US" w:eastAsia="en-US"/>
        </w:rPr>
        <w:t>including the risk appetite statement and risk management methodology</w:t>
      </w:r>
    </w:p>
    <w:p w14:paraId="390CD2A3" w14:textId="77777777" w:rsidR="00254945" w:rsidRPr="00BD77D8" w:rsidRDefault="00254945" w:rsidP="00A463E0">
      <w:pPr>
        <w:pStyle w:val="ListParagraph"/>
        <w:numPr>
          <w:ilvl w:val="0"/>
          <w:numId w:val="26"/>
        </w:numPr>
        <w:rPr>
          <w:rFonts w:eastAsia="Calibri"/>
          <w:lang w:val="en-US" w:eastAsia="en-US"/>
        </w:rPr>
      </w:pPr>
      <w:r w:rsidRPr="00BD77D8">
        <w:rPr>
          <w:rFonts w:eastAsia="Calibri"/>
          <w:lang w:val="en-US" w:eastAsia="en-US"/>
        </w:rPr>
        <w:t>continued to develop strategic and operational risk registers to support the systematic identification, assessment, review and monitoring of enterprise-wide risks</w:t>
      </w:r>
    </w:p>
    <w:p w14:paraId="3BF97747" w14:textId="41FD0706" w:rsidR="00254945" w:rsidRPr="00BD77D8" w:rsidRDefault="00254945" w:rsidP="00A463E0">
      <w:pPr>
        <w:pStyle w:val="ListParagraph"/>
        <w:numPr>
          <w:ilvl w:val="0"/>
          <w:numId w:val="26"/>
        </w:numPr>
        <w:rPr>
          <w:rFonts w:eastAsia="Calibri"/>
        </w:rPr>
      </w:pPr>
      <w:r w:rsidRPr="00BD77D8">
        <w:rPr>
          <w:rFonts w:eastAsia="Calibri"/>
          <w:lang w:val="en-US" w:eastAsia="en-US"/>
        </w:rPr>
        <w:t xml:space="preserve">continued to prepare quarterly Enterprise Risk </w:t>
      </w:r>
      <w:r w:rsidR="00172CB1" w:rsidRPr="00BD77D8">
        <w:rPr>
          <w:rFonts w:eastAsia="Calibri"/>
          <w:lang w:val="en-US" w:eastAsia="en-US"/>
        </w:rPr>
        <w:t>r</w:t>
      </w:r>
      <w:r w:rsidRPr="00BD77D8">
        <w:rPr>
          <w:rFonts w:eastAsia="Calibri"/>
          <w:lang w:val="en-US" w:eastAsia="en-US"/>
        </w:rPr>
        <w:t>eports, provid</w:t>
      </w:r>
      <w:r w:rsidR="00D51A9A" w:rsidRPr="00BD77D8">
        <w:rPr>
          <w:rFonts w:eastAsia="Calibri"/>
          <w:lang w:val="en-US" w:eastAsia="en-US"/>
        </w:rPr>
        <w:t>ing</w:t>
      </w:r>
      <w:r w:rsidRPr="00BD77D8">
        <w:rPr>
          <w:rFonts w:eastAsia="Calibri"/>
          <w:lang w:val="en-US" w:eastAsia="en-US"/>
        </w:rPr>
        <w:t xml:space="preserve"> a holistic view of the department’s ‘top’ risks to support Board</w:t>
      </w:r>
      <w:r w:rsidRPr="00BD77D8">
        <w:rPr>
          <w:rFonts w:eastAsia="Calibri"/>
        </w:rPr>
        <w:t xml:space="preserve"> of Management decision-making.</w:t>
      </w:r>
    </w:p>
    <w:p w14:paraId="6C61C43E" w14:textId="2C7AFD03" w:rsidR="00254945" w:rsidRPr="00BD77D8" w:rsidRDefault="00254945" w:rsidP="00254945">
      <w:pPr>
        <w:rPr>
          <w:rFonts w:eastAsia="Calibri"/>
          <w:lang w:val="en-US" w:eastAsia="en-US"/>
        </w:rPr>
      </w:pPr>
      <w:r w:rsidRPr="00BD77D8">
        <w:rPr>
          <w:rFonts w:eastAsia="Calibri"/>
          <w:lang w:val="en-US" w:eastAsia="en-US"/>
        </w:rPr>
        <w:t>The focus during the year has been to further embed enterprise risk management within the department to support the effective management and mitigation of the department’s risks; improve the reporting to senior executives; and to build a strong risk culture within the department.</w:t>
      </w:r>
    </w:p>
    <w:p w14:paraId="31D470B2" w14:textId="532CA5C6" w:rsidR="00DF7CF7" w:rsidRPr="00BD77D8" w:rsidRDefault="009679A6" w:rsidP="00DF7CF7">
      <w:pPr>
        <w:pStyle w:val="Heading2"/>
        <w:rPr>
          <w:b/>
          <w:bCs w:val="0"/>
          <w:color w:val="auto"/>
          <w:sz w:val="20"/>
          <w:szCs w:val="20"/>
        </w:rPr>
      </w:pPr>
      <w:bookmarkStart w:id="281" w:name="_Toc78287400"/>
      <w:bookmarkStart w:id="282" w:name="_Toc78355807"/>
      <w:bookmarkStart w:id="283" w:name="_Toc113544402"/>
      <w:r w:rsidRPr="00BD77D8">
        <w:rPr>
          <w:color w:val="auto"/>
        </w:rPr>
        <w:t>Fraud and corruption control</w:t>
      </w:r>
      <w:bookmarkEnd w:id="281"/>
      <w:bookmarkEnd w:id="282"/>
      <w:bookmarkEnd w:id="283"/>
      <w:r w:rsidRPr="00BD77D8">
        <w:rPr>
          <w:color w:val="auto"/>
        </w:rPr>
        <w:t xml:space="preserve"> </w:t>
      </w:r>
    </w:p>
    <w:p w14:paraId="6592DFC0" w14:textId="41FE8E78" w:rsidR="009679A6" w:rsidRPr="00BD77D8" w:rsidRDefault="009679A6" w:rsidP="009679A6">
      <w:pPr>
        <w:rPr>
          <w:rFonts w:eastAsia="Calibri"/>
          <w:lang w:val="en-US" w:eastAsia="en-US"/>
        </w:rPr>
      </w:pPr>
      <w:r w:rsidRPr="00BD77D8">
        <w:rPr>
          <w:rFonts w:eastAsia="Calibri"/>
          <w:lang w:val="en-US" w:eastAsia="en-US"/>
        </w:rPr>
        <w:t>The</w:t>
      </w:r>
      <w:r w:rsidRPr="00BD77D8">
        <w:rPr>
          <w:rFonts w:eastAsia="Calibri"/>
          <w:spacing w:val="-14"/>
          <w:lang w:val="en-US" w:eastAsia="en-US"/>
        </w:rPr>
        <w:t xml:space="preserve"> </w:t>
      </w:r>
      <w:r w:rsidRPr="00BD77D8">
        <w:rPr>
          <w:rFonts w:eastAsia="Calibri"/>
          <w:spacing w:val="-1"/>
          <w:lang w:val="en-US" w:eastAsia="en-US"/>
        </w:rPr>
        <w:t>dep</w:t>
      </w:r>
      <w:r w:rsidRPr="00BD77D8">
        <w:rPr>
          <w:rFonts w:eastAsia="Calibri"/>
          <w:lang w:val="en-US" w:eastAsia="en-US"/>
        </w:rPr>
        <w:t>artment</w:t>
      </w:r>
      <w:r w:rsidRPr="00BD77D8">
        <w:rPr>
          <w:rFonts w:eastAsia="Calibri"/>
          <w:spacing w:val="-15"/>
          <w:lang w:val="en-US" w:eastAsia="en-US"/>
        </w:rPr>
        <w:t xml:space="preserve"> </w:t>
      </w:r>
      <w:r w:rsidRPr="00BD77D8">
        <w:rPr>
          <w:rFonts w:eastAsia="Calibri"/>
          <w:spacing w:val="-1"/>
          <w:lang w:val="en-US" w:eastAsia="en-US"/>
        </w:rPr>
        <w:t>is</w:t>
      </w:r>
      <w:r w:rsidRPr="00BD77D8">
        <w:rPr>
          <w:rFonts w:eastAsia="Calibri"/>
          <w:spacing w:val="-15"/>
          <w:lang w:val="en-US" w:eastAsia="en-US"/>
        </w:rPr>
        <w:t xml:space="preserve"> </w:t>
      </w:r>
      <w:r w:rsidRPr="00BD77D8">
        <w:rPr>
          <w:rFonts w:eastAsia="Calibri"/>
          <w:spacing w:val="-1"/>
          <w:lang w:val="en-US" w:eastAsia="en-US"/>
        </w:rPr>
        <w:t>c</w:t>
      </w:r>
      <w:r w:rsidRPr="00BD77D8">
        <w:rPr>
          <w:rFonts w:eastAsia="Calibri"/>
          <w:lang w:val="en-US" w:eastAsia="en-US"/>
        </w:rPr>
        <w:t>ommitted</w:t>
      </w:r>
      <w:r w:rsidRPr="00BD77D8">
        <w:rPr>
          <w:rFonts w:eastAsia="Calibri"/>
          <w:spacing w:val="-14"/>
          <w:lang w:val="en-US" w:eastAsia="en-US"/>
        </w:rPr>
        <w:t xml:space="preserve"> </w:t>
      </w:r>
      <w:r w:rsidRPr="00BD77D8">
        <w:rPr>
          <w:rFonts w:eastAsia="Calibri"/>
          <w:lang w:val="en-US" w:eastAsia="en-US"/>
        </w:rPr>
        <w:t>t</w:t>
      </w:r>
      <w:r w:rsidRPr="00BD77D8">
        <w:rPr>
          <w:rFonts w:eastAsia="Calibri"/>
          <w:spacing w:val="-1"/>
          <w:lang w:val="en-US" w:eastAsia="en-US"/>
        </w:rPr>
        <w:t>o</w:t>
      </w:r>
      <w:r w:rsidRPr="00BD77D8">
        <w:rPr>
          <w:rFonts w:eastAsia="Calibri"/>
          <w:spacing w:val="-14"/>
          <w:lang w:val="en-US" w:eastAsia="en-US"/>
        </w:rPr>
        <w:t xml:space="preserve"> </w:t>
      </w:r>
      <w:r w:rsidRPr="00BD77D8">
        <w:rPr>
          <w:rFonts w:eastAsia="Calibri"/>
          <w:lang w:val="en-US" w:eastAsia="en-US"/>
        </w:rPr>
        <w:t>an</w:t>
      </w:r>
      <w:r w:rsidRPr="00BD77D8">
        <w:rPr>
          <w:rFonts w:eastAsia="Calibri"/>
          <w:spacing w:val="-13"/>
          <w:lang w:val="en-US" w:eastAsia="en-US"/>
        </w:rPr>
        <w:t xml:space="preserve"> </w:t>
      </w:r>
      <w:proofErr w:type="spellStart"/>
      <w:r w:rsidRPr="00BD77D8">
        <w:rPr>
          <w:rFonts w:eastAsia="Calibri"/>
          <w:lang w:val="en-US" w:eastAsia="en-US"/>
        </w:rPr>
        <w:t>org</w:t>
      </w:r>
      <w:r w:rsidRPr="00BD77D8">
        <w:rPr>
          <w:rFonts w:eastAsia="Calibri"/>
          <w:spacing w:val="-1"/>
          <w:lang w:val="en-US" w:eastAsia="en-US"/>
        </w:rPr>
        <w:t>anis</w:t>
      </w:r>
      <w:r w:rsidRPr="00BD77D8">
        <w:rPr>
          <w:rFonts w:eastAsia="Calibri"/>
          <w:lang w:val="en-US" w:eastAsia="en-US"/>
        </w:rPr>
        <w:t>ation</w:t>
      </w:r>
      <w:r w:rsidRPr="00BD77D8">
        <w:rPr>
          <w:rFonts w:eastAsia="Calibri"/>
          <w:spacing w:val="-1"/>
          <w:lang w:val="en-US" w:eastAsia="en-US"/>
        </w:rPr>
        <w:t>al</w:t>
      </w:r>
      <w:proofErr w:type="spellEnd"/>
      <w:r w:rsidRPr="00BD77D8">
        <w:rPr>
          <w:rFonts w:eastAsia="Calibri"/>
          <w:spacing w:val="-15"/>
          <w:lang w:val="en-US" w:eastAsia="en-US"/>
        </w:rPr>
        <w:t xml:space="preserve"> </w:t>
      </w:r>
      <w:r w:rsidRPr="00BD77D8">
        <w:rPr>
          <w:rFonts w:eastAsia="Calibri"/>
          <w:spacing w:val="-1"/>
          <w:lang w:val="en-US" w:eastAsia="en-US"/>
        </w:rPr>
        <w:t>cu</w:t>
      </w:r>
      <w:r w:rsidRPr="00BD77D8">
        <w:rPr>
          <w:rFonts w:eastAsia="Calibri"/>
          <w:lang w:val="en-US" w:eastAsia="en-US"/>
        </w:rPr>
        <w:t>lt</w:t>
      </w:r>
      <w:r w:rsidRPr="00BD77D8">
        <w:rPr>
          <w:rFonts w:eastAsia="Calibri"/>
          <w:spacing w:val="-1"/>
          <w:lang w:val="en-US" w:eastAsia="en-US"/>
        </w:rPr>
        <w:t>u</w:t>
      </w:r>
      <w:r w:rsidRPr="00BD77D8">
        <w:rPr>
          <w:rFonts w:eastAsia="Calibri"/>
          <w:lang w:val="en-US" w:eastAsia="en-US"/>
        </w:rPr>
        <w:t>re</w:t>
      </w:r>
      <w:r w:rsidR="004767D6" w:rsidRPr="00BD77D8">
        <w:rPr>
          <w:rFonts w:eastAsia="Calibri"/>
          <w:lang w:val="en-US" w:eastAsia="en-US"/>
        </w:rPr>
        <w:t xml:space="preserve"> </w:t>
      </w:r>
      <w:r w:rsidRPr="00BD77D8">
        <w:rPr>
          <w:rFonts w:eastAsia="Calibri"/>
          <w:lang w:val="en-US" w:eastAsia="en-US"/>
        </w:rPr>
        <w:t>where</w:t>
      </w:r>
      <w:r w:rsidRPr="00BD77D8">
        <w:rPr>
          <w:rFonts w:eastAsia="Calibri"/>
          <w:spacing w:val="-15"/>
          <w:lang w:val="en-US" w:eastAsia="en-US"/>
        </w:rPr>
        <w:t xml:space="preserve"> </w:t>
      </w:r>
      <w:r w:rsidRPr="00BD77D8">
        <w:rPr>
          <w:rFonts w:eastAsia="Calibri"/>
          <w:spacing w:val="-1"/>
          <w:lang w:val="en-US" w:eastAsia="en-US"/>
        </w:rPr>
        <w:t>an</w:t>
      </w:r>
      <w:r w:rsidRPr="00BD77D8">
        <w:rPr>
          <w:rFonts w:eastAsia="Calibri"/>
          <w:lang w:val="en-US" w:eastAsia="en-US"/>
        </w:rPr>
        <w:t>y</w:t>
      </w:r>
      <w:r w:rsidRPr="00BD77D8">
        <w:rPr>
          <w:rFonts w:eastAsia="Calibri"/>
          <w:spacing w:val="-17"/>
          <w:lang w:val="en-US" w:eastAsia="en-US"/>
        </w:rPr>
        <w:t xml:space="preserve"> </w:t>
      </w:r>
      <w:r w:rsidRPr="00BD77D8">
        <w:rPr>
          <w:rFonts w:eastAsia="Calibri"/>
          <w:lang w:val="en-US" w:eastAsia="en-US"/>
        </w:rPr>
        <w:t>act</w:t>
      </w:r>
      <w:r w:rsidRPr="00BD77D8">
        <w:rPr>
          <w:rFonts w:eastAsia="Calibri"/>
          <w:spacing w:val="-16"/>
          <w:lang w:val="en-US" w:eastAsia="en-US"/>
        </w:rPr>
        <w:t xml:space="preserve"> </w:t>
      </w:r>
      <w:r w:rsidRPr="00BD77D8">
        <w:rPr>
          <w:rFonts w:eastAsia="Calibri"/>
          <w:lang w:val="en-US" w:eastAsia="en-US"/>
        </w:rPr>
        <w:t>of</w:t>
      </w:r>
      <w:r w:rsidRPr="00BD77D8">
        <w:rPr>
          <w:rFonts w:eastAsia="Calibri"/>
          <w:spacing w:val="-16"/>
          <w:lang w:val="en-US" w:eastAsia="en-US"/>
        </w:rPr>
        <w:t xml:space="preserve"> </w:t>
      </w:r>
      <w:r w:rsidRPr="00BD77D8">
        <w:rPr>
          <w:rFonts w:eastAsia="Calibri"/>
          <w:lang w:val="en-US" w:eastAsia="en-US"/>
        </w:rPr>
        <w:t>fr</w:t>
      </w:r>
      <w:r w:rsidRPr="00BD77D8">
        <w:rPr>
          <w:rFonts w:eastAsia="Calibri"/>
          <w:spacing w:val="-1"/>
          <w:lang w:val="en-US" w:eastAsia="en-US"/>
        </w:rPr>
        <w:t>aud</w:t>
      </w:r>
      <w:r w:rsidRPr="00BD77D8">
        <w:rPr>
          <w:rFonts w:eastAsia="Calibri"/>
          <w:spacing w:val="-16"/>
          <w:lang w:val="en-US" w:eastAsia="en-US"/>
        </w:rPr>
        <w:t xml:space="preserve"> </w:t>
      </w:r>
      <w:r w:rsidRPr="00BD77D8">
        <w:rPr>
          <w:rFonts w:eastAsia="Calibri"/>
          <w:lang w:val="en-US" w:eastAsia="en-US"/>
        </w:rPr>
        <w:t>or</w:t>
      </w:r>
      <w:r w:rsidRPr="00BD77D8">
        <w:rPr>
          <w:rFonts w:eastAsia="Calibri"/>
          <w:spacing w:val="-15"/>
          <w:lang w:val="en-US" w:eastAsia="en-US"/>
        </w:rPr>
        <w:t xml:space="preserve"> </w:t>
      </w:r>
      <w:r w:rsidRPr="00BD77D8">
        <w:rPr>
          <w:rFonts w:eastAsia="Calibri"/>
          <w:spacing w:val="-1"/>
          <w:lang w:val="en-US" w:eastAsia="en-US"/>
        </w:rPr>
        <w:t>c</w:t>
      </w:r>
      <w:r w:rsidRPr="00BD77D8">
        <w:rPr>
          <w:rFonts w:eastAsia="Calibri"/>
          <w:lang w:val="en-US" w:eastAsia="en-US"/>
        </w:rPr>
        <w:t>orruption</w:t>
      </w:r>
      <w:r w:rsidRPr="00BD77D8">
        <w:rPr>
          <w:rFonts w:eastAsia="Calibri"/>
          <w:spacing w:val="-15"/>
          <w:lang w:val="en-US" w:eastAsia="en-US"/>
        </w:rPr>
        <w:t xml:space="preserve"> </w:t>
      </w:r>
      <w:r w:rsidRPr="00BD77D8">
        <w:rPr>
          <w:rFonts w:eastAsia="Calibri"/>
          <w:spacing w:val="-1"/>
          <w:lang w:val="en-US" w:eastAsia="en-US"/>
        </w:rPr>
        <w:t>is</w:t>
      </w:r>
      <w:r w:rsidRPr="00BD77D8">
        <w:rPr>
          <w:rFonts w:eastAsia="Calibri"/>
          <w:spacing w:val="-16"/>
          <w:lang w:val="en-US" w:eastAsia="en-US"/>
        </w:rPr>
        <w:t xml:space="preserve"> </w:t>
      </w:r>
      <w:r w:rsidRPr="00BD77D8">
        <w:rPr>
          <w:rFonts w:eastAsia="Calibri"/>
          <w:lang w:val="en-US" w:eastAsia="en-US"/>
        </w:rPr>
        <w:t>not</w:t>
      </w:r>
      <w:r w:rsidRPr="00BD77D8">
        <w:rPr>
          <w:rFonts w:eastAsia="Calibri"/>
          <w:spacing w:val="-16"/>
          <w:lang w:val="en-US" w:eastAsia="en-US"/>
        </w:rPr>
        <w:t xml:space="preserve"> </w:t>
      </w:r>
      <w:r w:rsidRPr="00BD77D8">
        <w:rPr>
          <w:rFonts w:eastAsia="Calibri"/>
          <w:lang w:val="en-US" w:eastAsia="en-US"/>
        </w:rPr>
        <w:t>t</w:t>
      </w:r>
      <w:r w:rsidRPr="00BD77D8">
        <w:rPr>
          <w:rFonts w:eastAsia="Calibri"/>
          <w:spacing w:val="-1"/>
          <w:lang w:val="en-US" w:eastAsia="en-US"/>
        </w:rPr>
        <w:t>ol</w:t>
      </w:r>
      <w:r w:rsidRPr="00BD77D8">
        <w:rPr>
          <w:rFonts w:eastAsia="Calibri"/>
          <w:lang w:val="en-US" w:eastAsia="en-US"/>
        </w:rPr>
        <w:t>er</w:t>
      </w:r>
      <w:r w:rsidRPr="00BD77D8">
        <w:rPr>
          <w:rFonts w:eastAsia="Calibri"/>
          <w:spacing w:val="-1"/>
          <w:lang w:val="en-US" w:eastAsia="en-US"/>
        </w:rPr>
        <w:t>ated</w:t>
      </w:r>
      <w:r w:rsidRPr="00BD77D8">
        <w:rPr>
          <w:rFonts w:eastAsia="Calibri"/>
          <w:lang w:val="en-US" w:eastAsia="en-US"/>
        </w:rPr>
        <w:t>.</w:t>
      </w:r>
      <w:r w:rsidRPr="00BD77D8">
        <w:rPr>
          <w:rFonts w:eastAsia="Calibri"/>
          <w:spacing w:val="-18"/>
          <w:lang w:val="en-US" w:eastAsia="en-US"/>
        </w:rPr>
        <w:t xml:space="preserve"> </w:t>
      </w:r>
      <w:r w:rsidRPr="00BD77D8">
        <w:rPr>
          <w:rFonts w:eastAsia="Calibri"/>
          <w:lang w:val="en-US" w:eastAsia="en-US"/>
        </w:rPr>
        <w:t>Thi</w:t>
      </w:r>
      <w:r w:rsidRPr="00BD77D8">
        <w:rPr>
          <w:rFonts w:eastAsia="Calibri"/>
          <w:spacing w:val="-1"/>
          <w:lang w:val="en-US" w:eastAsia="en-US"/>
        </w:rPr>
        <w:t>s</w:t>
      </w:r>
      <w:r w:rsidRPr="00BD77D8">
        <w:rPr>
          <w:rFonts w:eastAsia="Calibri"/>
          <w:spacing w:val="35"/>
          <w:w w:val="110"/>
          <w:lang w:val="en-US" w:eastAsia="en-US"/>
        </w:rPr>
        <w:t xml:space="preserve"> </w:t>
      </w:r>
      <w:r w:rsidRPr="00BD77D8">
        <w:rPr>
          <w:rFonts w:eastAsia="Calibri"/>
          <w:spacing w:val="-1"/>
          <w:lang w:val="en-US" w:eastAsia="en-US"/>
        </w:rPr>
        <w:t>c</w:t>
      </w:r>
      <w:r w:rsidRPr="00BD77D8">
        <w:rPr>
          <w:rFonts w:eastAsia="Calibri"/>
          <w:lang w:val="en-US" w:eastAsia="en-US"/>
        </w:rPr>
        <w:t>ommitment</w:t>
      </w:r>
      <w:r w:rsidRPr="00BD77D8">
        <w:rPr>
          <w:rFonts w:eastAsia="Calibri"/>
          <w:spacing w:val="-15"/>
          <w:lang w:val="en-US" w:eastAsia="en-US"/>
        </w:rPr>
        <w:t xml:space="preserve"> </w:t>
      </w:r>
      <w:r w:rsidRPr="00BD77D8">
        <w:rPr>
          <w:rFonts w:eastAsia="Calibri"/>
          <w:lang w:val="en-US" w:eastAsia="en-US"/>
        </w:rPr>
        <w:t>require</w:t>
      </w:r>
      <w:r w:rsidRPr="00BD77D8">
        <w:rPr>
          <w:rFonts w:eastAsia="Calibri"/>
          <w:spacing w:val="-1"/>
          <w:lang w:val="en-US" w:eastAsia="en-US"/>
        </w:rPr>
        <w:t>s</w:t>
      </w:r>
      <w:r w:rsidRPr="00BD77D8">
        <w:rPr>
          <w:rFonts w:eastAsia="Calibri"/>
          <w:spacing w:val="-14"/>
          <w:lang w:val="en-US" w:eastAsia="en-US"/>
        </w:rPr>
        <w:t xml:space="preserve"> </w:t>
      </w:r>
      <w:r w:rsidRPr="00BD77D8">
        <w:rPr>
          <w:rFonts w:eastAsia="Calibri"/>
          <w:spacing w:val="-1"/>
          <w:lang w:val="en-US" w:eastAsia="en-US"/>
        </w:rPr>
        <w:t>s</w:t>
      </w:r>
      <w:r w:rsidRPr="00BD77D8">
        <w:rPr>
          <w:rFonts w:eastAsia="Calibri"/>
          <w:lang w:val="en-US" w:eastAsia="en-US"/>
        </w:rPr>
        <w:t>taff</w:t>
      </w:r>
      <w:r w:rsidR="00D51A9A" w:rsidRPr="00BD77D8">
        <w:rPr>
          <w:rFonts w:eastAsia="Calibri"/>
          <w:lang w:val="en-US" w:eastAsia="en-US"/>
        </w:rPr>
        <w:t xml:space="preserve"> to</w:t>
      </w:r>
      <w:r w:rsidRPr="00BD77D8">
        <w:rPr>
          <w:rFonts w:eastAsia="Calibri"/>
          <w:spacing w:val="-14"/>
          <w:lang w:val="en-US" w:eastAsia="en-US"/>
        </w:rPr>
        <w:t xml:space="preserve"> </w:t>
      </w:r>
      <w:r w:rsidRPr="00BD77D8">
        <w:rPr>
          <w:rFonts w:eastAsia="Calibri"/>
          <w:lang w:val="en-US" w:eastAsia="en-US"/>
        </w:rPr>
        <w:t>act</w:t>
      </w:r>
      <w:r w:rsidRPr="00BD77D8">
        <w:rPr>
          <w:rFonts w:eastAsia="Calibri"/>
          <w:spacing w:val="-14"/>
          <w:lang w:val="en-US" w:eastAsia="en-US"/>
        </w:rPr>
        <w:t xml:space="preserve"> </w:t>
      </w:r>
      <w:r w:rsidRPr="00BD77D8">
        <w:rPr>
          <w:rFonts w:eastAsia="Calibri"/>
          <w:lang w:val="en-US" w:eastAsia="en-US"/>
        </w:rPr>
        <w:t>ethic</w:t>
      </w:r>
      <w:r w:rsidRPr="00BD77D8">
        <w:rPr>
          <w:rFonts w:eastAsia="Calibri"/>
          <w:spacing w:val="-1"/>
          <w:lang w:val="en-US" w:eastAsia="en-US"/>
        </w:rPr>
        <w:t>al</w:t>
      </w:r>
      <w:r w:rsidRPr="00BD77D8">
        <w:rPr>
          <w:rFonts w:eastAsia="Calibri"/>
          <w:lang w:val="en-US" w:eastAsia="en-US"/>
        </w:rPr>
        <w:t>ly</w:t>
      </w:r>
      <w:r w:rsidRPr="00BD77D8">
        <w:rPr>
          <w:rFonts w:eastAsia="Calibri"/>
          <w:spacing w:val="-15"/>
          <w:lang w:val="en-US" w:eastAsia="en-US"/>
        </w:rPr>
        <w:t xml:space="preserve"> </w:t>
      </w:r>
      <w:r w:rsidRPr="00BD77D8">
        <w:rPr>
          <w:rFonts w:eastAsia="Calibri"/>
          <w:lang w:val="en-US" w:eastAsia="en-US"/>
        </w:rPr>
        <w:t>and</w:t>
      </w:r>
      <w:r w:rsidRPr="00BD77D8">
        <w:rPr>
          <w:rFonts w:eastAsia="Calibri"/>
          <w:spacing w:val="-14"/>
          <w:lang w:val="en-US" w:eastAsia="en-US"/>
        </w:rPr>
        <w:t xml:space="preserve"> </w:t>
      </w:r>
      <w:r w:rsidRPr="00BD77D8">
        <w:rPr>
          <w:rFonts w:eastAsia="Calibri"/>
          <w:lang w:val="en-US" w:eastAsia="en-US"/>
        </w:rPr>
        <w:t>profe</w:t>
      </w:r>
      <w:r w:rsidRPr="00BD77D8">
        <w:rPr>
          <w:rFonts w:eastAsia="Calibri"/>
          <w:spacing w:val="-1"/>
          <w:lang w:val="en-US" w:eastAsia="en-US"/>
        </w:rPr>
        <w:t>ssional</w:t>
      </w:r>
      <w:r w:rsidRPr="00BD77D8">
        <w:rPr>
          <w:rFonts w:eastAsia="Calibri"/>
          <w:lang w:val="en-US" w:eastAsia="en-US"/>
        </w:rPr>
        <w:t>ly in</w:t>
      </w:r>
      <w:r w:rsidRPr="00BD77D8">
        <w:rPr>
          <w:rFonts w:eastAsia="Calibri"/>
          <w:spacing w:val="-12"/>
          <w:lang w:val="en-US" w:eastAsia="en-US"/>
        </w:rPr>
        <w:t xml:space="preserve"> </w:t>
      </w:r>
      <w:r w:rsidRPr="00BD77D8">
        <w:rPr>
          <w:rFonts w:eastAsia="Calibri"/>
          <w:lang w:val="en-US" w:eastAsia="en-US"/>
        </w:rPr>
        <w:t>their</w:t>
      </w:r>
      <w:r w:rsidRPr="00BD77D8">
        <w:rPr>
          <w:rFonts w:eastAsia="Calibri"/>
          <w:spacing w:val="-12"/>
          <w:lang w:val="en-US" w:eastAsia="en-US"/>
        </w:rPr>
        <w:t xml:space="preserve"> </w:t>
      </w:r>
      <w:r w:rsidRPr="00BD77D8">
        <w:rPr>
          <w:rFonts w:eastAsia="Calibri"/>
          <w:spacing w:val="-1"/>
          <w:lang w:val="en-US" w:eastAsia="en-US"/>
        </w:rPr>
        <w:t>d</w:t>
      </w:r>
      <w:r w:rsidRPr="00BD77D8">
        <w:rPr>
          <w:rFonts w:eastAsia="Calibri"/>
          <w:lang w:val="en-US" w:eastAsia="en-US"/>
        </w:rPr>
        <w:t>e</w:t>
      </w:r>
      <w:r w:rsidRPr="00BD77D8">
        <w:rPr>
          <w:rFonts w:eastAsia="Calibri"/>
          <w:spacing w:val="-1"/>
          <w:lang w:val="en-US" w:eastAsia="en-US"/>
        </w:rPr>
        <w:t>alings</w:t>
      </w:r>
      <w:r w:rsidRPr="00BD77D8">
        <w:rPr>
          <w:rFonts w:eastAsia="Calibri"/>
          <w:spacing w:val="-13"/>
          <w:lang w:val="en-US" w:eastAsia="en-US"/>
        </w:rPr>
        <w:t xml:space="preserve"> </w:t>
      </w:r>
      <w:r w:rsidRPr="00BD77D8">
        <w:rPr>
          <w:rFonts w:eastAsia="Calibri"/>
          <w:lang w:val="en-US" w:eastAsia="en-US"/>
        </w:rPr>
        <w:t>with</w:t>
      </w:r>
      <w:r w:rsidRPr="00BD77D8">
        <w:rPr>
          <w:rFonts w:eastAsia="Calibri"/>
          <w:spacing w:val="-11"/>
          <w:lang w:val="en-US" w:eastAsia="en-US"/>
        </w:rPr>
        <w:t xml:space="preserve"> </w:t>
      </w:r>
      <w:r w:rsidRPr="00BD77D8">
        <w:rPr>
          <w:rFonts w:eastAsia="Calibri"/>
          <w:lang w:val="en-US" w:eastAsia="en-US"/>
        </w:rPr>
        <w:t>other</w:t>
      </w:r>
      <w:r w:rsidRPr="00BD77D8">
        <w:rPr>
          <w:rFonts w:eastAsia="Calibri"/>
          <w:spacing w:val="-12"/>
          <w:lang w:val="en-US" w:eastAsia="en-US"/>
        </w:rPr>
        <w:t xml:space="preserve"> </w:t>
      </w:r>
      <w:r w:rsidRPr="00BD77D8">
        <w:rPr>
          <w:rFonts w:eastAsia="Calibri"/>
          <w:spacing w:val="-1"/>
          <w:lang w:val="en-US" w:eastAsia="en-US"/>
        </w:rPr>
        <w:t>s</w:t>
      </w:r>
      <w:r w:rsidRPr="00BD77D8">
        <w:rPr>
          <w:rFonts w:eastAsia="Calibri"/>
          <w:lang w:val="en-US" w:eastAsia="en-US"/>
        </w:rPr>
        <w:t>taff,</w:t>
      </w:r>
      <w:r w:rsidRPr="00BD77D8">
        <w:rPr>
          <w:rFonts w:eastAsia="Calibri"/>
          <w:spacing w:val="-11"/>
          <w:lang w:val="en-US" w:eastAsia="en-US"/>
        </w:rPr>
        <w:t xml:space="preserve"> </w:t>
      </w:r>
      <w:r w:rsidRPr="00BD77D8">
        <w:rPr>
          <w:rFonts w:eastAsia="Calibri"/>
          <w:spacing w:val="-1"/>
          <w:lang w:val="en-US" w:eastAsia="en-US"/>
        </w:rPr>
        <w:t>clients</w:t>
      </w:r>
      <w:r w:rsidRPr="00BD77D8">
        <w:rPr>
          <w:rFonts w:eastAsia="Calibri"/>
          <w:spacing w:val="-13"/>
          <w:lang w:val="en-US" w:eastAsia="en-US"/>
        </w:rPr>
        <w:t xml:space="preserve"> </w:t>
      </w:r>
      <w:r w:rsidRPr="00BD77D8">
        <w:rPr>
          <w:rFonts w:eastAsia="Calibri"/>
          <w:lang w:val="en-US" w:eastAsia="en-US"/>
        </w:rPr>
        <w:t>and</w:t>
      </w:r>
      <w:r w:rsidRPr="00BD77D8">
        <w:rPr>
          <w:rFonts w:eastAsia="Calibri"/>
          <w:spacing w:val="-13"/>
          <w:lang w:val="en-US" w:eastAsia="en-US"/>
        </w:rPr>
        <w:t xml:space="preserve"> </w:t>
      </w:r>
      <w:r w:rsidRPr="00BD77D8">
        <w:rPr>
          <w:rFonts w:eastAsia="Calibri"/>
          <w:spacing w:val="-1"/>
          <w:lang w:val="en-US" w:eastAsia="en-US"/>
        </w:rPr>
        <w:t>ser</w:t>
      </w:r>
      <w:r w:rsidRPr="00BD77D8">
        <w:rPr>
          <w:rFonts w:eastAsia="Calibri"/>
          <w:lang w:val="en-US" w:eastAsia="en-US"/>
        </w:rPr>
        <w:t>v</w:t>
      </w:r>
      <w:r w:rsidRPr="00BD77D8">
        <w:rPr>
          <w:rFonts w:eastAsia="Calibri"/>
          <w:spacing w:val="-1"/>
          <w:lang w:val="en-US" w:eastAsia="en-US"/>
        </w:rPr>
        <w:t>ic</w:t>
      </w:r>
      <w:r w:rsidRPr="00BD77D8">
        <w:rPr>
          <w:rFonts w:eastAsia="Calibri"/>
          <w:lang w:val="en-US" w:eastAsia="en-US"/>
        </w:rPr>
        <w:t>e</w:t>
      </w:r>
      <w:r w:rsidRPr="00BD77D8">
        <w:rPr>
          <w:rFonts w:eastAsia="Calibri"/>
          <w:spacing w:val="-12"/>
          <w:lang w:val="en-US" w:eastAsia="en-US"/>
        </w:rPr>
        <w:t xml:space="preserve"> </w:t>
      </w:r>
      <w:r w:rsidRPr="00BD77D8">
        <w:rPr>
          <w:rFonts w:eastAsia="Calibri"/>
          <w:lang w:val="en-US" w:eastAsia="en-US"/>
        </w:rPr>
        <w:t>pr</w:t>
      </w:r>
      <w:r w:rsidRPr="00BD77D8">
        <w:rPr>
          <w:rFonts w:eastAsia="Calibri"/>
          <w:spacing w:val="-1"/>
          <w:lang w:val="en-US" w:eastAsia="en-US"/>
        </w:rPr>
        <w:t>o</w:t>
      </w:r>
      <w:r w:rsidRPr="00BD77D8">
        <w:rPr>
          <w:rFonts w:eastAsia="Calibri"/>
          <w:lang w:val="en-US" w:eastAsia="en-US"/>
        </w:rPr>
        <w:t>v</w:t>
      </w:r>
      <w:r w:rsidRPr="00BD77D8">
        <w:rPr>
          <w:rFonts w:eastAsia="Calibri"/>
          <w:spacing w:val="-1"/>
          <w:lang w:val="en-US" w:eastAsia="en-US"/>
        </w:rPr>
        <w:t>id</w:t>
      </w:r>
      <w:r w:rsidRPr="00BD77D8">
        <w:rPr>
          <w:rFonts w:eastAsia="Calibri"/>
          <w:lang w:val="en-US" w:eastAsia="en-US"/>
        </w:rPr>
        <w:t>er</w:t>
      </w:r>
      <w:r w:rsidRPr="00BD77D8">
        <w:rPr>
          <w:rFonts w:eastAsia="Calibri"/>
          <w:spacing w:val="-1"/>
          <w:lang w:val="en-US" w:eastAsia="en-US"/>
        </w:rPr>
        <w:t>s.</w:t>
      </w:r>
      <w:r w:rsidR="006C0507" w:rsidRPr="00BD77D8">
        <w:t xml:space="preserve"> </w:t>
      </w:r>
      <w:r w:rsidR="006C0507" w:rsidRPr="00BD77D8">
        <w:rPr>
          <w:rFonts w:eastAsia="Calibri"/>
          <w:spacing w:val="-1"/>
          <w:lang w:val="en-US" w:eastAsia="en-US"/>
        </w:rPr>
        <w:t>The Fraud and Corruption Control Sub-Committee</w:t>
      </w:r>
      <w:r w:rsidR="00BF5F01" w:rsidRPr="00BD77D8">
        <w:rPr>
          <w:rFonts w:eastAsia="Calibri"/>
          <w:spacing w:val="-1"/>
          <w:lang w:val="en-US" w:eastAsia="en-US"/>
        </w:rPr>
        <w:t>,</w:t>
      </w:r>
      <w:r w:rsidR="006C0507" w:rsidRPr="00BD77D8">
        <w:rPr>
          <w:rFonts w:eastAsia="Calibri"/>
          <w:spacing w:val="-1"/>
          <w:lang w:val="en-US" w:eastAsia="en-US"/>
        </w:rPr>
        <w:t xml:space="preserve"> which reports to the Finance Committee, continued to exercise its mandate to provide oversight of the department’s fraud and corruption prevention program, and to monitor the effectiveness of internal controls and compliance with relevant legislation and government practice requirements, through its quarterly meetings.</w:t>
      </w:r>
    </w:p>
    <w:p w14:paraId="4E9EBB17" w14:textId="2A08847B" w:rsidR="009679A6" w:rsidRPr="00BD77D8" w:rsidRDefault="009679A6" w:rsidP="00FC76CD">
      <w:pPr>
        <w:spacing w:after="120" w:line="240" w:lineRule="auto"/>
        <w:rPr>
          <w:rFonts w:eastAsia="Calibri"/>
          <w:lang w:val="en-US" w:eastAsia="en-US"/>
        </w:rPr>
      </w:pPr>
      <w:r w:rsidRPr="00BD77D8">
        <w:rPr>
          <w:rFonts w:eastAsia="Calibri"/>
          <w:lang w:val="en-US" w:eastAsia="en-US"/>
        </w:rPr>
        <w:t>During the reporting period, the department:</w:t>
      </w:r>
    </w:p>
    <w:p w14:paraId="3A7C423D" w14:textId="4B8AD185" w:rsidR="009679A6" w:rsidRPr="00BD77D8" w:rsidRDefault="009679A6" w:rsidP="00A463E0">
      <w:pPr>
        <w:pStyle w:val="ListParagraph"/>
        <w:numPr>
          <w:ilvl w:val="0"/>
          <w:numId w:val="26"/>
        </w:numPr>
        <w:rPr>
          <w:rFonts w:eastAsia="Calibri"/>
          <w:lang w:val="en-US" w:eastAsia="en-US"/>
        </w:rPr>
      </w:pPr>
      <w:proofErr w:type="spellStart"/>
      <w:r w:rsidRPr="00BD77D8">
        <w:rPr>
          <w:rFonts w:eastAsia="Calibri"/>
          <w:lang w:val="en-US" w:eastAsia="en-US"/>
        </w:rPr>
        <w:t>finalised</w:t>
      </w:r>
      <w:proofErr w:type="spellEnd"/>
      <w:r w:rsidRPr="00BD77D8">
        <w:rPr>
          <w:rFonts w:eastAsia="Calibri"/>
          <w:lang w:val="en-US" w:eastAsia="en-US"/>
        </w:rPr>
        <w:t xml:space="preserve"> the development </w:t>
      </w:r>
      <w:r w:rsidR="006C0507" w:rsidRPr="00BD77D8">
        <w:rPr>
          <w:rFonts w:eastAsia="Calibri"/>
          <w:lang w:val="en-US" w:eastAsia="en-US"/>
        </w:rPr>
        <w:t xml:space="preserve">and publication </w:t>
      </w:r>
      <w:r w:rsidRPr="00BD77D8">
        <w:rPr>
          <w:rFonts w:eastAsia="Calibri"/>
          <w:lang w:val="en-US" w:eastAsia="en-US"/>
        </w:rPr>
        <w:t xml:space="preserve">of the department’s three-year Fraud and Corruption Control Action Plan, supported by an annual reporting regime </w:t>
      </w:r>
    </w:p>
    <w:p w14:paraId="0F5E0C8D" w14:textId="77777777" w:rsidR="006C0507" w:rsidRPr="00BD77D8" w:rsidRDefault="002D7FA9" w:rsidP="00A463E0">
      <w:pPr>
        <w:pStyle w:val="ListParagraph"/>
        <w:numPr>
          <w:ilvl w:val="0"/>
          <w:numId w:val="26"/>
        </w:numPr>
        <w:rPr>
          <w:rFonts w:eastAsia="Calibri"/>
          <w:lang w:val="en-US" w:eastAsia="en-US"/>
        </w:rPr>
      </w:pPr>
      <w:r w:rsidRPr="00BD77D8">
        <w:rPr>
          <w:rFonts w:eastAsia="Calibri"/>
          <w:lang w:val="en-US" w:eastAsia="en-US"/>
        </w:rPr>
        <w:t xml:space="preserve">continued to implement </w:t>
      </w:r>
      <w:r w:rsidR="009679A6" w:rsidRPr="00BD77D8">
        <w:rPr>
          <w:rFonts w:eastAsia="Calibri"/>
          <w:lang w:val="en-US" w:eastAsia="en-US"/>
        </w:rPr>
        <w:t xml:space="preserve">the </w:t>
      </w:r>
      <w:r w:rsidRPr="00BD77D8">
        <w:rPr>
          <w:rFonts w:eastAsia="Calibri"/>
          <w:lang w:val="en-US" w:eastAsia="en-US"/>
        </w:rPr>
        <w:t xml:space="preserve">department’s </w:t>
      </w:r>
      <w:r w:rsidR="009679A6" w:rsidRPr="00BD77D8">
        <w:rPr>
          <w:rFonts w:eastAsia="Calibri"/>
          <w:lang w:val="en-US" w:eastAsia="en-US"/>
        </w:rPr>
        <w:t xml:space="preserve">Fraud and Corruption Control Policy and Procedure through active monitoring and oversight </w:t>
      </w:r>
      <w:r w:rsidRPr="00BD77D8">
        <w:rPr>
          <w:rFonts w:eastAsia="Calibri"/>
          <w:lang w:val="en-US" w:eastAsia="en-US"/>
        </w:rPr>
        <w:t>by</w:t>
      </w:r>
      <w:r w:rsidR="009679A6" w:rsidRPr="00BD77D8">
        <w:rPr>
          <w:rFonts w:eastAsia="Calibri"/>
          <w:lang w:val="en-US" w:eastAsia="en-US"/>
        </w:rPr>
        <w:t xml:space="preserve"> the Fraud and Corruption Control Sub-Committee</w:t>
      </w:r>
    </w:p>
    <w:p w14:paraId="60E12E46" w14:textId="636E15BF" w:rsidR="006C0507" w:rsidRPr="00BD77D8" w:rsidRDefault="006C0507" w:rsidP="00A463E0">
      <w:pPr>
        <w:pStyle w:val="ListParagraph"/>
        <w:numPr>
          <w:ilvl w:val="0"/>
          <w:numId w:val="26"/>
        </w:numPr>
        <w:rPr>
          <w:rFonts w:eastAsia="Calibri"/>
          <w:lang w:val="en-US" w:eastAsia="en-US"/>
        </w:rPr>
      </w:pPr>
      <w:r w:rsidRPr="00BD77D8">
        <w:rPr>
          <w:rFonts w:eastAsia="Calibri"/>
          <w:lang w:val="en-US" w:eastAsia="en-US"/>
        </w:rPr>
        <w:lastRenderedPageBreak/>
        <w:t>develop</w:t>
      </w:r>
      <w:r w:rsidR="00BF5F01" w:rsidRPr="00BD77D8">
        <w:rPr>
          <w:rFonts w:eastAsia="Calibri"/>
          <w:lang w:val="en-US" w:eastAsia="en-US"/>
        </w:rPr>
        <w:t>ed the</w:t>
      </w:r>
      <w:r w:rsidRPr="00BD77D8">
        <w:rPr>
          <w:rFonts w:eastAsia="Calibri"/>
          <w:lang w:val="en-US" w:eastAsia="en-US"/>
        </w:rPr>
        <w:t xml:space="preserve"> fraud and corruption control risk register to support the systematic identification, assessment, review and monitoring of fraud risks within the department</w:t>
      </w:r>
    </w:p>
    <w:p w14:paraId="39B91AAE" w14:textId="4E01773C" w:rsidR="006C0507" w:rsidRPr="00BD77D8" w:rsidRDefault="006C0507" w:rsidP="00A463E0">
      <w:pPr>
        <w:pStyle w:val="ListParagraph"/>
        <w:numPr>
          <w:ilvl w:val="0"/>
          <w:numId w:val="26"/>
        </w:numPr>
        <w:rPr>
          <w:rFonts w:eastAsia="Calibri"/>
          <w:lang w:val="en-US" w:eastAsia="en-US"/>
        </w:rPr>
      </w:pPr>
      <w:r w:rsidRPr="00BD77D8">
        <w:rPr>
          <w:rFonts w:eastAsia="Calibri"/>
          <w:lang w:val="en-US" w:eastAsia="en-US"/>
        </w:rPr>
        <w:t>continued to prepare quarterly fraud and corruption control risk register reports to provide the Finance Committee with assurance that the department’s fraud risks are adequately being managed and monitored</w:t>
      </w:r>
    </w:p>
    <w:p w14:paraId="0D416A98" w14:textId="7D5BB2D4" w:rsidR="006C0507" w:rsidRPr="00BD77D8" w:rsidRDefault="006C0507" w:rsidP="00A463E0">
      <w:pPr>
        <w:pStyle w:val="ListParagraph"/>
        <w:numPr>
          <w:ilvl w:val="0"/>
          <w:numId w:val="26"/>
        </w:numPr>
        <w:rPr>
          <w:rFonts w:eastAsia="Calibri"/>
          <w:lang w:val="en-US" w:eastAsia="en-US"/>
        </w:rPr>
      </w:pPr>
      <w:r w:rsidRPr="00BD77D8">
        <w:rPr>
          <w:rFonts w:eastAsia="Calibri"/>
          <w:lang w:val="en-US" w:eastAsia="en-US"/>
        </w:rPr>
        <w:t xml:space="preserve">completed the fraud and corruption control self-assessment to evaluate the effectiveness of the department’s fraud and corruption controls following the </w:t>
      </w:r>
      <w:r w:rsidR="00D51A9A" w:rsidRPr="00BD77D8">
        <w:rPr>
          <w:rFonts w:eastAsia="Calibri"/>
          <w:lang w:val="en-US" w:eastAsia="en-US"/>
        </w:rPr>
        <w:t>m</w:t>
      </w:r>
      <w:r w:rsidRPr="00BD77D8">
        <w:rPr>
          <w:rFonts w:eastAsia="Calibri"/>
          <w:lang w:val="en-US" w:eastAsia="en-US"/>
        </w:rPr>
        <w:t>achinery-of-</w:t>
      </w:r>
      <w:r w:rsidR="00D51A9A" w:rsidRPr="00BD77D8">
        <w:rPr>
          <w:rFonts w:eastAsia="Calibri"/>
          <w:lang w:val="en-US" w:eastAsia="en-US"/>
        </w:rPr>
        <w:t>g</w:t>
      </w:r>
      <w:r w:rsidRPr="00BD77D8">
        <w:rPr>
          <w:rFonts w:eastAsia="Calibri"/>
          <w:lang w:val="en-US" w:eastAsia="en-US"/>
        </w:rPr>
        <w:t>overnment changes</w:t>
      </w:r>
    </w:p>
    <w:p w14:paraId="21A2F37B" w14:textId="50EBED9D" w:rsidR="006C0507" w:rsidRPr="00BD77D8" w:rsidRDefault="006C0507" w:rsidP="00A463E0">
      <w:pPr>
        <w:pStyle w:val="ListParagraph"/>
        <w:numPr>
          <w:ilvl w:val="0"/>
          <w:numId w:val="26"/>
        </w:numPr>
        <w:rPr>
          <w:rFonts w:eastAsia="Calibri"/>
          <w:lang w:val="en-US" w:eastAsia="en-US"/>
        </w:rPr>
      </w:pPr>
      <w:r w:rsidRPr="00BD77D8">
        <w:rPr>
          <w:rFonts w:eastAsia="Calibri"/>
          <w:lang w:val="en-US" w:eastAsia="en-US"/>
        </w:rPr>
        <w:t xml:space="preserve">ensured alignment of the department’s Fraud and Corruption Control program with the requirements of the new Australian Standard on Fraud and Corruption Control (AS 8001:2021) </w:t>
      </w:r>
    </w:p>
    <w:p w14:paraId="4C05F2AE" w14:textId="573F2A2D" w:rsidR="009679A6" w:rsidRPr="00BD77D8" w:rsidRDefault="006C0507" w:rsidP="00A463E0">
      <w:pPr>
        <w:pStyle w:val="ListParagraph"/>
        <w:numPr>
          <w:ilvl w:val="0"/>
          <w:numId w:val="26"/>
        </w:numPr>
        <w:rPr>
          <w:rFonts w:eastAsia="Calibri"/>
          <w:lang w:val="en-US" w:eastAsia="en-US"/>
        </w:rPr>
      </w:pPr>
      <w:r w:rsidRPr="00BD77D8">
        <w:rPr>
          <w:rFonts w:eastAsia="Calibri"/>
          <w:lang w:val="en-US" w:eastAsia="en-US"/>
        </w:rPr>
        <w:t xml:space="preserve">strengthened its resilience to fraud and corruption through regular monitoring by the Fraud and Corruption Control Sub-Committee </w:t>
      </w:r>
      <w:r w:rsidR="00CD7263" w:rsidRPr="00BD77D8">
        <w:rPr>
          <w:rFonts w:eastAsia="Calibri"/>
          <w:lang w:val="en-US" w:eastAsia="en-US"/>
        </w:rPr>
        <w:t>and</w:t>
      </w:r>
      <w:r w:rsidRPr="00BD77D8">
        <w:rPr>
          <w:rFonts w:eastAsia="Calibri"/>
          <w:lang w:val="en-US" w:eastAsia="en-US"/>
        </w:rPr>
        <w:t xml:space="preserve"> the implementation of a variety of training and awareness raising strategies (</w:t>
      </w:r>
      <w:proofErr w:type="gramStart"/>
      <w:r w:rsidRPr="00BD77D8">
        <w:rPr>
          <w:rFonts w:eastAsia="Calibri"/>
          <w:lang w:val="en-US" w:eastAsia="en-US"/>
        </w:rPr>
        <w:t>e.g.</w:t>
      </w:r>
      <w:proofErr w:type="gramEnd"/>
      <w:r w:rsidRPr="00BD77D8">
        <w:rPr>
          <w:rFonts w:eastAsia="Calibri"/>
          <w:lang w:val="en-US" w:eastAsia="en-US"/>
        </w:rPr>
        <w:t xml:space="preserve"> information security awareness campaign) to foster an ethical </w:t>
      </w:r>
      <w:proofErr w:type="spellStart"/>
      <w:r w:rsidRPr="00BD77D8">
        <w:rPr>
          <w:rFonts w:eastAsia="Calibri"/>
          <w:lang w:val="en-US" w:eastAsia="en-US"/>
        </w:rPr>
        <w:t>organisational</w:t>
      </w:r>
      <w:proofErr w:type="spellEnd"/>
      <w:r w:rsidRPr="00BD77D8">
        <w:rPr>
          <w:rFonts w:eastAsia="Calibri"/>
          <w:lang w:val="en-US" w:eastAsia="en-US"/>
        </w:rPr>
        <w:t xml:space="preserve"> culture</w:t>
      </w:r>
      <w:r w:rsidR="009679A6" w:rsidRPr="00BD77D8">
        <w:rPr>
          <w:rFonts w:eastAsia="Calibri"/>
          <w:lang w:val="en-US" w:eastAsia="en-US"/>
        </w:rPr>
        <w:t xml:space="preserve">. </w:t>
      </w:r>
    </w:p>
    <w:p w14:paraId="36C87BD1" w14:textId="7ABBB312" w:rsidR="00286F3B" w:rsidRPr="00BD77D8" w:rsidRDefault="009679A6" w:rsidP="00286F3B">
      <w:pPr>
        <w:pStyle w:val="Heading2"/>
        <w:rPr>
          <w:b/>
          <w:bCs w:val="0"/>
          <w:color w:val="auto"/>
          <w:sz w:val="20"/>
          <w:szCs w:val="20"/>
        </w:rPr>
      </w:pPr>
      <w:bookmarkStart w:id="284" w:name="_Toc78287403"/>
      <w:bookmarkStart w:id="285" w:name="_Toc78355810"/>
      <w:bookmarkStart w:id="286" w:name="_Toc113544403"/>
      <w:bookmarkEnd w:id="280"/>
      <w:r w:rsidRPr="00BD77D8">
        <w:rPr>
          <w:color w:val="auto"/>
        </w:rPr>
        <w:t>Information systems and recordkeeping</w:t>
      </w:r>
      <w:bookmarkEnd w:id="284"/>
      <w:bookmarkEnd w:id="285"/>
      <w:bookmarkEnd w:id="286"/>
      <w:r w:rsidRPr="00BD77D8">
        <w:rPr>
          <w:color w:val="auto"/>
        </w:rPr>
        <w:t xml:space="preserve"> </w:t>
      </w:r>
    </w:p>
    <w:p w14:paraId="5833ABB7" w14:textId="0DC02081" w:rsidR="009679A6" w:rsidRPr="00BD77D8" w:rsidRDefault="009679A6" w:rsidP="009679A6">
      <w:pPr>
        <w:rPr>
          <w:rFonts w:eastAsia="Calibri"/>
          <w:lang w:val="en-US" w:eastAsia="en-US"/>
        </w:rPr>
      </w:pPr>
      <w:r w:rsidRPr="00BD77D8">
        <w:rPr>
          <w:rFonts w:eastAsia="Calibri"/>
          <w:lang w:val="en-US" w:eastAsia="en-US"/>
        </w:rPr>
        <w:t>The</w:t>
      </w:r>
      <w:r w:rsidRPr="00BD77D8">
        <w:rPr>
          <w:rFonts w:eastAsia="Calibri"/>
          <w:spacing w:val="-22"/>
          <w:lang w:val="en-US" w:eastAsia="en-US"/>
        </w:rPr>
        <w:t xml:space="preserve"> </w:t>
      </w:r>
      <w:r w:rsidRPr="00BD77D8">
        <w:rPr>
          <w:rFonts w:eastAsia="Calibri"/>
          <w:spacing w:val="-1"/>
          <w:lang w:val="en-US" w:eastAsia="en-US"/>
        </w:rPr>
        <w:t>dep</w:t>
      </w:r>
      <w:r w:rsidRPr="00BD77D8">
        <w:rPr>
          <w:rFonts w:eastAsia="Calibri"/>
          <w:spacing w:val="-2"/>
          <w:lang w:val="en-US" w:eastAsia="en-US"/>
        </w:rPr>
        <w:t>artment’s</w:t>
      </w:r>
      <w:r w:rsidRPr="00BD77D8">
        <w:rPr>
          <w:rFonts w:eastAsia="Calibri"/>
          <w:spacing w:val="-22"/>
          <w:lang w:val="en-US" w:eastAsia="en-US"/>
        </w:rPr>
        <w:t xml:space="preserve"> </w:t>
      </w:r>
      <w:r w:rsidRPr="00BD77D8">
        <w:rPr>
          <w:rFonts w:eastAsia="Calibri"/>
          <w:spacing w:val="-2"/>
          <w:lang w:val="en-US" w:eastAsia="en-US"/>
        </w:rPr>
        <w:t>information</w:t>
      </w:r>
      <w:r w:rsidRPr="00BD77D8">
        <w:rPr>
          <w:rFonts w:eastAsia="Calibri"/>
          <w:spacing w:val="-22"/>
          <w:lang w:val="en-US" w:eastAsia="en-US"/>
        </w:rPr>
        <w:t xml:space="preserve"> </w:t>
      </w:r>
      <w:r w:rsidRPr="00BD77D8">
        <w:rPr>
          <w:rFonts w:eastAsia="Calibri"/>
          <w:lang w:val="en-US" w:eastAsia="en-US"/>
        </w:rPr>
        <w:t>and</w:t>
      </w:r>
      <w:r w:rsidRPr="00BD77D8">
        <w:rPr>
          <w:rFonts w:eastAsia="Calibri"/>
          <w:spacing w:val="-22"/>
          <w:lang w:val="en-US" w:eastAsia="en-US"/>
        </w:rPr>
        <w:t xml:space="preserve"> </w:t>
      </w:r>
      <w:r w:rsidRPr="00BD77D8">
        <w:rPr>
          <w:rFonts w:eastAsia="Calibri"/>
          <w:spacing w:val="-1"/>
          <w:lang w:val="en-US" w:eastAsia="en-US"/>
        </w:rPr>
        <w:t>c</w:t>
      </w:r>
      <w:r w:rsidRPr="00BD77D8">
        <w:rPr>
          <w:rFonts w:eastAsia="Calibri"/>
          <w:spacing w:val="-2"/>
          <w:lang w:val="en-US" w:eastAsia="en-US"/>
        </w:rPr>
        <w:t>ommu</w:t>
      </w:r>
      <w:r w:rsidRPr="00BD77D8">
        <w:rPr>
          <w:rFonts w:eastAsia="Calibri"/>
          <w:spacing w:val="-1"/>
          <w:lang w:val="en-US" w:eastAsia="en-US"/>
        </w:rPr>
        <w:t>nic</w:t>
      </w:r>
      <w:r w:rsidRPr="00BD77D8">
        <w:rPr>
          <w:rFonts w:eastAsia="Calibri"/>
          <w:spacing w:val="-2"/>
          <w:lang w:val="en-US" w:eastAsia="en-US"/>
        </w:rPr>
        <w:t>ation</w:t>
      </w:r>
      <w:r w:rsidRPr="00BD77D8">
        <w:rPr>
          <w:rFonts w:eastAsia="Calibri"/>
          <w:spacing w:val="-22"/>
          <w:lang w:val="en-US" w:eastAsia="en-US"/>
        </w:rPr>
        <w:t xml:space="preserve"> </w:t>
      </w:r>
      <w:r w:rsidRPr="00BD77D8">
        <w:rPr>
          <w:rFonts w:eastAsia="Calibri"/>
          <w:spacing w:val="-2"/>
          <w:lang w:val="en-US" w:eastAsia="en-US"/>
        </w:rPr>
        <w:t>tec</w:t>
      </w:r>
      <w:r w:rsidRPr="00BD77D8">
        <w:rPr>
          <w:rFonts w:eastAsia="Calibri"/>
          <w:spacing w:val="-1"/>
          <w:lang w:val="en-US" w:eastAsia="en-US"/>
        </w:rPr>
        <w:t>hnolog</w:t>
      </w:r>
      <w:r w:rsidRPr="00BD77D8">
        <w:rPr>
          <w:rFonts w:eastAsia="Calibri"/>
          <w:spacing w:val="-2"/>
          <w:lang w:val="en-US" w:eastAsia="en-US"/>
        </w:rPr>
        <w:t>y</w:t>
      </w:r>
      <w:r w:rsidR="00D51A9A" w:rsidRPr="00BD77D8">
        <w:rPr>
          <w:rFonts w:eastAsia="Calibri"/>
          <w:spacing w:val="-2"/>
          <w:lang w:val="en-US" w:eastAsia="en-US"/>
        </w:rPr>
        <w:t>-</w:t>
      </w:r>
      <w:r w:rsidRPr="00BD77D8">
        <w:rPr>
          <w:rFonts w:eastAsia="Calibri"/>
          <w:spacing w:val="-2"/>
          <w:lang w:val="en-US" w:eastAsia="en-US"/>
        </w:rPr>
        <w:t>en</w:t>
      </w:r>
      <w:r w:rsidRPr="00BD77D8">
        <w:rPr>
          <w:rFonts w:eastAsia="Calibri"/>
          <w:spacing w:val="-1"/>
          <w:lang w:val="en-US" w:eastAsia="en-US"/>
        </w:rPr>
        <w:t>abled</w:t>
      </w:r>
      <w:r w:rsidRPr="00BD77D8">
        <w:rPr>
          <w:rFonts w:eastAsia="Calibri"/>
          <w:spacing w:val="-13"/>
          <w:lang w:val="en-US" w:eastAsia="en-US"/>
        </w:rPr>
        <w:t xml:space="preserve"> </w:t>
      </w:r>
      <w:r w:rsidRPr="00BD77D8">
        <w:rPr>
          <w:rFonts w:eastAsia="Calibri"/>
          <w:spacing w:val="-1"/>
          <w:lang w:val="en-US" w:eastAsia="en-US"/>
        </w:rPr>
        <w:t>business</w:t>
      </w:r>
      <w:r w:rsidRPr="00BD77D8">
        <w:rPr>
          <w:rFonts w:eastAsia="Calibri"/>
          <w:spacing w:val="-12"/>
          <w:lang w:val="en-US" w:eastAsia="en-US"/>
        </w:rPr>
        <w:t xml:space="preserve"> </w:t>
      </w:r>
      <w:r w:rsidRPr="00BD77D8">
        <w:rPr>
          <w:rFonts w:eastAsia="Calibri"/>
          <w:spacing w:val="-2"/>
          <w:lang w:val="en-US" w:eastAsia="en-US"/>
        </w:rPr>
        <w:t>initiative</w:t>
      </w:r>
      <w:r w:rsidRPr="00BD77D8">
        <w:rPr>
          <w:rFonts w:eastAsia="Calibri"/>
          <w:spacing w:val="-1"/>
          <w:lang w:val="en-US" w:eastAsia="en-US"/>
        </w:rPr>
        <w:t>s</w:t>
      </w:r>
      <w:r w:rsidRPr="00BD77D8">
        <w:rPr>
          <w:rFonts w:eastAsia="Calibri"/>
          <w:spacing w:val="-12"/>
          <w:lang w:val="en-US" w:eastAsia="en-US"/>
        </w:rPr>
        <w:t xml:space="preserve"> </w:t>
      </w:r>
      <w:r w:rsidRPr="00BD77D8">
        <w:rPr>
          <w:rFonts w:eastAsia="Calibri"/>
          <w:lang w:val="en-US" w:eastAsia="en-US"/>
        </w:rPr>
        <w:t>are</w:t>
      </w:r>
      <w:r w:rsidRPr="00BD77D8">
        <w:rPr>
          <w:rFonts w:eastAsia="Calibri"/>
          <w:spacing w:val="-11"/>
          <w:lang w:val="en-US" w:eastAsia="en-US"/>
        </w:rPr>
        <w:t xml:space="preserve"> </w:t>
      </w:r>
      <w:r w:rsidRPr="00BD77D8">
        <w:rPr>
          <w:rFonts w:eastAsia="Calibri"/>
          <w:spacing w:val="-2"/>
          <w:lang w:val="en-US" w:eastAsia="en-US"/>
        </w:rPr>
        <w:t>pr</w:t>
      </w:r>
      <w:r w:rsidRPr="00BD77D8">
        <w:rPr>
          <w:rFonts w:eastAsia="Calibri"/>
          <w:spacing w:val="-1"/>
          <w:lang w:val="en-US" w:eastAsia="en-US"/>
        </w:rPr>
        <w:t>o</w:t>
      </w:r>
      <w:r w:rsidRPr="00BD77D8">
        <w:rPr>
          <w:rFonts w:eastAsia="Calibri"/>
          <w:spacing w:val="-2"/>
          <w:lang w:val="en-US" w:eastAsia="en-US"/>
        </w:rPr>
        <w:t>v</w:t>
      </w:r>
      <w:r w:rsidRPr="00BD77D8">
        <w:rPr>
          <w:rFonts w:eastAsia="Calibri"/>
          <w:spacing w:val="-1"/>
          <w:lang w:val="en-US" w:eastAsia="en-US"/>
        </w:rPr>
        <w:t>ided</w:t>
      </w:r>
      <w:r w:rsidRPr="00BD77D8">
        <w:rPr>
          <w:rFonts w:eastAsia="Calibri"/>
          <w:spacing w:val="-12"/>
          <w:lang w:val="en-US" w:eastAsia="en-US"/>
        </w:rPr>
        <w:t xml:space="preserve"> </w:t>
      </w:r>
      <w:r w:rsidRPr="00BD77D8">
        <w:rPr>
          <w:rFonts w:eastAsia="Calibri"/>
          <w:spacing w:val="-1"/>
          <w:lang w:val="en-US" w:eastAsia="en-US"/>
        </w:rPr>
        <w:t>b</w:t>
      </w:r>
      <w:r w:rsidRPr="00BD77D8">
        <w:rPr>
          <w:rFonts w:eastAsia="Calibri"/>
          <w:spacing w:val="-2"/>
          <w:lang w:val="en-US" w:eastAsia="en-US"/>
        </w:rPr>
        <w:t>y</w:t>
      </w:r>
      <w:r w:rsidRPr="00BD77D8">
        <w:rPr>
          <w:rFonts w:eastAsia="Calibri"/>
          <w:spacing w:val="-12"/>
          <w:lang w:val="en-US" w:eastAsia="en-US"/>
        </w:rPr>
        <w:t xml:space="preserve"> </w:t>
      </w:r>
      <w:r w:rsidRPr="00BD77D8">
        <w:rPr>
          <w:rFonts w:eastAsia="Calibri"/>
          <w:lang w:val="en-US" w:eastAsia="en-US"/>
        </w:rPr>
        <w:t>the</w:t>
      </w:r>
      <w:r w:rsidRPr="00BD77D8">
        <w:rPr>
          <w:rFonts w:eastAsia="Calibri"/>
          <w:spacing w:val="-11"/>
          <w:lang w:val="en-US" w:eastAsia="en-US"/>
        </w:rPr>
        <w:t xml:space="preserve"> </w:t>
      </w:r>
      <w:r w:rsidRPr="00BD77D8">
        <w:rPr>
          <w:rFonts w:eastAsia="Calibri"/>
          <w:lang w:val="en-US" w:eastAsia="en-US"/>
        </w:rPr>
        <w:t>Department</w:t>
      </w:r>
      <w:r w:rsidRPr="00BD77D8">
        <w:rPr>
          <w:rFonts w:eastAsia="Calibri"/>
          <w:spacing w:val="29"/>
          <w:w w:val="95"/>
          <w:lang w:val="en-US" w:eastAsia="en-US"/>
        </w:rPr>
        <w:t xml:space="preserve"> </w:t>
      </w:r>
      <w:r w:rsidRPr="00BD77D8">
        <w:rPr>
          <w:rFonts w:eastAsia="Calibri"/>
          <w:lang w:val="en-US" w:eastAsia="en-US"/>
        </w:rPr>
        <w:t xml:space="preserve">of Children, Youth Justice and Multicultural Affairs </w:t>
      </w:r>
      <w:r w:rsidR="007201BC" w:rsidRPr="00BD77D8">
        <w:rPr>
          <w:rFonts w:eastAsia="Calibri"/>
          <w:lang w:val="en-US" w:eastAsia="en-US"/>
        </w:rPr>
        <w:t xml:space="preserve">(DCYJMA) </w:t>
      </w:r>
      <w:r w:rsidRPr="00BD77D8">
        <w:rPr>
          <w:rFonts w:eastAsia="Calibri"/>
          <w:lang w:val="en-US" w:eastAsia="en-US"/>
        </w:rPr>
        <w:t>as part</w:t>
      </w:r>
      <w:r w:rsidRPr="00BD77D8">
        <w:rPr>
          <w:rFonts w:eastAsia="Calibri"/>
          <w:spacing w:val="-13"/>
          <w:lang w:val="en-US" w:eastAsia="en-US"/>
        </w:rPr>
        <w:t xml:space="preserve"> </w:t>
      </w:r>
      <w:r w:rsidRPr="00BD77D8">
        <w:rPr>
          <w:rFonts w:eastAsia="Calibri"/>
          <w:lang w:val="en-US" w:eastAsia="en-US"/>
        </w:rPr>
        <w:t>of</w:t>
      </w:r>
      <w:r w:rsidRPr="00BD77D8">
        <w:rPr>
          <w:rFonts w:eastAsia="Calibri"/>
          <w:spacing w:val="-12"/>
          <w:lang w:val="en-US" w:eastAsia="en-US"/>
        </w:rPr>
        <w:t xml:space="preserve"> </w:t>
      </w:r>
      <w:r w:rsidRPr="00BD77D8">
        <w:rPr>
          <w:rFonts w:eastAsia="Calibri"/>
          <w:lang w:val="en-US" w:eastAsia="en-US"/>
        </w:rPr>
        <w:t>an</w:t>
      </w:r>
      <w:r w:rsidRPr="00BD77D8">
        <w:rPr>
          <w:rFonts w:eastAsia="Calibri"/>
          <w:spacing w:val="-11"/>
          <w:lang w:val="en-US" w:eastAsia="en-US"/>
        </w:rPr>
        <w:t xml:space="preserve"> </w:t>
      </w:r>
      <w:r w:rsidRPr="00BD77D8">
        <w:rPr>
          <w:rFonts w:eastAsia="Calibri"/>
          <w:spacing w:val="-1"/>
          <w:lang w:val="en-US" w:eastAsia="en-US"/>
        </w:rPr>
        <w:t>o</w:t>
      </w:r>
      <w:r w:rsidRPr="00BD77D8">
        <w:rPr>
          <w:rFonts w:eastAsia="Calibri"/>
          <w:spacing w:val="-2"/>
          <w:lang w:val="en-US" w:eastAsia="en-US"/>
        </w:rPr>
        <w:t>ver</w:t>
      </w:r>
      <w:r w:rsidRPr="00BD77D8">
        <w:rPr>
          <w:rFonts w:eastAsia="Calibri"/>
          <w:spacing w:val="-1"/>
          <w:lang w:val="en-US" w:eastAsia="en-US"/>
        </w:rPr>
        <w:t>arching</w:t>
      </w:r>
      <w:r w:rsidRPr="00BD77D8">
        <w:rPr>
          <w:rFonts w:eastAsia="Calibri"/>
          <w:spacing w:val="37"/>
          <w:w w:val="105"/>
          <w:lang w:val="en-US" w:eastAsia="en-US"/>
        </w:rPr>
        <w:t xml:space="preserve"> </w:t>
      </w:r>
      <w:r w:rsidRPr="00BD77D8">
        <w:rPr>
          <w:rFonts w:eastAsia="Calibri"/>
          <w:spacing w:val="-2"/>
          <w:lang w:val="en-US" w:eastAsia="en-US"/>
        </w:rPr>
        <w:t>Memor</w:t>
      </w:r>
      <w:r w:rsidRPr="00BD77D8">
        <w:rPr>
          <w:rFonts w:eastAsia="Calibri"/>
          <w:spacing w:val="-1"/>
          <w:lang w:val="en-US" w:eastAsia="en-US"/>
        </w:rPr>
        <w:t>andu</w:t>
      </w:r>
      <w:r w:rsidRPr="00BD77D8">
        <w:rPr>
          <w:rFonts w:eastAsia="Calibri"/>
          <w:spacing w:val="-2"/>
          <w:lang w:val="en-US" w:eastAsia="en-US"/>
        </w:rPr>
        <w:t>m</w:t>
      </w:r>
      <w:r w:rsidRPr="00BD77D8">
        <w:rPr>
          <w:rFonts w:eastAsia="Calibri"/>
          <w:spacing w:val="-20"/>
          <w:lang w:val="en-US" w:eastAsia="en-US"/>
        </w:rPr>
        <w:t xml:space="preserve"> </w:t>
      </w:r>
      <w:r w:rsidRPr="00BD77D8">
        <w:rPr>
          <w:rFonts w:eastAsia="Calibri"/>
          <w:lang w:val="en-US" w:eastAsia="en-US"/>
        </w:rPr>
        <w:t>of</w:t>
      </w:r>
      <w:r w:rsidRPr="00BD77D8">
        <w:rPr>
          <w:rFonts w:eastAsia="Calibri"/>
          <w:spacing w:val="-21"/>
          <w:lang w:val="en-US" w:eastAsia="en-US"/>
        </w:rPr>
        <w:t xml:space="preserve"> </w:t>
      </w:r>
      <w:r w:rsidRPr="00BD77D8">
        <w:rPr>
          <w:rFonts w:eastAsia="Calibri"/>
          <w:spacing w:val="-2"/>
          <w:lang w:val="en-US" w:eastAsia="en-US"/>
        </w:rPr>
        <w:t>Under</w:t>
      </w:r>
      <w:r w:rsidRPr="00BD77D8">
        <w:rPr>
          <w:rFonts w:eastAsia="Calibri"/>
          <w:spacing w:val="-1"/>
          <w:lang w:val="en-US" w:eastAsia="en-US"/>
        </w:rPr>
        <w:t>s</w:t>
      </w:r>
      <w:r w:rsidRPr="00BD77D8">
        <w:rPr>
          <w:rFonts w:eastAsia="Calibri"/>
          <w:spacing w:val="-2"/>
          <w:lang w:val="en-US" w:eastAsia="en-US"/>
        </w:rPr>
        <w:t>t</w:t>
      </w:r>
      <w:r w:rsidRPr="00BD77D8">
        <w:rPr>
          <w:rFonts w:eastAsia="Calibri"/>
          <w:spacing w:val="-1"/>
          <w:lang w:val="en-US" w:eastAsia="en-US"/>
        </w:rPr>
        <w:t>anding</w:t>
      </w:r>
      <w:r w:rsidRPr="00BD77D8">
        <w:rPr>
          <w:rFonts w:eastAsia="Calibri"/>
          <w:spacing w:val="-19"/>
          <w:lang w:val="en-US" w:eastAsia="en-US"/>
        </w:rPr>
        <w:t xml:space="preserve"> </w:t>
      </w:r>
      <w:r w:rsidRPr="00BD77D8">
        <w:rPr>
          <w:rFonts w:eastAsia="Calibri"/>
          <w:spacing w:val="-2"/>
          <w:lang w:val="en-US" w:eastAsia="en-US"/>
        </w:rPr>
        <w:t>for</w:t>
      </w:r>
      <w:r w:rsidRPr="00BD77D8">
        <w:rPr>
          <w:rFonts w:eastAsia="Calibri"/>
          <w:spacing w:val="-20"/>
          <w:lang w:val="en-US" w:eastAsia="en-US"/>
        </w:rPr>
        <w:t xml:space="preserve"> </w:t>
      </w:r>
      <w:r w:rsidRPr="00BD77D8">
        <w:rPr>
          <w:rFonts w:eastAsia="Calibri"/>
          <w:lang w:val="en-US" w:eastAsia="en-US"/>
        </w:rPr>
        <w:t>the</w:t>
      </w:r>
      <w:r w:rsidRPr="00BD77D8">
        <w:rPr>
          <w:rFonts w:eastAsia="Calibri"/>
          <w:spacing w:val="-20"/>
          <w:lang w:val="en-US" w:eastAsia="en-US"/>
        </w:rPr>
        <w:t xml:space="preserve"> </w:t>
      </w:r>
      <w:r w:rsidRPr="00BD77D8">
        <w:rPr>
          <w:rFonts w:eastAsia="Calibri"/>
          <w:spacing w:val="-2"/>
          <w:lang w:val="en-US" w:eastAsia="en-US"/>
        </w:rPr>
        <w:t>pr</w:t>
      </w:r>
      <w:r w:rsidRPr="00BD77D8">
        <w:rPr>
          <w:rFonts w:eastAsia="Calibri"/>
          <w:spacing w:val="-1"/>
          <w:lang w:val="en-US" w:eastAsia="en-US"/>
        </w:rPr>
        <w:t>o</w:t>
      </w:r>
      <w:r w:rsidRPr="00BD77D8">
        <w:rPr>
          <w:rFonts w:eastAsia="Calibri"/>
          <w:spacing w:val="-2"/>
          <w:lang w:val="en-US" w:eastAsia="en-US"/>
        </w:rPr>
        <w:t>v</w:t>
      </w:r>
      <w:r w:rsidRPr="00BD77D8">
        <w:rPr>
          <w:rFonts w:eastAsia="Calibri"/>
          <w:spacing w:val="-1"/>
          <w:lang w:val="en-US" w:eastAsia="en-US"/>
        </w:rPr>
        <w:t>ision</w:t>
      </w:r>
      <w:r w:rsidRPr="00BD77D8">
        <w:rPr>
          <w:rFonts w:eastAsia="Calibri"/>
          <w:spacing w:val="-19"/>
          <w:lang w:val="en-US" w:eastAsia="en-US"/>
        </w:rPr>
        <w:t xml:space="preserve"> </w:t>
      </w:r>
      <w:r w:rsidRPr="00BD77D8">
        <w:rPr>
          <w:rFonts w:eastAsia="Calibri"/>
          <w:lang w:val="en-US" w:eastAsia="en-US"/>
        </w:rPr>
        <w:t>of</w:t>
      </w:r>
      <w:r w:rsidRPr="00BD77D8">
        <w:rPr>
          <w:rFonts w:eastAsia="Calibri"/>
          <w:spacing w:val="-21"/>
          <w:lang w:val="en-US" w:eastAsia="en-US"/>
        </w:rPr>
        <w:t xml:space="preserve"> </w:t>
      </w:r>
      <w:r w:rsidRPr="00BD77D8">
        <w:rPr>
          <w:rFonts w:eastAsia="Calibri"/>
          <w:spacing w:val="-1"/>
          <w:lang w:val="en-US" w:eastAsia="en-US"/>
        </w:rPr>
        <w:t>c</w:t>
      </w:r>
      <w:r w:rsidRPr="00BD77D8">
        <w:rPr>
          <w:rFonts w:eastAsia="Calibri"/>
          <w:spacing w:val="-2"/>
          <w:lang w:val="en-US" w:eastAsia="en-US"/>
        </w:rPr>
        <w:t>orporate</w:t>
      </w:r>
      <w:r w:rsidR="004767D6" w:rsidRPr="00BD77D8">
        <w:rPr>
          <w:rFonts w:eastAsia="Calibri"/>
          <w:spacing w:val="-2"/>
          <w:lang w:val="en-US" w:eastAsia="en-US"/>
        </w:rPr>
        <w:t xml:space="preserve"> </w:t>
      </w:r>
      <w:r w:rsidRPr="00BD77D8">
        <w:rPr>
          <w:rFonts w:eastAsia="Calibri"/>
          <w:spacing w:val="-1"/>
          <w:lang w:val="en-US" w:eastAsia="en-US"/>
        </w:rPr>
        <w:t>ser</w:t>
      </w:r>
      <w:r w:rsidRPr="00BD77D8">
        <w:rPr>
          <w:rFonts w:eastAsia="Calibri"/>
          <w:spacing w:val="-2"/>
          <w:lang w:val="en-US" w:eastAsia="en-US"/>
        </w:rPr>
        <w:t>v</w:t>
      </w:r>
      <w:r w:rsidRPr="00BD77D8">
        <w:rPr>
          <w:rFonts w:eastAsia="Calibri"/>
          <w:spacing w:val="-1"/>
          <w:lang w:val="en-US" w:eastAsia="en-US"/>
        </w:rPr>
        <w:t>ic</w:t>
      </w:r>
      <w:r w:rsidRPr="00BD77D8">
        <w:rPr>
          <w:rFonts w:eastAsia="Calibri"/>
          <w:spacing w:val="-2"/>
          <w:lang w:val="en-US" w:eastAsia="en-US"/>
        </w:rPr>
        <w:t>e</w:t>
      </w:r>
      <w:r w:rsidRPr="00BD77D8">
        <w:rPr>
          <w:rFonts w:eastAsia="Calibri"/>
          <w:spacing w:val="-1"/>
          <w:lang w:val="en-US" w:eastAsia="en-US"/>
        </w:rPr>
        <w:t>s.</w:t>
      </w:r>
    </w:p>
    <w:p w14:paraId="514F70A2" w14:textId="6C7D50E3" w:rsidR="009679A6" w:rsidRPr="00BD77D8" w:rsidRDefault="009679A6" w:rsidP="009679A6">
      <w:pPr>
        <w:rPr>
          <w:rFonts w:eastAsia="Calibri"/>
          <w:spacing w:val="-2"/>
          <w:lang w:val="en-US" w:eastAsia="en-US"/>
        </w:rPr>
      </w:pPr>
      <w:r w:rsidRPr="00BD77D8">
        <w:rPr>
          <w:rFonts w:eastAsia="Calibri"/>
          <w:lang w:val="en-US" w:eastAsia="en-US"/>
        </w:rPr>
        <w:t>The</w:t>
      </w:r>
      <w:r w:rsidRPr="00BD77D8">
        <w:rPr>
          <w:rFonts w:eastAsia="Calibri"/>
          <w:spacing w:val="-23"/>
          <w:lang w:val="en-US" w:eastAsia="en-US"/>
        </w:rPr>
        <w:t xml:space="preserve"> </w:t>
      </w:r>
      <w:r w:rsidRPr="00BD77D8">
        <w:rPr>
          <w:rFonts w:eastAsia="Calibri"/>
          <w:spacing w:val="-1"/>
          <w:lang w:val="en-US" w:eastAsia="en-US"/>
        </w:rPr>
        <w:t>dep</w:t>
      </w:r>
      <w:r w:rsidRPr="00BD77D8">
        <w:rPr>
          <w:rFonts w:eastAsia="Calibri"/>
          <w:spacing w:val="-2"/>
          <w:lang w:val="en-US" w:eastAsia="en-US"/>
        </w:rPr>
        <w:t>artment</w:t>
      </w:r>
      <w:r w:rsidRPr="00BD77D8">
        <w:rPr>
          <w:rFonts w:eastAsia="Calibri"/>
          <w:spacing w:val="-24"/>
          <w:lang w:val="en-US" w:eastAsia="en-US"/>
        </w:rPr>
        <w:t xml:space="preserve"> </w:t>
      </w:r>
      <w:r w:rsidRPr="00BD77D8">
        <w:rPr>
          <w:rFonts w:eastAsia="Calibri"/>
          <w:lang w:val="en-US" w:eastAsia="en-US"/>
        </w:rPr>
        <w:t>meets</w:t>
      </w:r>
      <w:r w:rsidRPr="00BD77D8">
        <w:rPr>
          <w:rFonts w:eastAsia="Calibri"/>
          <w:spacing w:val="-23"/>
          <w:lang w:val="en-US" w:eastAsia="en-US"/>
        </w:rPr>
        <w:t xml:space="preserve"> </w:t>
      </w:r>
      <w:r w:rsidRPr="00BD77D8">
        <w:rPr>
          <w:rFonts w:eastAsia="Calibri"/>
          <w:lang w:val="en-US" w:eastAsia="en-US"/>
        </w:rPr>
        <w:t>the</w:t>
      </w:r>
      <w:r w:rsidRPr="00BD77D8">
        <w:rPr>
          <w:rFonts w:eastAsia="Calibri"/>
          <w:spacing w:val="-23"/>
          <w:lang w:val="en-US" w:eastAsia="en-US"/>
        </w:rPr>
        <w:t xml:space="preserve"> </w:t>
      </w:r>
      <w:r w:rsidRPr="00BD77D8">
        <w:rPr>
          <w:rFonts w:eastAsia="Calibri"/>
          <w:spacing w:val="-1"/>
          <w:lang w:val="en-US" w:eastAsia="en-US"/>
        </w:rPr>
        <w:t>accou</w:t>
      </w:r>
      <w:r w:rsidRPr="00BD77D8">
        <w:rPr>
          <w:rFonts w:eastAsia="Calibri"/>
          <w:spacing w:val="-2"/>
          <w:lang w:val="en-US" w:eastAsia="en-US"/>
        </w:rPr>
        <w:t>nt</w:t>
      </w:r>
      <w:r w:rsidRPr="00BD77D8">
        <w:rPr>
          <w:rFonts w:eastAsia="Calibri"/>
          <w:spacing w:val="-1"/>
          <w:lang w:val="en-US" w:eastAsia="en-US"/>
        </w:rPr>
        <w:t>abi</w:t>
      </w:r>
      <w:r w:rsidRPr="00BD77D8">
        <w:rPr>
          <w:rFonts w:eastAsia="Calibri"/>
          <w:spacing w:val="-2"/>
          <w:lang w:val="en-US" w:eastAsia="en-US"/>
        </w:rPr>
        <w:t>lity</w:t>
      </w:r>
      <w:r w:rsidRPr="00BD77D8">
        <w:rPr>
          <w:rFonts w:eastAsia="Calibri"/>
          <w:spacing w:val="-23"/>
          <w:lang w:val="en-US" w:eastAsia="en-US"/>
        </w:rPr>
        <w:t xml:space="preserve"> </w:t>
      </w:r>
      <w:r w:rsidRPr="00BD77D8">
        <w:rPr>
          <w:rFonts w:eastAsia="Calibri"/>
          <w:lang w:val="en-US" w:eastAsia="en-US"/>
        </w:rPr>
        <w:t>requirements</w:t>
      </w:r>
      <w:r w:rsidRPr="00BD77D8">
        <w:rPr>
          <w:rFonts w:eastAsia="Calibri"/>
          <w:spacing w:val="-24"/>
          <w:lang w:val="en-US" w:eastAsia="en-US"/>
        </w:rPr>
        <w:t xml:space="preserve"> </w:t>
      </w:r>
      <w:r w:rsidRPr="00BD77D8">
        <w:rPr>
          <w:rFonts w:eastAsia="Calibri"/>
          <w:lang w:val="en-US" w:eastAsia="en-US"/>
        </w:rPr>
        <w:t>of</w:t>
      </w:r>
      <w:r w:rsidRPr="00BD77D8">
        <w:rPr>
          <w:rFonts w:eastAsia="Calibri"/>
          <w:spacing w:val="-23"/>
          <w:lang w:val="en-US" w:eastAsia="en-US"/>
        </w:rPr>
        <w:t xml:space="preserve"> </w:t>
      </w:r>
      <w:r w:rsidRPr="00BD77D8">
        <w:rPr>
          <w:rFonts w:eastAsia="Calibri"/>
          <w:lang w:val="en-US" w:eastAsia="en-US"/>
        </w:rPr>
        <w:t>the</w:t>
      </w:r>
      <w:r w:rsidRPr="00BD77D8">
        <w:rPr>
          <w:rFonts w:eastAsia="Calibri"/>
          <w:spacing w:val="21"/>
          <w:w w:val="95"/>
          <w:lang w:val="en-US" w:eastAsia="en-US"/>
        </w:rPr>
        <w:t xml:space="preserve"> </w:t>
      </w:r>
      <w:r w:rsidRPr="00BD77D8">
        <w:rPr>
          <w:rFonts w:eastAsia="Calibri"/>
          <w:spacing w:val="-2"/>
          <w:lang w:val="en-US" w:eastAsia="en-US"/>
        </w:rPr>
        <w:t>Queen</w:t>
      </w:r>
      <w:r w:rsidRPr="00BD77D8">
        <w:rPr>
          <w:rFonts w:eastAsia="Calibri"/>
          <w:spacing w:val="-1"/>
          <w:lang w:val="en-US" w:eastAsia="en-US"/>
        </w:rPr>
        <w:t>sland</w:t>
      </w:r>
      <w:r w:rsidRPr="00BD77D8">
        <w:rPr>
          <w:rFonts w:eastAsia="Calibri"/>
          <w:spacing w:val="-5"/>
          <w:lang w:val="en-US" w:eastAsia="en-US"/>
        </w:rPr>
        <w:t xml:space="preserve"> </w:t>
      </w:r>
      <w:r w:rsidRPr="00BD77D8">
        <w:rPr>
          <w:rFonts w:eastAsia="Calibri"/>
          <w:i/>
          <w:spacing w:val="-1"/>
          <w:lang w:val="en-US" w:eastAsia="en-US"/>
        </w:rPr>
        <w:t>Public</w:t>
      </w:r>
      <w:r w:rsidRPr="00BD77D8">
        <w:rPr>
          <w:rFonts w:eastAsia="Calibri"/>
          <w:i/>
          <w:spacing w:val="-4"/>
          <w:lang w:val="en-US" w:eastAsia="en-US"/>
        </w:rPr>
        <w:t xml:space="preserve"> </w:t>
      </w:r>
      <w:r w:rsidRPr="00BD77D8">
        <w:rPr>
          <w:rFonts w:eastAsia="Calibri"/>
          <w:i/>
          <w:spacing w:val="-2"/>
          <w:lang w:val="en-US" w:eastAsia="en-US"/>
        </w:rPr>
        <w:t>Rec</w:t>
      </w:r>
      <w:r w:rsidRPr="00BD77D8">
        <w:rPr>
          <w:rFonts w:eastAsia="Calibri"/>
          <w:i/>
          <w:spacing w:val="-1"/>
          <w:lang w:val="en-US" w:eastAsia="en-US"/>
        </w:rPr>
        <w:t>ords</w:t>
      </w:r>
      <w:r w:rsidRPr="00BD77D8">
        <w:rPr>
          <w:rFonts w:eastAsia="Calibri"/>
          <w:i/>
          <w:spacing w:val="-5"/>
          <w:lang w:val="en-US" w:eastAsia="en-US"/>
        </w:rPr>
        <w:t xml:space="preserve"> </w:t>
      </w:r>
      <w:r w:rsidRPr="00BD77D8">
        <w:rPr>
          <w:rFonts w:eastAsia="Calibri"/>
          <w:i/>
          <w:lang w:val="en-US" w:eastAsia="en-US"/>
        </w:rPr>
        <w:t>Act</w:t>
      </w:r>
      <w:r w:rsidRPr="00BD77D8">
        <w:rPr>
          <w:rFonts w:eastAsia="Calibri"/>
          <w:i/>
          <w:spacing w:val="-5"/>
          <w:lang w:val="en-US" w:eastAsia="en-US"/>
        </w:rPr>
        <w:t xml:space="preserve"> </w:t>
      </w:r>
      <w:r w:rsidRPr="00BD77D8">
        <w:rPr>
          <w:rFonts w:eastAsia="Calibri"/>
          <w:i/>
          <w:spacing w:val="-2"/>
          <w:lang w:val="en-US" w:eastAsia="en-US"/>
        </w:rPr>
        <w:t>2002</w:t>
      </w:r>
      <w:r w:rsidRPr="00BD77D8">
        <w:rPr>
          <w:rFonts w:eastAsia="Calibri"/>
          <w:i/>
          <w:spacing w:val="-3"/>
          <w:lang w:val="en-US" w:eastAsia="en-US"/>
        </w:rPr>
        <w:t xml:space="preserve"> </w:t>
      </w:r>
      <w:r w:rsidRPr="00BD77D8">
        <w:rPr>
          <w:rFonts w:eastAsia="Calibri"/>
          <w:lang w:val="en-US" w:eastAsia="en-US"/>
        </w:rPr>
        <w:t>and</w:t>
      </w:r>
      <w:r w:rsidRPr="00BD77D8">
        <w:rPr>
          <w:rFonts w:eastAsia="Calibri"/>
          <w:spacing w:val="-4"/>
          <w:lang w:val="en-US" w:eastAsia="en-US"/>
        </w:rPr>
        <w:t xml:space="preserve"> </w:t>
      </w:r>
      <w:r w:rsidRPr="00BD77D8">
        <w:rPr>
          <w:rFonts w:eastAsia="Calibri"/>
          <w:spacing w:val="-1"/>
          <w:lang w:val="en-US" w:eastAsia="en-US"/>
        </w:rPr>
        <w:t>complies</w:t>
      </w:r>
      <w:r w:rsidRPr="00BD77D8">
        <w:rPr>
          <w:rFonts w:eastAsia="Calibri"/>
          <w:spacing w:val="-4"/>
          <w:lang w:val="en-US" w:eastAsia="en-US"/>
        </w:rPr>
        <w:t xml:space="preserve"> </w:t>
      </w:r>
      <w:r w:rsidRPr="00BD77D8">
        <w:rPr>
          <w:rFonts w:eastAsia="Calibri"/>
          <w:spacing w:val="-2"/>
          <w:lang w:val="en-US" w:eastAsia="en-US"/>
        </w:rPr>
        <w:t xml:space="preserve">with </w:t>
      </w:r>
      <w:r w:rsidRPr="00BD77D8">
        <w:rPr>
          <w:rFonts w:eastAsia="Calibri"/>
          <w:lang w:val="en-US" w:eastAsia="en-US"/>
        </w:rPr>
        <w:t>the</w:t>
      </w:r>
      <w:r w:rsidRPr="00BD77D8">
        <w:rPr>
          <w:rFonts w:eastAsia="Calibri"/>
          <w:spacing w:val="23"/>
          <w:w w:val="95"/>
          <w:lang w:val="en-US" w:eastAsia="en-US"/>
        </w:rPr>
        <w:t xml:space="preserve"> </w:t>
      </w:r>
      <w:r w:rsidRPr="00BD77D8">
        <w:rPr>
          <w:rFonts w:eastAsia="Calibri"/>
          <w:spacing w:val="-2"/>
          <w:lang w:val="en-US" w:eastAsia="en-US"/>
        </w:rPr>
        <w:t>Gener</w:t>
      </w:r>
      <w:r w:rsidRPr="00BD77D8">
        <w:rPr>
          <w:rFonts w:eastAsia="Calibri"/>
          <w:spacing w:val="-1"/>
          <w:lang w:val="en-US" w:eastAsia="en-US"/>
        </w:rPr>
        <w:t>al</w:t>
      </w:r>
      <w:r w:rsidRPr="00BD77D8">
        <w:rPr>
          <w:rFonts w:eastAsia="Calibri"/>
          <w:spacing w:val="-10"/>
          <w:lang w:val="en-US" w:eastAsia="en-US"/>
        </w:rPr>
        <w:t xml:space="preserve"> </w:t>
      </w:r>
      <w:r w:rsidRPr="00BD77D8">
        <w:rPr>
          <w:rFonts w:eastAsia="Calibri"/>
          <w:lang w:val="en-US" w:eastAsia="en-US"/>
        </w:rPr>
        <w:t>Retention</w:t>
      </w:r>
      <w:r w:rsidRPr="00BD77D8">
        <w:rPr>
          <w:rFonts w:eastAsia="Calibri"/>
          <w:spacing w:val="-9"/>
          <w:lang w:val="en-US" w:eastAsia="en-US"/>
        </w:rPr>
        <w:t xml:space="preserve"> </w:t>
      </w:r>
      <w:r w:rsidRPr="00BD77D8">
        <w:rPr>
          <w:rFonts w:eastAsia="Calibri"/>
          <w:lang w:val="en-US" w:eastAsia="en-US"/>
        </w:rPr>
        <w:t>and</w:t>
      </w:r>
      <w:r w:rsidRPr="00BD77D8">
        <w:rPr>
          <w:rFonts w:eastAsia="Calibri"/>
          <w:spacing w:val="-10"/>
          <w:lang w:val="en-US" w:eastAsia="en-US"/>
        </w:rPr>
        <w:t xml:space="preserve"> </w:t>
      </w:r>
      <w:r w:rsidRPr="00BD77D8">
        <w:rPr>
          <w:rFonts w:eastAsia="Calibri"/>
          <w:spacing w:val="-1"/>
          <w:lang w:val="en-US" w:eastAsia="en-US"/>
        </w:rPr>
        <w:t>Disposal</w:t>
      </w:r>
      <w:r w:rsidRPr="00BD77D8">
        <w:rPr>
          <w:rFonts w:eastAsia="Calibri"/>
          <w:spacing w:val="-13"/>
          <w:lang w:val="en-US" w:eastAsia="en-US"/>
        </w:rPr>
        <w:t xml:space="preserve"> </w:t>
      </w:r>
      <w:r w:rsidRPr="00BD77D8">
        <w:rPr>
          <w:rFonts w:eastAsia="Calibri"/>
          <w:spacing w:val="-1"/>
          <w:lang w:val="en-US" w:eastAsia="en-US"/>
        </w:rPr>
        <w:t>Schedul</w:t>
      </w:r>
      <w:r w:rsidRPr="00BD77D8">
        <w:rPr>
          <w:rFonts w:eastAsia="Calibri"/>
          <w:spacing w:val="-2"/>
          <w:lang w:val="en-US" w:eastAsia="en-US"/>
        </w:rPr>
        <w:t>e</w:t>
      </w:r>
      <w:r w:rsidRPr="00BD77D8">
        <w:rPr>
          <w:rFonts w:eastAsia="Calibri"/>
          <w:spacing w:val="-8"/>
          <w:lang w:val="en-US" w:eastAsia="en-US"/>
        </w:rPr>
        <w:t xml:space="preserve"> </w:t>
      </w:r>
      <w:r w:rsidRPr="00BD77D8">
        <w:rPr>
          <w:rFonts w:eastAsia="Calibri"/>
          <w:spacing w:val="-2"/>
          <w:lang w:val="en-US" w:eastAsia="en-US"/>
        </w:rPr>
        <w:t>t</w:t>
      </w:r>
      <w:r w:rsidRPr="00BD77D8">
        <w:rPr>
          <w:rFonts w:eastAsia="Calibri"/>
          <w:spacing w:val="-1"/>
          <w:lang w:val="en-US" w:eastAsia="en-US"/>
        </w:rPr>
        <w:t>o</w:t>
      </w:r>
      <w:r w:rsidRPr="00BD77D8">
        <w:rPr>
          <w:rFonts w:eastAsia="Calibri"/>
          <w:spacing w:val="-9"/>
          <w:lang w:val="en-US" w:eastAsia="en-US"/>
        </w:rPr>
        <w:t xml:space="preserve"> </w:t>
      </w:r>
      <w:r w:rsidRPr="00BD77D8">
        <w:rPr>
          <w:rFonts w:eastAsia="Calibri"/>
          <w:spacing w:val="-2"/>
          <w:lang w:val="en-US" w:eastAsia="en-US"/>
        </w:rPr>
        <w:t>maint</w:t>
      </w:r>
      <w:r w:rsidRPr="00BD77D8">
        <w:rPr>
          <w:rFonts w:eastAsia="Calibri"/>
          <w:spacing w:val="-1"/>
          <w:lang w:val="en-US" w:eastAsia="en-US"/>
        </w:rPr>
        <w:t>ain</w:t>
      </w:r>
      <w:r w:rsidRPr="00BD77D8">
        <w:rPr>
          <w:rFonts w:eastAsia="Calibri"/>
          <w:spacing w:val="-8"/>
          <w:lang w:val="en-US" w:eastAsia="en-US"/>
        </w:rPr>
        <w:t xml:space="preserve"> </w:t>
      </w:r>
      <w:r w:rsidRPr="00BD77D8">
        <w:rPr>
          <w:rFonts w:eastAsia="Calibri"/>
          <w:spacing w:val="-2"/>
          <w:lang w:val="en-US" w:eastAsia="en-US"/>
        </w:rPr>
        <w:t>acc</w:t>
      </w:r>
      <w:r w:rsidRPr="00BD77D8">
        <w:rPr>
          <w:rFonts w:eastAsia="Calibri"/>
          <w:spacing w:val="-3"/>
          <w:lang w:val="en-US" w:eastAsia="en-US"/>
        </w:rPr>
        <w:t xml:space="preserve">urate </w:t>
      </w:r>
      <w:r w:rsidRPr="00BD77D8">
        <w:rPr>
          <w:rFonts w:eastAsia="Calibri"/>
          <w:spacing w:val="-2"/>
          <w:lang w:val="en-US" w:eastAsia="en-US"/>
        </w:rPr>
        <w:t>record</w:t>
      </w:r>
      <w:r w:rsidRPr="00BD77D8">
        <w:rPr>
          <w:rFonts w:eastAsia="Calibri"/>
          <w:spacing w:val="-1"/>
          <w:lang w:val="en-US" w:eastAsia="en-US"/>
        </w:rPr>
        <w:t>s</w:t>
      </w:r>
      <w:r w:rsidRPr="00BD77D8">
        <w:rPr>
          <w:rFonts w:eastAsia="Calibri"/>
          <w:spacing w:val="-11"/>
          <w:lang w:val="en-US" w:eastAsia="en-US"/>
        </w:rPr>
        <w:t xml:space="preserve"> </w:t>
      </w:r>
      <w:r w:rsidRPr="00BD77D8">
        <w:rPr>
          <w:rFonts w:eastAsia="Calibri"/>
          <w:spacing w:val="-2"/>
          <w:lang w:val="en-US" w:eastAsia="en-US"/>
        </w:rPr>
        <w:t>for</w:t>
      </w:r>
      <w:r w:rsidRPr="00BD77D8">
        <w:rPr>
          <w:rFonts w:eastAsia="Calibri"/>
          <w:spacing w:val="-9"/>
          <w:lang w:val="en-US" w:eastAsia="en-US"/>
        </w:rPr>
        <w:t xml:space="preserve"> </w:t>
      </w:r>
      <w:r w:rsidRPr="00BD77D8">
        <w:rPr>
          <w:rFonts w:eastAsia="Calibri"/>
          <w:spacing w:val="-1"/>
          <w:lang w:val="en-US" w:eastAsia="en-US"/>
        </w:rPr>
        <w:t>accou</w:t>
      </w:r>
      <w:r w:rsidRPr="00BD77D8">
        <w:rPr>
          <w:rFonts w:eastAsia="Calibri"/>
          <w:spacing w:val="-2"/>
          <w:lang w:val="en-US" w:eastAsia="en-US"/>
        </w:rPr>
        <w:t>nt</w:t>
      </w:r>
      <w:r w:rsidRPr="00BD77D8">
        <w:rPr>
          <w:rFonts w:eastAsia="Calibri"/>
          <w:spacing w:val="-1"/>
          <w:lang w:val="en-US" w:eastAsia="en-US"/>
        </w:rPr>
        <w:t>abi</w:t>
      </w:r>
      <w:r w:rsidRPr="00BD77D8">
        <w:rPr>
          <w:rFonts w:eastAsia="Calibri"/>
          <w:spacing w:val="-2"/>
          <w:lang w:val="en-US" w:eastAsia="en-US"/>
        </w:rPr>
        <w:t>lity</w:t>
      </w:r>
      <w:r w:rsidRPr="00BD77D8">
        <w:rPr>
          <w:rFonts w:eastAsia="Calibri"/>
          <w:spacing w:val="-11"/>
          <w:lang w:val="en-US" w:eastAsia="en-US"/>
        </w:rPr>
        <w:t xml:space="preserve"> </w:t>
      </w:r>
      <w:r w:rsidRPr="00BD77D8">
        <w:rPr>
          <w:rFonts w:eastAsia="Calibri"/>
          <w:lang w:val="en-US" w:eastAsia="en-US"/>
        </w:rPr>
        <w:t>and</w:t>
      </w:r>
      <w:r w:rsidRPr="00BD77D8">
        <w:rPr>
          <w:rFonts w:eastAsia="Calibri"/>
          <w:spacing w:val="-11"/>
          <w:lang w:val="en-US" w:eastAsia="en-US"/>
        </w:rPr>
        <w:t xml:space="preserve"> </w:t>
      </w:r>
      <w:r w:rsidRPr="00BD77D8">
        <w:rPr>
          <w:rFonts w:eastAsia="Calibri"/>
          <w:spacing w:val="-1"/>
          <w:lang w:val="en-US" w:eastAsia="en-US"/>
        </w:rPr>
        <w:t>business</w:t>
      </w:r>
      <w:r w:rsidRPr="00BD77D8">
        <w:rPr>
          <w:rFonts w:eastAsia="Calibri"/>
          <w:spacing w:val="-10"/>
          <w:lang w:val="en-US" w:eastAsia="en-US"/>
        </w:rPr>
        <w:t xml:space="preserve"> </w:t>
      </w:r>
      <w:r w:rsidRPr="00BD77D8">
        <w:rPr>
          <w:rFonts w:eastAsia="Calibri"/>
          <w:spacing w:val="-1"/>
          <w:lang w:val="en-US" w:eastAsia="en-US"/>
        </w:rPr>
        <w:t>c</w:t>
      </w:r>
      <w:r w:rsidRPr="00BD77D8">
        <w:rPr>
          <w:rFonts w:eastAsia="Calibri"/>
          <w:spacing w:val="-2"/>
          <w:lang w:val="en-US" w:eastAsia="en-US"/>
        </w:rPr>
        <w:t xml:space="preserve">ontinuity. </w:t>
      </w:r>
    </w:p>
    <w:p w14:paraId="1E9517AB" w14:textId="324280A1" w:rsidR="007201BC" w:rsidRPr="00BD77D8" w:rsidRDefault="007201BC" w:rsidP="009679A6">
      <w:pPr>
        <w:rPr>
          <w:rFonts w:eastAsia="Calibri"/>
          <w:spacing w:val="-2"/>
          <w:lang w:val="en-US" w:eastAsia="en-US"/>
        </w:rPr>
      </w:pPr>
      <w:r w:rsidRPr="00BD77D8">
        <w:rPr>
          <w:rFonts w:eastAsia="Calibri"/>
          <w:spacing w:val="-2"/>
          <w:lang w:val="en-US" w:eastAsia="en-US"/>
        </w:rPr>
        <w:t xml:space="preserve">The department has commenced </w:t>
      </w:r>
      <w:r w:rsidR="00BF5F01" w:rsidRPr="00BD77D8">
        <w:rPr>
          <w:rFonts w:eastAsia="Calibri"/>
          <w:spacing w:val="-2"/>
          <w:lang w:val="en-US" w:eastAsia="en-US"/>
        </w:rPr>
        <w:t xml:space="preserve">the implementation of </w:t>
      </w:r>
      <w:r w:rsidRPr="00BD77D8">
        <w:rPr>
          <w:rFonts w:eastAsia="Calibri"/>
          <w:spacing w:val="-2"/>
          <w:lang w:val="en-US" w:eastAsia="en-US"/>
        </w:rPr>
        <w:t xml:space="preserve">the </w:t>
      </w:r>
      <w:r w:rsidR="00441C2F" w:rsidRPr="00BD77D8">
        <w:rPr>
          <w:rFonts w:eastAsia="Calibri"/>
          <w:spacing w:val="-2"/>
          <w:lang w:val="en-US" w:eastAsia="en-US"/>
        </w:rPr>
        <w:t>r</w:t>
      </w:r>
      <w:r w:rsidRPr="00BD77D8">
        <w:rPr>
          <w:rFonts w:eastAsia="Calibri"/>
          <w:spacing w:val="-2"/>
          <w:lang w:val="en-US" w:eastAsia="en-US"/>
        </w:rPr>
        <w:t xml:space="preserve">ecords governance policy and is working in partnership with DCYJMA </w:t>
      </w:r>
      <w:r w:rsidR="00BF5F01" w:rsidRPr="00BD77D8">
        <w:rPr>
          <w:rFonts w:eastAsia="Calibri"/>
          <w:spacing w:val="-2"/>
          <w:lang w:val="en-US" w:eastAsia="en-US"/>
        </w:rPr>
        <w:t xml:space="preserve">to establish </w:t>
      </w:r>
      <w:r w:rsidRPr="00BD77D8">
        <w:rPr>
          <w:rFonts w:eastAsia="Calibri"/>
          <w:spacing w:val="-2"/>
          <w:lang w:val="en-US" w:eastAsia="en-US"/>
        </w:rPr>
        <w:t xml:space="preserve">the processes required to ensure successful transitioning from paper-based records to digital recordkeeping. </w:t>
      </w:r>
    </w:p>
    <w:p w14:paraId="78373653" w14:textId="4AAEE302" w:rsidR="00286F3B" w:rsidRPr="00BD77D8" w:rsidRDefault="009679A6" w:rsidP="00286F3B">
      <w:pPr>
        <w:pStyle w:val="Heading2"/>
        <w:rPr>
          <w:b/>
          <w:bCs w:val="0"/>
          <w:color w:val="auto"/>
          <w:sz w:val="20"/>
          <w:szCs w:val="20"/>
        </w:rPr>
      </w:pPr>
      <w:bookmarkStart w:id="287" w:name="_Toc113544404"/>
      <w:r w:rsidRPr="00BD77D8">
        <w:rPr>
          <w:color w:val="auto"/>
        </w:rPr>
        <w:t>Information Security attestation</w:t>
      </w:r>
      <w:bookmarkEnd w:id="287"/>
    </w:p>
    <w:p w14:paraId="08AF19C0" w14:textId="77777777" w:rsidR="009679A6" w:rsidRPr="00BD77D8" w:rsidRDefault="009679A6" w:rsidP="009679A6">
      <w:pPr>
        <w:rPr>
          <w:rFonts w:eastAsia="Calibri"/>
          <w:lang w:val="en-US"/>
        </w:rPr>
      </w:pPr>
      <w:r w:rsidRPr="00BD77D8">
        <w:rPr>
          <w:rFonts w:eastAsia="Calibri"/>
          <w:lang w:val="en-US"/>
        </w:rPr>
        <w:t xml:space="preserve">During the mandatory annual Information Security reporting process, the Director-General attested to the appropriateness of the information security risk management within the department to the Queensland Government Chief Information Security Officer, noting that appropriate assurance activities have been undertaken to inform this opinion and the department’s information security risk position. </w:t>
      </w:r>
    </w:p>
    <w:p w14:paraId="6D291DDA" w14:textId="2E8F4DF8" w:rsidR="00DF7CF7" w:rsidRPr="00BD77D8" w:rsidRDefault="00254945" w:rsidP="00DF7CF7">
      <w:pPr>
        <w:pStyle w:val="Heading2"/>
        <w:rPr>
          <w:b/>
          <w:bCs w:val="0"/>
          <w:color w:val="auto"/>
          <w:sz w:val="20"/>
          <w:szCs w:val="20"/>
        </w:rPr>
      </w:pPr>
      <w:bookmarkStart w:id="288" w:name="_Toc78287402"/>
      <w:bookmarkStart w:id="289" w:name="_Toc78355809"/>
      <w:bookmarkStart w:id="290" w:name="_Toc113544405"/>
      <w:r w:rsidRPr="00BD77D8">
        <w:rPr>
          <w:color w:val="auto"/>
        </w:rPr>
        <w:t>Internal Audit</w:t>
      </w:r>
      <w:bookmarkEnd w:id="288"/>
      <w:bookmarkEnd w:id="289"/>
      <w:bookmarkEnd w:id="290"/>
    </w:p>
    <w:p w14:paraId="03EAC89B" w14:textId="77777777" w:rsidR="00FB0C99" w:rsidRPr="00BD77D8" w:rsidRDefault="00FB0C99" w:rsidP="00FB0C99">
      <w:pPr>
        <w:rPr>
          <w:rFonts w:eastAsia="Calibri"/>
          <w:lang w:val="en-US"/>
        </w:rPr>
      </w:pPr>
      <w:bookmarkStart w:id="291" w:name="_Toc78287401"/>
      <w:bookmarkStart w:id="292" w:name="_Toc78355808"/>
      <w:r w:rsidRPr="00BD77D8">
        <w:rPr>
          <w:rFonts w:eastAsia="Calibri"/>
          <w:lang w:val="en-US"/>
        </w:rPr>
        <w:t xml:space="preserve">Internal Audit provides an independent and objective assurance and advisory service designed to add value and improve the operations of the department. </w:t>
      </w:r>
    </w:p>
    <w:p w14:paraId="611EA059" w14:textId="1EABAE43" w:rsidR="00FB0C99" w:rsidRPr="00BD77D8" w:rsidRDefault="00FB0C99" w:rsidP="00FB0C99">
      <w:pPr>
        <w:rPr>
          <w:rFonts w:eastAsia="Calibri"/>
          <w:lang w:val="en-US"/>
        </w:rPr>
      </w:pPr>
      <w:r w:rsidRPr="00BD77D8">
        <w:rPr>
          <w:rFonts w:eastAsia="Calibri"/>
          <w:lang w:val="en-US"/>
        </w:rPr>
        <w:t>The work of the internal audit function is performed in accordance with the Strategic Internal Audit Plan, developed in consultation with departmental senior executives and approved by the Director-General with a focus on risk exposures and independent assurance needs. The Internal Audit Charter defines the functions’ responsibilities and is consistent with relevant legislation and international internal auditing standards.</w:t>
      </w:r>
    </w:p>
    <w:p w14:paraId="2509619F" w14:textId="0151B7AC" w:rsidR="00D43D7F" w:rsidRPr="00BD77D8" w:rsidRDefault="00FB0C99" w:rsidP="00D43D7F">
      <w:pPr>
        <w:spacing w:after="120" w:line="240" w:lineRule="auto"/>
        <w:rPr>
          <w:rFonts w:eastAsia="Calibri"/>
          <w:lang w:val="en-US"/>
        </w:rPr>
      </w:pPr>
      <w:r w:rsidRPr="00BD77D8">
        <w:rPr>
          <w:rFonts w:eastAsia="Calibri"/>
          <w:lang w:val="en-US" w:eastAsia="en-US"/>
        </w:rPr>
        <w:t xml:space="preserve"> </w:t>
      </w:r>
      <w:r w:rsidR="00D43D7F" w:rsidRPr="00BD77D8">
        <w:rPr>
          <w:rFonts w:eastAsia="Calibri"/>
          <w:lang w:val="en-US"/>
        </w:rPr>
        <w:t>For the internal audit reviews scheduled within the 2021</w:t>
      </w:r>
      <w:r w:rsidR="00D51A9A" w:rsidRPr="00BD77D8">
        <w:rPr>
          <w:rFonts w:eastAsia="Calibri"/>
          <w:lang w:val="en-US"/>
        </w:rPr>
        <w:t>–</w:t>
      </w:r>
      <w:r w:rsidR="00D43D7F" w:rsidRPr="00BD77D8">
        <w:rPr>
          <w:rFonts w:eastAsia="Calibri"/>
          <w:lang w:val="en-US"/>
        </w:rPr>
        <w:t>2022 Strategic Internal Audit Plan:</w:t>
      </w:r>
    </w:p>
    <w:p w14:paraId="73F2E9B3" w14:textId="398790CF" w:rsidR="00D43D7F" w:rsidRPr="00BD77D8" w:rsidRDefault="00B837B5" w:rsidP="003954C5">
      <w:pPr>
        <w:pStyle w:val="ListParagraph"/>
        <w:numPr>
          <w:ilvl w:val="0"/>
          <w:numId w:val="82"/>
        </w:numPr>
        <w:spacing w:after="120" w:line="240" w:lineRule="auto"/>
        <w:rPr>
          <w:rFonts w:eastAsia="Calibri"/>
          <w:lang w:val="en-US"/>
        </w:rPr>
      </w:pPr>
      <w:r w:rsidRPr="00BD77D8">
        <w:rPr>
          <w:rFonts w:eastAsia="Calibri"/>
          <w:lang w:val="en-US"/>
        </w:rPr>
        <w:t>eight</w:t>
      </w:r>
      <w:r w:rsidR="00D43D7F" w:rsidRPr="00BD77D8">
        <w:rPr>
          <w:rFonts w:eastAsia="Calibri"/>
          <w:lang w:val="en-US"/>
        </w:rPr>
        <w:t xml:space="preserve"> have been </w:t>
      </w:r>
      <w:proofErr w:type="spellStart"/>
      <w:r w:rsidR="00D43D7F" w:rsidRPr="00BD77D8">
        <w:rPr>
          <w:rFonts w:eastAsia="Calibri"/>
          <w:lang w:val="en-US"/>
        </w:rPr>
        <w:t>finalised</w:t>
      </w:r>
      <w:proofErr w:type="spellEnd"/>
    </w:p>
    <w:p w14:paraId="48FC692B" w14:textId="3EF7FBEF" w:rsidR="00D43D7F" w:rsidRPr="00BD77D8" w:rsidRDefault="00B837B5" w:rsidP="003954C5">
      <w:pPr>
        <w:pStyle w:val="ListParagraph"/>
        <w:numPr>
          <w:ilvl w:val="0"/>
          <w:numId w:val="82"/>
        </w:numPr>
        <w:spacing w:after="120" w:line="240" w:lineRule="auto"/>
        <w:rPr>
          <w:rFonts w:eastAsia="Calibri"/>
          <w:lang w:val="en-US"/>
        </w:rPr>
      </w:pPr>
      <w:r w:rsidRPr="00BD77D8">
        <w:rPr>
          <w:rFonts w:eastAsia="Calibri"/>
          <w:lang w:val="en-US"/>
        </w:rPr>
        <w:t>four</w:t>
      </w:r>
      <w:r w:rsidR="00D43D7F" w:rsidRPr="00BD77D8">
        <w:rPr>
          <w:rFonts w:eastAsia="Calibri"/>
          <w:lang w:val="en-US"/>
        </w:rPr>
        <w:t xml:space="preserve"> are in the process of being </w:t>
      </w:r>
      <w:proofErr w:type="spellStart"/>
      <w:r w:rsidR="00D43D7F" w:rsidRPr="00BD77D8">
        <w:rPr>
          <w:rFonts w:eastAsia="Calibri"/>
          <w:lang w:val="en-US"/>
        </w:rPr>
        <w:t>finalised</w:t>
      </w:r>
      <w:proofErr w:type="spellEnd"/>
    </w:p>
    <w:p w14:paraId="165B7B41" w14:textId="1E897484" w:rsidR="00D43D7F" w:rsidRPr="00BD77D8" w:rsidRDefault="00B837B5" w:rsidP="003954C5">
      <w:pPr>
        <w:pStyle w:val="ListParagraph"/>
        <w:numPr>
          <w:ilvl w:val="0"/>
          <w:numId w:val="82"/>
        </w:numPr>
        <w:spacing w:after="120" w:line="240" w:lineRule="auto"/>
        <w:rPr>
          <w:rFonts w:eastAsia="Calibri"/>
          <w:lang w:val="en-US"/>
        </w:rPr>
      </w:pPr>
      <w:r w:rsidRPr="00BD77D8">
        <w:rPr>
          <w:rFonts w:eastAsia="Calibri"/>
          <w:lang w:val="en-US"/>
        </w:rPr>
        <w:t>one</w:t>
      </w:r>
      <w:r w:rsidR="00D43D7F" w:rsidRPr="00BD77D8">
        <w:rPr>
          <w:rFonts w:eastAsia="Calibri"/>
          <w:lang w:val="en-US"/>
        </w:rPr>
        <w:t xml:space="preserve"> is currently in progress.</w:t>
      </w:r>
    </w:p>
    <w:p w14:paraId="43BA6093" w14:textId="77777777" w:rsidR="00FB0C99" w:rsidRPr="00BD77D8" w:rsidRDefault="00FB0C99" w:rsidP="00FB0C99">
      <w:pPr>
        <w:rPr>
          <w:rFonts w:eastAsia="Calibri"/>
          <w:bCs/>
          <w:lang w:val="en-US"/>
        </w:rPr>
      </w:pPr>
      <w:r w:rsidRPr="00BD77D8">
        <w:rPr>
          <w:rFonts w:eastAsia="Calibri"/>
          <w:lang w:val="en-US"/>
        </w:rPr>
        <w:t xml:space="preserve">Internal Audit also provided continual advice and assurance against ad hoc reviews as requested by management.  </w:t>
      </w:r>
    </w:p>
    <w:p w14:paraId="57A63BCA" w14:textId="29884AAC" w:rsidR="00DF7CF7" w:rsidRPr="00BD77D8" w:rsidRDefault="00254945" w:rsidP="00DF7CF7">
      <w:pPr>
        <w:pStyle w:val="Heading2"/>
        <w:rPr>
          <w:b/>
          <w:bCs w:val="0"/>
          <w:color w:val="auto"/>
          <w:sz w:val="20"/>
          <w:szCs w:val="20"/>
        </w:rPr>
      </w:pPr>
      <w:bookmarkStart w:id="293" w:name="_Toc113544406"/>
      <w:r w:rsidRPr="00BD77D8">
        <w:rPr>
          <w:color w:val="auto"/>
        </w:rPr>
        <w:lastRenderedPageBreak/>
        <w:t>External scrutiny</w:t>
      </w:r>
      <w:bookmarkEnd w:id="291"/>
      <w:bookmarkEnd w:id="292"/>
      <w:bookmarkEnd w:id="293"/>
      <w:r w:rsidR="00DF7CF7" w:rsidRPr="00BD77D8">
        <w:rPr>
          <w:color w:val="auto"/>
        </w:rPr>
        <w:t xml:space="preserve"> </w:t>
      </w:r>
    </w:p>
    <w:p w14:paraId="609B1E02" w14:textId="77777777" w:rsidR="00FB0C99" w:rsidRPr="00BD77D8" w:rsidRDefault="00FB0C99" w:rsidP="00FB0C99">
      <w:pPr>
        <w:rPr>
          <w:rFonts w:eastAsia="Calibri"/>
          <w:lang w:val="en-US" w:eastAsia="en-US"/>
        </w:rPr>
      </w:pPr>
      <w:bookmarkStart w:id="294" w:name="_Hlk81570174"/>
      <w:r w:rsidRPr="00BD77D8">
        <w:rPr>
          <w:rFonts w:eastAsia="Calibri"/>
          <w:lang w:val="en-US" w:eastAsia="en-US"/>
        </w:rPr>
        <w:t>The</w:t>
      </w:r>
      <w:r w:rsidRPr="00BD77D8">
        <w:rPr>
          <w:rFonts w:eastAsia="Calibri"/>
          <w:spacing w:val="-18"/>
          <w:lang w:val="en-US" w:eastAsia="en-US"/>
        </w:rPr>
        <w:t xml:space="preserve"> </w:t>
      </w:r>
      <w:r w:rsidRPr="00BD77D8">
        <w:rPr>
          <w:rFonts w:eastAsia="Calibri"/>
          <w:lang w:val="en-US" w:eastAsia="en-US"/>
        </w:rPr>
        <w:t>Auditor-Gener</w:t>
      </w:r>
      <w:r w:rsidRPr="00BD77D8">
        <w:rPr>
          <w:rFonts w:eastAsia="Calibri"/>
          <w:spacing w:val="-1"/>
          <w:lang w:val="en-US" w:eastAsia="en-US"/>
        </w:rPr>
        <w:t>al</w:t>
      </w:r>
      <w:r w:rsidRPr="00BD77D8">
        <w:rPr>
          <w:rFonts w:eastAsia="Calibri"/>
          <w:lang w:val="en-US" w:eastAsia="en-US"/>
        </w:rPr>
        <w:t>,</w:t>
      </w:r>
      <w:r w:rsidRPr="00BD77D8">
        <w:rPr>
          <w:rFonts w:eastAsia="Calibri"/>
          <w:spacing w:val="-18"/>
          <w:lang w:val="en-US" w:eastAsia="en-US"/>
        </w:rPr>
        <w:t xml:space="preserve"> </w:t>
      </w:r>
      <w:r w:rsidRPr="00BD77D8">
        <w:rPr>
          <w:rFonts w:eastAsia="Calibri"/>
          <w:spacing w:val="-1"/>
          <w:lang w:val="en-US" w:eastAsia="en-US"/>
        </w:rPr>
        <w:t>sup</w:t>
      </w:r>
      <w:r w:rsidRPr="00BD77D8">
        <w:rPr>
          <w:rFonts w:eastAsia="Calibri"/>
          <w:lang w:val="en-US" w:eastAsia="en-US"/>
        </w:rPr>
        <w:t>ported</w:t>
      </w:r>
      <w:r w:rsidRPr="00BD77D8">
        <w:rPr>
          <w:rFonts w:eastAsia="Calibri"/>
          <w:spacing w:val="-20"/>
          <w:lang w:val="en-US" w:eastAsia="en-US"/>
        </w:rPr>
        <w:t xml:space="preserve"> </w:t>
      </w:r>
      <w:r w:rsidRPr="00BD77D8">
        <w:rPr>
          <w:rFonts w:eastAsia="Calibri"/>
          <w:spacing w:val="-1"/>
          <w:lang w:val="en-US" w:eastAsia="en-US"/>
        </w:rPr>
        <w:t>b</w:t>
      </w:r>
      <w:r w:rsidRPr="00BD77D8">
        <w:rPr>
          <w:rFonts w:eastAsia="Calibri"/>
          <w:lang w:val="en-US" w:eastAsia="en-US"/>
        </w:rPr>
        <w:t>y</w:t>
      </w:r>
      <w:r w:rsidRPr="00BD77D8">
        <w:rPr>
          <w:rFonts w:eastAsia="Calibri"/>
          <w:spacing w:val="-19"/>
          <w:lang w:val="en-US" w:eastAsia="en-US"/>
        </w:rPr>
        <w:t xml:space="preserve"> </w:t>
      </w:r>
      <w:r w:rsidRPr="00BD77D8">
        <w:rPr>
          <w:rFonts w:eastAsia="Calibri"/>
          <w:lang w:val="en-US" w:eastAsia="en-US"/>
        </w:rPr>
        <w:t>the</w:t>
      </w:r>
      <w:r w:rsidRPr="00BD77D8">
        <w:rPr>
          <w:rFonts w:eastAsia="Calibri"/>
          <w:spacing w:val="-18"/>
          <w:lang w:val="en-US" w:eastAsia="en-US"/>
        </w:rPr>
        <w:t xml:space="preserve"> </w:t>
      </w:r>
      <w:r w:rsidRPr="00BD77D8">
        <w:rPr>
          <w:rFonts w:eastAsia="Calibri"/>
          <w:lang w:val="en-US" w:eastAsia="en-US"/>
        </w:rPr>
        <w:t xml:space="preserve">Queensland Audit Office and in accordance with the </w:t>
      </w:r>
      <w:r w:rsidRPr="00BD77D8">
        <w:rPr>
          <w:rFonts w:eastAsia="Calibri"/>
          <w:i/>
          <w:iCs/>
          <w:lang w:val="en-US" w:eastAsia="en-US"/>
        </w:rPr>
        <w:t>Queensland Auditor-General Act 2009</w:t>
      </w:r>
      <w:r w:rsidRPr="00BD77D8">
        <w:rPr>
          <w:rFonts w:eastAsia="Calibri"/>
          <w:lang w:val="en-US" w:eastAsia="en-US"/>
        </w:rPr>
        <w:t>, conducts the financial and performance audits of the department</w:t>
      </w:r>
      <w:r w:rsidRPr="00BD77D8">
        <w:rPr>
          <w:rFonts w:eastAsia="Calibri"/>
          <w:w w:val="95"/>
          <w:lang w:val="en-US" w:eastAsia="en-US"/>
        </w:rPr>
        <w:t>.</w:t>
      </w:r>
    </w:p>
    <w:p w14:paraId="39DB2B96" w14:textId="796337FE" w:rsidR="00FB0C99" w:rsidRPr="00BD77D8" w:rsidRDefault="00FB0C99" w:rsidP="00FB0C99">
      <w:pPr>
        <w:rPr>
          <w:rFonts w:eastAsia="Calibri"/>
          <w:lang w:val="en-US" w:eastAsia="en-US"/>
        </w:rPr>
      </w:pPr>
      <w:r w:rsidRPr="00BD77D8">
        <w:rPr>
          <w:rFonts w:eastAsia="Calibri"/>
          <w:lang w:val="en-US" w:eastAsia="en-US"/>
        </w:rPr>
        <w:t>During th</w:t>
      </w:r>
      <w:r w:rsidR="00CD7263" w:rsidRPr="00BD77D8">
        <w:rPr>
          <w:rFonts w:eastAsia="Calibri"/>
          <w:lang w:val="en-US" w:eastAsia="en-US"/>
        </w:rPr>
        <w:t>e</w:t>
      </w:r>
      <w:r w:rsidRPr="00BD77D8">
        <w:rPr>
          <w:rFonts w:eastAsia="Calibri"/>
          <w:lang w:val="en-US" w:eastAsia="en-US"/>
        </w:rPr>
        <w:t xml:space="preserve"> reporting period, the Queensland Audit Office continued with its audit review program and progressively released its performance reports.</w:t>
      </w:r>
    </w:p>
    <w:p w14:paraId="2823F2CF" w14:textId="77777777" w:rsidR="00FB0C99" w:rsidRPr="00BD77D8" w:rsidRDefault="00FB0C99" w:rsidP="00FB0C99">
      <w:pPr>
        <w:rPr>
          <w:rFonts w:eastAsia="Calibri"/>
          <w:lang w:val="en-US" w:eastAsia="en-US"/>
        </w:rPr>
      </w:pPr>
      <w:r w:rsidRPr="00BD77D8">
        <w:rPr>
          <w:rFonts w:eastAsia="Calibri"/>
          <w:lang w:val="en-US" w:eastAsia="en-US"/>
        </w:rPr>
        <w:t>The department provides quarterly Conduct and Performance Excellence (</w:t>
      </w:r>
      <w:proofErr w:type="spellStart"/>
      <w:r w:rsidRPr="00BD77D8">
        <w:rPr>
          <w:rFonts w:eastAsia="Calibri"/>
          <w:lang w:val="en-US" w:eastAsia="en-US"/>
        </w:rPr>
        <w:t>CaPE</w:t>
      </w:r>
      <w:proofErr w:type="spellEnd"/>
      <w:r w:rsidRPr="00BD77D8">
        <w:rPr>
          <w:rFonts w:eastAsia="Calibri"/>
          <w:lang w:val="en-US" w:eastAsia="en-US"/>
        </w:rPr>
        <w:t>) data to the Queensland Public Service Commission which is published on the Queensland Government website.</w:t>
      </w:r>
    </w:p>
    <w:p w14:paraId="5C25852A" w14:textId="23324B16" w:rsidR="00DF7CF7" w:rsidRPr="00BD77D8" w:rsidRDefault="007E6074" w:rsidP="00DF7CF7">
      <w:pPr>
        <w:pStyle w:val="Heading2"/>
        <w:rPr>
          <w:b/>
          <w:bCs w:val="0"/>
          <w:color w:val="auto"/>
          <w:sz w:val="20"/>
          <w:szCs w:val="20"/>
        </w:rPr>
      </w:pPr>
      <w:bookmarkStart w:id="295" w:name="_Toc113544407"/>
      <w:r w:rsidRPr="00BD77D8">
        <w:rPr>
          <w:color w:val="auto"/>
        </w:rPr>
        <w:t>Open data</w:t>
      </w:r>
      <w:bookmarkEnd w:id="295"/>
      <w:r w:rsidR="000C1D23" w:rsidRPr="00BD77D8">
        <w:rPr>
          <w:color w:val="auto"/>
        </w:rPr>
        <w:t xml:space="preserve"> </w:t>
      </w:r>
    </w:p>
    <w:p w14:paraId="0372FBCF" w14:textId="157084DB" w:rsidR="0089704A" w:rsidRPr="00BD77D8" w:rsidRDefault="007E6074" w:rsidP="009F1FB5">
      <w:r w:rsidRPr="00BD77D8">
        <w:t>For</w:t>
      </w:r>
      <w:r w:rsidRPr="00BD77D8">
        <w:rPr>
          <w:spacing w:val="-14"/>
        </w:rPr>
        <w:t xml:space="preserve"> </w:t>
      </w:r>
      <w:r w:rsidRPr="00BD77D8">
        <w:t>additional final reporting</w:t>
      </w:r>
      <w:r w:rsidRPr="00BD77D8">
        <w:rPr>
          <w:spacing w:val="-13"/>
        </w:rPr>
        <w:t xml:space="preserve"> </w:t>
      </w:r>
      <w:r w:rsidRPr="00BD77D8">
        <w:t>information</w:t>
      </w:r>
      <w:r w:rsidRPr="00BD77D8">
        <w:rPr>
          <w:spacing w:val="-14"/>
        </w:rPr>
        <w:t xml:space="preserve"> </w:t>
      </w:r>
      <w:r w:rsidRPr="00BD77D8">
        <w:t>rel</w:t>
      </w:r>
      <w:r w:rsidRPr="00BD77D8">
        <w:rPr>
          <w:spacing w:val="-1"/>
        </w:rPr>
        <w:t>ated</w:t>
      </w:r>
      <w:r w:rsidRPr="00BD77D8">
        <w:rPr>
          <w:spacing w:val="-15"/>
        </w:rPr>
        <w:t xml:space="preserve"> </w:t>
      </w:r>
      <w:r w:rsidRPr="00BD77D8">
        <w:t>t</w:t>
      </w:r>
      <w:r w:rsidRPr="00BD77D8">
        <w:rPr>
          <w:spacing w:val="-1"/>
        </w:rPr>
        <w:t>o</w:t>
      </w:r>
      <w:r w:rsidR="004767D6" w:rsidRPr="00BD77D8">
        <w:rPr>
          <w:spacing w:val="-1"/>
        </w:rPr>
        <w:t xml:space="preserve"> </w:t>
      </w:r>
      <w:r w:rsidRPr="00BD77D8">
        <w:rPr>
          <w:spacing w:val="-1"/>
        </w:rPr>
        <w:t>consu</w:t>
      </w:r>
      <w:r w:rsidRPr="00BD77D8">
        <w:t>lt</w:t>
      </w:r>
      <w:r w:rsidRPr="00BD77D8">
        <w:rPr>
          <w:spacing w:val="-1"/>
        </w:rPr>
        <w:t>ancies,</w:t>
      </w:r>
      <w:r w:rsidRPr="00BD77D8">
        <w:rPr>
          <w:spacing w:val="-5"/>
        </w:rPr>
        <w:t xml:space="preserve"> </w:t>
      </w:r>
      <w:r w:rsidRPr="00BD77D8">
        <w:rPr>
          <w:spacing w:val="-1"/>
        </w:rPr>
        <w:t>o</w:t>
      </w:r>
      <w:r w:rsidRPr="00BD77D8">
        <w:t>ver</w:t>
      </w:r>
      <w:r w:rsidRPr="00BD77D8">
        <w:rPr>
          <w:spacing w:val="-1"/>
        </w:rPr>
        <w:t>seas</w:t>
      </w:r>
      <w:r w:rsidRPr="00BD77D8">
        <w:rPr>
          <w:spacing w:val="-5"/>
        </w:rPr>
        <w:t xml:space="preserve"> </w:t>
      </w:r>
      <w:r w:rsidRPr="00BD77D8">
        <w:t>tr</w:t>
      </w:r>
      <w:r w:rsidRPr="00BD77D8">
        <w:rPr>
          <w:spacing w:val="-1"/>
        </w:rPr>
        <w:t>avel</w:t>
      </w:r>
      <w:r w:rsidRPr="00BD77D8">
        <w:t>,</w:t>
      </w:r>
      <w:r w:rsidRPr="00BD77D8">
        <w:rPr>
          <w:spacing w:val="-5"/>
        </w:rPr>
        <w:t xml:space="preserve"> </w:t>
      </w:r>
      <w:r w:rsidRPr="00BD77D8">
        <w:t>and</w:t>
      </w:r>
      <w:r w:rsidRPr="00BD77D8">
        <w:rPr>
          <w:spacing w:val="-5"/>
        </w:rPr>
        <w:t xml:space="preserve"> </w:t>
      </w:r>
      <w:r w:rsidRPr="00BD77D8">
        <w:t>Queen</w:t>
      </w:r>
      <w:r w:rsidRPr="00BD77D8">
        <w:rPr>
          <w:spacing w:val="-1"/>
        </w:rPr>
        <w:t>sland</w:t>
      </w:r>
      <w:r w:rsidRPr="00BD77D8">
        <w:rPr>
          <w:spacing w:val="-6"/>
        </w:rPr>
        <w:t xml:space="preserve"> </w:t>
      </w:r>
      <w:r w:rsidRPr="00BD77D8">
        <w:rPr>
          <w:spacing w:val="-1"/>
        </w:rPr>
        <w:t>Language</w:t>
      </w:r>
      <w:r w:rsidRPr="00BD77D8">
        <w:rPr>
          <w:spacing w:val="37"/>
          <w:w w:val="101"/>
        </w:rPr>
        <w:t xml:space="preserve"> </w:t>
      </w:r>
      <w:r w:rsidRPr="00BD77D8">
        <w:rPr>
          <w:spacing w:val="-1"/>
        </w:rPr>
        <w:t>Ser</w:t>
      </w:r>
      <w:r w:rsidRPr="00BD77D8">
        <w:t>v</w:t>
      </w:r>
      <w:r w:rsidRPr="00BD77D8">
        <w:rPr>
          <w:spacing w:val="-1"/>
        </w:rPr>
        <w:t>ic</w:t>
      </w:r>
      <w:r w:rsidRPr="00BD77D8">
        <w:t>e</w:t>
      </w:r>
      <w:r w:rsidRPr="00BD77D8">
        <w:rPr>
          <w:spacing w:val="-1"/>
        </w:rPr>
        <w:t>s</w:t>
      </w:r>
      <w:r w:rsidRPr="00BD77D8">
        <w:rPr>
          <w:spacing w:val="-25"/>
        </w:rPr>
        <w:t xml:space="preserve"> </w:t>
      </w:r>
      <w:r w:rsidRPr="00BD77D8">
        <w:rPr>
          <w:spacing w:val="-1"/>
        </w:rPr>
        <w:t>Policy</w:t>
      </w:r>
      <w:r w:rsidR="00BF5F01" w:rsidRPr="00BD77D8">
        <w:rPr>
          <w:spacing w:val="-1"/>
        </w:rPr>
        <w:t xml:space="preserve">, </w:t>
      </w:r>
      <w:r w:rsidRPr="00BD77D8">
        <w:t>v</w:t>
      </w:r>
      <w:r w:rsidRPr="00BD77D8">
        <w:rPr>
          <w:spacing w:val="-1"/>
        </w:rPr>
        <w:t>is</w:t>
      </w:r>
      <w:r w:rsidRPr="00BD77D8">
        <w:t>it:</w:t>
      </w:r>
      <w:r w:rsidR="000E0671" w:rsidRPr="00BD77D8">
        <w:t xml:space="preserve"> </w:t>
      </w:r>
      <w:hyperlink r:id="rId28" w:history="1">
        <w:r w:rsidR="00F62E6D" w:rsidRPr="00BD77D8">
          <w:rPr>
            <w:rStyle w:val="Hyperlink"/>
            <w:color w:val="auto"/>
          </w:rPr>
          <w:t>https://data.qld.gov.au</w:t>
        </w:r>
      </w:hyperlink>
      <w:bookmarkStart w:id="296" w:name="_Toc42002269"/>
      <w:bookmarkStart w:id="297" w:name="_Toc43444804"/>
      <w:bookmarkStart w:id="298" w:name="_Toc78287404"/>
      <w:bookmarkStart w:id="299" w:name="_Toc78355811"/>
    </w:p>
    <w:p w14:paraId="7F52587D" w14:textId="4DA5E17B" w:rsidR="00121D8A" w:rsidRPr="00BD77D8" w:rsidRDefault="00121D8A" w:rsidP="002A06B9">
      <w:pPr>
        <w:pStyle w:val="Heading2"/>
        <w:rPr>
          <w:color w:val="auto"/>
        </w:rPr>
      </w:pPr>
      <w:bookmarkStart w:id="300" w:name="_Toc73714452"/>
      <w:bookmarkStart w:id="301" w:name="_Toc78287406"/>
      <w:bookmarkStart w:id="302" w:name="_Toc78355813"/>
      <w:bookmarkStart w:id="303" w:name="_Toc113544408"/>
      <w:bookmarkEnd w:id="294"/>
      <w:bookmarkEnd w:id="296"/>
      <w:bookmarkEnd w:id="297"/>
      <w:bookmarkEnd w:id="298"/>
      <w:bookmarkEnd w:id="299"/>
      <w:r w:rsidRPr="00BD77D8">
        <w:rPr>
          <w:color w:val="auto"/>
        </w:rPr>
        <w:t>Future directions</w:t>
      </w:r>
      <w:bookmarkEnd w:id="300"/>
      <w:bookmarkEnd w:id="301"/>
      <w:bookmarkEnd w:id="302"/>
      <w:bookmarkEnd w:id="303"/>
    </w:p>
    <w:p w14:paraId="1519A6A7" w14:textId="22F2DF43" w:rsidR="00121D8A" w:rsidRPr="00BD77D8" w:rsidRDefault="00121D8A" w:rsidP="00B74C2B">
      <w:pPr>
        <w:pStyle w:val="ListBullet"/>
        <w:numPr>
          <w:ilvl w:val="0"/>
          <w:numId w:val="0"/>
        </w:numPr>
        <w:ind w:left="360" w:hanging="360"/>
        <w:rPr>
          <w:b/>
          <w:bCs/>
        </w:rPr>
      </w:pPr>
      <w:r w:rsidRPr="00BD77D8">
        <w:rPr>
          <w:b/>
          <w:bCs/>
        </w:rPr>
        <w:t>Strengthen capability, innovation and governance</w:t>
      </w:r>
      <w:r w:rsidR="007176AD" w:rsidRPr="00BD77D8">
        <w:rPr>
          <w:b/>
          <w:bCs/>
        </w:rPr>
        <w:t xml:space="preserve"> by:</w:t>
      </w:r>
    </w:p>
    <w:p w14:paraId="06F3DF84" w14:textId="6D8641AB" w:rsidR="0033652B" w:rsidRPr="00BD77D8" w:rsidRDefault="00006164" w:rsidP="0033652B">
      <w:pPr>
        <w:pStyle w:val="ListBullet"/>
      </w:pPr>
      <w:r w:rsidRPr="00BD77D8">
        <w:t>s</w:t>
      </w:r>
      <w:r w:rsidR="0033652B" w:rsidRPr="00BD77D8">
        <w:t>trengthen</w:t>
      </w:r>
      <w:r w:rsidRPr="00BD77D8">
        <w:t>ing</w:t>
      </w:r>
      <w:r w:rsidR="0033652B" w:rsidRPr="00BD77D8">
        <w:t xml:space="preserve"> performance through contemporary governance best practice </w:t>
      </w:r>
    </w:p>
    <w:p w14:paraId="54D26C72" w14:textId="791E4FEB" w:rsidR="0033652B" w:rsidRPr="00BD77D8" w:rsidRDefault="00006164" w:rsidP="0033652B">
      <w:pPr>
        <w:pStyle w:val="ListBullet"/>
      </w:pPr>
      <w:r w:rsidRPr="00BD77D8">
        <w:t>i</w:t>
      </w:r>
      <w:r w:rsidR="0033652B" w:rsidRPr="00BD77D8">
        <w:t>mpro</w:t>
      </w:r>
      <w:r w:rsidR="00D44AFF" w:rsidRPr="00BD77D8">
        <w:t>ving</w:t>
      </w:r>
      <w:r w:rsidR="0033652B" w:rsidRPr="00BD77D8">
        <w:t xml:space="preserve"> departmental workforce inclusion and diversity </w:t>
      </w:r>
    </w:p>
    <w:p w14:paraId="279732AC" w14:textId="6BCAF68E" w:rsidR="0033652B" w:rsidRPr="00BD77D8" w:rsidRDefault="00D44AFF" w:rsidP="0033652B">
      <w:pPr>
        <w:pStyle w:val="ListBullet"/>
      </w:pPr>
      <w:r w:rsidRPr="00BD77D8">
        <w:t>d</w:t>
      </w:r>
      <w:r w:rsidR="0033652B" w:rsidRPr="00BD77D8">
        <w:t>riv</w:t>
      </w:r>
      <w:r w:rsidRPr="00BD77D8">
        <w:t>ing</w:t>
      </w:r>
      <w:r w:rsidR="0033652B" w:rsidRPr="00BD77D8">
        <w:t xml:space="preserve"> performance, innovation and service delivery improvements aligned to the government’s priorities, through evaluations, reviews, data and feedback </w:t>
      </w:r>
    </w:p>
    <w:p w14:paraId="6E7FC17B" w14:textId="1027BFDC" w:rsidR="0033652B" w:rsidRPr="00BD77D8" w:rsidRDefault="00D44AFF" w:rsidP="0033652B">
      <w:pPr>
        <w:pStyle w:val="ListBullet"/>
      </w:pPr>
      <w:r w:rsidRPr="00BD77D8">
        <w:t>b</w:t>
      </w:r>
      <w:r w:rsidR="0033652B" w:rsidRPr="00BD77D8">
        <w:t>uild</w:t>
      </w:r>
      <w:r w:rsidRPr="00BD77D8">
        <w:t>ing</w:t>
      </w:r>
      <w:r w:rsidR="0033652B" w:rsidRPr="00BD77D8">
        <w:t xml:space="preserve"> on and maintain</w:t>
      </w:r>
      <w:r w:rsidR="00BF5F01" w:rsidRPr="00BD77D8">
        <w:t>ing</w:t>
      </w:r>
      <w:r w:rsidR="0033652B" w:rsidRPr="00BD77D8">
        <w:t xml:space="preserve"> workforce capability that is outcomes focussed to consistently deliver service expectations </w:t>
      </w:r>
    </w:p>
    <w:p w14:paraId="362E7316" w14:textId="41F4FCDF" w:rsidR="0033652B" w:rsidRPr="00BD77D8" w:rsidRDefault="00D44AFF" w:rsidP="0033652B">
      <w:pPr>
        <w:pStyle w:val="ListBullet"/>
      </w:pPr>
      <w:r w:rsidRPr="00BD77D8">
        <w:t>v</w:t>
      </w:r>
      <w:r w:rsidR="0033652B" w:rsidRPr="00BD77D8">
        <w:t>alu</w:t>
      </w:r>
      <w:r w:rsidRPr="00BD77D8">
        <w:t>ing</w:t>
      </w:r>
      <w:r w:rsidR="0033652B" w:rsidRPr="00BD77D8">
        <w:t xml:space="preserve"> our staff, support</w:t>
      </w:r>
      <w:r w:rsidR="00BF5F01" w:rsidRPr="00BD77D8">
        <w:t>ing</w:t>
      </w:r>
      <w:r w:rsidR="0033652B" w:rsidRPr="00BD77D8">
        <w:t xml:space="preserve"> them through change, and assist</w:t>
      </w:r>
      <w:r w:rsidR="004767D6" w:rsidRPr="00BD77D8">
        <w:t>ing</w:t>
      </w:r>
      <w:r w:rsidR="0033652B" w:rsidRPr="00BD77D8">
        <w:t xml:space="preserve"> them to engage in departmental programs that build leadership competencies and capability, and encourage innovation in line with our SOLID values </w:t>
      </w:r>
    </w:p>
    <w:p w14:paraId="2F01DFF2" w14:textId="04080026" w:rsidR="0033652B" w:rsidRPr="00BD77D8" w:rsidRDefault="00D44AFF" w:rsidP="0033652B">
      <w:pPr>
        <w:pStyle w:val="ListBullet"/>
      </w:pPr>
      <w:r w:rsidRPr="00BD77D8">
        <w:t>i</w:t>
      </w:r>
      <w:r w:rsidR="0033652B" w:rsidRPr="00BD77D8">
        <w:t>nvest</w:t>
      </w:r>
      <w:r w:rsidRPr="00BD77D8">
        <w:t>ing</w:t>
      </w:r>
      <w:r w:rsidR="0033652B" w:rsidRPr="00BD77D8">
        <w:t xml:space="preserve"> in the learning and capability development of our staff, ensuring that their safety, health and wellbeing is a priority, with a focus on the attraction and retention of a skilled and diverse workforce </w:t>
      </w:r>
    </w:p>
    <w:p w14:paraId="75F90F4B" w14:textId="7348D88C" w:rsidR="0033652B" w:rsidRPr="00BD77D8" w:rsidRDefault="00D44AFF" w:rsidP="0033652B">
      <w:pPr>
        <w:pStyle w:val="ListBullet"/>
      </w:pPr>
      <w:r w:rsidRPr="00BD77D8">
        <w:t>e</w:t>
      </w:r>
      <w:r w:rsidR="0033652B" w:rsidRPr="00BD77D8">
        <w:t>ngag</w:t>
      </w:r>
      <w:r w:rsidRPr="00BD77D8">
        <w:t>ing</w:t>
      </w:r>
      <w:r w:rsidR="0033652B" w:rsidRPr="00BD77D8">
        <w:t xml:space="preserve"> with staff on the outcome of the Working for Queensland survey and empower</w:t>
      </w:r>
      <w:r w:rsidR="00BF5F01" w:rsidRPr="00BD77D8">
        <w:t>ing staff to</w:t>
      </w:r>
      <w:r w:rsidR="0033652B" w:rsidRPr="00BD77D8">
        <w:t xml:space="preserve"> design approaches that make the department an employer of choice.</w:t>
      </w:r>
    </w:p>
    <w:p w14:paraId="649969DF" w14:textId="55CDC7D5" w:rsidR="00EE323D" w:rsidRPr="00BD77D8" w:rsidRDefault="00121D8A" w:rsidP="00CB49EA">
      <w:pPr>
        <w:pStyle w:val="ListParagraph"/>
        <w:numPr>
          <w:ilvl w:val="0"/>
          <w:numId w:val="10"/>
        </w:numPr>
        <w:spacing w:after="0" w:line="240" w:lineRule="auto"/>
        <w:rPr>
          <w:bCs/>
          <w:noProof/>
          <w:kern w:val="32"/>
          <w:lang w:eastAsia="en-US"/>
        </w:rPr>
      </w:pPr>
      <w:r w:rsidRPr="00BD77D8">
        <w:br w:type="page"/>
      </w:r>
      <w:bookmarkEnd w:id="278"/>
    </w:p>
    <w:p w14:paraId="398C2E17" w14:textId="1F5CAD7F" w:rsidR="00655D55" w:rsidRPr="00BD77D8" w:rsidRDefault="00392640" w:rsidP="001C5683">
      <w:pPr>
        <w:pStyle w:val="Heading1"/>
        <w:rPr>
          <w:color w:val="auto"/>
        </w:rPr>
      </w:pPr>
      <w:bookmarkStart w:id="304" w:name="_Toc78287407"/>
      <w:bookmarkStart w:id="305" w:name="_Toc78355814"/>
      <w:bookmarkStart w:id="306" w:name="_Toc113544409"/>
      <w:bookmarkStart w:id="307" w:name="_Hlk115357418"/>
      <w:bookmarkEnd w:id="264"/>
      <w:r w:rsidRPr="00BD77D8">
        <w:rPr>
          <w:color w:val="auto"/>
        </w:rPr>
        <w:lastRenderedPageBreak/>
        <w:t xml:space="preserve">06 </w:t>
      </w:r>
      <w:r w:rsidR="00655D55" w:rsidRPr="00BD77D8">
        <w:rPr>
          <w:color w:val="auto"/>
        </w:rPr>
        <w:t>Financial performance</w:t>
      </w:r>
      <w:bookmarkEnd w:id="304"/>
      <w:bookmarkEnd w:id="305"/>
      <w:bookmarkEnd w:id="306"/>
    </w:p>
    <w:p w14:paraId="485137C2" w14:textId="227DDBBF" w:rsidR="00B4253E" w:rsidRPr="00BD77D8" w:rsidRDefault="002F2A4E" w:rsidP="006910D6">
      <w:pPr>
        <w:pStyle w:val="Heading2"/>
        <w:spacing w:after="240"/>
        <w:rPr>
          <w:b/>
          <w:bCs w:val="0"/>
          <w:color w:val="auto"/>
          <w:sz w:val="24"/>
          <w:szCs w:val="24"/>
        </w:rPr>
      </w:pPr>
      <w:bookmarkStart w:id="308" w:name="_Toc78287408"/>
      <w:bookmarkStart w:id="309" w:name="_Toc78355815"/>
      <w:bookmarkStart w:id="310" w:name="_Toc113544410"/>
      <w:r w:rsidRPr="00BD77D8">
        <w:rPr>
          <w:b/>
          <w:bCs w:val="0"/>
          <w:color w:val="auto"/>
          <w:sz w:val="24"/>
          <w:szCs w:val="24"/>
        </w:rPr>
        <w:t>Chief Finance Officer’s report</w:t>
      </w:r>
      <w:bookmarkEnd w:id="308"/>
      <w:bookmarkEnd w:id="309"/>
      <w:bookmarkEnd w:id="310"/>
      <w:r w:rsidR="004D2EE5" w:rsidRPr="00BD77D8">
        <w:rPr>
          <w:b/>
          <w:bCs w:val="0"/>
          <w:color w:val="auto"/>
          <w:sz w:val="24"/>
          <w:szCs w:val="24"/>
        </w:rPr>
        <w:t xml:space="preserve"> </w:t>
      </w:r>
      <w:r w:rsidR="001511B9" w:rsidRPr="00BD77D8">
        <w:rPr>
          <w:b/>
          <w:bCs w:val="0"/>
          <w:color w:val="auto"/>
          <w:sz w:val="24"/>
          <w:szCs w:val="24"/>
        </w:rPr>
        <w:t xml:space="preserve"> </w:t>
      </w:r>
    </w:p>
    <w:p w14:paraId="5163FCC3" w14:textId="413DFA1E" w:rsidR="006910D6" w:rsidRPr="00BD77D8" w:rsidRDefault="006910D6" w:rsidP="006910D6">
      <w:pPr>
        <w:rPr>
          <w:sz w:val="22"/>
          <w:szCs w:val="22"/>
          <w:lang w:eastAsia="en-US"/>
        </w:rPr>
      </w:pPr>
      <w:r w:rsidRPr="00BD77D8">
        <w:rPr>
          <w:sz w:val="22"/>
          <w:szCs w:val="22"/>
          <w:lang w:eastAsia="en-US"/>
        </w:rPr>
        <w:t>Financial Assurance and Risk Management</w:t>
      </w:r>
    </w:p>
    <w:p w14:paraId="232E0E91" w14:textId="77777777" w:rsidR="00134E20" w:rsidRPr="00BD77D8" w:rsidRDefault="00134E20" w:rsidP="00485E8D">
      <w:pPr>
        <w:spacing w:after="120" w:line="259" w:lineRule="auto"/>
        <w:rPr>
          <w:rFonts w:eastAsia="Calibri"/>
          <w:lang w:eastAsia="en-US"/>
        </w:rPr>
      </w:pPr>
      <w:r w:rsidRPr="00BD77D8">
        <w:rPr>
          <w:rFonts w:eastAsia="Calibri"/>
          <w:lang w:eastAsia="en-US"/>
        </w:rPr>
        <w:t xml:space="preserve">Section 77(2)(b) of the </w:t>
      </w:r>
      <w:r w:rsidRPr="00BD77D8">
        <w:rPr>
          <w:rFonts w:eastAsia="Calibri"/>
          <w:i/>
          <w:iCs/>
          <w:lang w:eastAsia="en-US"/>
        </w:rPr>
        <w:t>Financial Accountability Act 2009</w:t>
      </w:r>
      <w:r w:rsidRPr="00BD77D8">
        <w:rPr>
          <w:rFonts w:eastAsia="Calibri"/>
          <w:lang w:eastAsia="en-US"/>
        </w:rPr>
        <w:t xml:space="preserve"> requires the Chief Finance Officer of the Department of Seniors, Disability Services and Aboriginal and Torres Strait Islander Partnerships to provide the accountable officer with a statement on whether the department’s internal financial controls are operating efficiently, effectively and economically.</w:t>
      </w:r>
    </w:p>
    <w:p w14:paraId="38F1A785" w14:textId="28BFB435" w:rsidR="00134E20" w:rsidRPr="00BD77D8" w:rsidRDefault="00134E20" w:rsidP="00485E8D">
      <w:pPr>
        <w:spacing w:after="120" w:line="259" w:lineRule="auto"/>
        <w:rPr>
          <w:rFonts w:eastAsia="Calibri"/>
          <w:lang w:eastAsia="en-US"/>
        </w:rPr>
      </w:pPr>
      <w:r w:rsidRPr="00BD77D8">
        <w:rPr>
          <w:rFonts w:eastAsia="Calibri"/>
          <w:lang w:eastAsia="en-US"/>
        </w:rPr>
        <w:t>The 2021</w:t>
      </w:r>
      <w:r w:rsidR="00D51A9A" w:rsidRPr="00BD77D8">
        <w:rPr>
          <w:rFonts w:eastAsia="Calibri"/>
          <w:lang w:eastAsia="en-US"/>
        </w:rPr>
        <w:t>–</w:t>
      </w:r>
      <w:r w:rsidR="00CD7263" w:rsidRPr="00BD77D8">
        <w:rPr>
          <w:rFonts w:eastAsia="Calibri"/>
          <w:lang w:eastAsia="en-US"/>
        </w:rPr>
        <w:t>20</w:t>
      </w:r>
      <w:r w:rsidRPr="00BD77D8">
        <w:rPr>
          <w:rFonts w:eastAsia="Calibri"/>
          <w:lang w:eastAsia="en-US"/>
        </w:rPr>
        <w:t xml:space="preserve">22 Statement of Assurance provided to the Director-General satisfies all requirements of the </w:t>
      </w:r>
      <w:r w:rsidRPr="00BD77D8">
        <w:rPr>
          <w:rFonts w:eastAsia="Calibri"/>
          <w:i/>
          <w:iCs/>
          <w:lang w:eastAsia="en-US"/>
        </w:rPr>
        <w:t>Financial and Performance Management Standard 2019.</w:t>
      </w:r>
      <w:r w:rsidRPr="00BD77D8">
        <w:rPr>
          <w:rFonts w:eastAsia="Calibri"/>
          <w:lang w:eastAsia="en-US"/>
        </w:rPr>
        <w:t xml:space="preserve"> The statement was also provided to the department’s Audit and Risk Committee.</w:t>
      </w:r>
    </w:p>
    <w:p w14:paraId="29B460CD" w14:textId="562EEB2C" w:rsidR="00134E20" w:rsidRPr="00BD77D8" w:rsidRDefault="00CD7263" w:rsidP="00485E8D">
      <w:pPr>
        <w:spacing w:after="120" w:line="259" w:lineRule="auto"/>
        <w:rPr>
          <w:rFonts w:eastAsia="Calibri"/>
          <w:lang w:eastAsia="en-US"/>
        </w:rPr>
      </w:pPr>
      <w:r w:rsidRPr="00BD77D8">
        <w:rPr>
          <w:rFonts w:eastAsia="Calibri"/>
          <w:lang w:eastAsia="en-US"/>
        </w:rPr>
        <w:t xml:space="preserve">The </w:t>
      </w:r>
      <w:r w:rsidR="00D51A9A" w:rsidRPr="00BD77D8">
        <w:rPr>
          <w:rFonts w:eastAsia="Calibri"/>
          <w:lang w:eastAsia="en-US"/>
        </w:rPr>
        <w:t>s</w:t>
      </w:r>
      <w:r w:rsidRPr="00BD77D8">
        <w:rPr>
          <w:rFonts w:eastAsia="Calibri"/>
          <w:lang w:eastAsia="en-US"/>
        </w:rPr>
        <w:t>tatement</w:t>
      </w:r>
      <w:r w:rsidR="00134E20" w:rsidRPr="00BD77D8">
        <w:rPr>
          <w:rFonts w:eastAsia="Calibri"/>
          <w:lang w:eastAsia="en-US"/>
        </w:rPr>
        <w:t xml:space="preserve"> indicated no deficiencies or breakdowns in internal controls that would impact adversely on the department’s financial governance or financial statements for the year.</w:t>
      </w:r>
    </w:p>
    <w:p w14:paraId="07F256E4" w14:textId="2B272D2E" w:rsidR="00134E20" w:rsidRPr="00BD77D8" w:rsidRDefault="00CD7263" w:rsidP="00485E8D">
      <w:pPr>
        <w:spacing w:after="120" w:line="259" w:lineRule="auto"/>
        <w:rPr>
          <w:rFonts w:eastAsia="Calibri"/>
          <w:lang w:eastAsia="en-US"/>
        </w:rPr>
      </w:pPr>
      <w:r w:rsidRPr="00BD77D8">
        <w:rPr>
          <w:rFonts w:eastAsia="Calibri"/>
          <w:lang w:eastAsia="en-US"/>
        </w:rPr>
        <w:t>The department</w:t>
      </w:r>
      <w:r w:rsidR="00134E20" w:rsidRPr="00BD77D8">
        <w:rPr>
          <w:rFonts w:eastAsia="Calibri"/>
          <w:lang w:eastAsia="en-US"/>
        </w:rPr>
        <w:t xml:space="preserve"> manage</w:t>
      </w:r>
      <w:r w:rsidRPr="00BD77D8">
        <w:rPr>
          <w:rFonts w:eastAsia="Calibri"/>
          <w:lang w:eastAsia="en-US"/>
        </w:rPr>
        <w:t>s</w:t>
      </w:r>
      <w:r w:rsidR="00134E20" w:rsidRPr="00BD77D8">
        <w:rPr>
          <w:rFonts w:eastAsia="Calibri"/>
          <w:lang w:eastAsia="en-US"/>
        </w:rPr>
        <w:t xml:space="preserve"> financial risks and liabilities by reviewing </w:t>
      </w:r>
      <w:r w:rsidRPr="00BD77D8">
        <w:rPr>
          <w:rFonts w:eastAsia="Calibri"/>
          <w:lang w:eastAsia="en-US"/>
        </w:rPr>
        <w:t>its</w:t>
      </w:r>
      <w:r w:rsidR="00134E20" w:rsidRPr="00BD77D8">
        <w:rPr>
          <w:rFonts w:eastAsia="Calibri"/>
          <w:lang w:eastAsia="en-US"/>
        </w:rPr>
        <w:t xml:space="preserve"> financial performance through the corporate governance framework. To help us manage risks, the department’s Audit and Risk Committee oversees audit activities, audit recommendations, financial reporting, internal controls and compliance. For more information on our financial performance, please </w:t>
      </w:r>
      <w:r w:rsidRPr="00BD77D8">
        <w:rPr>
          <w:rFonts w:eastAsia="Calibri"/>
          <w:lang w:eastAsia="en-US"/>
        </w:rPr>
        <w:t xml:space="preserve">refer to Appendix 6: Financial </w:t>
      </w:r>
      <w:r w:rsidR="00C000A7" w:rsidRPr="00BD77D8">
        <w:rPr>
          <w:rFonts w:eastAsia="Calibri"/>
          <w:lang w:eastAsia="en-US"/>
        </w:rPr>
        <w:t>S</w:t>
      </w:r>
      <w:r w:rsidRPr="00BD77D8">
        <w:rPr>
          <w:rFonts w:eastAsia="Calibri"/>
          <w:lang w:eastAsia="en-US"/>
        </w:rPr>
        <w:t>tatements on page 8</w:t>
      </w:r>
      <w:r w:rsidR="006306DE" w:rsidRPr="00BD77D8">
        <w:rPr>
          <w:rFonts w:eastAsia="Calibri"/>
          <w:lang w:eastAsia="en-US"/>
        </w:rPr>
        <w:t>3</w:t>
      </w:r>
      <w:r w:rsidRPr="00BD77D8">
        <w:rPr>
          <w:rFonts w:eastAsia="Calibri"/>
          <w:lang w:eastAsia="en-US"/>
        </w:rPr>
        <w:t xml:space="preserve">. </w:t>
      </w:r>
      <w:r w:rsidR="00134E20" w:rsidRPr="00BD77D8">
        <w:rPr>
          <w:rFonts w:eastAsia="Calibri"/>
          <w:lang w:eastAsia="en-US"/>
        </w:rPr>
        <w:t xml:space="preserve"> </w:t>
      </w:r>
    </w:p>
    <w:p w14:paraId="4D233583" w14:textId="25A2D783" w:rsidR="006910D6" w:rsidRPr="00BD77D8" w:rsidRDefault="006910D6" w:rsidP="00485E8D">
      <w:pPr>
        <w:spacing w:after="120" w:line="259" w:lineRule="auto"/>
        <w:rPr>
          <w:rFonts w:eastAsia="Calibri"/>
          <w:sz w:val="22"/>
          <w:szCs w:val="22"/>
          <w:lang w:eastAsia="en-US"/>
        </w:rPr>
      </w:pPr>
      <w:r w:rsidRPr="00BD77D8">
        <w:rPr>
          <w:rFonts w:eastAsia="Calibri"/>
          <w:sz w:val="22"/>
          <w:szCs w:val="22"/>
          <w:lang w:eastAsia="en-US"/>
        </w:rPr>
        <w:t>Financial Performance</w:t>
      </w:r>
    </w:p>
    <w:p w14:paraId="4915B902" w14:textId="5B55B9FC" w:rsidR="00134E20" w:rsidRPr="00BD77D8" w:rsidRDefault="00134E20" w:rsidP="00485E8D">
      <w:pPr>
        <w:spacing w:after="120" w:line="259" w:lineRule="auto"/>
        <w:rPr>
          <w:rFonts w:eastAsia="Calibri"/>
          <w:lang w:eastAsia="en-US"/>
        </w:rPr>
      </w:pPr>
      <w:r w:rsidRPr="00BD77D8">
        <w:rPr>
          <w:rFonts w:eastAsia="Calibri"/>
          <w:lang w:eastAsia="en-US"/>
        </w:rPr>
        <w:t>The department’s strong fiscal discipline resulted in an operating surplus of $31.191 million for 2021</w:t>
      </w:r>
      <w:r w:rsidR="00D51A9A" w:rsidRPr="00BD77D8">
        <w:rPr>
          <w:rFonts w:eastAsia="Calibri"/>
          <w:lang w:eastAsia="en-US"/>
        </w:rPr>
        <w:t>–</w:t>
      </w:r>
      <w:r w:rsidR="00EF738E" w:rsidRPr="00BD77D8">
        <w:rPr>
          <w:rFonts w:eastAsia="Calibri"/>
          <w:lang w:eastAsia="en-US"/>
        </w:rPr>
        <w:t>20</w:t>
      </w:r>
      <w:r w:rsidRPr="00BD77D8">
        <w:rPr>
          <w:rFonts w:eastAsia="Calibri"/>
          <w:lang w:eastAsia="en-US"/>
        </w:rPr>
        <w:t xml:space="preserve">22. Importantly, this result included the effects of asset revaluation increases of $28.569 million. </w:t>
      </w:r>
    </w:p>
    <w:p w14:paraId="576F817B" w14:textId="02D1E93A" w:rsidR="00134E20" w:rsidRPr="00BD77D8" w:rsidRDefault="00134E20" w:rsidP="00485E8D">
      <w:pPr>
        <w:spacing w:after="120" w:line="240" w:lineRule="auto"/>
        <w:rPr>
          <w:rFonts w:eastAsia="Calibri"/>
          <w:b/>
          <w:lang w:eastAsia="en-US"/>
        </w:rPr>
      </w:pPr>
      <w:r w:rsidRPr="00BD77D8">
        <w:rPr>
          <w:rFonts w:eastAsia="Calibri"/>
          <w:b/>
          <w:lang w:eastAsia="en-US"/>
        </w:rPr>
        <w:t>Income</w:t>
      </w:r>
    </w:p>
    <w:p w14:paraId="6BC738DA" w14:textId="3A38D241" w:rsidR="00134E20" w:rsidRPr="00BD77D8" w:rsidRDefault="00134E20" w:rsidP="00485E8D">
      <w:pPr>
        <w:spacing w:after="120" w:line="259" w:lineRule="auto"/>
        <w:rPr>
          <w:rFonts w:eastAsia="Calibri"/>
          <w:lang w:eastAsia="en-US"/>
        </w:rPr>
      </w:pPr>
      <w:r w:rsidRPr="00BD77D8">
        <w:rPr>
          <w:rFonts w:eastAsia="Calibri"/>
          <w:lang w:eastAsia="en-US"/>
        </w:rPr>
        <w:t>Our income in 2021</w:t>
      </w:r>
      <w:r w:rsidR="00D51A9A" w:rsidRPr="00BD77D8">
        <w:rPr>
          <w:rFonts w:eastAsia="Calibri"/>
          <w:lang w:eastAsia="en-US"/>
        </w:rPr>
        <w:t>–</w:t>
      </w:r>
      <w:r w:rsidR="00EF738E" w:rsidRPr="00BD77D8">
        <w:rPr>
          <w:rFonts w:eastAsia="Calibri"/>
          <w:lang w:eastAsia="en-US"/>
        </w:rPr>
        <w:t>20</w:t>
      </w:r>
      <w:r w:rsidRPr="00BD77D8">
        <w:rPr>
          <w:rFonts w:eastAsia="Calibri"/>
          <w:lang w:eastAsia="en-US"/>
        </w:rPr>
        <w:t>22 was $336.127 million, with the major sources of income being the Queensland and Australian governments for the provision of services.</w:t>
      </w:r>
    </w:p>
    <w:p w14:paraId="35EE6865" w14:textId="6371C1C2" w:rsidR="00134E20" w:rsidRPr="00BD77D8" w:rsidRDefault="00134E20" w:rsidP="00485E8D">
      <w:pPr>
        <w:spacing w:after="120" w:line="259" w:lineRule="auto"/>
        <w:rPr>
          <w:rFonts w:eastAsia="Calibri"/>
          <w:lang w:eastAsia="en-US"/>
        </w:rPr>
      </w:pPr>
      <w:r w:rsidRPr="00BD77D8">
        <w:rPr>
          <w:rFonts w:eastAsia="Calibri"/>
          <w:lang w:eastAsia="en-US"/>
        </w:rPr>
        <w:t>Income by category for the year ended 30 June 2022</w:t>
      </w:r>
      <w:r w:rsidR="00F807D8" w:rsidRPr="00BD77D8">
        <w:rPr>
          <w:rFonts w:eastAsia="Calibri"/>
          <w:lang w:eastAsia="en-US"/>
        </w:rPr>
        <w:t>:</w:t>
      </w:r>
    </w:p>
    <w:tbl>
      <w:tblPr>
        <w:tblStyle w:val="TableGrid17"/>
        <w:tblW w:w="0" w:type="auto"/>
        <w:tblLook w:val="04A0" w:firstRow="1" w:lastRow="0" w:firstColumn="1" w:lastColumn="0" w:noHBand="0" w:noVBand="1"/>
      </w:tblPr>
      <w:tblGrid>
        <w:gridCol w:w="4390"/>
        <w:gridCol w:w="2014"/>
        <w:gridCol w:w="3372"/>
      </w:tblGrid>
      <w:tr w:rsidR="00BD77D8" w:rsidRPr="00BD77D8" w14:paraId="4E899AB7" w14:textId="77777777" w:rsidTr="00B86E89">
        <w:tc>
          <w:tcPr>
            <w:tcW w:w="4390" w:type="dxa"/>
            <w:shd w:val="clear" w:color="auto" w:fill="F2F2F2" w:themeFill="background1" w:themeFillShade="F2"/>
          </w:tcPr>
          <w:p w14:paraId="2CD3550E" w14:textId="0B3E240E" w:rsidR="00134E20" w:rsidRPr="00BD77D8" w:rsidRDefault="00F807D8" w:rsidP="00BA691A">
            <w:pPr>
              <w:spacing w:before="40" w:after="40" w:line="240" w:lineRule="auto"/>
              <w:rPr>
                <w:rFonts w:ascii="Arial" w:hAnsi="Arial"/>
                <w:b/>
                <w:bCs/>
              </w:rPr>
            </w:pPr>
            <w:r w:rsidRPr="00BD77D8">
              <w:rPr>
                <w:rFonts w:ascii="Arial" w:hAnsi="Arial"/>
                <w:b/>
                <w:bCs/>
              </w:rPr>
              <w:t>I</w:t>
            </w:r>
            <w:r w:rsidR="00134E20" w:rsidRPr="00BD77D8">
              <w:rPr>
                <w:rFonts w:ascii="Arial" w:hAnsi="Arial"/>
                <w:b/>
                <w:bCs/>
              </w:rPr>
              <w:t>ncome</w:t>
            </w:r>
          </w:p>
        </w:tc>
        <w:tc>
          <w:tcPr>
            <w:tcW w:w="2014" w:type="dxa"/>
            <w:shd w:val="clear" w:color="auto" w:fill="F2F2F2" w:themeFill="background1" w:themeFillShade="F2"/>
          </w:tcPr>
          <w:p w14:paraId="4272C504" w14:textId="77777777" w:rsidR="00134E20" w:rsidRPr="00BD77D8" w:rsidRDefault="00134E20" w:rsidP="00BA691A">
            <w:pPr>
              <w:spacing w:before="40" w:after="40" w:line="240" w:lineRule="auto"/>
              <w:rPr>
                <w:rFonts w:ascii="Arial" w:hAnsi="Arial"/>
                <w:b/>
                <w:bCs/>
              </w:rPr>
            </w:pPr>
            <w:r w:rsidRPr="00BD77D8">
              <w:rPr>
                <w:rFonts w:ascii="Arial" w:hAnsi="Arial"/>
                <w:b/>
                <w:bCs/>
              </w:rPr>
              <w:t>Income %</w:t>
            </w:r>
          </w:p>
        </w:tc>
        <w:tc>
          <w:tcPr>
            <w:tcW w:w="3372" w:type="dxa"/>
            <w:shd w:val="clear" w:color="auto" w:fill="F2F2F2" w:themeFill="background1" w:themeFillShade="F2"/>
          </w:tcPr>
          <w:p w14:paraId="47FCF681" w14:textId="77777777" w:rsidR="00134E20" w:rsidRPr="00BD77D8" w:rsidRDefault="00134E20" w:rsidP="00BA691A">
            <w:pPr>
              <w:spacing w:before="40" w:after="40" w:line="240" w:lineRule="auto"/>
              <w:rPr>
                <w:rFonts w:ascii="Arial" w:hAnsi="Arial"/>
                <w:b/>
                <w:bCs/>
              </w:rPr>
            </w:pPr>
            <w:r w:rsidRPr="00BD77D8">
              <w:rPr>
                <w:rFonts w:ascii="Arial" w:hAnsi="Arial"/>
                <w:b/>
                <w:bCs/>
              </w:rPr>
              <w:t>$ Million</w:t>
            </w:r>
          </w:p>
        </w:tc>
      </w:tr>
      <w:tr w:rsidR="00BD77D8" w:rsidRPr="00BD77D8" w14:paraId="3E39EBA7" w14:textId="77777777" w:rsidTr="002D00A3">
        <w:tc>
          <w:tcPr>
            <w:tcW w:w="4390" w:type="dxa"/>
          </w:tcPr>
          <w:p w14:paraId="10012EE2" w14:textId="77777777" w:rsidR="00134E20" w:rsidRPr="00BD77D8" w:rsidRDefault="00134E20" w:rsidP="00BA691A">
            <w:pPr>
              <w:spacing w:before="40" w:after="40" w:line="240" w:lineRule="auto"/>
              <w:rPr>
                <w:rFonts w:ascii="Arial" w:hAnsi="Arial"/>
              </w:rPr>
            </w:pPr>
            <w:r w:rsidRPr="00BD77D8">
              <w:rPr>
                <w:rFonts w:ascii="Arial" w:hAnsi="Arial"/>
              </w:rPr>
              <w:t>Appropriation Revenue</w:t>
            </w:r>
          </w:p>
        </w:tc>
        <w:tc>
          <w:tcPr>
            <w:tcW w:w="2014" w:type="dxa"/>
          </w:tcPr>
          <w:p w14:paraId="187043C2" w14:textId="77777777" w:rsidR="00134E20" w:rsidRPr="00BD77D8" w:rsidRDefault="00134E20" w:rsidP="00BA691A">
            <w:pPr>
              <w:spacing w:before="40" w:after="40" w:line="240" w:lineRule="auto"/>
              <w:rPr>
                <w:rFonts w:ascii="Arial" w:hAnsi="Arial"/>
              </w:rPr>
            </w:pPr>
            <w:r w:rsidRPr="00BD77D8">
              <w:rPr>
                <w:rFonts w:ascii="Arial" w:hAnsi="Arial"/>
              </w:rPr>
              <w:t>84.2%</w:t>
            </w:r>
          </w:p>
        </w:tc>
        <w:tc>
          <w:tcPr>
            <w:tcW w:w="3372" w:type="dxa"/>
          </w:tcPr>
          <w:p w14:paraId="25E43109" w14:textId="77777777" w:rsidR="00134E20" w:rsidRPr="00BD77D8" w:rsidRDefault="00134E20" w:rsidP="00BA691A">
            <w:pPr>
              <w:spacing w:before="40" w:after="40" w:line="240" w:lineRule="auto"/>
              <w:rPr>
                <w:rFonts w:ascii="Arial" w:hAnsi="Arial"/>
              </w:rPr>
            </w:pPr>
            <w:r w:rsidRPr="00BD77D8">
              <w:rPr>
                <w:rFonts w:ascii="Arial" w:hAnsi="Arial"/>
              </w:rPr>
              <w:t>282.968</w:t>
            </w:r>
          </w:p>
        </w:tc>
      </w:tr>
      <w:tr w:rsidR="00BD77D8" w:rsidRPr="00BD77D8" w14:paraId="63B3FDD2" w14:textId="77777777" w:rsidTr="002D00A3">
        <w:tc>
          <w:tcPr>
            <w:tcW w:w="4390" w:type="dxa"/>
          </w:tcPr>
          <w:p w14:paraId="4F124726" w14:textId="77777777" w:rsidR="00134E20" w:rsidRPr="00BD77D8" w:rsidRDefault="00134E20" w:rsidP="00BA691A">
            <w:pPr>
              <w:spacing w:before="40" w:after="40" w:line="240" w:lineRule="auto"/>
              <w:rPr>
                <w:rFonts w:ascii="Arial" w:hAnsi="Arial"/>
              </w:rPr>
            </w:pPr>
            <w:r w:rsidRPr="00BD77D8">
              <w:rPr>
                <w:rFonts w:ascii="Arial" w:hAnsi="Arial"/>
              </w:rPr>
              <w:t>User Charges</w:t>
            </w:r>
          </w:p>
        </w:tc>
        <w:tc>
          <w:tcPr>
            <w:tcW w:w="2014" w:type="dxa"/>
          </w:tcPr>
          <w:p w14:paraId="0B4062B6" w14:textId="77777777" w:rsidR="00134E20" w:rsidRPr="00BD77D8" w:rsidRDefault="00134E20" w:rsidP="00BA691A">
            <w:pPr>
              <w:spacing w:before="40" w:after="40" w:line="240" w:lineRule="auto"/>
              <w:rPr>
                <w:rFonts w:ascii="Arial" w:hAnsi="Arial"/>
              </w:rPr>
            </w:pPr>
            <w:r w:rsidRPr="00BD77D8">
              <w:rPr>
                <w:rFonts w:ascii="Arial" w:hAnsi="Arial"/>
              </w:rPr>
              <w:t>3.1%</w:t>
            </w:r>
          </w:p>
        </w:tc>
        <w:tc>
          <w:tcPr>
            <w:tcW w:w="3372" w:type="dxa"/>
          </w:tcPr>
          <w:p w14:paraId="401794CB" w14:textId="77777777" w:rsidR="00134E20" w:rsidRPr="00BD77D8" w:rsidRDefault="00134E20" w:rsidP="00BA691A">
            <w:pPr>
              <w:spacing w:before="40" w:after="40" w:line="240" w:lineRule="auto"/>
              <w:rPr>
                <w:rFonts w:ascii="Arial" w:hAnsi="Arial"/>
              </w:rPr>
            </w:pPr>
            <w:r w:rsidRPr="00BD77D8">
              <w:rPr>
                <w:rFonts w:ascii="Arial" w:hAnsi="Arial"/>
              </w:rPr>
              <w:t>10.412</w:t>
            </w:r>
          </w:p>
        </w:tc>
      </w:tr>
      <w:tr w:rsidR="00BD77D8" w:rsidRPr="00BD77D8" w14:paraId="7347674C" w14:textId="77777777" w:rsidTr="002D00A3">
        <w:tc>
          <w:tcPr>
            <w:tcW w:w="4390" w:type="dxa"/>
          </w:tcPr>
          <w:p w14:paraId="0B1D4579" w14:textId="77777777" w:rsidR="00134E20" w:rsidRPr="00BD77D8" w:rsidRDefault="00134E20" w:rsidP="00BA691A">
            <w:pPr>
              <w:spacing w:before="40" w:after="40" w:line="240" w:lineRule="auto"/>
              <w:rPr>
                <w:rFonts w:ascii="Arial" w:hAnsi="Arial"/>
              </w:rPr>
            </w:pPr>
            <w:r w:rsidRPr="00BD77D8">
              <w:rPr>
                <w:rFonts w:ascii="Arial" w:hAnsi="Arial"/>
              </w:rPr>
              <w:t>Grants and other contributions</w:t>
            </w:r>
          </w:p>
        </w:tc>
        <w:tc>
          <w:tcPr>
            <w:tcW w:w="2014" w:type="dxa"/>
          </w:tcPr>
          <w:p w14:paraId="7CFEE0CF" w14:textId="77777777" w:rsidR="00134E20" w:rsidRPr="00BD77D8" w:rsidRDefault="00134E20" w:rsidP="00BA691A">
            <w:pPr>
              <w:spacing w:before="40" w:after="40" w:line="240" w:lineRule="auto"/>
              <w:rPr>
                <w:rFonts w:ascii="Arial" w:hAnsi="Arial"/>
              </w:rPr>
            </w:pPr>
            <w:r w:rsidRPr="00BD77D8">
              <w:rPr>
                <w:rFonts w:ascii="Arial" w:hAnsi="Arial"/>
              </w:rPr>
              <w:t>3.3%</w:t>
            </w:r>
          </w:p>
        </w:tc>
        <w:tc>
          <w:tcPr>
            <w:tcW w:w="3372" w:type="dxa"/>
          </w:tcPr>
          <w:p w14:paraId="59036BB2" w14:textId="77777777" w:rsidR="00134E20" w:rsidRPr="00BD77D8" w:rsidRDefault="00134E20" w:rsidP="00BA691A">
            <w:pPr>
              <w:spacing w:before="40" w:after="40" w:line="240" w:lineRule="auto"/>
              <w:rPr>
                <w:rFonts w:ascii="Arial" w:hAnsi="Arial"/>
              </w:rPr>
            </w:pPr>
            <w:r w:rsidRPr="00BD77D8">
              <w:rPr>
                <w:rFonts w:ascii="Arial" w:hAnsi="Arial"/>
              </w:rPr>
              <w:t>11.209</w:t>
            </w:r>
          </w:p>
        </w:tc>
      </w:tr>
      <w:tr w:rsidR="00BD77D8" w:rsidRPr="00BD77D8" w14:paraId="7BB618A6" w14:textId="77777777" w:rsidTr="002D00A3">
        <w:tc>
          <w:tcPr>
            <w:tcW w:w="4390" w:type="dxa"/>
          </w:tcPr>
          <w:p w14:paraId="1552D46F" w14:textId="77777777" w:rsidR="00134E20" w:rsidRPr="00BD77D8" w:rsidRDefault="00134E20" w:rsidP="00BA691A">
            <w:pPr>
              <w:spacing w:before="40" w:after="40" w:line="240" w:lineRule="auto"/>
              <w:rPr>
                <w:rFonts w:ascii="Arial" w:hAnsi="Arial"/>
              </w:rPr>
            </w:pPr>
            <w:r w:rsidRPr="00BD77D8">
              <w:rPr>
                <w:rFonts w:ascii="Arial" w:hAnsi="Arial"/>
              </w:rPr>
              <w:t>Other revenue</w:t>
            </w:r>
          </w:p>
        </w:tc>
        <w:tc>
          <w:tcPr>
            <w:tcW w:w="2014" w:type="dxa"/>
          </w:tcPr>
          <w:p w14:paraId="25AC69B0" w14:textId="77777777" w:rsidR="00134E20" w:rsidRPr="00BD77D8" w:rsidRDefault="00134E20" w:rsidP="00BA691A">
            <w:pPr>
              <w:spacing w:before="40" w:after="40" w:line="240" w:lineRule="auto"/>
              <w:rPr>
                <w:rFonts w:ascii="Arial" w:hAnsi="Arial"/>
              </w:rPr>
            </w:pPr>
            <w:r w:rsidRPr="00BD77D8">
              <w:rPr>
                <w:rFonts w:ascii="Arial" w:hAnsi="Arial"/>
              </w:rPr>
              <w:t>0.9%</w:t>
            </w:r>
          </w:p>
        </w:tc>
        <w:tc>
          <w:tcPr>
            <w:tcW w:w="3372" w:type="dxa"/>
          </w:tcPr>
          <w:p w14:paraId="625F43BA" w14:textId="77777777" w:rsidR="00134E20" w:rsidRPr="00BD77D8" w:rsidRDefault="00134E20" w:rsidP="00BA691A">
            <w:pPr>
              <w:spacing w:before="40" w:after="40" w:line="240" w:lineRule="auto"/>
              <w:rPr>
                <w:rFonts w:ascii="Arial" w:hAnsi="Arial"/>
              </w:rPr>
            </w:pPr>
            <w:r w:rsidRPr="00BD77D8">
              <w:rPr>
                <w:rFonts w:ascii="Arial" w:hAnsi="Arial"/>
              </w:rPr>
              <w:t>2.969</w:t>
            </w:r>
          </w:p>
        </w:tc>
      </w:tr>
      <w:tr w:rsidR="00BD77D8" w:rsidRPr="00BD77D8" w14:paraId="534E7E02" w14:textId="77777777" w:rsidTr="002D00A3">
        <w:tc>
          <w:tcPr>
            <w:tcW w:w="4390" w:type="dxa"/>
          </w:tcPr>
          <w:p w14:paraId="13DC8F98" w14:textId="77777777" w:rsidR="00134E20" w:rsidRPr="00BD77D8" w:rsidRDefault="00134E20" w:rsidP="00BA691A">
            <w:pPr>
              <w:spacing w:before="40" w:after="40" w:line="240" w:lineRule="auto"/>
              <w:rPr>
                <w:rFonts w:ascii="Arial" w:hAnsi="Arial"/>
              </w:rPr>
            </w:pPr>
            <w:r w:rsidRPr="00BD77D8">
              <w:rPr>
                <w:rFonts w:ascii="Arial" w:hAnsi="Arial"/>
              </w:rPr>
              <w:t>Reversal of Asset Revaluation Decrement</w:t>
            </w:r>
          </w:p>
        </w:tc>
        <w:tc>
          <w:tcPr>
            <w:tcW w:w="2014" w:type="dxa"/>
          </w:tcPr>
          <w:p w14:paraId="0F7D744B" w14:textId="77777777" w:rsidR="00134E20" w:rsidRPr="00BD77D8" w:rsidRDefault="00134E20" w:rsidP="00BA691A">
            <w:pPr>
              <w:spacing w:before="40" w:after="40" w:line="240" w:lineRule="auto"/>
              <w:rPr>
                <w:rFonts w:ascii="Arial" w:hAnsi="Arial"/>
              </w:rPr>
            </w:pPr>
            <w:r w:rsidRPr="00BD77D8">
              <w:rPr>
                <w:rFonts w:ascii="Arial" w:hAnsi="Arial"/>
              </w:rPr>
              <w:t>8.5%</w:t>
            </w:r>
          </w:p>
        </w:tc>
        <w:tc>
          <w:tcPr>
            <w:tcW w:w="3372" w:type="dxa"/>
          </w:tcPr>
          <w:p w14:paraId="5AE30BF4" w14:textId="77777777" w:rsidR="00134E20" w:rsidRPr="00BD77D8" w:rsidRDefault="00134E20" w:rsidP="00BA691A">
            <w:pPr>
              <w:spacing w:before="40" w:after="40" w:line="240" w:lineRule="auto"/>
              <w:rPr>
                <w:rFonts w:ascii="Arial" w:hAnsi="Arial"/>
              </w:rPr>
            </w:pPr>
            <w:r w:rsidRPr="00BD77D8">
              <w:rPr>
                <w:rFonts w:ascii="Arial" w:hAnsi="Arial"/>
              </w:rPr>
              <w:t>28.569</w:t>
            </w:r>
          </w:p>
        </w:tc>
      </w:tr>
      <w:tr w:rsidR="00BD77D8" w:rsidRPr="00BD77D8" w14:paraId="3CCF6C39" w14:textId="77777777" w:rsidTr="002D00A3">
        <w:tc>
          <w:tcPr>
            <w:tcW w:w="4390" w:type="dxa"/>
          </w:tcPr>
          <w:p w14:paraId="054501ED" w14:textId="77777777" w:rsidR="00134E20" w:rsidRPr="00BD77D8" w:rsidRDefault="00134E20" w:rsidP="00BA691A">
            <w:pPr>
              <w:spacing w:before="40" w:after="40" w:line="240" w:lineRule="auto"/>
              <w:rPr>
                <w:rFonts w:ascii="Arial" w:hAnsi="Arial"/>
                <w:b/>
                <w:bCs/>
              </w:rPr>
            </w:pPr>
            <w:r w:rsidRPr="00BD77D8">
              <w:rPr>
                <w:rFonts w:ascii="Arial" w:hAnsi="Arial"/>
                <w:b/>
                <w:bCs/>
              </w:rPr>
              <w:t>Total Income</w:t>
            </w:r>
          </w:p>
        </w:tc>
        <w:tc>
          <w:tcPr>
            <w:tcW w:w="2014" w:type="dxa"/>
          </w:tcPr>
          <w:p w14:paraId="4367837D" w14:textId="77777777" w:rsidR="00134E20" w:rsidRPr="00BD77D8" w:rsidRDefault="00134E20" w:rsidP="00BA691A">
            <w:pPr>
              <w:spacing w:before="40" w:after="40" w:line="240" w:lineRule="auto"/>
              <w:rPr>
                <w:rFonts w:ascii="Arial" w:hAnsi="Arial"/>
                <w:b/>
                <w:bCs/>
              </w:rPr>
            </w:pPr>
          </w:p>
        </w:tc>
        <w:tc>
          <w:tcPr>
            <w:tcW w:w="3372" w:type="dxa"/>
          </w:tcPr>
          <w:p w14:paraId="752C3A8F" w14:textId="77777777" w:rsidR="00134E20" w:rsidRPr="00BD77D8" w:rsidRDefault="00134E20" w:rsidP="00BA691A">
            <w:pPr>
              <w:spacing w:before="40" w:after="40" w:line="240" w:lineRule="auto"/>
              <w:rPr>
                <w:rFonts w:ascii="Arial" w:hAnsi="Arial"/>
                <w:b/>
                <w:bCs/>
              </w:rPr>
            </w:pPr>
            <w:r w:rsidRPr="00BD77D8">
              <w:rPr>
                <w:rFonts w:ascii="Arial" w:hAnsi="Arial"/>
                <w:b/>
                <w:bCs/>
              </w:rPr>
              <w:t>336.127</w:t>
            </w:r>
          </w:p>
        </w:tc>
      </w:tr>
    </w:tbl>
    <w:p w14:paraId="114ECF74" w14:textId="31A4ABD7" w:rsidR="00134E20" w:rsidRPr="00BD77D8" w:rsidRDefault="00134E20" w:rsidP="00DF4756">
      <w:pPr>
        <w:spacing w:before="240" w:after="120" w:line="180" w:lineRule="atLeast"/>
        <w:ind w:right="74"/>
        <w:textAlignment w:val="baseline"/>
        <w:rPr>
          <w:rFonts w:eastAsia="Arial"/>
          <w:b/>
          <w:bCs/>
          <w:lang w:eastAsia="en-US"/>
        </w:rPr>
      </w:pPr>
      <w:r w:rsidRPr="00BD77D8">
        <w:rPr>
          <w:rFonts w:eastAsia="Arial"/>
          <w:lang w:eastAsia="en-US"/>
        </w:rPr>
        <w:t xml:space="preserve">User charges include revenues to offset costs associated </w:t>
      </w:r>
      <w:r w:rsidR="006910D6" w:rsidRPr="00BD77D8">
        <w:rPr>
          <w:rFonts w:eastAsia="Arial"/>
          <w:lang w:eastAsia="en-US"/>
        </w:rPr>
        <w:t xml:space="preserve">Disability </w:t>
      </w:r>
      <w:r w:rsidRPr="00BD77D8">
        <w:rPr>
          <w:rFonts w:eastAsia="Arial"/>
          <w:lang w:eastAsia="en-US"/>
        </w:rPr>
        <w:t xml:space="preserve"> </w:t>
      </w:r>
      <w:r w:rsidR="006910D6" w:rsidRPr="00BD77D8">
        <w:rPr>
          <w:rFonts w:eastAsia="Arial"/>
          <w:lang w:eastAsia="en-US"/>
        </w:rPr>
        <w:t>Worker Screening</w:t>
      </w:r>
      <w:r w:rsidRPr="00BD77D8">
        <w:rPr>
          <w:rFonts w:eastAsia="Arial"/>
          <w:lang w:eastAsia="en-US"/>
        </w:rPr>
        <w:t xml:space="preserve"> applications for </w:t>
      </w:r>
      <w:r w:rsidR="006910D6" w:rsidRPr="00BD77D8">
        <w:rPr>
          <w:rFonts w:eastAsia="Arial"/>
          <w:lang w:eastAsia="en-US"/>
        </w:rPr>
        <w:t xml:space="preserve">individuals seeking to be engaged in roles that require either a NDIS or state based screening clearance. </w:t>
      </w:r>
    </w:p>
    <w:p w14:paraId="22D82797" w14:textId="3C6E3293" w:rsidR="00134E20" w:rsidRPr="00BD77D8" w:rsidRDefault="00134E20" w:rsidP="00485E8D">
      <w:pPr>
        <w:spacing w:after="120" w:line="180" w:lineRule="atLeast"/>
        <w:textAlignment w:val="baseline"/>
        <w:rPr>
          <w:rFonts w:eastAsia="Arial"/>
          <w:iCs/>
          <w:lang w:eastAsia="en-US"/>
        </w:rPr>
      </w:pPr>
      <w:r w:rsidRPr="00BD77D8">
        <w:rPr>
          <w:rFonts w:eastAsia="Arial"/>
          <w:iCs/>
          <w:lang w:eastAsia="en-US"/>
        </w:rPr>
        <w:t xml:space="preserve">In accordance with Australian Accounting Standards, the department has recognised revenue of $28.569 million reflecting the effects of asset revaluation increases. </w:t>
      </w:r>
    </w:p>
    <w:p w14:paraId="3D32D6BE" w14:textId="1865B5F0" w:rsidR="00134E20" w:rsidRPr="00BD77D8" w:rsidRDefault="00134E20" w:rsidP="00485E8D">
      <w:pPr>
        <w:spacing w:after="120" w:line="240" w:lineRule="auto"/>
        <w:rPr>
          <w:rFonts w:eastAsia="Calibri"/>
          <w:b/>
          <w:lang w:eastAsia="en-US"/>
        </w:rPr>
      </w:pPr>
      <w:r w:rsidRPr="00BD77D8">
        <w:rPr>
          <w:rFonts w:eastAsia="Calibri"/>
          <w:b/>
          <w:lang w:eastAsia="en-US"/>
        </w:rPr>
        <w:t>Operating expenses</w:t>
      </w:r>
    </w:p>
    <w:p w14:paraId="079F2A86" w14:textId="2E14C302" w:rsidR="00F807D8" w:rsidRPr="00BD77D8" w:rsidRDefault="00134E20" w:rsidP="00F807D8">
      <w:pPr>
        <w:spacing w:after="120" w:line="259" w:lineRule="auto"/>
        <w:rPr>
          <w:rFonts w:eastAsia="Calibri"/>
          <w:lang w:eastAsia="en-US"/>
        </w:rPr>
      </w:pPr>
      <w:r w:rsidRPr="00BD77D8">
        <w:rPr>
          <w:rFonts w:eastAsia="Calibri"/>
          <w:lang w:eastAsia="en-US"/>
        </w:rPr>
        <w:t>Our department provides a wide range of services to the community, delivered by contracted non-government organisations and through direct service delivery. As a result, our two largest expense categories are employee expenses and supplies and services. Our total operating expenses for 2021</w:t>
      </w:r>
      <w:r w:rsidR="00D51A9A" w:rsidRPr="00BD77D8">
        <w:rPr>
          <w:rFonts w:eastAsia="Calibri"/>
          <w:lang w:eastAsia="en-US"/>
        </w:rPr>
        <w:t>–</w:t>
      </w:r>
      <w:r w:rsidR="00EF738E" w:rsidRPr="00BD77D8">
        <w:rPr>
          <w:rFonts w:eastAsia="Calibri"/>
          <w:lang w:eastAsia="en-US"/>
        </w:rPr>
        <w:t>20</w:t>
      </w:r>
      <w:r w:rsidRPr="00BD77D8">
        <w:rPr>
          <w:rFonts w:eastAsia="Calibri"/>
          <w:lang w:eastAsia="en-US"/>
        </w:rPr>
        <w:t>22 were $304.936 million.</w:t>
      </w:r>
    </w:p>
    <w:p w14:paraId="5DCC6FC6" w14:textId="002F0D75" w:rsidR="00134E20" w:rsidRPr="00BD77D8" w:rsidRDefault="00134E20" w:rsidP="00F807D8">
      <w:pPr>
        <w:spacing w:after="120" w:line="259" w:lineRule="auto"/>
        <w:rPr>
          <w:rFonts w:eastAsia="Calibri"/>
          <w:lang w:eastAsia="en-US"/>
        </w:rPr>
      </w:pPr>
      <w:r w:rsidRPr="00BD77D8">
        <w:rPr>
          <w:rFonts w:eastAsia="Calibri"/>
          <w:lang w:eastAsia="en-US"/>
        </w:rPr>
        <w:t>Expenses by category for the year ending 30 June 2022</w:t>
      </w:r>
      <w:r w:rsidR="00F807D8" w:rsidRPr="00BD77D8">
        <w:rPr>
          <w:rFonts w:eastAsia="Calibri"/>
          <w:lang w:eastAsia="en-US"/>
        </w:rPr>
        <w:t>:</w:t>
      </w:r>
    </w:p>
    <w:tbl>
      <w:tblPr>
        <w:tblStyle w:val="TableGrid18"/>
        <w:tblW w:w="0" w:type="auto"/>
        <w:tblLook w:val="04A0" w:firstRow="1" w:lastRow="0" w:firstColumn="1" w:lastColumn="0" w:noHBand="0" w:noVBand="1"/>
      </w:tblPr>
      <w:tblGrid>
        <w:gridCol w:w="4390"/>
        <w:gridCol w:w="2126"/>
        <w:gridCol w:w="3260"/>
      </w:tblGrid>
      <w:tr w:rsidR="00BD77D8" w:rsidRPr="00BD77D8" w14:paraId="49AEFD59" w14:textId="77777777" w:rsidTr="00BA691A">
        <w:trPr>
          <w:tblHeader/>
        </w:trPr>
        <w:tc>
          <w:tcPr>
            <w:tcW w:w="4390" w:type="dxa"/>
            <w:shd w:val="clear" w:color="auto" w:fill="F2F2F2" w:themeFill="background1" w:themeFillShade="F2"/>
          </w:tcPr>
          <w:p w14:paraId="6EC4C49D" w14:textId="77777777" w:rsidR="00134E20" w:rsidRPr="00BD77D8" w:rsidRDefault="00134E20" w:rsidP="00BA691A">
            <w:pPr>
              <w:spacing w:before="40" w:after="40" w:line="240" w:lineRule="auto"/>
              <w:rPr>
                <w:rFonts w:ascii="Arial" w:hAnsi="Arial"/>
                <w:b/>
                <w:bCs/>
              </w:rPr>
            </w:pPr>
            <w:r w:rsidRPr="00BD77D8">
              <w:rPr>
                <w:rFonts w:ascii="Arial" w:hAnsi="Arial"/>
                <w:b/>
                <w:bCs/>
              </w:rPr>
              <w:t>Expenses</w:t>
            </w:r>
          </w:p>
        </w:tc>
        <w:tc>
          <w:tcPr>
            <w:tcW w:w="2126" w:type="dxa"/>
            <w:shd w:val="clear" w:color="auto" w:fill="F2F2F2" w:themeFill="background1" w:themeFillShade="F2"/>
          </w:tcPr>
          <w:p w14:paraId="0DB7AA4F" w14:textId="77777777" w:rsidR="00134E20" w:rsidRPr="00BD77D8" w:rsidRDefault="00134E20" w:rsidP="00BA691A">
            <w:pPr>
              <w:spacing w:before="40" w:after="40" w:line="240" w:lineRule="auto"/>
              <w:rPr>
                <w:rFonts w:ascii="Arial" w:hAnsi="Arial"/>
                <w:b/>
                <w:bCs/>
              </w:rPr>
            </w:pPr>
            <w:r w:rsidRPr="00BD77D8">
              <w:rPr>
                <w:rFonts w:ascii="Arial" w:hAnsi="Arial"/>
                <w:b/>
                <w:bCs/>
              </w:rPr>
              <w:t>Expenses %</w:t>
            </w:r>
          </w:p>
        </w:tc>
        <w:tc>
          <w:tcPr>
            <w:tcW w:w="3260" w:type="dxa"/>
            <w:shd w:val="clear" w:color="auto" w:fill="F2F2F2" w:themeFill="background1" w:themeFillShade="F2"/>
          </w:tcPr>
          <w:p w14:paraId="5A0D4222" w14:textId="77777777" w:rsidR="00134E20" w:rsidRPr="00BD77D8" w:rsidRDefault="00134E20" w:rsidP="00BA691A">
            <w:pPr>
              <w:spacing w:before="40" w:after="40" w:line="240" w:lineRule="auto"/>
              <w:rPr>
                <w:rFonts w:ascii="Arial" w:hAnsi="Arial"/>
                <w:b/>
                <w:bCs/>
              </w:rPr>
            </w:pPr>
            <w:r w:rsidRPr="00BD77D8">
              <w:rPr>
                <w:rFonts w:ascii="Arial" w:hAnsi="Arial"/>
                <w:b/>
                <w:bCs/>
              </w:rPr>
              <w:t>$ Million</w:t>
            </w:r>
          </w:p>
        </w:tc>
      </w:tr>
      <w:tr w:rsidR="00BD77D8" w:rsidRPr="00BD77D8" w14:paraId="4DAB8134" w14:textId="77777777" w:rsidTr="00BA691A">
        <w:tc>
          <w:tcPr>
            <w:tcW w:w="4390" w:type="dxa"/>
          </w:tcPr>
          <w:p w14:paraId="593A27DB" w14:textId="77777777" w:rsidR="00134E20" w:rsidRPr="00BD77D8" w:rsidRDefault="00134E20" w:rsidP="00BA691A">
            <w:pPr>
              <w:spacing w:before="40" w:after="40" w:line="240" w:lineRule="auto"/>
              <w:rPr>
                <w:rFonts w:ascii="Arial" w:hAnsi="Arial"/>
              </w:rPr>
            </w:pPr>
            <w:r w:rsidRPr="00BD77D8">
              <w:rPr>
                <w:rFonts w:ascii="Arial" w:hAnsi="Arial"/>
              </w:rPr>
              <w:t>Employee expenses</w:t>
            </w:r>
          </w:p>
        </w:tc>
        <w:tc>
          <w:tcPr>
            <w:tcW w:w="2126" w:type="dxa"/>
          </w:tcPr>
          <w:p w14:paraId="2717E54F" w14:textId="77777777" w:rsidR="00134E20" w:rsidRPr="00BD77D8" w:rsidRDefault="00134E20" w:rsidP="00BA691A">
            <w:pPr>
              <w:spacing w:before="40" w:after="40" w:line="240" w:lineRule="auto"/>
              <w:rPr>
                <w:rFonts w:ascii="Arial" w:hAnsi="Arial"/>
              </w:rPr>
            </w:pPr>
            <w:r w:rsidRPr="00BD77D8">
              <w:rPr>
                <w:rFonts w:ascii="Arial" w:hAnsi="Arial"/>
              </w:rPr>
              <w:t>70.5%</w:t>
            </w:r>
          </w:p>
        </w:tc>
        <w:tc>
          <w:tcPr>
            <w:tcW w:w="3260" w:type="dxa"/>
          </w:tcPr>
          <w:p w14:paraId="5AC4DEFD" w14:textId="77777777" w:rsidR="00134E20" w:rsidRPr="00BD77D8" w:rsidRDefault="00134E20" w:rsidP="00BA691A">
            <w:pPr>
              <w:spacing w:before="40" w:after="40" w:line="240" w:lineRule="auto"/>
              <w:rPr>
                <w:rFonts w:ascii="Arial" w:hAnsi="Arial"/>
              </w:rPr>
            </w:pPr>
            <w:r w:rsidRPr="00BD77D8">
              <w:rPr>
                <w:rFonts w:ascii="Arial" w:hAnsi="Arial"/>
              </w:rPr>
              <w:t>214.908</w:t>
            </w:r>
          </w:p>
        </w:tc>
      </w:tr>
      <w:tr w:rsidR="00BD77D8" w:rsidRPr="00BD77D8" w14:paraId="337936F2" w14:textId="77777777" w:rsidTr="00BA691A">
        <w:tc>
          <w:tcPr>
            <w:tcW w:w="4390" w:type="dxa"/>
          </w:tcPr>
          <w:p w14:paraId="478873F1" w14:textId="77777777" w:rsidR="00134E20" w:rsidRPr="00BD77D8" w:rsidRDefault="00134E20" w:rsidP="00BA691A">
            <w:pPr>
              <w:spacing w:before="40" w:after="40" w:line="240" w:lineRule="auto"/>
              <w:rPr>
                <w:rFonts w:ascii="Arial" w:hAnsi="Arial"/>
              </w:rPr>
            </w:pPr>
            <w:r w:rsidRPr="00BD77D8">
              <w:rPr>
                <w:rFonts w:ascii="Arial" w:hAnsi="Arial"/>
              </w:rPr>
              <w:t>Supplies and services</w:t>
            </w:r>
          </w:p>
        </w:tc>
        <w:tc>
          <w:tcPr>
            <w:tcW w:w="2126" w:type="dxa"/>
          </w:tcPr>
          <w:p w14:paraId="58D4CC66" w14:textId="77777777" w:rsidR="00134E20" w:rsidRPr="00BD77D8" w:rsidRDefault="00134E20" w:rsidP="00BA691A">
            <w:pPr>
              <w:spacing w:before="40" w:after="40" w:line="240" w:lineRule="auto"/>
              <w:rPr>
                <w:rFonts w:ascii="Arial" w:hAnsi="Arial"/>
              </w:rPr>
            </w:pPr>
            <w:r w:rsidRPr="00BD77D8">
              <w:rPr>
                <w:rFonts w:ascii="Arial" w:hAnsi="Arial"/>
              </w:rPr>
              <w:t>22.2%</w:t>
            </w:r>
          </w:p>
        </w:tc>
        <w:tc>
          <w:tcPr>
            <w:tcW w:w="3260" w:type="dxa"/>
          </w:tcPr>
          <w:p w14:paraId="76B25BD0" w14:textId="77777777" w:rsidR="00134E20" w:rsidRPr="00BD77D8" w:rsidRDefault="00134E20" w:rsidP="00BA691A">
            <w:pPr>
              <w:spacing w:before="40" w:after="40" w:line="240" w:lineRule="auto"/>
              <w:rPr>
                <w:rFonts w:ascii="Arial" w:hAnsi="Arial"/>
              </w:rPr>
            </w:pPr>
            <w:r w:rsidRPr="00BD77D8">
              <w:rPr>
                <w:rFonts w:ascii="Arial" w:hAnsi="Arial"/>
              </w:rPr>
              <w:t>67.636</w:t>
            </w:r>
          </w:p>
        </w:tc>
      </w:tr>
      <w:tr w:rsidR="00BD77D8" w:rsidRPr="00BD77D8" w14:paraId="35673CF8" w14:textId="77777777" w:rsidTr="00BA691A">
        <w:tc>
          <w:tcPr>
            <w:tcW w:w="4390" w:type="dxa"/>
          </w:tcPr>
          <w:p w14:paraId="4C3DA978" w14:textId="77777777" w:rsidR="00134E20" w:rsidRPr="00BD77D8" w:rsidRDefault="00134E20" w:rsidP="00BA691A">
            <w:pPr>
              <w:spacing w:before="40" w:after="40" w:line="240" w:lineRule="auto"/>
              <w:rPr>
                <w:rFonts w:ascii="Arial" w:hAnsi="Arial"/>
              </w:rPr>
            </w:pPr>
            <w:r w:rsidRPr="00BD77D8">
              <w:rPr>
                <w:rFonts w:ascii="Arial" w:hAnsi="Arial"/>
              </w:rPr>
              <w:lastRenderedPageBreak/>
              <w:t>Grants and subsidies</w:t>
            </w:r>
          </w:p>
        </w:tc>
        <w:tc>
          <w:tcPr>
            <w:tcW w:w="2126" w:type="dxa"/>
          </w:tcPr>
          <w:p w14:paraId="749B4C56" w14:textId="77777777" w:rsidR="00134E20" w:rsidRPr="00BD77D8" w:rsidRDefault="00134E20" w:rsidP="00BA691A">
            <w:pPr>
              <w:spacing w:before="40" w:after="40" w:line="240" w:lineRule="auto"/>
              <w:rPr>
                <w:rFonts w:ascii="Arial" w:hAnsi="Arial"/>
              </w:rPr>
            </w:pPr>
            <w:r w:rsidRPr="00BD77D8">
              <w:rPr>
                <w:rFonts w:ascii="Arial" w:hAnsi="Arial"/>
              </w:rPr>
              <w:t>5.2%</w:t>
            </w:r>
          </w:p>
        </w:tc>
        <w:tc>
          <w:tcPr>
            <w:tcW w:w="3260" w:type="dxa"/>
          </w:tcPr>
          <w:p w14:paraId="04CC8717" w14:textId="77777777" w:rsidR="00134E20" w:rsidRPr="00BD77D8" w:rsidRDefault="00134E20" w:rsidP="00BA691A">
            <w:pPr>
              <w:spacing w:before="40" w:after="40" w:line="240" w:lineRule="auto"/>
              <w:rPr>
                <w:rFonts w:ascii="Arial" w:hAnsi="Arial"/>
              </w:rPr>
            </w:pPr>
            <w:r w:rsidRPr="00BD77D8">
              <w:rPr>
                <w:rFonts w:ascii="Arial" w:hAnsi="Arial"/>
              </w:rPr>
              <w:t>15.863</w:t>
            </w:r>
          </w:p>
        </w:tc>
      </w:tr>
      <w:tr w:rsidR="00BD77D8" w:rsidRPr="00BD77D8" w14:paraId="6D21295E" w14:textId="77777777" w:rsidTr="00BA691A">
        <w:tc>
          <w:tcPr>
            <w:tcW w:w="4390" w:type="dxa"/>
          </w:tcPr>
          <w:p w14:paraId="549AD819" w14:textId="77777777" w:rsidR="00134E20" w:rsidRPr="00BD77D8" w:rsidRDefault="00134E20" w:rsidP="00BA691A">
            <w:pPr>
              <w:spacing w:before="40" w:after="40" w:line="240" w:lineRule="auto"/>
              <w:rPr>
                <w:rFonts w:ascii="Arial" w:hAnsi="Arial"/>
              </w:rPr>
            </w:pPr>
            <w:r w:rsidRPr="00BD77D8">
              <w:rPr>
                <w:rFonts w:ascii="Arial" w:hAnsi="Arial"/>
              </w:rPr>
              <w:t>Depreciation and amortisation</w:t>
            </w:r>
          </w:p>
        </w:tc>
        <w:tc>
          <w:tcPr>
            <w:tcW w:w="2126" w:type="dxa"/>
          </w:tcPr>
          <w:p w14:paraId="53612766" w14:textId="77777777" w:rsidR="00134E20" w:rsidRPr="00BD77D8" w:rsidRDefault="00134E20" w:rsidP="00BA691A">
            <w:pPr>
              <w:spacing w:before="40" w:after="40" w:line="240" w:lineRule="auto"/>
              <w:rPr>
                <w:rFonts w:ascii="Arial" w:hAnsi="Arial"/>
              </w:rPr>
            </w:pPr>
            <w:r w:rsidRPr="00BD77D8">
              <w:rPr>
                <w:rFonts w:ascii="Arial" w:hAnsi="Arial"/>
              </w:rPr>
              <w:t>1.2%</w:t>
            </w:r>
          </w:p>
        </w:tc>
        <w:tc>
          <w:tcPr>
            <w:tcW w:w="3260" w:type="dxa"/>
          </w:tcPr>
          <w:p w14:paraId="5131589C" w14:textId="77777777" w:rsidR="00134E20" w:rsidRPr="00BD77D8" w:rsidRDefault="00134E20" w:rsidP="00BA691A">
            <w:pPr>
              <w:spacing w:before="40" w:after="40" w:line="240" w:lineRule="auto"/>
              <w:rPr>
                <w:rFonts w:ascii="Arial" w:hAnsi="Arial"/>
              </w:rPr>
            </w:pPr>
            <w:r w:rsidRPr="00BD77D8">
              <w:rPr>
                <w:rFonts w:ascii="Arial" w:hAnsi="Arial"/>
              </w:rPr>
              <w:t>3.784</w:t>
            </w:r>
          </w:p>
        </w:tc>
      </w:tr>
      <w:tr w:rsidR="00BD77D8" w:rsidRPr="00BD77D8" w14:paraId="44FA9DA1" w14:textId="77777777" w:rsidTr="00BA691A">
        <w:tc>
          <w:tcPr>
            <w:tcW w:w="4390" w:type="dxa"/>
          </w:tcPr>
          <w:p w14:paraId="2C3CED0A" w14:textId="77777777" w:rsidR="00134E20" w:rsidRPr="00BD77D8" w:rsidRDefault="00134E20" w:rsidP="00BA691A">
            <w:pPr>
              <w:spacing w:before="40" w:after="40" w:line="240" w:lineRule="auto"/>
              <w:rPr>
                <w:rFonts w:ascii="Arial" w:hAnsi="Arial"/>
              </w:rPr>
            </w:pPr>
            <w:r w:rsidRPr="00BD77D8">
              <w:rPr>
                <w:rFonts w:ascii="Arial" w:hAnsi="Arial"/>
              </w:rPr>
              <w:t>Impairment losses on financial assets</w:t>
            </w:r>
          </w:p>
        </w:tc>
        <w:tc>
          <w:tcPr>
            <w:tcW w:w="2126" w:type="dxa"/>
          </w:tcPr>
          <w:p w14:paraId="385E7612" w14:textId="77777777" w:rsidR="00134E20" w:rsidRPr="00BD77D8" w:rsidRDefault="00134E20" w:rsidP="00BA691A">
            <w:pPr>
              <w:spacing w:before="40" w:after="40" w:line="240" w:lineRule="auto"/>
              <w:rPr>
                <w:rFonts w:ascii="Arial" w:hAnsi="Arial"/>
              </w:rPr>
            </w:pPr>
            <w:r w:rsidRPr="00BD77D8">
              <w:rPr>
                <w:rFonts w:ascii="Arial" w:hAnsi="Arial"/>
              </w:rPr>
              <w:t>0.2%</w:t>
            </w:r>
          </w:p>
        </w:tc>
        <w:tc>
          <w:tcPr>
            <w:tcW w:w="3260" w:type="dxa"/>
          </w:tcPr>
          <w:p w14:paraId="1AE4576C" w14:textId="77777777" w:rsidR="00134E20" w:rsidRPr="00BD77D8" w:rsidRDefault="00134E20" w:rsidP="00BA691A">
            <w:pPr>
              <w:spacing w:before="40" w:after="40" w:line="240" w:lineRule="auto"/>
              <w:rPr>
                <w:rFonts w:ascii="Arial" w:hAnsi="Arial"/>
              </w:rPr>
            </w:pPr>
            <w:r w:rsidRPr="00BD77D8">
              <w:rPr>
                <w:rFonts w:ascii="Arial" w:hAnsi="Arial"/>
              </w:rPr>
              <w:t>0.531</w:t>
            </w:r>
          </w:p>
        </w:tc>
      </w:tr>
      <w:tr w:rsidR="00BD77D8" w:rsidRPr="00BD77D8" w14:paraId="62CF8D79" w14:textId="77777777" w:rsidTr="00BA691A">
        <w:tc>
          <w:tcPr>
            <w:tcW w:w="4390" w:type="dxa"/>
          </w:tcPr>
          <w:p w14:paraId="5D7E09B2" w14:textId="77777777" w:rsidR="00134E20" w:rsidRPr="00BD77D8" w:rsidRDefault="00134E20" w:rsidP="00BA691A">
            <w:pPr>
              <w:spacing w:before="40" w:after="40" w:line="240" w:lineRule="auto"/>
              <w:rPr>
                <w:rFonts w:ascii="Arial" w:hAnsi="Arial"/>
              </w:rPr>
            </w:pPr>
            <w:r w:rsidRPr="00BD77D8">
              <w:rPr>
                <w:rFonts w:ascii="Arial" w:hAnsi="Arial"/>
              </w:rPr>
              <w:t>Other expenses</w:t>
            </w:r>
          </w:p>
        </w:tc>
        <w:tc>
          <w:tcPr>
            <w:tcW w:w="2126" w:type="dxa"/>
          </w:tcPr>
          <w:p w14:paraId="4746D432" w14:textId="77777777" w:rsidR="00134E20" w:rsidRPr="00BD77D8" w:rsidRDefault="00134E20" w:rsidP="00BA691A">
            <w:pPr>
              <w:spacing w:before="40" w:after="40" w:line="240" w:lineRule="auto"/>
              <w:rPr>
                <w:rFonts w:ascii="Arial" w:hAnsi="Arial"/>
              </w:rPr>
            </w:pPr>
            <w:r w:rsidRPr="00BD77D8">
              <w:rPr>
                <w:rFonts w:ascii="Arial" w:hAnsi="Arial"/>
              </w:rPr>
              <w:t>0.7%</w:t>
            </w:r>
          </w:p>
        </w:tc>
        <w:tc>
          <w:tcPr>
            <w:tcW w:w="3260" w:type="dxa"/>
          </w:tcPr>
          <w:p w14:paraId="0347568A" w14:textId="77777777" w:rsidR="00134E20" w:rsidRPr="00BD77D8" w:rsidRDefault="00134E20" w:rsidP="00BA691A">
            <w:pPr>
              <w:spacing w:before="40" w:after="40" w:line="240" w:lineRule="auto"/>
              <w:rPr>
                <w:rFonts w:ascii="Arial" w:hAnsi="Arial"/>
              </w:rPr>
            </w:pPr>
            <w:r w:rsidRPr="00BD77D8">
              <w:rPr>
                <w:rFonts w:ascii="Arial" w:hAnsi="Arial"/>
              </w:rPr>
              <w:t>2.214</w:t>
            </w:r>
          </w:p>
        </w:tc>
      </w:tr>
      <w:tr w:rsidR="00BD77D8" w:rsidRPr="00BD77D8" w14:paraId="30F2C632" w14:textId="77777777" w:rsidTr="00BA691A">
        <w:tc>
          <w:tcPr>
            <w:tcW w:w="4390" w:type="dxa"/>
          </w:tcPr>
          <w:p w14:paraId="4F7354A4" w14:textId="77777777" w:rsidR="00134E20" w:rsidRPr="00BD77D8" w:rsidRDefault="00134E20" w:rsidP="00BA691A">
            <w:pPr>
              <w:spacing w:before="40" w:after="40" w:line="240" w:lineRule="auto"/>
              <w:rPr>
                <w:rFonts w:ascii="Arial" w:hAnsi="Arial"/>
                <w:b/>
                <w:bCs/>
              </w:rPr>
            </w:pPr>
            <w:r w:rsidRPr="00BD77D8">
              <w:rPr>
                <w:rFonts w:ascii="Arial" w:hAnsi="Arial"/>
                <w:b/>
                <w:bCs/>
              </w:rPr>
              <w:t>Total Expenses</w:t>
            </w:r>
          </w:p>
        </w:tc>
        <w:tc>
          <w:tcPr>
            <w:tcW w:w="2126" w:type="dxa"/>
          </w:tcPr>
          <w:p w14:paraId="168307D3" w14:textId="77777777" w:rsidR="00134E20" w:rsidRPr="00BD77D8" w:rsidRDefault="00134E20" w:rsidP="00BA691A">
            <w:pPr>
              <w:spacing w:before="40" w:after="40" w:line="240" w:lineRule="auto"/>
              <w:rPr>
                <w:rFonts w:ascii="Arial" w:hAnsi="Arial"/>
                <w:b/>
                <w:bCs/>
              </w:rPr>
            </w:pPr>
          </w:p>
        </w:tc>
        <w:tc>
          <w:tcPr>
            <w:tcW w:w="3260" w:type="dxa"/>
          </w:tcPr>
          <w:p w14:paraId="3BCFE0E0" w14:textId="77777777" w:rsidR="00134E20" w:rsidRPr="00BD77D8" w:rsidRDefault="00134E20" w:rsidP="00BA691A">
            <w:pPr>
              <w:spacing w:before="40" w:after="40" w:line="240" w:lineRule="auto"/>
              <w:rPr>
                <w:rFonts w:ascii="Arial" w:hAnsi="Arial"/>
                <w:b/>
                <w:bCs/>
              </w:rPr>
            </w:pPr>
            <w:r w:rsidRPr="00BD77D8">
              <w:rPr>
                <w:rFonts w:ascii="Arial" w:hAnsi="Arial"/>
                <w:b/>
                <w:bCs/>
              </w:rPr>
              <w:t>304.936</w:t>
            </w:r>
          </w:p>
        </w:tc>
      </w:tr>
    </w:tbl>
    <w:p w14:paraId="19D255CE" w14:textId="117E894C" w:rsidR="00134E20" w:rsidRPr="00BD77D8" w:rsidRDefault="00134E20" w:rsidP="00DF4756">
      <w:pPr>
        <w:spacing w:before="240" w:after="120" w:line="180" w:lineRule="atLeast"/>
        <w:ind w:right="74"/>
        <w:textAlignment w:val="baseline"/>
        <w:rPr>
          <w:rFonts w:eastAsia="Arial"/>
          <w:lang w:eastAsia="en-US"/>
        </w:rPr>
      </w:pPr>
      <w:r w:rsidRPr="00BD77D8">
        <w:rPr>
          <w:rFonts w:eastAsia="Arial"/>
          <w:lang w:eastAsia="en-US"/>
        </w:rPr>
        <w:t xml:space="preserve">Supplies and services include service procurement expenses of $17.880 million, services provided by other </w:t>
      </w:r>
      <w:r w:rsidR="00D51A9A" w:rsidRPr="00BD77D8">
        <w:rPr>
          <w:rFonts w:eastAsia="Arial"/>
          <w:lang w:eastAsia="en-US"/>
        </w:rPr>
        <w:t>s</w:t>
      </w:r>
      <w:r w:rsidRPr="00BD77D8">
        <w:rPr>
          <w:rFonts w:eastAsia="Arial"/>
          <w:lang w:eastAsia="en-US"/>
        </w:rPr>
        <w:t xml:space="preserve">tate </w:t>
      </w:r>
      <w:r w:rsidR="00D51A9A" w:rsidRPr="00BD77D8">
        <w:rPr>
          <w:rFonts w:eastAsia="Arial"/>
          <w:lang w:eastAsia="en-US"/>
        </w:rPr>
        <w:t>a</w:t>
      </w:r>
      <w:r w:rsidRPr="00BD77D8">
        <w:rPr>
          <w:rFonts w:eastAsia="Arial"/>
          <w:lang w:eastAsia="en-US"/>
        </w:rPr>
        <w:t xml:space="preserve">gencies under </w:t>
      </w:r>
      <w:r w:rsidR="00D51A9A" w:rsidRPr="00BD77D8">
        <w:rPr>
          <w:rFonts w:eastAsia="Arial"/>
          <w:lang w:eastAsia="en-US"/>
        </w:rPr>
        <w:t>m</w:t>
      </w:r>
      <w:r w:rsidRPr="00BD77D8">
        <w:rPr>
          <w:rFonts w:eastAsia="Arial"/>
          <w:lang w:eastAsia="en-US"/>
        </w:rPr>
        <w:t xml:space="preserve">emorandum of </w:t>
      </w:r>
      <w:r w:rsidR="00D51A9A" w:rsidRPr="00BD77D8">
        <w:rPr>
          <w:rFonts w:eastAsia="Arial"/>
          <w:lang w:eastAsia="en-US"/>
        </w:rPr>
        <w:t>u</w:t>
      </w:r>
      <w:r w:rsidRPr="00BD77D8">
        <w:rPr>
          <w:rFonts w:eastAsia="Arial"/>
          <w:lang w:eastAsia="en-US"/>
        </w:rPr>
        <w:t>nderstanding arrangements of $14.549 million, property and vehicle rent expenses of $11.078 million, property repairs and maintenance expenses of $8.880 million, professional and technical fees of $8.872 million and other operational expenses of $6.377 million.</w:t>
      </w:r>
    </w:p>
    <w:p w14:paraId="6D560086" w14:textId="77777777" w:rsidR="00134E20" w:rsidRPr="00BD77D8" w:rsidRDefault="00134E20" w:rsidP="00FC0247">
      <w:pPr>
        <w:spacing w:after="120" w:line="180" w:lineRule="atLeast"/>
        <w:ind w:right="72"/>
        <w:textAlignment w:val="baseline"/>
        <w:rPr>
          <w:rFonts w:eastAsia="Arial"/>
          <w:lang w:eastAsia="en-US"/>
        </w:rPr>
      </w:pPr>
      <w:r w:rsidRPr="00BD77D8">
        <w:rPr>
          <w:rFonts w:eastAsia="Arial"/>
          <w:lang w:eastAsia="en-US"/>
        </w:rPr>
        <w:t xml:space="preserve">Other expenses include items such as insurance costs, audit fees, and services received below fair value. Other expenses also reflect $0.814 million in property costs associated with damage to a department disability facility.  </w:t>
      </w:r>
    </w:p>
    <w:p w14:paraId="32135D7E" w14:textId="726D6904" w:rsidR="00134E20" w:rsidRPr="00BD77D8" w:rsidRDefault="00134E20" w:rsidP="00FC0247">
      <w:pPr>
        <w:spacing w:after="120" w:line="240" w:lineRule="auto"/>
        <w:rPr>
          <w:rFonts w:eastAsia="Calibri"/>
          <w:b/>
          <w:lang w:eastAsia="en-US"/>
        </w:rPr>
      </w:pPr>
      <w:r w:rsidRPr="00BD77D8">
        <w:rPr>
          <w:rFonts w:eastAsia="Calibri"/>
          <w:b/>
          <w:lang w:eastAsia="en-US"/>
        </w:rPr>
        <w:t>Assets</w:t>
      </w:r>
    </w:p>
    <w:p w14:paraId="2BF67B66" w14:textId="0FE5CD39" w:rsidR="00134E20" w:rsidRPr="00BD77D8" w:rsidRDefault="00134E20" w:rsidP="00FC0247">
      <w:pPr>
        <w:spacing w:after="120" w:line="259" w:lineRule="auto"/>
        <w:rPr>
          <w:rFonts w:eastAsia="Calibri"/>
          <w:lang w:eastAsia="en-US"/>
        </w:rPr>
      </w:pPr>
      <w:r w:rsidRPr="00BD77D8">
        <w:rPr>
          <w:rFonts w:eastAsia="Calibri"/>
          <w:lang w:eastAsia="en-US"/>
        </w:rPr>
        <w:t>Our total assets as at 30</w:t>
      </w:r>
      <w:r w:rsidR="0056592D" w:rsidRPr="00BD77D8">
        <w:rPr>
          <w:rFonts w:eastAsia="Calibri"/>
          <w:lang w:eastAsia="en-US"/>
        </w:rPr>
        <w:t xml:space="preserve"> </w:t>
      </w:r>
      <w:r w:rsidRPr="00BD77D8">
        <w:rPr>
          <w:rFonts w:eastAsia="Calibri"/>
          <w:lang w:eastAsia="en-US"/>
        </w:rPr>
        <w:t>June 2022 were $265.988 million. The primary assets held by our department were properties used to:</w:t>
      </w:r>
    </w:p>
    <w:p w14:paraId="29E8BC9E" w14:textId="77777777" w:rsidR="00134E20" w:rsidRPr="00BD77D8" w:rsidRDefault="00134E20" w:rsidP="003954C5">
      <w:pPr>
        <w:pStyle w:val="ListParagraph"/>
        <w:numPr>
          <w:ilvl w:val="0"/>
          <w:numId w:val="70"/>
        </w:numPr>
        <w:spacing w:after="120" w:line="240" w:lineRule="auto"/>
        <w:rPr>
          <w:rFonts w:eastAsia="Calibri"/>
          <w:lang w:eastAsia="en-US"/>
        </w:rPr>
      </w:pPr>
      <w:r w:rsidRPr="00BD77D8">
        <w:rPr>
          <w:rFonts w:eastAsia="Calibri"/>
          <w:lang w:eastAsia="en-US"/>
        </w:rPr>
        <w:t>support people with disability, including accommodation and respite services</w:t>
      </w:r>
    </w:p>
    <w:p w14:paraId="6098B497" w14:textId="77777777" w:rsidR="00134E20" w:rsidRPr="00BD77D8" w:rsidRDefault="00134E20" w:rsidP="003954C5">
      <w:pPr>
        <w:pStyle w:val="ListParagraph"/>
        <w:numPr>
          <w:ilvl w:val="0"/>
          <w:numId w:val="70"/>
        </w:numPr>
        <w:spacing w:after="120" w:line="240" w:lineRule="auto"/>
        <w:rPr>
          <w:rFonts w:eastAsia="Calibri"/>
          <w:lang w:eastAsia="en-US"/>
        </w:rPr>
      </w:pPr>
      <w:r w:rsidRPr="00BD77D8">
        <w:rPr>
          <w:rFonts w:eastAsia="Calibri"/>
          <w:lang w:eastAsia="en-US"/>
        </w:rPr>
        <w:t>support Aboriginal and Torres Strait Islander partnerships service delivery.</w:t>
      </w:r>
    </w:p>
    <w:p w14:paraId="5D54F1BA" w14:textId="77777777" w:rsidR="00134E20" w:rsidRPr="00BD77D8" w:rsidRDefault="00134E20" w:rsidP="00FC0247">
      <w:pPr>
        <w:spacing w:after="120" w:line="259" w:lineRule="auto"/>
        <w:rPr>
          <w:rFonts w:eastAsia="Calibri"/>
          <w:lang w:eastAsia="en-US"/>
        </w:rPr>
      </w:pPr>
      <w:r w:rsidRPr="00BD77D8">
        <w:rPr>
          <w:rFonts w:eastAsia="Calibri"/>
          <w:lang w:eastAsia="en-US"/>
        </w:rPr>
        <w:t>The value of our assets by category was:</w:t>
      </w:r>
    </w:p>
    <w:p w14:paraId="1ECA437D" w14:textId="77777777" w:rsidR="00134E20" w:rsidRPr="00BD77D8" w:rsidRDefault="00134E20" w:rsidP="003954C5">
      <w:pPr>
        <w:pStyle w:val="ListParagraph"/>
        <w:numPr>
          <w:ilvl w:val="0"/>
          <w:numId w:val="71"/>
        </w:numPr>
        <w:spacing w:after="120" w:line="240" w:lineRule="auto"/>
        <w:rPr>
          <w:rFonts w:eastAsia="Calibri"/>
          <w:lang w:eastAsia="en-US"/>
        </w:rPr>
      </w:pPr>
      <w:r w:rsidRPr="00BD77D8">
        <w:rPr>
          <w:rFonts w:eastAsia="Calibri"/>
          <w:lang w:eastAsia="en-US"/>
        </w:rPr>
        <w:t>Cash and cash equivalents – $51.005 million</w:t>
      </w:r>
    </w:p>
    <w:p w14:paraId="508BE0DC" w14:textId="77777777" w:rsidR="00134E20" w:rsidRPr="00BD77D8" w:rsidRDefault="00134E20" w:rsidP="003954C5">
      <w:pPr>
        <w:pStyle w:val="ListParagraph"/>
        <w:numPr>
          <w:ilvl w:val="0"/>
          <w:numId w:val="71"/>
        </w:numPr>
        <w:spacing w:after="120" w:line="240" w:lineRule="auto"/>
        <w:rPr>
          <w:rFonts w:eastAsia="Calibri"/>
          <w:lang w:eastAsia="en-US"/>
        </w:rPr>
      </w:pPr>
      <w:r w:rsidRPr="00BD77D8">
        <w:rPr>
          <w:rFonts w:eastAsia="Calibri"/>
          <w:lang w:eastAsia="en-US"/>
        </w:rPr>
        <w:t>Receivables – $7.510 million</w:t>
      </w:r>
    </w:p>
    <w:p w14:paraId="213E3895" w14:textId="77777777" w:rsidR="00134E20" w:rsidRPr="00BD77D8" w:rsidRDefault="00134E20" w:rsidP="003954C5">
      <w:pPr>
        <w:pStyle w:val="ListParagraph"/>
        <w:numPr>
          <w:ilvl w:val="0"/>
          <w:numId w:val="71"/>
        </w:numPr>
        <w:spacing w:after="120" w:line="240" w:lineRule="auto"/>
        <w:rPr>
          <w:rFonts w:eastAsia="Calibri"/>
          <w:lang w:eastAsia="en-US"/>
        </w:rPr>
      </w:pPr>
      <w:r w:rsidRPr="00BD77D8">
        <w:rPr>
          <w:rFonts w:eastAsia="Calibri"/>
          <w:lang w:eastAsia="en-US"/>
        </w:rPr>
        <w:t>Property, plant and equipment – $205.173 million</w:t>
      </w:r>
    </w:p>
    <w:p w14:paraId="6B0D6BBE" w14:textId="77777777" w:rsidR="00134E20" w:rsidRPr="00BD77D8" w:rsidRDefault="00134E20" w:rsidP="003954C5">
      <w:pPr>
        <w:pStyle w:val="ListParagraph"/>
        <w:numPr>
          <w:ilvl w:val="0"/>
          <w:numId w:val="71"/>
        </w:numPr>
        <w:spacing w:after="120" w:line="240" w:lineRule="auto"/>
        <w:rPr>
          <w:rFonts w:eastAsia="Calibri"/>
          <w:lang w:eastAsia="en-US"/>
        </w:rPr>
      </w:pPr>
      <w:r w:rsidRPr="00BD77D8">
        <w:rPr>
          <w:rFonts w:eastAsia="Calibri"/>
          <w:lang w:eastAsia="en-US"/>
        </w:rPr>
        <w:t>Intangibles – $0.438 million</w:t>
      </w:r>
    </w:p>
    <w:p w14:paraId="7CEB3A07" w14:textId="77777777" w:rsidR="00134E20" w:rsidRPr="00BD77D8" w:rsidRDefault="00134E20" w:rsidP="003954C5">
      <w:pPr>
        <w:pStyle w:val="ListParagraph"/>
        <w:numPr>
          <w:ilvl w:val="0"/>
          <w:numId w:val="71"/>
        </w:numPr>
        <w:spacing w:after="120" w:line="240" w:lineRule="auto"/>
        <w:rPr>
          <w:rFonts w:eastAsia="Calibri"/>
          <w:lang w:eastAsia="en-US"/>
        </w:rPr>
      </w:pPr>
      <w:r w:rsidRPr="00BD77D8">
        <w:rPr>
          <w:rFonts w:eastAsia="Calibri"/>
          <w:lang w:eastAsia="en-US"/>
        </w:rPr>
        <w:t>Other current assets – $0.982 million</w:t>
      </w:r>
    </w:p>
    <w:p w14:paraId="671E0EDC" w14:textId="47E09029" w:rsidR="00134E20" w:rsidRPr="00BD77D8" w:rsidRDefault="00134E20" w:rsidP="003954C5">
      <w:pPr>
        <w:pStyle w:val="ListParagraph"/>
        <w:numPr>
          <w:ilvl w:val="0"/>
          <w:numId w:val="71"/>
        </w:numPr>
        <w:spacing w:after="120" w:line="240" w:lineRule="auto"/>
        <w:rPr>
          <w:rFonts w:eastAsia="Calibri"/>
          <w:lang w:eastAsia="en-US"/>
        </w:rPr>
      </w:pPr>
      <w:r w:rsidRPr="00BD77D8">
        <w:rPr>
          <w:rFonts w:eastAsia="Calibri"/>
          <w:lang w:eastAsia="en-US"/>
        </w:rPr>
        <w:t>Non-Current assets classified as held for sale - $0.880 million</w:t>
      </w:r>
      <w:r w:rsidR="00EF738E" w:rsidRPr="00BD77D8">
        <w:rPr>
          <w:rFonts w:eastAsia="Calibri"/>
          <w:lang w:eastAsia="en-US"/>
        </w:rPr>
        <w:t>.</w:t>
      </w:r>
    </w:p>
    <w:p w14:paraId="6261E2E3" w14:textId="6BC91B98" w:rsidR="00134E20" w:rsidRPr="00BD77D8" w:rsidRDefault="00134E20" w:rsidP="00FC0247">
      <w:pPr>
        <w:spacing w:after="120" w:line="240" w:lineRule="auto"/>
        <w:rPr>
          <w:rFonts w:eastAsia="Calibri"/>
          <w:b/>
          <w:lang w:eastAsia="en-US"/>
        </w:rPr>
      </w:pPr>
      <w:r w:rsidRPr="00BD77D8">
        <w:rPr>
          <w:rFonts w:eastAsia="Calibri"/>
          <w:b/>
          <w:lang w:eastAsia="en-US"/>
        </w:rPr>
        <w:t>Liabilities</w:t>
      </w:r>
    </w:p>
    <w:p w14:paraId="604A0C3C" w14:textId="425340EC" w:rsidR="00134E20" w:rsidRPr="00BD77D8" w:rsidRDefault="00134E20" w:rsidP="00FC0247">
      <w:pPr>
        <w:spacing w:after="120" w:line="259" w:lineRule="auto"/>
        <w:rPr>
          <w:rFonts w:eastAsia="Calibri"/>
          <w:lang w:eastAsia="en-US"/>
        </w:rPr>
      </w:pPr>
      <w:r w:rsidRPr="00BD77D8">
        <w:rPr>
          <w:rFonts w:eastAsia="Calibri"/>
          <w:lang w:eastAsia="en-US"/>
        </w:rPr>
        <w:t xml:space="preserve">Our liabilities consist primarily of payables for trade creditors, deferred appropriation payable to </w:t>
      </w:r>
      <w:r w:rsidR="00EF738E" w:rsidRPr="00BD77D8">
        <w:rPr>
          <w:rFonts w:eastAsia="Calibri"/>
          <w:lang w:eastAsia="en-US"/>
        </w:rPr>
        <w:t xml:space="preserve">the </w:t>
      </w:r>
      <w:r w:rsidRPr="00BD77D8">
        <w:rPr>
          <w:rFonts w:eastAsia="Calibri"/>
          <w:lang w:eastAsia="en-US"/>
        </w:rPr>
        <w:t xml:space="preserve">Consolidated Fund, and provisions for employee entitlements. </w:t>
      </w:r>
    </w:p>
    <w:p w14:paraId="13C4379C" w14:textId="77777777" w:rsidR="00134E20" w:rsidRPr="00BD77D8" w:rsidRDefault="00134E20" w:rsidP="00FC0247">
      <w:pPr>
        <w:spacing w:after="120" w:line="259" w:lineRule="auto"/>
        <w:rPr>
          <w:rFonts w:eastAsia="Calibri"/>
          <w:lang w:eastAsia="en-US"/>
        </w:rPr>
      </w:pPr>
      <w:r w:rsidRPr="00BD77D8">
        <w:rPr>
          <w:rFonts w:eastAsia="Calibri"/>
          <w:lang w:eastAsia="en-US"/>
        </w:rPr>
        <w:t>Our total liabilities as at 30 June 2022 were $36.805 million. Liabilities by category were:</w:t>
      </w:r>
    </w:p>
    <w:p w14:paraId="69961F08" w14:textId="77777777" w:rsidR="00134E20" w:rsidRPr="00BD77D8" w:rsidRDefault="00134E20" w:rsidP="003954C5">
      <w:pPr>
        <w:pStyle w:val="ListParagraph"/>
        <w:numPr>
          <w:ilvl w:val="0"/>
          <w:numId w:val="72"/>
        </w:numPr>
        <w:spacing w:after="120" w:line="240" w:lineRule="auto"/>
        <w:rPr>
          <w:rFonts w:eastAsia="Calibri"/>
          <w:lang w:eastAsia="en-US"/>
        </w:rPr>
      </w:pPr>
      <w:r w:rsidRPr="00BD77D8">
        <w:rPr>
          <w:rFonts w:eastAsia="Calibri"/>
          <w:lang w:eastAsia="en-US"/>
        </w:rPr>
        <w:t>Payables – $26.482 million</w:t>
      </w:r>
    </w:p>
    <w:p w14:paraId="3F315B0F" w14:textId="77777777" w:rsidR="00134E20" w:rsidRPr="00BD77D8" w:rsidRDefault="00134E20" w:rsidP="003954C5">
      <w:pPr>
        <w:pStyle w:val="ListParagraph"/>
        <w:numPr>
          <w:ilvl w:val="0"/>
          <w:numId w:val="72"/>
        </w:numPr>
        <w:spacing w:after="120" w:line="240" w:lineRule="auto"/>
        <w:rPr>
          <w:rFonts w:eastAsia="Calibri"/>
          <w:lang w:eastAsia="en-US"/>
        </w:rPr>
      </w:pPr>
      <w:r w:rsidRPr="00BD77D8">
        <w:rPr>
          <w:rFonts w:eastAsia="Calibri"/>
          <w:lang w:eastAsia="en-US"/>
        </w:rPr>
        <w:t>Accrued employee benefits – $9.261 million</w:t>
      </w:r>
    </w:p>
    <w:p w14:paraId="637F3087" w14:textId="0EEE8451" w:rsidR="00134E20" w:rsidRPr="00BD77D8" w:rsidRDefault="00134E20" w:rsidP="003954C5">
      <w:pPr>
        <w:pStyle w:val="ListParagraph"/>
        <w:numPr>
          <w:ilvl w:val="0"/>
          <w:numId w:val="72"/>
        </w:numPr>
        <w:spacing w:after="120" w:line="240" w:lineRule="auto"/>
        <w:rPr>
          <w:rFonts w:eastAsia="Calibri"/>
          <w:lang w:eastAsia="en-US"/>
        </w:rPr>
      </w:pPr>
      <w:r w:rsidRPr="00BD77D8">
        <w:rPr>
          <w:rFonts w:eastAsia="Calibri"/>
          <w:lang w:eastAsia="en-US"/>
        </w:rPr>
        <w:t>Other current liabilities – $1.062 million</w:t>
      </w:r>
      <w:r w:rsidR="00EF738E" w:rsidRPr="00BD77D8">
        <w:rPr>
          <w:rFonts w:eastAsia="Calibri"/>
          <w:lang w:eastAsia="en-US"/>
        </w:rPr>
        <w:t>.</w:t>
      </w:r>
    </w:p>
    <w:p w14:paraId="38E150F3" w14:textId="05D1BB1B" w:rsidR="00134E20" w:rsidRPr="00BD77D8" w:rsidRDefault="00134E20" w:rsidP="00FC0247">
      <w:pPr>
        <w:spacing w:after="120" w:line="240" w:lineRule="auto"/>
        <w:rPr>
          <w:rFonts w:eastAsia="Calibri"/>
          <w:b/>
          <w:lang w:eastAsia="en-US"/>
        </w:rPr>
      </w:pPr>
      <w:bookmarkStart w:id="311" w:name="_Hlk113354917"/>
      <w:r w:rsidRPr="00BD77D8">
        <w:rPr>
          <w:rFonts w:eastAsia="Calibri"/>
          <w:b/>
          <w:lang w:eastAsia="en-US"/>
        </w:rPr>
        <w:t>Administered Payments</w:t>
      </w:r>
    </w:p>
    <w:p w14:paraId="36EB4B5A" w14:textId="3376FEB6" w:rsidR="00134E20" w:rsidRPr="00BD77D8" w:rsidRDefault="00134E20" w:rsidP="00FC0247">
      <w:pPr>
        <w:spacing w:after="120" w:line="259" w:lineRule="auto"/>
        <w:rPr>
          <w:rFonts w:eastAsia="Calibri"/>
          <w:lang w:eastAsia="en-US"/>
        </w:rPr>
      </w:pPr>
      <w:r w:rsidRPr="00BD77D8">
        <w:rPr>
          <w:rFonts w:eastAsia="Calibri"/>
          <w:lang w:eastAsia="en-US"/>
        </w:rPr>
        <w:t>In 2021</w:t>
      </w:r>
      <w:r w:rsidR="00D51A9A" w:rsidRPr="00BD77D8">
        <w:rPr>
          <w:rFonts w:eastAsia="Calibri"/>
          <w:lang w:eastAsia="en-US"/>
        </w:rPr>
        <w:t>–</w:t>
      </w:r>
      <w:r w:rsidR="00EF738E" w:rsidRPr="00BD77D8">
        <w:rPr>
          <w:rFonts w:eastAsia="Calibri"/>
          <w:lang w:eastAsia="en-US"/>
        </w:rPr>
        <w:t>20</w:t>
      </w:r>
      <w:r w:rsidRPr="00BD77D8">
        <w:rPr>
          <w:rFonts w:eastAsia="Calibri"/>
          <w:lang w:eastAsia="en-US"/>
        </w:rPr>
        <w:t>22, on behalf of the Queensland Government, we administered total payments and expenses of $2,405,434 million including:</w:t>
      </w:r>
    </w:p>
    <w:p w14:paraId="295C85E9" w14:textId="77777777" w:rsidR="00012D14" w:rsidRPr="00BD77D8" w:rsidRDefault="00012D14" w:rsidP="003954C5">
      <w:pPr>
        <w:pStyle w:val="ListParagraph"/>
        <w:numPr>
          <w:ilvl w:val="0"/>
          <w:numId w:val="73"/>
        </w:numPr>
        <w:spacing w:after="120" w:line="240" w:lineRule="auto"/>
        <w:rPr>
          <w:rFonts w:eastAsia="Calibri"/>
          <w:lang w:eastAsia="en-US"/>
        </w:rPr>
      </w:pPr>
      <w:r w:rsidRPr="00BD77D8">
        <w:rPr>
          <w:rFonts w:eastAsia="Calibri"/>
          <w:lang w:eastAsia="en-US"/>
        </w:rPr>
        <w:t xml:space="preserve">payments of $1,992.273 million to the National Disability Insurance Agency for Queensland NDIS participants </w:t>
      </w:r>
    </w:p>
    <w:p w14:paraId="7BB683B3" w14:textId="77777777" w:rsidR="00134E20" w:rsidRPr="00BD77D8" w:rsidRDefault="00134E20" w:rsidP="003954C5">
      <w:pPr>
        <w:pStyle w:val="ListParagraph"/>
        <w:numPr>
          <w:ilvl w:val="0"/>
          <w:numId w:val="73"/>
        </w:numPr>
        <w:spacing w:after="120" w:line="240" w:lineRule="auto"/>
        <w:rPr>
          <w:rFonts w:eastAsia="Calibri"/>
          <w:lang w:eastAsia="en-US"/>
        </w:rPr>
      </w:pPr>
      <w:r w:rsidRPr="00BD77D8">
        <w:rPr>
          <w:rFonts w:eastAsia="Calibri"/>
          <w:lang w:eastAsia="en-US"/>
        </w:rPr>
        <w:t xml:space="preserve">concession payments of $390.650 million for electricity and reticulated natural gas, rates and water subsidies, electricity for life support, home energy emergency assistance and asset ownership electricity dividend </w:t>
      </w:r>
    </w:p>
    <w:p w14:paraId="23E75939" w14:textId="0EC9E8D3" w:rsidR="00134E20" w:rsidRPr="00BD77D8" w:rsidRDefault="00134E20" w:rsidP="003954C5">
      <w:pPr>
        <w:pStyle w:val="ListParagraph"/>
        <w:numPr>
          <w:ilvl w:val="0"/>
          <w:numId w:val="73"/>
        </w:numPr>
        <w:spacing w:after="120" w:line="240" w:lineRule="auto"/>
        <w:rPr>
          <w:rFonts w:eastAsia="Calibri"/>
          <w:lang w:eastAsia="en-US"/>
        </w:rPr>
      </w:pPr>
      <w:r w:rsidRPr="00BD77D8">
        <w:rPr>
          <w:rFonts w:eastAsia="Calibri"/>
          <w:lang w:eastAsia="en-US"/>
        </w:rPr>
        <w:t>residual</w:t>
      </w:r>
      <w:r w:rsidR="00012D14" w:rsidRPr="00BD77D8">
        <w:rPr>
          <w:rFonts w:eastAsia="Calibri"/>
          <w:lang w:eastAsia="en-US"/>
        </w:rPr>
        <w:t xml:space="preserve"> grant</w:t>
      </w:r>
      <w:r w:rsidRPr="00BD77D8">
        <w:rPr>
          <w:rFonts w:eastAsia="Calibri"/>
          <w:lang w:eastAsia="en-US"/>
        </w:rPr>
        <w:t xml:space="preserve"> payments of $0.316 million for electricity relief to small and medium business</w:t>
      </w:r>
      <w:r w:rsidR="00EF738E" w:rsidRPr="00BD77D8">
        <w:rPr>
          <w:rFonts w:eastAsia="Calibri"/>
          <w:lang w:eastAsia="en-US"/>
        </w:rPr>
        <w:t>es</w:t>
      </w:r>
      <w:r w:rsidRPr="00BD77D8">
        <w:rPr>
          <w:rFonts w:eastAsia="Calibri"/>
          <w:lang w:eastAsia="en-US"/>
        </w:rPr>
        <w:t xml:space="preserve"> impacted by the pandemic</w:t>
      </w:r>
    </w:p>
    <w:p w14:paraId="00899F06" w14:textId="7A772CC5" w:rsidR="00134E20" w:rsidRPr="00BD77D8" w:rsidRDefault="00012D14" w:rsidP="003954C5">
      <w:pPr>
        <w:pStyle w:val="ListParagraph"/>
        <w:numPr>
          <w:ilvl w:val="0"/>
          <w:numId w:val="73"/>
        </w:numPr>
        <w:spacing w:after="120" w:line="240" w:lineRule="auto"/>
        <w:rPr>
          <w:rFonts w:eastAsia="Calibri"/>
          <w:lang w:eastAsia="en-US"/>
        </w:rPr>
      </w:pPr>
      <w:r w:rsidRPr="00BD77D8">
        <w:rPr>
          <w:rFonts w:eastAsia="Calibri"/>
          <w:lang w:eastAsia="en-US"/>
        </w:rPr>
        <w:t xml:space="preserve">grant </w:t>
      </w:r>
      <w:r w:rsidR="00134E20" w:rsidRPr="00BD77D8">
        <w:rPr>
          <w:rFonts w:eastAsia="Calibri"/>
          <w:lang w:eastAsia="en-US"/>
        </w:rPr>
        <w:t>payment of $16.373 million to the Western Cape Communities Trust</w:t>
      </w:r>
    </w:p>
    <w:p w14:paraId="3AA648E0" w14:textId="261B049F" w:rsidR="00134E20" w:rsidRPr="00BD77D8" w:rsidRDefault="00012D14" w:rsidP="003954C5">
      <w:pPr>
        <w:pStyle w:val="ListParagraph"/>
        <w:numPr>
          <w:ilvl w:val="0"/>
          <w:numId w:val="73"/>
        </w:numPr>
        <w:spacing w:after="120" w:line="240" w:lineRule="auto"/>
        <w:rPr>
          <w:rFonts w:eastAsia="Calibri"/>
          <w:lang w:eastAsia="en-US"/>
        </w:rPr>
      </w:pPr>
      <w:r w:rsidRPr="00BD77D8">
        <w:rPr>
          <w:rFonts w:eastAsia="Calibri"/>
          <w:lang w:eastAsia="en-US"/>
        </w:rPr>
        <w:t xml:space="preserve">grant </w:t>
      </w:r>
      <w:r w:rsidR="00134E20" w:rsidRPr="00BD77D8">
        <w:rPr>
          <w:rFonts w:eastAsia="Calibri"/>
          <w:lang w:eastAsia="en-US"/>
        </w:rPr>
        <w:t>payment of $4.218 million to the Family Responsibilities Commission</w:t>
      </w:r>
    </w:p>
    <w:p w14:paraId="18468CD9" w14:textId="6B0C53F3" w:rsidR="00134E20" w:rsidRPr="00BD77D8" w:rsidRDefault="00134E20" w:rsidP="003954C5">
      <w:pPr>
        <w:pStyle w:val="ListParagraph"/>
        <w:numPr>
          <w:ilvl w:val="0"/>
          <w:numId w:val="73"/>
        </w:numPr>
        <w:spacing w:after="120" w:line="240" w:lineRule="auto"/>
        <w:rPr>
          <w:rFonts w:eastAsia="Calibri"/>
          <w:lang w:eastAsia="en-US"/>
        </w:rPr>
      </w:pPr>
      <w:r w:rsidRPr="00BD77D8">
        <w:rPr>
          <w:rFonts w:eastAsia="Calibri"/>
          <w:lang w:eastAsia="en-US"/>
        </w:rPr>
        <w:t xml:space="preserve">grant of $1.605 million reflecting the transfer of ownership of </w:t>
      </w:r>
      <w:proofErr w:type="spellStart"/>
      <w:r w:rsidRPr="00BD77D8">
        <w:rPr>
          <w:rFonts w:eastAsia="Calibri"/>
          <w:lang w:eastAsia="en-US"/>
        </w:rPr>
        <w:t>Olandi</w:t>
      </w:r>
      <w:proofErr w:type="spellEnd"/>
      <w:r w:rsidRPr="00BD77D8">
        <w:rPr>
          <w:rFonts w:eastAsia="Calibri"/>
          <w:lang w:eastAsia="en-US"/>
        </w:rPr>
        <w:t xml:space="preserve"> Hall to Torres Shire Council</w:t>
      </w:r>
      <w:r w:rsidR="00EF738E" w:rsidRPr="00BD77D8">
        <w:rPr>
          <w:rFonts w:eastAsia="Calibri"/>
          <w:lang w:eastAsia="en-US"/>
        </w:rPr>
        <w:t>.</w:t>
      </w:r>
      <w:r w:rsidRPr="00BD77D8">
        <w:rPr>
          <w:rFonts w:eastAsia="Calibri"/>
          <w:lang w:eastAsia="en-US"/>
        </w:rPr>
        <w:t xml:space="preserve"> </w:t>
      </w:r>
    </w:p>
    <w:bookmarkEnd w:id="311"/>
    <w:p w14:paraId="49457568" w14:textId="2CF9CBBA" w:rsidR="00716CA7" w:rsidRPr="00BD77D8" w:rsidRDefault="00134E20" w:rsidP="0056592D">
      <w:pPr>
        <w:spacing w:after="120" w:line="259" w:lineRule="auto"/>
        <w:rPr>
          <w:lang w:eastAsia="en-US"/>
        </w:rPr>
      </w:pPr>
      <w:r w:rsidRPr="00BD77D8">
        <w:rPr>
          <w:rFonts w:eastAsia="Calibri"/>
          <w:lang w:eastAsia="en-US"/>
        </w:rPr>
        <w:t xml:space="preserve">Income and expenditure on these </w:t>
      </w:r>
      <w:r w:rsidR="00D51A9A" w:rsidRPr="00BD77D8">
        <w:rPr>
          <w:rFonts w:eastAsia="Calibri"/>
          <w:lang w:eastAsia="en-US"/>
        </w:rPr>
        <w:t>a</w:t>
      </w:r>
      <w:r w:rsidRPr="00BD77D8">
        <w:rPr>
          <w:rFonts w:eastAsia="Calibri"/>
          <w:lang w:eastAsia="en-US"/>
        </w:rPr>
        <w:t xml:space="preserve">dministered items are accounted for separately from our operating accounts. Variances between budget and actual results are explained in the financial statements. </w:t>
      </w:r>
    </w:p>
    <w:p w14:paraId="5201E379" w14:textId="4255B61A" w:rsidR="005C77E0" w:rsidRPr="00BD77D8" w:rsidRDefault="00392640" w:rsidP="009F1FB5">
      <w:pPr>
        <w:pStyle w:val="Heading1"/>
        <w:rPr>
          <w:color w:val="auto"/>
        </w:rPr>
      </w:pPr>
      <w:bookmarkStart w:id="312" w:name="_Toc78287409"/>
      <w:bookmarkStart w:id="313" w:name="_Toc78355816"/>
      <w:bookmarkStart w:id="314" w:name="_Toc113544411"/>
      <w:bookmarkStart w:id="315" w:name="_Toc43444832"/>
      <w:bookmarkEnd w:id="307"/>
      <w:r w:rsidRPr="00BD77D8">
        <w:rPr>
          <w:color w:val="auto"/>
        </w:rPr>
        <w:lastRenderedPageBreak/>
        <w:t>07</w:t>
      </w:r>
      <w:r w:rsidRPr="00BD77D8">
        <w:rPr>
          <w:b/>
          <w:bCs w:val="0"/>
          <w:color w:val="auto"/>
        </w:rPr>
        <w:t xml:space="preserve"> </w:t>
      </w:r>
      <w:r w:rsidR="005C77E0" w:rsidRPr="00BD77D8">
        <w:rPr>
          <w:color w:val="auto"/>
        </w:rPr>
        <w:t>Appendices</w:t>
      </w:r>
      <w:bookmarkEnd w:id="312"/>
      <w:bookmarkEnd w:id="313"/>
      <w:bookmarkEnd w:id="314"/>
    </w:p>
    <w:p w14:paraId="3343FFFB" w14:textId="77777777" w:rsidR="005C77E0" w:rsidRPr="00BD77D8" w:rsidRDefault="005C77E0" w:rsidP="009F1FB5">
      <w:r w:rsidRPr="00BD77D8">
        <w:t>In this Section</w:t>
      </w:r>
    </w:p>
    <w:p w14:paraId="2E848909" w14:textId="77777777" w:rsidR="005C77E0" w:rsidRPr="00BD77D8" w:rsidRDefault="005C77E0" w:rsidP="009F1FB5">
      <w:pPr>
        <w:pStyle w:val="ListBullet"/>
      </w:pPr>
      <w:r w:rsidRPr="00BD77D8">
        <w:t>Appendix 1: Glossary</w:t>
      </w:r>
    </w:p>
    <w:p w14:paraId="79424F10" w14:textId="77777777" w:rsidR="005C77E0" w:rsidRPr="00BD77D8" w:rsidRDefault="005C77E0" w:rsidP="009F1FB5">
      <w:pPr>
        <w:pStyle w:val="ListBullet"/>
      </w:pPr>
      <w:r w:rsidRPr="00BD77D8">
        <w:t>Appendix 2: Our legislation</w:t>
      </w:r>
    </w:p>
    <w:p w14:paraId="204988E2" w14:textId="77777777" w:rsidR="005C77E0" w:rsidRPr="00BD77D8" w:rsidRDefault="005C77E0" w:rsidP="009F1FB5">
      <w:pPr>
        <w:pStyle w:val="ListBullet"/>
      </w:pPr>
      <w:r w:rsidRPr="00BD77D8">
        <w:t>Appendix 3: Department boards and committees</w:t>
      </w:r>
    </w:p>
    <w:p w14:paraId="556E04C3" w14:textId="7119CEE4" w:rsidR="005C77E0" w:rsidRPr="00BD77D8" w:rsidRDefault="00B4253E" w:rsidP="009F1FB5">
      <w:pPr>
        <w:pStyle w:val="ListBullet"/>
      </w:pPr>
      <w:r w:rsidRPr="00BD77D8">
        <w:t xml:space="preserve">Appendix </w:t>
      </w:r>
      <w:r w:rsidR="00925263" w:rsidRPr="00BD77D8">
        <w:t>4</w:t>
      </w:r>
      <w:r w:rsidR="005C77E0" w:rsidRPr="00BD77D8">
        <w:t xml:space="preserve">: </w:t>
      </w:r>
      <w:r w:rsidR="00BA76BC" w:rsidRPr="00BD77D8">
        <w:t>Government bodies (Statutory bodies and other entities)</w:t>
      </w:r>
    </w:p>
    <w:p w14:paraId="7B2A3146" w14:textId="76B988F1" w:rsidR="005C77E0" w:rsidRPr="00BD77D8" w:rsidRDefault="00B4253E" w:rsidP="009F1FB5">
      <w:pPr>
        <w:pStyle w:val="ListBullet"/>
      </w:pPr>
      <w:r w:rsidRPr="00BD77D8">
        <w:t xml:space="preserve">Appendix </w:t>
      </w:r>
      <w:r w:rsidR="00925263" w:rsidRPr="00BD77D8">
        <w:t>5</w:t>
      </w:r>
      <w:r w:rsidR="005C77E0" w:rsidRPr="00BD77D8">
        <w:t xml:space="preserve">: </w:t>
      </w:r>
      <w:r w:rsidR="00BA76BC" w:rsidRPr="00BD77D8">
        <w:t>Master Plan information</w:t>
      </w:r>
    </w:p>
    <w:p w14:paraId="1B5EA492" w14:textId="6F86DD73" w:rsidR="00B4253E" w:rsidRPr="00BD77D8" w:rsidRDefault="00B4253E" w:rsidP="009F1FB5">
      <w:pPr>
        <w:pStyle w:val="ListBullet"/>
      </w:pPr>
      <w:r w:rsidRPr="00BD77D8">
        <w:t>Appendix</w:t>
      </w:r>
      <w:r w:rsidR="00925263" w:rsidRPr="00BD77D8">
        <w:t xml:space="preserve"> 6</w:t>
      </w:r>
      <w:r w:rsidRPr="00BD77D8">
        <w:t xml:space="preserve">: Financial </w:t>
      </w:r>
      <w:r w:rsidR="00154F3A" w:rsidRPr="00BD77D8">
        <w:t>S</w:t>
      </w:r>
      <w:r w:rsidRPr="00BD77D8">
        <w:t>tatement</w:t>
      </w:r>
      <w:r w:rsidR="00BA76BC" w:rsidRPr="00BD77D8">
        <w:t>s</w:t>
      </w:r>
    </w:p>
    <w:p w14:paraId="276E6ABF" w14:textId="1FA631E1" w:rsidR="005C77E0" w:rsidRPr="00BD77D8" w:rsidRDefault="005C77E0" w:rsidP="005C77E0">
      <w:pPr>
        <w:spacing w:after="120" w:line="240" w:lineRule="auto"/>
        <w:rPr>
          <w:bCs/>
          <w:noProof/>
          <w:kern w:val="32"/>
          <w:sz w:val="36"/>
          <w:szCs w:val="36"/>
          <w:lang w:eastAsia="en-US"/>
        </w:rPr>
      </w:pPr>
      <w:r w:rsidRPr="00BD77D8">
        <w:br w:type="page"/>
      </w:r>
    </w:p>
    <w:p w14:paraId="5760AA53" w14:textId="664C0D84" w:rsidR="001426EA" w:rsidRPr="00BD77D8" w:rsidRDefault="00451BD6" w:rsidP="00497E44">
      <w:pPr>
        <w:pStyle w:val="Heading2"/>
        <w:rPr>
          <w:color w:val="auto"/>
          <w:sz w:val="20"/>
          <w:szCs w:val="20"/>
        </w:rPr>
      </w:pPr>
      <w:bookmarkStart w:id="316" w:name="_Toc43444833"/>
      <w:bookmarkStart w:id="317" w:name="_Toc78287410"/>
      <w:bookmarkStart w:id="318" w:name="_Toc78355817"/>
      <w:bookmarkStart w:id="319" w:name="_Toc113544412"/>
      <w:bookmarkEnd w:id="315"/>
      <w:r w:rsidRPr="00BD77D8">
        <w:rPr>
          <w:color w:val="auto"/>
        </w:rPr>
        <w:lastRenderedPageBreak/>
        <w:t>Appendix 1</w:t>
      </w:r>
      <w:r w:rsidR="00E434A2" w:rsidRPr="00BD77D8">
        <w:rPr>
          <w:color w:val="auto"/>
        </w:rPr>
        <w:t>—</w:t>
      </w:r>
      <w:r w:rsidR="00FB48FC" w:rsidRPr="00BD77D8">
        <w:rPr>
          <w:color w:val="auto"/>
        </w:rPr>
        <w:t>Glossary</w:t>
      </w:r>
      <w:bookmarkEnd w:id="316"/>
      <w:bookmarkEnd w:id="317"/>
      <w:bookmarkEnd w:id="318"/>
      <w:bookmarkEnd w:id="319"/>
      <w:r w:rsidR="004767D6" w:rsidRPr="00BD77D8">
        <w:rPr>
          <w:color w:val="auto"/>
        </w:rPr>
        <w:t xml:space="preserve"> </w:t>
      </w:r>
    </w:p>
    <w:tbl>
      <w:tblPr>
        <w:tblStyle w:val="TableGrid1"/>
        <w:tblW w:w="10490" w:type="dxa"/>
        <w:tblInd w:w="-5" w:type="dxa"/>
        <w:tblLayout w:type="fixed"/>
        <w:tblCellMar>
          <w:top w:w="28" w:type="dxa"/>
          <w:left w:w="28" w:type="dxa"/>
          <w:bottom w:w="28" w:type="dxa"/>
          <w:right w:w="28" w:type="dxa"/>
        </w:tblCellMar>
        <w:tblLook w:val="01E0" w:firstRow="1" w:lastRow="1" w:firstColumn="1" w:lastColumn="1" w:noHBand="0" w:noVBand="0"/>
      </w:tblPr>
      <w:tblGrid>
        <w:gridCol w:w="2694"/>
        <w:gridCol w:w="7796"/>
      </w:tblGrid>
      <w:tr w:rsidR="00BD77D8" w:rsidRPr="00BD77D8" w14:paraId="5982AF57" w14:textId="77777777" w:rsidTr="00E1778E">
        <w:trPr>
          <w:trHeight w:hRule="exact" w:val="4668"/>
        </w:trPr>
        <w:tc>
          <w:tcPr>
            <w:tcW w:w="2694" w:type="dxa"/>
          </w:tcPr>
          <w:p w14:paraId="32730D44" w14:textId="77777777" w:rsidR="001426EA" w:rsidRPr="00BD77D8" w:rsidRDefault="001426EA" w:rsidP="00BE0F6C">
            <w:pPr>
              <w:rPr>
                <w:rFonts w:ascii="Arial" w:hAnsi="Arial"/>
              </w:rPr>
            </w:pPr>
            <w:r w:rsidRPr="00BD77D8">
              <w:rPr>
                <w:rFonts w:ascii="Arial" w:hAnsi="Arial"/>
              </w:rPr>
              <w:t>Aboriginal and Torres Strait Islander Cultural Capability Framework</w:t>
            </w:r>
          </w:p>
        </w:tc>
        <w:tc>
          <w:tcPr>
            <w:tcW w:w="7796" w:type="dxa"/>
          </w:tcPr>
          <w:p w14:paraId="02D0BEC0" w14:textId="0D0DEE60" w:rsidR="001426EA" w:rsidRPr="00BD77D8" w:rsidRDefault="001426EA" w:rsidP="00107964">
            <w:pPr>
              <w:ind w:left="121"/>
              <w:rPr>
                <w:rFonts w:ascii="Arial" w:hAnsi="Arial"/>
              </w:rPr>
            </w:pPr>
            <w:r w:rsidRPr="00BD77D8">
              <w:rPr>
                <w:rFonts w:ascii="Arial" w:hAnsi="Arial"/>
              </w:rPr>
              <w:t>Cultural capability is the integration of knowledge about individuals and groups of people into specific standards, policies, practices and attitudes to produce better outcomes for Aboriginal</w:t>
            </w:r>
            <w:r w:rsidR="004C7FBB" w:rsidRPr="00BD77D8">
              <w:rPr>
                <w:rFonts w:ascii="Arial" w:hAnsi="Arial"/>
              </w:rPr>
              <w:t xml:space="preserve"> peoples</w:t>
            </w:r>
            <w:r w:rsidRPr="00BD77D8">
              <w:rPr>
                <w:rFonts w:ascii="Arial" w:hAnsi="Arial"/>
              </w:rPr>
              <w:t xml:space="preserve"> and Torres Strait Islander peoples. It is demonstrated through knowledge, skills and behaviours.</w:t>
            </w:r>
          </w:p>
          <w:p w14:paraId="1D328572" w14:textId="77777777" w:rsidR="001426EA" w:rsidRPr="00BD77D8" w:rsidRDefault="001426EA" w:rsidP="00107964">
            <w:pPr>
              <w:ind w:left="121"/>
              <w:rPr>
                <w:rFonts w:ascii="Arial" w:hAnsi="Arial"/>
              </w:rPr>
            </w:pPr>
            <w:r w:rsidRPr="00BD77D8">
              <w:rPr>
                <w:rFonts w:ascii="Arial" w:hAnsi="Arial"/>
              </w:rPr>
              <w:t>The Aboriginal and Torres Strait Islander Cultural Capability Framework is underpinned by five principles: valuing culture; leadership and accountability; building cultural capability to improve economic participation; Aboriginal and Torres Strait Islander engagement and stronger partnerships; and culturally responsive systems and services.</w:t>
            </w:r>
          </w:p>
          <w:p w14:paraId="36363B03" w14:textId="77777777" w:rsidR="001426EA" w:rsidRPr="00BD77D8" w:rsidRDefault="001426EA" w:rsidP="00107964">
            <w:pPr>
              <w:ind w:left="121"/>
              <w:rPr>
                <w:rFonts w:ascii="Arial" w:hAnsi="Arial"/>
              </w:rPr>
            </w:pPr>
            <w:r w:rsidRPr="00BD77D8">
              <w:rPr>
                <w:rFonts w:ascii="Arial" w:hAnsi="Arial"/>
              </w:rPr>
              <w:t>The framework is the foundation document that underpins all Queensland Government actions aimed at ensuring Aboriginal and Torres Strait Islander Queenslanders enjoy the same opportunities—economic, education, health, housing and social—as non-Indigenous Queenslanders. It underpins the way we do business so we can ensure all Aboriginal and Torres Strait Islander Queenslanders share equally in the future of our great state.</w:t>
            </w:r>
          </w:p>
        </w:tc>
      </w:tr>
      <w:tr w:rsidR="00BD77D8" w:rsidRPr="00BD77D8" w14:paraId="1BA23530" w14:textId="77777777" w:rsidTr="000D186F">
        <w:trPr>
          <w:trHeight w:hRule="exact" w:val="1947"/>
        </w:trPr>
        <w:tc>
          <w:tcPr>
            <w:tcW w:w="2694" w:type="dxa"/>
          </w:tcPr>
          <w:p w14:paraId="1DA54592" w14:textId="2072016C" w:rsidR="001426EA" w:rsidRPr="00BD77D8" w:rsidRDefault="001426EA" w:rsidP="00BE0F6C">
            <w:pPr>
              <w:rPr>
                <w:rFonts w:ascii="Arial" w:hAnsi="Arial"/>
              </w:rPr>
            </w:pPr>
            <w:r w:rsidRPr="00BD77D8">
              <w:rPr>
                <w:rFonts w:ascii="Arial" w:hAnsi="Arial"/>
              </w:rPr>
              <w:t>Alcohol Management</w:t>
            </w:r>
          </w:p>
          <w:p w14:paraId="058D80DD" w14:textId="61018637" w:rsidR="001511B9" w:rsidRPr="00BD77D8" w:rsidRDefault="001511B9" w:rsidP="00BE0F6C">
            <w:pPr>
              <w:rPr>
                <w:rFonts w:ascii="Arial" w:hAnsi="Arial"/>
              </w:rPr>
            </w:pPr>
          </w:p>
        </w:tc>
        <w:tc>
          <w:tcPr>
            <w:tcW w:w="7796" w:type="dxa"/>
          </w:tcPr>
          <w:p w14:paraId="2095531D" w14:textId="49C17987" w:rsidR="001426EA" w:rsidRPr="00BD77D8" w:rsidRDefault="001426EA" w:rsidP="00E1778E">
            <w:pPr>
              <w:ind w:left="121"/>
              <w:rPr>
                <w:rFonts w:ascii="Arial" w:hAnsi="Arial"/>
              </w:rPr>
            </w:pPr>
            <w:r w:rsidRPr="00BD77D8">
              <w:rPr>
                <w:rFonts w:ascii="Arial" w:hAnsi="Arial"/>
              </w:rPr>
              <w:t>Alcohol</w:t>
            </w:r>
            <w:r w:rsidR="00973E2A" w:rsidRPr="00BD77D8">
              <w:rPr>
                <w:rFonts w:ascii="Arial" w:hAnsi="Arial"/>
              </w:rPr>
              <w:t xml:space="preserve"> restrictions</w:t>
            </w:r>
            <w:r w:rsidRPr="00BD77D8">
              <w:rPr>
                <w:rFonts w:ascii="Arial" w:hAnsi="Arial"/>
              </w:rPr>
              <w:t xml:space="preserve"> are in place in 19 discrete Aboriginal and Torres Strait Islander communities across 15 </w:t>
            </w:r>
            <w:r w:rsidR="0000700B" w:rsidRPr="00BD77D8">
              <w:rPr>
                <w:rFonts w:ascii="Arial" w:hAnsi="Arial"/>
              </w:rPr>
              <w:t>l</w:t>
            </w:r>
            <w:r w:rsidRPr="00BD77D8">
              <w:rPr>
                <w:rFonts w:ascii="Arial" w:hAnsi="Arial"/>
              </w:rPr>
              <w:t xml:space="preserve">ocal government areas in Queensland, and are designed to reduce alcohol-related violence, particularly against women, children and the elderly. </w:t>
            </w:r>
            <w:r w:rsidR="00AC1F4B" w:rsidRPr="00BD77D8">
              <w:rPr>
                <w:rFonts w:ascii="Arial" w:hAnsi="Arial"/>
              </w:rPr>
              <w:t>Through the renewed approach to a</w:t>
            </w:r>
            <w:r w:rsidRPr="00BD77D8">
              <w:rPr>
                <w:rFonts w:ascii="Arial" w:hAnsi="Arial"/>
              </w:rPr>
              <w:t xml:space="preserve">lcohol </w:t>
            </w:r>
            <w:r w:rsidR="00AC1F4B" w:rsidRPr="00BD77D8">
              <w:rPr>
                <w:rFonts w:ascii="Arial" w:hAnsi="Arial"/>
              </w:rPr>
              <w:t>m</w:t>
            </w:r>
            <w:r w:rsidRPr="00BD77D8">
              <w:rPr>
                <w:rFonts w:ascii="Arial" w:hAnsi="Arial"/>
              </w:rPr>
              <w:t>anagement</w:t>
            </w:r>
            <w:r w:rsidR="00AC1F4B" w:rsidRPr="00BD77D8">
              <w:rPr>
                <w:rFonts w:ascii="Arial" w:hAnsi="Arial"/>
              </w:rPr>
              <w:t>,</w:t>
            </w:r>
            <w:r w:rsidRPr="00BD77D8">
              <w:rPr>
                <w:rFonts w:ascii="Arial" w:hAnsi="Arial"/>
              </w:rPr>
              <w:t xml:space="preserve"> </w:t>
            </w:r>
            <w:r w:rsidR="00AC1F4B" w:rsidRPr="00BD77D8">
              <w:rPr>
                <w:rFonts w:ascii="Arial" w:hAnsi="Arial"/>
              </w:rPr>
              <w:t xml:space="preserve">all 15 local government areas have developed Community Safety Plans that </w:t>
            </w:r>
            <w:r w:rsidRPr="00BD77D8">
              <w:rPr>
                <w:rFonts w:ascii="Arial" w:hAnsi="Arial"/>
              </w:rPr>
              <w:t>are tailored to each community</w:t>
            </w:r>
            <w:r w:rsidR="00AC1F4B" w:rsidRPr="00BD77D8">
              <w:rPr>
                <w:rFonts w:ascii="Arial" w:hAnsi="Arial"/>
              </w:rPr>
              <w:t xml:space="preserve"> and</w:t>
            </w:r>
            <w:r w:rsidRPr="00BD77D8">
              <w:rPr>
                <w:rFonts w:ascii="Arial" w:hAnsi="Arial"/>
              </w:rPr>
              <w:t xml:space="preserve"> contain strategies to reduce alcohol supply</w:t>
            </w:r>
            <w:r w:rsidR="000D186F" w:rsidRPr="00BD77D8">
              <w:rPr>
                <w:rFonts w:ascii="Arial" w:hAnsi="Arial"/>
              </w:rPr>
              <w:t>,</w:t>
            </w:r>
            <w:r w:rsidRPr="00BD77D8">
              <w:rPr>
                <w:rFonts w:ascii="Arial" w:hAnsi="Arial"/>
              </w:rPr>
              <w:t xml:space="preserve"> demand</w:t>
            </w:r>
            <w:r w:rsidR="000D186F" w:rsidRPr="00BD77D8">
              <w:rPr>
                <w:rFonts w:ascii="Arial" w:hAnsi="Arial"/>
              </w:rPr>
              <w:t xml:space="preserve"> and harm.</w:t>
            </w:r>
          </w:p>
        </w:tc>
      </w:tr>
      <w:tr w:rsidR="00BD77D8" w:rsidRPr="00BD77D8" w14:paraId="14671F15" w14:textId="77777777" w:rsidTr="00E1778E">
        <w:trPr>
          <w:trHeight w:hRule="exact" w:val="951"/>
        </w:trPr>
        <w:tc>
          <w:tcPr>
            <w:tcW w:w="2694" w:type="dxa"/>
          </w:tcPr>
          <w:p w14:paraId="360F4493" w14:textId="53CFA30D" w:rsidR="00C66CEE" w:rsidRPr="00BD77D8" w:rsidRDefault="00C66CEE" w:rsidP="00BE0F6C">
            <w:pPr>
              <w:rPr>
                <w:rFonts w:ascii="Arial" w:hAnsi="Arial"/>
              </w:rPr>
            </w:pPr>
            <w:r w:rsidRPr="00BD77D8">
              <w:rPr>
                <w:rFonts w:ascii="Arial" w:hAnsi="Arial"/>
              </w:rPr>
              <w:t>Carer</w:t>
            </w:r>
          </w:p>
        </w:tc>
        <w:tc>
          <w:tcPr>
            <w:tcW w:w="7796" w:type="dxa"/>
          </w:tcPr>
          <w:p w14:paraId="02C6819D" w14:textId="48853165" w:rsidR="00C66CEE" w:rsidRPr="00BD77D8" w:rsidRDefault="00C66CEE" w:rsidP="00E1778E">
            <w:pPr>
              <w:ind w:left="121"/>
              <w:rPr>
                <w:rFonts w:ascii="Arial" w:hAnsi="Arial"/>
              </w:rPr>
            </w:pPr>
            <w:r w:rsidRPr="00BD77D8">
              <w:rPr>
                <w:rFonts w:ascii="Arial" w:hAnsi="Arial"/>
              </w:rPr>
              <w:t>Someone who provides ongoing care or assistance to another person who, because of a disability, impairment, frailty, chronic illness or pain, requires assistance with everyday tasks.</w:t>
            </w:r>
          </w:p>
        </w:tc>
      </w:tr>
      <w:tr w:rsidR="00BD77D8" w:rsidRPr="00BD77D8" w14:paraId="2750A88A" w14:textId="77777777" w:rsidTr="002C2968">
        <w:trPr>
          <w:trHeight w:hRule="exact" w:val="1211"/>
        </w:trPr>
        <w:tc>
          <w:tcPr>
            <w:tcW w:w="2694" w:type="dxa"/>
          </w:tcPr>
          <w:p w14:paraId="38DF2803" w14:textId="77777777" w:rsidR="001426EA" w:rsidRPr="00BD77D8" w:rsidRDefault="001426EA" w:rsidP="00BE0F6C">
            <w:pPr>
              <w:rPr>
                <w:rFonts w:ascii="Arial" w:hAnsi="Arial"/>
              </w:rPr>
            </w:pPr>
            <w:r w:rsidRPr="00BD77D8">
              <w:rPr>
                <w:rFonts w:ascii="Arial" w:hAnsi="Arial"/>
              </w:rPr>
              <w:t>Closing the Gap</w:t>
            </w:r>
          </w:p>
        </w:tc>
        <w:tc>
          <w:tcPr>
            <w:tcW w:w="7796" w:type="dxa"/>
          </w:tcPr>
          <w:p w14:paraId="640ED00F" w14:textId="18B6227B" w:rsidR="001426EA" w:rsidRPr="00BD77D8" w:rsidRDefault="001426EA" w:rsidP="00E1778E">
            <w:pPr>
              <w:ind w:left="121"/>
              <w:rPr>
                <w:rFonts w:ascii="Arial" w:hAnsi="Arial"/>
              </w:rPr>
            </w:pPr>
            <w:r w:rsidRPr="00BD77D8">
              <w:rPr>
                <w:rFonts w:ascii="Arial" w:hAnsi="Arial"/>
              </w:rPr>
              <w:t xml:space="preserve">A commitment by all Australian governments to work towards a better future for Aboriginal </w:t>
            </w:r>
            <w:r w:rsidR="004C7FBB" w:rsidRPr="00BD77D8">
              <w:rPr>
                <w:rFonts w:ascii="Arial" w:hAnsi="Arial"/>
              </w:rPr>
              <w:t xml:space="preserve">peoples </w:t>
            </w:r>
            <w:r w:rsidRPr="00BD77D8">
              <w:rPr>
                <w:rFonts w:ascii="Arial" w:hAnsi="Arial"/>
              </w:rPr>
              <w:t>and Torres Strait Islander peoples. It aims to close the gap of Aboriginal and Torres Strait Islander disadvantage in areas such as life expectancy, health, housing, education and employment.</w:t>
            </w:r>
          </w:p>
        </w:tc>
      </w:tr>
      <w:tr w:rsidR="00BD77D8" w:rsidRPr="00BD77D8" w14:paraId="7E053804" w14:textId="77777777" w:rsidTr="00E1778E">
        <w:trPr>
          <w:trHeight w:hRule="exact" w:val="1009"/>
        </w:trPr>
        <w:tc>
          <w:tcPr>
            <w:tcW w:w="2694" w:type="dxa"/>
          </w:tcPr>
          <w:p w14:paraId="5C5E8ED9" w14:textId="77777777" w:rsidR="001426EA" w:rsidRPr="00BD77D8" w:rsidRDefault="001426EA" w:rsidP="00BE0F6C">
            <w:pPr>
              <w:rPr>
                <w:rFonts w:ascii="Arial" w:hAnsi="Arial"/>
              </w:rPr>
            </w:pPr>
            <w:r w:rsidRPr="00BD77D8">
              <w:rPr>
                <w:rFonts w:ascii="Arial" w:hAnsi="Arial"/>
              </w:rPr>
              <w:t>Co-design</w:t>
            </w:r>
          </w:p>
        </w:tc>
        <w:tc>
          <w:tcPr>
            <w:tcW w:w="7796" w:type="dxa"/>
          </w:tcPr>
          <w:p w14:paraId="329AF712" w14:textId="77777777" w:rsidR="001426EA" w:rsidRPr="00BD77D8" w:rsidRDefault="001426EA" w:rsidP="00E1778E">
            <w:pPr>
              <w:ind w:left="121"/>
              <w:rPr>
                <w:rFonts w:ascii="Arial" w:hAnsi="Arial"/>
              </w:rPr>
            </w:pPr>
            <w:r w:rsidRPr="00BD77D8">
              <w:rPr>
                <w:rFonts w:ascii="Arial" w:hAnsi="Arial"/>
              </w:rPr>
              <w:t>Co-design is an approach to design that attempts to actively involve all stakeholders in the design process to help ensure the result meets their needs and is usable.</w:t>
            </w:r>
          </w:p>
        </w:tc>
      </w:tr>
      <w:tr w:rsidR="00BD77D8" w:rsidRPr="00BD77D8" w14:paraId="1CBDC893" w14:textId="77777777" w:rsidTr="002C2968">
        <w:trPr>
          <w:trHeight w:hRule="exact" w:val="1211"/>
        </w:trPr>
        <w:tc>
          <w:tcPr>
            <w:tcW w:w="2694" w:type="dxa"/>
          </w:tcPr>
          <w:p w14:paraId="76758F22" w14:textId="77777777" w:rsidR="001426EA" w:rsidRPr="00BD77D8" w:rsidRDefault="001426EA" w:rsidP="00BE0F6C">
            <w:pPr>
              <w:rPr>
                <w:rFonts w:ascii="Arial" w:hAnsi="Arial"/>
              </w:rPr>
            </w:pPr>
            <w:r w:rsidRPr="00BD77D8">
              <w:rPr>
                <w:rFonts w:ascii="Arial" w:hAnsi="Arial"/>
              </w:rPr>
              <w:t>Cultural heritage</w:t>
            </w:r>
          </w:p>
        </w:tc>
        <w:tc>
          <w:tcPr>
            <w:tcW w:w="7796" w:type="dxa"/>
          </w:tcPr>
          <w:p w14:paraId="17010231" w14:textId="77777777" w:rsidR="001426EA" w:rsidRPr="00BD77D8" w:rsidRDefault="001426EA" w:rsidP="00E1778E">
            <w:pPr>
              <w:ind w:left="121"/>
              <w:rPr>
                <w:rFonts w:ascii="Arial" w:hAnsi="Arial"/>
              </w:rPr>
            </w:pPr>
            <w:r w:rsidRPr="00BD77D8">
              <w:rPr>
                <w:rFonts w:ascii="Arial" w:hAnsi="Arial"/>
              </w:rPr>
              <w:t xml:space="preserve">Aboriginal and Torres Strait Islander cultural heritage is anything that is a </w:t>
            </w:r>
            <w:r w:rsidR="00B91766" w:rsidRPr="00BD77D8">
              <w:rPr>
                <w:rFonts w:ascii="Arial" w:hAnsi="Arial"/>
              </w:rPr>
              <w:t>significant Aboriginal</w:t>
            </w:r>
            <w:r w:rsidRPr="00BD77D8">
              <w:rPr>
                <w:rFonts w:ascii="Arial" w:hAnsi="Arial"/>
              </w:rPr>
              <w:t xml:space="preserve"> or Torres Strait Islander area or object in Queensland, or evidence of archaeological or historical significance of Aboriginal and Torres Strait Islander occupation of an area in Queensland.</w:t>
            </w:r>
          </w:p>
        </w:tc>
      </w:tr>
      <w:tr w:rsidR="00BD77D8" w:rsidRPr="00BD77D8" w14:paraId="73FC1628" w14:textId="77777777" w:rsidTr="002C2968">
        <w:trPr>
          <w:trHeight w:hRule="exact" w:val="913"/>
        </w:trPr>
        <w:tc>
          <w:tcPr>
            <w:tcW w:w="2694" w:type="dxa"/>
          </w:tcPr>
          <w:p w14:paraId="08FE3BD8" w14:textId="6698125D" w:rsidR="00C66CEE" w:rsidRPr="00BD77D8" w:rsidRDefault="00C66CEE" w:rsidP="00BE0F6C">
            <w:pPr>
              <w:rPr>
                <w:rFonts w:ascii="Arial" w:hAnsi="Arial"/>
              </w:rPr>
            </w:pPr>
            <w:r w:rsidRPr="00BD77D8">
              <w:rPr>
                <w:rFonts w:ascii="Arial" w:hAnsi="Arial"/>
              </w:rPr>
              <w:t>Customer</w:t>
            </w:r>
          </w:p>
        </w:tc>
        <w:tc>
          <w:tcPr>
            <w:tcW w:w="7796" w:type="dxa"/>
          </w:tcPr>
          <w:p w14:paraId="1C4A9328" w14:textId="276F673B" w:rsidR="00C66CEE" w:rsidRPr="00BD77D8" w:rsidRDefault="00C66CEE" w:rsidP="00E1778E">
            <w:pPr>
              <w:ind w:left="121"/>
              <w:rPr>
                <w:rFonts w:ascii="Arial" w:hAnsi="Arial"/>
              </w:rPr>
            </w:pPr>
            <w:r w:rsidRPr="00BD77D8">
              <w:rPr>
                <w:rFonts w:ascii="Arial" w:hAnsi="Arial"/>
              </w:rPr>
              <w:t xml:space="preserve">Person or organisation that receives a service. Note that a customer can be internal or external to the organisation. Synonyms </w:t>
            </w:r>
            <w:proofErr w:type="gramStart"/>
            <w:r w:rsidRPr="00BD77D8">
              <w:rPr>
                <w:rFonts w:ascii="Arial" w:hAnsi="Arial"/>
              </w:rPr>
              <w:t>include:</w:t>
            </w:r>
            <w:proofErr w:type="gramEnd"/>
            <w:r w:rsidRPr="00BD77D8">
              <w:rPr>
                <w:rFonts w:ascii="Arial" w:hAnsi="Arial"/>
              </w:rPr>
              <w:t xml:space="preserve"> client, consumer, end user, resident, retailer, beneficiary and purchaser.</w:t>
            </w:r>
          </w:p>
        </w:tc>
      </w:tr>
      <w:tr w:rsidR="00BD77D8" w:rsidRPr="00BD77D8" w14:paraId="0B74154C" w14:textId="77777777" w:rsidTr="002C2968">
        <w:trPr>
          <w:trHeight w:hRule="exact" w:val="1281"/>
        </w:trPr>
        <w:tc>
          <w:tcPr>
            <w:tcW w:w="2694" w:type="dxa"/>
          </w:tcPr>
          <w:p w14:paraId="4F87581E" w14:textId="20D94B78" w:rsidR="00C66CEE" w:rsidRPr="00BD77D8" w:rsidRDefault="00C66CEE" w:rsidP="00BE0F6C">
            <w:pPr>
              <w:rPr>
                <w:rFonts w:ascii="Arial" w:hAnsi="Arial"/>
              </w:rPr>
            </w:pPr>
            <w:r w:rsidRPr="00BD77D8">
              <w:rPr>
                <w:rFonts w:ascii="Arial" w:hAnsi="Arial"/>
              </w:rPr>
              <w:t>Disability</w:t>
            </w:r>
          </w:p>
        </w:tc>
        <w:tc>
          <w:tcPr>
            <w:tcW w:w="7796" w:type="dxa"/>
          </w:tcPr>
          <w:p w14:paraId="164C62B9" w14:textId="4D3CDF37" w:rsidR="00C66CEE" w:rsidRPr="00BD77D8" w:rsidRDefault="00C66CEE" w:rsidP="00E1778E">
            <w:pPr>
              <w:ind w:left="121"/>
              <w:rPr>
                <w:rFonts w:ascii="Arial" w:hAnsi="Arial"/>
              </w:rPr>
            </w:pPr>
            <w:r w:rsidRPr="00BD77D8">
              <w:rPr>
                <w:rFonts w:ascii="Arial" w:hAnsi="Arial"/>
              </w:rPr>
              <w:t>A person’s condition that is attributable to an intellectual, psychiatric, cognitive, neurological, sensory or physical impairment, or combination of impairments and results in a substantial reduction of the person’s capacity for communication, social interaction, learning, mobility, self-care or management.</w:t>
            </w:r>
          </w:p>
        </w:tc>
      </w:tr>
      <w:tr w:rsidR="00BD77D8" w:rsidRPr="00BD77D8" w14:paraId="47F24748" w14:textId="77777777" w:rsidTr="00E1778E">
        <w:trPr>
          <w:trHeight w:hRule="exact" w:val="740"/>
        </w:trPr>
        <w:tc>
          <w:tcPr>
            <w:tcW w:w="2694" w:type="dxa"/>
          </w:tcPr>
          <w:p w14:paraId="13AD575F" w14:textId="785BA724" w:rsidR="0033359D" w:rsidRPr="00BD77D8" w:rsidRDefault="0033359D" w:rsidP="00BE0F6C">
            <w:pPr>
              <w:rPr>
                <w:rFonts w:ascii="Arial" w:hAnsi="Arial"/>
              </w:rPr>
            </w:pPr>
            <w:r w:rsidRPr="00BD77D8">
              <w:rPr>
                <w:rFonts w:ascii="Arial" w:hAnsi="Arial"/>
              </w:rPr>
              <w:lastRenderedPageBreak/>
              <w:t>Disability Connect and Outreach</w:t>
            </w:r>
            <w:r w:rsidR="00DB2EF1" w:rsidRPr="00BD77D8">
              <w:rPr>
                <w:rFonts w:ascii="Arial" w:hAnsi="Arial"/>
              </w:rPr>
              <w:t xml:space="preserve"> Program</w:t>
            </w:r>
          </w:p>
        </w:tc>
        <w:tc>
          <w:tcPr>
            <w:tcW w:w="7796" w:type="dxa"/>
          </w:tcPr>
          <w:p w14:paraId="7BFD855D" w14:textId="2C90A92C" w:rsidR="0033359D" w:rsidRPr="00BD77D8" w:rsidRDefault="0033359D" w:rsidP="00E1778E">
            <w:pPr>
              <w:ind w:left="121"/>
              <w:rPr>
                <w:rFonts w:ascii="Arial" w:hAnsi="Arial"/>
              </w:rPr>
            </w:pPr>
            <w:r w:rsidRPr="00BD77D8">
              <w:rPr>
                <w:rFonts w:ascii="Arial" w:hAnsi="Arial"/>
              </w:rPr>
              <w:t xml:space="preserve">An intensive initiative delivered by the </w:t>
            </w:r>
            <w:r w:rsidR="000259D5" w:rsidRPr="00BD77D8">
              <w:rPr>
                <w:rFonts w:ascii="Arial" w:hAnsi="Arial"/>
              </w:rPr>
              <w:t>d</w:t>
            </w:r>
            <w:r w:rsidRPr="00BD77D8">
              <w:rPr>
                <w:rFonts w:ascii="Arial" w:hAnsi="Arial"/>
              </w:rPr>
              <w:t>epartment in partnership with the Commonwealth Government to increase NDIS access in Queensland.</w:t>
            </w:r>
          </w:p>
        </w:tc>
      </w:tr>
      <w:tr w:rsidR="00BD77D8" w:rsidRPr="00BD77D8" w14:paraId="26A456E9" w14:textId="77777777" w:rsidTr="00FC76CD">
        <w:trPr>
          <w:trHeight w:hRule="exact" w:val="1560"/>
        </w:trPr>
        <w:tc>
          <w:tcPr>
            <w:tcW w:w="2694" w:type="dxa"/>
          </w:tcPr>
          <w:p w14:paraId="37C480C6" w14:textId="353D38E4" w:rsidR="001426EA" w:rsidRPr="00BD77D8" w:rsidRDefault="001426EA" w:rsidP="00BE0F6C">
            <w:pPr>
              <w:rPr>
                <w:rFonts w:ascii="Arial" w:hAnsi="Arial"/>
              </w:rPr>
            </w:pPr>
            <w:r w:rsidRPr="00BD77D8">
              <w:rPr>
                <w:rFonts w:ascii="Arial" w:hAnsi="Arial"/>
              </w:rPr>
              <w:t>Discrete</w:t>
            </w:r>
            <w:r w:rsidR="00F66439" w:rsidRPr="00BD77D8">
              <w:rPr>
                <w:rFonts w:ascii="Arial" w:hAnsi="Arial"/>
              </w:rPr>
              <w:t xml:space="preserve"> Aboriginal and Torres Strait Islander </w:t>
            </w:r>
            <w:r w:rsidRPr="00BD77D8">
              <w:rPr>
                <w:rFonts w:ascii="Arial" w:hAnsi="Arial"/>
              </w:rPr>
              <w:t>communities</w:t>
            </w:r>
            <w:r w:rsidR="00595920" w:rsidRPr="00BD77D8">
              <w:rPr>
                <w:rFonts w:ascii="Arial" w:hAnsi="Arial"/>
              </w:rPr>
              <w:t xml:space="preserve"> </w:t>
            </w:r>
          </w:p>
        </w:tc>
        <w:tc>
          <w:tcPr>
            <w:tcW w:w="7796" w:type="dxa"/>
          </w:tcPr>
          <w:p w14:paraId="088D0FD0" w14:textId="77777777" w:rsidR="001426EA" w:rsidRPr="00BD77D8" w:rsidRDefault="001426EA" w:rsidP="00E1778E">
            <w:pPr>
              <w:ind w:left="121"/>
              <w:rPr>
                <w:rFonts w:ascii="Arial" w:hAnsi="Arial"/>
              </w:rPr>
            </w:pPr>
            <w:r w:rsidRPr="00BD77D8">
              <w:rPr>
                <w:rFonts w:ascii="Arial" w:hAnsi="Arial"/>
              </w:rPr>
              <w:t xml:space="preserve">This term refers to the following 19 Aboriginal and Torres Strait Islander communities: Aurukun, Bamaga, Cherbourg, Doomadgee, Hope Vale, Injinoo, Kowanyama, Lockhart River, Mornington Island, Mapoon, Napranum, New Mapoon, Palm Island, Pormpuraaw, Seisia, </w:t>
            </w:r>
            <w:proofErr w:type="spellStart"/>
            <w:r w:rsidRPr="00BD77D8">
              <w:rPr>
                <w:rFonts w:ascii="Arial" w:hAnsi="Arial"/>
              </w:rPr>
              <w:t>Umagico</w:t>
            </w:r>
            <w:proofErr w:type="spellEnd"/>
            <w:r w:rsidRPr="00BD77D8">
              <w:rPr>
                <w:rFonts w:ascii="Arial" w:hAnsi="Arial"/>
              </w:rPr>
              <w:t xml:space="preserve">, Woorabinda, </w:t>
            </w: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r w:rsidRPr="00BD77D8">
              <w:rPr>
                <w:rFonts w:ascii="Arial" w:hAnsi="Arial"/>
              </w:rPr>
              <w:t xml:space="preserve"> and Yarrabah.</w:t>
            </w:r>
          </w:p>
        </w:tc>
      </w:tr>
      <w:tr w:rsidR="00BD77D8" w:rsidRPr="00BD77D8" w14:paraId="641902F9" w14:textId="77777777" w:rsidTr="002C2968">
        <w:trPr>
          <w:trHeight w:hRule="exact" w:val="1544"/>
        </w:trPr>
        <w:tc>
          <w:tcPr>
            <w:tcW w:w="2694" w:type="dxa"/>
          </w:tcPr>
          <w:p w14:paraId="09A6F2E7" w14:textId="77777777" w:rsidR="001426EA" w:rsidRPr="00BD77D8" w:rsidRDefault="001426EA" w:rsidP="00BE0F6C">
            <w:pPr>
              <w:rPr>
                <w:rFonts w:ascii="Arial" w:hAnsi="Arial"/>
              </w:rPr>
            </w:pPr>
            <w:r w:rsidRPr="00BD77D8">
              <w:rPr>
                <w:rFonts w:ascii="Arial" w:hAnsi="Arial"/>
              </w:rPr>
              <w:t>Family Responsibilities Commission</w:t>
            </w:r>
          </w:p>
        </w:tc>
        <w:tc>
          <w:tcPr>
            <w:tcW w:w="7796" w:type="dxa"/>
          </w:tcPr>
          <w:p w14:paraId="64C13B9E" w14:textId="77777777" w:rsidR="001426EA" w:rsidRPr="00BD77D8" w:rsidRDefault="001426EA" w:rsidP="00E1778E">
            <w:pPr>
              <w:ind w:left="121"/>
              <w:rPr>
                <w:rFonts w:ascii="Arial" w:hAnsi="Arial"/>
              </w:rPr>
            </w:pPr>
            <w:r w:rsidRPr="00BD77D8">
              <w:rPr>
                <w:rFonts w:ascii="Arial" w:hAnsi="Arial"/>
              </w:rPr>
              <w:t xml:space="preserve">The Family Responsibilities Commission is a statutory body, established under the </w:t>
            </w:r>
            <w:r w:rsidRPr="00BD77D8">
              <w:rPr>
                <w:rFonts w:ascii="Arial" w:hAnsi="Arial"/>
                <w:i/>
                <w:iCs/>
              </w:rPr>
              <w:t>Queensland Family Responsibilities Commission Act 2008</w:t>
            </w:r>
            <w:r w:rsidRPr="00BD77D8">
              <w:rPr>
                <w:rFonts w:ascii="Arial" w:hAnsi="Arial"/>
              </w:rPr>
              <w:t xml:space="preserve"> to support the establishment of local Aboriginal and Torres Strait Islander authority and the restoration of social norms in the Welfare Reform communities of Aurukun, Coen, Doomadgee, Hope Vale and Mossman Gorge.</w:t>
            </w:r>
          </w:p>
        </w:tc>
      </w:tr>
      <w:tr w:rsidR="00BD77D8" w:rsidRPr="00BD77D8" w14:paraId="4BB0E550" w14:textId="77777777" w:rsidTr="002C2968">
        <w:trPr>
          <w:trHeight w:hRule="exact" w:val="1808"/>
        </w:trPr>
        <w:tc>
          <w:tcPr>
            <w:tcW w:w="2694" w:type="dxa"/>
          </w:tcPr>
          <w:p w14:paraId="2E93FDD9" w14:textId="77777777" w:rsidR="001426EA" w:rsidRPr="00BD77D8" w:rsidRDefault="001426EA" w:rsidP="00BE0F6C">
            <w:pPr>
              <w:rPr>
                <w:rFonts w:ascii="Arial" w:hAnsi="Arial"/>
              </w:rPr>
            </w:pPr>
            <w:r w:rsidRPr="00BD77D8">
              <w:rPr>
                <w:rFonts w:ascii="Arial" w:hAnsi="Arial"/>
              </w:rPr>
              <w:t>Full-time equivalent</w:t>
            </w:r>
          </w:p>
        </w:tc>
        <w:tc>
          <w:tcPr>
            <w:tcW w:w="7796" w:type="dxa"/>
          </w:tcPr>
          <w:p w14:paraId="68B6E660" w14:textId="2F96A332" w:rsidR="001426EA" w:rsidRPr="00BD77D8" w:rsidRDefault="001426EA" w:rsidP="00E1778E">
            <w:pPr>
              <w:ind w:left="121"/>
              <w:rPr>
                <w:rFonts w:ascii="Arial" w:hAnsi="Arial"/>
              </w:rPr>
            </w:pPr>
            <w:r w:rsidRPr="00BD77D8">
              <w:rPr>
                <w:rFonts w:ascii="Arial" w:hAnsi="Arial"/>
              </w:rPr>
              <w:t xml:space="preserve">Full-time </w:t>
            </w:r>
            <w:r w:rsidR="00F66439" w:rsidRPr="00BD77D8">
              <w:rPr>
                <w:rFonts w:ascii="Arial" w:hAnsi="Arial"/>
              </w:rPr>
              <w:t>equivalent is calculated by the number of hours worked in a period divided by the award full-time hours prescribed by the award/industrial instrument for the person’s position. For example, a person working 20 hours per week in a position prescribed as 40 hours has an FTE of 0.5. An organisation’s FTE is the sum of all FTEs. Minimum Obligatory Human Resources Information (MOHRI) business requirements mean that this period is the last full fortnight of a quarter.</w:t>
            </w:r>
          </w:p>
        </w:tc>
      </w:tr>
      <w:tr w:rsidR="00BD77D8" w:rsidRPr="00BD77D8" w14:paraId="631171CC" w14:textId="77777777" w:rsidTr="002C2968">
        <w:trPr>
          <w:trHeight w:hRule="exact" w:val="991"/>
        </w:trPr>
        <w:tc>
          <w:tcPr>
            <w:tcW w:w="2694" w:type="dxa"/>
          </w:tcPr>
          <w:p w14:paraId="112B9B0B" w14:textId="700FC44B" w:rsidR="00C66CEE" w:rsidRPr="00BD77D8" w:rsidRDefault="00C66CEE" w:rsidP="00BE0F6C">
            <w:pPr>
              <w:rPr>
                <w:rFonts w:ascii="Arial" w:hAnsi="Arial"/>
              </w:rPr>
            </w:pPr>
            <w:r w:rsidRPr="00BD77D8">
              <w:rPr>
                <w:rFonts w:ascii="Arial" w:hAnsi="Arial"/>
              </w:rPr>
              <w:t>Human Services Quality Framework</w:t>
            </w:r>
          </w:p>
        </w:tc>
        <w:tc>
          <w:tcPr>
            <w:tcW w:w="7796" w:type="dxa"/>
          </w:tcPr>
          <w:p w14:paraId="50E7AE2A" w14:textId="575AE699" w:rsidR="00C66CEE" w:rsidRPr="00BD77D8" w:rsidRDefault="00C66CEE" w:rsidP="00E1778E">
            <w:pPr>
              <w:ind w:left="121"/>
              <w:rPr>
                <w:rFonts w:ascii="Arial" w:hAnsi="Arial"/>
              </w:rPr>
            </w:pPr>
            <w:r w:rsidRPr="00BD77D8">
              <w:rPr>
                <w:rFonts w:ascii="Arial" w:hAnsi="Arial"/>
              </w:rPr>
              <w:t>A system for assessing and improving the quality of human services that applies to organisations delivering services under a service agreement with the department or other specified arrangements.</w:t>
            </w:r>
          </w:p>
        </w:tc>
      </w:tr>
      <w:tr w:rsidR="00BD77D8" w:rsidRPr="00BD77D8" w14:paraId="73023DBF" w14:textId="77777777" w:rsidTr="000D186F">
        <w:trPr>
          <w:trHeight w:hRule="exact" w:val="4720"/>
        </w:trPr>
        <w:tc>
          <w:tcPr>
            <w:tcW w:w="2694" w:type="dxa"/>
          </w:tcPr>
          <w:p w14:paraId="6F13E9EE" w14:textId="3045926E" w:rsidR="00861AB3" w:rsidRPr="00BD77D8" w:rsidRDefault="00861AB3" w:rsidP="00BE0F6C">
            <w:pPr>
              <w:rPr>
                <w:rFonts w:ascii="Arial" w:hAnsi="Arial"/>
              </w:rPr>
            </w:pPr>
            <w:r w:rsidRPr="00BD77D8">
              <w:rPr>
                <w:rFonts w:ascii="Arial" w:hAnsi="Arial"/>
              </w:rPr>
              <w:t>Land Holding Act Project</w:t>
            </w:r>
          </w:p>
        </w:tc>
        <w:tc>
          <w:tcPr>
            <w:tcW w:w="7796" w:type="dxa"/>
          </w:tcPr>
          <w:p w14:paraId="780F57B4" w14:textId="6DFAFF02" w:rsidR="00861AB3" w:rsidRPr="00BD77D8" w:rsidRDefault="00861AB3" w:rsidP="00B47173">
            <w:pPr>
              <w:spacing w:after="120"/>
              <w:ind w:left="119"/>
              <w:rPr>
                <w:rFonts w:ascii="Arial" w:hAnsi="Arial"/>
              </w:rPr>
            </w:pPr>
            <w:r w:rsidRPr="00BD77D8">
              <w:rPr>
                <w:rFonts w:ascii="Arial" w:hAnsi="Arial"/>
                <w:i/>
                <w:iCs/>
              </w:rPr>
              <w:t xml:space="preserve">Historical Land Holding Act </w:t>
            </w:r>
            <w:r w:rsidRPr="00BD77D8">
              <w:rPr>
                <w:rFonts w:ascii="Arial" w:hAnsi="Arial"/>
              </w:rPr>
              <w:t>(LHA)</w:t>
            </w:r>
            <w:r w:rsidRPr="00BD77D8">
              <w:rPr>
                <w:rFonts w:ascii="Arial" w:hAnsi="Arial"/>
                <w:i/>
                <w:iCs/>
              </w:rPr>
              <w:t xml:space="preserve"> 1985</w:t>
            </w:r>
            <w:r w:rsidRPr="00BD77D8">
              <w:rPr>
                <w:rFonts w:ascii="Arial" w:hAnsi="Arial"/>
              </w:rPr>
              <w:t xml:space="preserve"> – </w:t>
            </w:r>
            <w:r w:rsidR="00D51A9A" w:rsidRPr="00BD77D8">
              <w:rPr>
                <w:rFonts w:ascii="Arial" w:hAnsi="Arial"/>
              </w:rPr>
              <w:t>r</w:t>
            </w:r>
            <w:r w:rsidRPr="00BD77D8">
              <w:rPr>
                <w:rFonts w:ascii="Arial" w:hAnsi="Arial"/>
              </w:rPr>
              <w:t xml:space="preserve">efers to the original 1985 LHA legislation under which leases were approved or granted. This legislation was amended in 2013, see the </w:t>
            </w:r>
            <w:r w:rsidRPr="00BD77D8">
              <w:rPr>
                <w:rFonts w:ascii="Arial" w:hAnsi="Arial"/>
                <w:i/>
                <w:iCs/>
              </w:rPr>
              <w:t>Aboriginal and Torres Strait Islander Land Holding Act 2013</w:t>
            </w:r>
            <w:r w:rsidRPr="00BD77D8">
              <w:rPr>
                <w:rFonts w:ascii="Arial" w:hAnsi="Arial"/>
              </w:rPr>
              <w:t xml:space="preserve"> (</w:t>
            </w:r>
            <w:hyperlink r:id="rId29" w:history="1">
              <w:r w:rsidR="00E85121" w:rsidRPr="00BD77D8">
                <w:rPr>
                  <w:rStyle w:val="Hyperlink"/>
                  <w:color w:val="auto"/>
                </w:rPr>
                <w:t>https://www.legislation.qld.gov.au/view/pdf/inforce/2013-09-23/act-2013</w:t>
              </w:r>
              <w:r w:rsidR="00E85121" w:rsidRPr="00BD77D8">
                <w:rPr>
                  <w:rStyle w:val="Hyperlink"/>
                  <w:color w:val="auto"/>
                </w:rPr>
                <w:noBreakHyphen/>
                <w:t>002</w:t>
              </w:r>
            </w:hyperlink>
            <w:r w:rsidRPr="00BD77D8">
              <w:rPr>
                <w:rFonts w:ascii="Arial" w:hAnsi="Arial"/>
              </w:rPr>
              <w:t>)</w:t>
            </w:r>
          </w:p>
          <w:p w14:paraId="7FA49B1C" w14:textId="2233703C" w:rsidR="00861AB3" w:rsidRPr="00BD77D8" w:rsidRDefault="00861AB3" w:rsidP="00B47173">
            <w:pPr>
              <w:spacing w:after="120"/>
              <w:ind w:left="119"/>
              <w:rPr>
                <w:rFonts w:ascii="Arial" w:hAnsi="Arial"/>
              </w:rPr>
            </w:pPr>
            <w:r w:rsidRPr="00BD77D8">
              <w:rPr>
                <w:rFonts w:ascii="Arial" w:hAnsi="Arial"/>
              </w:rPr>
              <w:t xml:space="preserve">Beneficiary assessments – </w:t>
            </w:r>
            <w:r w:rsidR="00D51A9A" w:rsidRPr="00BD77D8">
              <w:rPr>
                <w:rFonts w:ascii="Arial" w:hAnsi="Arial"/>
              </w:rPr>
              <w:t>r</w:t>
            </w:r>
            <w:r w:rsidRPr="00BD77D8">
              <w:rPr>
                <w:rFonts w:ascii="Arial" w:hAnsi="Arial"/>
              </w:rPr>
              <w:t xml:space="preserve">efers to the identification of beneficiaries for deceased estates that include LHA leases or lease entitlements, most commonly completed under Section 60 of </w:t>
            </w:r>
            <w:r w:rsidRPr="00BD77D8">
              <w:rPr>
                <w:rFonts w:ascii="Arial" w:hAnsi="Arial"/>
                <w:i/>
                <w:iCs/>
              </w:rPr>
              <w:t>the Aboriginal and Torres Strait Islander Communities (Justice, Land and Other Matters) Act 1984</w:t>
            </w:r>
            <w:r w:rsidRPr="00BD77D8">
              <w:rPr>
                <w:rFonts w:ascii="Arial" w:hAnsi="Arial"/>
              </w:rPr>
              <w:t xml:space="preserve"> (</w:t>
            </w:r>
            <w:hyperlink r:id="rId30" w:history="1">
              <w:r w:rsidRPr="00BD77D8">
                <w:rPr>
                  <w:rFonts w:ascii="Arial" w:hAnsi="Arial"/>
                </w:rPr>
                <w:t>https://www.legislation.qld.gov.au/view/pdf/inforce/2019-10-09/act-1984-051</w:t>
              </w:r>
            </w:hyperlink>
            <w:r w:rsidRPr="00BD77D8">
              <w:rPr>
                <w:rFonts w:ascii="Arial" w:hAnsi="Arial"/>
              </w:rPr>
              <w:t>) (The average number of individuals consulted per beneficiary assessment is 7).</w:t>
            </w:r>
          </w:p>
          <w:p w14:paraId="6A023D9A" w14:textId="3C2C8D74" w:rsidR="00861AB3" w:rsidRPr="00BD77D8" w:rsidRDefault="00861AB3" w:rsidP="00E1778E">
            <w:pPr>
              <w:ind w:left="121"/>
              <w:rPr>
                <w:rFonts w:ascii="Arial" w:hAnsi="Arial"/>
              </w:rPr>
            </w:pPr>
            <w:r w:rsidRPr="00BD77D8">
              <w:rPr>
                <w:rFonts w:ascii="Arial" w:hAnsi="Arial"/>
              </w:rPr>
              <w:t xml:space="preserve">Engagement – </w:t>
            </w:r>
            <w:r w:rsidR="00D51A9A" w:rsidRPr="00BD77D8">
              <w:rPr>
                <w:rFonts w:ascii="Arial" w:hAnsi="Arial"/>
              </w:rPr>
              <w:t>r</w:t>
            </w:r>
            <w:r w:rsidRPr="00BD77D8">
              <w:rPr>
                <w:rFonts w:ascii="Arial" w:hAnsi="Arial"/>
              </w:rPr>
              <w:t>efers to consultation undertaken with leaseholders, lease entitlement holders, or their identified beneficiaries to provide information and assist decision</w:t>
            </w:r>
            <w:r w:rsidR="00562965" w:rsidRPr="00BD77D8">
              <w:rPr>
                <w:rFonts w:ascii="Arial" w:hAnsi="Arial"/>
              </w:rPr>
              <w:t>-</w:t>
            </w:r>
            <w:r w:rsidRPr="00BD77D8">
              <w:rPr>
                <w:rFonts w:ascii="Arial" w:hAnsi="Arial"/>
              </w:rPr>
              <w:t xml:space="preserve">making in relation to the available </w:t>
            </w:r>
            <w:r w:rsidR="00D51A9A" w:rsidRPr="00BD77D8">
              <w:rPr>
                <w:rFonts w:ascii="Arial" w:hAnsi="Arial"/>
              </w:rPr>
              <w:t>h</w:t>
            </w:r>
            <w:r w:rsidRPr="00BD77D8">
              <w:rPr>
                <w:rFonts w:ascii="Arial" w:hAnsi="Arial"/>
              </w:rPr>
              <w:t xml:space="preserve">ome </w:t>
            </w:r>
            <w:r w:rsidR="00D51A9A" w:rsidRPr="00BD77D8">
              <w:rPr>
                <w:rFonts w:ascii="Arial" w:hAnsi="Arial"/>
              </w:rPr>
              <w:t>o</w:t>
            </w:r>
            <w:r w:rsidRPr="00BD77D8">
              <w:rPr>
                <w:rFonts w:ascii="Arial" w:hAnsi="Arial"/>
              </w:rPr>
              <w:t xml:space="preserve">wnership options and associated responsibilities. This includes providing information about the option to surrender or transfer a lease. </w:t>
            </w:r>
          </w:p>
        </w:tc>
      </w:tr>
      <w:tr w:rsidR="00BD77D8" w:rsidRPr="00BD77D8" w14:paraId="2AA86128" w14:textId="77777777" w:rsidTr="00944B5D">
        <w:trPr>
          <w:trHeight w:hRule="exact" w:val="2098"/>
        </w:trPr>
        <w:tc>
          <w:tcPr>
            <w:tcW w:w="2694" w:type="dxa"/>
          </w:tcPr>
          <w:p w14:paraId="5C5A123D" w14:textId="77777777" w:rsidR="00861AB3" w:rsidRPr="00BD77D8" w:rsidRDefault="00861AB3" w:rsidP="00BE0F6C">
            <w:pPr>
              <w:rPr>
                <w:rFonts w:ascii="Arial" w:hAnsi="Arial"/>
              </w:rPr>
            </w:pPr>
            <w:r w:rsidRPr="00BD77D8">
              <w:rPr>
                <w:rFonts w:ascii="Arial" w:hAnsi="Arial"/>
              </w:rPr>
              <w:t>Local Thriving Communities</w:t>
            </w:r>
          </w:p>
        </w:tc>
        <w:tc>
          <w:tcPr>
            <w:tcW w:w="7796" w:type="dxa"/>
          </w:tcPr>
          <w:p w14:paraId="13E348CA" w14:textId="63300FD3" w:rsidR="00861AB3" w:rsidRPr="00BD77D8" w:rsidRDefault="00861AB3" w:rsidP="00E1778E">
            <w:pPr>
              <w:ind w:left="121"/>
              <w:rPr>
                <w:rFonts w:ascii="Arial" w:hAnsi="Arial"/>
              </w:rPr>
            </w:pPr>
            <w:r w:rsidRPr="00BD77D8">
              <w:rPr>
                <w:rFonts w:ascii="Arial" w:hAnsi="Arial"/>
              </w:rPr>
              <w:t>Local Thriving Communities (LTC) is the Queensland Government’s response to the Queensland Productivity Commission’s inquiry into service delivery in the state’s 19 remote and discrete Aboriginal and Torres Strait Islander Communities (QPC Report). LTC works with community, at their pace, to ensure that decision</w:t>
            </w:r>
            <w:r w:rsidR="00E85121" w:rsidRPr="00BD77D8">
              <w:rPr>
                <w:rFonts w:ascii="Arial" w:hAnsi="Arial"/>
              </w:rPr>
              <w:noBreakHyphen/>
            </w:r>
            <w:r w:rsidRPr="00BD77D8">
              <w:rPr>
                <w:rFonts w:ascii="Arial" w:hAnsi="Arial"/>
              </w:rPr>
              <w:t>making processes are informed directly by the needs and aspirations of community</w:t>
            </w:r>
            <w:r w:rsidR="000D186F" w:rsidRPr="00BD77D8">
              <w:rPr>
                <w:rFonts w:ascii="Arial" w:hAnsi="Arial"/>
              </w:rPr>
              <w:t>. LTC also works across government to address structural and systemic reforms</w:t>
            </w:r>
            <w:r w:rsidRPr="00BD77D8">
              <w:rPr>
                <w:rFonts w:ascii="Arial" w:hAnsi="Arial"/>
              </w:rPr>
              <w:t>.</w:t>
            </w:r>
          </w:p>
          <w:p w14:paraId="067AA8BF" w14:textId="3EE936AC" w:rsidR="00861AB3" w:rsidRPr="00BD77D8" w:rsidRDefault="00861AB3" w:rsidP="00E1778E">
            <w:pPr>
              <w:ind w:left="121"/>
              <w:rPr>
                <w:rFonts w:ascii="Arial" w:hAnsi="Arial"/>
              </w:rPr>
            </w:pPr>
          </w:p>
        </w:tc>
      </w:tr>
      <w:tr w:rsidR="00BD77D8" w:rsidRPr="00BD77D8" w14:paraId="426E9213" w14:textId="77777777" w:rsidTr="002C2968">
        <w:trPr>
          <w:trHeight w:hRule="exact" w:val="1275"/>
        </w:trPr>
        <w:tc>
          <w:tcPr>
            <w:tcW w:w="2694" w:type="dxa"/>
          </w:tcPr>
          <w:p w14:paraId="5F3C131E" w14:textId="4FF1BC56" w:rsidR="001426EA" w:rsidRPr="00BD77D8" w:rsidRDefault="001426EA" w:rsidP="00BE0F6C">
            <w:pPr>
              <w:rPr>
                <w:rFonts w:ascii="Arial" w:hAnsi="Arial"/>
              </w:rPr>
            </w:pPr>
            <w:r w:rsidRPr="00BD77D8">
              <w:rPr>
                <w:rFonts w:ascii="Arial" w:hAnsi="Arial"/>
              </w:rPr>
              <w:lastRenderedPageBreak/>
              <w:t xml:space="preserve"> NAIDOC Week</w:t>
            </w:r>
          </w:p>
        </w:tc>
        <w:tc>
          <w:tcPr>
            <w:tcW w:w="7796" w:type="dxa"/>
          </w:tcPr>
          <w:p w14:paraId="1EB653BF" w14:textId="2A5F838B" w:rsidR="001426EA" w:rsidRPr="00BD77D8" w:rsidRDefault="001426EA" w:rsidP="00E1778E">
            <w:pPr>
              <w:ind w:left="121"/>
              <w:rPr>
                <w:rFonts w:ascii="Arial" w:hAnsi="Arial"/>
              </w:rPr>
            </w:pPr>
            <w:r w:rsidRPr="00BD77D8">
              <w:rPr>
                <w:rFonts w:ascii="Arial" w:hAnsi="Arial"/>
              </w:rPr>
              <w:t>NAIDOC Week is recognised nationwide in the first full week of July. It is a time to celebrate Aboriginal and Torres Strait Islander cultures, and an opportunity to recognise the contributions that Aboriginal</w:t>
            </w:r>
            <w:r w:rsidR="004C7FBB" w:rsidRPr="00BD77D8">
              <w:rPr>
                <w:rFonts w:ascii="Arial" w:hAnsi="Arial"/>
              </w:rPr>
              <w:t xml:space="preserve"> peoples</w:t>
            </w:r>
            <w:r w:rsidRPr="00BD77D8">
              <w:rPr>
                <w:rFonts w:ascii="Arial" w:hAnsi="Arial"/>
              </w:rPr>
              <w:t xml:space="preserve"> and Torres Strait Islander peoples make to our country and our society.</w:t>
            </w:r>
          </w:p>
          <w:p w14:paraId="53B784CD" w14:textId="40FF86E9" w:rsidR="001426EA" w:rsidRPr="00BD77D8" w:rsidRDefault="001426EA" w:rsidP="00E1778E">
            <w:pPr>
              <w:ind w:left="121"/>
              <w:rPr>
                <w:rFonts w:ascii="Arial" w:hAnsi="Arial"/>
              </w:rPr>
            </w:pPr>
          </w:p>
        </w:tc>
      </w:tr>
      <w:tr w:rsidR="00BD77D8" w:rsidRPr="00BD77D8" w14:paraId="26E047C7" w14:textId="77777777" w:rsidTr="002C2968">
        <w:trPr>
          <w:trHeight w:hRule="exact" w:val="1275"/>
        </w:trPr>
        <w:tc>
          <w:tcPr>
            <w:tcW w:w="2694" w:type="dxa"/>
          </w:tcPr>
          <w:p w14:paraId="3107527A" w14:textId="1A693EBE" w:rsidR="00C66CEE" w:rsidRPr="00BD77D8" w:rsidRDefault="00C66CEE" w:rsidP="00BE0F6C">
            <w:pPr>
              <w:rPr>
                <w:rFonts w:ascii="Arial" w:hAnsi="Arial"/>
              </w:rPr>
            </w:pPr>
            <w:r w:rsidRPr="00BD77D8">
              <w:rPr>
                <w:rFonts w:ascii="Arial" w:hAnsi="Arial"/>
              </w:rPr>
              <w:t>National Disability Insurance Agency</w:t>
            </w:r>
          </w:p>
        </w:tc>
        <w:tc>
          <w:tcPr>
            <w:tcW w:w="7796" w:type="dxa"/>
          </w:tcPr>
          <w:p w14:paraId="00F3DFE0" w14:textId="06B6FA31" w:rsidR="00C66CEE" w:rsidRPr="00BD77D8" w:rsidRDefault="00C66CEE" w:rsidP="00E1778E">
            <w:pPr>
              <w:ind w:left="121"/>
              <w:rPr>
                <w:rFonts w:ascii="Arial" w:hAnsi="Arial"/>
              </w:rPr>
            </w:pPr>
            <w:r w:rsidRPr="00BD77D8">
              <w:rPr>
                <w:rFonts w:ascii="Arial" w:hAnsi="Arial"/>
              </w:rPr>
              <w:t>The National Disability Insurance Agency (NDIA) is an independent statutory agency whose role is to implement the National Disability Insurance Scheme (NDIS), which support</w:t>
            </w:r>
            <w:r w:rsidR="00A04B9B" w:rsidRPr="00BD77D8">
              <w:rPr>
                <w:rFonts w:ascii="Arial" w:hAnsi="Arial"/>
              </w:rPr>
              <w:t>s</w:t>
            </w:r>
            <w:r w:rsidRPr="00BD77D8">
              <w:rPr>
                <w:rFonts w:ascii="Arial" w:hAnsi="Arial"/>
              </w:rPr>
              <w:t xml:space="preserve"> a better life for Australians with a significant and permanent disability and</w:t>
            </w:r>
            <w:r w:rsidR="00A04B9B" w:rsidRPr="00BD77D8">
              <w:rPr>
                <w:rFonts w:ascii="Arial" w:hAnsi="Arial"/>
              </w:rPr>
              <w:t xml:space="preserve"> </w:t>
            </w:r>
            <w:r w:rsidRPr="00BD77D8">
              <w:rPr>
                <w:rFonts w:ascii="Arial" w:hAnsi="Arial"/>
              </w:rPr>
              <w:t>their families and carers.</w:t>
            </w:r>
          </w:p>
        </w:tc>
      </w:tr>
      <w:tr w:rsidR="00BD77D8" w:rsidRPr="00BD77D8" w14:paraId="643C539E" w14:textId="77777777" w:rsidTr="00E1778E">
        <w:trPr>
          <w:trHeight w:hRule="exact" w:val="1000"/>
        </w:trPr>
        <w:tc>
          <w:tcPr>
            <w:tcW w:w="2694" w:type="dxa"/>
          </w:tcPr>
          <w:p w14:paraId="5D3A22CB" w14:textId="5F2E1EFA" w:rsidR="00C66CEE" w:rsidRPr="00BD77D8" w:rsidRDefault="00C66CEE" w:rsidP="00BE0F6C">
            <w:pPr>
              <w:rPr>
                <w:rFonts w:ascii="Arial" w:hAnsi="Arial"/>
              </w:rPr>
            </w:pPr>
            <w:r w:rsidRPr="00BD77D8">
              <w:rPr>
                <w:rFonts w:ascii="Arial" w:hAnsi="Arial"/>
              </w:rPr>
              <w:t>National Disability Insurance Scheme</w:t>
            </w:r>
          </w:p>
        </w:tc>
        <w:tc>
          <w:tcPr>
            <w:tcW w:w="7796" w:type="dxa"/>
          </w:tcPr>
          <w:p w14:paraId="1A55AF8C" w14:textId="2A937D7D" w:rsidR="00C66CEE" w:rsidRPr="00BD77D8" w:rsidRDefault="00C66CEE" w:rsidP="00E1778E">
            <w:pPr>
              <w:ind w:left="121"/>
              <w:rPr>
                <w:rFonts w:ascii="Arial" w:hAnsi="Arial"/>
              </w:rPr>
            </w:pPr>
            <w:r w:rsidRPr="00BD77D8">
              <w:rPr>
                <w:rFonts w:ascii="Arial" w:hAnsi="Arial"/>
              </w:rPr>
              <w:t>The National Disability Insurance Scheme (NDIS) is an Australian Government scheme that support</w:t>
            </w:r>
            <w:r w:rsidR="00A04B9B" w:rsidRPr="00BD77D8">
              <w:rPr>
                <w:rFonts w:ascii="Arial" w:hAnsi="Arial"/>
              </w:rPr>
              <w:t>s</w:t>
            </w:r>
            <w:r w:rsidRPr="00BD77D8">
              <w:rPr>
                <w:rFonts w:ascii="Arial" w:hAnsi="Arial"/>
              </w:rPr>
              <w:t xml:space="preserve"> people with permanent and significant disability. The NDIS provide</w:t>
            </w:r>
            <w:r w:rsidR="00A04B9B" w:rsidRPr="00BD77D8">
              <w:rPr>
                <w:rFonts w:ascii="Arial" w:hAnsi="Arial"/>
              </w:rPr>
              <w:t>s</w:t>
            </w:r>
            <w:r w:rsidRPr="00BD77D8">
              <w:rPr>
                <w:rFonts w:ascii="Arial" w:hAnsi="Arial"/>
              </w:rPr>
              <w:t xml:space="preserve"> reasonable and necessary supports to people to live an ordinary life.</w:t>
            </w:r>
          </w:p>
        </w:tc>
      </w:tr>
      <w:tr w:rsidR="00BD77D8" w:rsidRPr="00BD77D8" w14:paraId="386A3AF7" w14:textId="77777777" w:rsidTr="002C2968">
        <w:trPr>
          <w:trHeight w:hRule="exact" w:val="1275"/>
        </w:trPr>
        <w:tc>
          <w:tcPr>
            <w:tcW w:w="2694" w:type="dxa"/>
          </w:tcPr>
          <w:p w14:paraId="4A3CBE9B" w14:textId="6D1B66B0" w:rsidR="00C66CEE" w:rsidRPr="00BD77D8" w:rsidRDefault="00C66CEE" w:rsidP="00BE0F6C">
            <w:pPr>
              <w:rPr>
                <w:rFonts w:ascii="Arial" w:hAnsi="Arial"/>
              </w:rPr>
            </w:pPr>
            <w:r w:rsidRPr="00BD77D8">
              <w:rPr>
                <w:rFonts w:ascii="Arial" w:hAnsi="Arial"/>
              </w:rPr>
              <w:t>National partnership agreements</w:t>
            </w:r>
          </w:p>
        </w:tc>
        <w:tc>
          <w:tcPr>
            <w:tcW w:w="7796" w:type="dxa"/>
          </w:tcPr>
          <w:p w14:paraId="17692983" w14:textId="6AA65361" w:rsidR="00C66CEE" w:rsidRPr="00BD77D8" w:rsidRDefault="00C66CEE" w:rsidP="00E1778E">
            <w:pPr>
              <w:ind w:left="121"/>
              <w:rPr>
                <w:rFonts w:ascii="Arial" w:hAnsi="Arial"/>
              </w:rPr>
            </w:pPr>
            <w:r w:rsidRPr="00BD77D8">
              <w:rPr>
                <w:rFonts w:ascii="Arial" w:hAnsi="Arial"/>
              </w:rPr>
              <w:t>National partnership agreements are agreements between the Commonwealth of Australia and state and territory governments. The agreements include objectives, outcomes, outputs and performance indicators, and roles and responsibilities that guide the delivery of services across relevant sectors.</w:t>
            </w:r>
          </w:p>
        </w:tc>
      </w:tr>
      <w:tr w:rsidR="00BD77D8" w:rsidRPr="00BD77D8" w14:paraId="75018AFE" w14:textId="77777777" w:rsidTr="002C2968">
        <w:trPr>
          <w:trHeight w:hRule="exact" w:val="971"/>
        </w:trPr>
        <w:tc>
          <w:tcPr>
            <w:tcW w:w="2694" w:type="dxa"/>
          </w:tcPr>
          <w:p w14:paraId="16EC38D0" w14:textId="77777777" w:rsidR="001426EA" w:rsidRPr="00BD77D8" w:rsidRDefault="001426EA" w:rsidP="00BE0F6C">
            <w:pPr>
              <w:rPr>
                <w:rFonts w:ascii="Arial" w:hAnsi="Arial"/>
              </w:rPr>
            </w:pPr>
            <w:r w:rsidRPr="00BD77D8">
              <w:rPr>
                <w:rFonts w:ascii="Arial" w:hAnsi="Arial"/>
              </w:rPr>
              <w:t>Native Title</w:t>
            </w:r>
          </w:p>
          <w:p w14:paraId="26E6C86F" w14:textId="41B9FB58" w:rsidR="00595920" w:rsidRPr="00BD77D8" w:rsidRDefault="00595920" w:rsidP="00BE0F6C">
            <w:pPr>
              <w:rPr>
                <w:rFonts w:ascii="Arial" w:hAnsi="Arial"/>
              </w:rPr>
            </w:pPr>
          </w:p>
        </w:tc>
        <w:tc>
          <w:tcPr>
            <w:tcW w:w="7796" w:type="dxa"/>
          </w:tcPr>
          <w:p w14:paraId="7EA40284" w14:textId="65B3CA8E" w:rsidR="001426EA" w:rsidRPr="00BD77D8" w:rsidRDefault="001426EA" w:rsidP="00E1778E">
            <w:pPr>
              <w:ind w:left="121"/>
              <w:rPr>
                <w:rFonts w:ascii="Arial" w:hAnsi="Arial"/>
              </w:rPr>
            </w:pPr>
            <w:r w:rsidRPr="00BD77D8">
              <w:rPr>
                <w:rFonts w:ascii="Arial" w:hAnsi="Arial"/>
              </w:rPr>
              <w:t>Native Title is the recognition by Australian law that some Aboriginal</w:t>
            </w:r>
            <w:r w:rsidR="004C7FBB" w:rsidRPr="00BD77D8">
              <w:rPr>
                <w:rFonts w:ascii="Arial" w:hAnsi="Arial"/>
              </w:rPr>
              <w:t xml:space="preserve"> peoples</w:t>
            </w:r>
            <w:r w:rsidRPr="00BD77D8">
              <w:rPr>
                <w:rFonts w:ascii="Arial" w:hAnsi="Arial"/>
              </w:rPr>
              <w:t xml:space="preserve"> and Torres Strait Islander peoples have rights to their lands and territories that derive from traditional laws and customs.</w:t>
            </w:r>
          </w:p>
        </w:tc>
      </w:tr>
      <w:tr w:rsidR="00BD77D8" w:rsidRPr="00BD77D8" w14:paraId="67524811" w14:textId="77777777" w:rsidTr="002C2968">
        <w:trPr>
          <w:trHeight w:hRule="exact" w:val="971"/>
        </w:trPr>
        <w:tc>
          <w:tcPr>
            <w:tcW w:w="2694" w:type="dxa"/>
          </w:tcPr>
          <w:p w14:paraId="573E3B04" w14:textId="77777777" w:rsidR="001426EA" w:rsidRPr="00BD77D8" w:rsidRDefault="001426EA" w:rsidP="00BE0F6C">
            <w:pPr>
              <w:rPr>
                <w:rFonts w:ascii="Arial" w:hAnsi="Arial"/>
              </w:rPr>
            </w:pPr>
            <w:r w:rsidRPr="00BD77D8">
              <w:rPr>
                <w:rFonts w:ascii="Arial" w:hAnsi="Arial"/>
              </w:rPr>
              <w:t>Path to Treaty</w:t>
            </w:r>
          </w:p>
        </w:tc>
        <w:tc>
          <w:tcPr>
            <w:tcW w:w="7796" w:type="dxa"/>
          </w:tcPr>
          <w:p w14:paraId="096AF554" w14:textId="08534971" w:rsidR="001426EA" w:rsidRPr="00BD77D8" w:rsidRDefault="001426EA" w:rsidP="00E1778E">
            <w:pPr>
              <w:ind w:left="121"/>
              <w:rPr>
                <w:rFonts w:ascii="Arial" w:hAnsi="Arial"/>
              </w:rPr>
            </w:pPr>
            <w:r w:rsidRPr="00BD77D8">
              <w:rPr>
                <w:rFonts w:ascii="Arial" w:hAnsi="Arial"/>
              </w:rPr>
              <w:t xml:space="preserve">Path to Treaty represents a once-in-a-generation opportunity to come together as Queenslanders to start a journey towards a future that is more just, equal and respectful for </w:t>
            </w:r>
            <w:r w:rsidR="00975FE2" w:rsidRPr="00BD77D8">
              <w:rPr>
                <w:rFonts w:ascii="Arial" w:hAnsi="Arial"/>
              </w:rPr>
              <w:t>Aboriginal and Torres Strait Islander</w:t>
            </w:r>
            <w:r w:rsidRPr="00BD77D8">
              <w:rPr>
                <w:rFonts w:ascii="Arial" w:hAnsi="Arial"/>
              </w:rPr>
              <w:t xml:space="preserve"> Queenslanders.</w:t>
            </w:r>
          </w:p>
        </w:tc>
      </w:tr>
      <w:tr w:rsidR="00BD77D8" w:rsidRPr="00BD77D8" w14:paraId="12252C85" w14:textId="77777777" w:rsidTr="002C2968">
        <w:trPr>
          <w:trHeight w:hRule="exact" w:val="971"/>
        </w:trPr>
        <w:tc>
          <w:tcPr>
            <w:tcW w:w="2694" w:type="dxa"/>
          </w:tcPr>
          <w:p w14:paraId="582729C9" w14:textId="02430158" w:rsidR="00F66439" w:rsidRPr="00BD77D8" w:rsidRDefault="00F66439" w:rsidP="00BE0F6C">
            <w:pPr>
              <w:rPr>
                <w:rFonts w:ascii="Arial" w:hAnsi="Arial"/>
              </w:rPr>
            </w:pPr>
            <w:r w:rsidRPr="00BD77D8">
              <w:rPr>
                <w:rFonts w:ascii="Arial" w:hAnsi="Arial"/>
              </w:rPr>
              <w:t>Permanent separation rate</w:t>
            </w:r>
          </w:p>
        </w:tc>
        <w:tc>
          <w:tcPr>
            <w:tcW w:w="7796" w:type="dxa"/>
          </w:tcPr>
          <w:p w14:paraId="717AE161" w14:textId="5F972D43" w:rsidR="00F66439" w:rsidRPr="00BD77D8" w:rsidRDefault="00F66439" w:rsidP="00E1778E">
            <w:pPr>
              <w:ind w:left="121"/>
              <w:rPr>
                <w:rFonts w:ascii="Arial" w:hAnsi="Arial"/>
              </w:rPr>
            </w:pPr>
            <w:r w:rsidRPr="00BD77D8">
              <w:rPr>
                <w:rFonts w:ascii="Arial" w:hAnsi="Arial"/>
              </w:rPr>
              <w:t>Separation rate is calculated by dividing the number of permanent employees who separated during a period of time by the number of permanent employees in the organisation.</w:t>
            </w:r>
          </w:p>
        </w:tc>
      </w:tr>
      <w:tr w:rsidR="00BD77D8" w:rsidRPr="00BD77D8" w14:paraId="5C18EAA7" w14:textId="77777777" w:rsidTr="00E1778E">
        <w:trPr>
          <w:trHeight w:hRule="exact" w:val="905"/>
        </w:trPr>
        <w:tc>
          <w:tcPr>
            <w:tcW w:w="2694" w:type="dxa"/>
          </w:tcPr>
          <w:p w14:paraId="5AA3A8FD" w14:textId="77777777" w:rsidR="001426EA" w:rsidRPr="00BD77D8" w:rsidRDefault="001426EA" w:rsidP="00BE0F6C">
            <w:pPr>
              <w:rPr>
                <w:rFonts w:ascii="Arial" w:hAnsi="Arial"/>
              </w:rPr>
            </w:pPr>
            <w:r w:rsidRPr="00BD77D8">
              <w:rPr>
                <w:rFonts w:ascii="Arial" w:hAnsi="Arial"/>
              </w:rPr>
              <w:t>Planning schemes</w:t>
            </w:r>
          </w:p>
        </w:tc>
        <w:tc>
          <w:tcPr>
            <w:tcW w:w="7796" w:type="dxa"/>
          </w:tcPr>
          <w:p w14:paraId="5396D291" w14:textId="77777777" w:rsidR="001426EA" w:rsidRPr="00BD77D8" w:rsidRDefault="001426EA" w:rsidP="00E1778E">
            <w:pPr>
              <w:ind w:left="121"/>
              <w:rPr>
                <w:rFonts w:ascii="Arial" w:hAnsi="Arial"/>
              </w:rPr>
            </w:pPr>
            <w:r w:rsidRPr="00BD77D8">
              <w:rPr>
                <w:rFonts w:ascii="Arial" w:hAnsi="Arial"/>
              </w:rPr>
              <w:t>Planning schemes provide Aboriginal councils and Torres Strait Island councils with information to underpin decisions about the sustainable use of the community’s land.</w:t>
            </w:r>
          </w:p>
        </w:tc>
      </w:tr>
      <w:tr w:rsidR="00BD77D8" w:rsidRPr="00BD77D8" w14:paraId="3D977507" w14:textId="77777777" w:rsidTr="002C2968">
        <w:trPr>
          <w:trHeight w:hRule="exact" w:val="2720"/>
        </w:trPr>
        <w:tc>
          <w:tcPr>
            <w:tcW w:w="2694" w:type="dxa"/>
          </w:tcPr>
          <w:p w14:paraId="42EEEAAD" w14:textId="08BC5B2C" w:rsidR="00595920" w:rsidRPr="00BD77D8" w:rsidRDefault="001426EA" w:rsidP="00595920">
            <w:pPr>
              <w:rPr>
                <w:rFonts w:ascii="Arial" w:hAnsi="Arial"/>
              </w:rPr>
            </w:pPr>
            <w:r w:rsidRPr="00BD77D8">
              <w:rPr>
                <w:rFonts w:ascii="Arial" w:hAnsi="Arial"/>
              </w:rPr>
              <w:t>Remote and discrete Aboriginal and Torres Strait Islander communities</w:t>
            </w:r>
            <w:r w:rsidR="00595920" w:rsidRPr="00BD77D8">
              <w:rPr>
                <w:rFonts w:ascii="Arial" w:hAnsi="Arial"/>
              </w:rPr>
              <w:t xml:space="preserve">  </w:t>
            </w:r>
          </w:p>
        </w:tc>
        <w:tc>
          <w:tcPr>
            <w:tcW w:w="7796" w:type="dxa"/>
          </w:tcPr>
          <w:p w14:paraId="62ADB8CD" w14:textId="77777777" w:rsidR="001426EA" w:rsidRPr="00BD77D8" w:rsidRDefault="001426EA" w:rsidP="00E1778E">
            <w:pPr>
              <w:ind w:left="121"/>
              <w:rPr>
                <w:rFonts w:ascii="Arial" w:hAnsi="Arial"/>
              </w:rPr>
            </w:pPr>
            <w:r w:rsidRPr="00BD77D8">
              <w:rPr>
                <w:rFonts w:ascii="Arial" w:hAnsi="Arial"/>
              </w:rPr>
              <w:t xml:space="preserve">This term refers to the following 34 Aboriginal and Torres Strait Islander communities: Aurukun, Bamaga, Cherbourg, Doomadgee, Hope Vale, Injinoo, Kowanyama, Lockhart River, Mapoon, Mornington Island, Napranum, New Mapoon, Palm Island, Pormpuraaw, Seisia, </w:t>
            </w:r>
            <w:proofErr w:type="spellStart"/>
            <w:r w:rsidRPr="00BD77D8">
              <w:rPr>
                <w:rFonts w:ascii="Arial" w:hAnsi="Arial"/>
              </w:rPr>
              <w:t>Umagico</w:t>
            </w:r>
            <w:proofErr w:type="spellEnd"/>
            <w:r w:rsidRPr="00BD77D8">
              <w:rPr>
                <w:rFonts w:ascii="Arial" w:hAnsi="Arial"/>
              </w:rPr>
              <w:t xml:space="preserve">, Woorabinda, </w:t>
            </w: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r w:rsidRPr="00BD77D8">
              <w:rPr>
                <w:rFonts w:ascii="Arial" w:hAnsi="Arial"/>
              </w:rPr>
              <w:t>, Yarrabah, and the Torres Strait islands of Badu, Boigu, Dauan, Erub (Darnley), Hammond, Iama (Yam), Kubin (Moa), Mabuiag, Mer (Murray), Poruma (Coconut), Saibai, St Pauls (Moa), Ugar (Stephens), Warraber and Yorke. In some instances, this also includes the communities of Laura, Mossman Gorge, Coen and Torres Shire (Thursday Island, Ngarupai (Horn Island) and Prince of Wales).</w:t>
            </w:r>
          </w:p>
        </w:tc>
      </w:tr>
      <w:tr w:rsidR="00BD77D8" w:rsidRPr="00BD77D8" w14:paraId="7A17C25D" w14:textId="77777777" w:rsidTr="002C2968">
        <w:trPr>
          <w:trHeight w:hRule="exact" w:val="811"/>
        </w:trPr>
        <w:tc>
          <w:tcPr>
            <w:tcW w:w="2694" w:type="dxa"/>
          </w:tcPr>
          <w:p w14:paraId="256E5449" w14:textId="5BD4D588" w:rsidR="00C66CEE" w:rsidRPr="00BD77D8" w:rsidRDefault="00C66CEE" w:rsidP="00BE0F6C">
            <w:pPr>
              <w:rPr>
                <w:rFonts w:ascii="Arial" w:hAnsi="Arial"/>
              </w:rPr>
            </w:pPr>
            <w:r w:rsidRPr="00BD77D8">
              <w:rPr>
                <w:rFonts w:ascii="Arial" w:hAnsi="Arial"/>
              </w:rPr>
              <w:t>Respite services</w:t>
            </w:r>
          </w:p>
        </w:tc>
        <w:tc>
          <w:tcPr>
            <w:tcW w:w="7796" w:type="dxa"/>
          </w:tcPr>
          <w:p w14:paraId="14A431D0" w14:textId="0F05A23A" w:rsidR="00C66CEE" w:rsidRPr="00BD77D8" w:rsidRDefault="00C66CEE" w:rsidP="00E1778E">
            <w:pPr>
              <w:ind w:left="121"/>
              <w:rPr>
                <w:rFonts w:ascii="Arial" w:hAnsi="Arial"/>
              </w:rPr>
            </w:pPr>
            <w:r w:rsidRPr="00BD77D8">
              <w:rPr>
                <w:rFonts w:ascii="Arial" w:hAnsi="Arial"/>
              </w:rPr>
              <w:t>Services that provide short-term, temporary relief to those who are caring for family members who might otherwise require permanent placement in a facility outside the home.</w:t>
            </w:r>
          </w:p>
        </w:tc>
      </w:tr>
      <w:tr w:rsidR="00BD77D8" w:rsidRPr="00BD77D8" w14:paraId="141E8F20" w14:textId="77777777" w:rsidTr="002C2968">
        <w:trPr>
          <w:trHeight w:hRule="exact" w:val="1602"/>
        </w:trPr>
        <w:tc>
          <w:tcPr>
            <w:tcW w:w="2694" w:type="dxa"/>
          </w:tcPr>
          <w:p w14:paraId="3B9D27ED" w14:textId="48547786" w:rsidR="00C66CEE" w:rsidRPr="00BD77D8" w:rsidRDefault="00C66CEE" w:rsidP="00BE0F6C">
            <w:pPr>
              <w:rPr>
                <w:rFonts w:ascii="Arial" w:hAnsi="Arial"/>
              </w:rPr>
            </w:pPr>
            <w:r w:rsidRPr="00BD77D8">
              <w:rPr>
                <w:rFonts w:ascii="Arial" w:hAnsi="Arial"/>
              </w:rPr>
              <w:t>Restrictive practices</w:t>
            </w:r>
          </w:p>
        </w:tc>
        <w:tc>
          <w:tcPr>
            <w:tcW w:w="7796" w:type="dxa"/>
          </w:tcPr>
          <w:p w14:paraId="17117768" w14:textId="7A5A8CB6" w:rsidR="00C66CEE" w:rsidRPr="00BD77D8" w:rsidRDefault="00C66CEE" w:rsidP="00E1778E">
            <w:pPr>
              <w:ind w:left="121"/>
              <w:rPr>
                <w:rFonts w:ascii="Arial" w:hAnsi="Arial"/>
              </w:rPr>
            </w:pPr>
            <w:r w:rsidRPr="00BD77D8">
              <w:rPr>
                <w:rFonts w:ascii="Arial" w:hAnsi="Arial"/>
              </w:rPr>
              <w:t>Interventions such as: containment or seclusion; chemical restraint; mechanical restraint and physical restraint; or restricting access (for example, to objects by locking cupboards). These practices are required for adults with intellectual or cognitive disability who exhibit behaviour that places themselves or others at risk of harm.</w:t>
            </w:r>
          </w:p>
        </w:tc>
      </w:tr>
      <w:tr w:rsidR="00BD77D8" w:rsidRPr="00BD77D8" w14:paraId="33DC8005" w14:textId="77777777" w:rsidTr="00E1778E">
        <w:trPr>
          <w:trHeight w:hRule="exact" w:val="2583"/>
        </w:trPr>
        <w:tc>
          <w:tcPr>
            <w:tcW w:w="2694" w:type="dxa"/>
          </w:tcPr>
          <w:p w14:paraId="10DA28FB" w14:textId="3D026061" w:rsidR="001426EA" w:rsidRPr="00BD77D8" w:rsidRDefault="001426EA" w:rsidP="00BE0F6C">
            <w:pPr>
              <w:rPr>
                <w:rFonts w:ascii="Arial" w:hAnsi="Arial"/>
                <w:highlight w:val="yellow"/>
              </w:rPr>
            </w:pPr>
            <w:r w:rsidRPr="00BD77D8">
              <w:rPr>
                <w:rFonts w:ascii="Arial" w:hAnsi="Arial"/>
              </w:rPr>
              <w:lastRenderedPageBreak/>
              <w:t>Targeted</w:t>
            </w:r>
            <w:r w:rsidR="00C66CEE" w:rsidRPr="00BD77D8">
              <w:rPr>
                <w:rFonts w:ascii="Arial" w:hAnsi="Arial"/>
              </w:rPr>
              <w:t xml:space="preserve"> Aboriginal and Torres Strait Islander</w:t>
            </w:r>
            <w:r w:rsidRPr="00BD77D8">
              <w:rPr>
                <w:rFonts w:ascii="Arial" w:hAnsi="Arial"/>
              </w:rPr>
              <w:t xml:space="preserve"> communities</w:t>
            </w:r>
            <w:r w:rsidR="00595920" w:rsidRPr="00BD77D8">
              <w:rPr>
                <w:rFonts w:ascii="Arial" w:hAnsi="Arial"/>
              </w:rPr>
              <w:t xml:space="preserve"> </w:t>
            </w:r>
          </w:p>
        </w:tc>
        <w:tc>
          <w:tcPr>
            <w:tcW w:w="7796" w:type="dxa"/>
          </w:tcPr>
          <w:p w14:paraId="1C62D909" w14:textId="4E63436D" w:rsidR="001426EA" w:rsidRPr="00BD77D8" w:rsidRDefault="001426EA" w:rsidP="00B47173">
            <w:pPr>
              <w:spacing w:after="120"/>
              <w:ind w:left="119"/>
              <w:rPr>
                <w:rFonts w:ascii="Arial" w:hAnsi="Arial"/>
              </w:rPr>
            </w:pPr>
            <w:r w:rsidRPr="00BD77D8">
              <w:rPr>
                <w:rFonts w:ascii="Arial" w:hAnsi="Arial"/>
              </w:rPr>
              <w:t>The term ‘targeted communities’ is used throughout the report in relation to the Service Delivery Statement performance measure–number of houses made available for ownership by Aboriginal</w:t>
            </w:r>
            <w:r w:rsidR="004C7FBB" w:rsidRPr="00BD77D8">
              <w:rPr>
                <w:rFonts w:ascii="Arial" w:hAnsi="Arial"/>
              </w:rPr>
              <w:t xml:space="preserve"> peoples</w:t>
            </w:r>
            <w:r w:rsidRPr="00BD77D8">
              <w:rPr>
                <w:rFonts w:ascii="Arial" w:hAnsi="Arial"/>
              </w:rPr>
              <w:t xml:space="preserve"> and Torres Strait Islander peoples in targeted communities through Queensland Government investment.</w:t>
            </w:r>
          </w:p>
          <w:p w14:paraId="172CFC6C" w14:textId="77777777" w:rsidR="001426EA" w:rsidRPr="00BD77D8" w:rsidRDefault="001426EA" w:rsidP="00E1778E">
            <w:pPr>
              <w:ind w:left="121"/>
              <w:rPr>
                <w:rFonts w:ascii="Arial" w:hAnsi="Arial"/>
              </w:rPr>
            </w:pPr>
            <w:r w:rsidRPr="00BD77D8">
              <w:rPr>
                <w:rFonts w:ascii="Arial" w:hAnsi="Arial"/>
              </w:rPr>
              <w:t xml:space="preserve">These communities </w:t>
            </w:r>
            <w:proofErr w:type="gramStart"/>
            <w:r w:rsidRPr="00BD77D8">
              <w:rPr>
                <w:rFonts w:ascii="Arial" w:hAnsi="Arial"/>
              </w:rPr>
              <w:t>include:</w:t>
            </w:r>
            <w:proofErr w:type="gramEnd"/>
            <w:r w:rsidRPr="00BD77D8">
              <w:rPr>
                <w:rFonts w:ascii="Arial" w:hAnsi="Arial"/>
              </w:rPr>
              <w:t xml:space="preserve"> Aurukun, Cherbourg, Woorabinda, Doomadgee, Hope Vale, Kowanyama, Lockhart River, Mapoon, Mornington Island, Napranum, Northern Peninsula Area (5 communities), Palm Island, </w:t>
            </w:r>
            <w:proofErr w:type="spellStart"/>
            <w:r w:rsidRPr="00BD77D8">
              <w:rPr>
                <w:rFonts w:ascii="Arial" w:hAnsi="Arial"/>
              </w:rPr>
              <w:t>Pormpuraaw</w:t>
            </w:r>
            <w:proofErr w:type="spellEnd"/>
            <w:r w:rsidRPr="00BD77D8">
              <w:rPr>
                <w:rFonts w:ascii="Arial" w:hAnsi="Arial"/>
              </w:rPr>
              <w:t xml:space="preserve">, Yarrabah, </w:t>
            </w: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r w:rsidRPr="00BD77D8">
              <w:rPr>
                <w:rFonts w:ascii="Arial" w:hAnsi="Arial"/>
              </w:rPr>
              <w:t>, Torres Strait islands (15 islands), Coen and Mossman Gorge.</w:t>
            </w:r>
          </w:p>
        </w:tc>
      </w:tr>
      <w:tr w:rsidR="00BD77D8" w:rsidRPr="00BD77D8" w14:paraId="51D7F3FE" w14:textId="77777777" w:rsidTr="002C2968">
        <w:trPr>
          <w:trHeight w:hRule="exact" w:val="1451"/>
        </w:trPr>
        <w:tc>
          <w:tcPr>
            <w:tcW w:w="2694" w:type="dxa"/>
          </w:tcPr>
          <w:p w14:paraId="2D280FEB" w14:textId="77777777" w:rsidR="001426EA" w:rsidRPr="00BD77D8" w:rsidRDefault="001426EA" w:rsidP="00BE0F6C">
            <w:pPr>
              <w:rPr>
                <w:rFonts w:ascii="Arial" w:hAnsi="Arial"/>
              </w:rPr>
            </w:pPr>
            <w:r w:rsidRPr="00BD77D8">
              <w:rPr>
                <w:rFonts w:ascii="Arial" w:hAnsi="Arial"/>
              </w:rPr>
              <w:t>Tracks to Treaty</w:t>
            </w:r>
          </w:p>
        </w:tc>
        <w:tc>
          <w:tcPr>
            <w:tcW w:w="7796" w:type="dxa"/>
          </w:tcPr>
          <w:p w14:paraId="74F76483" w14:textId="77777777" w:rsidR="001426EA" w:rsidRPr="00BD77D8" w:rsidRDefault="001426EA" w:rsidP="00E1778E">
            <w:pPr>
              <w:ind w:left="121"/>
              <w:rPr>
                <w:rFonts w:ascii="Arial" w:hAnsi="Arial"/>
              </w:rPr>
            </w:pPr>
            <w:r w:rsidRPr="00BD77D8">
              <w:rPr>
                <w:rFonts w:ascii="Arial" w:hAnsi="Arial"/>
              </w:rPr>
              <w:t xml:space="preserve">Tracks to Treaty is a Queensland Government agenda </w:t>
            </w:r>
            <w:r w:rsidR="002536CB" w:rsidRPr="00BD77D8">
              <w:rPr>
                <w:rFonts w:ascii="Arial" w:hAnsi="Arial"/>
              </w:rPr>
              <w:t>focused</w:t>
            </w:r>
            <w:r w:rsidRPr="00BD77D8">
              <w:rPr>
                <w:rFonts w:ascii="Arial" w:hAnsi="Arial"/>
              </w:rPr>
              <w:t xml:space="preserve"> on reframing the relationship with Aboriginal and Torres Strait Islander Queenslanders. The Queensland Government is committed to a new way of working, delivering change and outcomes through a genuine partnership approach. Tracks to Treaty incorporates both Path to Treaty and Local Thriving Communities.</w:t>
            </w:r>
          </w:p>
        </w:tc>
      </w:tr>
      <w:tr w:rsidR="00BD77D8" w:rsidRPr="00BD77D8" w14:paraId="60DB8596" w14:textId="77777777" w:rsidTr="00E1778E">
        <w:trPr>
          <w:trHeight w:hRule="exact" w:val="1053"/>
        </w:trPr>
        <w:tc>
          <w:tcPr>
            <w:tcW w:w="2694" w:type="dxa"/>
          </w:tcPr>
          <w:p w14:paraId="64B84198" w14:textId="1F384853" w:rsidR="001426EA" w:rsidRPr="00BD77D8" w:rsidRDefault="001426EA" w:rsidP="00BE0F6C">
            <w:pPr>
              <w:rPr>
                <w:rFonts w:ascii="Arial" w:hAnsi="Arial"/>
              </w:rPr>
            </w:pPr>
            <w:r w:rsidRPr="00BD77D8">
              <w:rPr>
                <w:rFonts w:ascii="Arial" w:hAnsi="Arial"/>
              </w:rPr>
              <w:t>Welfare Reform</w:t>
            </w:r>
            <w:r w:rsidR="001153B4" w:rsidRPr="00BD77D8">
              <w:rPr>
                <w:rFonts w:ascii="Arial" w:hAnsi="Arial"/>
              </w:rPr>
              <w:t xml:space="preserve"> </w:t>
            </w:r>
            <w:r w:rsidR="00595920" w:rsidRPr="00BD77D8">
              <w:rPr>
                <w:rFonts w:ascii="Arial" w:hAnsi="Arial"/>
              </w:rPr>
              <w:t xml:space="preserve">communities </w:t>
            </w:r>
          </w:p>
        </w:tc>
        <w:tc>
          <w:tcPr>
            <w:tcW w:w="7796" w:type="dxa"/>
          </w:tcPr>
          <w:p w14:paraId="0BB95AC2" w14:textId="77777777" w:rsidR="001426EA" w:rsidRPr="00BD77D8" w:rsidRDefault="001426EA" w:rsidP="00E1778E">
            <w:pPr>
              <w:ind w:left="121"/>
              <w:rPr>
                <w:rFonts w:ascii="Arial" w:hAnsi="Arial"/>
              </w:rPr>
            </w:pPr>
            <w:r w:rsidRPr="00BD77D8">
              <w:rPr>
                <w:rFonts w:ascii="Arial" w:hAnsi="Arial"/>
              </w:rPr>
              <w:t>Welfare Reform is a partnership between the Queensland Government, the Australian Government, the Cape York Institute and the communities of Aurukun, Coen, Doomadgee, Hope Vale and Mossman Gorge.</w:t>
            </w:r>
          </w:p>
        </w:tc>
      </w:tr>
    </w:tbl>
    <w:p w14:paraId="5E497678" w14:textId="77777777" w:rsidR="00392640" w:rsidRPr="00BD77D8" w:rsidRDefault="00392640">
      <w:pPr>
        <w:spacing w:after="0" w:line="240" w:lineRule="auto"/>
        <w:rPr>
          <w:rFonts w:eastAsia="Calibri"/>
          <w:bCs/>
          <w:noProof/>
          <w:kern w:val="32"/>
          <w:sz w:val="40"/>
          <w:szCs w:val="40"/>
          <w:lang w:eastAsia="en-US"/>
        </w:rPr>
      </w:pPr>
      <w:bookmarkStart w:id="320" w:name="_Toc43444834"/>
      <w:bookmarkStart w:id="321" w:name="_Toc78287411"/>
      <w:bookmarkStart w:id="322" w:name="_Toc78355818"/>
      <w:r w:rsidRPr="00BD77D8">
        <w:rPr>
          <w:rFonts w:eastAsia="Calibri"/>
        </w:rPr>
        <w:br w:type="page"/>
      </w:r>
    </w:p>
    <w:p w14:paraId="12D0278E" w14:textId="52B2997E" w:rsidR="00926340" w:rsidRPr="00BD77D8" w:rsidRDefault="00926340" w:rsidP="00497E44">
      <w:pPr>
        <w:pStyle w:val="Heading2"/>
        <w:rPr>
          <w:color w:val="auto"/>
        </w:rPr>
      </w:pPr>
      <w:bookmarkStart w:id="323" w:name="_Toc113544413"/>
      <w:r w:rsidRPr="00BD77D8">
        <w:rPr>
          <w:color w:val="auto"/>
        </w:rPr>
        <w:lastRenderedPageBreak/>
        <w:t xml:space="preserve">Appendix </w:t>
      </w:r>
      <w:r w:rsidR="00451BD6" w:rsidRPr="00BD77D8">
        <w:rPr>
          <w:color w:val="auto"/>
        </w:rPr>
        <w:t>2</w:t>
      </w:r>
      <w:r w:rsidR="00E434A2" w:rsidRPr="00BD77D8">
        <w:rPr>
          <w:color w:val="auto"/>
        </w:rPr>
        <w:t>—</w:t>
      </w:r>
      <w:r w:rsidRPr="00BD77D8">
        <w:rPr>
          <w:color w:val="auto"/>
        </w:rPr>
        <w:t>Our legislation</w:t>
      </w:r>
      <w:bookmarkEnd w:id="320"/>
      <w:bookmarkEnd w:id="321"/>
      <w:bookmarkEnd w:id="322"/>
      <w:bookmarkEnd w:id="323"/>
      <w:r w:rsidR="009F56D7" w:rsidRPr="00BD77D8">
        <w:rPr>
          <w:color w:val="auto"/>
        </w:rPr>
        <w:t xml:space="preserve"> </w:t>
      </w:r>
    </w:p>
    <w:p w14:paraId="568A3845" w14:textId="26B62A6E" w:rsidR="00926340" w:rsidRPr="00BD77D8" w:rsidRDefault="00926340" w:rsidP="0046662F">
      <w:pPr>
        <w:rPr>
          <w:rFonts w:eastAsia="Calibri"/>
          <w:lang w:eastAsia="en-US"/>
        </w:rPr>
      </w:pPr>
      <w:bookmarkStart w:id="324" w:name="_Hlk82614490"/>
      <w:r w:rsidRPr="00BD77D8">
        <w:rPr>
          <w:rFonts w:eastAsia="Calibri"/>
          <w:lang w:eastAsia="en-US"/>
        </w:rPr>
        <w:t>The</w:t>
      </w:r>
      <w:r w:rsidRPr="00BD77D8">
        <w:rPr>
          <w:rFonts w:eastAsia="Calibri"/>
          <w:spacing w:val="-15"/>
          <w:lang w:eastAsia="en-US"/>
        </w:rPr>
        <w:t xml:space="preserve"> </w:t>
      </w:r>
      <w:r w:rsidRPr="00BD77D8">
        <w:rPr>
          <w:rFonts w:eastAsia="Calibri"/>
          <w:lang w:eastAsia="en-US"/>
        </w:rPr>
        <w:t>f</w:t>
      </w:r>
      <w:r w:rsidRPr="00BD77D8">
        <w:rPr>
          <w:rFonts w:eastAsia="Calibri"/>
          <w:spacing w:val="-1"/>
          <w:lang w:eastAsia="en-US"/>
        </w:rPr>
        <w:t>unctions</w:t>
      </w:r>
      <w:r w:rsidRPr="00BD77D8">
        <w:rPr>
          <w:rFonts w:eastAsia="Calibri"/>
          <w:spacing w:val="-16"/>
          <w:lang w:eastAsia="en-US"/>
        </w:rPr>
        <w:t xml:space="preserve"> </w:t>
      </w:r>
      <w:r w:rsidRPr="00BD77D8">
        <w:rPr>
          <w:rFonts w:eastAsia="Calibri"/>
          <w:lang w:eastAsia="en-US"/>
        </w:rPr>
        <w:t>and</w:t>
      </w:r>
      <w:r w:rsidRPr="00BD77D8">
        <w:rPr>
          <w:rFonts w:eastAsia="Calibri"/>
          <w:spacing w:val="-16"/>
          <w:lang w:eastAsia="en-US"/>
        </w:rPr>
        <w:t xml:space="preserve"> </w:t>
      </w:r>
      <w:r w:rsidRPr="00BD77D8">
        <w:rPr>
          <w:rFonts w:eastAsia="Calibri"/>
          <w:spacing w:val="-1"/>
          <w:lang w:eastAsia="en-US"/>
        </w:rPr>
        <w:t>po</w:t>
      </w:r>
      <w:r w:rsidRPr="00BD77D8">
        <w:rPr>
          <w:rFonts w:eastAsia="Calibri"/>
          <w:lang w:eastAsia="en-US"/>
        </w:rPr>
        <w:t>wer</w:t>
      </w:r>
      <w:r w:rsidRPr="00BD77D8">
        <w:rPr>
          <w:rFonts w:eastAsia="Calibri"/>
          <w:spacing w:val="-1"/>
          <w:lang w:eastAsia="en-US"/>
        </w:rPr>
        <w:t>s</w:t>
      </w:r>
      <w:r w:rsidRPr="00BD77D8">
        <w:rPr>
          <w:rFonts w:eastAsia="Calibri"/>
          <w:spacing w:val="-16"/>
          <w:lang w:eastAsia="en-US"/>
        </w:rPr>
        <w:t xml:space="preserve"> </w:t>
      </w:r>
      <w:r w:rsidRPr="00BD77D8">
        <w:rPr>
          <w:rFonts w:eastAsia="Calibri"/>
          <w:lang w:eastAsia="en-US"/>
        </w:rPr>
        <w:t>of</w:t>
      </w:r>
      <w:r w:rsidRPr="00BD77D8">
        <w:rPr>
          <w:rFonts w:eastAsia="Calibri"/>
          <w:spacing w:val="-15"/>
          <w:lang w:eastAsia="en-US"/>
        </w:rPr>
        <w:t xml:space="preserve"> </w:t>
      </w:r>
      <w:r w:rsidRPr="00BD77D8">
        <w:rPr>
          <w:rFonts w:eastAsia="Calibri"/>
          <w:lang w:eastAsia="en-US"/>
        </w:rPr>
        <w:t>the</w:t>
      </w:r>
      <w:r w:rsidRPr="00BD77D8">
        <w:rPr>
          <w:rFonts w:eastAsia="Calibri"/>
          <w:spacing w:val="-15"/>
          <w:lang w:eastAsia="en-US"/>
        </w:rPr>
        <w:t xml:space="preserve"> </w:t>
      </w:r>
      <w:r w:rsidRPr="00BD77D8">
        <w:rPr>
          <w:rFonts w:eastAsia="Calibri"/>
          <w:lang w:eastAsia="en-US"/>
        </w:rPr>
        <w:t>Department</w:t>
      </w:r>
      <w:r w:rsidRPr="00BD77D8">
        <w:rPr>
          <w:rFonts w:eastAsia="Calibri"/>
          <w:spacing w:val="-16"/>
          <w:lang w:eastAsia="en-US"/>
        </w:rPr>
        <w:t xml:space="preserve"> </w:t>
      </w:r>
      <w:r w:rsidRPr="00BD77D8">
        <w:rPr>
          <w:rFonts w:eastAsia="Calibri"/>
          <w:lang w:eastAsia="en-US"/>
        </w:rPr>
        <w:t xml:space="preserve">of </w:t>
      </w:r>
      <w:r w:rsidR="00DF7B87" w:rsidRPr="00BD77D8">
        <w:rPr>
          <w:rFonts w:eastAsia="Calibri"/>
          <w:lang w:eastAsia="en-US"/>
        </w:rPr>
        <w:t xml:space="preserve">Seniors, Disability Services and </w:t>
      </w:r>
      <w:r w:rsidRPr="00BD77D8">
        <w:rPr>
          <w:rFonts w:eastAsia="Calibri"/>
          <w:lang w:eastAsia="en-US"/>
        </w:rPr>
        <w:t>Aboriginal</w:t>
      </w:r>
      <w:r w:rsidRPr="00BD77D8">
        <w:rPr>
          <w:rFonts w:eastAsia="Calibri"/>
          <w:spacing w:val="-16"/>
          <w:lang w:eastAsia="en-US"/>
        </w:rPr>
        <w:t xml:space="preserve"> </w:t>
      </w:r>
      <w:r w:rsidRPr="00BD77D8">
        <w:rPr>
          <w:rFonts w:eastAsia="Calibri"/>
          <w:lang w:eastAsia="en-US"/>
        </w:rPr>
        <w:t>and</w:t>
      </w:r>
      <w:r w:rsidRPr="00BD77D8">
        <w:rPr>
          <w:rFonts w:eastAsia="Calibri"/>
          <w:spacing w:val="-18"/>
          <w:lang w:eastAsia="en-US"/>
        </w:rPr>
        <w:t xml:space="preserve"> </w:t>
      </w:r>
      <w:r w:rsidRPr="00BD77D8">
        <w:rPr>
          <w:rFonts w:eastAsia="Calibri"/>
          <w:spacing w:val="-3"/>
          <w:lang w:eastAsia="en-US"/>
        </w:rPr>
        <w:t>Torre</w:t>
      </w:r>
      <w:r w:rsidRPr="00BD77D8">
        <w:rPr>
          <w:rFonts w:eastAsia="Calibri"/>
          <w:lang w:eastAsia="en-US"/>
        </w:rPr>
        <w:t>s</w:t>
      </w:r>
      <w:r w:rsidRPr="00BD77D8">
        <w:rPr>
          <w:rFonts w:eastAsia="Calibri"/>
          <w:spacing w:val="-19"/>
          <w:lang w:eastAsia="en-US"/>
        </w:rPr>
        <w:t xml:space="preserve"> </w:t>
      </w:r>
      <w:r w:rsidRPr="00BD77D8">
        <w:rPr>
          <w:rFonts w:eastAsia="Calibri"/>
          <w:spacing w:val="-1"/>
          <w:lang w:eastAsia="en-US"/>
        </w:rPr>
        <w:t>St</w:t>
      </w:r>
      <w:r w:rsidRPr="00BD77D8">
        <w:rPr>
          <w:rFonts w:eastAsia="Calibri"/>
          <w:lang w:eastAsia="en-US"/>
        </w:rPr>
        <w:t>rait</w:t>
      </w:r>
      <w:r w:rsidRPr="00BD77D8">
        <w:rPr>
          <w:rFonts w:eastAsia="Calibri"/>
          <w:spacing w:val="-16"/>
          <w:lang w:eastAsia="en-US"/>
        </w:rPr>
        <w:t xml:space="preserve"> </w:t>
      </w:r>
      <w:r w:rsidRPr="00BD77D8">
        <w:rPr>
          <w:rFonts w:eastAsia="Calibri"/>
          <w:spacing w:val="-1"/>
          <w:lang w:eastAsia="en-US"/>
        </w:rPr>
        <w:t>Island</w:t>
      </w:r>
      <w:r w:rsidRPr="00BD77D8">
        <w:rPr>
          <w:rFonts w:eastAsia="Calibri"/>
          <w:lang w:eastAsia="en-US"/>
        </w:rPr>
        <w:t>er</w:t>
      </w:r>
      <w:r w:rsidRPr="00BD77D8">
        <w:rPr>
          <w:rFonts w:eastAsia="Calibri"/>
          <w:spacing w:val="-14"/>
          <w:lang w:eastAsia="en-US"/>
        </w:rPr>
        <w:t xml:space="preserve"> </w:t>
      </w:r>
      <w:r w:rsidRPr="00BD77D8">
        <w:rPr>
          <w:rFonts w:eastAsia="Calibri"/>
          <w:spacing w:val="-1"/>
          <w:lang w:eastAsia="en-US"/>
        </w:rPr>
        <w:t>P</w:t>
      </w:r>
      <w:r w:rsidRPr="00BD77D8">
        <w:rPr>
          <w:rFonts w:eastAsia="Calibri"/>
          <w:lang w:eastAsia="en-US"/>
        </w:rPr>
        <w:t>artner</w:t>
      </w:r>
      <w:r w:rsidRPr="00BD77D8">
        <w:rPr>
          <w:rFonts w:eastAsia="Calibri"/>
          <w:spacing w:val="-1"/>
          <w:lang w:eastAsia="en-US"/>
        </w:rPr>
        <w:t>ships</w:t>
      </w:r>
      <w:r w:rsidRPr="00BD77D8">
        <w:rPr>
          <w:rFonts w:eastAsia="Calibri"/>
          <w:spacing w:val="-16"/>
          <w:lang w:eastAsia="en-US"/>
        </w:rPr>
        <w:t xml:space="preserve"> </w:t>
      </w:r>
      <w:r w:rsidRPr="00BD77D8">
        <w:rPr>
          <w:rFonts w:eastAsia="Calibri"/>
          <w:lang w:eastAsia="en-US"/>
        </w:rPr>
        <w:t>are</w:t>
      </w:r>
      <w:r w:rsidRPr="00BD77D8">
        <w:rPr>
          <w:rFonts w:eastAsia="Calibri"/>
          <w:spacing w:val="-14"/>
          <w:lang w:eastAsia="en-US"/>
        </w:rPr>
        <w:t xml:space="preserve"> </w:t>
      </w:r>
      <w:r w:rsidRPr="00BD77D8">
        <w:rPr>
          <w:rFonts w:eastAsia="Calibri"/>
          <w:lang w:eastAsia="en-US"/>
        </w:rPr>
        <w:t>derived from</w:t>
      </w:r>
      <w:r w:rsidR="004D657C" w:rsidRPr="00BD77D8">
        <w:rPr>
          <w:rFonts w:eastAsia="Calibri"/>
          <w:lang w:eastAsia="en-US"/>
        </w:rPr>
        <w:t xml:space="preserve"> </w:t>
      </w:r>
      <w:r w:rsidRPr="00BD77D8">
        <w:rPr>
          <w:rFonts w:eastAsia="Calibri"/>
          <w:lang w:eastAsia="en-US"/>
        </w:rPr>
        <w:t>administering</w:t>
      </w:r>
      <w:r w:rsidRPr="00BD77D8">
        <w:rPr>
          <w:rFonts w:eastAsia="Calibri"/>
          <w:spacing w:val="-17"/>
          <w:lang w:eastAsia="en-US"/>
        </w:rPr>
        <w:t xml:space="preserve"> </w:t>
      </w:r>
      <w:r w:rsidRPr="00BD77D8">
        <w:rPr>
          <w:rFonts w:eastAsia="Calibri"/>
          <w:lang w:eastAsia="en-US"/>
        </w:rPr>
        <w:t>the</w:t>
      </w:r>
      <w:r w:rsidRPr="00BD77D8">
        <w:rPr>
          <w:rFonts w:eastAsia="Calibri"/>
          <w:spacing w:val="-17"/>
          <w:lang w:eastAsia="en-US"/>
        </w:rPr>
        <w:t xml:space="preserve"> </w:t>
      </w:r>
      <w:r w:rsidRPr="00BD77D8">
        <w:rPr>
          <w:rFonts w:eastAsia="Calibri"/>
          <w:lang w:eastAsia="en-US"/>
        </w:rPr>
        <w:t>f</w:t>
      </w:r>
      <w:r w:rsidRPr="00BD77D8">
        <w:rPr>
          <w:rFonts w:eastAsia="Calibri"/>
          <w:spacing w:val="-1"/>
          <w:lang w:eastAsia="en-US"/>
        </w:rPr>
        <w:t>ollo</w:t>
      </w:r>
      <w:r w:rsidRPr="00BD77D8">
        <w:rPr>
          <w:rFonts w:eastAsia="Calibri"/>
          <w:lang w:eastAsia="en-US"/>
        </w:rPr>
        <w:t>w</w:t>
      </w:r>
      <w:r w:rsidRPr="00BD77D8">
        <w:rPr>
          <w:rFonts w:eastAsia="Calibri"/>
          <w:spacing w:val="-1"/>
          <w:lang w:eastAsia="en-US"/>
        </w:rPr>
        <w:t>ing</w:t>
      </w:r>
      <w:r w:rsidRPr="00BD77D8">
        <w:rPr>
          <w:rFonts w:eastAsia="Calibri"/>
          <w:spacing w:val="-17"/>
          <w:lang w:eastAsia="en-US"/>
        </w:rPr>
        <w:t xml:space="preserve"> </w:t>
      </w:r>
      <w:r w:rsidRPr="00BD77D8">
        <w:rPr>
          <w:rFonts w:eastAsia="Calibri"/>
          <w:lang w:eastAsia="en-US"/>
        </w:rPr>
        <w:t>Acts</w:t>
      </w:r>
      <w:r w:rsidRPr="00BD77D8">
        <w:rPr>
          <w:rFonts w:eastAsia="Calibri"/>
          <w:spacing w:val="-18"/>
          <w:lang w:eastAsia="en-US"/>
        </w:rPr>
        <w:t xml:space="preserve"> </w:t>
      </w:r>
      <w:r w:rsidRPr="00BD77D8">
        <w:rPr>
          <w:rFonts w:eastAsia="Calibri"/>
          <w:lang w:eastAsia="en-US"/>
        </w:rPr>
        <w:t>of</w:t>
      </w:r>
      <w:r w:rsidRPr="00BD77D8">
        <w:rPr>
          <w:rFonts w:eastAsia="Calibri"/>
          <w:spacing w:val="-18"/>
          <w:lang w:eastAsia="en-US"/>
        </w:rPr>
        <w:t xml:space="preserve"> </w:t>
      </w:r>
      <w:r w:rsidRPr="00BD77D8">
        <w:rPr>
          <w:rFonts w:eastAsia="Calibri"/>
          <w:spacing w:val="-1"/>
          <w:lang w:eastAsia="en-US"/>
        </w:rPr>
        <w:t>P</w:t>
      </w:r>
      <w:r w:rsidRPr="00BD77D8">
        <w:rPr>
          <w:rFonts w:eastAsia="Calibri"/>
          <w:lang w:eastAsia="en-US"/>
        </w:rPr>
        <w:t>arliament,</w:t>
      </w:r>
      <w:r w:rsidRPr="00BD77D8">
        <w:rPr>
          <w:rFonts w:eastAsia="Calibri"/>
          <w:spacing w:val="-16"/>
          <w:lang w:eastAsia="en-US"/>
        </w:rPr>
        <w:t xml:space="preserve"> </w:t>
      </w:r>
      <w:r w:rsidRPr="00BD77D8">
        <w:rPr>
          <w:rFonts w:eastAsia="Calibri"/>
          <w:lang w:eastAsia="en-US"/>
        </w:rPr>
        <w:t>in</w:t>
      </w:r>
      <w:r w:rsidRPr="00BD77D8">
        <w:rPr>
          <w:rFonts w:eastAsia="Calibri"/>
          <w:spacing w:val="-17"/>
          <w:lang w:eastAsia="en-US"/>
        </w:rPr>
        <w:t xml:space="preserve"> </w:t>
      </w:r>
      <w:r w:rsidRPr="00BD77D8">
        <w:rPr>
          <w:rFonts w:eastAsia="Calibri"/>
          <w:lang w:eastAsia="en-US"/>
        </w:rPr>
        <w:t>acc</w:t>
      </w:r>
      <w:r w:rsidRPr="00BD77D8">
        <w:rPr>
          <w:rFonts w:eastAsia="Calibri"/>
          <w:spacing w:val="-3"/>
          <w:lang w:eastAsia="en-US"/>
        </w:rPr>
        <w:t>ord</w:t>
      </w:r>
      <w:r w:rsidRPr="00BD77D8">
        <w:rPr>
          <w:rFonts w:eastAsia="Calibri"/>
          <w:lang w:eastAsia="en-US"/>
        </w:rPr>
        <w:t>anc</w:t>
      </w:r>
      <w:r w:rsidRPr="00BD77D8">
        <w:rPr>
          <w:rFonts w:eastAsia="Calibri"/>
          <w:spacing w:val="-3"/>
          <w:lang w:eastAsia="en-US"/>
        </w:rPr>
        <w:t>e</w:t>
      </w:r>
      <w:r w:rsidRPr="00BD77D8">
        <w:rPr>
          <w:rFonts w:eastAsia="Calibri"/>
          <w:spacing w:val="-17"/>
          <w:lang w:eastAsia="en-US"/>
        </w:rPr>
        <w:t xml:space="preserve"> </w:t>
      </w:r>
      <w:r w:rsidRPr="00BD77D8">
        <w:rPr>
          <w:rFonts w:eastAsia="Calibri"/>
          <w:lang w:eastAsia="en-US"/>
        </w:rPr>
        <w:t>with</w:t>
      </w:r>
      <w:r w:rsidR="00EB2387" w:rsidRPr="00BD77D8">
        <w:rPr>
          <w:rFonts w:eastAsia="Calibri"/>
          <w:lang w:eastAsia="en-US"/>
        </w:rPr>
        <w:t xml:space="preserve"> </w:t>
      </w:r>
      <w:r w:rsidR="00EB2387" w:rsidRPr="00BD77D8">
        <w:rPr>
          <w:rFonts w:eastAsia="Calibri"/>
          <w:i/>
          <w:lang w:eastAsia="en-US"/>
        </w:rPr>
        <w:t xml:space="preserve">Administrative </w:t>
      </w:r>
      <w:r w:rsidR="008E1BEB" w:rsidRPr="00BD77D8">
        <w:rPr>
          <w:rFonts w:eastAsia="Calibri"/>
          <w:i/>
          <w:lang w:eastAsia="en-US"/>
        </w:rPr>
        <w:t>Arrangements Order (No. 2) 202</w:t>
      </w:r>
      <w:r w:rsidR="009F71C3" w:rsidRPr="00BD77D8">
        <w:rPr>
          <w:rFonts w:eastAsia="Calibri"/>
          <w:i/>
          <w:lang w:eastAsia="en-US"/>
        </w:rPr>
        <w:t>1</w:t>
      </w:r>
    </w:p>
    <w:tbl>
      <w:tblPr>
        <w:tblStyle w:val="TableGrid1"/>
        <w:tblW w:w="10348" w:type="dxa"/>
        <w:tblInd w:w="-5" w:type="dxa"/>
        <w:tblLayout w:type="fixed"/>
        <w:tblCellMar>
          <w:top w:w="28" w:type="dxa"/>
          <w:left w:w="28" w:type="dxa"/>
          <w:bottom w:w="28" w:type="dxa"/>
          <w:right w:w="28" w:type="dxa"/>
        </w:tblCellMar>
        <w:tblLook w:val="01E0" w:firstRow="1" w:lastRow="1" w:firstColumn="1" w:lastColumn="1" w:noHBand="0" w:noVBand="0"/>
      </w:tblPr>
      <w:tblGrid>
        <w:gridCol w:w="4253"/>
        <w:gridCol w:w="6095"/>
      </w:tblGrid>
      <w:tr w:rsidR="00BD77D8" w:rsidRPr="00BD77D8" w14:paraId="711A406C" w14:textId="77777777" w:rsidTr="00F52C57">
        <w:trPr>
          <w:trHeight w:val="170"/>
          <w:tblHeader/>
        </w:trPr>
        <w:tc>
          <w:tcPr>
            <w:tcW w:w="4253" w:type="dxa"/>
            <w:shd w:val="clear" w:color="auto" w:fill="F2F2F2" w:themeFill="background1" w:themeFillShade="F2"/>
          </w:tcPr>
          <w:bookmarkEnd w:id="324"/>
          <w:p w14:paraId="292CC2DF" w14:textId="77777777" w:rsidR="001426EA" w:rsidRPr="00BD77D8" w:rsidRDefault="001426EA" w:rsidP="0046662F">
            <w:pPr>
              <w:rPr>
                <w:rFonts w:ascii="Arial" w:hAnsi="Arial"/>
                <w:b/>
                <w:bCs/>
              </w:rPr>
            </w:pPr>
            <w:r w:rsidRPr="00BD77D8">
              <w:rPr>
                <w:rFonts w:ascii="Arial" w:hAnsi="Arial"/>
                <w:b/>
                <w:bCs/>
              </w:rPr>
              <w:t>ACT</w:t>
            </w:r>
          </w:p>
        </w:tc>
        <w:tc>
          <w:tcPr>
            <w:tcW w:w="6095" w:type="dxa"/>
            <w:shd w:val="clear" w:color="auto" w:fill="F2F2F2" w:themeFill="background1" w:themeFillShade="F2"/>
          </w:tcPr>
          <w:p w14:paraId="353C9B30" w14:textId="77777777" w:rsidR="001426EA" w:rsidRPr="00BD77D8" w:rsidRDefault="001426EA" w:rsidP="0046662F">
            <w:pPr>
              <w:rPr>
                <w:rFonts w:ascii="Arial" w:hAnsi="Arial"/>
                <w:b/>
                <w:bCs/>
              </w:rPr>
            </w:pPr>
            <w:r w:rsidRPr="00BD77D8">
              <w:rPr>
                <w:rFonts w:ascii="Arial" w:hAnsi="Arial"/>
                <w:b/>
                <w:bCs/>
              </w:rPr>
              <w:t>STATUTORY OBJECTIVE</w:t>
            </w:r>
          </w:p>
        </w:tc>
      </w:tr>
      <w:tr w:rsidR="00BD77D8" w:rsidRPr="00BD77D8" w14:paraId="5402208E" w14:textId="77777777" w:rsidTr="00F52C57">
        <w:trPr>
          <w:trHeight w:val="20"/>
        </w:trPr>
        <w:tc>
          <w:tcPr>
            <w:tcW w:w="4253" w:type="dxa"/>
          </w:tcPr>
          <w:p w14:paraId="3940256B" w14:textId="77777777" w:rsidR="001426EA" w:rsidRPr="00BD77D8" w:rsidRDefault="001426EA" w:rsidP="00B47173">
            <w:pPr>
              <w:spacing w:after="120"/>
              <w:rPr>
                <w:rFonts w:ascii="Arial" w:hAnsi="Arial"/>
                <w:i/>
                <w:iCs/>
              </w:rPr>
            </w:pPr>
            <w:r w:rsidRPr="00BD77D8">
              <w:rPr>
                <w:rFonts w:ascii="Arial" w:hAnsi="Arial"/>
                <w:i/>
                <w:iCs/>
              </w:rPr>
              <w:t>Aboriginal and Torres Strait Islander Communities (Justice, Land and Other Matters) Act 1984</w:t>
            </w:r>
          </w:p>
          <w:p w14:paraId="250EBF40" w14:textId="257F1A86" w:rsidR="001426EA" w:rsidRPr="00BD77D8" w:rsidRDefault="001426EA" w:rsidP="0046662F">
            <w:pPr>
              <w:rPr>
                <w:rFonts w:ascii="Arial" w:hAnsi="Arial"/>
              </w:rPr>
            </w:pPr>
            <w:r w:rsidRPr="00BD77D8">
              <w:rPr>
                <w:rFonts w:ascii="Arial" w:hAnsi="Arial"/>
              </w:rPr>
              <w:t>(</w:t>
            </w:r>
            <w:proofErr w:type="gramStart"/>
            <w:r w:rsidR="003251A6" w:rsidRPr="00BD77D8">
              <w:rPr>
                <w:rFonts w:ascii="Arial" w:hAnsi="Arial"/>
              </w:rPr>
              <w:t>except</w:t>
            </w:r>
            <w:proofErr w:type="gramEnd"/>
            <w:r w:rsidR="003251A6" w:rsidRPr="00BD77D8">
              <w:rPr>
                <w:rFonts w:ascii="Arial" w:hAnsi="Arial"/>
              </w:rPr>
              <w:t xml:space="preserve"> to the extent administered by the Deputy Premier and Minister for State Development, Infrastructure, Local Government and Planning; and the Attorney-General and Minister for Justice, Minister for Women and Minister for the Prevention of Domestic and Family Violence); (sections 4, 8, 64-67, 70 and 71 jointly administered with the Attorney-General and Minister for Justice, Minister for Women and Minister for the Prevention of Domestic and Family Violence)</w:t>
            </w:r>
          </w:p>
        </w:tc>
        <w:tc>
          <w:tcPr>
            <w:tcW w:w="6095" w:type="dxa"/>
          </w:tcPr>
          <w:p w14:paraId="434F4B22" w14:textId="77777777" w:rsidR="001426EA" w:rsidRPr="00BD77D8" w:rsidRDefault="001426EA" w:rsidP="00E1778E">
            <w:pPr>
              <w:ind w:left="121"/>
              <w:rPr>
                <w:rFonts w:ascii="Arial" w:hAnsi="Arial"/>
              </w:rPr>
            </w:pPr>
            <w:r w:rsidRPr="00BD77D8">
              <w:rPr>
                <w:rFonts w:ascii="Arial" w:hAnsi="Arial"/>
              </w:rPr>
              <w:t>This Act regulates a number of issues impacting on Aboriginal and Torres Strait Islander communities, including: the establishment of Community Justice Groups, the establishment of Community Police Officers, entry to trust areas, and alcohol possession and consumption in community areas.</w:t>
            </w:r>
          </w:p>
        </w:tc>
      </w:tr>
      <w:tr w:rsidR="00BD77D8" w:rsidRPr="00BD77D8" w14:paraId="2BDBEC9F" w14:textId="77777777" w:rsidTr="00F52C57">
        <w:trPr>
          <w:trHeight w:val="20"/>
        </w:trPr>
        <w:tc>
          <w:tcPr>
            <w:tcW w:w="4253" w:type="dxa"/>
          </w:tcPr>
          <w:p w14:paraId="70A7D32E" w14:textId="77777777" w:rsidR="001426EA" w:rsidRPr="00BD77D8" w:rsidRDefault="001426EA" w:rsidP="0046662F">
            <w:pPr>
              <w:rPr>
                <w:rFonts w:ascii="Arial" w:hAnsi="Arial"/>
                <w:i/>
                <w:iCs/>
              </w:rPr>
            </w:pPr>
            <w:r w:rsidRPr="00BD77D8">
              <w:rPr>
                <w:rFonts w:ascii="Arial" w:hAnsi="Arial"/>
                <w:i/>
                <w:iCs/>
              </w:rPr>
              <w:t>Aboriginal Cultural Heritage Act 2003</w:t>
            </w:r>
          </w:p>
        </w:tc>
        <w:tc>
          <w:tcPr>
            <w:tcW w:w="6095" w:type="dxa"/>
          </w:tcPr>
          <w:p w14:paraId="715D859E" w14:textId="77777777" w:rsidR="001426EA" w:rsidRPr="00BD77D8" w:rsidRDefault="001426EA" w:rsidP="00E1778E">
            <w:pPr>
              <w:ind w:left="121"/>
              <w:rPr>
                <w:rFonts w:ascii="Arial" w:hAnsi="Arial"/>
              </w:rPr>
            </w:pPr>
            <w:r w:rsidRPr="00BD77D8">
              <w:rPr>
                <w:rFonts w:ascii="Arial" w:hAnsi="Arial"/>
              </w:rPr>
              <w:t>The main purpose of this Act is to provide effective recognition, protection and conservation of Aboriginal cultural heritage.</w:t>
            </w:r>
          </w:p>
        </w:tc>
      </w:tr>
      <w:tr w:rsidR="00BD77D8" w:rsidRPr="00BD77D8" w14:paraId="60204992" w14:textId="77777777" w:rsidTr="00F52C57">
        <w:trPr>
          <w:trHeight w:val="20"/>
        </w:trPr>
        <w:tc>
          <w:tcPr>
            <w:tcW w:w="4253" w:type="dxa"/>
          </w:tcPr>
          <w:p w14:paraId="4F218811" w14:textId="77777777" w:rsidR="001426EA" w:rsidRPr="00BD77D8" w:rsidRDefault="001426EA" w:rsidP="0046662F">
            <w:pPr>
              <w:rPr>
                <w:rFonts w:ascii="Arial" w:hAnsi="Arial"/>
                <w:i/>
                <w:iCs/>
              </w:rPr>
            </w:pPr>
            <w:r w:rsidRPr="00BD77D8">
              <w:rPr>
                <w:rFonts w:ascii="Arial" w:hAnsi="Arial"/>
                <w:i/>
                <w:iCs/>
              </w:rPr>
              <w:t>Family Responsibilities Commission Act 2008</w:t>
            </w:r>
          </w:p>
        </w:tc>
        <w:tc>
          <w:tcPr>
            <w:tcW w:w="6095" w:type="dxa"/>
          </w:tcPr>
          <w:p w14:paraId="546DDF66" w14:textId="77777777" w:rsidR="001426EA" w:rsidRPr="00BD77D8" w:rsidRDefault="001426EA" w:rsidP="00032A18">
            <w:pPr>
              <w:spacing w:after="120" w:line="240" w:lineRule="auto"/>
              <w:ind w:left="119"/>
              <w:rPr>
                <w:rFonts w:ascii="Arial" w:hAnsi="Arial"/>
              </w:rPr>
            </w:pPr>
            <w:r w:rsidRPr="00BD77D8">
              <w:rPr>
                <w:rFonts w:ascii="Arial" w:hAnsi="Arial"/>
              </w:rPr>
              <w:t>The objectives of this Act are to:</w:t>
            </w:r>
          </w:p>
          <w:p w14:paraId="16202320" w14:textId="77777777" w:rsidR="001426EA" w:rsidRPr="00BD77D8" w:rsidRDefault="001426EA" w:rsidP="00433A9A">
            <w:pPr>
              <w:pStyle w:val="ListParagraph"/>
              <w:numPr>
                <w:ilvl w:val="0"/>
                <w:numId w:val="14"/>
              </w:numPr>
              <w:rPr>
                <w:rFonts w:ascii="Arial" w:hAnsi="Arial"/>
              </w:rPr>
            </w:pPr>
            <w:r w:rsidRPr="00BD77D8">
              <w:rPr>
                <w:rFonts w:ascii="Arial" w:hAnsi="Arial"/>
              </w:rPr>
              <w:t>support the restoration of socially responsible standards of behaviour and local authority in Welfare Reform community areas</w:t>
            </w:r>
            <w:r w:rsidR="001417C9" w:rsidRPr="00BD77D8">
              <w:rPr>
                <w:rFonts w:ascii="Arial" w:hAnsi="Arial"/>
              </w:rPr>
              <w:t>, and</w:t>
            </w:r>
          </w:p>
          <w:p w14:paraId="69F038A5" w14:textId="77777777" w:rsidR="001426EA" w:rsidRPr="00BD77D8" w:rsidRDefault="001426EA" w:rsidP="00433A9A">
            <w:pPr>
              <w:pStyle w:val="ListParagraph"/>
              <w:numPr>
                <w:ilvl w:val="0"/>
                <w:numId w:val="14"/>
              </w:numPr>
              <w:spacing w:after="120" w:line="240" w:lineRule="auto"/>
              <w:ind w:left="714" w:hanging="357"/>
              <w:rPr>
                <w:rFonts w:ascii="Arial" w:hAnsi="Arial"/>
              </w:rPr>
            </w:pPr>
            <w:r w:rsidRPr="00BD77D8">
              <w:rPr>
                <w:rFonts w:ascii="Arial" w:hAnsi="Arial"/>
              </w:rPr>
              <w:t>help people in Welfare Reform community areas to resume primary responsibility for the wellbeing of their community and the individuals and families of the community.</w:t>
            </w:r>
          </w:p>
          <w:p w14:paraId="3FBA10B8" w14:textId="77777777" w:rsidR="001426EA" w:rsidRPr="00BD77D8" w:rsidRDefault="001426EA" w:rsidP="00A65D3B">
            <w:pPr>
              <w:ind w:left="121"/>
              <w:rPr>
                <w:rFonts w:ascii="Arial" w:hAnsi="Arial"/>
              </w:rPr>
            </w:pPr>
            <w:r w:rsidRPr="00BD77D8">
              <w:rPr>
                <w:rFonts w:ascii="Arial" w:hAnsi="Arial"/>
              </w:rPr>
              <w:t>The objectives are achieved primarily through the operation of the Family Responsibilities Commission.</w:t>
            </w:r>
          </w:p>
        </w:tc>
      </w:tr>
      <w:tr w:rsidR="00BD77D8" w:rsidRPr="00BD77D8" w14:paraId="2421457A" w14:textId="77777777" w:rsidTr="00F52C57">
        <w:trPr>
          <w:trHeight w:val="1269"/>
        </w:trPr>
        <w:tc>
          <w:tcPr>
            <w:tcW w:w="4253" w:type="dxa"/>
          </w:tcPr>
          <w:p w14:paraId="1F4017EC" w14:textId="4299742F" w:rsidR="00C5313E" w:rsidRPr="00BD77D8" w:rsidRDefault="00C5313E" w:rsidP="00433A9A">
            <w:pPr>
              <w:rPr>
                <w:rFonts w:ascii="Arial" w:hAnsi="Arial"/>
                <w:i/>
                <w:iCs/>
              </w:rPr>
            </w:pPr>
            <w:proofErr w:type="spellStart"/>
            <w:r w:rsidRPr="00BD77D8">
              <w:rPr>
                <w:rFonts w:ascii="Arial" w:hAnsi="Arial"/>
                <w:i/>
                <w:iCs/>
              </w:rPr>
              <w:t>Meriba</w:t>
            </w:r>
            <w:proofErr w:type="spellEnd"/>
            <w:r w:rsidRPr="00BD77D8">
              <w:rPr>
                <w:rFonts w:ascii="Arial" w:hAnsi="Arial"/>
                <w:i/>
                <w:iCs/>
              </w:rPr>
              <w:t xml:space="preserve"> </w:t>
            </w:r>
            <w:proofErr w:type="spellStart"/>
            <w:r w:rsidRPr="00BD77D8">
              <w:rPr>
                <w:rFonts w:ascii="Arial" w:hAnsi="Arial"/>
                <w:i/>
                <w:iCs/>
              </w:rPr>
              <w:t>Omasker</w:t>
            </w:r>
            <w:proofErr w:type="spellEnd"/>
            <w:r w:rsidRPr="00BD77D8">
              <w:rPr>
                <w:rFonts w:ascii="Arial" w:hAnsi="Arial"/>
                <w:i/>
                <w:iCs/>
              </w:rPr>
              <w:t xml:space="preserve"> </w:t>
            </w:r>
            <w:proofErr w:type="spellStart"/>
            <w:r w:rsidRPr="00BD77D8">
              <w:rPr>
                <w:rFonts w:ascii="Arial" w:hAnsi="Arial"/>
                <w:i/>
                <w:iCs/>
              </w:rPr>
              <w:t>Kaziw</w:t>
            </w:r>
            <w:proofErr w:type="spellEnd"/>
            <w:r w:rsidRPr="00BD77D8">
              <w:rPr>
                <w:rFonts w:ascii="Arial" w:hAnsi="Arial"/>
                <w:i/>
                <w:iCs/>
              </w:rPr>
              <w:t xml:space="preserve"> </w:t>
            </w:r>
            <w:proofErr w:type="spellStart"/>
            <w:r w:rsidRPr="00BD77D8">
              <w:rPr>
                <w:rFonts w:ascii="Arial" w:hAnsi="Arial"/>
                <w:i/>
                <w:iCs/>
              </w:rPr>
              <w:t>Kazipa</w:t>
            </w:r>
            <w:proofErr w:type="spellEnd"/>
            <w:r w:rsidRPr="00BD77D8">
              <w:rPr>
                <w:rFonts w:ascii="Arial" w:hAnsi="Arial"/>
                <w:i/>
                <w:iCs/>
              </w:rPr>
              <w:t xml:space="preserve"> (Torres Strait Islander Traditional Child Rearing Practice) Act 2020 </w:t>
            </w:r>
          </w:p>
        </w:tc>
        <w:tc>
          <w:tcPr>
            <w:tcW w:w="6095" w:type="dxa"/>
          </w:tcPr>
          <w:p w14:paraId="577837D6" w14:textId="77777777" w:rsidR="00DF7B87" w:rsidRPr="00BD77D8" w:rsidRDefault="00DF7B87" w:rsidP="00B47173">
            <w:pPr>
              <w:spacing w:after="120" w:line="240" w:lineRule="auto"/>
              <w:ind w:left="119"/>
              <w:rPr>
                <w:rFonts w:ascii="Arial" w:hAnsi="Arial"/>
              </w:rPr>
            </w:pPr>
            <w:r w:rsidRPr="00BD77D8">
              <w:rPr>
                <w:rFonts w:ascii="Arial" w:hAnsi="Arial"/>
              </w:rPr>
              <w:t>The purpose of this Act is to—</w:t>
            </w:r>
          </w:p>
          <w:p w14:paraId="30CFBC3D" w14:textId="77777777" w:rsidR="00DC3100" w:rsidRPr="00BD77D8" w:rsidRDefault="00DF7B87" w:rsidP="007625C3">
            <w:pPr>
              <w:pStyle w:val="ListParagraph"/>
              <w:numPr>
                <w:ilvl w:val="0"/>
                <w:numId w:val="14"/>
              </w:numPr>
              <w:rPr>
                <w:rFonts w:ascii="Arial" w:hAnsi="Arial"/>
              </w:rPr>
            </w:pPr>
            <w:r w:rsidRPr="00BD77D8">
              <w:rPr>
                <w:rFonts w:ascii="Arial" w:hAnsi="Arial"/>
              </w:rPr>
              <w:t xml:space="preserve">recognise </w:t>
            </w:r>
            <w:proofErr w:type="spellStart"/>
            <w:r w:rsidRPr="00BD77D8">
              <w:rPr>
                <w:rFonts w:ascii="Arial" w:hAnsi="Arial"/>
              </w:rPr>
              <w:t>Ailan</w:t>
            </w:r>
            <w:proofErr w:type="spellEnd"/>
            <w:r w:rsidRPr="00BD77D8">
              <w:rPr>
                <w:rFonts w:ascii="Arial" w:hAnsi="Arial"/>
              </w:rPr>
              <w:t xml:space="preserve"> </w:t>
            </w:r>
            <w:proofErr w:type="spellStart"/>
            <w:r w:rsidRPr="00BD77D8">
              <w:rPr>
                <w:rFonts w:ascii="Arial" w:hAnsi="Arial"/>
              </w:rPr>
              <w:t>Kastom</w:t>
            </w:r>
            <w:proofErr w:type="spellEnd"/>
            <w:r w:rsidRPr="00BD77D8">
              <w:rPr>
                <w:rFonts w:ascii="Arial" w:hAnsi="Arial"/>
              </w:rPr>
              <w:t xml:space="preserve"> child rearing practice; and</w:t>
            </w:r>
          </w:p>
          <w:p w14:paraId="78E27EA4" w14:textId="4D9E9091" w:rsidR="00C5313E" w:rsidRPr="00BD77D8" w:rsidRDefault="00DF7B87" w:rsidP="007625C3">
            <w:pPr>
              <w:pStyle w:val="ListParagraph"/>
              <w:numPr>
                <w:ilvl w:val="0"/>
                <w:numId w:val="14"/>
              </w:numPr>
              <w:rPr>
                <w:rFonts w:ascii="Arial" w:hAnsi="Arial"/>
              </w:rPr>
            </w:pPr>
            <w:r w:rsidRPr="00BD77D8">
              <w:rPr>
                <w:rFonts w:ascii="Arial" w:hAnsi="Arial"/>
              </w:rPr>
              <w:t>establish a process for making applications for, and decisions about, the legal recognition of the practice.</w:t>
            </w:r>
          </w:p>
        </w:tc>
      </w:tr>
      <w:tr w:rsidR="00BD77D8" w:rsidRPr="00BD77D8" w14:paraId="523C9B39" w14:textId="77777777" w:rsidTr="00F52C57">
        <w:trPr>
          <w:trHeight w:val="20"/>
        </w:trPr>
        <w:tc>
          <w:tcPr>
            <w:tcW w:w="4253" w:type="dxa"/>
          </w:tcPr>
          <w:p w14:paraId="22644542" w14:textId="211A6505" w:rsidR="009F71C3" w:rsidRPr="00BD77D8" w:rsidRDefault="009F71C3" w:rsidP="009F71C3">
            <w:pPr>
              <w:rPr>
                <w:i/>
                <w:iCs/>
              </w:rPr>
            </w:pPr>
            <w:r w:rsidRPr="00BD77D8">
              <w:rPr>
                <w:rFonts w:ascii="Arial" w:hAnsi="Arial"/>
                <w:i/>
                <w:iCs/>
              </w:rPr>
              <w:t>Torres Strait Islander Cultural Heritage Act 2003</w:t>
            </w:r>
          </w:p>
        </w:tc>
        <w:tc>
          <w:tcPr>
            <w:tcW w:w="6095" w:type="dxa"/>
          </w:tcPr>
          <w:p w14:paraId="7BC1BB55" w14:textId="0CA229C4" w:rsidR="009F71C3" w:rsidRPr="00BD77D8" w:rsidRDefault="009F71C3" w:rsidP="00A65D3B">
            <w:pPr>
              <w:ind w:left="121"/>
              <w:rPr>
                <w:rFonts w:ascii="Arial" w:hAnsi="Arial"/>
              </w:rPr>
            </w:pPr>
            <w:r w:rsidRPr="00BD77D8">
              <w:rPr>
                <w:rFonts w:ascii="Arial" w:hAnsi="Arial"/>
              </w:rPr>
              <w:t>The main purpose of this Act is to provide effective recognition, protection and conservation of Torres Strait Islander cultural heritage.</w:t>
            </w:r>
          </w:p>
        </w:tc>
      </w:tr>
      <w:tr w:rsidR="00BD77D8" w:rsidRPr="00BD77D8" w14:paraId="7EE7BF00" w14:textId="77777777" w:rsidTr="00F52C57">
        <w:trPr>
          <w:trHeight w:val="20"/>
        </w:trPr>
        <w:tc>
          <w:tcPr>
            <w:tcW w:w="4253" w:type="dxa"/>
          </w:tcPr>
          <w:p w14:paraId="1D5701B9" w14:textId="300B4926" w:rsidR="009F71C3" w:rsidRPr="00BD77D8" w:rsidRDefault="009F71C3" w:rsidP="009F71C3">
            <w:pPr>
              <w:rPr>
                <w:rFonts w:ascii="Arial" w:hAnsi="Arial"/>
                <w:i/>
                <w:iCs/>
              </w:rPr>
            </w:pPr>
            <w:r w:rsidRPr="00BD77D8">
              <w:rPr>
                <w:rFonts w:ascii="Arial" w:hAnsi="Arial"/>
                <w:i/>
                <w:iCs/>
              </w:rPr>
              <w:t>Carers (Recognition) Act 2008</w:t>
            </w:r>
          </w:p>
          <w:p w14:paraId="5CCCF8AF" w14:textId="77777777" w:rsidR="009F71C3" w:rsidRPr="00BD77D8" w:rsidRDefault="009F71C3" w:rsidP="009F71C3">
            <w:pPr>
              <w:rPr>
                <w:rFonts w:ascii="Arial" w:hAnsi="Arial"/>
                <w:i/>
                <w:iCs/>
              </w:rPr>
            </w:pPr>
          </w:p>
        </w:tc>
        <w:tc>
          <w:tcPr>
            <w:tcW w:w="6095" w:type="dxa"/>
          </w:tcPr>
          <w:p w14:paraId="1CA11BB6" w14:textId="77777777" w:rsidR="009F71C3" w:rsidRPr="00BD77D8" w:rsidRDefault="009F71C3" w:rsidP="00032A18">
            <w:pPr>
              <w:spacing w:after="120" w:line="240" w:lineRule="auto"/>
              <w:ind w:left="119"/>
              <w:rPr>
                <w:rFonts w:ascii="Arial" w:hAnsi="Arial"/>
              </w:rPr>
            </w:pPr>
            <w:r w:rsidRPr="00BD77D8">
              <w:rPr>
                <w:rFonts w:ascii="Arial" w:hAnsi="Arial"/>
              </w:rPr>
              <w:t>The objects of this Act are—</w:t>
            </w:r>
          </w:p>
          <w:p w14:paraId="6BB0CE83" w14:textId="4F40CFAF" w:rsidR="009F71C3" w:rsidRPr="00BD77D8" w:rsidRDefault="009F71C3" w:rsidP="007625C3">
            <w:pPr>
              <w:pStyle w:val="ListParagraph"/>
              <w:numPr>
                <w:ilvl w:val="0"/>
                <w:numId w:val="15"/>
              </w:numPr>
              <w:rPr>
                <w:rFonts w:ascii="Arial" w:hAnsi="Arial"/>
              </w:rPr>
            </w:pPr>
            <w:r w:rsidRPr="00BD77D8">
              <w:rPr>
                <w:rFonts w:ascii="Arial" w:hAnsi="Arial"/>
              </w:rPr>
              <w:t>to recognise the valuable contribution by carers to the people they care for; and</w:t>
            </w:r>
          </w:p>
          <w:p w14:paraId="78EF56AC" w14:textId="4696E9A2" w:rsidR="009F71C3" w:rsidRPr="00BD77D8" w:rsidRDefault="009F71C3" w:rsidP="007625C3">
            <w:pPr>
              <w:pStyle w:val="ListParagraph"/>
              <w:numPr>
                <w:ilvl w:val="0"/>
                <w:numId w:val="15"/>
              </w:numPr>
              <w:rPr>
                <w:rFonts w:ascii="Arial" w:hAnsi="Arial"/>
              </w:rPr>
            </w:pPr>
            <w:r w:rsidRPr="00BD77D8">
              <w:rPr>
                <w:rFonts w:ascii="Arial" w:hAnsi="Arial"/>
              </w:rPr>
              <w:lastRenderedPageBreak/>
              <w:t>to recognise the benefit, including the social and economic benefit, provided by carers to the community; and</w:t>
            </w:r>
          </w:p>
          <w:p w14:paraId="10DCF1A8" w14:textId="7BD3D873" w:rsidR="009F71C3" w:rsidRPr="00BD77D8" w:rsidRDefault="009F71C3" w:rsidP="007625C3">
            <w:pPr>
              <w:pStyle w:val="ListParagraph"/>
              <w:numPr>
                <w:ilvl w:val="0"/>
                <w:numId w:val="15"/>
              </w:numPr>
              <w:rPr>
                <w:rFonts w:ascii="Arial" w:hAnsi="Arial"/>
              </w:rPr>
            </w:pPr>
            <w:r w:rsidRPr="00BD77D8">
              <w:rPr>
                <w:rFonts w:ascii="Arial" w:hAnsi="Arial"/>
              </w:rPr>
              <w:t>to provide for the interests of carers to be considered in decisions about the provision of services that impact on the role of carers; and</w:t>
            </w:r>
          </w:p>
          <w:p w14:paraId="3E6D371A" w14:textId="7B976D18" w:rsidR="009F71C3" w:rsidRPr="00BD77D8" w:rsidRDefault="009F71C3" w:rsidP="007625C3">
            <w:pPr>
              <w:pStyle w:val="ListParagraph"/>
              <w:numPr>
                <w:ilvl w:val="0"/>
                <w:numId w:val="15"/>
              </w:numPr>
              <w:rPr>
                <w:rFonts w:ascii="Arial" w:hAnsi="Arial"/>
              </w:rPr>
            </w:pPr>
            <w:r w:rsidRPr="00BD77D8">
              <w:rPr>
                <w:rFonts w:ascii="Arial" w:hAnsi="Arial"/>
              </w:rPr>
              <w:t>to establish the Carers Advisory Council.</w:t>
            </w:r>
          </w:p>
        </w:tc>
      </w:tr>
      <w:tr w:rsidR="00BD77D8" w:rsidRPr="00BD77D8" w14:paraId="197ECC1D" w14:textId="77777777" w:rsidTr="00F52C57">
        <w:trPr>
          <w:trHeight w:val="20"/>
        </w:trPr>
        <w:tc>
          <w:tcPr>
            <w:tcW w:w="4253" w:type="dxa"/>
          </w:tcPr>
          <w:p w14:paraId="12608328" w14:textId="77777777" w:rsidR="009F71C3" w:rsidRPr="00BD77D8" w:rsidRDefault="009F71C3" w:rsidP="009F71C3">
            <w:pPr>
              <w:rPr>
                <w:rFonts w:ascii="Arial" w:hAnsi="Arial"/>
                <w:i/>
                <w:iCs/>
              </w:rPr>
            </w:pPr>
            <w:r w:rsidRPr="00BD77D8">
              <w:rPr>
                <w:rFonts w:ascii="Arial" w:hAnsi="Arial"/>
                <w:i/>
                <w:iCs/>
              </w:rPr>
              <w:lastRenderedPageBreak/>
              <w:t>Disability Services Act 2006</w:t>
            </w:r>
          </w:p>
          <w:p w14:paraId="0214CA5D" w14:textId="77777777" w:rsidR="009F71C3" w:rsidRPr="00BD77D8" w:rsidRDefault="009F71C3" w:rsidP="009F71C3">
            <w:pPr>
              <w:rPr>
                <w:rFonts w:ascii="Arial" w:hAnsi="Arial"/>
                <w:i/>
                <w:iCs/>
              </w:rPr>
            </w:pPr>
          </w:p>
        </w:tc>
        <w:tc>
          <w:tcPr>
            <w:tcW w:w="6095" w:type="dxa"/>
          </w:tcPr>
          <w:p w14:paraId="453C36A3" w14:textId="77777777" w:rsidR="009F71C3" w:rsidRPr="00BD77D8" w:rsidRDefault="009F71C3" w:rsidP="00032A18">
            <w:pPr>
              <w:spacing w:after="120" w:line="240" w:lineRule="auto"/>
              <w:ind w:left="119"/>
              <w:rPr>
                <w:rFonts w:ascii="Arial" w:hAnsi="Arial"/>
              </w:rPr>
            </w:pPr>
            <w:r w:rsidRPr="00BD77D8">
              <w:rPr>
                <w:rFonts w:ascii="Arial" w:hAnsi="Arial"/>
              </w:rPr>
              <w:t>The objects of this Act are—</w:t>
            </w:r>
          </w:p>
          <w:p w14:paraId="3208D59F" w14:textId="6308161D" w:rsidR="009F71C3" w:rsidRPr="00BD77D8" w:rsidRDefault="009F71C3" w:rsidP="007625C3">
            <w:pPr>
              <w:pStyle w:val="ListParagraph"/>
              <w:numPr>
                <w:ilvl w:val="0"/>
                <w:numId w:val="16"/>
              </w:numPr>
              <w:rPr>
                <w:rFonts w:ascii="Arial" w:hAnsi="Arial"/>
              </w:rPr>
            </w:pPr>
            <w:r w:rsidRPr="00BD77D8">
              <w:rPr>
                <w:rFonts w:ascii="Arial" w:hAnsi="Arial"/>
              </w:rPr>
              <w:t>to acknowledge the rights of people with disability including by promoting their inclusion in the life of the community generally; and</w:t>
            </w:r>
          </w:p>
          <w:p w14:paraId="17F7F667" w14:textId="0F5A946C" w:rsidR="009F71C3" w:rsidRPr="00BD77D8" w:rsidRDefault="009F71C3" w:rsidP="007625C3">
            <w:pPr>
              <w:pStyle w:val="ListParagraph"/>
              <w:numPr>
                <w:ilvl w:val="0"/>
                <w:numId w:val="16"/>
              </w:numPr>
              <w:rPr>
                <w:rFonts w:ascii="Arial" w:hAnsi="Arial"/>
              </w:rPr>
            </w:pPr>
            <w:r w:rsidRPr="00BD77D8">
              <w:rPr>
                <w:rFonts w:ascii="Arial" w:hAnsi="Arial"/>
              </w:rPr>
              <w:t>to ensure that disability services funded by the department are safe, accountable and respond to the needs of people with disability; and</w:t>
            </w:r>
          </w:p>
          <w:p w14:paraId="1EB48564" w14:textId="0DAC674B" w:rsidR="009F71C3" w:rsidRPr="00BD77D8" w:rsidRDefault="009F71C3" w:rsidP="007625C3">
            <w:pPr>
              <w:pStyle w:val="ListParagraph"/>
              <w:numPr>
                <w:ilvl w:val="0"/>
                <w:numId w:val="16"/>
              </w:numPr>
              <w:rPr>
                <w:rFonts w:ascii="Arial" w:hAnsi="Arial"/>
              </w:rPr>
            </w:pPr>
            <w:r w:rsidRPr="00BD77D8">
              <w:rPr>
                <w:rFonts w:ascii="Arial" w:hAnsi="Arial"/>
              </w:rPr>
              <w:t>to support the operation of the national disability insurance scheme in Queensland and ensure the quality and safety of NDIS supports or services in the context of the national regulatory framework; and</w:t>
            </w:r>
          </w:p>
          <w:p w14:paraId="0679D34B" w14:textId="77777777" w:rsidR="009F71C3" w:rsidRPr="00BD77D8" w:rsidRDefault="009F71C3" w:rsidP="007625C3">
            <w:pPr>
              <w:pStyle w:val="ListParagraph"/>
              <w:numPr>
                <w:ilvl w:val="0"/>
                <w:numId w:val="16"/>
              </w:numPr>
              <w:rPr>
                <w:rFonts w:ascii="Arial" w:hAnsi="Arial"/>
              </w:rPr>
            </w:pPr>
            <w:r w:rsidRPr="00BD77D8">
              <w:rPr>
                <w:rFonts w:ascii="Arial" w:hAnsi="Arial"/>
              </w:rPr>
              <w:t>to safeguard the rights of adults with an intellectual or cognitive disability including by regulating the use of restrictive practices by relevant service providers in relation to those adults—</w:t>
            </w:r>
          </w:p>
          <w:p w14:paraId="1FCCC088" w14:textId="77777777" w:rsidR="009F71C3" w:rsidRPr="00BD77D8" w:rsidRDefault="009F71C3" w:rsidP="007625C3">
            <w:pPr>
              <w:pStyle w:val="ListParagraph"/>
              <w:numPr>
                <w:ilvl w:val="0"/>
                <w:numId w:val="17"/>
              </w:numPr>
              <w:rPr>
                <w:rFonts w:ascii="Arial" w:hAnsi="Arial"/>
              </w:rPr>
            </w:pPr>
            <w:r w:rsidRPr="00BD77D8">
              <w:rPr>
                <w:rFonts w:ascii="Arial" w:hAnsi="Arial"/>
              </w:rPr>
              <w:t>only where it is necessary to protect a person from harm; and</w:t>
            </w:r>
          </w:p>
          <w:p w14:paraId="72A405C8" w14:textId="0D02F34E" w:rsidR="009F71C3" w:rsidRPr="00BD77D8" w:rsidRDefault="009F71C3" w:rsidP="007625C3">
            <w:pPr>
              <w:pStyle w:val="ListParagraph"/>
              <w:numPr>
                <w:ilvl w:val="0"/>
                <w:numId w:val="17"/>
              </w:numPr>
              <w:rPr>
                <w:rFonts w:ascii="Arial" w:hAnsi="Arial"/>
              </w:rPr>
            </w:pPr>
            <w:r w:rsidRPr="00BD77D8">
              <w:rPr>
                <w:rFonts w:ascii="Arial" w:hAnsi="Arial"/>
              </w:rPr>
              <w:t>with the aim of reducing or eliminating the need for use of the restrictive practices.</w:t>
            </w:r>
          </w:p>
        </w:tc>
      </w:tr>
      <w:tr w:rsidR="00BD77D8" w:rsidRPr="00BD77D8" w14:paraId="691B6593" w14:textId="77777777" w:rsidTr="00F52C57">
        <w:trPr>
          <w:trHeight w:val="20"/>
        </w:trPr>
        <w:tc>
          <w:tcPr>
            <w:tcW w:w="4253" w:type="dxa"/>
          </w:tcPr>
          <w:p w14:paraId="0F8B0F01" w14:textId="47D1A9FF" w:rsidR="009F71C3" w:rsidRPr="00BD77D8" w:rsidRDefault="009F71C3" w:rsidP="00433A9A">
            <w:pPr>
              <w:rPr>
                <w:rFonts w:ascii="Arial" w:hAnsi="Arial"/>
                <w:i/>
                <w:iCs/>
              </w:rPr>
            </w:pPr>
            <w:r w:rsidRPr="00BD77D8">
              <w:rPr>
                <w:rFonts w:ascii="Arial" w:hAnsi="Arial"/>
                <w:i/>
                <w:iCs/>
              </w:rPr>
              <w:t>Forensic Disability Act 2011</w:t>
            </w:r>
          </w:p>
        </w:tc>
        <w:tc>
          <w:tcPr>
            <w:tcW w:w="6095" w:type="dxa"/>
          </w:tcPr>
          <w:p w14:paraId="41477F04" w14:textId="77777777" w:rsidR="009F71C3" w:rsidRPr="00BD77D8" w:rsidRDefault="009F71C3" w:rsidP="00032A18">
            <w:pPr>
              <w:spacing w:after="120" w:line="240" w:lineRule="auto"/>
              <w:ind w:left="119"/>
              <w:rPr>
                <w:rFonts w:ascii="Arial" w:hAnsi="Arial"/>
              </w:rPr>
            </w:pPr>
            <w:r w:rsidRPr="00BD77D8">
              <w:rPr>
                <w:rFonts w:ascii="Arial" w:hAnsi="Arial"/>
              </w:rPr>
              <w:t>The purpose of this Act is to provide for the involuntary detention, and the care and support and protection, of forensic disability clients, while at the same time—</w:t>
            </w:r>
          </w:p>
          <w:p w14:paraId="6EE0A161" w14:textId="7EC45AB9" w:rsidR="009F71C3" w:rsidRPr="00BD77D8" w:rsidRDefault="009F71C3" w:rsidP="007625C3">
            <w:pPr>
              <w:pStyle w:val="ListParagraph"/>
              <w:numPr>
                <w:ilvl w:val="0"/>
                <w:numId w:val="18"/>
              </w:numPr>
              <w:rPr>
                <w:rFonts w:ascii="Arial" w:hAnsi="Arial"/>
              </w:rPr>
            </w:pPr>
            <w:r w:rsidRPr="00BD77D8">
              <w:rPr>
                <w:rFonts w:ascii="Arial" w:hAnsi="Arial"/>
              </w:rPr>
              <w:t>safeguarding their rights and freedoms; and</w:t>
            </w:r>
          </w:p>
          <w:p w14:paraId="3A9BF9C7" w14:textId="72449BF2" w:rsidR="009F71C3" w:rsidRPr="00BD77D8" w:rsidRDefault="009F71C3" w:rsidP="007625C3">
            <w:pPr>
              <w:pStyle w:val="ListParagraph"/>
              <w:numPr>
                <w:ilvl w:val="0"/>
                <w:numId w:val="18"/>
              </w:numPr>
              <w:rPr>
                <w:rFonts w:ascii="Arial" w:hAnsi="Arial"/>
              </w:rPr>
            </w:pPr>
            <w:r w:rsidRPr="00BD77D8">
              <w:rPr>
                <w:rFonts w:ascii="Arial" w:hAnsi="Arial"/>
              </w:rPr>
              <w:t>balancing their rights and freedoms with the rights and freedoms of other people; and</w:t>
            </w:r>
          </w:p>
          <w:p w14:paraId="0CCA24BB" w14:textId="36C74D9B" w:rsidR="009F71C3" w:rsidRPr="00BD77D8" w:rsidRDefault="009F71C3" w:rsidP="007625C3">
            <w:pPr>
              <w:pStyle w:val="ListParagraph"/>
              <w:numPr>
                <w:ilvl w:val="0"/>
                <w:numId w:val="18"/>
              </w:numPr>
              <w:rPr>
                <w:rFonts w:ascii="Arial" w:hAnsi="Arial"/>
              </w:rPr>
            </w:pPr>
            <w:r w:rsidRPr="00BD77D8">
              <w:rPr>
                <w:rFonts w:ascii="Arial" w:hAnsi="Arial"/>
              </w:rPr>
              <w:t>promoting their individual development and enhancing their opportunities for quality of life; and</w:t>
            </w:r>
          </w:p>
          <w:p w14:paraId="64CB5F7F" w14:textId="066E7AC0" w:rsidR="009F71C3" w:rsidRPr="00BD77D8" w:rsidRDefault="009F71C3" w:rsidP="007625C3">
            <w:pPr>
              <w:pStyle w:val="ListParagraph"/>
              <w:numPr>
                <w:ilvl w:val="0"/>
                <w:numId w:val="18"/>
              </w:numPr>
              <w:rPr>
                <w:rFonts w:ascii="Arial" w:hAnsi="Arial"/>
              </w:rPr>
            </w:pPr>
            <w:r w:rsidRPr="00BD77D8">
              <w:rPr>
                <w:rFonts w:ascii="Arial" w:hAnsi="Arial"/>
              </w:rPr>
              <w:t>maximising their opportunities for reintegration into the community.</w:t>
            </w:r>
          </w:p>
        </w:tc>
      </w:tr>
      <w:tr w:rsidR="00BD77D8" w:rsidRPr="00BD77D8" w14:paraId="4CD6034C" w14:textId="77777777" w:rsidTr="00F52C57">
        <w:trPr>
          <w:trHeight w:val="20"/>
        </w:trPr>
        <w:tc>
          <w:tcPr>
            <w:tcW w:w="4253" w:type="dxa"/>
          </w:tcPr>
          <w:p w14:paraId="28FE1FB4" w14:textId="5DC3CB6C" w:rsidR="009F71C3" w:rsidRPr="00BD77D8" w:rsidRDefault="009F71C3" w:rsidP="009F71C3">
            <w:pPr>
              <w:rPr>
                <w:rFonts w:ascii="Arial" w:hAnsi="Arial"/>
                <w:i/>
                <w:iCs/>
              </w:rPr>
            </w:pPr>
            <w:r w:rsidRPr="00BD77D8">
              <w:rPr>
                <w:rFonts w:ascii="Arial" w:hAnsi="Arial"/>
                <w:i/>
                <w:iCs/>
              </w:rPr>
              <w:t>Guide, Hearing and Assistance Dogs Act 2009</w:t>
            </w:r>
          </w:p>
        </w:tc>
        <w:tc>
          <w:tcPr>
            <w:tcW w:w="6095" w:type="dxa"/>
          </w:tcPr>
          <w:p w14:paraId="0DA7A3E3" w14:textId="75C20159" w:rsidR="009F71C3" w:rsidRPr="00BD77D8" w:rsidRDefault="009F71C3" w:rsidP="00032A18">
            <w:pPr>
              <w:spacing w:after="120" w:line="240" w:lineRule="auto"/>
              <w:ind w:left="119"/>
              <w:rPr>
                <w:rFonts w:ascii="Arial" w:hAnsi="Arial"/>
              </w:rPr>
            </w:pPr>
            <w:r w:rsidRPr="00BD77D8">
              <w:rPr>
                <w:rFonts w:ascii="Arial" w:hAnsi="Arial"/>
              </w:rPr>
              <w:t>The objects of this Act are—</w:t>
            </w:r>
          </w:p>
          <w:p w14:paraId="7346EE30" w14:textId="71573ACE" w:rsidR="009F71C3" w:rsidRPr="00BD77D8" w:rsidRDefault="009F71C3" w:rsidP="007625C3">
            <w:pPr>
              <w:pStyle w:val="ListParagraph"/>
              <w:numPr>
                <w:ilvl w:val="0"/>
                <w:numId w:val="19"/>
              </w:numPr>
              <w:rPr>
                <w:rFonts w:ascii="Arial" w:hAnsi="Arial"/>
              </w:rPr>
            </w:pPr>
            <w:r w:rsidRPr="00BD77D8">
              <w:rPr>
                <w:rFonts w:ascii="Arial" w:hAnsi="Arial"/>
              </w:rPr>
              <w:t>to assist people with a disability who rely on guide, hearing or assistance dogs to have independent access to the community; and</w:t>
            </w:r>
          </w:p>
          <w:p w14:paraId="381305E5" w14:textId="7775EE1C" w:rsidR="009F71C3" w:rsidRPr="00BD77D8" w:rsidRDefault="009F71C3" w:rsidP="007625C3">
            <w:pPr>
              <w:pStyle w:val="ListParagraph"/>
              <w:numPr>
                <w:ilvl w:val="0"/>
                <w:numId w:val="19"/>
              </w:numPr>
              <w:rPr>
                <w:rFonts w:ascii="Arial" w:hAnsi="Arial"/>
              </w:rPr>
            </w:pPr>
            <w:r w:rsidRPr="00BD77D8">
              <w:rPr>
                <w:rFonts w:ascii="Arial" w:hAnsi="Arial"/>
              </w:rPr>
              <w:t>to ensure the quality and accountability of guide, hearing and assistance dog training services.</w:t>
            </w:r>
          </w:p>
        </w:tc>
      </w:tr>
    </w:tbl>
    <w:p w14:paraId="05CA42C3" w14:textId="77777777" w:rsidR="007B7F87" w:rsidRPr="00BD77D8" w:rsidRDefault="007B7F87">
      <w:pPr>
        <w:spacing w:after="0" w:line="240" w:lineRule="auto"/>
        <w:rPr>
          <w:rFonts w:eastAsia="Calibri"/>
          <w:bCs/>
          <w:iCs/>
          <w:sz w:val="32"/>
          <w:szCs w:val="32"/>
          <w:lang w:eastAsia="en-US"/>
        </w:rPr>
      </w:pPr>
      <w:bookmarkStart w:id="325" w:name="_Toc43444835"/>
      <w:bookmarkStart w:id="326" w:name="_Toc78287412"/>
      <w:bookmarkStart w:id="327" w:name="_Toc78355819"/>
      <w:r w:rsidRPr="00BD77D8">
        <w:br w:type="page"/>
      </w:r>
    </w:p>
    <w:p w14:paraId="7FF4E866" w14:textId="71084A3B" w:rsidR="00673C2C" w:rsidRPr="00BD77D8" w:rsidRDefault="00926340" w:rsidP="00497E44">
      <w:pPr>
        <w:pStyle w:val="Heading2"/>
        <w:rPr>
          <w:color w:val="auto"/>
        </w:rPr>
      </w:pPr>
      <w:bookmarkStart w:id="328" w:name="_Toc113544414"/>
      <w:r w:rsidRPr="00BD77D8">
        <w:rPr>
          <w:color w:val="auto"/>
        </w:rPr>
        <w:lastRenderedPageBreak/>
        <w:t xml:space="preserve">Appendix </w:t>
      </w:r>
      <w:r w:rsidR="00451BD6" w:rsidRPr="00BD77D8">
        <w:rPr>
          <w:color w:val="auto"/>
        </w:rPr>
        <w:t>3</w:t>
      </w:r>
      <w:r w:rsidR="00E434A2" w:rsidRPr="00BD77D8">
        <w:rPr>
          <w:color w:val="auto"/>
        </w:rPr>
        <w:t>—</w:t>
      </w:r>
      <w:r w:rsidR="004836C9" w:rsidRPr="00BD77D8">
        <w:rPr>
          <w:color w:val="auto"/>
        </w:rPr>
        <w:t>Department</w:t>
      </w:r>
      <w:r w:rsidRPr="00BD77D8">
        <w:rPr>
          <w:color w:val="auto"/>
        </w:rPr>
        <w:t xml:space="preserve"> boards and committees</w:t>
      </w:r>
      <w:bookmarkEnd w:id="325"/>
      <w:bookmarkEnd w:id="326"/>
      <w:bookmarkEnd w:id="327"/>
      <w:bookmarkEnd w:id="328"/>
      <w:r w:rsidR="00486D32" w:rsidRPr="00BD77D8">
        <w:rPr>
          <w:color w:val="auto"/>
        </w:rPr>
        <w:t xml:space="preserve"> </w:t>
      </w: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6293DF6E" w14:textId="77777777" w:rsidTr="00077BD8">
        <w:trPr>
          <w:trHeight w:val="20"/>
        </w:trPr>
        <w:tc>
          <w:tcPr>
            <w:tcW w:w="9928" w:type="dxa"/>
            <w:gridSpan w:val="2"/>
            <w:shd w:val="clear" w:color="auto" w:fill="F2F2F2" w:themeFill="background1" w:themeFillShade="F2"/>
          </w:tcPr>
          <w:p w14:paraId="2039C052" w14:textId="64C2B1E6" w:rsidR="00CB6DE3" w:rsidRPr="00BD77D8" w:rsidRDefault="00CB6DE3" w:rsidP="00837E9F">
            <w:pPr>
              <w:rPr>
                <w:rFonts w:ascii="Arial" w:hAnsi="Arial"/>
                <w:b/>
                <w:bCs/>
              </w:rPr>
            </w:pPr>
            <w:r w:rsidRPr="00BD77D8">
              <w:rPr>
                <w:rFonts w:ascii="Arial" w:hAnsi="Arial"/>
                <w:b/>
                <w:bCs/>
              </w:rPr>
              <w:t>Board of Management (B</w:t>
            </w:r>
            <w:r w:rsidR="00360ED2" w:rsidRPr="00BD77D8">
              <w:rPr>
                <w:rFonts w:ascii="Arial" w:hAnsi="Arial"/>
                <w:b/>
                <w:bCs/>
              </w:rPr>
              <w:t>oard</w:t>
            </w:r>
            <w:r w:rsidRPr="00BD77D8">
              <w:rPr>
                <w:rFonts w:ascii="Arial" w:hAnsi="Arial"/>
                <w:b/>
                <w:bCs/>
              </w:rPr>
              <w:t>)</w:t>
            </w:r>
          </w:p>
        </w:tc>
      </w:tr>
      <w:tr w:rsidR="00BD77D8" w:rsidRPr="00BD77D8" w14:paraId="7D7F4A4B" w14:textId="77777777" w:rsidTr="00077BD8">
        <w:trPr>
          <w:trHeight w:val="20"/>
        </w:trPr>
        <w:tc>
          <w:tcPr>
            <w:tcW w:w="2699" w:type="dxa"/>
            <w:shd w:val="clear" w:color="auto" w:fill="FFFFFF" w:themeFill="background1"/>
          </w:tcPr>
          <w:p w14:paraId="5DEF7067" w14:textId="77777777" w:rsidR="00CB6DE3" w:rsidRPr="00BD77D8" w:rsidRDefault="00CB6DE3" w:rsidP="00837E9F">
            <w:pPr>
              <w:rPr>
                <w:rFonts w:ascii="Arial" w:hAnsi="Arial"/>
              </w:rPr>
            </w:pPr>
            <w:r w:rsidRPr="00BD77D8">
              <w:rPr>
                <w:rFonts w:ascii="Arial" w:hAnsi="Arial"/>
              </w:rPr>
              <w:t>Purpose</w:t>
            </w:r>
          </w:p>
        </w:tc>
        <w:tc>
          <w:tcPr>
            <w:tcW w:w="7229" w:type="dxa"/>
            <w:shd w:val="clear" w:color="auto" w:fill="FFFFFF" w:themeFill="background1"/>
          </w:tcPr>
          <w:p w14:paraId="0517CF7B" w14:textId="12D8957B" w:rsidR="00CB6DE3" w:rsidRPr="00BD77D8" w:rsidRDefault="00485BCA" w:rsidP="00A65D3B">
            <w:pPr>
              <w:ind w:left="121"/>
              <w:rPr>
                <w:rFonts w:ascii="Arial" w:hAnsi="Arial"/>
              </w:rPr>
            </w:pPr>
            <w:r w:rsidRPr="00BD77D8">
              <w:rPr>
                <w:rFonts w:ascii="Arial" w:hAnsi="Arial"/>
              </w:rPr>
              <w:t>To shape the strategic direction of the department to ensure the delivery of the government’s priorities; to monitor performance against the department’s strategic objectives; and to ensure strategic partnerships are established and maintained.</w:t>
            </w:r>
          </w:p>
        </w:tc>
      </w:tr>
      <w:tr w:rsidR="00BD77D8" w:rsidRPr="00BD77D8" w14:paraId="4F4E1BDC" w14:textId="77777777" w:rsidTr="00392640">
        <w:trPr>
          <w:trHeight w:val="20"/>
        </w:trPr>
        <w:tc>
          <w:tcPr>
            <w:tcW w:w="2699" w:type="dxa"/>
          </w:tcPr>
          <w:p w14:paraId="4162B4FF" w14:textId="77777777" w:rsidR="00CB6DE3" w:rsidRPr="00BD77D8" w:rsidRDefault="00CB6DE3" w:rsidP="00837E9F">
            <w:pPr>
              <w:rPr>
                <w:rFonts w:ascii="Arial" w:hAnsi="Arial"/>
              </w:rPr>
            </w:pPr>
            <w:r w:rsidRPr="00BD77D8">
              <w:rPr>
                <w:rFonts w:ascii="Arial" w:hAnsi="Arial"/>
              </w:rPr>
              <w:t>Membership</w:t>
            </w:r>
          </w:p>
        </w:tc>
        <w:tc>
          <w:tcPr>
            <w:tcW w:w="7229" w:type="dxa"/>
          </w:tcPr>
          <w:p w14:paraId="48F3D601" w14:textId="5D75917B" w:rsidR="00485BCA" w:rsidRPr="00BD77D8" w:rsidRDefault="00485BCA" w:rsidP="00E1778E">
            <w:pPr>
              <w:pStyle w:val="ListBullet"/>
              <w:ind w:hanging="221"/>
              <w:rPr>
                <w:rFonts w:ascii="Arial" w:hAnsi="Arial"/>
              </w:rPr>
            </w:pPr>
            <w:r w:rsidRPr="00BD77D8">
              <w:rPr>
                <w:rFonts w:ascii="Arial" w:hAnsi="Arial"/>
              </w:rPr>
              <w:t>Director-General (Chair)</w:t>
            </w:r>
          </w:p>
          <w:p w14:paraId="7DE31F21" w14:textId="77777777" w:rsidR="004D57FC" w:rsidRPr="00BD77D8" w:rsidRDefault="004D57FC" w:rsidP="00E1778E">
            <w:pPr>
              <w:pStyle w:val="ListBullet"/>
              <w:ind w:hanging="221"/>
              <w:rPr>
                <w:rFonts w:ascii="Arial" w:hAnsi="Arial"/>
              </w:rPr>
            </w:pPr>
            <w:r w:rsidRPr="00BD77D8">
              <w:rPr>
                <w:rFonts w:ascii="Arial" w:hAnsi="Arial"/>
              </w:rPr>
              <w:t>Deputy Director-General, Corporate Services</w:t>
            </w:r>
          </w:p>
          <w:p w14:paraId="0D2E2921" w14:textId="77777777" w:rsidR="004D57FC" w:rsidRPr="00BD77D8" w:rsidRDefault="004D57FC" w:rsidP="00E1778E">
            <w:pPr>
              <w:pStyle w:val="ListBullet"/>
              <w:ind w:hanging="221"/>
              <w:rPr>
                <w:rFonts w:ascii="Arial" w:hAnsi="Arial"/>
              </w:rPr>
            </w:pPr>
            <w:r w:rsidRPr="00BD77D8">
              <w:rPr>
                <w:rFonts w:ascii="Arial" w:hAnsi="Arial"/>
              </w:rPr>
              <w:t>Deputy Director-General, Culture and Economic Policy</w:t>
            </w:r>
          </w:p>
          <w:p w14:paraId="3EEC9F72" w14:textId="77777777" w:rsidR="004D57FC" w:rsidRPr="00BD77D8" w:rsidRDefault="004D57FC" w:rsidP="00E1778E">
            <w:pPr>
              <w:pStyle w:val="ListBullet"/>
              <w:ind w:hanging="221"/>
              <w:rPr>
                <w:rFonts w:ascii="Arial" w:hAnsi="Arial"/>
              </w:rPr>
            </w:pPr>
            <w:r w:rsidRPr="00BD77D8">
              <w:rPr>
                <w:rFonts w:ascii="Arial" w:hAnsi="Arial"/>
              </w:rPr>
              <w:t>Deputy Director-General, Strategic Policy, Legislation and Program Reform</w:t>
            </w:r>
          </w:p>
          <w:p w14:paraId="16ADA4B2" w14:textId="3116985B" w:rsidR="004D57FC" w:rsidRPr="00BD77D8" w:rsidRDefault="001217C4" w:rsidP="00E1778E">
            <w:pPr>
              <w:pStyle w:val="ListBullet"/>
              <w:ind w:hanging="221"/>
              <w:rPr>
                <w:rFonts w:ascii="Arial" w:hAnsi="Arial"/>
              </w:rPr>
            </w:pPr>
            <w:r w:rsidRPr="00BD77D8">
              <w:rPr>
                <w:rFonts w:ascii="Arial" w:hAnsi="Arial"/>
              </w:rPr>
              <w:t>Deputy</w:t>
            </w:r>
            <w:r w:rsidR="004D57FC" w:rsidRPr="00BD77D8">
              <w:rPr>
                <w:rFonts w:ascii="Arial" w:hAnsi="Arial"/>
              </w:rPr>
              <w:t xml:space="preserve"> Director-General, Disability </w:t>
            </w:r>
            <w:r w:rsidR="00DB2EF1" w:rsidRPr="00BD77D8">
              <w:rPr>
                <w:rFonts w:ascii="Arial" w:hAnsi="Arial"/>
              </w:rPr>
              <w:t xml:space="preserve">and Seniors </w:t>
            </w:r>
            <w:r w:rsidR="004D57FC" w:rsidRPr="00BD77D8">
              <w:rPr>
                <w:rFonts w:ascii="Arial" w:hAnsi="Arial"/>
              </w:rPr>
              <w:t>Connect</w:t>
            </w:r>
          </w:p>
          <w:p w14:paraId="1E93F0B2" w14:textId="7301F170" w:rsidR="004D57FC" w:rsidRPr="00BD77D8" w:rsidRDefault="001217C4" w:rsidP="00E1778E">
            <w:pPr>
              <w:pStyle w:val="ListBullet"/>
              <w:ind w:hanging="221"/>
              <w:rPr>
                <w:rFonts w:ascii="Arial" w:hAnsi="Arial"/>
              </w:rPr>
            </w:pPr>
            <w:r w:rsidRPr="00BD77D8">
              <w:rPr>
                <w:rFonts w:ascii="Arial" w:hAnsi="Arial"/>
              </w:rPr>
              <w:t>Deputy</w:t>
            </w:r>
            <w:r w:rsidR="004D57FC" w:rsidRPr="00BD77D8">
              <w:rPr>
                <w:rFonts w:ascii="Arial" w:hAnsi="Arial"/>
              </w:rPr>
              <w:t xml:space="preserve"> Director-General, Disability Accommodation, Respite and Forensic Services</w:t>
            </w:r>
          </w:p>
          <w:p w14:paraId="2C85A0B3" w14:textId="77777777" w:rsidR="004D57FC" w:rsidRPr="00BD77D8" w:rsidRDefault="004D57FC" w:rsidP="00E1778E">
            <w:pPr>
              <w:pStyle w:val="ListBullet"/>
              <w:ind w:hanging="221"/>
              <w:rPr>
                <w:rFonts w:ascii="Arial" w:hAnsi="Arial"/>
              </w:rPr>
            </w:pPr>
            <w:r w:rsidRPr="00BD77D8">
              <w:rPr>
                <w:rFonts w:ascii="Arial" w:hAnsi="Arial"/>
              </w:rPr>
              <w:t>Chief Human Resource Officer</w:t>
            </w:r>
          </w:p>
          <w:p w14:paraId="1D72CA2C" w14:textId="77777777" w:rsidR="004D57FC" w:rsidRPr="00BD77D8" w:rsidRDefault="004D57FC" w:rsidP="00E1778E">
            <w:pPr>
              <w:pStyle w:val="ListBullet"/>
              <w:ind w:hanging="221"/>
              <w:rPr>
                <w:rFonts w:ascii="Arial" w:hAnsi="Arial"/>
              </w:rPr>
            </w:pPr>
            <w:r w:rsidRPr="00BD77D8">
              <w:rPr>
                <w:rFonts w:ascii="Arial" w:hAnsi="Arial"/>
              </w:rPr>
              <w:t>Chief Finance Officer</w:t>
            </w:r>
          </w:p>
          <w:p w14:paraId="1B20AB08" w14:textId="41CFA6FC" w:rsidR="00CB6DE3" w:rsidRPr="00BD77D8" w:rsidRDefault="004D57FC" w:rsidP="00E1778E">
            <w:pPr>
              <w:pStyle w:val="ListBullet"/>
              <w:ind w:hanging="221"/>
              <w:rPr>
                <w:rFonts w:ascii="Arial" w:hAnsi="Arial"/>
              </w:rPr>
            </w:pPr>
            <w:r w:rsidRPr="00BD77D8">
              <w:rPr>
                <w:rFonts w:ascii="Arial" w:hAnsi="Arial"/>
              </w:rPr>
              <w:t>Director, Office of the Director-General (non-voting member)</w:t>
            </w:r>
          </w:p>
        </w:tc>
      </w:tr>
      <w:tr w:rsidR="00BD77D8" w:rsidRPr="00BD77D8" w14:paraId="3FD1F554" w14:textId="77777777" w:rsidTr="00392640">
        <w:trPr>
          <w:trHeight w:val="20"/>
        </w:trPr>
        <w:tc>
          <w:tcPr>
            <w:tcW w:w="2699" w:type="dxa"/>
          </w:tcPr>
          <w:p w14:paraId="5CB23804" w14:textId="77777777" w:rsidR="00CB6DE3" w:rsidRPr="00BD77D8" w:rsidRDefault="00CB6DE3" w:rsidP="00837E9F">
            <w:pPr>
              <w:rPr>
                <w:rFonts w:ascii="Arial" w:hAnsi="Arial"/>
              </w:rPr>
            </w:pPr>
            <w:r w:rsidRPr="00BD77D8">
              <w:rPr>
                <w:rFonts w:ascii="Arial" w:hAnsi="Arial"/>
              </w:rPr>
              <w:t>Meeting frequency</w:t>
            </w:r>
          </w:p>
        </w:tc>
        <w:tc>
          <w:tcPr>
            <w:tcW w:w="7229" w:type="dxa"/>
          </w:tcPr>
          <w:p w14:paraId="29C68466" w14:textId="2D1733D9" w:rsidR="00CB6DE3" w:rsidRPr="00BD77D8" w:rsidRDefault="00753D82" w:rsidP="00A65D3B">
            <w:pPr>
              <w:ind w:left="121"/>
              <w:rPr>
                <w:rFonts w:ascii="Arial" w:hAnsi="Arial"/>
              </w:rPr>
            </w:pPr>
            <w:r w:rsidRPr="00BD77D8">
              <w:rPr>
                <w:rFonts w:ascii="Arial" w:hAnsi="Arial"/>
              </w:rPr>
              <w:t xml:space="preserve">The </w:t>
            </w:r>
            <w:r w:rsidR="002B6EB1" w:rsidRPr="00BD77D8">
              <w:rPr>
                <w:rFonts w:ascii="Arial" w:hAnsi="Arial"/>
              </w:rPr>
              <w:t>Board of Management</w:t>
            </w:r>
            <w:r w:rsidRPr="00BD77D8">
              <w:rPr>
                <w:rFonts w:ascii="Arial" w:hAnsi="Arial"/>
              </w:rPr>
              <w:t xml:space="preserve"> meets monthly. </w:t>
            </w:r>
          </w:p>
        </w:tc>
      </w:tr>
    </w:tbl>
    <w:p w14:paraId="4A1E9E47" w14:textId="77777777" w:rsidR="00DF4756" w:rsidRPr="00BD77D8" w:rsidRDefault="00DF4756" w:rsidP="00DF4756">
      <w:pPr>
        <w:spacing w:before="240"/>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38C9BD80" w14:textId="77777777" w:rsidTr="00077BD8">
        <w:trPr>
          <w:trHeight w:val="20"/>
        </w:trPr>
        <w:tc>
          <w:tcPr>
            <w:tcW w:w="9928" w:type="dxa"/>
            <w:gridSpan w:val="2"/>
            <w:shd w:val="clear" w:color="auto" w:fill="F2F2F2" w:themeFill="background1" w:themeFillShade="F2"/>
          </w:tcPr>
          <w:p w14:paraId="606FB6EE" w14:textId="77777777" w:rsidR="00F159BF" w:rsidRPr="00BD77D8" w:rsidRDefault="00F159BF" w:rsidP="008464EC">
            <w:pPr>
              <w:rPr>
                <w:rFonts w:ascii="Arial" w:hAnsi="Arial"/>
                <w:b/>
                <w:bCs/>
              </w:rPr>
            </w:pPr>
            <w:bookmarkStart w:id="329" w:name="_Hlk77946484"/>
            <w:r w:rsidRPr="00BD77D8">
              <w:rPr>
                <w:rFonts w:ascii="Arial" w:hAnsi="Arial"/>
                <w:b/>
                <w:bCs/>
              </w:rPr>
              <w:t xml:space="preserve">AS&amp;RS Senior Leadership Team Committee </w:t>
            </w:r>
          </w:p>
        </w:tc>
      </w:tr>
      <w:tr w:rsidR="00BD77D8" w:rsidRPr="00BD77D8" w14:paraId="079648B6" w14:textId="77777777" w:rsidTr="00077BD8">
        <w:trPr>
          <w:trHeight w:val="20"/>
        </w:trPr>
        <w:tc>
          <w:tcPr>
            <w:tcW w:w="2699" w:type="dxa"/>
            <w:shd w:val="clear" w:color="auto" w:fill="FFFFFF" w:themeFill="background1"/>
          </w:tcPr>
          <w:p w14:paraId="2E77A6B3" w14:textId="77777777" w:rsidR="00F159BF" w:rsidRPr="00BD77D8" w:rsidRDefault="00F159BF" w:rsidP="008464EC">
            <w:pPr>
              <w:rPr>
                <w:rFonts w:ascii="Arial" w:hAnsi="Arial"/>
              </w:rPr>
            </w:pPr>
            <w:r w:rsidRPr="00BD77D8">
              <w:rPr>
                <w:rFonts w:ascii="Arial" w:hAnsi="Arial"/>
              </w:rPr>
              <w:t>Purpose</w:t>
            </w:r>
          </w:p>
        </w:tc>
        <w:tc>
          <w:tcPr>
            <w:tcW w:w="7229" w:type="dxa"/>
            <w:shd w:val="clear" w:color="auto" w:fill="FFFFFF" w:themeFill="background1"/>
          </w:tcPr>
          <w:p w14:paraId="3F42FAA4" w14:textId="27EC97C9" w:rsidR="00F159BF" w:rsidRPr="00BD77D8" w:rsidRDefault="00F159BF" w:rsidP="00A65D3B">
            <w:pPr>
              <w:ind w:left="121"/>
              <w:rPr>
                <w:rFonts w:ascii="Arial" w:hAnsi="Arial"/>
              </w:rPr>
            </w:pPr>
            <w:r w:rsidRPr="00BD77D8">
              <w:rPr>
                <w:rFonts w:ascii="Arial" w:hAnsi="Arial"/>
              </w:rPr>
              <w:t>To set the strategic direction for Accommodation Support and Respite Services</w:t>
            </w:r>
            <w:r w:rsidR="00BF5F01" w:rsidRPr="00BD77D8">
              <w:rPr>
                <w:rFonts w:ascii="Arial" w:hAnsi="Arial"/>
              </w:rPr>
              <w:t xml:space="preserve"> (AS&amp;RS)</w:t>
            </w:r>
            <w:r w:rsidRPr="00BD77D8">
              <w:rPr>
                <w:rFonts w:ascii="Arial" w:hAnsi="Arial"/>
              </w:rPr>
              <w:t>; to monitor strategic and operational activities; and to respond strategically to emerging issues.</w:t>
            </w:r>
          </w:p>
        </w:tc>
      </w:tr>
      <w:tr w:rsidR="00BD77D8" w:rsidRPr="00BD77D8" w14:paraId="10A8A229" w14:textId="77777777" w:rsidTr="00392640">
        <w:trPr>
          <w:trHeight w:val="20"/>
        </w:trPr>
        <w:tc>
          <w:tcPr>
            <w:tcW w:w="2699" w:type="dxa"/>
          </w:tcPr>
          <w:p w14:paraId="098EA155" w14:textId="77777777" w:rsidR="00F159BF" w:rsidRPr="00BD77D8" w:rsidRDefault="00F159BF" w:rsidP="008464EC">
            <w:pPr>
              <w:rPr>
                <w:rFonts w:ascii="Arial" w:hAnsi="Arial"/>
              </w:rPr>
            </w:pPr>
            <w:r w:rsidRPr="00BD77D8">
              <w:rPr>
                <w:rFonts w:ascii="Arial" w:hAnsi="Arial"/>
              </w:rPr>
              <w:t>Membership</w:t>
            </w:r>
          </w:p>
        </w:tc>
        <w:tc>
          <w:tcPr>
            <w:tcW w:w="7229" w:type="dxa"/>
          </w:tcPr>
          <w:p w14:paraId="264A73D0" w14:textId="6A793DFF" w:rsidR="00F159BF" w:rsidRPr="00BD77D8" w:rsidRDefault="001217C4" w:rsidP="00E1778E">
            <w:pPr>
              <w:pStyle w:val="ListBullet"/>
              <w:ind w:hanging="221"/>
              <w:rPr>
                <w:rFonts w:ascii="Arial" w:hAnsi="Arial"/>
              </w:rPr>
            </w:pPr>
            <w:r w:rsidRPr="00BD77D8">
              <w:rPr>
                <w:rFonts w:ascii="Arial" w:hAnsi="Arial"/>
              </w:rPr>
              <w:t>Depu</w:t>
            </w:r>
            <w:r w:rsidR="00485617" w:rsidRPr="00BD77D8">
              <w:rPr>
                <w:rFonts w:ascii="Arial" w:hAnsi="Arial"/>
              </w:rPr>
              <w:t>t</w:t>
            </w:r>
            <w:r w:rsidRPr="00BD77D8">
              <w:rPr>
                <w:rFonts w:ascii="Arial" w:hAnsi="Arial"/>
              </w:rPr>
              <w:t>y</w:t>
            </w:r>
            <w:r w:rsidR="00F159BF" w:rsidRPr="00BD77D8">
              <w:rPr>
                <w:rFonts w:ascii="Arial" w:hAnsi="Arial"/>
              </w:rPr>
              <w:t xml:space="preserve"> Director-General, Disability Accommodation, Respite and Forensic Services (Chair)</w:t>
            </w:r>
          </w:p>
          <w:p w14:paraId="1149A777" w14:textId="77777777" w:rsidR="00F159BF" w:rsidRPr="00BD77D8" w:rsidRDefault="00F159BF" w:rsidP="00E1778E">
            <w:pPr>
              <w:pStyle w:val="ListBullet"/>
              <w:ind w:hanging="221"/>
              <w:rPr>
                <w:rFonts w:ascii="Arial" w:hAnsi="Arial"/>
              </w:rPr>
            </w:pPr>
            <w:r w:rsidRPr="00BD77D8">
              <w:rPr>
                <w:rFonts w:ascii="Arial" w:hAnsi="Arial"/>
              </w:rPr>
              <w:t>AS&amp;RS Directors</w:t>
            </w:r>
          </w:p>
          <w:p w14:paraId="51AA3CD9" w14:textId="09FCE255" w:rsidR="00F159BF" w:rsidRPr="00BD77D8" w:rsidRDefault="00F159BF" w:rsidP="00E1778E">
            <w:pPr>
              <w:pStyle w:val="ListBullet"/>
              <w:ind w:hanging="221"/>
              <w:rPr>
                <w:rFonts w:ascii="Arial" w:hAnsi="Arial"/>
              </w:rPr>
            </w:pPr>
            <w:r w:rsidRPr="00BD77D8">
              <w:rPr>
                <w:rFonts w:ascii="Arial" w:hAnsi="Arial"/>
              </w:rPr>
              <w:t>Managers</w:t>
            </w:r>
            <w:r w:rsidR="002B6EB1" w:rsidRPr="00BD77D8">
              <w:rPr>
                <w:rFonts w:ascii="Arial" w:hAnsi="Arial"/>
              </w:rPr>
              <w:t xml:space="preserve">, </w:t>
            </w:r>
            <w:r w:rsidRPr="00BD77D8">
              <w:rPr>
                <w:rFonts w:ascii="Arial" w:hAnsi="Arial"/>
              </w:rPr>
              <w:t xml:space="preserve">Service Area </w:t>
            </w:r>
            <w:r w:rsidR="00717304" w:rsidRPr="00BD77D8">
              <w:rPr>
                <w:rFonts w:ascii="Arial" w:hAnsi="Arial"/>
              </w:rPr>
              <w:t>and</w:t>
            </w:r>
            <w:r w:rsidRPr="00BD77D8">
              <w:rPr>
                <w:rFonts w:ascii="Arial" w:hAnsi="Arial"/>
              </w:rPr>
              <w:t xml:space="preserve"> Service Support (Afternoon Session)</w:t>
            </w:r>
          </w:p>
          <w:p w14:paraId="0AED28A7" w14:textId="16C94300" w:rsidR="00F159BF" w:rsidRPr="00BD77D8" w:rsidRDefault="00F159BF" w:rsidP="00E1778E">
            <w:pPr>
              <w:pStyle w:val="ListBullet"/>
              <w:ind w:hanging="221"/>
              <w:rPr>
                <w:rFonts w:ascii="Arial" w:hAnsi="Arial"/>
              </w:rPr>
            </w:pPr>
            <w:r w:rsidRPr="00BD77D8">
              <w:rPr>
                <w:rFonts w:ascii="Arial" w:hAnsi="Arial"/>
              </w:rPr>
              <w:t xml:space="preserve">Principal Executive Officer to </w:t>
            </w:r>
            <w:r w:rsidR="003016A7" w:rsidRPr="00BD77D8">
              <w:rPr>
                <w:rFonts w:ascii="Arial" w:hAnsi="Arial"/>
              </w:rPr>
              <w:t xml:space="preserve">the </w:t>
            </w:r>
            <w:r w:rsidR="00DB2EF1" w:rsidRPr="00BD77D8">
              <w:rPr>
                <w:rFonts w:ascii="Arial" w:hAnsi="Arial"/>
              </w:rPr>
              <w:t>Deputy</w:t>
            </w:r>
            <w:r w:rsidR="00717304" w:rsidRPr="00BD77D8">
              <w:rPr>
                <w:rFonts w:ascii="Arial" w:hAnsi="Arial"/>
              </w:rPr>
              <w:t xml:space="preserve"> </w:t>
            </w:r>
            <w:r w:rsidRPr="00BD77D8">
              <w:rPr>
                <w:rFonts w:ascii="Arial" w:hAnsi="Arial"/>
              </w:rPr>
              <w:t>D</w:t>
            </w:r>
            <w:r w:rsidR="00717304" w:rsidRPr="00BD77D8">
              <w:rPr>
                <w:rFonts w:ascii="Arial" w:hAnsi="Arial"/>
              </w:rPr>
              <w:t>irector-</w:t>
            </w:r>
            <w:r w:rsidRPr="00BD77D8">
              <w:rPr>
                <w:rFonts w:ascii="Arial" w:hAnsi="Arial"/>
              </w:rPr>
              <w:t>G</w:t>
            </w:r>
            <w:r w:rsidR="00717304" w:rsidRPr="00BD77D8">
              <w:rPr>
                <w:rFonts w:ascii="Arial" w:hAnsi="Arial"/>
              </w:rPr>
              <w:t>eneral</w:t>
            </w:r>
          </w:p>
          <w:p w14:paraId="38DCFB7C" w14:textId="686A62B7" w:rsidR="00F159BF" w:rsidRPr="00BD77D8" w:rsidRDefault="00F159BF" w:rsidP="00E1778E">
            <w:pPr>
              <w:pStyle w:val="ListBullet"/>
              <w:ind w:hanging="221"/>
              <w:rPr>
                <w:rFonts w:ascii="Arial" w:hAnsi="Arial"/>
              </w:rPr>
            </w:pPr>
            <w:r w:rsidRPr="00BD77D8">
              <w:rPr>
                <w:rFonts w:ascii="Arial" w:hAnsi="Arial"/>
              </w:rPr>
              <w:t>Manager, Business Services</w:t>
            </w:r>
          </w:p>
        </w:tc>
      </w:tr>
      <w:tr w:rsidR="00BD77D8" w:rsidRPr="00BD77D8" w14:paraId="264FFC59" w14:textId="77777777" w:rsidTr="00392640">
        <w:trPr>
          <w:trHeight w:val="20"/>
        </w:trPr>
        <w:tc>
          <w:tcPr>
            <w:tcW w:w="2699" w:type="dxa"/>
          </w:tcPr>
          <w:p w14:paraId="2FD3AEE0" w14:textId="77777777" w:rsidR="00F159BF" w:rsidRPr="00BD77D8" w:rsidRDefault="00F159BF" w:rsidP="008464EC">
            <w:pPr>
              <w:rPr>
                <w:rFonts w:ascii="Arial" w:hAnsi="Arial"/>
              </w:rPr>
            </w:pPr>
            <w:r w:rsidRPr="00BD77D8">
              <w:rPr>
                <w:rFonts w:ascii="Arial" w:hAnsi="Arial"/>
              </w:rPr>
              <w:t>Meeting frequency</w:t>
            </w:r>
          </w:p>
        </w:tc>
        <w:tc>
          <w:tcPr>
            <w:tcW w:w="7229" w:type="dxa"/>
          </w:tcPr>
          <w:p w14:paraId="37BE9B13" w14:textId="46FE83E8" w:rsidR="00F159BF" w:rsidRPr="00BD77D8" w:rsidRDefault="00F159BF" w:rsidP="00A65D3B">
            <w:pPr>
              <w:ind w:left="121"/>
              <w:rPr>
                <w:rFonts w:ascii="Arial" w:hAnsi="Arial"/>
              </w:rPr>
            </w:pPr>
            <w:r w:rsidRPr="00BD77D8">
              <w:rPr>
                <w:rFonts w:ascii="Arial" w:hAnsi="Arial"/>
              </w:rPr>
              <w:t xml:space="preserve">The AS&amp;RS Senior Leadership Team Committee meets monthly. </w:t>
            </w:r>
          </w:p>
        </w:tc>
      </w:tr>
      <w:bookmarkEnd w:id="329"/>
    </w:tbl>
    <w:p w14:paraId="6D75D825" w14:textId="77777777" w:rsidR="008464EC" w:rsidRPr="00BD77D8" w:rsidRDefault="008464EC">
      <w:pPr>
        <w:spacing w:after="0" w:line="240" w:lineRule="auto"/>
        <w:rPr>
          <w:rFonts w:eastAsia="Calibri"/>
          <w:lang w:eastAsia="en-US"/>
        </w:rPr>
      </w:pPr>
      <w:r w:rsidRPr="00BD77D8">
        <w:rPr>
          <w:rFonts w:eastAsia="Calibri"/>
          <w:lang w:eastAsia="en-US"/>
        </w:rPr>
        <w:br w:type="page"/>
      </w: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4"/>
        <w:gridCol w:w="7234"/>
      </w:tblGrid>
      <w:tr w:rsidR="00BD77D8" w:rsidRPr="00BD77D8" w14:paraId="6E1772A8" w14:textId="77777777" w:rsidTr="003B489D">
        <w:trPr>
          <w:trHeight w:val="20"/>
          <w:tblHeader/>
        </w:trPr>
        <w:tc>
          <w:tcPr>
            <w:tcW w:w="9928" w:type="dxa"/>
            <w:gridSpan w:val="2"/>
            <w:shd w:val="clear" w:color="auto" w:fill="F2F2F2" w:themeFill="background1" w:themeFillShade="F2"/>
          </w:tcPr>
          <w:p w14:paraId="1EDBB765" w14:textId="20AFA395" w:rsidR="00160940" w:rsidRPr="00BD77D8" w:rsidRDefault="00160940" w:rsidP="008464EC">
            <w:pPr>
              <w:rPr>
                <w:rFonts w:ascii="Arial" w:hAnsi="Arial"/>
                <w:b/>
                <w:bCs/>
              </w:rPr>
            </w:pPr>
            <w:bookmarkStart w:id="330" w:name="_Hlk111467960"/>
            <w:r w:rsidRPr="00BD77D8">
              <w:rPr>
                <w:rFonts w:ascii="Arial" w:hAnsi="Arial"/>
                <w:b/>
                <w:bCs/>
              </w:rPr>
              <w:lastRenderedPageBreak/>
              <w:t xml:space="preserve">Audit and Risk Committee </w:t>
            </w:r>
          </w:p>
        </w:tc>
      </w:tr>
      <w:tr w:rsidR="00BD77D8" w:rsidRPr="00BD77D8" w14:paraId="6CA2D131" w14:textId="77777777" w:rsidTr="00077BD8">
        <w:trPr>
          <w:trHeight w:val="20"/>
        </w:trPr>
        <w:tc>
          <w:tcPr>
            <w:tcW w:w="2694" w:type="dxa"/>
            <w:shd w:val="clear" w:color="auto" w:fill="FFFFFF" w:themeFill="background1"/>
          </w:tcPr>
          <w:p w14:paraId="1496967D" w14:textId="77777777" w:rsidR="00160940" w:rsidRPr="00BD77D8" w:rsidRDefault="00160940" w:rsidP="008464EC">
            <w:pPr>
              <w:rPr>
                <w:rFonts w:ascii="Arial" w:hAnsi="Arial"/>
              </w:rPr>
            </w:pPr>
            <w:r w:rsidRPr="00BD77D8">
              <w:rPr>
                <w:rFonts w:ascii="Arial" w:hAnsi="Arial"/>
              </w:rPr>
              <w:t>Purpose</w:t>
            </w:r>
          </w:p>
        </w:tc>
        <w:tc>
          <w:tcPr>
            <w:tcW w:w="7234" w:type="dxa"/>
            <w:shd w:val="clear" w:color="auto" w:fill="FFFFFF" w:themeFill="background1"/>
          </w:tcPr>
          <w:p w14:paraId="2C381F82" w14:textId="1BF00D7A" w:rsidR="00462488" w:rsidRPr="00BD77D8" w:rsidRDefault="00717304" w:rsidP="003016A7">
            <w:pPr>
              <w:spacing w:after="80"/>
              <w:ind w:left="119"/>
              <w:rPr>
                <w:rFonts w:ascii="Arial" w:hAnsi="Arial"/>
              </w:rPr>
            </w:pPr>
            <w:r w:rsidRPr="00BD77D8">
              <w:rPr>
                <w:rFonts w:ascii="Arial" w:hAnsi="Arial"/>
              </w:rPr>
              <w:t xml:space="preserve">To </w:t>
            </w:r>
            <w:r w:rsidR="00462488" w:rsidRPr="00BD77D8">
              <w:rPr>
                <w:rFonts w:ascii="Arial" w:hAnsi="Arial"/>
              </w:rPr>
              <w:t>provide independent assurance and assistance to the Director-General on</w:t>
            </w:r>
            <w:r w:rsidR="00414C31" w:rsidRPr="00BD77D8">
              <w:rPr>
                <w:rFonts w:ascii="Arial" w:hAnsi="Arial"/>
              </w:rPr>
              <w:t xml:space="preserve"> </w:t>
            </w:r>
            <w:r w:rsidR="00462488" w:rsidRPr="00BD77D8">
              <w:rPr>
                <w:rFonts w:ascii="Arial" w:hAnsi="Arial"/>
              </w:rPr>
              <w:t xml:space="preserve">the risk, control and compliance frameworks, </w:t>
            </w:r>
            <w:r w:rsidR="001B0E4A" w:rsidRPr="00BD77D8">
              <w:rPr>
                <w:rFonts w:ascii="Arial" w:hAnsi="Arial"/>
              </w:rPr>
              <w:t>and the</w:t>
            </w:r>
            <w:r w:rsidRPr="00BD77D8">
              <w:rPr>
                <w:rFonts w:ascii="Arial" w:hAnsi="Arial"/>
              </w:rPr>
              <w:t xml:space="preserve"> d</w:t>
            </w:r>
            <w:r w:rsidR="00462488" w:rsidRPr="00BD77D8">
              <w:rPr>
                <w:rFonts w:ascii="Arial" w:hAnsi="Arial"/>
              </w:rPr>
              <w:t xml:space="preserve">epartment’s external accountability responsibilities, and other matters relevant to the duties and responsibilities of the </w:t>
            </w:r>
            <w:r w:rsidRPr="00BD77D8">
              <w:rPr>
                <w:rFonts w:ascii="Arial" w:hAnsi="Arial"/>
              </w:rPr>
              <w:t>c</w:t>
            </w:r>
            <w:r w:rsidR="00462488" w:rsidRPr="00BD77D8">
              <w:rPr>
                <w:rFonts w:ascii="Arial" w:hAnsi="Arial"/>
              </w:rPr>
              <w:t>ommittee as set out below, and as prescribed in the</w:t>
            </w:r>
            <w:r w:rsidR="00414C31" w:rsidRPr="00BD77D8">
              <w:rPr>
                <w:rFonts w:ascii="Arial" w:hAnsi="Arial"/>
              </w:rPr>
              <w:t>:</w:t>
            </w:r>
          </w:p>
          <w:p w14:paraId="001D966C" w14:textId="4D4425BD" w:rsidR="00462488" w:rsidRPr="00BD77D8" w:rsidRDefault="00462488" w:rsidP="00A20A11">
            <w:pPr>
              <w:pStyle w:val="ListParagraph"/>
              <w:numPr>
                <w:ilvl w:val="0"/>
                <w:numId w:val="2"/>
              </w:numPr>
              <w:rPr>
                <w:rFonts w:ascii="Arial" w:hAnsi="Arial"/>
                <w:i/>
                <w:iCs/>
              </w:rPr>
            </w:pPr>
            <w:r w:rsidRPr="00BD77D8">
              <w:rPr>
                <w:rFonts w:ascii="Arial" w:hAnsi="Arial"/>
                <w:i/>
                <w:iCs/>
              </w:rPr>
              <w:t>Financial Accountability Act 2009</w:t>
            </w:r>
          </w:p>
          <w:p w14:paraId="0A2058B2" w14:textId="5C3DE7AB" w:rsidR="00462488" w:rsidRPr="00BD77D8" w:rsidRDefault="00462488" w:rsidP="00A20A11">
            <w:pPr>
              <w:pStyle w:val="ListParagraph"/>
              <w:numPr>
                <w:ilvl w:val="0"/>
                <w:numId w:val="2"/>
              </w:numPr>
              <w:rPr>
                <w:rFonts w:ascii="Arial" w:hAnsi="Arial"/>
              </w:rPr>
            </w:pPr>
            <w:r w:rsidRPr="00BD77D8">
              <w:rPr>
                <w:rFonts w:ascii="Arial" w:hAnsi="Arial"/>
                <w:i/>
                <w:iCs/>
              </w:rPr>
              <w:t>Financial Accountability Regulation 20</w:t>
            </w:r>
            <w:r w:rsidR="004F1104" w:rsidRPr="00BD77D8">
              <w:rPr>
                <w:rFonts w:ascii="Arial" w:hAnsi="Arial"/>
                <w:i/>
                <w:iCs/>
              </w:rPr>
              <w:t>1</w:t>
            </w:r>
            <w:r w:rsidRPr="00BD77D8">
              <w:rPr>
                <w:rFonts w:ascii="Arial" w:hAnsi="Arial"/>
                <w:i/>
                <w:iCs/>
              </w:rPr>
              <w:t>9</w:t>
            </w:r>
          </w:p>
          <w:p w14:paraId="270457A3" w14:textId="34FA0D4C" w:rsidR="00160940" w:rsidRPr="00BD77D8" w:rsidRDefault="00462488" w:rsidP="00A20A11">
            <w:pPr>
              <w:pStyle w:val="ListParagraph"/>
              <w:numPr>
                <w:ilvl w:val="0"/>
                <w:numId w:val="2"/>
              </w:numPr>
              <w:rPr>
                <w:rFonts w:ascii="Arial" w:hAnsi="Arial"/>
              </w:rPr>
            </w:pPr>
            <w:r w:rsidRPr="00BD77D8">
              <w:rPr>
                <w:rFonts w:ascii="Arial" w:hAnsi="Arial"/>
                <w:i/>
                <w:iCs/>
              </w:rPr>
              <w:t>Financial and Performance Management Standard 20</w:t>
            </w:r>
            <w:r w:rsidR="00485617" w:rsidRPr="00BD77D8">
              <w:rPr>
                <w:rFonts w:ascii="Arial" w:hAnsi="Arial"/>
                <w:i/>
                <w:iCs/>
              </w:rPr>
              <w:t>1</w:t>
            </w:r>
            <w:r w:rsidRPr="00BD77D8">
              <w:rPr>
                <w:rFonts w:ascii="Arial" w:hAnsi="Arial"/>
                <w:i/>
                <w:iCs/>
              </w:rPr>
              <w:t>9</w:t>
            </w:r>
          </w:p>
        </w:tc>
      </w:tr>
      <w:tr w:rsidR="00BD77D8" w:rsidRPr="00BD77D8" w14:paraId="75CD0D71" w14:textId="77777777" w:rsidTr="00A20A11">
        <w:trPr>
          <w:trHeight w:val="20"/>
        </w:trPr>
        <w:tc>
          <w:tcPr>
            <w:tcW w:w="2694" w:type="dxa"/>
          </w:tcPr>
          <w:p w14:paraId="652B4E8A" w14:textId="77777777" w:rsidR="00160940" w:rsidRPr="00BD77D8" w:rsidRDefault="00160940" w:rsidP="008464EC">
            <w:pPr>
              <w:rPr>
                <w:rFonts w:ascii="Arial" w:hAnsi="Arial"/>
              </w:rPr>
            </w:pPr>
            <w:r w:rsidRPr="00BD77D8">
              <w:rPr>
                <w:rFonts w:ascii="Arial" w:hAnsi="Arial"/>
              </w:rPr>
              <w:t>Membership</w:t>
            </w:r>
          </w:p>
        </w:tc>
        <w:tc>
          <w:tcPr>
            <w:tcW w:w="7234" w:type="dxa"/>
          </w:tcPr>
          <w:p w14:paraId="33913B84" w14:textId="15EB7573" w:rsidR="00B64A25" w:rsidRPr="00BD77D8" w:rsidRDefault="00A11BE8" w:rsidP="00E1778E">
            <w:pPr>
              <w:pStyle w:val="ListBullet"/>
              <w:ind w:hanging="221"/>
              <w:rPr>
                <w:rFonts w:ascii="Arial" w:hAnsi="Arial"/>
              </w:rPr>
            </w:pPr>
            <w:r w:rsidRPr="00BD77D8">
              <w:rPr>
                <w:rFonts w:ascii="Arial" w:hAnsi="Arial"/>
              </w:rPr>
              <w:t xml:space="preserve">Ms Susanne Ryan, </w:t>
            </w:r>
            <w:r w:rsidR="00B64A25" w:rsidRPr="00BD77D8">
              <w:rPr>
                <w:rFonts w:ascii="Arial" w:hAnsi="Arial"/>
              </w:rPr>
              <w:t>Chair, External Independent Member</w:t>
            </w:r>
          </w:p>
          <w:p w14:paraId="65A4F691" w14:textId="1942E904" w:rsidR="00B64A25" w:rsidRPr="00BD77D8" w:rsidRDefault="00A11BE8" w:rsidP="00E1778E">
            <w:pPr>
              <w:pStyle w:val="ListBullet"/>
              <w:ind w:hanging="221"/>
              <w:rPr>
                <w:rFonts w:ascii="Arial" w:hAnsi="Arial"/>
              </w:rPr>
            </w:pPr>
            <w:r w:rsidRPr="00BD77D8">
              <w:rPr>
                <w:rFonts w:ascii="Arial" w:hAnsi="Arial"/>
              </w:rPr>
              <w:t xml:space="preserve">Mr Richard Moore, </w:t>
            </w:r>
            <w:r w:rsidR="00B64A25" w:rsidRPr="00BD77D8">
              <w:rPr>
                <w:rFonts w:ascii="Arial" w:hAnsi="Arial"/>
              </w:rPr>
              <w:t>External Independent Member</w:t>
            </w:r>
          </w:p>
          <w:p w14:paraId="67A883BF" w14:textId="60088296" w:rsidR="00BE0F41" w:rsidRPr="00BD77D8" w:rsidRDefault="00FE4B19" w:rsidP="00E1778E">
            <w:pPr>
              <w:pStyle w:val="ListBullet"/>
              <w:ind w:hanging="221"/>
              <w:rPr>
                <w:rFonts w:ascii="Arial" w:hAnsi="Arial"/>
              </w:rPr>
            </w:pPr>
            <w:r w:rsidRPr="00BD77D8">
              <w:rPr>
                <w:rFonts w:ascii="Arial" w:hAnsi="Arial"/>
              </w:rPr>
              <w:t xml:space="preserve">Ms Kathy Parton, </w:t>
            </w:r>
            <w:r w:rsidR="00BE0F41" w:rsidRPr="00BD77D8">
              <w:rPr>
                <w:rFonts w:ascii="Arial" w:hAnsi="Arial"/>
              </w:rPr>
              <w:t>Deputy Director-General, Strategic Policy, Legislation and Program Reform</w:t>
            </w:r>
          </w:p>
          <w:p w14:paraId="46D32C40" w14:textId="5F424E3A" w:rsidR="00BE0F41" w:rsidRPr="00BD77D8" w:rsidRDefault="00FE4B19" w:rsidP="00E1778E">
            <w:pPr>
              <w:pStyle w:val="ListBullet"/>
              <w:ind w:hanging="221"/>
              <w:rPr>
                <w:rFonts w:ascii="Arial" w:hAnsi="Arial"/>
              </w:rPr>
            </w:pPr>
            <w:r w:rsidRPr="00BD77D8">
              <w:rPr>
                <w:rFonts w:ascii="Arial" w:hAnsi="Arial"/>
              </w:rPr>
              <w:t xml:space="preserve">Dr Ian Mackie, </w:t>
            </w:r>
            <w:r w:rsidR="00BE0F41" w:rsidRPr="00BD77D8">
              <w:rPr>
                <w:rFonts w:ascii="Arial" w:hAnsi="Arial"/>
              </w:rPr>
              <w:t>Deputy Director-General, Culture and Economic P</w:t>
            </w:r>
            <w:r w:rsidR="00A725D6" w:rsidRPr="00BD77D8">
              <w:rPr>
                <w:rFonts w:ascii="Arial" w:hAnsi="Arial"/>
              </w:rPr>
              <w:t>articipation</w:t>
            </w:r>
          </w:p>
          <w:p w14:paraId="2E556260" w14:textId="6B8918AF" w:rsidR="00BE0F41" w:rsidRPr="00BD77D8" w:rsidRDefault="00FE4B19" w:rsidP="00E1778E">
            <w:pPr>
              <w:pStyle w:val="ListBullet"/>
              <w:ind w:hanging="221"/>
              <w:rPr>
                <w:rFonts w:ascii="Arial" w:hAnsi="Arial"/>
              </w:rPr>
            </w:pPr>
            <w:r w:rsidRPr="00BD77D8">
              <w:rPr>
                <w:rFonts w:ascii="Arial" w:hAnsi="Arial"/>
              </w:rPr>
              <w:t xml:space="preserve">Mr Max Wise, </w:t>
            </w:r>
            <w:r w:rsidR="001217C4" w:rsidRPr="00BD77D8">
              <w:rPr>
                <w:rFonts w:ascii="Arial" w:hAnsi="Arial"/>
              </w:rPr>
              <w:t>Deputy</w:t>
            </w:r>
            <w:r w:rsidR="00BE0F41" w:rsidRPr="00BD77D8">
              <w:rPr>
                <w:rFonts w:ascii="Arial" w:hAnsi="Arial"/>
              </w:rPr>
              <w:t xml:space="preserve"> Director-General, Disability and Seniors Connect</w:t>
            </w:r>
          </w:p>
          <w:p w14:paraId="1101314D" w14:textId="12A6567D" w:rsidR="00160940" w:rsidRPr="00BD77D8" w:rsidRDefault="00BE0F41" w:rsidP="00E1778E">
            <w:pPr>
              <w:pStyle w:val="ListBullet"/>
              <w:ind w:hanging="221"/>
              <w:rPr>
                <w:rFonts w:ascii="Arial" w:hAnsi="Arial"/>
              </w:rPr>
            </w:pPr>
            <w:r w:rsidRPr="00BD77D8">
              <w:rPr>
                <w:rFonts w:ascii="Arial" w:hAnsi="Arial"/>
              </w:rPr>
              <w:t>Emerging Leader (internal)</w:t>
            </w:r>
            <w:r w:rsidR="00A725D6" w:rsidRPr="00BD77D8">
              <w:rPr>
                <w:rFonts w:ascii="Arial" w:hAnsi="Arial"/>
              </w:rPr>
              <w:t xml:space="preserve"> – currently vacant</w:t>
            </w:r>
          </w:p>
        </w:tc>
      </w:tr>
      <w:tr w:rsidR="00BD77D8" w:rsidRPr="00BD77D8" w14:paraId="750AE4C9" w14:textId="77777777" w:rsidTr="00A20A11">
        <w:trPr>
          <w:trHeight w:val="20"/>
        </w:trPr>
        <w:tc>
          <w:tcPr>
            <w:tcW w:w="2694" w:type="dxa"/>
          </w:tcPr>
          <w:p w14:paraId="79FF4448" w14:textId="0EFFBD06" w:rsidR="00FE4B19" w:rsidRPr="00BD77D8" w:rsidRDefault="00FE4B19" w:rsidP="008464EC">
            <w:pPr>
              <w:rPr>
                <w:rFonts w:ascii="Arial" w:hAnsi="Arial"/>
              </w:rPr>
            </w:pPr>
            <w:r w:rsidRPr="00BD77D8">
              <w:rPr>
                <w:rFonts w:ascii="Arial" w:hAnsi="Arial"/>
              </w:rPr>
              <w:t>Achievement</w:t>
            </w:r>
          </w:p>
        </w:tc>
        <w:tc>
          <w:tcPr>
            <w:tcW w:w="7234" w:type="dxa"/>
          </w:tcPr>
          <w:p w14:paraId="2AE7A287" w14:textId="77777777" w:rsidR="00A11BE8" w:rsidRPr="00BD77D8" w:rsidRDefault="00A11BE8" w:rsidP="003016A7">
            <w:pPr>
              <w:spacing w:after="120"/>
              <w:ind w:left="119" w:right="142"/>
              <w:rPr>
                <w:rFonts w:ascii="Arial" w:hAnsi="Arial"/>
              </w:rPr>
            </w:pPr>
            <w:r w:rsidRPr="00BD77D8">
              <w:rPr>
                <w:rFonts w:ascii="Arial" w:hAnsi="Arial"/>
              </w:rPr>
              <w:t xml:space="preserve">The Audit and Risk Committee operated in accordance with an agreed Work Plan to ensure responsibilities under the Charter were met. </w:t>
            </w:r>
          </w:p>
          <w:p w14:paraId="0530816C" w14:textId="3987D448" w:rsidR="00A11BE8" w:rsidRPr="00BD77D8" w:rsidRDefault="00A11BE8" w:rsidP="00A11BE8">
            <w:pPr>
              <w:spacing w:after="40"/>
              <w:ind w:left="119" w:right="142"/>
              <w:rPr>
                <w:rFonts w:ascii="Arial" w:hAnsi="Arial"/>
              </w:rPr>
            </w:pPr>
            <w:r w:rsidRPr="00BD77D8">
              <w:rPr>
                <w:rFonts w:ascii="Arial" w:hAnsi="Arial"/>
              </w:rPr>
              <w:t>Key achievements included:</w:t>
            </w:r>
          </w:p>
          <w:p w14:paraId="30E1C51B" w14:textId="6CEB8511" w:rsidR="00A11BE8" w:rsidRPr="00BD77D8" w:rsidRDefault="00A11BE8" w:rsidP="00A11BE8">
            <w:pPr>
              <w:pStyle w:val="ListBullet"/>
              <w:ind w:hanging="221"/>
              <w:rPr>
                <w:rFonts w:ascii="Arial" w:hAnsi="Arial"/>
              </w:rPr>
            </w:pPr>
            <w:r w:rsidRPr="00BD77D8">
              <w:rPr>
                <w:rFonts w:ascii="Arial" w:hAnsi="Arial"/>
              </w:rPr>
              <w:t>Endorsement of the departmental annual financial statements and Chief Finance Officer Assurance Statement for 2020-21.</w:t>
            </w:r>
          </w:p>
          <w:p w14:paraId="6053717A" w14:textId="5F8EA505" w:rsidR="00A11BE8" w:rsidRPr="00BD77D8" w:rsidRDefault="00A11BE8" w:rsidP="00A11BE8">
            <w:pPr>
              <w:pStyle w:val="ListBullet"/>
              <w:ind w:hanging="221"/>
              <w:rPr>
                <w:rFonts w:ascii="Arial" w:hAnsi="Arial"/>
              </w:rPr>
            </w:pPr>
            <w:r w:rsidRPr="00BD77D8">
              <w:rPr>
                <w:rFonts w:ascii="Arial" w:hAnsi="Arial"/>
              </w:rPr>
              <w:t>Monitoring of the project plan, internal controls and the Chief Finance Officer assurance statement preparation during 2021-22.</w:t>
            </w:r>
          </w:p>
          <w:p w14:paraId="7C3538E6" w14:textId="65C83EC3" w:rsidR="00A11BE8" w:rsidRPr="00BD77D8" w:rsidRDefault="00A11BE8" w:rsidP="00A11BE8">
            <w:pPr>
              <w:pStyle w:val="ListBullet"/>
              <w:ind w:hanging="221"/>
              <w:rPr>
                <w:rFonts w:ascii="Arial" w:hAnsi="Arial"/>
              </w:rPr>
            </w:pPr>
            <w:r w:rsidRPr="00BD77D8">
              <w:rPr>
                <w:rFonts w:ascii="Arial" w:hAnsi="Arial"/>
              </w:rPr>
              <w:t>Endorsement of key pieces of documentation such as the Audit and Risk Committee Charter, the Internal Audit Charter and the Strategic Internal Audit Plan.</w:t>
            </w:r>
          </w:p>
          <w:p w14:paraId="20D4B8C2" w14:textId="3C47C3CB" w:rsidR="00A11BE8" w:rsidRPr="00BD77D8" w:rsidRDefault="00A11BE8" w:rsidP="00A11BE8">
            <w:pPr>
              <w:pStyle w:val="ListBullet"/>
              <w:ind w:hanging="221"/>
              <w:rPr>
                <w:rFonts w:ascii="Arial" w:hAnsi="Arial"/>
              </w:rPr>
            </w:pPr>
            <w:r w:rsidRPr="00BD77D8">
              <w:rPr>
                <w:rFonts w:ascii="Arial" w:hAnsi="Arial"/>
              </w:rPr>
              <w:t>Discussion and feedback on the department’s Information Security IS18:2018 Annual Return.</w:t>
            </w:r>
          </w:p>
          <w:p w14:paraId="1BC09EDB" w14:textId="3342EE56" w:rsidR="00A11BE8" w:rsidRPr="00BD77D8" w:rsidRDefault="00A11BE8" w:rsidP="00A11BE8">
            <w:pPr>
              <w:pStyle w:val="ListBullet"/>
              <w:ind w:hanging="221"/>
              <w:rPr>
                <w:rFonts w:ascii="Arial" w:hAnsi="Arial"/>
              </w:rPr>
            </w:pPr>
            <w:r w:rsidRPr="00BD77D8">
              <w:rPr>
                <w:rFonts w:ascii="Arial" w:hAnsi="Arial"/>
              </w:rPr>
              <w:t xml:space="preserve">Overseeing the internal audit program in terms of deliverables, as well as the implementation of agreed audit recommendations by management. </w:t>
            </w:r>
          </w:p>
          <w:p w14:paraId="479AE9C3" w14:textId="48CAEF34" w:rsidR="00A11BE8" w:rsidRPr="00BD77D8" w:rsidRDefault="00A11BE8" w:rsidP="003016A7">
            <w:pPr>
              <w:pStyle w:val="ListBullet"/>
              <w:spacing w:after="80"/>
              <w:ind w:left="363" w:hanging="221"/>
              <w:rPr>
                <w:rFonts w:ascii="Arial" w:hAnsi="Arial"/>
              </w:rPr>
            </w:pPr>
            <w:r w:rsidRPr="00BD77D8">
              <w:rPr>
                <w:rFonts w:ascii="Arial" w:hAnsi="Arial"/>
              </w:rPr>
              <w:t>Overseeing key areas of compliance such as Business Continuity Management, fraud, risk management and ethical behaviour reporting.</w:t>
            </w:r>
          </w:p>
          <w:p w14:paraId="50EB7C43" w14:textId="1D06AC24" w:rsidR="00FE4B19" w:rsidRPr="00BD77D8" w:rsidRDefault="00A11BE8" w:rsidP="003016A7">
            <w:pPr>
              <w:ind w:left="121" w:right="139"/>
              <w:rPr>
                <w:rFonts w:ascii="Arial" w:hAnsi="Arial"/>
              </w:rPr>
            </w:pPr>
            <w:r w:rsidRPr="00BD77D8">
              <w:rPr>
                <w:rFonts w:ascii="Arial" w:hAnsi="Arial"/>
              </w:rPr>
              <w:t>A self-evaluation survey was completed during the year to evaluate the effectiveness and efficiency of committee performance, resulting in a strong satisfaction rate as well as some improvements to process.</w:t>
            </w:r>
          </w:p>
        </w:tc>
      </w:tr>
      <w:tr w:rsidR="00BD77D8" w:rsidRPr="00BD77D8" w14:paraId="3808BDF6" w14:textId="77777777" w:rsidTr="00A20A11">
        <w:trPr>
          <w:trHeight w:val="20"/>
        </w:trPr>
        <w:tc>
          <w:tcPr>
            <w:tcW w:w="2694" w:type="dxa"/>
          </w:tcPr>
          <w:p w14:paraId="53A7FD6B" w14:textId="62449521" w:rsidR="00FE4B19" w:rsidRPr="00BD77D8" w:rsidRDefault="00FE4B19" w:rsidP="008464EC">
            <w:pPr>
              <w:rPr>
                <w:rFonts w:ascii="Arial" w:hAnsi="Arial"/>
              </w:rPr>
            </w:pPr>
            <w:r w:rsidRPr="00BD77D8">
              <w:rPr>
                <w:rFonts w:ascii="Arial" w:hAnsi="Arial"/>
              </w:rPr>
              <w:t>Report on QAO audit recommendations</w:t>
            </w:r>
          </w:p>
        </w:tc>
        <w:tc>
          <w:tcPr>
            <w:tcW w:w="7234" w:type="dxa"/>
          </w:tcPr>
          <w:p w14:paraId="6EB1DA18" w14:textId="0FA43DFA" w:rsidR="00FE4B19" w:rsidRPr="00BD77D8" w:rsidRDefault="003B489D" w:rsidP="003B489D">
            <w:pPr>
              <w:ind w:left="121" w:right="139"/>
              <w:rPr>
                <w:rFonts w:ascii="Arial" w:hAnsi="Arial"/>
              </w:rPr>
            </w:pPr>
            <w:r w:rsidRPr="00BD77D8">
              <w:rPr>
                <w:rFonts w:ascii="Arial" w:hAnsi="Arial"/>
              </w:rPr>
              <w:t>Information was provided to the Audit and Risk Committee on a quarterly basis with respect to QAO reports published during the quarter, as well as highlighting of those recommendations within reports that were directed to all government agencies for consideration. There were no recommendations received through reports published during the financial year that were directed specifically to the department for actioning.</w:t>
            </w:r>
          </w:p>
        </w:tc>
      </w:tr>
      <w:tr w:rsidR="00BD77D8" w:rsidRPr="00BD77D8" w14:paraId="2B13996A" w14:textId="77777777" w:rsidTr="00A20A11">
        <w:trPr>
          <w:trHeight w:val="20"/>
        </w:trPr>
        <w:tc>
          <w:tcPr>
            <w:tcW w:w="2694" w:type="dxa"/>
          </w:tcPr>
          <w:p w14:paraId="3F6032EA" w14:textId="1389DE5D" w:rsidR="00FE4B19" w:rsidRPr="00BD77D8" w:rsidRDefault="00FE4B19" w:rsidP="008464EC">
            <w:pPr>
              <w:rPr>
                <w:rFonts w:ascii="Arial" w:hAnsi="Arial"/>
              </w:rPr>
            </w:pPr>
            <w:r w:rsidRPr="00BD77D8">
              <w:rPr>
                <w:rFonts w:ascii="Arial" w:hAnsi="Arial"/>
              </w:rPr>
              <w:t>Remuneration</w:t>
            </w:r>
          </w:p>
        </w:tc>
        <w:tc>
          <w:tcPr>
            <w:tcW w:w="7234" w:type="dxa"/>
          </w:tcPr>
          <w:p w14:paraId="75E47A28" w14:textId="77777777" w:rsidR="003B489D" w:rsidRPr="00BD77D8" w:rsidRDefault="003B489D" w:rsidP="003B489D">
            <w:pPr>
              <w:spacing w:after="40"/>
              <w:ind w:left="119" w:right="142"/>
              <w:rPr>
                <w:rFonts w:ascii="Arial" w:hAnsi="Arial"/>
              </w:rPr>
            </w:pPr>
            <w:r w:rsidRPr="00BD77D8">
              <w:rPr>
                <w:rFonts w:ascii="Arial" w:hAnsi="Arial"/>
              </w:rPr>
              <w:t>Chair, External Independent Member – $10,000 per annum</w:t>
            </w:r>
          </w:p>
          <w:p w14:paraId="688E02F0" w14:textId="592F4AE3" w:rsidR="00FE4B19" w:rsidRPr="00BD77D8" w:rsidRDefault="003B489D" w:rsidP="003B489D">
            <w:pPr>
              <w:spacing w:after="40"/>
              <w:ind w:left="119" w:right="142"/>
              <w:rPr>
                <w:rFonts w:ascii="Arial" w:hAnsi="Arial"/>
              </w:rPr>
            </w:pPr>
            <w:r w:rsidRPr="00BD77D8">
              <w:rPr>
                <w:rFonts w:ascii="Arial" w:hAnsi="Arial"/>
              </w:rPr>
              <w:t>External Independent Member – $5,000 per annum</w:t>
            </w:r>
          </w:p>
        </w:tc>
      </w:tr>
      <w:tr w:rsidR="00BD77D8" w:rsidRPr="00BD77D8" w14:paraId="0DCDB235" w14:textId="77777777" w:rsidTr="00A20A11">
        <w:trPr>
          <w:trHeight w:val="20"/>
        </w:trPr>
        <w:tc>
          <w:tcPr>
            <w:tcW w:w="2694" w:type="dxa"/>
          </w:tcPr>
          <w:p w14:paraId="7A5633F1" w14:textId="77777777" w:rsidR="00160940" w:rsidRPr="00BD77D8" w:rsidRDefault="00160940" w:rsidP="008464EC">
            <w:pPr>
              <w:rPr>
                <w:rFonts w:ascii="Arial" w:hAnsi="Arial"/>
              </w:rPr>
            </w:pPr>
            <w:r w:rsidRPr="00BD77D8">
              <w:rPr>
                <w:rFonts w:ascii="Arial" w:hAnsi="Arial"/>
              </w:rPr>
              <w:lastRenderedPageBreak/>
              <w:t>Meeting frequency</w:t>
            </w:r>
          </w:p>
        </w:tc>
        <w:tc>
          <w:tcPr>
            <w:tcW w:w="7234" w:type="dxa"/>
          </w:tcPr>
          <w:p w14:paraId="3E138478" w14:textId="637C47A0" w:rsidR="00160940" w:rsidRPr="00BD77D8" w:rsidRDefault="00753D82" w:rsidP="00A65D3B">
            <w:pPr>
              <w:ind w:left="121"/>
              <w:rPr>
                <w:rFonts w:ascii="Arial" w:hAnsi="Arial"/>
              </w:rPr>
            </w:pPr>
            <w:r w:rsidRPr="00BD77D8">
              <w:rPr>
                <w:rFonts w:ascii="Arial" w:hAnsi="Arial"/>
              </w:rPr>
              <w:t xml:space="preserve">The Audit and Risk Committee meets </w:t>
            </w:r>
            <w:r w:rsidR="00B64A25" w:rsidRPr="00BD77D8">
              <w:rPr>
                <w:rFonts w:ascii="Arial" w:hAnsi="Arial"/>
              </w:rPr>
              <w:t>quarterly each financial year</w:t>
            </w:r>
            <w:r w:rsidR="00B57E93" w:rsidRPr="00BD77D8">
              <w:rPr>
                <w:rFonts w:ascii="Arial" w:hAnsi="Arial"/>
              </w:rPr>
              <w:t xml:space="preserve"> with </w:t>
            </w:r>
            <w:r w:rsidR="00E67BC9" w:rsidRPr="00BD77D8">
              <w:rPr>
                <w:rFonts w:ascii="Arial" w:hAnsi="Arial"/>
              </w:rPr>
              <w:t xml:space="preserve">an </w:t>
            </w:r>
            <w:r w:rsidR="00B57E93" w:rsidRPr="00BD77D8">
              <w:rPr>
                <w:rFonts w:ascii="Arial" w:hAnsi="Arial"/>
              </w:rPr>
              <w:t>additional two extraordinary meetings for the purpose of financial statements and Information Security Management System (ISMS).</w:t>
            </w:r>
          </w:p>
        </w:tc>
      </w:tr>
      <w:bookmarkEnd w:id="330"/>
    </w:tbl>
    <w:p w14:paraId="7A80F440" w14:textId="1E6FC348" w:rsidR="00307C41" w:rsidRPr="00BD77D8" w:rsidRDefault="00307C41"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395B1D48" w14:textId="77777777" w:rsidTr="00F52C57">
        <w:trPr>
          <w:trHeight w:val="20"/>
          <w:tblHeader/>
        </w:trPr>
        <w:tc>
          <w:tcPr>
            <w:tcW w:w="9928" w:type="dxa"/>
            <w:gridSpan w:val="2"/>
            <w:shd w:val="clear" w:color="auto" w:fill="F2F2F2" w:themeFill="background1" w:themeFillShade="F2"/>
          </w:tcPr>
          <w:p w14:paraId="3B40A087" w14:textId="77777777" w:rsidR="00F159BF" w:rsidRPr="00BD77D8" w:rsidRDefault="00F159BF" w:rsidP="008464EC">
            <w:pPr>
              <w:rPr>
                <w:rFonts w:ascii="Arial" w:hAnsi="Arial"/>
                <w:b/>
                <w:bCs/>
              </w:rPr>
            </w:pPr>
            <w:bookmarkStart w:id="331" w:name="_Hlk77946072"/>
            <w:r w:rsidRPr="00BD77D8">
              <w:rPr>
                <w:rFonts w:ascii="Arial" w:hAnsi="Arial"/>
                <w:b/>
                <w:bCs/>
              </w:rPr>
              <w:t xml:space="preserve">Finance Committee </w:t>
            </w:r>
          </w:p>
        </w:tc>
      </w:tr>
      <w:tr w:rsidR="00BD77D8" w:rsidRPr="00BD77D8" w14:paraId="55A5244B" w14:textId="77777777" w:rsidTr="00077BD8">
        <w:trPr>
          <w:trHeight w:val="20"/>
        </w:trPr>
        <w:tc>
          <w:tcPr>
            <w:tcW w:w="2699" w:type="dxa"/>
            <w:shd w:val="clear" w:color="auto" w:fill="FFFFFF" w:themeFill="background1"/>
          </w:tcPr>
          <w:p w14:paraId="777F1C82" w14:textId="77777777" w:rsidR="00F159BF" w:rsidRPr="00BD77D8" w:rsidRDefault="00F159BF" w:rsidP="008464EC">
            <w:pPr>
              <w:rPr>
                <w:rFonts w:ascii="Arial" w:hAnsi="Arial"/>
              </w:rPr>
            </w:pPr>
            <w:r w:rsidRPr="00BD77D8">
              <w:rPr>
                <w:rFonts w:ascii="Arial" w:hAnsi="Arial"/>
              </w:rPr>
              <w:t>Purpose</w:t>
            </w:r>
          </w:p>
        </w:tc>
        <w:tc>
          <w:tcPr>
            <w:tcW w:w="7229" w:type="dxa"/>
            <w:shd w:val="clear" w:color="auto" w:fill="FFFFFF" w:themeFill="background1"/>
          </w:tcPr>
          <w:p w14:paraId="6275A0C2" w14:textId="77777777" w:rsidR="00F159BF" w:rsidRPr="00BD77D8" w:rsidRDefault="00F159BF" w:rsidP="00A65D3B">
            <w:pPr>
              <w:ind w:left="121"/>
              <w:rPr>
                <w:rFonts w:ascii="Arial" w:hAnsi="Arial"/>
              </w:rPr>
            </w:pPr>
            <w:r w:rsidRPr="00BD77D8">
              <w:rPr>
                <w:rFonts w:ascii="Arial" w:hAnsi="Arial"/>
              </w:rPr>
              <w:t>To provide expert financial and budget advice to enable the Director-General, as the Accountable Officer, to discharge the position’s legislated financial management responsibilities.</w:t>
            </w:r>
          </w:p>
        </w:tc>
      </w:tr>
      <w:tr w:rsidR="00BD77D8" w:rsidRPr="00BD77D8" w14:paraId="3DAB33D8" w14:textId="77777777" w:rsidTr="00392640">
        <w:trPr>
          <w:trHeight w:val="20"/>
        </w:trPr>
        <w:tc>
          <w:tcPr>
            <w:tcW w:w="2699" w:type="dxa"/>
          </w:tcPr>
          <w:p w14:paraId="0BF6627D" w14:textId="77777777" w:rsidR="00F159BF" w:rsidRPr="00BD77D8" w:rsidRDefault="00F159BF" w:rsidP="008464EC">
            <w:pPr>
              <w:rPr>
                <w:rFonts w:ascii="Arial" w:hAnsi="Arial"/>
              </w:rPr>
            </w:pPr>
            <w:r w:rsidRPr="00BD77D8">
              <w:rPr>
                <w:rFonts w:ascii="Arial" w:hAnsi="Arial"/>
              </w:rPr>
              <w:t>Membership</w:t>
            </w:r>
          </w:p>
        </w:tc>
        <w:tc>
          <w:tcPr>
            <w:tcW w:w="7229" w:type="dxa"/>
          </w:tcPr>
          <w:p w14:paraId="07B529E9" w14:textId="6A6B4BAA" w:rsidR="00F159BF" w:rsidRPr="00BD77D8" w:rsidRDefault="00F159BF" w:rsidP="00E1778E">
            <w:pPr>
              <w:pStyle w:val="ListBullet"/>
              <w:ind w:hanging="221"/>
              <w:rPr>
                <w:rFonts w:ascii="Arial" w:hAnsi="Arial"/>
              </w:rPr>
            </w:pPr>
            <w:r w:rsidRPr="00BD77D8">
              <w:rPr>
                <w:rFonts w:ascii="Arial" w:hAnsi="Arial"/>
              </w:rPr>
              <w:t>Director-General (Chair)</w:t>
            </w:r>
          </w:p>
          <w:p w14:paraId="49B16329" w14:textId="77777777" w:rsidR="00BE0F41" w:rsidRPr="00BD77D8" w:rsidRDefault="00BE0F41" w:rsidP="00E1778E">
            <w:pPr>
              <w:pStyle w:val="ListBullet"/>
              <w:ind w:hanging="221"/>
              <w:rPr>
                <w:rFonts w:ascii="Arial" w:hAnsi="Arial"/>
              </w:rPr>
            </w:pPr>
            <w:r w:rsidRPr="00BD77D8">
              <w:rPr>
                <w:rFonts w:ascii="Arial" w:hAnsi="Arial"/>
              </w:rPr>
              <w:t>Deputy Director-General, Corporate Services</w:t>
            </w:r>
          </w:p>
          <w:p w14:paraId="353603F9" w14:textId="77777777" w:rsidR="00BE0F41" w:rsidRPr="00BD77D8" w:rsidRDefault="00BE0F41" w:rsidP="00E1778E">
            <w:pPr>
              <w:pStyle w:val="ListBullet"/>
              <w:ind w:hanging="221"/>
              <w:rPr>
                <w:rFonts w:ascii="Arial" w:hAnsi="Arial"/>
              </w:rPr>
            </w:pPr>
            <w:r w:rsidRPr="00BD77D8">
              <w:rPr>
                <w:rFonts w:ascii="Arial" w:hAnsi="Arial"/>
              </w:rPr>
              <w:t>Deputy Director-General, Strategic Policy, Legislation and Program Reform</w:t>
            </w:r>
          </w:p>
          <w:p w14:paraId="74432665" w14:textId="77777777" w:rsidR="00BE0F41" w:rsidRPr="00BD77D8" w:rsidRDefault="00BE0F41" w:rsidP="00E1778E">
            <w:pPr>
              <w:pStyle w:val="ListBullet"/>
              <w:ind w:hanging="221"/>
              <w:rPr>
                <w:rFonts w:ascii="Arial" w:hAnsi="Arial"/>
              </w:rPr>
            </w:pPr>
            <w:r w:rsidRPr="00BD77D8">
              <w:rPr>
                <w:rFonts w:ascii="Arial" w:hAnsi="Arial"/>
              </w:rPr>
              <w:t>Deputy Director-General, Culture and Economic Participation</w:t>
            </w:r>
          </w:p>
          <w:p w14:paraId="51BDB3C7" w14:textId="3FD66775" w:rsidR="00DB2EF1" w:rsidRPr="00BD77D8" w:rsidRDefault="001217C4" w:rsidP="00E1778E">
            <w:pPr>
              <w:pStyle w:val="ListBullet"/>
              <w:ind w:hanging="221"/>
              <w:rPr>
                <w:rFonts w:ascii="Arial" w:hAnsi="Arial"/>
              </w:rPr>
            </w:pPr>
            <w:r w:rsidRPr="00BD77D8">
              <w:rPr>
                <w:rFonts w:ascii="Arial" w:hAnsi="Arial"/>
              </w:rPr>
              <w:t>Deputy</w:t>
            </w:r>
            <w:r w:rsidR="00BE0F41" w:rsidRPr="00BD77D8">
              <w:rPr>
                <w:rFonts w:ascii="Arial" w:hAnsi="Arial"/>
              </w:rPr>
              <w:t xml:space="preserve"> Director-General, Disability </w:t>
            </w:r>
            <w:r w:rsidR="00DB2EF1" w:rsidRPr="00BD77D8">
              <w:rPr>
                <w:rFonts w:ascii="Arial" w:hAnsi="Arial"/>
              </w:rPr>
              <w:t xml:space="preserve">and Seniors </w:t>
            </w:r>
            <w:r w:rsidR="00BE0F41" w:rsidRPr="00BD77D8">
              <w:rPr>
                <w:rFonts w:ascii="Arial" w:hAnsi="Arial"/>
              </w:rPr>
              <w:t xml:space="preserve">Connect </w:t>
            </w:r>
          </w:p>
          <w:p w14:paraId="54CD6EDF" w14:textId="46053B38" w:rsidR="00BE0F41" w:rsidRPr="00BD77D8" w:rsidRDefault="001217C4" w:rsidP="00E1778E">
            <w:pPr>
              <w:pStyle w:val="ListBullet"/>
              <w:ind w:hanging="221"/>
              <w:rPr>
                <w:rFonts w:ascii="Arial" w:hAnsi="Arial"/>
              </w:rPr>
            </w:pPr>
            <w:r w:rsidRPr="00BD77D8">
              <w:rPr>
                <w:rFonts w:ascii="Arial" w:hAnsi="Arial"/>
              </w:rPr>
              <w:t>Deputy</w:t>
            </w:r>
            <w:r w:rsidR="00BE0F41" w:rsidRPr="00BD77D8">
              <w:rPr>
                <w:rFonts w:ascii="Arial" w:hAnsi="Arial"/>
              </w:rPr>
              <w:t xml:space="preserve"> Director-General, Disability Accommodation, Respite and Forensic Services</w:t>
            </w:r>
          </w:p>
          <w:p w14:paraId="68234929" w14:textId="77777777" w:rsidR="00BE0F41" w:rsidRPr="00BD77D8" w:rsidRDefault="00BE0F41" w:rsidP="00E1778E">
            <w:pPr>
              <w:pStyle w:val="ListBullet"/>
              <w:ind w:hanging="221"/>
              <w:rPr>
                <w:rFonts w:ascii="Arial" w:hAnsi="Arial"/>
              </w:rPr>
            </w:pPr>
            <w:r w:rsidRPr="00BD77D8">
              <w:rPr>
                <w:rFonts w:ascii="Arial" w:hAnsi="Arial"/>
              </w:rPr>
              <w:t>Executive Director, Infrastructure and Coordination</w:t>
            </w:r>
          </w:p>
          <w:p w14:paraId="3142A315" w14:textId="2A4F4D48" w:rsidR="00BE0F41" w:rsidRPr="00BD77D8" w:rsidRDefault="00BE0F41" w:rsidP="00177A29">
            <w:pPr>
              <w:pStyle w:val="ListBullet"/>
              <w:spacing w:line="240" w:lineRule="auto"/>
              <w:ind w:left="357" w:hanging="221"/>
              <w:rPr>
                <w:rFonts w:ascii="Arial" w:hAnsi="Arial"/>
              </w:rPr>
            </w:pPr>
            <w:r w:rsidRPr="00BD77D8">
              <w:rPr>
                <w:rFonts w:ascii="Arial" w:hAnsi="Arial"/>
              </w:rPr>
              <w:t>Chief Human Resource Officer</w:t>
            </w:r>
          </w:p>
          <w:p w14:paraId="4741C441" w14:textId="4DED743F" w:rsidR="00F159BF" w:rsidRPr="00BD77D8" w:rsidRDefault="00F159BF" w:rsidP="003016A7">
            <w:pPr>
              <w:spacing w:after="40"/>
              <w:ind w:left="119"/>
              <w:rPr>
                <w:rFonts w:ascii="Arial" w:hAnsi="Arial"/>
              </w:rPr>
            </w:pPr>
            <w:r w:rsidRPr="00BD77D8">
              <w:rPr>
                <w:rFonts w:ascii="Arial" w:hAnsi="Arial"/>
              </w:rPr>
              <w:t>Positions Reporting to the Committee</w:t>
            </w:r>
            <w:r w:rsidR="003016A7" w:rsidRPr="00BD77D8">
              <w:rPr>
                <w:rFonts w:ascii="Arial" w:hAnsi="Arial"/>
              </w:rPr>
              <w:t>:</w:t>
            </w:r>
          </w:p>
          <w:p w14:paraId="4112C562" w14:textId="77777777" w:rsidR="00F159BF" w:rsidRPr="00BD77D8" w:rsidRDefault="00F159BF" w:rsidP="00E1778E">
            <w:pPr>
              <w:pStyle w:val="ListBullet"/>
              <w:ind w:hanging="221"/>
              <w:rPr>
                <w:rFonts w:ascii="Arial" w:hAnsi="Arial"/>
              </w:rPr>
            </w:pPr>
            <w:r w:rsidRPr="00BD77D8">
              <w:rPr>
                <w:rFonts w:ascii="Arial" w:hAnsi="Arial"/>
              </w:rPr>
              <w:t>Chief Finance Officer</w:t>
            </w:r>
          </w:p>
          <w:p w14:paraId="4023EF96" w14:textId="5D4C708B" w:rsidR="00F159BF" w:rsidRPr="00BD77D8" w:rsidRDefault="00F159BF" w:rsidP="00E1778E">
            <w:pPr>
              <w:pStyle w:val="ListBullet"/>
              <w:ind w:hanging="221"/>
              <w:rPr>
                <w:rFonts w:ascii="Arial" w:hAnsi="Arial"/>
              </w:rPr>
            </w:pPr>
            <w:r w:rsidRPr="00BD77D8">
              <w:rPr>
                <w:rFonts w:ascii="Arial" w:hAnsi="Arial"/>
              </w:rPr>
              <w:t>Director, Financial Management</w:t>
            </w:r>
          </w:p>
        </w:tc>
      </w:tr>
      <w:tr w:rsidR="00BD77D8" w:rsidRPr="00BD77D8" w14:paraId="7D2D8DD5" w14:textId="77777777" w:rsidTr="00392640">
        <w:trPr>
          <w:trHeight w:val="20"/>
        </w:trPr>
        <w:tc>
          <w:tcPr>
            <w:tcW w:w="2699" w:type="dxa"/>
          </w:tcPr>
          <w:p w14:paraId="0E9A435B" w14:textId="77777777" w:rsidR="00F159BF" w:rsidRPr="00BD77D8" w:rsidRDefault="00F159BF" w:rsidP="008464EC">
            <w:pPr>
              <w:rPr>
                <w:rFonts w:ascii="Arial" w:hAnsi="Arial"/>
              </w:rPr>
            </w:pPr>
            <w:r w:rsidRPr="00BD77D8">
              <w:rPr>
                <w:rFonts w:ascii="Arial" w:hAnsi="Arial"/>
              </w:rPr>
              <w:t>Meeting frequency</w:t>
            </w:r>
          </w:p>
        </w:tc>
        <w:tc>
          <w:tcPr>
            <w:tcW w:w="7229" w:type="dxa"/>
          </w:tcPr>
          <w:p w14:paraId="048854E5" w14:textId="6C4C7B1D" w:rsidR="00F159BF" w:rsidRPr="00BD77D8" w:rsidRDefault="00F159BF" w:rsidP="00A65D3B">
            <w:pPr>
              <w:ind w:left="121"/>
              <w:rPr>
                <w:rFonts w:ascii="Arial" w:hAnsi="Arial"/>
              </w:rPr>
            </w:pPr>
            <w:r w:rsidRPr="00BD77D8">
              <w:rPr>
                <w:rFonts w:ascii="Arial" w:hAnsi="Arial"/>
              </w:rPr>
              <w:t xml:space="preserve">The Finance Committee meets monthly. </w:t>
            </w:r>
          </w:p>
        </w:tc>
      </w:tr>
    </w:tbl>
    <w:p w14:paraId="7267230D" w14:textId="15F298E0" w:rsidR="008464EC" w:rsidRPr="00BD77D8" w:rsidRDefault="008464EC" w:rsidP="00DF4756">
      <w:pPr>
        <w:spacing w:before="240" w:after="0" w:line="240" w:lineRule="auto"/>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440AA4AB" w14:textId="77777777" w:rsidTr="00077BD8">
        <w:trPr>
          <w:trHeight w:val="20"/>
        </w:trPr>
        <w:tc>
          <w:tcPr>
            <w:tcW w:w="99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A730DE" w14:textId="77777777" w:rsidR="00F159BF" w:rsidRPr="00BD77D8" w:rsidRDefault="00F159BF" w:rsidP="008464EC">
            <w:pPr>
              <w:rPr>
                <w:rFonts w:ascii="Arial" w:hAnsi="Arial"/>
                <w:b/>
                <w:bCs/>
              </w:rPr>
            </w:pPr>
            <w:bookmarkStart w:id="332" w:name="_Hlk77946201"/>
            <w:bookmarkEnd w:id="331"/>
            <w:r w:rsidRPr="00BD77D8">
              <w:rPr>
                <w:rFonts w:ascii="Arial" w:hAnsi="Arial"/>
                <w:b/>
                <w:bCs/>
              </w:rPr>
              <w:t xml:space="preserve">Fraud and Corruption Control Sub-Committee </w:t>
            </w:r>
          </w:p>
        </w:tc>
      </w:tr>
      <w:tr w:rsidR="00BD77D8" w:rsidRPr="00BD77D8" w14:paraId="06F76810" w14:textId="77777777" w:rsidTr="00077BD8">
        <w:trPr>
          <w:trHeight w:val="20"/>
        </w:trPr>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675BFCCD" w14:textId="77777777" w:rsidR="00F159BF" w:rsidRPr="00BD77D8" w:rsidRDefault="00F159BF" w:rsidP="008464EC">
            <w:pPr>
              <w:rPr>
                <w:rFonts w:ascii="Arial" w:hAnsi="Arial"/>
              </w:rPr>
            </w:pPr>
            <w:r w:rsidRPr="00BD77D8">
              <w:rPr>
                <w:rFonts w:ascii="Arial" w:hAnsi="Arial"/>
              </w:rPr>
              <w:t>Purpose</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EFE25A7" w14:textId="79EB0968" w:rsidR="00F159BF" w:rsidRPr="00BD77D8" w:rsidRDefault="00F159BF" w:rsidP="00A65D3B">
            <w:pPr>
              <w:ind w:left="121"/>
              <w:rPr>
                <w:rFonts w:ascii="Arial" w:hAnsi="Arial"/>
              </w:rPr>
            </w:pPr>
            <w:r w:rsidRPr="00BD77D8">
              <w:rPr>
                <w:rFonts w:ascii="Arial" w:hAnsi="Arial"/>
              </w:rPr>
              <w:t>To oversee the department’s fraud and corruption prevention programs and monitor the effectiveness of internal controls and compliance.</w:t>
            </w:r>
          </w:p>
        </w:tc>
      </w:tr>
      <w:tr w:rsidR="00BD77D8" w:rsidRPr="00BD77D8" w14:paraId="26C979AF" w14:textId="77777777" w:rsidTr="00392640">
        <w:trPr>
          <w:trHeight w:val="20"/>
        </w:trPr>
        <w:tc>
          <w:tcPr>
            <w:tcW w:w="2699" w:type="dxa"/>
            <w:tcBorders>
              <w:top w:val="single" w:sz="4" w:space="0" w:color="auto"/>
              <w:left w:val="single" w:sz="4" w:space="0" w:color="auto"/>
              <w:bottom w:val="single" w:sz="4" w:space="0" w:color="auto"/>
              <w:right w:val="single" w:sz="4" w:space="0" w:color="auto"/>
            </w:tcBorders>
          </w:tcPr>
          <w:p w14:paraId="67F90708" w14:textId="77777777" w:rsidR="00F159BF" w:rsidRPr="00BD77D8" w:rsidRDefault="00F159BF" w:rsidP="008464EC">
            <w:pPr>
              <w:rPr>
                <w:rFonts w:ascii="Arial" w:hAnsi="Arial"/>
              </w:rPr>
            </w:pPr>
            <w:r w:rsidRPr="00BD77D8">
              <w:rPr>
                <w:rFonts w:ascii="Arial" w:hAnsi="Arial"/>
              </w:rPr>
              <w:t>Membership</w:t>
            </w:r>
          </w:p>
        </w:tc>
        <w:tc>
          <w:tcPr>
            <w:tcW w:w="7229" w:type="dxa"/>
            <w:tcBorders>
              <w:top w:val="single" w:sz="4" w:space="0" w:color="auto"/>
              <w:left w:val="single" w:sz="4" w:space="0" w:color="auto"/>
              <w:bottom w:val="single" w:sz="4" w:space="0" w:color="auto"/>
              <w:right w:val="single" w:sz="4" w:space="0" w:color="auto"/>
            </w:tcBorders>
          </w:tcPr>
          <w:p w14:paraId="3E6661E6" w14:textId="77777777" w:rsidR="00F159BF" w:rsidRPr="00BD77D8" w:rsidRDefault="00F159BF" w:rsidP="00E1778E">
            <w:pPr>
              <w:pStyle w:val="ListBullet"/>
              <w:ind w:hanging="221"/>
              <w:rPr>
                <w:rFonts w:ascii="Arial" w:hAnsi="Arial"/>
              </w:rPr>
            </w:pPr>
            <w:r w:rsidRPr="00BD77D8">
              <w:rPr>
                <w:rFonts w:ascii="Arial" w:hAnsi="Arial"/>
              </w:rPr>
              <w:t>Chief Finance Officer (Chair)</w:t>
            </w:r>
          </w:p>
          <w:p w14:paraId="7224E423" w14:textId="1701C47E" w:rsidR="00BE0F41" w:rsidRPr="00BD77D8" w:rsidRDefault="004F1104" w:rsidP="00E1778E">
            <w:pPr>
              <w:pStyle w:val="ListBullet"/>
              <w:ind w:hanging="221"/>
              <w:rPr>
                <w:rFonts w:ascii="Arial" w:hAnsi="Arial"/>
              </w:rPr>
            </w:pPr>
            <w:r w:rsidRPr="00BD77D8">
              <w:rPr>
                <w:rFonts w:ascii="Arial" w:hAnsi="Arial"/>
              </w:rPr>
              <w:t xml:space="preserve">Deputy Director-General, </w:t>
            </w:r>
            <w:r w:rsidR="00BE0F41" w:rsidRPr="00BD77D8">
              <w:rPr>
                <w:rFonts w:ascii="Arial" w:hAnsi="Arial"/>
              </w:rPr>
              <w:t>Corporate Services</w:t>
            </w:r>
            <w:r w:rsidRPr="00BD77D8">
              <w:rPr>
                <w:rFonts w:ascii="Arial" w:hAnsi="Arial"/>
              </w:rPr>
              <w:t xml:space="preserve"> </w:t>
            </w:r>
          </w:p>
          <w:p w14:paraId="0C5112E2" w14:textId="77777777" w:rsidR="00BE0F41" w:rsidRPr="00BD77D8" w:rsidRDefault="00BE0F41" w:rsidP="00E1778E">
            <w:pPr>
              <w:pStyle w:val="ListBullet"/>
              <w:ind w:hanging="221"/>
              <w:rPr>
                <w:rFonts w:ascii="Arial" w:hAnsi="Arial"/>
              </w:rPr>
            </w:pPr>
            <w:r w:rsidRPr="00BD77D8">
              <w:rPr>
                <w:rFonts w:ascii="Arial" w:hAnsi="Arial"/>
              </w:rPr>
              <w:t xml:space="preserve">Executive Director, Culture and Economic Participation </w:t>
            </w:r>
          </w:p>
          <w:p w14:paraId="1D4E2339" w14:textId="645B6DE1" w:rsidR="00BE0F41" w:rsidRPr="00BD77D8" w:rsidRDefault="00BE0F41" w:rsidP="00E1778E">
            <w:pPr>
              <w:pStyle w:val="ListBullet"/>
              <w:ind w:hanging="221"/>
              <w:rPr>
                <w:rFonts w:ascii="Arial" w:hAnsi="Arial"/>
              </w:rPr>
            </w:pPr>
            <w:r w:rsidRPr="00BD77D8">
              <w:rPr>
                <w:rFonts w:ascii="Arial" w:hAnsi="Arial"/>
              </w:rPr>
              <w:t xml:space="preserve">Director, </w:t>
            </w:r>
            <w:r w:rsidR="00A60B29" w:rsidRPr="00BD77D8">
              <w:rPr>
                <w:rFonts w:ascii="Arial" w:hAnsi="Arial"/>
              </w:rPr>
              <w:t>Financial Management</w:t>
            </w:r>
          </w:p>
          <w:p w14:paraId="59AA013F" w14:textId="47E63279" w:rsidR="00BE0F41" w:rsidRPr="00BD77D8" w:rsidRDefault="00BE0F41" w:rsidP="00E1778E">
            <w:pPr>
              <w:pStyle w:val="ListBullet"/>
              <w:ind w:hanging="221"/>
              <w:rPr>
                <w:rFonts w:ascii="Arial" w:hAnsi="Arial"/>
              </w:rPr>
            </w:pPr>
            <w:r w:rsidRPr="00BD77D8">
              <w:rPr>
                <w:rFonts w:ascii="Arial" w:hAnsi="Arial"/>
              </w:rPr>
              <w:t>Director, AS&amp;RS Services Support</w:t>
            </w:r>
          </w:p>
          <w:p w14:paraId="69FEA8EC" w14:textId="1567068D" w:rsidR="00BE0F41" w:rsidRPr="00BD77D8" w:rsidRDefault="00BE0F41" w:rsidP="00E1778E">
            <w:pPr>
              <w:pStyle w:val="ListBullet"/>
              <w:ind w:hanging="221"/>
              <w:rPr>
                <w:rFonts w:ascii="Arial" w:hAnsi="Arial"/>
              </w:rPr>
            </w:pPr>
            <w:r w:rsidRPr="00BD77D8">
              <w:rPr>
                <w:rFonts w:ascii="Arial" w:hAnsi="Arial"/>
              </w:rPr>
              <w:t>Director, Operations Team</w:t>
            </w:r>
            <w:r w:rsidR="004F1104" w:rsidRPr="00BD77D8">
              <w:rPr>
                <w:rFonts w:ascii="Arial" w:hAnsi="Arial"/>
              </w:rPr>
              <w:t>, Disability and Seniors Connect</w:t>
            </w:r>
          </w:p>
          <w:p w14:paraId="69A35A2C" w14:textId="4DC2A9DB" w:rsidR="00BE0F41" w:rsidRPr="00BD77D8" w:rsidRDefault="00BE0F41" w:rsidP="00E1778E">
            <w:pPr>
              <w:pStyle w:val="ListBullet"/>
              <w:ind w:hanging="221"/>
              <w:rPr>
                <w:rFonts w:ascii="Arial" w:hAnsi="Arial"/>
              </w:rPr>
            </w:pPr>
            <w:r w:rsidRPr="00BD77D8">
              <w:rPr>
                <w:rFonts w:ascii="Arial" w:hAnsi="Arial"/>
              </w:rPr>
              <w:t xml:space="preserve">Director, Property and Procurement </w:t>
            </w:r>
          </w:p>
          <w:p w14:paraId="3AC72E2A" w14:textId="77777777" w:rsidR="00BE0F41" w:rsidRPr="00BD77D8" w:rsidRDefault="00BE0F41" w:rsidP="00E1778E">
            <w:pPr>
              <w:pStyle w:val="ListBullet"/>
              <w:ind w:hanging="221"/>
              <w:rPr>
                <w:rFonts w:ascii="Arial" w:hAnsi="Arial"/>
              </w:rPr>
            </w:pPr>
            <w:r w:rsidRPr="00BD77D8">
              <w:rPr>
                <w:rFonts w:ascii="Arial" w:hAnsi="Arial"/>
              </w:rPr>
              <w:t xml:space="preserve">Manager, Governance, Planning and Reporting </w:t>
            </w:r>
          </w:p>
          <w:p w14:paraId="0642D57B" w14:textId="77777777" w:rsidR="00BE0F41" w:rsidRPr="00BD77D8" w:rsidRDefault="00BE0F41" w:rsidP="00E1778E">
            <w:pPr>
              <w:pStyle w:val="ListBullet"/>
              <w:ind w:hanging="221"/>
              <w:rPr>
                <w:rFonts w:ascii="Arial" w:hAnsi="Arial"/>
              </w:rPr>
            </w:pPr>
            <w:r w:rsidRPr="00BD77D8">
              <w:rPr>
                <w:rFonts w:ascii="Arial" w:hAnsi="Arial"/>
              </w:rPr>
              <w:t>Manager, Ethical Standards</w:t>
            </w:r>
          </w:p>
          <w:p w14:paraId="462C2663" w14:textId="24E7C86E" w:rsidR="00F159BF" w:rsidRPr="00BD77D8" w:rsidRDefault="00BE0F41" w:rsidP="00E1778E">
            <w:pPr>
              <w:pStyle w:val="ListBullet"/>
              <w:ind w:hanging="221"/>
              <w:rPr>
                <w:rFonts w:ascii="Arial" w:hAnsi="Arial"/>
              </w:rPr>
            </w:pPr>
            <w:r w:rsidRPr="00BD77D8">
              <w:rPr>
                <w:rFonts w:ascii="Arial" w:hAnsi="Arial"/>
              </w:rPr>
              <w:t xml:space="preserve">Director, Information Policy, Security and Engagement (Department of Children, Youth Justice Multicultural Affairs) (under the </w:t>
            </w:r>
            <w:r w:rsidR="00177A29" w:rsidRPr="00BD77D8">
              <w:rPr>
                <w:rFonts w:ascii="Arial" w:hAnsi="Arial"/>
              </w:rPr>
              <w:t xml:space="preserve">memorandum of understanding </w:t>
            </w:r>
            <w:r w:rsidRPr="00BD77D8">
              <w:rPr>
                <w:rFonts w:ascii="Arial" w:hAnsi="Arial"/>
              </w:rPr>
              <w:t>agreement)</w:t>
            </w:r>
          </w:p>
        </w:tc>
      </w:tr>
      <w:tr w:rsidR="00BD77D8" w:rsidRPr="00BD77D8" w14:paraId="23C9402A" w14:textId="77777777" w:rsidTr="00392640">
        <w:trPr>
          <w:trHeight w:val="20"/>
        </w:trPr>
        <w:tc>
          <w:tcPr>
            <w:tcW w:w="2699" w:type="dxa"/>
            <w:tcBorders>
              <w:top w:val="single" w:sz="4" w:space="0" w:color="auto"/>
              <w:left w:val="single" w:sz="4" w:space="0" w:color="auto"/>
              <w:bottom w:val="single" w:sz="4" w:space="0" w:color="auto"/>
              <w:right w:val="single" w:sz="4" w:space="0" w:color="auto"/>
            </w:tcBorders>
          </w:tcPr>
          <w:p w14:paraId="3D7AA9A1" w14:textId="77777777" w:rsidR="00F159BF" w:rsidRPr="00BD77D8" w:rsidRDefault="00F159BF" w:rsidP="008464EC">
            <w:pPr>
              <w:rPr>
                <w:rFonts w:ascii="Arial" w:hAnsi="Arial"/>
              </w:rPr>
            </w:pPr>
            <w:r w:rsidRPr="00BD77D8">
              <w:rPr>
                <w:rFonts w:ascii="Arial" w:hAnsi="Arial"/>
              </w:rPr>
              <w:t>Meeting frequency</w:t>
            </w:r>
          </w:p>
        </w:tc>
        <w:tc>
          <w:tcPr>
            <w:tcW w:w="7229" w:type="dxa"/>
            <w:tcBorders>
              <w:top w:val="single" w:sz="4" w:space="0" w:color="auto"/>
              <w:left w:val="single" w:sz="4" w:space="0" w:color="auto"/>
              <w:bottom w:val="single" w:sz="4" w:space="0" w:color="auto"/>
              <w:right w:val="single" w:sz="4" w:space="0" w:color="auto"/>
            </w:tcBorders>
          </w:tcPr>
          <w:p w14:paraId="7625D0D4" w14:textId="1C7915F8" w:rsidR="00F159BF" w:rsidRPr="00BD77D8" w:rsidRDefault="00F159BF" w:rsidP="00A65D3B">
            <w:pPr>
              <w:ind w:left="121"/>
              <w:rPr>
                <w:rFonts w:ascii="Arial" w:hAnsi="Arial"/>
              </w:rPr>
            </w:pPr>
            <w:r w:rsidRPr="00BD77D8">
              <w:rPr>
                <w:rFonts w:ascii="Arial" w:hAnsi="Arial"/>
              </w:rPr>
              <w:t xml:space="preserve">The Fraud and Corruption Control Sub-Committee meets quarterly. </w:t>
            </w:r>
          </w:p>
        </w:tc>
      </w:tr>
      <w:bookmarkEnd w:id="332"/>
    </w:tbl>
    <w:p w14:paraId="2A37DBF6" w14:textId="3BFE4229" w:rsidR="00F159BF" w:rsidRPr="00BD77D8" w:rsidRDefault="00F159BF"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4F368859" w14:textId="77777777" w:rsidTr="00F52C57">
        <w:trPr>
          <w:trHeight w:val="20"/>
          <w:tblHeader/>
        </w:trPr>
        <w:tc>
          <w:tcPr>
            <w:tcW w:w="9928" w:type="dxa"/>
            <w:gridSpan w:val="2"/>
            <w:shd w:val="clear" w:color="auto" w:fill="F2F2F2" w:themeFill="background1" w:themeFillShade="F2"/>
          </w:tcPr>
          <w:p w14:paraId="01810F59" w14:textId="1F6E0707" w:rsidR="00F159BF" w:rsidRPr="00BD77D8" w:rsidRDefault="009F71C3" w:rsidP="00F4766F">
            <w:pPr>
              <w:rPr>
                <w:rFonts w:ascii="Arial" w:hAnsi="Arial"/>
                <w:b/>
                <w:bCs/>
              </w:rPr>
            </w:pPr>
            <w:r w:rsidRPr="00BD77D8">
              <w:rPr>
                <w:rFonts w:ascii="Arial" w:hAnsi="Arial"/>
                <w:b/>
                <w:bCs/>
              </w:rPr>
              <w:lastRenderedPageBreak/>
              <w:t>Informatio</w:t>
            </w:r>
            <w:r w:rsidR="00EB3A3C" w:rsidRPr="00BD77D8">
              <w:rPr>
                <w:rFonts w:ascii="Arial" w:hAnsi="Arial"/>
                <w:b/>
                <w:bCs/>
              </w:rPr>
              <w:t>n</w:t>
            </w:r>
            <w:r w:rsidRPr="00BD77D8">
              <w:rPr>
                <w:rFonts w:ascii="Arial" w:hAnsi="Arial"/>
                <w:b/>
                <w:bCs/>
              </w:rPr>
              <w:t xml:space="preserve"> Steering Committee</w:t>
            </w:r>
          </w:p>
        </w:tc>
      </w:tr>
      <w:tr w:rsidR="00BD77D8" w:rsidRPr="00BD77D8" w14:paraId="03FC6F16" w14:textId="77777777" w:rsidTr="006C1D56">
        <w:trPr>
          <w:trHeight w:val="20"/>
        </w:trPr>
        <w:tc>
          <w:tcPr>
            <w:tcW w:w="2699" w:type="dxa"/>
            <w:shd w:val="clear" w:color="auto" w:fill="FFFFFF" w:themeFill="background1"/>
          </w:tcPr>
          <w:p w14:paraId="7A198EF4" w14:textId="77777777" w:rsidR="00F159BF" w:rsidRPr="00BD77D8" w:rsidRDefault="00F159BF" w:rsidP="00F4766F">
            <w:pPr>
              <w:rPr>
                <w:rFonts w:ascii="Arial" w:hAnsi="Arial"/>
              </w:rPr>
            </w:pPr>
            <w:r w:rsidRPr="00BD77D8">
              <w:rPr>
                <w:rFonts w:ascii="Arial" w:hAnsi="Arial"/>
              </w:rPr>
              <w:t>Purpose</w:t>
            </w:r>
          </w:p>
        </w:tc>
        <w:tc>
          <w:tcPr>
            <w:tcW w:w="7229" w:type="dxa"/>
            <w:shd w:val="clear" w:color="auto" w:fill="FFFFFF" w:themeFill="background1"/>
          </w:tcPr>
          <w:p w14:paraId="418E1D07" w14:textId="28F36272" w:rsidR="00EB3A3C" w:rsidRPr="00BD77D8" w:rsidRDefault="00BE0F41" w:rsidP="00A65D3B">
            <w:pPr>
              <w:ind w:left="121"/>
              <w:rPr>
                <w:rFonts w:ascii="Arial" w:hAnsi="Arial"/>
              </w:rPr>
            </w:pPr>
            <w:r w:rsidRPr="00BD77D8">
              <w:rPr>
                <w:rFonts w:ascii="Arial" w:hAnsi="Arial"/>
              </w:rPr>
              <w:t xml:space="preserve">To oversight all ICT-enabled business initiatives. The Information Steering Committee (ISC) is the primary governance body by which </w:t>
            </w:r>
            <w:r w:rsidR="00177A29" w:rsidRPr="00BD77D8">
              <w:rPr>
                <w:rFonts w:ascii="Arial" w:hAnsi="Arial"/>
              </w:rPr>
              <w:t>d</w:t>
            </w:r>
            <w:r w:rsidRPr="00BD77D8">
              <w:rPr>
                <w:rFonts w:ascii="Arial" w:hAnsi="Arial"/>
              </w:rPr>
              <w:t>epartments ensure they maximise the value of their business investments that have an ICT-enabled component.</w:t>
            </w:r>
          </w:p>
        </w:tc>
      </w:tr>
      <w:tr w:rsidR="00BD77D8" w:rsidRPr="00BD77D8" w14:paraId="75F282FF" w14:textId="77777777" w:rsidTr="00392640">
        <w:trPr>
          <w:trHeight w:val="20"/>
        </w:trPr>
        <w:tc>
          <w:tcPr>
            <w:tcW w:w="2699" w:type="dxa"/>
          </w:tcPr>
          <w:p w14:paraId="2047B342" w14:textId="77777777" w:rsidR="00F159BF" w:rsidRPr="00BD77D8" w:rsidRDefault="00F159BF" w:rsidP="00F4766F">
            <w:pPr>
              <w:rPr>
                <w:rFonts w:ascii="Arial" w:hAnsi="Arial"/>
              </w:rPr>
            </w:pPr>
            <w:r w:rsidRPr="00BD77D8">
              <w:rPr>
                <w:rFonts w:ascii="Arial" w:hAnsi="Arial"/>
              </w:rPr>
              <w:t>Membership</w:t>
            </w:r>
          </w:p>
        </w:tc>
        <w:tc>
          <w:tcPr>
            <w:tcW w:w="7229" w:type="dxa"/>
          </w:tcPr>
          <w:p w14:paraId="33594510" w14:textId="745D3E0C" w:rsidR="00BE0F41" w:rsidRPr="00BD77D8" w:rsidRDefault="00BE0F41" w:rsidP="00E1778E">
            <w:pPr>
              <w:pStyle w:val="ListBullet"/>
              <w:ind w:hanging="221"/>
              <w:rPr>
                <w:rFonts w:ascii="Arial" w:hAnsi="Arial"/>
              </w:rPr>
            </w:pPr>
            <w:r w:rsidRPr="00BD77D8">
              <w:rPr>
                <w:rFonts w:ascii="Arial" w:hAnsi="Arial"/>
              </w:rPr>
              <w:t>Deputy Director-General/Chief Information Officer, Corporate Services,</w:t>
            </w:r>
            <w:r w:rsidR="00414C31" w:rsidRPr="00BD77D8">
              <w:rPr>
                <w:rFonts w:ascii="Arial" w:hAnsi="Arial"/>
              </w:rPr>
              <w:t xml:space="preserve"> </w:t>
            </w:r>
            <w:r w:rsidRPr="00BD77D8">
              <w:rPr>
                <w:rFonts w:ascii="Arial" w:hAnsi="Arial"/>
              </w:rPr>
              <w:t>DCYJMA (Chair)</w:t>
            </w:r>
          </w:p>
          <w:p w14:paraId="6590D0AC" w14:textId="77777777" w:rsidR="00BE0F41" w:rsidRPr="00BD77D8" w:rsidRDefault="00BE0F41" w:rsidP="00E1778E">
            <w:pPr>
              <w:pStyle w:val="ListBullet"/>
              <w:ind w:hanging="221"/>
              <w:rPr>
                <w:rFonts w:ascii="Arial" w:hAnsi="Arial"/>
              </w:rPr>
            </w:pPr>
            <w:r w:rsidRPr="00BD77D8">
              <w:rPr>
                <w:rFonts w:ascii="Arial" w:hAnsi="Arial"/>
              </w:rPr>
              <w:t>Deputy Director General, Strategy, DCYJMA (Member)</w:t>
            </w:r>
          </w:p>
          <w:p w14:paraId="0CFC5F22" w14:textId="4A50A7DC" w:rsidR="00BE0F41" w:rsidRPr="00BD77D8" w:rsidRDefault="00BE0F41" w:rsidP="00E1778E">
            <w:pPr>
              <w:pStyle w:val="ListBullet"/>
              <w:ind w:hanging="221"/>
              <w:rPr>
                <w:rFonts w:ascii="Arial" w:hAnsi="Arial"/>
              </w:rPr>
            </w:pPr>
            <w:r w:rsidRPr="00BD77D8">
              <w:rPr>
                <w:rFonts w:ascii="Arial" w:hAnsi="Arial"/>
              </w:rPr>
              <w:t>Deputy Director General/Chief Operating Officer, Service Delivery (Child and</w:t>
            </w:r>
            <w:r w:rsidR="00414C31" w:rsidRPr="00BD77D8">
              <w:rPr>
                <w:rFonts w:ascii="Arial" w:hAnsi="Arial"/>
              </w:rPr>
              <w:t xml:space="preserve"> </w:t>
            </w:r>
            <w:r w:rsidRPr="00BD77D8">
              <w:rPr>
                <w:rFonts w:ascii="Arial" w:hAnsi="Arial"/>
              </w:rPr>
              <w:t>Family Specialist), DCYJMA (Member)</w:t>
            </w:r>
          </w:p>
          <w:p w14:paraId="784E80DC" w14:textId="54FE3592" w:rsidR="00BE0F41" w:rsidRPr="00BD77D8" w:rsidRDefault="00BE0F41" w:rsidP="00E1778E">
            <w:pPr>
              <w:pStyle w:val="ListBullet"/>
              <w:ind w:hanging="221"/>
              <w:rPr>
                <w:rFonts w:ascii="Arial" w:hAnsi="Arial"/>
              </w:rPr>
            </w:pPr>
            <w:r w:rsidRPr="00BD77D8">
              <w:rPr>
                <w:rFonts w:ascii="Arial" w:hAnsi="Arial"/>
              </w:rPr>
              <w:t>Deputy Director General/Chief Operating Officer, Service Delivery (Youth</w:t>
            </w:r>
            <w:r w:rsidR="00414C31" w:rsidRPr="00BD77D8">
              <w:rPr>
                <w:rFonts w:ascii="Arial" w:hAnsi="Arial"/>
              </w:rPr>
              <w:t xml:space="preserve"> </w:t>
            </w:r>
            <w:r w:rsidRPr="00BD77D8">
              <w:rPr>
                <w:rFonts w:ascii="Arial" w:hAnsi="Arial"/>
              </w:rPr>
              <w:t>Justice Specialist), DCYJMA (Member)</w:t>
            </w:r>
          </w:p>
          <w:p w14:paraId="3641862F" w14:textId="15D6A5A4" w:rsidR="00BE0F41" w:rsidRPr="00BD77D8" w:rsidRDefault="00BE0F41" w:rsidP="00E1778E">
            <w:pPr>
              <w:pStyle w:val="ListBullet"/>
              <w:ind w:hanging="221"/>
              <w:rPr>
                <w:rFonts w:ascii="Arial" w:hAnsi="Arial"/>
              </w:rPr>
            </w:pPr>
            <w:r w:rsidRPr="00BD77D8">
              <w:rPr>
                <w:rFonts w:ascii="Arial" w:hAnsi="Arial"/>
              </w:rPr>
              <w:t>Assistant Director-General, Children and Youth Justice Systems Reform (Unify),</w:t>
            </w:r>
            <w:r w:rsidR="00414C31" w:rsidRPr="00BD77D8">
              <w:rPr>
                <w:rFonts w:ascii="Arial" w:hAnsi="Arial"/>
              </w:rPr>
              <w:t xml:space="preserve"> </w:t>
            </w:r>
            <w:r w:rsidRPr="00BD77D8">
              <w:rPr>
                <w:rFonts w:ascii="Arial" w:hAnsi="Arial"/>
              </w:rPr>
              <w:t>DCYJMA (Member)</w:t>
            </w:r>
          </w:p>
          <w:p w14:paraId="0AC59829" w14:textId="5ACEE447" w:rsidR="00BE0F41" w:rsidRPr="00BD77D8" w:rsidRDefault="00530405" w:rsidP="00E1778E">
            <w:pPr>
              <w:pStyle w:val="ListBullet"/>
              <w:ind w:hanging="221"/>
              <w:rPr>
                <w:rFonts w:ascii="Arial" w:hAnsi="Arial"/>
              </w:rPr>
            </w:pPr>
            <w:r w:rsidRPr="00BD77D8">
              <w:rPr>
                <w:rFonts w:ascii="Arial" w:hAnsi="Arial"/>
              </w:rPr>
              <w:t>Deputy</w:t>
            </w:r>
            <w:r w:rsidR="00BE0F41" w:rsidRPr="00BD77D8">
              <w:rPr>
                <w:rFonts w:ascii="Arial" w:hAnsi="Arial"/>
              </w:rPr>
              <w:t xml:space="preserve"> Director-General, </w:t>
            </w:r>
            <w:r w:rsidRPr="00BD77D8">
              <w:rPr>
                <w:rFonts w:ascii="Arial" w:hAnsi="Arial"/>
              </w:rPr>
              <w:t>Corporate Services</w:t>
            </w:r>
            <w:r w:rsidR="00BE0F41" w:rsidRPr="00BD77D8">
              <w:rPr>
                <w:rFonts w:ascii="Arial" w:hAnsi="Arial"/>
              </w:rPr>
              <w:t>, DSDSATSIP (Member)</w:t>
            </w:r>
          </w:p>
          <w:p w14:paraId="7E429CF1" w14:textId="3C16A96F" w:rsidR="00BE0F41" w:rsidRPr="00BD77D8" w:rsidRDefault="00530405" w:rsidP="00E1778E">
            <w:pPr>
              <w:pStyle w:val="ListBullet"/>
              <w:ind w:hanging="221"/>
              <w:rPr>
                <w:rFonts w:ascii="Arial" w:hAnsi="Arial"/>
              </w:rPr>
            </w:pPr>
            <w:r w:rsidRPr="00BD77D8">
              <w:rPr>
                <w:rFonts w:ascii="Arial" w:hAnsi="Arial"/>
              </w:rPr>
              <w:t xml:space="preserve">Deputy </w:t>
            </w:r>
            <w:r w:rsidR="00BE0F41" w:rsidRPr="00BD77D8">
              <w:rPr>
                <w:rFonts w:ascii="Arial" w:hAnsi="Arial"/>
              </w:rPr>
              <w:t>Director-General, Disability Accommodation, Respite and Forensic</w:t>
            </w:r>
            <w:r w:rsidR="00414C31" w:rsidRPr="00BD77D8">
              <w:rPr>
                <w:rFonts w:ascii="Arial" w:hAnsi="Arial"/>
              </w:rPr>
              <w:t xml:space="preserve"> </w:t>
            </w:r>
            <w:r w:rsidR="00BE0F41" w:rsidRPr="00BD77D8">
              <w:rPr>
                <w:rFonts w:ascii="Arial" w:hAnsi="Arial"/>
              </w:rPr>
              <w:t>Services, DSDSATSIP (Member)</w:t>
            </w:r>
          </w:p>
          <w:p w14:paraId="442151EC" w14:textId="209A2028" w:rsidR="00340EE8" w:rsidRPr="00BD77D8" w:rsidRDefault="00340EE8" w:rsidP="00E1778E">
            <w:pPr>
              <w:pStyle w:val="ListBullet"/>
              <w:ind w:hanging="221"/>
              <w:rPr>
                <w:rFonts w:ascii="Arial" w:hAnsi="Arial"/>
              </w:rPr>
            </w:pPr>
            <w:r w:rsidRPr="00BD77D8">
              <w:rPr>
                <w:rFonts w:ascii="Arial" w:hAnsi="Arial"/>
              </w:rPr>
              <w:t xml:space="preserve">Deputy Director-General, Strategic Policy, Legislation </w:t>
            </w:r>
            <w:r w:rsidR="00177A29" w:rsidRPr="00BD77D8">
              <w:rPr>
                <w:rFonts w:ascii="Arial" w:hAnsi="Arial"/>
              </w:rPr>
              <w:t>and</w:t>
            </w:r>
            <w:r w:rsidRPr="00BD77D8">
              <w:rPr>
                <w:rFonts w:ascii="Arial" w:hAnsi="Arial"/>
              </w:rPr>
              <w:t xml:space="preserve"> Program Reform DSDSATSIP (Member)</w:t>
            </w:r>
          </w:p>
          <w:p w14:paraId="5C8BD85D" w14:textId="74A3E813" w:rsidR="00BE0F41" w:rsidRPr="00BD77D8" w:rsidRDefault="00BE0F41" w:rsidP="00E1778E">
            <w:pPr>
              <w:pStyle w:val="ListBullet"/>
              <w:ind w:hanging="221"/>
              <w:rPr>
                <w:rFonts w:ascii="Arial" w:hAnsi="Arial"/>
              </w:rPr>
            </w:pPr>
            <w:r w:rsidRPr="00BD77D8">
              <w:rPr>
                <w:rFonts w:ascii="Arial" w:hAnsi="Arial"/>
              </w:rPr>
              <w:t>Regional Executive Director, South</w:t>
            </w:r>
            <w:r w:rsidR="00EB5A96" w:rsidRPr="00BD77D8">
              <w:rPr>
                <w:rFonts w:ascii="Arial" w:hAnsi="Arial"/>
              </w:rPr>
              <w:t>-</w:t>
            </w:r>
            <w:r w:rsidRPr="00BD77D8">
              <w:rPr>
                <w:rFonts w:ascii="Arial" w:hAnsi="Arial"/>
              </w:rPr>
              <w:t>East region, Service Delivery, DCYJMA (Member)</w:t>
            </w:r>
          </w:p>
          <w:p w14:paraId="7F30DAD3" w14:textId="34EA6482" w:rsidR="00BE0F41" w:rsidRPr="00BD77D8" w:rsidRDefault="00BE0F41" w:rsidP="00E1778E">
            <w:pPr>
              <w:pStyle w:val="ListBullet"/>
              <w:ind w:hanging="221"/>
              <w:rPr>
                <w:rFonts w:ascii="Arial" w:hAnsi="Arial"/>
              </w:rPr>
            </w:pPr>
            <w:r w:rsidRPr="00BD77D8">
              <w:rPr>
                <w:rFonts w:ascii="Arial" w:hAnsi="Arial"/>
              </w:rPr>
              <w:t>Whole-of-Government Representative, Queensland Government</w:t>
            </w:r>
            <w:r w:rsidR="0065096B" w:rsidRPr="00BD77D8">
              <w:rPr>
                <w:rFonts w:ascii="Arial" w:hAnsi="Arial"/>
              </w:rPr>
              <w:t xml:space="preserve"> </w:t>
            </w:r>
            <w:r w:rsidRPr="00BD77D8">
              <w:rPr>
                <w:rFonts w:ascii="Arial" w:hAnsi="Arial"/>
              </w:rPr>
              <w:t xml:space="preserve">Customer </w:t>
            </w:r>
            <w:r w:rsidR="00177A29" w:rsidRPr="00BD77D8">
              <w:rPr>
                <w:rFonts w:ascii="Arial" w:hAnsi="Arial"/>
              </w:rPr>
              <w:t>and</w:t>
            </w:r>
            <w:r w:rsidRPr="00BD77D8">
              <w:rPr>
                <w:rFonts w:ascii="Arial" w:hAnsi="Arial"/>
              </w:rPr>
              <w:t xml:space="preserve"> Digital Group (Guest)</w:t>
            </w:r>
          </w:p>
          <w:p w14:paraId="1047DFD8" w14:textId="77777777" w:rsidR="00BE0F41" w:rsidRPr="00BD77D8" w:rsidRDefault="00BE0F41" w:rsidP="00E1778E">
            <w:pPr>
              <w:pStyle w:val="ListBullet"/>
              <w:ind w:hanging="221"/>
              <w:rPr>
                <w:rFonts w:ascii="Arial" w:hAnsi="Arial"/>
              </w:rPr>
            </w:pPr>
            <w:r w:rsidRPr="00BD77D8">
              <w:rPr>
                <w:rFonts w:ascii="Arial" w:hAnsi="Arial"/>
              </w:rPr>
              <w:t>Director, Internal Audit, DCYJMA (Guest)</w:t>
            </w:r>
          </w:p>
          <w:p w14:paraId="30631971" w14:textId="4552426B" w:rsidR="00BE0F41" w:rsidRPr="00BD77D8" w:rsidRDefault="0065096B" w:rsidP="00E1778E">
            <w:pPr>
              <w:pStyle w:val="ListBullet"/>
              <w:ind w:hanging="221"/>
              <w:rPr>
                <w:rFonts w:ascii="Arial" w:hAnsi="Arial"/>
              </w:rPr>
            </w:pPr>
            <w:r w:rsidRPr="00BD77D8">
              <w:rPr>
                <w:rFonts w:ascii="Arial" w:hAnsi="Arial"/>
              </w:rPr>
              <w:t>Director,</w:t>
            </w:r>
            <w:r w:rsidR="00BE0F41" w:rsidRPr="00BD77D8">
              <w:rPr>
                <w:rFonts w:ascii="Arial" w:hAnsi="Arial"/>
              </w:rPr>
              <w:t xml:space="preserve"> Internal Audit, DSDSATSIP (Guest)</w:t>
            </w:r>
          </w:p>
          <w:p w14:paraId="797E1B84" w14:textId="160CB53D" w:rsidR="00F159BF" w:rsidRPr="00BD77D8" w:rsidRDefault="00BE0F41" w:rsidP="00E1778E">
            <w:pPr>
              <w:pStyle w:val="ListBullet"/>
              <w:ind w:hanging="221"/>
              <w:rPr>
                <w:rFonts w:ascii="Arial" w:hAnsi="Arial"/>
              </w:rPr>
            </w:pPr>
            <w:r w:rsidRPr="00BD77D8">
              <w:rPr>
                <w:rFonts w:ascii="Arial" w:hAnsi="Arial"/>
              </w:rPr>
              <w:t>Director, Information Policy, Security and Engagement, IS, DCYJMA (Observer)</w:t>
            </w:r>
          </w:p>
        </w:tc>
      </w:tr>
      <w:tr w:rsidR="00BD77D8" w:rsidRPr="00BD77D8" w14:paraId="315B790C" w14:textId="77777777" w:rsidTr="00392640">
        <w:trPr>
          <w:trHeight w:val="20"/>
        </w:trPr>
        <w:tc>
          <w:tcPr>
            <w:tcW w:w="2699" w:type="dxa"/>
          </w:tcPr>
          <w:p w14:paraId="39C63E82" w14:textId="77777777" w:rsidR="00F159BF" w:rsidRPr="00BD77D8" w:rsidRDefault="00F159BF" w:rsidP="00F4766F">
            <w:pPr>
              <w:rPr>
                <w:rFonts w:ascii="Arial" w:hAnsi="Arial"/>
              </w:rPr>
            </w:pPr>
            <w:r w:rsidRPr="00BD77D8">
              <w:rPr>
                <w:rFonts w:ascii="Arial" w:hAnsi="Arial"/>
              </w:rPr>
              <w:t>Meeting frequency</w:t>
            </w:r>
          </w:p>
        </w:tc>
        <w:tc>
          <w:tcPr>
            <w:tcW w:w="7229" w:type="dxa"/>
          </w:tcPr>
          <w:p w14:paraId="7E201F3E" w14:textId="24B13456" w:rsidR="00F159BF" w:rsidRPr="00BD77D8" w:rsidRDefault="00F159BF" w:rsidP="00A65D3B">
            <w:pPr>
              <w:ind w:left="121"/>
              <w:rPr>
                <w:rFonts w:ascii="Arial" w:hAnsi="Arial"/>
              </w:rPr>
            </w:pPr>
            <w:r w:rsidRPr="00BD77D8">
              <w:rPr>
                <w:rFonts w:ascii="Arial" w:hAnsi="Arial"/>
              </w:rPr>
              <w:t xml:space="preserve">The Information Steering Committee meets </w:t>
            </w:r>
            <w:r w:rsidR="00BE0F41" w:rsidRPr="00BD77D8">
              <w:rPr>
                <w:rFonts w:ascii="Arial" w:hAnsi="Arial"/>
              </w:rPr>
              <w:t>quarterly, or as required by the Chair</w:t>
            </w:r>
            <w:r w:rsidRPr="00BD77D8">
              <w:rPr>
                <w:rFonts w:ascii="Arial" w:hAnsi="Arial"/>
              </w:rPr>
              <w:t xml:space="preserve">. </w:t>
            </w:r>
          </w:p>
        </w:tc>
      </w:tr>
    </w:tbl>
    <w:p w14:paraId="14806E88" w14:textId="0DCDD4A8" w:rsidR="00D33691" w:rsidRPr="00BD77D8" w:rsidRDefault="00D33691"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7DD6FCA9" w14:textId="77777777" w:rsidTr="003B489D">
        <w:trPr>
          <w:trHeight w:val="20"/>
          <w:tblHeader/>
        </w:trPr>
        <w:tc>
          <w:tcPr>
            <w:tcW w:w="9928" w:type="dxa"/>
            <w:gridSpan w:val="2"/>
            <w:shd w:val="clear" w:color="auto" w:fill="F2F2F2" w:themeFill="background1" w:themeFillShade="F2"/>
          </w:tcPr>
          <w:p w14:paraId="41232F36" w14:textId="77777777" w:rsidR="00F159BF" w:rsidRPr="00BD77D8" w:rsidRDefault="00F159BF" w:rsidP="00633348">
            <w:pPr>
              <w:rPr>
                <w:rFonts w:ascii="Arial" w:hAnsi="Arial"/>
                <w:b/>
                <w:bCs/>
              </w:rPr>
            </w:pPr>
            <w:bookmarkStart w:id="333" w:name="_Hlk77946331"/>
            <w:r w:rsidRPr="00BD77D8">
              <w:rPr>
                <w:rFonts w:ascii="Arial" w:hAnsi="Arial"/>
                <w:b/>
                <w:bCs/>
              </w:rPr>
              <w:t xml:space="preserve">Regional Service Delivery Board </w:t>
            </w:r>
          </w:p>
        </w:tc>
      </w:tr>
      <w:tr w:rsidR="00BD77D8" w:rsidRPr="00BD77D8" w14:paraId="184FE48B" w14:textId="77777777" w:rsidTr="006C1D56">
        <w:trPr>
          <w:trHeight w:val="20"/>
        </w:trPr>
        <w:tc>
          <w:tcPr>
            <w:tcW w:w="2699" w:type="dxa"/>
            <w:shd w:val="clear" w:color="auto" w:fill="FFFFFF" w:themeFill="background1"/>
          </w:tcPr>
          <w:p w14:paraId="3BA7DBA0" w14:textId="77777777" w:rsidR="00F159BF" w:rsidRPr="00BD77D8" w:rsidRDefault="00F159BF" w:rsidP="00633348">
            <w:pPr>
              <w:rPr>
                <w:rFonts w:ascii="Arial" w:hAnsi="Arial"/>
              </w:rPr>
            </w:pPr>
            <w:r w:rsidRPr="00BD77D8">
              <w:rPr>
                <w:rFonts w:ascii="Arial" w:hAnsi="Arial"/>
              </w:rPr>
              <w:t>Purpose</w:t>
            </w:r>
          </w:p>
        </w:tc>
        <w:tc>
          <w:tcPr>
            <w:tcW w:w="7229" w:type="dxa"/>
            <w:shd w:val="clear" w:color="auto" w:fill="FFFFFF" w:themeFill="background1"/>
          </w:tcPr>
          <w:p w14:paraId="31A16942" w14:textId="77777777" w:rsidR="00F159BF" w:rsidRPr="00BD77D8" w:rsidRDefault="00F159BF" w:rsidP="00A65D3B">
            <w:pPr>
              <w:ind w:left="121"/>
              <w:rPr>
                <w:rFonts w:ascii="Arial" w:hAnsi="Arial"/>
              </w:rPr>
            </w:pPr>
            <w:r w:rsidRPr="00BD77D8">
              <w:rPr>
                <w:rFonts w:ascii="Arial" w:hAnsi="Arial"/>
              </w:rPr>
              <w:t>To manage emerging business and operational issues that impact on regional service delivery related to Aboriginal and Torres Strait Islander Queenslanders.</w:t>
            </w:r>
          </w:p>
        </w:tc>
      </w:tr>
      <w:tr w:rsidR="00BD77D8" w:rsidRPr="00BD77D8" w14:paraId="4E662BB6" w14:textId="77777777" w:rsidTr="00392640">
        <w:trPr>
          <w:trHeight w:val="20"/>
        </w:trPr>
        <w:tc>
          <w:tcPr>
            <w:tcW w:w="2699" w:type="dxa"/>
          </w:tcPr>
          <w:p w14:paraId="1E447376" w14:textId="77777777" w:rsidR="00F159BF" w:rsidRPr="00BD77D8" w:rsidRDefault="00F159BF" w:rsidP="00633348">
            <w:pPr>
              <w:rPr>
                <w:rFonts w:ascii="Arial" w:hAnsi="Arial"/>
              </w:rPr>
            </w:pPr>
            <w:r w:rsidRPr="00BD77D8">
              <w:rPr>
                <w:rFonts w:ascii="Arial" w:hAnsi="Arial"/>
              </w:rPr>
              <w:t>Membership</w:t>
            </w:r>
          </w:p>
        </w:tc>
        <w:tc>
          <w:tcPr>
            <w:tcW w:w="7229" w:type="dxa"/>
          </w:tcPr>
          <w:p w14:paraId="10E1EBD1" w14:textId="77777777" w:rsidR="00F159BF" w:rsidRPr="00BD77D8" w:rsidRDefault="00F159BF" w:rsidP="00E1778E">
            <w:pPr>
              <w:pStyle w:val="ListBullet"/>
              <w:ind w:hanging="221"/>
              <w:rPr>
                <w:rFonts w:ascii="Arial" w:hAnsi="Arial"/>
              </w:rPr>
            </w:pPr>
            <w:r w:rsidRPr="00BD77D8">
              <w:rPr>
                <w:rFonts w:ascii="Arial" w:hAnsi="Arial"/>
              </w:rPr>
              <w:t>Deputy Director-General, Culture and Economic Participation (Chair)</w:t>
            </w:r>
          </w:p>
          <w:p w14:paraId="022EDB13" w14:textId="77777777" w:rsidR="00BE0F41" w:rsidRPr="00BD77D8" w:rsidRDefault="00BE0F41" w:rsidP="00E1778E">
            <w:pPr>
              <w:pStyle w:val="ListBullet"/>
              <w:ind w:hanging="221"/>
              <w:rPr>
                <w:rFonts w:ascii="Arial" w:hAnsi="Arial"/>
              </w:rPr>
            </w:pPr>
            <w:r w:rsidRPr="00BD77D8">
              <w:rPr>
                <w:rFonts w:ascii="Arial" w:hAnsi="Arial"/>
              </w:rPr>
              <w:t>Deputy Director-General, Strategic Policy, Legislation and Program Reform</w:t>
            </w:r>
          </w:p>
          <w:p w14:paraId="5A971515" w14:textId="77777777" w:rsidR="00BE0F41" w:rsidRPr="00BD77D8" w:rsidRDefault="00BE0F41" w:rsidP="00E1778E">
            <w:pPr>
              <w:pStyle w:val="ListBullet"/>
              <w:ind w:hanging="221"/>
              <w:rPr>
                <w:rFonts w:ascii="Arial" w:hAnsi="Arial"/>
              </w:rPr>
            </w:pPr>
            <w:r w:rsidRPr="00BD77D8">
              <w:rPr>
                <w:rFonts w:ascii="Arial" w:hAnsi="Arial"/>
              </w:rPr>
              <w:t>Executive Director, Regional and Infrastructure Coordination</w:t>
            </w:r>
          </w:p>
          <w:p w14:paraId="7110B4C6" w14:textId="77777777" w:rsidR="00BE0F41" w:rsidRPr="00BD77D8" w:rsidRDefault="00BE0F41" w:rsidP="00E1778E">
            <w:pPr>
              <w:pStyle w:val="ListBullet"/>
              <w:ind w:hanging="221"/>
              <w:rPr>
                <w:rFonts w:ascii="Arial" w:hAnsi="Arial"/>
              </w:rPr>
            </w:pPr>
            <w:r w:rsidRPr="00BD77D8">
              <w:rPr>
                <w:rFonts w:ascii="Arial" w:hAnsi="Arial"/>
              </w:rPr>
              <w:t xml:space="preserve">Regional Director, Cape and Torres </w:t>
            </w:r>
          </w:p>
          <w:p w14:paraId="28F40139" w14:textId="77777777" w:rsidR="00BE0F41" w:rsidRPr="00BD77D8" w:rsidRDefault="00BE0F41" w:rsidP="00E1778E">
            <w:pPr>
              <w:pStyle w:val="ListBullet"/>
              <w:ind w:hanging="221"/>
              <w:rPr>
                <w:rFonts w:ascii="Arial" w:hAnsi="Arial"/>
              </w:rPr>
            </w:pPr>
            <w:r w:rsidRPr="00BD77D8">
              <w:rPr>
                <w:rFonts w:ascii="Arial" w:hAnsi="Arial"/>
              </w:rPr>
              <w:t>Regional Director, Cairns and Hinterland</w:t>
            </w:r>
          </w:p>
          <w:p w14:paraId="33DFB3C3" w14:textId="77777777" w:rsidR="00BE0F41" w:rsidRPr="00BD77D8" w:rsidRDefault="00BE0F41" w:rsidP="00E1778E">
            <w:pPr>
              <w:pStyle w:val="ListBullet"/>
              <w:ind w:hanging="221"/>
              <w:rPr>
                <w:rFonts w:ascii="Arial" w:hAnsi="Arial"/>
              </w:rPr>
            </w:pPr>
            <w:r w:rsidRPr="00BD77D8">
              <w:rPr>
                <w:rFonts w:ascii="Arial" w:hAnsi="Arial"/>
              </w:rPr>
              <w:t xml:space="preserve">Regional Director, North Queensland </w:t>
            </w:r>
          </w:p>
          <w:p w14:paraId="28000154" w14:textId="77777777" w:rsidR="00BE0F41" w:rsidRPr="00BD77D8" w:rsidRDefault="00BE0F41" w:rsidP="00E1778E">
            <w:pPr>
              <w:pStyle w:val="ListBullet"/>
              <w:ind w:hanging="221"/>
              <w:rPr>
                <w:rFonts w:ascii="Arial" w:hAnsi="Arial"/>
              </w:rPr>
            </w:pPr>
            <w:r w:rsidRPr="00BD77D8">
              <w:rPr>
                <w:rFonts w:ascii="Arial" w:hAnsi="Arial"/>
              </w:rPr>
              <w:t>Regional Director, Central Queensland</w:t>
            </w:r>
          </w:p>
          <w:p w14:paraId="233FC3EA" w14:textId="62A47A65" w:rsidR="00BE0F41" w:rsidRPr="00BD77D8" w:rsidRDefault="00BE0F41" w:rsidP="00E1778E">
            <w:pPr>
              <w:pStyle w:val="ListBullet"/>
              <w:ind w:hanging="221"/>
              <w:rPr>
                <w:rFonts w:ascii="Arial" w:hAnsi="Arial"/>
              </w:rPr>
            </w:pPr>
            <w:r w:rsidRPr="00BD77D8">
              <w:rPr>
                <w:rFonts w:ascii="Arial" w:hAnsi="Arial"/>
              </w:rPr>
              <w:t>Regional Director, South</w:t>
            </w:r>
            <w:r w:rsidR="00441C2F" w:rsidRPr="00BD77D8">
              <w:rPr>
                <w:rFonts w:ascii="Arial" w:hAnsi="Arial"/>
              </w:rPr>
              <w:t>-</w:t>
            </w:r>
            <w:r w:rsidRPr="00BD77D8">
              <w:rPr>
                <w:rFonts w:ascii="Arial" w:hAnsi="Arial"/>
              </w:rPr>
              <w:t xml:space="preserve">East Queensland (North) </w:t>
            </w:r>
          </w:p>
          <w:p w14:paraId="604BBE06" w14:textId="032BA61C" w:rsidR="00BE0F41" w:rsidRPr="00BD77D8" w:rsidRDefault="00BE0F41" w:rsidP="00E1778E">
            <w:pPr>
              <w:pStyle w:val="ListBullet"/>
              <w:ind w:hanging="221"/>
              <w:rPr>
                <w:rFonts w:ascii="Arial" w:hAnsi="Arial"/>
              </w:rPr>
            </w:pPr>
            <w:r w:rsidRPr="00BD77D8">
              <w:rPr>
                <w:rFonts w:ascii="Arial" w:hAnsi="Arial"/>
              </w:rPr>
              <w:t>Regional Director, South</w:t>
            </w:r>
            <w:r w:rsidR="00441C2F" w:rsidRPr="00BD77D8">
              <w:rPr>
                <w:rFonts w:ascii="Arial" w:hAnsi="Arial"/>
              </w:rPr>
              <w:t>-</w:t>
            </w:r>
            <w:r w:rsidRPr="00BD77D8">
              <w:rPr>
                <w:rFonts w:ascii="Arial" w:hAnsi="Arial"/>
              </w:rPr>
              <w:t>East Queensland (South)</w:t>
            </w:r>
          </w:p>
          <w:p w14:paraId="54C5DA19" w14:textId="005438ED" w:rsidR="00BE0F41" w:rsidRPr="00BD77D8" w:rsidRDefault="00BE0F41" w:rsidP="00E1778E">
            <w:pPr>
              <w:pStyle w:val="ListBullet"/>
              <w:ind w:hanging="221"/>
              <w:rPr>
                <w:rFonts w:ascii="Arial" w:hAnsi="Arial"/>
              </w:rPr>
            </w:pPr>
            <w:r w:rsidRPr="00BD77D8">
              <w:rPr>
                <w:rFonts w:ascii="Arial" w:hAnsi="Arial"/>
              </w:rPr>
              <w:t>Regional Director, South</w:t>
            </w:r>
            <w:r w:rsidR="00441C2F" w:rsidRPr="00BD77D8">
              <w:rPr>
                <w:rFonts w:ascii="Arial" w:hAnsi="Arial"/>
              </w:rPr>
              <w:t>-</w:t>
            </w:r>
            <w:r w:rsidRPr="00BD77D8">
              <w:rPr>
                <w:rFonts w:ascii="Arial" w:hAnsi="Arial"/>
              </w:rPr>
              <w:t>West Queensland</w:t>
            </w:r>
          </w:p>
          <w:p w14:paraId="454CDCD4" w14:textId="77777777" w:rsidR="00BE0F41" w:rsidRPr="00BD77D8" w:rsidRDefault="00BE0F41" w:rsidP="00E1778E">
            <w:pPr>
              <w:pStyle w:val="ListBullet"/>
              <w:ind w:hanging="221"/>
              <w:rPr>
                <w:rFonts w:ascii="Arial" w:hAnsi="Arial"/>
              </w:rPr>
            </w:pPr>
            <w:r w:rsidRPr="00BD77D8">
              <w:rPr>
                <w:rFonts w:ascii="Arial" w:hAnsi="Arial"/>
              </w:rPr>
              <w:t>Director, Remote Indigenous Land and Infrastructure Program Office</w:t>
            </w:r>
          </w:p>
          <w:p w14:paraId="411143E3" w14:textId="2998F56D" w:rsidR="00F159BF" w:rsidRPr="00BD77D8" w:rsidRDefault="00BE0F41" w:rsidP="00E1778E">
            <w:pPr>
              <w:pStyle w:val="ListBullet"/>
              <w:ind w:hanging="221"/>
              <w:rPr>
                <w:rFonts w:ascii="Arial" w:hAnsi="Arial"/>
              </w:rPr>
            </w:pPr>
            <w:r w:rsidRPr="00BD77D8">
              <w:rPr>
                <w:rFonts w:ascii="Arial" w:hAnsi="Arial"/>
              </w:rPr>
              <w:lastRenderedPageBreak/>
              <w:t>Director, Major Economic Projects</w:t>
            </w:r>
          </w:p>
        </w:tc>
      </w:tr>
      <w:tr w:rsidR="00BD77D8" w:rsidRPr="00BD77D8" w14:paraId="594A7F29" w14:textId="77777777" w:rsidTr="00392640">
        <w:trPr>
          <w:trHeight w:val="20"/>
        </w:trPr>
        <w:tc>
          <w:tcPr>
            <w:tcW w:w="2699" w:type="dxa"/>
          </w:tcPr>
          <w:p w14:paraId="016C0B1E" w14:textId="77777777" w:rsidR="00F159BF" w:rsidRPr="00BD77D8" w:rsidRDefault="00F159BF" w:rsidP="00633348">
            <w:pPr>
              <w:rPr>
                <w:rFonts w:ascii="Arial" w:hAnsi="Arial"/>
              </w:rPr>
            </w:pPr>
            <w:r w:rsidRPr="00BD77D8">
              <w:rPr>
                <w:rFonts w:ascii="Arial" w:hAnsi="Arial"/>
              </w:rPr>
              <w:lastRenderedPageBreak/>
              <w:t>Meeting frequency</w:t>
            </w:r>
          </w:p>
        </w:tc>
        <w:tc>
          <w:tcPr>
            <w:tcW w:w="7229" w:type="dxa"/>
          </w:tcPr>
          <w:p w14:paraId="74BB8782" w14:textId="1D6AD503" w:rsidR="00F159BF" w:rsidRPr="00BD77D8" w:rsidRDefault="00F159BF" w:rsidP="00A65D3B">
            <w:pPr>
              <w:ind w:left="121"/>
              <w:rPr>
                <w:rFonts w:ascii="Arial" w:hAnsi="Arial"/>
              </w:rPr>
            </w:pPr>
            <w:r w:rsidRPr="00BD77D8">
              <w:rPr>
                <w:rFonts w:ascii="Arial" w:hAnsi="Arial"/>
              </w:rPr>
              <w:t xml:space="preserve">The Regional Service Delivery Board meets bi-monthly. </w:t>
            </w:r>
          </w:p>
        </w:tc>
      </w:tr>
      <w:bookmarkEnd w:id="333"/>
    </w:tbl>
    <w:p w14:paraId="6E6FEB04" w14:textId="5AFFE6B8" w:rsidR="00462488" w:rsidRPr="00BD77D8" w:rsidRDefault="00462488"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BD77D8" w:rsidRPr="00BD77D8" w14:paraId="47CC5750" w14:textId="77777777" w:rsidTr="006C1D56">
        <w:trPr>
          <w:trHeight w:val="20"/>
        </w:trPr>
        <w:tc>
          <w:tcPr>
            <w:tcW w:w="9928" w:type="dxa"/>
            <w:gridSpan w:val="2"/>
            <w:shd w:val="clear" w:color="auto" w:fill="F2F2F2" w:themeFill="background1" w:themeFillShade="F2"/>
          </w:tcPr>
          <w:p w14:paraId="6816A532" w14:textId="11597752" w:rsidR="00E7582A" w:rsidRPr="00BD77D8" w:rsidRDefault="00E7582A" w:rsidP="00B301A4">
            <w:pPr>
              <w:rPr>
                <w:rFonts w:ascii="Arial" w:hAnsi="Arial"/>
                <w:b/>
                <w:bCs/>
              </w:rPr>
            </w:pPr>
            <w:bookmarkStart w:id="334" w:name="_Hlk77945718"/>
            <w:r w:rsidRPr="00BD77D8">
              <w:rPr>
                <w:rFonts w:ascii="Arial" w:hAnsi="Arial"/>
                <w:b/>
                <w:bCs/>
              </w:rPr>
              <w:t xml:space="preserve">Workforce Capability and Culture Steering Committee </w:t>
            </w:r>
          </w:p>
        </w:tc>
      </w:tr>
      <w:tr w:rsidR="00BD77D8" w:rsidRPr="00BD77D8" w14:paraId="1A1BFEFF" w14:textId="77777777" w:rsidTr="006C1D56">
        <w:trPr>
          <w:trHeight w:val="20"/>
        </w:trPr>
        <w:tc>
          <w:tcPr>
            <w:tcW w:w="2699" w:type="dxa"/>
            <w:shd w:val="clear" w:color="auto" w:fill="FFFFFF" w:themeFill="background1"/>
          </w:tcPr>
          <w:p w14:paraId="053E8456" w14:textId="77777777" w:rsidR="00E7582A" w:rsidRPr="00BD77D8" w:rsidRDefault="00E7582A" w:rsidP="00B301A4">
            <w:pPr>
              <w:rPr>
                <w:rFonts w:ascii="Arial" w:hAnsi="Arial"/>
              </w:rPr>
            </w:pPr>
            <w:r w:rsidRPr="00BD77D8">
              <w:rPr>
                <w:rFonts w:ascii="Arial" w:hAnsi="Arial"/>
              </w:rPr>
              <w:t>Purpose</w:t>
            </w:r>
          </w:p>
        </w:tc>
        <w:tc>
          <w:tcPr>
            <w:tcW w:w="7229" w:type="dxa"/>
            <w:shd w:val="clear" w:color="auto" w:fill="FFFFFF" w:themeFill="background1"/>
          </w:tcPr>
          <w:p w14:paraId="03F6475A" w14:textId="21AE8A0B" w:rsidR="00E7582A" w:rsidRPr="00BD77D8" w:rsidRDefault="00BE0F41" w:rsidP="00A65D3B">
            <w:pPr>
              <w:ind w:left="121"/>
              <w:rPr>
                <w:rFonts w:ascii="Arial" w:hAnsi="Arial"/>
              </w:rPr>
            </w:pPr>
            <w:r w:rsidRPr="00BD77D8">
              <w:rPr>
                <w:rFonts w:ascii="Arial" w:hAnsi="Arial"/>
              </w:rPr>
              <w:t>To d</w:t>
            </w:r>
            <w:r w:rsidR="00F04FF8" w:rsidRPr="00BD77D8">
              <w:rPr>
                <w:rFonts w:ascii="Arial" w:hAnsi="Arial"/>
              </w:rPr>
              <w:t xml:space="preserve">rive the implementation of key workforce strategies to embed a culture that upholds the </w:t>
            </w:r>
            <w:r w:rsidR="00177A29" w:rsidRPr="00BD77D8">
              <w:rPr>
                <w:rFonts w:ascii="Arial" w:hAnsi="Arial"/>
              </w:rPr>
              <w:t xml:space="preserve">government and </w:t>
            </w:r>
            <w:r w:rsidR="00F04FF8" w:rsidRPr="00BD77D8">
              <w:rPr>
                <w:rFonts w:ascii="Arial" w:hAnsi="Arial"/>
              </w:rPr>
              <w:t>SOILD values; build workforce capability and resilience to meet current and future organisational needs; and promote the highest standards of ethical behaviour</w:t>
            </w:r>
            <w:r w:rsidR="00E7582A" w:rsidRPr="00BD77D8">
              <w:rPr>
                <w:rFonts w:ascii="Arial" w:hAnsi="Arial"/>
              </w:rPr>
              <w:t>.</w:t>
            </w:r>
          </w:p>
        </w:tc>
      </w:tr>
      <w:tr w:rsidR="00BD77D8" w:rsidRPr="00BD77D8" w14:paraId="7CF74330" w14:textId="77777777" w:rsidTr="00392640">
        <w:trPr>
          <w:trHeight w:val="20"/>
        </w:trPr>
        <w:tc>
          <w:tcPr>
            <w:tcW w:w="2699" w:type="dxa"/>
          </w:tcPr>
          <w:p w14:paraId="381756D8" w14:textId="77777777" w:rsidR="00E7582A" w:rsidRPr="00BD77D8" w:rsidRDefault="00E7582A" w:rsidP="00B301A4">
            <w:pPr>
              <w:rPr>
                <w:rFonts w:ascii="Arial" w:hAnsi="Arial"/>
              </w:rPr>
            </w:pPr>
            <w:r w:rsidRPr="00BD77D8">
              <w:rPr>
                <w:rFonts w:ascii="Arial" w:hAnsi="Arial"/>
              </w:rPr>
              <w:t>Membership</w:t>
            </w:r>
          </w:p>
        </w:tc>
        <w:tc>
          <w:tcPr>
            <w:tcW w:w="7229" w:type="dxa"/>
          </w:tcPr>
          <w:p w14:paraId="5BF8865F" w14:textId="5D7913A5" w:rsidR="00F04FF8" w:rsidRPr="00BD77D8" w:rsidRDefault="001217C4" w:rsidP="00E1778E">
            <w:pPr>
              <w:pStyle w:val="ListBullet"/>
              <w:ind w:hanging="221"/>
              <w:rPr>
                <w:rFonts w:ascii="Arial" w:hAnsi="Arial"/>
              </w:rPr>
            </w:pPr>
            <w:r w:rsidRPr="00BD77D8">
              <w:rPr>
                <w:rFonts w:ascii="Arial" w:hAnsi="Arial"/>
              </w:rPr>
              <w:t>Deputy</w:t>
            </w:r>
            <w:r w:rsidR="00F04FF8" w:rsidRPr="00BD77D8">
              <w:rPr>
                <w:rFonts w:ascii="Arial" w:hAnsi="Arial"/>
              </w:rPr>
              <w:t xml:space="preserve"> Director-General, Disability and Seniors Connect (Chair)</w:t>
            </w:r>
          </w:p>
          <w:p w14:paraId="6847DDC0" w14:textId="77777777" w:rsidR="00F04FF8" w:rsidRPr="00BD77D8" w:rsidRDefault="00F04FF8" w:rsidP="00E1778E">
            <w:pPr>
              <w:pStyle w:val="ListBullet"/>
              <w:ind w:hanging="221"/>
              <w:rPr>
                <w:rFonts w:ascii="Arial" w:hAnsi="Arial"/>
              </w:rPr>
            </w:pPr>
            <w:r w:rsidRPr="00BD77D8">
              <w:rPr>
                <w:rFonts w:ascii="Arial" w:hAnsi="Arial"/>
              </w:rPr>
              <w:t>Chief Human Resources Officer</w:t>
            </w:r>
          </w:p>
          <w:p w14:paraId="2812F687" w14:textId="77777777" w:rsidR="00F04FF8" w:rsidRPr="00BD77D8" w:rsidRDefault="00F04FF8" w:rsidP="00E1778E">
            <w:pPr>
              <w:pStyle w:val="ListBullet"/>
              <w:ind w:hanging="221"/>
              <w:rPr>
                <w:rFonts w:ascii="Arial" w:hAnsi="Arial"/>
              </w:rPr>
            </w:pPr>
            <w:r w:rsidRPr="00BD77D8">
              <w:rPr>
                <w:rFonts w:ascii="Arial" w:hAnsi="Arial"/>
              </w:rPr>
              <w:t>Deputy Director-General, Culture and Economic Participation</w:t>
            </w:r>
          </w:p>
          <w:p w14:paraId="7A886278" w14:textId="6B193067" w:rsidR="00F04FF8" w:rsidRPr="00BD77D8" w:rsidRDefault="001217C4" w:rsidP="00E1778E">
            <w:pPr>
              <w:pStyle w:val="ListBullet"/>
              <w:ind w:hanging="221"/>
              <w:rPr>
                <w:rFonts w:ascii="Arial" w:hAnsi="Arial"/>
              </w:rPr>
            </w:pPr>
            <w:r w:rsidRPr="00BD77D8">
              <w:rPr>
                <w:rFonts w:ascii="Arial" w:hAnsi="Arial"/>
              </w:rPr>
              <w:t>Deputy</w:t>
            </w:r>
            <w:r w:rsidR="00F04FF8" w:rsidRPr="00BD77D8">
              <w:rPr>
                <w:rFonts w:ascii="Arial" w:hAnsi="Arial"/>
              </w:rPr>
              <w:t xml:space="preserve"> Director-General, Disability Accommodation, Respite and Forensic Services</w:t>
            </w:r>
          </w:p>
          <w:p w14:paraId="198BBCE7" w14:textId="77777777" w:rsidR="00BE0F41" w:rsidRPr="00BD77D8" w:rsidRDefault="00BE0F41" w:rsidP="00E1778E">
            <w:pPr>
              <w:pStyle w:val="ListBullet"/>
              <w:ind w:hanging="221"/>
              <w:rPr>
                <w:rFonts w:ascii="Arial" w:hAnsi="Arial"/>
              </w:rPr>
            </w:pPr>
            <w:r w:rsidRPr="00BD77D8">
              <w:rPr>
                <w:rFonts w:ascii="Arial" w:hAnsi="Arial"/>
              </w:rPr>
              <w:t>Deputy Director-General, Corporate Services</w:t>
            </w:r>
          </w:p>
          <w:p w14:paraId="136AA2E1" w14:textId="00A386DA" w:rsidR="00E7582A" w:rsidRPr="00BD77D8" w:rsidRDefault="00BE0F41" w:rsidP="00E1778E">
            <w:pPr>
              <w:pStyle w:val="ListBullet"/>
              <w:ind w:hanging="221"/>
              <w:rPr>
                <w:rFonts w:ascii="Arial" w:hAnsi="Arial"/>
              </w:rPr>
            </w:pPr>
            <w:r w:rsidRPr="00BD77D8">
              <w:rPr>
                <w:rFonts w:ascii="Arial" w:hAnsi="Arial"/>
              </w:rPr>
              <w:t>Deputy Director-General, Strategic Policy, Legislation and Program Reform</w:t>
            </w:r>
          </w:p>
        </w:tc>
      </w:tr>
      <w:tr w:rsidR="00BD77D8" w:rsidRPr="00BD77D8" w14:paraId="01097BA3" w14:textId="77777777" w:rsidTr="00392640">
        <w:trPr>
          <w:trHeight w:val="20"/>
        </w:trPr>
        <w:tc>
          <w:tcPr>
            <w:tcW w:w="2699" w:type="dxa"/>
          </w:tcPr>
          <w:p w14:paraId="17AF5516" w14:textId="77777777" w:rsidR="00E7582A" w:rsidRPr="00BD77D8" w:rsidRDefault="00E7582A" w:rsidP="00B301A4">
            <w:pPr>
              <w:rPr>
                <w:rFonts w:ascii="Arial" w:hAnsi="Arial"/>
              </w:rPr>
            </w:pPr>
            <w:r w:rsidRPr="00BD77D8">
              <w:rPr>
                <w:rFonts w:ascii="Arial" w:hAnsi="Arial"/>
              </w:rPr>
              <w:t>Meeting frequency</w:t>
            </w:r>
          </w:p>
        </w:tc>
        <w:tc>
          <w:tcPr>
            <w:tcW w:w="7229" w:type="dxa"/>
          </w:tcPr>
          <w:p w14:paraId="6D76C8FD" w14:textId="267AA7A3" w:rsidR="00E7582A" w:rsidRPr="00BD77D8" w:rsidRDefault="00E7582A" w:rsidP="00A65D3B">
            <w:pPr>
              <w:ind w:left="121"/>
              <w:rPr>
                <w:rFonts w:ascii="Arial" w:hAnsi="Arial"/>
              </w:rPr>
            </w:pPr>
            <w:r w:rsidRPr="00BD77D8">
              <w:rPr>
                <w:rFonts w:ascii="Arial" w:hAnsi="Arial"/>
              </w:rPr>
              <w:t>The Workforce Capability and Culture Steering Committee</w:t>
            </w:r>
            <w:r w:rsidR="00F04FF8" w:rsidRPr="00BD77D8">
              <w:rPr>
                <w:rFonts w:ascii="Arial" w:hAnsi="Arial"/>
              </w:rPr>
              <w:t xml:space="preserve"> meets quarterly</w:t>
            </w:r>
            <w:r w:rsidRPr="00BD77D8">
              <w:rPr>
                <w:rFonts w:ascii="Arial" w:hAnsi="Arial"/>
              </w:rPr>
              <w:t xml:space="preserve">. </w:t>
            </w:r>
          </w:p>
        </w:tc>
      </w:tr>
    </w:tbl>
    <w:p w14:paraId="57909D7E" w14:textId="77777777" w:rsidR="007B7F87" w:rsidRPr="00BD77D8" w:rsidRDefault="007B7F87">
      <w:pPr>
        <w:spacing w:after="0" w:line="240" w:lineRule="auto"/>
        <w:rPr>
          <w:rFonts w:eastAsia="Calibri"/>
          <w:bCs/>
          <w:iCs/>
          <w:spacing w:val="-4"/>
          <w:sz w:val="30"/>
          <w:szCs w:val="30"/>
          <w:lang w:eastAsia="en-US"/>
        </w:rPr>
      </w:pPr>
      <w:bookmarkStart w:id="335" w:name="_Toc43444836"/>
      <w:bookmarkEnd w:id="8"/>
      <w:bookmarkEnd w:id="334"/>
      <w:r w:rsidRPr="00BD77D8">
        <w:rPr>
          <w:rFonts w:eastAsia="Calibri"/>
          <w:bCs/>
          <w:iCs/>
          <w:spacing w:val="-4"/>
          <w:sz w:val="30"/>
          <w:szCs w:val="30"/>
          <w:lang w:eastAsia="en-US"/>
        </w:rPr>
        <w:br w:type="page"/>
      </w:r>
    </w:p>
    <w:p w14:paraId="75CEBA16" w14:textId="72B8BEB6" w:rsidR="00C02ECF" w:rsidRPr="00BD77D8" w:rsidRDefault="007B7F87" w:rsidP="009C02E1">
      <w:pPr>
        <w:pStyle w:val="Heading2"/>
        <w:rPr>
          <w:color w:val="auto"/>
        </w:rPr>
      </w:pPr>
      <w:bookmarkStart w:id="336" w:name="_Toc113544415"/>
      <w:r w:rsidRPr="00BD77D8">
        <w:rPr>
          <w:color w:val="auto"/>
        </w:rPr>
        <w:lastRenderedPageBreak/>
        <w:t>Appendix 4</w:t>
      </w:r>
      <w:bookmarkStart w:id="337" w:name="_Hlk113355709"/>
      <w:r w:rsidR="00E434A2" w:rsidRPr="00BD77D8">
        <w:rPr>
          <w:color w:val="auto"/>
        </w:rPr>
        <w:t>—</w:t>
      </w:r>
      <w:r w:rsidRPr="00BD77D8">
        <w:rPr>
          <w:color w:val="auto"/>
        </w:rPr>
        <w:t>Government bodies (</w:t>
      </w:r>
      <w:r w:rsidR="00E434A2" w:rsidRPr="00BD77D8">
        <w:rPr>
          <w:color w:val="auto"/>
        </w:rPr>
        <w:t>s</w:t>
      </w:r>
      <w:r w:rsidRPr="00BD77D8">
        <w:rPr>
          <w:color w:val="auto"/>
        </w:rPr>
        <w:t>tatutory bodies and other entities)</w:t>
      </w:r>
      <w:bookmarkEnd w:id="336"/>
      <w:bookmarkEnd w:id="337"/>
    </w:p>
    <w:tbl>
      <w:tblPr>
        <w:tblStyle w:val="TableGrid72"/>
        <w:tblW w:w="10460" w:type="dxa"/>
        <w:tblLook w:val="04A0" w:firstRow="1" w:lastRow="0" w:firstColumn="1" w:lastColumn="0" w:noHBand="0" w:noVBand="1"/>
      </w:tblPr>
      <w:tblGrid>
        <w:gridCol w:w="1944"/>
        <w:gridCol w:w="1845"/>
        <w:gridCol w:w="1350"/>
        <w:gridCol w:w="2040"/>
        <w:gridCol w:w="1650"/>
        <w:gridCol w:w="1631"/>
      </w:tblGrid>
      <w:tr w:rsidR="00BD77D8" w:rsidRPr="00BD77D8" w14:paraId="7E6CAD51" w14:textId="77777777" w:rsidTr="00940EF1">
        <w:trPr>
          <w:tblHeader/>
        </w:trPr>
        <w:tc>
          <w:tcPr>
            <w:tcW w:w="1046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32DD9E" w14:textId="77777777" w:rsidR="00312556" w:rsidRPr="00BD77D8" w:rsidRDefault="00312556" w:rsidP="001F170D">
            <w:pPr>
              <w:spacing w:before="120" w:after="120"/>
              <w:rPr>
                <w:rFonts w:ascii="Arial" w:hAnsi="Arial"/>
                <w:b/>
                <w:bCs/>
              </w:rPr>
            </w:pPr>
            <w:r w:rsidRPr="00BD77D8">
              <w:rPr>
                <w:rFonts w:ascii="Arial" w:hAnsi="Arial"/>
                <w:b/>
                <w:bCs/>
              </w:rPr>
              <w:t>QUEENSLAND CARERS ADVISORY COUNCIL</w:t>
            </w:r>
          </w:p>
        </w:tc>
      </w:tr>
      <w:tr w:rsidR="00BD77D8" w:rsidRPr="00BD77D8" w14:paraId="4E59F64D"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2A420219" w14:textId="77777777" w:rsidR="00312556" w:rsidRPr="00BD77D8" w:rsidRDefault="00312556" w:rsidP="001F170D">
            <w:pPr>
              <w:spacing w:before="120" w:after="120"/>
              <w:rPr>
                <w:rFonts w:ascii="Arial" w:hAnsi="Arial"/>
              </w:rPr>
            </w:pPr>
            <w:r w:rsidRPr="00BD77D8">
              <w:rPr>
                <w:rFonts w:ascii="Arial" w:hAnsi="Arial"/>
              </w:rPr>
              <w:t>Act or instrument</w:t>
            </w:r>
          </w:p>
        </w:tc>
        <w:tc>
          <w:tcPr>
            <w:tcW w:w="8516" w:type="dxa"/>
            <w:gridSpan w:val="5"/>
            <w:tcBorders>
              <w:top w:val="single" w:sz="4" w:space="0" w:color="auto"/>
              <w:left w:val="single" w:sz="4" w:space="0" w:color="auto"/>
              <w:bottom w:val="single" w:sz="4" w:space="0" w:color="auto"/>
              <w:right w:val="single" w:sz="4" w:space="0" w:color="auto"/>
            </w:tcBorders>
          </w:tcPr>
          <w:p w14:paraId="415754B8" w14:textId="77777777" w:rsidR="00312556" w:rsidRPr="00BD77D8" w:rsidRDefault="00312556" w:rsidP="00177A29">
            <w:pPr>
              <w:spacing w:before="120" w:after="120"/>
              <w:rPr>
                <w:rFonts w:ascii="Arial" w:hAnsi="Arial"/>
                <w:i/>
                <w:iCs/>
              </w:rPr>
            </w:pPr>
            <w:r w:rsidRPr="00BD77D8">
              <w:rPr>
                <w:rFonts w:ascii="Arial" w:hAnsi="Arial"/>
                <w:i/>
                <w:iCs/>
              </w:rPr>
              <w:t xml:space="preserve">Carers (Recognition) Act 2008 </w:t>
            </w:r>
          </w:p>
        </w:tc>
      </w:tr>
      <w:tr w:rsidR="00BD77D8" w:rsidRPr="00BD77D8" w14:paraId="74CD1DA6"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6C4AD18B" w14:textId="77777777" w:rsidR="00312556" w:rsidRPr="00BD77D8" w:rsidRDefault="00312556" w:rsidP="001F170D">
            <w:pPr>
              <w:spacing w:before="120" w:after="120"/>
              <w:rPr>
                <w:rFonts w:ascii="Arial" w:hAnsi="Arial"/>
              </w:rPr>
            </w:pPr>
            <w:r w:rsidRPr="00BD77D8">
              <w:rPr>
                <w:rFonts w:ascii="Arial" w:hAnsi="Arial"/>
              </w:rPr>
              <w:t>Functions</w:t>
            </w:r>
          </w:p>
        </w:tc>
        <w:tc>
          <w:tcPr>
            <w:tcW w:w="8516" w:type="dxa"/>
            <w:gridSpan w:val="5"/>
            <w:tcBorders>
              <w:top w:val="single" w:sz="4" w:space="0" w:color="auto"/>
              <w:left w:val="single" w:sz="4" w:space="0" w:color="auto"/>
              <w:bottom w:val="single" w:sz="4" w:space="0" w:color="auto"/>
              <w:right w:val="single" w:sz="4" w:space="0" w:color="auto"/>
            </w:tcBorders>
          </w:tcPr>
          <w:p w14:paraId="0D55BF14" w14:textId="77777777" w:rsidR="00312556" w:rsidRPr="00BD77D8" w:rsidRDefault="00312556" w:rsidP="001F170D">
            <w:pPr>
              <w:spacing w:after="0" w:line="240" w:lineRule="auto"/>
              <w:ind w:left="119"/>
              <w:rPr>
                <w:rFonts w:ascii="Arial" w:hAnsi="Arial"/>
              </w:rPr>
            </w:pPr>
            <w:r w:rsidRPr="00BD77D8">
              <w:rPr>
                <w:rFonts w:ascii="Arial" w:hAnsi="Arial"/>
              </w:rPr>
              <w:t>The Queensland Carers Advisory Council (the council) is appointed to advise the Minister for Seniors and Disability Services and Minister for Aboriginal and Torres Strait Islander Partnerships (the Minister) on:</w:t>
            </w:r>
          </w:p>
          <w:p w14:paraId="2D90263A" w14:textId="77777777" w:rsidR="00312556" w:rsidRPr="00BD77D8" w:rsidRDefault="00312556" w:rsidP="00312556">
            <w:pPr>
              <w:numPr>
                <w:ilvl w:val="0"/>
                <w:numId w:val="61"/>
              </w:numPr>
              <w:spacing w:before="120" w:after="120" w:line="259" w:lineRule="auto"/>
              <w:contextualSpacing/>
              <w:rPr>
                <w:rFonts w:ascii="Arial" w:hAnsi="Arial"/>
              </w:rPr>
            </w:pPr>
            <w:r w:rsidRPr="00BD77D8">
              <w:rPr>
                <w:rFonts w:ascii="Arial" w:hAnsi="Arial"/>
              </w:rPr>
              <w:t>work to advance the interests of carers and promote compliance by public authorities with the Queensland Carers Charter</w:t>
            </w:r>
          </w:p>
          <w:p w14:paraId="0E174F3F" w14:textId="77777777" w:rsidR="00312556" w:rsidRPr="00BD77D8" w:rsidRDefault="00312556" w:rsidP="00312556">
            <w:pPr>
              <w:numPr>
                <w:ilvl w:val="0"/>
                <w:numId w:val="61"/>
              </w:numPr>
              <w:spacing w:before="120" w:after="120" w:line="259" w:lineRule="auto"/>
              <w:contextualSpacing/>
              <w:rPr>
                <w:rFonts w:ascii="Arial" w:hAnsi="Arial"/>
              </w:rPr>
            </w:pPr>
            <w:r w:rsidRPr="00BD77D8">
              <w:rPr>
                <w:rFonts w:ascii="Arial" w:hAnsi="Arial"/>
              </w:rPr>
              <w:t>make recommendations to the Minister on enhancing compliance by public authorities with the Queensland Carers Charter</w:t>
            </w:r>
          </w:p>
          <w:p w14:paraId="2F47E500" w14:textId="77777777" w:rsidR="00312556" w:rsidRPr="00BD77D8" w:rsidRDefault="00312556" w:rsidP="00312556">
            <w:pPr>
              <w:numPr>
                <w:ilvl w:val="0"/>
                <w:numId w:val="61"/>
              </w:numPr>
              <w:spacing w:before="120" w:after="120" w:line="259" w:lineRule="auto"/>
              <w:contextualSpacing/>
              <w:rPr>
                <w:rFonts w:ascii="Arial" w:hAnsi="Arial"/>
              </w:rPr>
            </w:pPr>
            <w:r w:rsidRPr="00BD77D8">
              <w:rPr>
                <w:rFonts w:ascii="Arial" w:hAnsi="Arial"/>
              </w:rPr>
              <w:t>provide general advice to the Minister on matters relating to carers</w:t>
            </w:r>
          </w:p>
          <w:p w14:paraId="742904EB" w14:textId="77777777" w:rsidR="00312556" w:rsidRPr="00BD77D8" w:rsidRDefault="00312556" w:rsidP="00312556">
            <w:pPr>
              <w:numPr>
                <w:ilvl w:val="0"/>
                <w:numId w:val="61"/>
              </w:numPr>
              <w:spacing w:before="120" w:after="120" w:line="240" w:lineRule="auto"/>
              <w:ind w:left="714" w:hanging="357"/>
              <w:contextualSpacing/>
              <w:rPr>
                <w:rFonts w:ascii="Arial" w:hAnsi="Arial"/>
              </w:rPr>
            </w:pPr>
            <w:r w:rsidRPr="00BD77D8">
              <w:rPr>
                <w:rFonts w:ascii="Arial" w:hAnsi="Arial"/>
              </w:rPr>
              <w:t>carry out other functions as directed by the Minister.</w:t>
            </w:r>
          </w:p>
          <w:p w14:paraId="64AE95FE" w14:textId="77777777" w:rsidR="00312556" w:rsidRPr="00BD77D8" w:rsidRDefault="00312556" w:rsidP="001F170D">
            <w:pPr>
              <w:spacing w:after="120" w:line="240" w:lineRule="auto"/>
              <w:ind w:left="119"/>
              <w:rPr>
                <w:rFonts w:ascii="Arial" w:hAnsi="Arial"/>
              </w:rPr>
            </w:pPr>
          </w:p>
          <w:p w14:paraId="18BD1D66" w14:textId="77777777" w:rsidR="00312556" w:rsidRPr="00BD77D8" w:rsidRDefault="00312556" w:rsidP="001F170D">
            <w:pPr>
              <w:spacing w:after="0" w:line="240" w:lineRule="auto"/>
              <w:ind w:left="119"/>
              <w:rPr>
                <w:rFonts w:ascii="Arial" w:hAnsi="Arial"/>
              </w:rPr>
            </w:pPr>
            <w:r w:rsidRPr="00BD77D8">
              <w:rPr>
                <w:rFonts w:ascii="Arial" w:hAnsi="Arial"/>
              </w:rPr>
              <w:t>At the Minister’s invitation, the council will:</w:t>
            </w:r>
          </w:p>
          <w:p w14:paraId="2A1D89A7"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contribute to the annual National Carers Week</w:t>
            </w:r>
          </w:p>
          <w:p w14:paraId="4A369CF7"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 xml:space="preserve">contribute to the annual International Grandparents’ Day </w:t>
            </w:r>
          </w:p>
          <w:p w14:paraId="2C308CA5"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contribute to relevant forums</w:t>
            </w:r>
          </w:p>
          <w:p w14:paraId="5D905268"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provide advice on carer related issues</w:t>
            </w:r>
          </w:p>
          <w:p w14:paraId="04B65007" w14:textId="458DE4E6"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 xml:space="preserve">promote compliance of public authorities to the Queensland Carers Charter </w:t>
            </w:r>
          </w:p>
          <w:p w14:paraId="6128D3C3" w14:textId="77777777" w:rsidR="00312556" w:rsidRPr="00BD77D8" w:rsidRDefault="00312556" w:rsidP="00312556">
            <w:pPr>
              <w:numPr>
                <w:ilvl w:val="0"/>
                <w:numId w:val="60"/>
              </w:numPr>
              <w:spacing w:before="120" w:after="120" w:line="259" w:lineRule="auto"/>
              <w:contextualSpacing/>
              <w:rPr>
                <w:rFonts w:ascii="Arial" w:hAnsi="Arial"/>
              </w:rPr>
            </w:pPr>
            <w:r w:rsidRPr="00BD77D8">
              <w:rPr>
                <w:rFonts w:ascii="Arial" w:hAnsi="Arial"/>
              </w:rPr>
              <w:t>facilitate consultation with carers and carer organisations.</w:t>
            </w:r>
          </w:p>
          <w:p w14:paraId="7650DB05" w14:textId="77777777" w:rsidR="00312556" w:rsidRPr="00BD77D8" w:rsidRDefault="00312556" w:rsidP="001F170D">
            <w:pPr>
              <w:tabs>
                <w:tab w:val="left" w:pos="720"/>
              </w:tabs>
              <w:spacing w:before="120" w:after="120" w:line="259" w:lineRule="auto"/>
              <w:rPr>
                <w:rFonts w:ascii="Arial" w:hAnsi="Arial"/>
              </w:rPr>
            </w:pPr>
          </w:p>
          <w:p w14:paraId="16EF4056" w14:textId="77777777" w:rsidR="00312556" w:rsidRPr="00BD77D8" w:rsidRDefault="00312556" w:rsidP="001F170D">
            <w:pPr>
              <w:spacing w:after="0" w:line="240" w:lineRule="auto"/>
              <w:ind w:left="119"/>
              <w:rPr>
                <w:rFonts w:ascii="Arial" w:hAnsi="Arial"/>
              </w:rPr>
            </w:pPr>
            <w:r w:rsidRPr="00BD77D8">
              <w:rPr>
                <w:rFonts w:ascii="Arial" w:hAnsi="Arial"/>
              </w:rPr>
              <w:t xml:space="preserve">The council consists of 12 members appointed by signed notice by the Minister. </w:t>
            </w:r>
          </w:p>
          <w:p w14:paraId="7383DDE9" w14:textId="77777777" w:rsidR="00312556" w:rsidRPr="00BD77D8" w:rsidRDefault="00312556" w:rsidP="00312556">
            <w:pPr>
              <w:numPr>
                <w:ilvl w:val="0"/>
                <w:numId w:val="59"/>
              </w:numPr>
              <w:spacing w:before="120" w:after="120" w:line="259" w:lineRule="auto"/>
              <w:contextualSpacing/>
              <w:rPr>
                <w:rFonts w:ascii="Arial" w:hAnsi="Arial"/>
              </w:rPr>
            </w:pPr>
            <w:r w:rsidRPr="00BD77D8">
              <w:rPr>
                <w:rFonts w:ascii="Arial" w:hAnsi="Arial"/>
              </w:rPr>
              <w:t>Four members must be carers, one of whom must be a grandparent carer.</w:t>
            </w:r>
          </w:p>
          <w:p w14:paraId="24E5161A" w14:textId="77777777" w:rsidR="00312556" w:rsidRPr="00BD77D8" w:rsidRDefault="00312556" w:rsidP="00312556">
            <w:pPr>
              <w:numPr>
                <w:ilvl w:val="0"/>
                <w:numId w:val="59"/>
              </w:numPr>
              <w:spacing w:before="120" w:after="120" w:line="259" w:lineRule="auto"/>
              <w:contextualSpacing/>
              <w:rPr>
                <w:rFonts w:ascii="Arial" w:hAnsi="Arial"/>
              </w:rPr>
            </w:pPr>
            <w:r w:rsidRPr="00BD77D8">
              <w:rPr>
                <w:rFonts w:ascii="Arial" w:hAnsi="Arial"/>
              </w:rPr>
              <w:t>Three members must be representatives of different carers associations.</w:t>
            </w:r>
          </w:p>
          <w:p w14:paraId="038DB100" w14:textId="77777777" w:rsidR="00312556" w:rsidRPr="00BD77D8" w:rsidRDefault="00312556" w:rsidP="00312556">
            <w:pPr>
              <w:numPr>
                <w:ilvl w:val="0"/>
                <w:numId w:val="59"/>
              </w:numPr>
              <w:spacing w:before="120" w:after="120" w:line="259" w:lineRule="auto"/>
              <w:contextualSpacing/>
              <w:rPr>
                <w:rFonts w:ascii="Arial" w:hAnsi="Arial"/>
              </w:rPr>
            </w:pPr>
            <w:r w:rsidRPr="00BD77D8">
              <w:rPr>
                <w:rFonts w:ascii="Arial" w:hAnsi="Arial"/>
              </w:rPr>
              <w:t xml:space="preserve">One member must be a representative of grandparent carers. </w:t>
            </w:r>
          </w:p>
          <w:p w14:paraId="6DCC0066" w14:textId="77777777" w:rsidR="00312556" w:rsidRPr="00BD77D8" w:rsidRDefault="00312556" w:rsidP="00312556">
            <w:pPr>
              <w:numPr>
                <w:ilvl w:val="0"/>
                <w:numId w:val="59"/>
              </w:numPr>
              <w:spacing w:before="120" w:after="120" w:line="259" w:lineRule="auto"/>
              <w:contextualSpacing/>
              <w:rPr>
                <w:rFonts w:ascii="Arial" w:hAnsi="Arial"/>
              </w:rPr>
            </w:pPr>
            <w:r w:rsidRPr="00BD77D8">
              <w:rPr>
                <w:rFonts w:ascii="Arial" w:hAnsi="Arial"/>
              </w:rPr>
              <w:t>Four members must be public service employees.</w:t>
            </w:r>
          </w:p>
          <w:p w14:paraId="46383A1F" w14:textId="77777777" w:rsidR="00312556" w:rsidRPr="00BD77D8" w:rsidRDefault="00312556" w:rsidP="001F170D">
            <w:pPr>
              <w:spacing w:before="120" w:after="120" w:line="259" w:lineRule="auto"/>
              <w:ind w:left="720"/>
              <w:contextualSpacing/>
              <w:rPr>
                <w:rFonts w:ascii="Arial" w:hAnsi="Arial"/>
              </w:rPr>
            </w:pPr>
          </w:p>
          <w:p w14:paraId="761A94D8" w14:textId="77777777" w:rsidR="00312556" w:rsidRPr="00BD77D8" w:rsidRDefault="00312556" w:rsidP="001F170D">
            <w:pPr>
              <w:spacing w:after="120" w:line="240" w:lineRule="auto"/>
              <w:ind w:left="119"/>
              <w:rPr>
                <w:rFonts w:ascii="Arial" w:hAnsi="Arial"/>
              </w:rPr>
            </w:pPr>
            <w:r w:rsidRPr="00BD77D8">
              <w:rPr>
                <w:rFonts w:ascii="Arial" w:hAnsi="Arial"/>
              </w:rPr>
              <w:t>Appointments to the council are for a period of up to two years.</w:t>
            </w:r>
          </w:p>
        </w:tc>
      </w:tr>
      <w:tr w:rsidR="00BD77D8" w:rsidRPr="00BD77D8" w14:paraId="6C02B2A1"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7BF75AD1" w14:textId="77777777" w:rsidR="00312556" w:rsidRPr="00BD77D8" w:rsidRDefault="00312556" w:rsidP="001F170D">
            <w:pPr>
              <w:spacing w:before="120" w:after="120"/>
              <w:rPr>
                <w:rFonts w:ascii="Arial" w:hAnsi="Arial"/>
              </w:rPr>
            </w:pPr>
            <w:r w:rsidRPr="00BD77D8">
              <w:rPr>
                <w:rFonts w:ascii="Arial" w:hAnsi="Arial"/>
              </w:rPr>
              <w:t>Achievements</w:t>
            </w:r>
          </w:p>
        </w:tc>
        <w:tc>
          <w:tcPr>
            <w:tcW w:w="8516" w:type="dxa"/>
            <w:gridSpan w:val="5"/>
            <w:tcBorders>
              <w:top w:val="single" w:sz="4" w:space="0" w:color="auto"/>
              <w:left w:val="single" w:sz="4" w:space="0" w:color="auto"/>
              <w:bottom w:val="single" w:sz="4" w:space="0" w:color="auto"/>
              <w:right w:val="single" w:sz="4" w:space="0" w:color="auto"/>
            </w:tcBorders>
            <w:hideMark/>
          </w:tcPr>
          <w:p w14:paraId="5B640B52" w14:textId="72F180E1" w:rsidR="00312556" w:rsidRPr="00BD77D8" w:rsidRDefault="00312556" w:rsidP="001F170D">
            <w:pPr>
              <w:spacing w:after="120" w:line="240" w:lineRule="auto"/>
              <w:ind w:left="119"/>
              <w:rPr>
                <w:rFonts w:ascii="Arial" w:hAnsi="Arial"/>
              </w:rPr>
            </w:pPr>
            <w:r w:rsidRPr="00BD77D8">
              <w:rPr>
                <w:rFonts w:ascii="Arial" w:hAnsi="Arial"/>
              </w:rPr>
              <w:t>The new 2022</w:t>
            </w:r>
            <w:r w:rsidR="00177A29" w:rsidRPr="00BD77D8">
              <w:rPr>
                <w:rFonts w:ascii="Arial" w:hAnsi="Arial"/>
              </w:rPr>
              <w:t>–</w:t>
            </w:r>
            <w:r w:rsidRPr="00BD77D8">
              <w:rPr>
                <w:rFonts w:ascii="Arial" w:hAnsi="Arial"/>
              </w:rPr>
              <w:t xml:space="preserve">2024 term of the council was appointed on 31 January 2022. The first meeting of the newly appointed </w:t>
            </w:r>
            <w:r w:rsidR="00177A29" w:rsidRPr="00BD77D8">
              <w:rPr>
                <w:rFonts w:ascii="Arial" w:hAnsi="Arial"/>
              </w:rPr>
              <w:t>c</w:t>
            </w:r>
            <w:r w:rsidRPr="00BD77D8">
              <w:rPr>
                <w:rFonts w:ascii="Arial" w:hAnsi="Arial"/>
              </w:rPr>
              <w:t>ouncil was on 20 April 2022.</w:t>
            </w:r>
          </w:p>
          <w:p w14:paraId="28132B52" w14:textId="6F3A0128" w:rsidR="00312556" w:rsidRPr="00BD77D8" w:rsidRDefault="00312556" w:rsidP="001F170D">
            <w:pPr>
              <w:spacing w:after="120" w:line="240" w:lineRule="auto"/>
              <w:ind w:left="119"/>
              <w:rPr>
                <w:rFonts w:ascii="Arial" w:hAnsi="Arial"/>
              </w:rPr>
            </w:pPr>
            <w:r w:rsidRPr="00BD77D8">
              <w:rPr>
                <w:rFonts w:ascii="Arial" w:hAnsi="Arial"/>
              </w:rPr>
              <w:t>The Honourable Craig Crawford</w:t>
            </w:r>
            <w:r w:rsidR="00177A29" w:rsidRPr="00BD77D8">
              <w:rPr>
                <w:rFonts w:ascii="Arial" w:hAnsi="Arial"/>
              </w:rPr>
              <w:t xml:space="preserve"> MP</w:t>
            </w:r>
            <w:r w:rsidRPr="00BD77D8">
              <w:rPr>
                <w:rFonts w:ascii="Arial" w:hAnsi="Arial"/>
              </w:rPr>
              <w:t>, Minister</w:t>
            </w:r>
            <w:r w:rsidR="00177A29" w:rsidRPr="00BD77D8">
              <w:rPr>
                <w:rFonts w:ascii="Arial" w:hAnsi="Arial"/>
              </w:rPr>
              <w:t xml:space="preserve"> for</w:t>
            </w:r>
            <w:r w:rsidRPr="00BD77D8">
              <w:rPr>
                <w:rFonts w:ascii="Arial" w:hAnsi="Arial"/>
              </w:rPr>
              <w:t xml:space="preserve"> Seniors and Disability Services and Minister for Aboriginal and Torres Strait Islander Partnerships attended the </w:t>
            </w:r>
            <w:r w:rsidR="00177A29" w:rsidRPr="00BD77D8">
              <w:rPr>
                <w:rFonts w:ascii="Arial" w:hAnsi="Arial"/>
              </w:rPr>
              <w:t>c</w:t>
            </w:r>
            <w:r w:rsidRPr="00BD77D8">
              <w:rPr>
                <w:rFonts w:ascii="Arial" w:hAnsi="Arial"/>
              </w:rPr>
              <w:t xml:space="preserve">ouncil meeting. </w:t>
            </w:r>
          </w:p>
          <w:p w14:paraId="0271BD2A" w14:textId="7E42B9FC" w:rsidR="00312556" w:rsidRPr="00BD77D8" w:rsidRDefault="00312556" w:rsidP="001F170D">
            <w:pPr>
              <w:spacing w:after="120" w:line="240" w:lineRule="auto"/>
              <w:ind w:left="119"/>
              <w:rPr>
                <w:rFonts w:ascii="Arial" w:hAnsi="Arial"/>
              </w:rPr>
            </w:pPr>
            <w:r w:rsidRPr="00BD77D8">
              <w:rPr>
                <w:rFonts w:ascii="Arial" w:hAnsi="Arial"/>
              </w:rPr>
              <w:t xml:space="preserve">The Minister noted </w:t>
            </w:r>
            <w:r w:rsidR="00177A29" w:rsidRPr="00BD77D8">
              <w:rPr>
                <w:rFonts w:ascii="Arial" w:hAnsi="Arial"/>
              </w:rPr>
              <w:t xml:space="preserve">the </w:t>
            </w:r>
            <w:r w:rsidRPr="00BD77D8">
              <w:rPr>
                <w:rFonts w:ascii="Arial" w:hAnsi="Arial"/>
              </w:rPr>
              <w:t xml:space="preserve">extraordinary contribution that carers make to the lives of the people they care for and their communities. He recognised the value of having the </w:t>
            </w:r>
            <w:r w:rsidR="00177A29" w:rsidRPr="00BD77D8">
              <w:rPr>
                <w:rFonts w:ascii="Arial" w:hAnsi="Arial"/>
              </w:rPr>
              <w:t>c</w:t>
            </w:r>
            <w:r w:rsidRPr="00BD77D8">
              <w:rPr>
                <w:rFonts w:ascii="Arial" w:hAnsi="Arial"/>
              </w:rPr>
              <w:t xml:space="preserve">ouncil’s expert advice on how policy, programs, services and strategies can best meet the needs of carers. </w:t>
            </w:r>
          </w:p>
          <w:p w14:paraId="60729599" w14:textId="6FD862D7" w:rsidR="00312556" w:rsidRPr="00BD77D8" w:rsidRDefault="00312556" w:rsidP="001F170D">
            <w:pPr>
              <w:spacing w:after="0" w:line="240" w:lineRule="auto"/>
              <w:ind w:left="119"/>
              <w:rPr>
                <w:rFonts w:ascii="Arial" w:hAnsi="Arial"/>
              </w:rPr>
            </w:pPr>
            <w:r w:rsidRPr="00BD77D8">
              <w:rPr>
                <w:rFonts w:ascii="Arial" w:hAnsi="Arial"/>
              </w:rPr>
              <w:t xml:space="preserve">The Minister and the </w:t>
            </w:r>
            <w:r w:rsidR="00177A29" w:rsidRPr="00BD77D8">
              <w:rPr>
                <w:rFonts w:ascii="Arial" w:hAnsi="Arial"/>
              </w:rPr>
              <w:t>c</w:t>
            </w:r>
            <w:r w:rsidRPr="00BD77D8">
              <w:rPr>
                <w:rFonts w:ascii="Arial" w:hAnsi="Arial"/>
              </w:rPr>
              <w:t>ouncil members discussed:</w:t>
            </w:r>
          </w:p>
          <w:p w14:paraId="26E20845"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areas of the Queensland </w:t>
            </w:r>
            <w:r w:rsidRPr="00BD77D8">
              <w:rPr>
                <w:rFonts w:ascii="Arial" w:hAnsi="Arial"/>
                <w:i/>
                <w:iCs/>
              </w:rPr>
              <w:t>Carer’s (Recognition) Act 2008</w:t>
            </w:r>
            <w:r w:rsidRPr="00BD77D8">
              <w:rPr>
                <w:rFonts w:ascii="Arial" w:hAnsi="Arial"/>
              </w:rPr>
              <w:t xml:space="preserve"> that may need to be reviewed </w:t>
            </w:r>
          </w:p>
          <w:p w14:paraId="486408F2"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difficulties faced by young carers, particularly relating to education or training </w:t>
            </w:r>
          </w:p>
          <w:p w14:paraId="40B80980"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research gaps for all carer cohorts, including young carers and grandparent carers </w:t>
            </w:r>
          </w:p>
          <w:p w14:paraId="6F514851"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need to raise the awareness of the economic and social value of carers </w:t>
            </w:r>
          </w:p>
          <w:p w14:paraId="1C503CF2"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opportunity cost </w:t>
            </w:r>
            <w:proofErr w:type="gramStart"/>
            <w:r w:rsidRPr="00BD77D8">
              <w:rPr>
                <w:rFonts w:ascii="Arial" w:hAnsi="Arial"/>
              </w:rPr>
              <w:t>that carers</w:t>
            </w:r>
            <w:proofErr w:type="gramEnd"/>
            <w:r w:rsidRPr="00BD77D8">
              <w:rPr>
                <w:rFonts w:ascii="Arial" w:hAnsi="Arial"/>
              </w:rPr>
              <w:t xml:space="preserve"> face over their lifetime, through reduced earnings and lower retirement incomes</w:t>
            </w:r>
          </w:p>
          <w:p w14:paraId="4D3ECA95"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social isolation that carers face, often leading to other mental and physical health problems </w:t>
            </w:r>
          </w:p>
          <w:p w14:paraId="7CEE9895" w14:textId="77777777"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t xml:space="preserve">the social and economic returns to government of investing in carers, through increased support and services, that will result in future savings to the economy </w:t>
            </w:r>
          </w:p>
          <w:p w14:paraId="68607FE4" w14:textId="0DB9D038" w:rsidR="00312556" w:rsidRPr="00BD77D8" w:rsidRDefault="00312556" w:rsidP="00312556">
            <w:pPr>
              <w:numPr>
                <w:ilvl w:val="0"/>
                <w:numId w:val="58"/>
              </w:numPr>
              <w:spacing w:before="120" w:after="120" w:line="257" w:lineRule="auto"/>
              <w:contextualSpacing/>
              <w:rPr>
                <w:rFonts w:ascii="Arial" w:hAnsi="Arial"/>
              </w:rPr>
            </w:pPr>
            <w:r w:rsidRPr="00BD77D8">
              <w:rPr>
                <w:rFonts w:ascii="Arial" w:hAnsi="Arial"/>
              </w:rPr>
              <w:lastRenderedPageBreak/>
              <w:t>the need for all workplaces to support carers through flexible work arrangements, recognising the principles of the Queensland Carers Charter.</w:t>
            </w:r>
          </w:p>
          <w:p w14:paraId="59174018" w14:textId="37DC5EA9" w:rsidR="00312556" w:rsidRPr="00BD77D8" w:rsidRDefault="00312556" w:rsidP="001F170D">
            <w:pPr>
              <w:spacing w:after="120" w:line="240" w:lineRule="auto"/>
              <w:ind w:left="119"/>
              <w:rPr>
                <w:rFonts w:ascii="Arial" w:hAnsi="Arial"/>
              </w:rPr>
            </w:pPr>
            <w:r w:rsidRPr="00BD77D8">
              <w:rPr>
                <w:rFonts w:ascii="Arial" w:hAnsi="Arial"/>
              </w:rPr>
              <w:t xml:space="preserve">These issues will continue to be a focus for the </w:t>
            </w:r>
            <w:r w:rsidR="00177A29" w:rsidRPr="00BD77D8">
              <w:rPr>
                <w:rFonts w:ascii="Arial" w:hAnsi="Arial"/>
              </w:rPr>
              <w:t>c</w:t>
            </w:r>
            <w:r w:rsidRPr="00BD77D8">
              <w:rPr>
                <w:rFonts w:ascii="Arial" w:hAnsi="Arial"/>
              </w:rPr>
              <w:t>ouncil over the next two years and form a workplan to guide actions and outcomes.</w:t>
            </w:r>
          </w:p>
        </w:tc>
      </w:tr>
      <w:tr w:rsidR="00BD77D8" w:rsidRPr="00BD77D8" w14:paraId="70E6A077"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3E8BC97E" w14:textId="77777777" w:rsidR="00312556" w:rsidRPr="00BD77D8" w:rsidRDefault="00312556" w:rsidP="001F170D">
            <w:pPr>
              <w:spacing w:before="120" w:after="120"/>
              <w:rPr>
                <w:rFonts w:ascii="Arial" w:hAnsi="Arial"/>
              </w:rPr>
            </w:pPr>
            <w:r w:rsidRPr="00BD77D8">
              <w:rPr>
                <w:rFonts w:ascii="Arial" w:hAnsi="Arial"/>
              </w:rPr>
              <w:lastRenderedPageBreak/>
              <w:t>Financial reporting</w:t>
            </w:r>
          </w:p>
        </w:tc>
        <w:tc>
          <w:tcPr>
            <w:tcW w:w="8516" w:type="dxa"/>
            <w:gridSpan w:val="5"/>
            <w:tcBorders>
              <w:top w:val="single" w:sz="4" w:space="0" w:color="auto"/>
              <w:left w:val="single" w:sz="4" w:space="0" w:color="auto"/>
              <w:bottom w:val="single" w:sz="4" w:space="0" w:color="auto"/>
              <w:right w:val="single" w:sz="4" w:space="0" w:color="auto"/>
            </w:tcBorders>
            <w:hideMark/>
          </w:tcPr>
          <w:p w14:paraId="13BDBC1F" w14:textId="77777777" w:rsidR="00312556" w:rsidRPr="00BD77D8" w:rsidRDefault="00312556" w:rsidP="00312556">
            <w:pPr>
              <w:spacing w:before="120" w:after="120"/>
              <w:rPr>
                <w:rFonts w:ascii="Arial" w:hAnsi="Arial"/>
              </w:rPr>
            </w:pPr>
            <w:r w:rsidRPr="00BD77D8">
              <w:rPr>
                <w:rFonts w:ascii="Arial" w:hAnsi="Arial"/>
              </w:rPr>
              <w:t>No financial decision-making or reporting</w:t>
            </w:r>
          </w:p>
        </w:tc>
      </w:tr>
      <w:tr w:rsidR="00BD77D8" w:rsidRPr="00BD77D8" w14:paraId="232E1F9B" w14:textId="77777777" w:rsidTr="001F170D">
        <w:tc>
          <w:tcPr>
            <w:tcW w:w="10460" w:type="dxa"/>
            <w:gridSpan w:val="6"/>
            <w:tcBorders>
              <w:top w:val="single" w:sz="4" w:space="0" w:color="auto"/>
              <w:left w:val="single" w:sz="4" w:space="0" w:color="auto"/>
              <w:bottom w:val="single" w:sz="4" w:space="0" w:color="auto"/>
              <w:right w:val="single" w:sz="4" w:space="0" w:color="auto"/>
            </w:tcBorders>
            <w:hideMark/>
          </w:tcPr>
          <w:p w14:paraId="5AA6DFB4" w14:textId="77777777" w:rsidR="00312556" w:rsidRPr="00BD77D8" w:rsidRDefault="00312556" w:rsidP="001F170D">
            <w:pPr>
              <w:spacing w:before="120" w:after="120"/>
              <w:rPr>
                <w:rFonts w:ascii="Arial" w:hAnsi="Arial"/>
              </w:rPr>
            </w:pPr>
            <w:r w:rsidRPr="00BD77D8">
              <w:rPr>
                <w:rFonts w:ascii="Arial" w:hAnsi="Arial"/>
              </w:rPr>
              <w:t xml:space="preserve">Remuneration: </w:t>
            </w:r>
          </w:p>
          <w:p w14:paraId="4EE0DA93" w14:textId="77777777" w:rsidR="00312556" w:rsidRPr="00BD77D8" w:rsidRDefault="00312556" w:rsidP="001F170D">
            <w:pPr>
              <w:spacing w:before="120" w:after="120" w:line="257" w:lineRule="auto"/>
              <w:rPr>
                <w:rFonts w:ascii="Arial" w:hAnsi="Arial"/>
              </w:rPr>
            </w:pPr>
            <w:r w:rsidRPr="00BD77D8">
              <w:rPr>
                <w:rFonts w:ascii="Arial" w:hAnsi="Arial"/>
              </w:rPr>
              <w:t xml:space="preserve">Members of the council who are not employed in the Queensland public service are entitled to receive meeting fees in accordance with </w:t>
            </w:r>
            <w:r w:rsidRPr="00BD77D8">
              <w:rPr>
                <w:rFonts w:ascii="Arial" w:hAnsi="Arial"/>
                <w:i/>
                <w:iCs/>
              </w:rPr>
              <w:t>Remuneration Procedures for Part-time Chairs and Members of Queensland Government Bodies</w:t>
            </w:r>
            <w:r w:rsidRPr="00BD77D8">
              <w:rPr>
                <w:rFonts w:ascii="Arial" w:hAnsi="Arial"/>
              </w:rPr>
              <w:t>. Members are not remunerated for any additional work required to carry out their role.</w:t>
            </w:r>
          </w:p>
        </w:tc>
      </w:tr>
      <w:tr w:rsidR="00BD77D8" w:rsidRPr="00BD77D8" w14:paraId="62C537AC" w14:textId="77777777" w:rsidTr="00940EF1">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7F4DDB" w14:textId="77777777" w:rsidR="00312556" w:rsidRPr="00BD77D8" w:rsidRDefault="00312556" w:rsidP="001F170D">
            <w:pPr>
              <w:rPr>
                <w:rFonts w:ascii="Arial" w:hAnsi="Arial"/>
              </w:rPr>
            </w:pPr>
            <w:r w:rsidRPr="00BD77D8">
              <w:rPr>
                <w:rFonts w:ascii="Arial" w:hAnsi="Arial"/>
              </w:rPr>
              <w:t>Position</w:t>
            </w:r>
          </w:p>
        </w:tc>
        <w:tc>
          <w:tcPr>
            <w:tcW w:w="1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DAAE84" w14:textId="77777777" w:rsidR="00312556" w:rsidRPr="00BD77D8" w:rsidRDefault="00312556" w:rsidP="001F170D">
            <w:pPr>
              <w:rPr>
                <w:rFonts w:ascii="Arial" w:hAnsi="Arial"/>
              </w:rPr>
            </w:pPr>
            <w:r w:rsidRPr="00BD77D8">
              <w:rPr>
                <w:rFonts w:ascii="Arial" w:hAnsi="Arial"/>
              </w:rPr>
              <w:t>Name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65BD44" w14:textId="77777777" w:rsidR="00312556" w:rsidRPr="00BD77D8" w:rsidRDefault="00312556" w:rsidP="001F170D">
            <w:pPr>
              <w:rPr>
                <w:rFonts w:ascii="Arial" w:hAnsi="Arial"/>
              </w:rPr>
            </w:pPr>
            <w:r w:rsidRPr="00BD77D8">
              <w:rPr>
                <w:rFonts w:ascii="Arial" w:hAnsi="Arial"/>
              </w:rPr>
              <w:t>Meetings/ sessions attendance</w:t>
            </w:r>
          </w:p>
        </w:tc>
        <w:tc>
          <w:tcPr>
            <w:tcW w:w="2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1AC632" w14:textId="77777777" w:rsidR="00312556" w:rsidRPr="00BD77D8" w:rsidRDefault="00312556" w:rsidP="001F170D">
            <w:pPr>
              <w:rPr>
                <w:rFonts w:ascii="Arial" w:hAnsi="Arial"/>
              </w:rPr>
            </w:pPr>
            <w:r w:rsidRPr="00BD77D8">
              <w:rPr>
                <w:rFonts w:ascii="Arial" w:hAnsi="Arial"/>
              </w:rPr>
              <w:t xml:space="preserve">Approved annual, sessional or daily fee </w:t>
            </w:r>
          </w:p>
        </w:tc>
        <w:tc>
          <w:tcPr>
            <w:tcW w:w="16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326CF7" w14:textId="77777777" w:rsidR="00312556" w:rsidRPr="00BD77D8" w:rsidRDefault="00312556" w:rsidP="001F170D">
            <w:pPr>
              <w:rPr>
                <w:rFonts w:ascii="Arial" w:hAnsi="Arial"/>
              </w:rPr>
            </w:pPr>
            <w:r w:rsidRPr="00BD77D8">
              <w:rPr>
                <w:rFonts w:ascii="Arial" w:hAnsi="Arial"/>
              </w:rPr>
              <w:t>Approved sub-committee fees if applicable</w:t>
            </w:r>
          </w:p>
        </w:tc>
        <w:tc>
          <w:tcPr>
            <w:tcW w:w="16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8B22DC" w14:textId="77777777" w:rsidR="00312556" w:rsidRPr="00BD77D8" w:rsidRDefault="00312556" w:rsidP="001F170D">
            <w:pPr>
              <w:rPr>
                <w:rFonts w:ascii="Arial" w:hAnsi="Arial"/>
              </w:rPr>
            </w:pPr>
            <w:r w:rsidRPr="00BD77D8">
              <w:rPr>
                <w:rFonts w:ascii="Arial" w:hAnsi="Arial"/>
              </w:rPr>
              <w:t xml:space="preserve">Actual fees received </w:t>
            </w:r>
          </w:p>
        </w:tc>
      </w:tr>
      <w:tr w:rsidR="00BD77D8" w:rsidRPr="00BD77D8" w14:paraId="07DA582E" w14:textId="77777777" w:rsidTr="001F170D">
        <w:tc>
          <w:tcPr>
            <w:tcW w:w="1944" w:type="dxa"/>
            <w:tcBorders>
              <w:top w:val="single" w:sz="4" w:space="0" w:color="auto"/>
              <w:left w:val="single" w:sz="4" w:space="0" w:color="auto"/>
              <w:bottom w:val="single" w:sz="4" w:space="0" w:color="auto"/>
              <w:right w:val="single" w:sz="4" w:space="0" w:color="auto"/>
            </w:tcBorders>
          </w:tcPr>
          <w:p w14:paraId="42F5B4F3" w14:textId="77777777" w:rsidR="00312556" w:rsidRPr="00BD77D8" w:rsidRDefault="00312556" w:rsidP="001F170D">
            <w:pPr>
              <w:spacing w:before="120" w:after="120"/>
              <w:rPr>
                <w:rFonts w:ascii="Arial" w:hAnsi="Arial"/>
              </w:rPr>
            </w:pPr>
            <w:r w:rsidRPr="00BD77D8">
              <w:rPr>
                <w:rFonts w:ascii="Arial" w:hAnsi="Arial"/>
              </w:rPr>
              <w:t>Chair – public sector employee</w:t>
            </w:r>
          </w:p>
        </w:tc>
        <w:tc>
          <w:tcPr>
            <w:tcW w:w="1845" w:type="dxa"/>
            <w:tcBorders>
              <w:top w:val="single" w:sz="4" w:space="0" w:color="auto"/>
              <w:left w:val="single" w:sz="4" w:space="0" w:color="auto"/>
              <w:bottom w:val="single" w:sz="4" w:space="0" w:color="auto"/>
              <w:right w:val="single" w:sz="4" w:space="0" w:color="auto"/>
            </w:tcBorders>
          </w:tcPr>
          <w:p w14:paraId="672BA498" w14:textId="77777777" w:rsidR="00312556" w:rsidRPr="00BD77D8" w:rsidRDefault="00312556" w:rsidP="001F170D">
            <w:pPr>
              <w:spacing w:before="120" w:after="120"/>
              <w:rPr>
                <w:rFonts w:ascii="Arial" w:hAnsi="Arial"/>
              </w:rPr>
            </w:pPr>
            <w:r w:rsidRPr="00BD77D8">
              <w:rPr>
                <w:rFonts w:ascii="Arial" w:hAnsi="Arial"/>
              </w:rPr>
              <w:t>Dr Chris Sarra</w:t>
            </w:r>
          </w:p>
        </w:tc>
        <w:tc>
          <w:tcPr>
            <w:tcW w:w="1350" w:type="dxa"/>
            <w:tcBorders>
              <w:top w:val="single" w:sz="4" w:space="0" w:color="auto"/>
              <w:left w:val="single" w:sz="4" w:space="0" w:color="auto"/>
              <w:bottom w:val="single" w:sz="4" w:space="0" w:color="auto"/>
              <w:right w:val="single" w:sz="4" w:space="0" w:color="auto"/>
            </w:tcBorders>
          </w:tcPr>
          <w:p w14:paraId="10563EA7"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57AE4191" w14:textId="77777777" w:rsidR="00312556" w:rsidRPr="00BD77D8" w:rsidRDefault="00312556" w:rsidP="001F170D">
            <w:pPr>
              <w:spacing w:before="120" w:after="120"/>
              <w:rPr>
                <w:rFonts w:ascii="Arial" w:hAnsi="Arial"/>
              </w:rPr>
            </w:pPr>
            <w:r w:rsidRPr="00BD77D8">
              <w:rPr>
                <w:rFonts w:ascii="Arial" w:hAnsi="Arial"/>
              </w:rPr>
              <w:t>N/A</w:t>
            </w:r>
          </w:p>
        </w:tc>
        <w:tc>
          <w:tcPr>
            <w:tcW w:w="1650" w:type="dxa"/>
            <w:tcBorders>
              <w:top w:val="single" w:sz="4" w:space="0" w:color="auto"/>
              <w:left w:val="single" w:sz="4" w:space="0" w:color="auto"/>
              <w:bottom w:val="single" w:sz="4" w:space="0" w:color="auto"/>
              <w:right w:val="single" w:sz="4" w:space="0" w:color="auto"/>
            </w:tcBorders>
          </w:tcPr>
          <w:p w14:paraId="53163AA8"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16D516DA"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2BC65421" w14:textId="77777777" w:rsidTr="001F170D">
        <w:tc>
          <w:tcPr>
            <w:tcW w:w="1944" w:type="dxa"/>
            <w:tcBorders>
              <w:top w:val="single" w:sz="4" w:space="0" w:color="auto"/>
              <w:left w:val="single" w:sz="4" w:space="0" w:color="auto"/>
              <w:bottom w:val="single" w:sz="4" w:space="0" w:color="auto"/>
              <w:right w:val="single" w:sz="4" w:space="0" w:color="auto"/>
            </w:tcBorders>
          </w:tcPr>
          <w:p w14:paraId="5E758BEA" w14:textId="77777777" w:rsidR="00312556" w:rsidRPr="00BD77D8" w:rsidRDefault="00312556" w:rsidP="001F170D">
            <w:pPr>
              <w:spacing w:before="120" w:after="120"/>
              <w:rPr>
                <w:rFonts w:ascii="Arial" w:hAnsi="Arial"/>
              </w:rPr>
            </w:pPr>
            <w:r w:rsidRPr="00BD77D8">
              <w:rPr>
                <w:rFonts w:ascii="Arial" w:hAnsi="Arial"/>
              </w:rPr>
              <w:t>Deputy Chair - grandparent carer</w:t>
            </w:r>
          </w:p>
        </w:tc>
        <w:tc>
          <w:tcPr>
            <w:tcW w:w="1845" w:type="dxa"/>
            <w:tcBorders>
              <w:top w:val="single" w:sz="4" w:space="0" w:color="auto"/>
              <w:left w:val="single" w:sz="4" w:space="0" w:color="auto"/>
              <w:bottom w:val="single" w:sz="4" w:space="0" w:color="auto"/>
              <w:right w:val="single" w:sz="4" w:space="0" w:color="auto"/>
            </w:tcBorders>
          </w:tcPr>
          <w:p w14:paraId="5E857A7B" w14:textId="77777777" w:rsidR="00312556" w:rsidRPr="00BD77D8" w:rsidRDefault="00312556" w:rsidP="001F170D">
            <w:pPr>
              <w:spacing w:before="120" w:after="120"/>
              <w:rPr>
                <w:rFonts w:ascii="Arial" w:hAnsi="Arial"/>
              </w:rPr>
            </w:pPr>
            <w:r w:rsidRPr="00BD77D8">
              <w:rPr>
                <w:rFonts w:ascii="Arial" w:hAnsi="Arial"/>
              </w:rPr>
              <w:t xml:space="preserve">Ms </w:t>
            </w:r>
            <w:proofErr w:type="spellStart"/>
            <w:r w:rsidRPr="00BD77D8">
              <w:rPr>
                <w:rFonts w:ascii="Arial" w:hAnsi="Arial"/>
              </w:rPr>
              <w:t>Slawka</w:t>
            </w:r>
            <w:proofErr w:type="spellEnd"/>
            <w:r w:rsidRPr="00BD77D8">
              <w:rPr>
                <w:rFonts w:ascii="Arial" w:hAnsi="Arial"/>
              </w:rPr>
              <w:t xml:space="preserve"> Bell</w:t>
            </w:r>
          </w:p>
        </w:tc>
        <w:tc>
          <w:tcPr>
            <w:tcW w:w="1350" w:type="dxa"/>
            <w:tcBorders>
              <w:top w:val="single" w:sz="4" w:space="0" w:color="auto"/>
              <w:left w:val="single" w:sz="4" w:space="0" w:color="auto"/>
              <w:bottom w:val="single" w:sz="4" w:space="0" w:color="auto"/>
              <w:right w:val="single" w:sz="4" w:space="0" w:color="auto"/>
            </w:tcBorders>
          </w:tcPr>
          <w:p w14:paraId="41B89ECB"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62B0B0FA"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2F8261DB"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37F0CBC7"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38BBC48A" w14:textId="77777777" w:rsidTr="001F170D">
        <w:tc>
          <w:tcPr>
            <w:tcW w:w="1944" w:type="dxa"/>
            <w:tcBorders>
              <w:top w:val="single" w:sz="4" w:space="0" w:color="auto"/>
              <w:left w:val="single" w:sz="4" w:space="0" w:color="auto"/>
              <w:bottom w:val="single" w:sz="4" w:space="0" w:color="auto"/>
              <w:right w:val="single" w:sz="4" w:space="0" w:color="auto"/>
            </w:tcBorders>
          </w:tcPr>
          <w:p w14:paraId="729650B9" w14:textId="77777777" w:rsidR="00312556" w:rsidRPr="00BD77D8" w:rsidRDefault="00312556" w:rsidP="001F170D">
            <w:pPr>
              <w:spacing w:before="120" w:after="120"/>
              <w:rPr>
                <w:rFonts w:ascii="Arial" w:hAnsi="Arial"/>
              </w:rPr>
            </w:pPr>
            <w:r w:rsidRPr="00BD77D8">
              <w:rPr>
                <w:rFonts w:ascii="Arial" w:hAnsi="Arial"/>
              </w:rPr>
              <w:t>Member - carer</w:t>
            </w:r>
          </w:p>
        </w:tc>
        <w:tc>
          <w:tcPr>
            <w:tcW w:w="1845" w:type="dxa"/>
            <w:tcBorders>
              <w:top w:val="single" w:sz="4" w:space="0" w:color="auto"/>
              <w:left w:val="single" w:sz="4" w:space="0" w:color="auto"/>
              <w:bottom w:val="single" w:sz="4" w:space="0" w:color="auto"/>
              <w:right w:val="single" w:sz="4" w:space="0" w:color="auto"/>
            </w:tcBorders>
          </w:tcPr>
          <w:p w14:paraId="0BA3C824" w14:textId="77777777" w:rsidR="00312556" w:rsidRPr="00BD77D8" w:rsidRDefault="00312556" w:rsidP="001F170D">
            <w:pPr>
              <w:spacing w:before="120" w:after="120"/>
              <w:rPr>
                <w:rFonts w:ascii="Arial" w:hAnsi="Arial"/>
              </w:rPr>
            </w:pPr>
            <w:r w:rsidRPr="00BD77D8">
              <w:rPr>
                <w:rFonts w:ascii="Arial" w:hAnsi="Arial"/>
              </w:rPr>
              <w:t>Ms Melissa Williams</w:t>
            </w:r>
          </w:p>
        </w:tc>
        <w:tc>
          <w:tcPr>
            <w:tcW w:w="1350" w:type="dxa"/>
            <w:tcBorders>
              <w:top w:val="single" w:sz="4" w:space="0" w:color="auto"/>
              <w:left w:val="single" w:sz="4" w:space="0" w:color="auto"/>
              <w:bottom w:val="single" w:sz="4" w:space="0" w:color="auto"/>
              <w:right w:val="single" w:sz="4" w:space="0" w:color="auto"/>
            </w:tcBorders>
          </w:tcPr>
          <w:p w14:paraId="2541B52B"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64CFECEA"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17C0B2FD"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569F4F8D"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7A6B20A6" w14:textId="77777777" w:rsidTr="001F170D">
        <w:tc>
          <w:tcPr>
            <w:tcW w:w="1944" w:type="dxa"/>
            <w:tcBorders>
              <w:top w:val="single" w:sz="4" w:space="0" w:color="auto"/>
              <w:left w:val="single" w:sz="4" w:space="0" w:color="auto"/>
              <w:bottom w:val="single" w:sz="4" w:space="0" w:color="auto"/>
              <w:right w:val="single" w:sz="4" w:space="0" w:color="auto"/>
            </w:tcBorders>
          </w:tcPr>
          <w:p w14:paraId="166FC6B0" w14:textId="77777777" w:rsidR="00312556" w:rsidRPr="00BD77D8" w:rsidRDefault="00312556" w:rsidP="001F170D">
            <w:pPr>
              <w:spacing w:before="120" w:after="120"/>
              <w:rPr>
                <w:rFonts w:ascii="Arial" w:hAnsi="Arial"/>
              </w:rPr>
            </w:pPr>
            <w:r w:rsidRPr="00BD77D8">
              <w:rPr>
                <w:rFonts w:ascii="Arial" w:hAnsi="Arial"/>
              </w:rPr>
              <w:t>Member - carer</w:t>
            </w:r>
          </w:p>
        </w:tc>
        <w:tc>
          <w:tcPr>
            <w:tcW w:w="1845" w:type="dxa"/>
            <w:tcBorders>
              <w:top w:val="single" w:sz="4" w:space="0" w:color="auto"/>
              <w:left w:val="single" w:sz="4" w:space="0" w:color="auto"/>
              <w:bottom w:val="single" w:sz="4" w:space="0" w:color="auto"/>
              <w:right w:val="single" w:sz="4" w:space="0" w:color="auto"/>
            </w:tcBorders>
          </w:tcPr>
          <w:p w14:paraId="59261EA2" w14:textId="77777777" w:rsidR="00312556" w:rsidRPr="00BD77D8" w:rsidRDefault="00312556" w:rsidP="001F170D">
            <w:pPr>
              <w:spacing w:before="120" w:after="120"/>
              <w:rPr>
                <w:rFonts w:ascii="Arial" w:hAnsi="Arial"/>
              </w:rPr>
            </w:pPr>
            <w:r w:rsidRPr="00BD77D8">
              <w:rPr>
                <w:rFonts w:ascii="Arial" w:hAnsi="Arial"/>
              </w:rPr>
              <w:t>Dr Nancy Spencer</w:t>
            </w:r>
          </w:p>
        </w:tc>
        <w:tc>
          <w:tcPr>
            <w:tcW w:w="1350" w:type="dxa"/>
            <w:tcBorders>
              <w:top w:val="single" w:sz="4" w:space="0" w:color="auto"/>
              <w:left w:val="single" w:sz="4" w:space="0" w:color="auto"/>
              <w:bottom w:val="single" w:sz="4" w:space="0" w:color="auto"/>
              <w:right w:val="single" w:sz="4" w:space="0" w:color="auto"/>
            </w:tcBorders>
          </w:tcPr>
          <w:p w14:paraId="26721EBF"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03123C77"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6DA641B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1E353626"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7AB88500" w14:textId="77777777" w:rsidTr="001F170D">
        <w:tc>
          <w:tcPr>
            <w:tcW w:w="1944" w:type="dxa"/>
            <w:tcBorders>
              <w:top w:val="single" w:sz="4" w:space="0" w:color="auto"/>
              <w:left w:val="single" w:sz="4" w:space="0" w:color="auto"/>
              <w:bottom w:val="single" w:sz="4" w:space="0" w:color="auto"/>
              <w:right w:val="single" w:sz="4" w:space="0" w:color="auto"/>
            </w:tcBorders>
          </w:tcPr>
          <w:p w14:paraId="7AD08021" w14:textId="77777777" w:rsidR="00312556" w:rsidRPr="00BD77D8" w:rsidRDefault="00312556" w:rsidP="001F170D">
            <w:pPr>
              <w:spacing w:before="120" w:after="120"/>
              <w:rPr>
                <w:rFonts w:ascii="Arial" w:hAnsi="Arial"/>
              </w:rPr>
            </w:pPr>
            <w:r w:rsidRPr="00BD77D8">
              <w:rPr>
                <w:rFonts w:ascii="Arial" w:hAnsi="Arial"/>
              </w:rPr>
              <w:t>Member - carer</w:t>
            </w:r>
          </w:p>
        </w:tc>
        <w:tc>
          <w:tcPr>
            <w:tcW w:w="1845" w:type="dxa"/>
            <w:tcBorders>
              <w:top w:val="single" w:sz="4" w:space="0" w:color="auto"/>
              <w:left w:val="single" w:sz="4" w:space="0" w:color="auto"/>
              <w:bottom w:val="single" w:sz="4" w:space="0" w:color="auto"/>
              <w:right w:val="single" w:sz="4" w:space="0" w:color="auto"/>
            </w:tcBorders>
          </w:tcPr>
          <w:p w14:paraId="2BD06DB2" w14:textId="77777777" w:rsidR="00312556" w:rsidRPr="00BD77D8" w:rsidRDefault="00312556" w:rsidP="001F170D">
            <w:pPr>
              <w:spacing w:before="120" w:after="120"/>
              <w:rPr>
                <w:rFonts w:ascii="Arial" w:hAnsi="Arial"/>
              </w:rPr>
            </w:pPr>
            <w:r w:rsidRPr="00BD77D8">
              <w:rPr>
                <w:rFonts w:ascii="Arial" w:hAnsi="Arial"/>
              </w:rPr>
              <w:t>Ms Natalie Bird</w:t>
            </w:r>
          </w:p>
        </w:tc>
        <w:tc>
          <w:tcPr>
            <w:tcW w:w="1350" w:type="dxa"/>
            <w:tcBorders>
              <w:top w:val="single" w:sz="4" w:space="0" w:color="auto"/>
              <w:left w:val="single" w:sz="4" w:space="0" w:color="auto"/>
              <w:bottom w:val="single" w:sz="4" w:space="0" w:color="auto"/>
              <w:right w:val="single" w:sz="4" w:space="0" w:color="auto"/>
            </w:tcBorders>
          </w:tcPr>
          <w:p w14:paraId="760D1B4E" w14:textId="77777777" w:rsidR="00312556" w:rsidRPr="00BD77D8" w:rsidRDefault="00312556" w:rsidP="001F170D">
            <w:pPr>
              <w:spacing w:before="120" w:after="120"/>
              <w:rPr>
                <w:rFonts w:ascii="Arial" w:hAnsi="Arial"/>
              </w:rPr>
            </w:pPr>
            <w:r w:rsidRPr="00BD77D8">
              <w:rPr>
                <w:rFonts w:ascii="Arial" w:hAnsi="Arial"/>
              </w:rPr>
              <w:t>0</w:t>
            </w:r>
          </w:p>
        </w:tc>
        <w:tc>
          <w:tcPr>
            <w:tcW w:w="2040" w:type="dxa"/>
            <w:tcBorders>
              <w:top w:val="single" w:sz="4" w:space="0" w:color="auto"/>
              <w:left w:val="single" w:sz="4" w:space="0" w:color="auto"/>
              <w:bottom w:val="single" w:sz="4" w:space="0" w:color="auto"/>
              <w:right w:val="single" w:sz="4" w:space="0" w:color="auto"/>
            </w:tcBorders>
          </w:tcPr>
          <w:p w14:paraId="6FDD70C6"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1D3C5C6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2FB2D595"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5C73DBE2" w14:textId="77777777" w:rsidTr="001F170D">
        <w:tc>
          <w:tcPr>
            <w:tcW w:w="1944" w:type="dxa"/>
            <w:tcBorders>
              <w:top w:val="single" w:sz="4" w:space="0" w:color="auto"/>
              <w:left w:val="single" w:sz="4" w:space="0" w:color="auto"/>
              <w:bottom w:val="single" w:sz="4" w:space="0" w:color="auto"/>
              <w:right w:val="single" w:sz="4" w:space="0" w:color="auto"/>
            </w:tcBorders>
          </w:tcPr>
          <w:p w14:paraId="13D342F8" w14:textId="77777777" w:rsidR="00312556" w:rsidRPr="00BD77D8" w:rsidRDefault="00312556" w:rsidP="001F170D">
            <w:pPr>
              <w:spacing w:before="120" w:after="120"/>
              <w:rPr>
                <w:rFonts w:ascii="Arial" w:hAnsi="Arial"/>
              </w:rPr>
            </w:pPr>
            <w:r w:rsidRPr="00BD77D8">
              <w:rPr>
                <w:rFonts w:ascii="Arial" w:hAnsi="Arial"/>
              </w:rPr>
              <w:t>Member – org representative</w:t>
            </w:r>
          </w:p>
        </w:tc>
        <w:tc>
          <w:tcPr>
            <w:tcW w:w="1845" w:type="dxa"/>
            <w:tcBorders>
              <w:top w:val="single" w:sz="4" w:space="0" w:color="auto"/>
              <w:left w:val="single" w:sz="4" w:space="0" w:color="auto"/>
              <w:bottom w:val="single" w:sz="4" w:space="0" w:color="auto"/>
              <w:right w:val="single" w:sz="4" w:space="0" w:color="auto"/>
            </w:tcBorders>
          </w:tcPr>
          <w:p w14:paraId="2ABCE236" w14:textId="77777777" w:rsidR="00312556" w:rsidRPr="00BD77D8" w:rsidRDefault="00312556" w:rsidP="001F170D">
            <w:pPr>
              <w:spacing w:before="120" w:after="120"/>
              <w:rPr>
                <w:rFonts w:ascii="Arial" w:hAnsi="Arial"/>
              </w:rPr>
            </w:pPr>
            <w:r w:rsidRPr="00BD77D8">
              <w:rPr>
                <w:rFonts w:ascii="Arial" w:hAnsi="Arial"/>
              </w:rPr>
              <w:t>Ms Debra Cottrell</w:t>
            </w:r>
          </w:p>
        </w:tc>
        <w:tc>
          <w:tcPr>
            <w:tcW w:w="1350" w:type="dxa"/>
            <w:tcBorders>
              <w:top w:val="single" w:sz="4" w:space="0" w:color="auto"/>
              <w:left w:val="single" w:sz="4" w:space="0" w:color="auto"/>
              <w:bottom w:val="single" w:sz="4" w:space="0" w:color="auto"/>
              <w:right w:val="single" w:sz="4" w:space="0" w:color="auto"/>
            </w:tcBorders>
          </w:tcPr>
          <w:p w14:paraId="2B3EFB59"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2A3D54FC"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0DF1FE3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17B3814B"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174B3642" w14:textId="77777777" w:rsidTr="001F170D">
        <w:tc>
          <w:tcPr>
            <w:tcW w:w="1944" w:type="dxa"/>
            <w:tcBorders>
              <w:top w:val="single" w:sz="4" w:space="0" w:color="auto"/>
              <w:left w:val="single" w:sz="4" w:space="0" w:color="auto"/>
              <w:bottom w:val="single" w:sz="4" w:space="0" w:color="auto"/>
              <w:right w:val="single" w:sz="4" w:space="0" w:color="auto"/>
            </w:tcBorders>
          </w:tcPr>
          <w:p w14:paraId="63C74B6F" w14:textId="77777777" w:rsidR="00312556" w:rsidRPr="00BD77D8" w:rsidRDefault="00312556" w:rsidP="001F170D">
            <w:pPr>
              <w:spacing w:before="120" w:after="120"/>
              <w:rPr>
                <w:rFonts w:ascii="Arial" w:hAnsi="Arial"/>
              </w:rPr>
            </w:pPr>
            <w:r w:rsidRPr="00BD77D8">
              <w:rPr>
                <w:rFonts w:ascii="Arial" w:hAnsi="Arial"/>
              </w:rPr>
              <w:t xml:space="preserve">Member – org representative </w:t>
            </w:r>
          </w:p>
        </w:tc>
        <w:tc>
          <w:tcPr>
            <w:tcW w:w="1845" w:type="dxa"/>
            <w:tcBorders>
              <w:top w:val="single" w:sz="4" w:space="0" w:color="auto"/>
              <w:left w:val="single" w:sz="4" w:space="0" w:color="auto"/>
              <w:bottom w:val="single" w:sz="4" w:space="0" w:color="auto"/>
              <w:right w:val="single" w:sz="4" w:space="0" w:color="auto"/>
            </w:tcBorders>
          </w:tcPr>
          <w:p w14:paraId="6FA5D576" w14:textId="77777777" w:rsidR="00312556" w:rsidRPr="00BD77D8" w:rsidRDefault="00312556" w:rsidP="001F170D">
            <w:pPr>
              <w:spacing w:before="120" w:after="120"/>
              <w:rPr>
                <w:rFonts w:ascii="Arial" w:hAnsi="Arial"/>
              </w:rPr>
            </w:pPr>
            <w:r w:rsidRPr="00BD77D8">
              <w:rPr>
                <w:rFonts w:ascii="Arial" w:hAnsi="Arial"/>
              </w:rPr>
              <w:t xml:space="preserve">Ms Irene </w:t>
            </w:r>
            <w:proofErr w:type="spellStart"/>
            <w:r w:rsidRPr="00BD77D8">
              <w:rPr>
                <w:rFonts w:ascii="Arial" w:hAnsi="Arial"/>
              </w:rPr>
              <w:t>Clelland</w:t>
            </w:r>
            <w:proofErr w:type="spellEnd"/>
          </w:p>
        </w:tc>
        <w:tc>
          <w:tcPr>
            <w:tcW w:w="1350" w:type="dxa"/>
            <w:tcBorders>
              <w:top w:val="single" w:sz="4" w:space="0" w:color="auto"/>
              <w:left w:val="single" w:sz="4" w:space="0" w:color="auto"/>
              <w:bottom w:val="single" w:sz="4" w:space="0" w:color="auto"/>
              <w:right w:val="single" w:sz="4" w:space="0" w:color="auto"/>
            </w:tcBorders>
          </w:tcPr>
          <w:p w14:paraId="47FAFE89"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0303B28D"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3FE58A76"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63FDB665"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6737AA00" w14:textId="77777777" w:rsidTr="001F170D">
        <w:tc>
          <w:tcPr>
            <w:tcW w:w="1944" w:type="dxa"/>
            <w:tcBorders>
              <w:top w:val="single" w:sz="4" w:space="0" w:color="auto"/>
              <w:left w:val="single" w:sz="4" w:space="0" w:color="auto"/>
              <w:bottom w:val="single" w:sz="4" w:space="0" w:color="auto"/>
              <w:right w:val="single" w:sz="4" w:space="0" w:color="auto"/>
            </w:tcBorders>
          </w:tcPr>
          <w:p w14:paraId="3B6D353A" w14:textId="77777777" w:rsidR="00312556" w:rsidRPr="00BD77D8" w:rsidRDefault="00312556" w:rsidP="001F170D">
            <w:pPr>
              <w:spacing w:before="120" w:after="120"/>
              <w:rPr>
                <w:rFonts w:ascii="Arial" w:hAnsi="Arial"/>
              </w:rPr>
            </w:pPr>
            <w:r w:rsidRPr="00BD77D8">
              <w:rPr>
                <w:rFonts w:ascii="Arial" w:hAnsi="Arial"/>
              </w:rPr>
              <w:t xml:space="preserve">Member – org representative </w:t>
            </w:r>
          </w:p>
        </w:tc>
        <w:tc>
          <w:tcPr>
            <w:tcW w:w="1845" w:type="dxa"/>
            <w:tcBorders>
              <w:top w:val="single" w:sz="4" w:space="0" w:color="auto"/>
              <w:left w:val="single" w:sz="4" w:space="0" w:color="auto"/>
              <w:bottom w:val="single" w:sz="4" w:space="0" w:color="auto"/>
              <w:right w:val="single" w:sz="4" w:space="0" w:color="auto"/>
            </w:tcBorders>
          </w:tcPr>
          <w:p w14:paraId="679FD533" w14:textId="77777777" w:rsidR="00312556" w:rsidRPr="00BD77D8" w:rsidRDefault="00312556" w:rsidP="001F170D">
            <w:pPr>
              <w:spacing w:before="120" w:after="120"/>
              <w:rPr>
                <w:rFonts w:ascii="Arial" w:hAnsi="Arial"/>
              </w:rPr>
            </w:pPr>
            <w:r w:rsidRPr="00BD77D8">
              <w:rPr>
                <w:rFonts w:ascii="Arial" w:hAnsi="Arial"/>
              </w:rPr>
              <w:t xml:space="preserve">Ms </w:t>
            </w:r>
            <w:proofErr w:type="spellStart"/>
            <w:r w:rsidRPr="00BD77D8">
              <w:rPr>
                <w:rFonts w:ascii="Arial" w:hAnsi="Arial"/>
              </w:rPr>
              <w:t>Robynne</w:t>
            </w:r>
            <w:proofErr w:type="spellEnd"/>
            <w:r w:rsidRPr="00BD77D8">
              <w:rPr>
                <w:rFonts w:ascii="Arial" w:hAnsi="Arial"/>
              </w:rPr>
              <w:t xml:space="preserve"> Cooper</w:t>
            </w:r>
          </w:p>
        </w:tc>
        <w:tc>
          <w:tcPr>
            <w:tcW w:w="1350" w:type="dxa"/>
            <w:tcBorders>
              <w:top w:val="single" w:sz="4" w:space="0" w:color="auto"/>
              <w:left w:val="single" w:sz="4" w:space="0" w:color="auto"/>
              <w:bottom w:val="single" w:sz="4" w:space="0" w:color="auto"/>
              <w:right w:val="single" w:sz="4" w:space="0" w:color="auto"/>
            </w:tcBorders>
          </w:tcPr>
          <w:p w14:paraId="79C2EB47"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45C8F642"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499C185E"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045FB88D" w14:textId="77777777" w:rsidR="00312556" w:rsidRPr="00BD77D8" w:rsidRDefault="00312556" w:rsidP="001F170D">
            <w:pPr>
              <w:spacing w:before="120" w:after="120"/>
              <w:rPr>
                <w:rFonts w:ascii="Arial" w:hAnsi="Arial"/>
              </w:rPr>
            </w:pPr>
            <w:r w:rsidRPr="00BD77D8">
              <w:rPr>
                <w:rFonts w:ascii="Arial" w:hAnsi="Arial"/>
              </w:rPr>
              <w:t>$300</w:t>
            </w:r>
          </w:p>
        </w:tc>
      </w:tr>
      <w:tr w:rsidR="00BD77D8" w:rsidRPr="00BD77D8" w14:paraId="761843EE" w14:textId="77777777" w:rsidTr="001F170D">
        <w:tc>
          <w:tcPr>
            <w:tcW w:w="1944" w:type="dxa"/>
            <w:tcBorders>
              <w:top w:val="single" w:sz="4" w:space="0" w:color="auto"/>
              <w:left w:val="single" w:sz="4" w:space="0" w:color="auto"/>
              <w:bottom w:val="single" w:sz="4" w:space="0" w:color="auto"/>
              <w:right w:val="single" w:sz="4" w:space="0" w:color="auto"/>
            </w:tcBorders>
          </w:tcPr>
          <w:p w14:paraId="5D81A55A" w14:textId="77777777" w:rsidR="00312556" w:rsidRPr="00BD77D8" w:rsidRDefault="00312556" w:rsidP="001F170D">
            <w:pPr>
              <w:spacing w:before="120" w:after="120"/>
              <w:rPr>
                <w:rFonts w:ascii="Arial" w:hAnsi="Arial"/>
              </w:rPr>
            </w:pPr>
            <w:r w:rsidRPr="00BD77D8">
              <w:rPr>
                <w:rFonts w:ascii="Arial" w:hAnsi="Arial"/>
              </w:rPr>
              <w:t>Member – org representative</w:t>
            </w:r>
          </w:p>
        </w:tc>
        <w:tc>
          <w:tcPr>
            <w:tcW w:w="1845" w:type="dxa"/>
            <w:tcBorders>
              <w:top w:val="single" w:sz="4" w:space="0" w:color="auto"/>
              <w:left w:val="single" w:sz="4" w:space="0" w:color="auto"/>
              <w:bottom w:val="single" w:sz="4" w:space="0" w:color="auto"/>
              <w:right w:val="single" w:sz="4" w:space="0" w:color="auto"/>
            </w:tcBorders>
          </w:tcPr>
          <w:p w14:paraId="51B1685A" w14:textId="77777777" w:rsidR="00312556" w:rsidRPr="00BD77D8" w:rsidRDefault="00312556" w:rsidP="001F170D">
            <w:pPr>
              <w:spacing w:before="120" w:after="120"/>
              <w:rPr>
                <w:rFonts w:ascii="Arial" w:hAnsi="Arial"/>
              </w:rPr>
            </w:pPr>
            <w:r w:rsidRPr="00BD77D8">
              <w:rPr>
                <w:rFonts w:ascii="Arial" w:hAnsi="Arial"/>
              </w:rPr>
              <w:t>Mr Adam Campbell</w:t>
            </w:r>
          </w:p>
        </w:tc>
        <w:tc>
          <w:tcPr>
            <w:tcW w:w="1350" w:type="dxa"/>
            <w:tcBorders>
              <w:top w:val="single" w:sz="4" w:space="0" w:color="auto"/>
              <w:left w:val="single" w:sz="4" w:space="0" w:color="auto"/>
              <w:bottom w:val="single" w:sz="4" w:space="0" w:color="auto"/>
              <w:right w:val="single" w:sz="4" w:space="0" w:color="auto"/>
            </w:tcBorders>
          </w:tcPr>
          <w:p w14:paraId="1DFD2BCD"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1486088E" w14:textId="77777777" w:rsidR="00312556" w:rsidRPr="00BD77D8" w:rsidRDefault="00312556" w:rsidP="001F170D">
            <w:pPr>
              <w:spacing w:before="120" w:after="120"/>
              <w:rPr>
                <w:rFonts w:ascii="Arial" w:hAnsi="Arial"/>
              </w:rPr>
            </w:pPr>
            <w:r w:rsidRPr="00BD77D8">
              <w:rPr>
                <w:rFonts w:ascii="Arial" w:hAnsi="Arial"/>
              </w:rPr>
              <w:t>$300 per meeting/session</w:t>
            </w:r>
          </w:p>
        </w:tc>
        <w:tc>
          <w:tcPr>
            <w:tcW w:w="1650" w:type="dxa"/>
            <w:tcBorders>
              <w:top w:val="single" w:sz="4" w:space="0" w:color="auto"/>
              <w:left w:val="single" w:sz="4" w:space="0" w:color="auto"/>
              <w:bottom w:val="single" w:sz="4" w:space="0" w:color="auto"/>
              <w:right w:val="single" w:sz="4" w:space="0" w:color="auto"/>
            </w:tcBorders>
          </w:tcPr>
          <w:p w14:paraId="7502E216"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0AA8502B"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1DEEFE3C" w14:textId="77777777" w:rsidTr="001F170D">
        <w:tc>
          <w:tcPr>
            <w:tcW w:w="1944" w:type="dxa"/>
            <w:tcBorders>
              <w:top w:val="single" w:sz="4" w:space="0" w:color="auto"/>
              <w:left w:val="single" w:sz="4" w:space="0" w:color="auto"/>
              <w:bottom w:val="single" w:sz="4" w:space="0" w:color="auto"/>
              <w:right w:val="single" w:sz="4" w:space="0" w:color="auto"/>
            </w:tcBorders>
          </w:tcPr>
          <w:p w14:paraId="1BF2F826" w14:textId="77777777" w:rsidR="00312556" w:rsidRPr="00BD77D8" w:rsidRDefault="00312556" w:rsidP="001F170D">
            <w:pPr>
              <w:spacing w:before="120" w:after="120"/>
              <w:rPr>
                <w:rFonts w:ascii="Arial" w:hAnsi="Arial"/>
              </w:rPr>
            </w:pPr>
            <w:r w:rsidRPr="00BD77D8">
              <w:rPr>
                <w:rFonts w:ascii="Arial" w:hAnsi="Arial"/>
              </w:rPr>
              <w:t>Member – public sector employee</w:t>
            </w:r>
          </w:p>
        </w:tc>
        <w:tc>
          <w:tcPr>
            <w:tcW w:w="1845" w:type="dxa"/>
            <w:tcBorders>
              <w:top w:val="single" w:sz="4" w:space="0" w:color="auto"/>
              <w:left w:val="single" w:sz="4" w:space="0" w:color="auto"/>
              <w:bottom w:val="single" w:sz="4" w:space="0" w:color="auto"/>
              <w:right w:val="single" w:sz="4" w:space="0" w:color="auto"/>
            </w:tcBorders>
          </w:tcPr>
          <w:p w14:paraId="532698DA" w14:textId="77777777" w:rsidR="00312556" w:rsidRPr="00BD77D8" w:rsidRDefault="00312556" w:rsidP="001F170D">
            <w:pPr>
              <w:spacing w:before="120" w:after="120"/>
              <w:rPr>
                <w:rFonts w:ascii="Arial" w:hAnsi="Arial"/>
              </w:rPr>
            </w:pPr>
            <w:r w:rsidRPr="00BD77D8">
              <w:rPr>
                <w:rFonts w:ascii="Arial" w:hAnsi="Arial"/>
              </w:rPr>
              <w:t xml:space="preserve">Ms Carmel </w:t>
            </w:r>
            <w:proofErr w:type="spellStart"/>
            <w:r w:rsidRPr="00BD77D8">
              <w:rPr>
                <w:rFonts w:ascii="Arial" w:hAnsi="Arial"/>
              </w:rPr>
              <w:t>Ybarlucea</w:t>
            </w:r>
            <w:proofErr w:type="spellEnd"/>
          </w:p>
        </w:tc>
        <w:tc>
          <w:tcPr>
            <w:tcW w:w="1350" w:type="dxa"/>
            <w:tcBorders>
              <w:top w:val="single" w:sz="4" w:space="0" w:color="auto"/>
              <w:left w:val="single" w:sz="4" w:space="0" w:color="auto"/>
              <w:bottom w:val="single" w:sz="4" w:space="0" w:color="auto"/>
              <w:right w:val="single" w:sz="4" w:space="0" w:color="auto"/>
            </w:tcBorders>
          </w:tcPr>
          <w:p w14:paraId="0AC2D53D"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6F7B4A2B" w14:textId="77777777" w:rsidR="00312556" w:rsidRPr="00BD77D8" w:rsidRDefault="00312556" w:rsidP="001F170D">
            <w:pPr>
              <w:spacing w:before="120" w:after="120"/>
              <w:rPr>
                <w:rFonts w:ascii="Arial" w:hAnsi="Arial"/>
              </w:rPr>
            </w:pPr>
            <w:r w:rsidRPr="00BD77D8">
              <w:rPr>
                <w:rFonts w:ascii="Arial" w:hAnsi="Arial"/>
              </w:rPr>
              <w:t>NIL</w:t>
            </w:r>
          </w:p>
        </w:tc>
        <w:tc>
          <w:tcPr>
            <w:tcW w:w="1650" w:type="dxa"/>
            <w:tcBorders>
              <w:top w:val="single" w:sz="4" w:space="0" w:color="auto"/>
              <w:left w:val="single" w:sz="4" w:space="0" w:color="auto"/>
              <w:bottom w:val="single" w:sz="4" w:space="0" w:color="auto"/>
              <w:right w:val="single" w:sz="4" w:space="0" w:color="auto"/>
            </w:tcBorders>
          </w:tcPr>
          <w:p w14:paraId="67D9389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135E2646"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64346DE9" w14:textId="77777777" w:rsidTr="001F170D">
        <w:tc>
          <w:tcPr>
            <w:tcW w:w="1944" w:type="dxa"/>
            <w:tcBorders>
              <w:top w:val="single" w:sz="4" w:space="0" w:color="auto"/>
              <w:left w:val="single" w:sz="4" w:space="0" w:color="auto"/>
              <w:bottom w:val="single" w:sz="4" w:space="0" w:color="auto"/>
              <w:right w:val="single" w:sz="4" w:space="0" w:color="auto"/>
            </w:tcBorders>
          </w:tcPr>
          <w:p w14:paraId="749BFD1D" w14:textId="77777777" w:rsidR="00312556" w:rsidRPr="00BD77D8" w:rsidRDefault="00312556" w:rsidP="001F170D">
            <w:pPr>
              <w:spacing w:before="120" w:after="120"/>
              <w:rPr>
                <w:rFonts w:ascii="Arial" w:hAnsi="Arial"/>
              </w:rPr>
            </w:pPr>
            <w:r w:rsidRPr="00BD77D8">
              <w:rPr>
                <w:rFonts w:ascii="Arial" w:hAnsi="Arial"/>
              </w:rPr>
              <w:t>Member – public sector employee</w:t>
            </w:r>
          </w:p>
        </w:tc>
        <w:tc>
          <w:tcPr>
            <w:tcW w:w="1845" w:type="dxa"/>
            <w:tcBorders>
              <w:top w:val="single" w:sz="4" w:space="0" w:color="auto"/>
              <w:left w:val="single" w:sz="4" w:space="0" w:color="auto"/>
              <w:bottom w:val="single" w:sz="4" w:space="0" w:color="auto"/>
              <w:right w:val="single" w:sz="4" w:space="0" w:color="auto"/>
            </w:tcBorders>
          </w:tcPr>
          <w:p w14:paraId="1F4A4004" w14:textId="77777777" w:rsidR="00312556" w:rsidRPr="00BD77D8" w:rsidRDefault="00312556" w:rsidP="001F170D">
            <w:pPr>
              <w:spacing w:before="120" w:after="120"/>
              <w:rPr>
                <w:rFonts w:ascii="Arial" w:hAnsi="Arial"/>
              </w:rPr>
            </w:pPr>
            <w:r w:rsidRPr="00BD77D8">
              <w:rPr>
                <w:rFonts w:ascii="Arial" w:hAnsi="Arial"/>
              </w:rPr>
              <w:t>Mr David Harmer</w:t>
            </w:r>
          </w:p>
        </w:tc>
        <w:tc>
          <w:tcPr>
            <w:tcW w:w="1350" w:type="dxa"/>
            <w:tcBorders>
              <w:top w:val="single" w:sz="4" w:space="0" w:color="auto"/>
              <w:left w:val="single" w:sz="4" w:space="0" w:color="auto"/>
              <w:bottom w:val="single" w:sz="4" w:space="0" w:color="auto"/>
              <w:right w:val="single" w:sz="4" w:space="0" w:color="auto"/>
            </w:tcBorders>
          </w:tcPr>
          <w:p w14:paraId="7E86A44E"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0E5A2FC9" w14:textId="77777777" w:rsidR="00312556" w:rsidRPr="00BD77D8" w:rsidRDefault="00312556" w:rsidP="001F170D">
            <w:pPr>
              <w:spacing w:before="120" w:after="120"/>
              <w:rPr>
                <w:rFonts w:ascii="Arial" w:hAnsi="Arial"/>
              </w:rPr>
            </w:pPr>
            <w:r w:rsidRPr="00BD77D8">
              <w:rPr>
                <w:rFonts w:ascii="Arial" w:hAnsi="Arial"/>
              </w:rPr>
              <w:t>NIL</w:t>
            </w:r>
          </w:p>
        </w:tc>
        <w:tc>
          <w:tcPr>
            <w:tcW w:w="1650" w:type="dxa"/>
            <w:tcBorders>
              <w:top w:val="single" w:sz="4" w:space="0" w:color="auto"/>
              <w:left w:val="single" w:sz="4" w:space="0" w:color="auto"/>
              <w:bottom w:val="single" w:sz="4" w:space="0" w:color="auto"/>
              <w:right w:val="single" w:sz="4" w:space="0" w:color="auto"/>
            </w:tcBorders>
          </w:tcPr>
          <w:p w14:paraId="34E7F7C7"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42196B41"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23D0AFB1" w14:textId="77777777" w:rsidTr="001F170D">
        <w:tc>
          <w:tcPr>
            <w:tcW w:w="1944" w:type="dxa"/>
            <w:tcBorders>
              <w:top w:val="single" w:sz="4" w:space="0" w:color="auto"/>
              <w:left w:val="single" w:sz="4" w:space="0" w:color="auto"/>
              <w:bottom w:val="single" w:sz="4" w:space="0" w:color="auto"/>
              <w:right w:val="single" w:sz="4" w:space="0" w:color="auto"/>
            </w:tcBorders>
          </w:tcPr>
          <w:p w14:paraId="4A69608E" w14:textId="77777777" w:rsidR="00312556" w:rsidRPr="00BD77D8" w:rsidRDefault="00312556" w:rsidP="001F170D">
            <w:pPr>
              <w:spacing w:before="120" w:after="120"/>
              <w:rPr>
                <w:rFonts w:ascii="Arial" w:hAnsi="Arial"/>
              </w:rPr>
            </w:pPr>
            <w:r w:rsidRPr="00BD77D8">
              <w:rPr>
                <w:rFonts w:ascii="Arial" w:hAnsi="Arial"/>
              </w:rPr>
              <w:t>Member – public sector employee</w:t>
            </w:r>
          </w:p>
        </w:tc>
        <w:tc>
          <w:tcPr>
            <w:tcW w:w="1845" w:type="dxa"/>
            <w:tcBorders>
              <w:top w:val="single" w:sz="4" w:space="0" w:color="auto"/>
              <w:left w:val="single" w:sz="4" w:space="0" w:color="auto"/>
              <w:bottom w:val="single" w:sz="4" w:space="0" w:color="auto"/>
              <w:right w:val="single" w:sz="4" w:space="0" w:color="auto"/>
            </w:tcBorders>
          </w:tcPr>
          <w:p w14:paraId="47AA0A6B" w14:textId="77777777" w:rsidR="00312556" w:rsidRPr="00BD77D8" w:rsidRDefault="00312556" w:rsidP="001F170D">
            <w:pPr>
              <w:spacing w:before="120" w:after="120"/>
              <w:rPr>
                <w:rFonts w:ascii="Arial" w:hAnsi="Arial"/>
              </w:rPr>
            </w:pPr>
            <w:r w:rsidRPr="00BD77D8">
              <w:rPr>
                <w:rFonts w:ascii="Arial" w:hAnsi="Arial"/>
              </w:rPr>
              <w:t>Ms Lisa Pritchard</w:t>
            </w:r>
          </w:p>
        </w:tc>
        <w:tc>
          <w:tcPr>
            <w:tcW w:w="1350" w:type="dxa"/>
            <w:tcBorders>
              <w:top w:val="single" w:sz="4" w:space="0" w:color="auto"/>
              <w:left w:val="single" w:sz="4" w:space="0" w:color="auto"/>
              <w:bottom w:val="single" w:sz="4" w:space="0" w:color="auto"/>
              <w:right w:val="single" w:sz="4" w:space="0" w:color="auto"/>
            </w:tcBorders>
          </w:tcPr>
          <w:p w14:paraId="615E74C0" w14:textId="77777777" w:rsidR="00312556" w:rsidRPr="00BD77D8" w:rsidRDefault="00312556" w:rsidP="001F170D">
            <w:pPr>
              <w:spacing w:before="120" w:after="120"/>
              <w:rPr>
                <w:rFonts w:ascii="Arial" w:hAnsi="Arial"/>
              </w:rPr>
            </w:pPr>
            <w:r w:rsidRPr="00BD77D8">
              <w:rPr>
                <w:rFonts w:ascii="Arial" w:hAnsi="Arial"/>
              </w:rPr>
              <w:t>1</w:t>
            </w:r>
          </w:p>
        </w:tc>
        <w:tc>
          <w:tcPr>
            <w:tcW w:w="2040" w:type="dxa"/>
            <w:tcBorders>
              <w:top w:val="single" w:sz="4" w:space="0" w:color="auto"/>
              <w:left w:val="single" w:sz="4" w:space="0" w:color="auto"/>
              <w:bottom w:val="single" w:sz="4" w:space="0" w:color="auto"/>
              <w:right w:val="single" w:sz="4" w:space="0" w:color="auto"/>
            </w:tcBorders>
          </w:tcPr>
          <w:p w14:paraId="7FB1C755" w14:textId="77777777" w:rsidR="00312556" w:rsidRPr="00BD77D8" w:rsidRDefault="00312556" w:rsidP="001F170D">
            <w:pPr>
              <w:spacing w:before="120" w:after="120"/>
              <w:rPr>
                <w:rFonts w:ascii="Arial" w:hAnsi="Arial"/>
              </w:rPr>
            </w:pPr>
            <w:r w:rsidRPr="00BD77D8">
              <w:rPr>
                <w:rFonts w:ascii="Arial" w:hAnsi="Arial"/>
              </w:rPr>
              <w:t>NIL</w:t>
            </w:r>
          </w:p>
        </w:tc>
        <w:tc>
          <w:tcPr>
            <w:tcW w:w="1650" w:type="dxa"/>
            <w:tcBorders>
              <w:top w:val="single" w:sz="4" w:space="0" w:color="auto"/>
              <w:left w:val="single" w:sz="4" w:space="0" w:color="auto"/>
              <w:bottom w:val="single" w:sz="4" w:space="0" w:color="auto"/>
              <w:right w:val="single" w:sz="4" w:space="0" w:color="auto"/>
            </w:tcBorders>
          </w:tcPr>
          <w:p w14:paraId="6239030F" w14:textId="77777777" w:rsidR="00312556" w:rsidRPr="00BD77D8" w:rsidRDefault="00312556" w:rsidP="001F170D">
            <w:pPr>
              <w:spacing w:before="120" w:after="120"/>
              <w:rPr>
                <w:rFonts w:ascii="Arial" w:hAnsi="Arial"/>
              </w:rPr>
            </w:pPr>
            <w:r w:rsidRPr="00BD77D8">
              <w:rPr>
                <w:rFonts w:ascii="Arial" w:hAnsi="Arial"/>
              </w:rPr>
              <w:t>N/A</w:t>
            </w:r>
          </w:p>
        </w:tc>
        <w:tc>
          <w:tcPr>
            <w:tcW w:w="1631" w:type="dxa"/>
            <w:tcBorders>
              <w:top w:val="single" w:sz="4" w:space="0" w:color="auto"/>
              <w:left w:val="single" w:sz="4" w:space="0" w:color="auto"/>
              <w:bottom w:val="single" w:sz="4" w:space="0" w:color="auto"/>
              <w:right w:val="single" w:sz="4" w:space="0" w:color="auto"/>
            </w:tcBorders>
          </w:tcPr>
          <w:p w14:paraId="403747F7" w14:textId="77777777" w:rsidR="00312556" w:rsidRPr="00BD77D8" w:rsidRDefault="00312556" w:rsidP="001F170D">
            <w:pPr>
              <w:spacing w:before="120" w:after="120"/>
              <w:rPr>
                <w:rFonts w:ascii="Arial" w:hAnsi="Arial"/>
              </w:rPr>
            </w:pPr>
            <w:r w:rsidRPr="00BD77D8">
              <w:rPr>
                <w:rFonts w:ascii="Arial" w:hAnsi="Arial"/>
              </w:rPr>
              <w:t>NIL</w:t>
            </w:r>
          </w:p>
        </w:tc>
      </w:tr>
      <w:tr w:rsidR="00BD77D8" w:rsidRPr="00BD77D8" w14:paraId="0E9A59B8"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17F0CE6D" w14:textId="77777777" w:rsidR="00312556" w:rsidRPr="00BD77D8" w:rsidRDefault="00312556" w:rsidP="001F170D">
            <w:pPr>
              <w:spacing w:before="120" w:after="120"/>
              <w:rPr>
                <w:rFonts w:ascii="Arial" w:hAnsi="Arial"/>
              </w:rPr>
            </w:pPr>
            <w:r w:rsidRPr="00BD77D8">
              <w:rPr>
                <w:rFonts w:ascii="Arial" w:hAnsi="Arial"/>
              </w:rPr>
              <w:lastRenderedPageBreak/>
              <w:t>No. scheduled meetings/session</w:t>
            </w:r>
          </w:p>
        </w:tc>
        <w:tc>
          <w:tcPr>
            <w:tcW w:w="8516" w:type="dxa"/>
            <w:gridSpan w:val="5"/>
            <w:tcBorders>
              <w:top w:val="single" w:sz="4" w:space="0" w:color="auto"/>
              <w:left w:val="single" w:sz="4" w:space="0" w:color="auto"/>
              <w:bottom w:val="single" w:sz="4" w:space="0" w:color="auto"/>
              <w:right w:val="single" w:sz="4" w:space="0" w:color="auto"/>
            </w:tcBorders>
          </w:tcPr>
          <w:p w14:paraId="0C2BFD20" w14:textId="4FBE8F3F" w:rsidR="00312556" w:rsidRPr="00BD77D8" w:rsidRDefault="00312556" w:rsidP="001F170D">
            <w:pPr>
              <w:spacing w:after="120" w:line="240" w:lineRule="auto"/>
              <w:ind w:left="119"/>
              <w:rPr>
                <w:rFonts w:ascii="Arial" w:hAnsi="Arial"/>
              </w:rPr>
            </w:pPr>
            <w:r w:rsidRPr="00BD77D8">
              <w:rPr>
                <w:rFonts w:ascii="Arial" w:hAnsi="Arial"/>
              </w:rPr>
              <w:t>During 2021</w:t>
            </w:r>
            <w:r w:rsidR="00177A29" w:rsidRPr="00BD77D8">
              <w:rPr>
                <w:rFonts w:ascii="Arial" w:hAnsi="Arial"/>
              </w:rPr>
              <w:t>–</w:t>
            </w:r>
            <w:r w:rsidRPr="00BD77D8">
              <w:rPr>
                <w:rFonts w:ascii="Arial" w:hAnsi="Arial"/>
              </w:rPr>
              <w:t>2022, the Queensland Carers Advisory Council met once, on 20 April 2022.</w:t>
            </w:r>
          </w:p>
        </w:tc>
      </w:tr>
      <w:tr w:rsidR="00312556" w:rsidRPr="00BD77D8" w14:paraId="33E43B14" w14:textId="77777777" w:rsidTr="001F170D">
        <w:tc>
          <w:tcPr>
            <w:tcW w:w="1944" w:type="dxa"/>
            <w:tcBorders>
              <w:top w:val="single" w:sz="4" w:space="0" w:color="auto"/>
              <w:left w:val="single" w:sz="4" w:space="0" w:color="auto"/>
              <w:bottom w:val="single" w:sz="4" w:space="0" w:color="auto"/>
              <w:right w:val="single" w:sz="4" w:space="0" w:color="auto"/>
            </w:tcBorders>
            <w:hideMark/>
          </w:tcPr>
          <w:p w14:paraId="527097F2" w14:textId="77777777" w:rsidR="00312556" w:rsidRPr="00BD77D8" w:rsidRDefault="00312556" w:rsidP="001F170D">
            <w:pPr>
              <w:spacing w:before="120" w:after="120"/>
              <w:rPr>
                <w:rFonts w:ascii="Arial" w:hAnsi="Arial"/>
              </w:rPr>
            </w:pPr>
            <w:r w:rsidRPr="00BD77D8">
              <w:rPr>
                <w:rFonts w:ascii="Arial" w:hAnsi="Arial"/>
              </w:rPr>
              <w:t>Total out of pocket expenses</w:t>
            </w:r>
          </w:p>
        </w:tc>
        <w:tc>
          <w:tcPr>
            <w:tcW w:w="8516" w:type="dxa"/>
            <w:gridSpan w:val="5"/>
            <w:tcBorders>
              <w:top w:val="single" w:sz="4" w:space="0" w:color="auto"/>
              <w:left w:val="single" w:sz="4" w:space="0" w:color="auto"/>
              <w:bottom w:val="single" w:sz="4" w:space="0" w:color="auto"/>
              <w:right w:val="single" w:sz="4" w:space="0" w:color="auto"/>
            </w:tcBorders>
          </w:tcPr>
          <w:p w14:paraId="44821048" w14:textId="77777777" w:rsidR="00312556" w:rsidRPr="00BD77D8" w:rsidRDefault="00312556" w:rsidP="001F170D">
            <w:pPr>
              <w:spacing w:after="120" w:line="240" w:lineRule="auto"/>
              <w:ind w:left="119"/>
              <w:rPr>
                <w:rFonts w:ascii="Arial" w:hAnsi="Arial"/>
              </w:rPr>
            </w:pPr>
            <w:r w:rsidRPr="00BD77D8">
              <w:rPr>
                <w:rFonts w:ascii="Arial" w:hAnsi="Arial"/>
              </w:rPr>
              <w:t>No out-of-pocket expenses for members.</w:t>
            </w:r>
          </w:p>
          <w:p w14:paraId="4CB76D2D" w14:textId="77777777" w:rsidR="00312556" w:rsidRPr="00BD77D8" w:rsidRDefault="00312556" w:rsidP="001F170D">
            <w:pPr>
              <w:spacing w:after="120" w:line="240" w:lineRule="auto"/>
              <w:ind w:left="119"/>
              <w:rPr>
                <w:rFonts w:ascii="Arial" w:hAnsi="Arial"/>
              </w:rPr>
            </w:pPr>
            <w:r w:rsidRPr="00BD77D8">
              <w:rPr>
                <w:rFonts w:ascii="Arial" w:hAnsi="Arial"/>
              </w:rPr>
              <w:t>$395.75 travel costs met for regionally based council member to attend 20 April 2022 meeting in Brisbane.</w:t>
            </w:r>
          </w:p>
        </w:tc>
      </w:tr>
    </w:tbl>
    <w:p w14:paraId="38CD7746" w14:textId="77777777" w:rsidR="00BF1467" w:rsidRPr="00BD77D8" w:rsidRDefault="00BF1467" w:rsidP="003924A2">
      <w:pPr>
        <w:spacing w:before="360"/>
        <w:rPr>
          <w:lang w:eastAsia="en-US"/>
        </w:rPr>
      </w:pPr>
    </w:p>
    <w:tbl>
      <w:tblPr>
        <w:tblStyle w:val="TableGrid73"/>
        <w:tblW w:w="10460" w:type="dxa"/>
        <w:tblLook w:val="04A0" w:firstRow="1" w:lastRow="0" w:firstColumn="1" w:lastColumn="0" w:noHBand="0" w:noVBand="1"/>
      </w:tblPr>
      <w:tblGrid>
        <w:gridCol w:w="1944"/>
        <w:gridCol w:w="1920"/>
        <w:gridCol w:w="1500"/>
        <w:gridCol w:w="1905"/>
        <w:gridCol w:w="1698"/>
        <w:gridCol w:w="1493"/>
      </w:tblGrid>
      <w:tr w:rsidR="00BD77D8" w:rsidRPr="00BD77D8" w14:paraId="0012286C" w14:textId="77777777" w:rsidTr="00940EF1">
        <w:trPr>
          <w:tblHeader/>
        </w:trPr>
        <w:tc>
          <w:tcPr>
            <w:tcW w:w="1046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8540C2" w14:textId="7F692AB8" w:rsidR="0053769C" w:rsidRPr="00BD77D8" w:rsidRDefault="007B7F87" w:rsidP="0053769C">
            <w:pPr>
              <w:spacing w:before="120" w:after="120"/>
              <w:rPr>
                <w:rFonts w:ascii="Arial" w:hAnsi="Arial"/>
                <w:b/>
                <w:bCs/>
              </w:rPr>
            </w:pPr>
            <w:bookmarkStart w:id="338" w:name="_Toc43444837"/>
            <w:bookmarkStart w:id="339" w:name="_Toc78287414"/>
            <w:bookmarkStart w:id="340" w:name="_Toc78355821"/>
            <w:bookmarkEnd w:id="335"/>
            <w:r w:rsidRPr="00BD77D8">
              <w:t xml:space="preserve"> </w:t>
            </w:r>
            <w:bookmarkEnd w:id="338"/>
            <w:bookmarkEnd w:id="339"/>
            <w:bookmarkEnd w:id="340"/>
            <w:r w:rsidR="0053769C" w:rsidRPr="00BD77D8">
              <w:rPr>
                <w:rFonts w:ascii="Arial" w:hAnsi="Arial"/>
                <w:b/>
                <w:bCs/>
              </w:rPr>
              <w:t>QUEENSLAND DISABILITY ADVISORY COUNCIL</w:t>
            </w:r>
          </w:p>
        </w:tc>
      </w:tr>
      <w:tr w:rsidR="00BD77D8" w:rsidRPr="00BD77D8" w14:paraId="306A2447"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53A577D2" w14:textId="77777777" w:rsidR="0053769C" w:rsidRPr="00BD77D8" w:rsidRDefault="0053769C" w:rsidP="0053769C">
            <w:pPr>
              <w:spacing w:before="120" w:after="120"/>
              <w:rPr>
                <w:rFonts w:ascii="Arial" w:hAnsi="Arial"/>
              </w:rPr>
            </w:pPr>
            <w:r w:rsidRPr="00BD77D8">
              <w:rPr>
                <w:rFonts w:ascii="Arial" w:hAnsi="Arial"/>
              </w:rPr>
              <w:t>Act or instrument</w:t>
            </w:r>
          </w:p>
        </w:tc>
        <w:tc>
          <w:tcPr>
            <w:tcW w:w="8516" w:type="dxa"/>
            <w:gridSpan w:val="5"/>
            <w:tcBorders>
              <w:top w:val="single" w:sz="4" w:space="0" w:color="auto"/>
              <w:left w:val="single" w:sz="4" w:space="0" w:color="auto"/>
              <w:bottom w:val="single" w:sz="4" w:space="0" w:color="auto"/>
              <w:right w:val="single" w:sz="4" w:space="0" w:color="auto"/>
            </w:tcBorders>
          </w:tcPr>
          <w:p w14:paraId="0DF2A329" w14:textId="77777777" w:rsidR="0053769C" w:rsidRPr="00BD77D8" w:rsidRDefault="0053769C" w:rsidP="0053769C">
            <w:pPr>
              <w:spacing w:before="120" w:after="120"/>
              <w:rPr>
                <w:rFonts w:ascii="Arial" w:hAnsi="Arial"/>
                <w:i/>
                <w:iCs/>
              </w:rPr>
            </w:pPr>
            <w:r w:rsidRPr="00BD77D8">
              <w:rPr>
                <w:rFonts w:ascii="Arial" w:hAnsi="Arial"/>
                <w:i/>
                <w:iCs/>
              </w:rPr>
              <w:t xml:space="preserve">Disability Services Act 2006 </w:t>
            </w:r>
          </w:p>
        </w:tc>
      </w:tr>
      <w:tr w:rsidR="00BD77D8" w:rsidRPr="00BD77D8" w14:paraId="5BBA2907"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72FE7D19" w14:textId="77777777" w:rsidR="0053769C" w:rsidRPr="00BD77D8" w:rsidRDefault="0053769C" w:rsidP="0053769C">
            <w:pPr>
              <w:spacing w:before="120" w:after="120"/>
              <w:rPr>
                <w:rFonts w:ascii="Arial" w:hAnsi="Arial"/>
              </w:rPr>
            </w:pPr>
            <w:r w:rsidRPr="00BD77D8">
              <w:rPr>
                <w:rFonts w:ascii="Arial" w:hAnsi="Arial"/>
              </w:rPr>
              <w:t>Functions</w:t>
            </w:r>
          </w:p>
        </w:tc>
        <w:tc>
          <w:tcPr>
            <w:tcW w:w="8516" w:type="dxa"/>
            <w:gridSpan w:val="5"/>
            <w:tcBorders>
              <w:top w:val="single" w:sz="4" w:space="0" w:color="auto"/>
              <w:left w:val="single" w:sz="4" w:space="0" w:color="auto"/>
              <w:bottom w:val="single" w:sz="4" w:space="0" w:color="auto"/>
              <w:right w:val="single" w:sz="4" w:space="0" w:color="auto"/>
            </w:tcBorders>
          </w:tcPr>
          <w:p w14:paraId="281228F6" w14:textId="3D60A666" w:rsidR="0053769C" w:rsidRPr="00BD77D8" w:rsidRDefault="0053769C" w:rsidP="00075879">
            <w:pPr>
              <w:spacing w:before="120" w:after="120" w:line="257" w:lineRule="auto"/>
              <w:rPr>
                <w:rFonts w:ascii="Arial" w:hAnsi="Arial"/>
              </w:rPr>
            </w:pPr>
            <w:r w:rsidRPr="00BD77D8">
              <w:rPr>
                <w:rFonts w:ascii="Arial" w:hAnsi="Arial"/>
              </w:rPr>
              <w:t>The Queensland Disability Advisory Council operates as a key channel for independent advice to the Minister for Seniors and Disability Services and Minister for Aboriginal and Torres Strait Islander Partnerships, and for the Department of Seniors, Disability Services and Aboriginal and Torres Strait Islander Partnerships, on regional, state and national disability</w:t>
            </w:r>
            <w:r w:rsidR="00177A29" w:rsidRPr="00BD77D8">
              <w:rPr>
                <w:rFonts w:ascii="Arial" w:hAnsi="Arial"/>
              </w:rPr>
              <w:t>-</w:t>
            </w:r>
            <w:r w:rsidRPr="00BD77D8">
              <w:rPr>
                <w:rFonts w:ascii="Arial" w:hAnsi="Arial"/>
              </w:rPr>
              <w:t>related matters. The council represents the views and opinions of the disability community that are important to Queenslanders.</w:t>
            </w:r>
          </w:p>
        </w:tc>
      </w:tr>
      <w:tr w:rsidR="00BD77D8" w:rsidRPr="00BD77D8" w14:paraId="03793CD6" w14:textId="77777777" w:rsidTr="00E1778E">
        <w:trPr>
          <w:trHeight w:val="4737"/>
        </w:trPr>
        <w:tc>
          <w:tcPr>
            <w:tcW w:w="1944" w:type="dxa"/>
            <w:tcBorders>
              <w:top w:val="single" w:sz="4" w:space="0" w:color="auto"/>
              <w:left w:val="single" w:sz="4" w:space="0" w:color="auto"/>
              <w:bottom w:val="single" w:sz="4" w:space="0" w:color="auto"/>
              <w:right w:val="single" w:sz="4" w:space="0" w:color="auto"/>
            </w:tcBorders>
            <w:hideMark/>
          </w:tcPr>
          <w:p w14:paraId="0FC4CC36" w14:textId="77777777" w:rsidR="0053769C" w:rsidRPr="00BD77D8" w:rsidRDefault="0053769C" w:rsidP="0053769C">
            <w:pPr>
              <w:spacing w:before="120" w:after="120"/>
              <w:rPr>
                <w:rFonts w:ascii="Arial" w:hAnsi="Arial"/>
              </w:rPr>
            </w:pPr>
            <w:r w:rsidRPr="00BD77D8">
              <w:rPr>
                <w:rFonts w:ascii="Arial" w:hAnsi="Arial"/>
              </w:rPr>
              <w:t>Achievements</w:t>
            </w:r>
          </w:p>
        </w:tc>
        <w:tc>
          <w:tcPr>
            <w:tcW w:w="8516" w:type="dxa"/>
            <w:gridSpan w:val="5"/>
            <w:tcBorders>
              <w:top w:val="single" w:sz="4" w:space="0" w:color="auto"/>
              <w:left w:val="single" w:sz="4" w:space="0" w:color="auto"/>
              <w:bottom w:val="single" w:sz="4" w:space="0" w:color="auto"/>
              <w:right w:val="single" w:sz="4" w:space="0" w:color="auto"/>
            </w:tcBorders>
            <w:hideMark/>
          </w:tcPr>
          <w:p w14:paraId="0BDADEDB" w14:textId="45024408" w:rsidR="0053769C" w:rsidRPr="00BD77D8" w:rsidRDefault="0053769C" w:rsidP="0053769C">
            <w:pPr>
              <w:spacing w:before="120" w:after="120" w:line="257" w:lineRule="auto"/>
              <w:rPr>
                <w:rFonts w:ascii="Arial" w:hAnsi="Arial"/>
              </w:rPr>
            </w:pPr>
            <w:r w:rsidRPr="00BD77D8">
              <w:rPr>
                <w:rFonts w:ascii="Arial" w:hAnsi="Arial"/>
              </w:rPr>
              <w:t>The 2021</w:t>
            </w:r>
            <w:r w:rsidR="00177A29" w:rsidRPr="00BD77D8">
              <w:rPr>
                <w:rFonts w:ascii="Arial" w:hAnsi="Arial"/>
              </w:rPr>
              <w:t>–</w:t>
            </w:r>
            <w:r w:rsidR="009443C3" w:rsidRPr="00BD77D8">
              <w:rPr>
                <w:rFonts w:ascii="Arial" w:hAnsi="Arial"/>
              </w:rPr>
              <w:t>20</w:t>
            </w:r>
            <w:r w:rsidRPr="00BD77D8">
              <w:rPr>
                <w:rFonts w:ascii="Arial" w:hAnsi="Arial"/>
              </w:rPr>
              <w:t xml:space="preserve">22 council was appointed on 3 December 2021 and the first meeting of the </w:t>
            </w:r>
            <w:r w:rsidR="00177A29" w:rsidRPr="00BD77D8">
              <w:rPr>
                <w:rFonts w:ascii="Arial" w:hAnsi="Arial"/>
              </w:rPr>
              <w:t>c</w:t>
            </w:r>
            <w:r w:rsidRPr="00BD77D8">
              <w:rPr>
                <w:rFonts w:ascii="Arial" w:hAnsi="Arial"/>
              </w:rPr>
              <w:t xml:space="preserve">ouncil for the term was on 15 December 2021. </w:t>
            </w:r>
          </w:p>
          <w:p w14:paraId="66A4239D" w14:textId="15073388" w:rsidR="0053769C" w:rsidRPr="00BD77D8" w:rsidRDefault="0053769C" w:rsidP="0053769C">
            <w:pPr>
              <w:spacing w:before="120" w:after="120" w:line="257" w:lineRule="auto"/>
              <w:rPr>
                <w:rFonts w:ascii="Arial" w:hAnsi="Arial"/>
              </w:rPr>
            </w:pPr>
            <w:r w:rsidRPr="00BD77D8">
              <w:rPr>
                <w:rFonts w:ascii="Arial" w:hAnsi="Arial"/>
              </w:rPr>
              <w:t>In 2021–</w:t>
            </w:r>
            <w:r w:rsidR="009443C3" w:rsidRPr="00BD77D8">
              <w:rPr>
                <w:rFonts w:ascii="Arial" w:hAnsi="Arial"/>
              </w:rPr>
              <w:t>20</w:t>
            </w:r>
            <w:r w:rsidRPr="00BD77D8">
              <w:rPr>
                <w:rFonts w:ascii="Arial" w:hAnsi="Arial"/>
              </w:rPr>
              <w:t xml:space="preserve">22 council members actively engaged with their networks and communities about the COVID-19 pandemic, NDIS implementation in Queensland and other sector issues, providing new information, clarifying processes, raising issues and sharing experiences. </w:t>
            </w:r>
          </w:p>
          <w:p w14:paraId="41F736BF" w14:textId="77777777" w:rsidR="0053769C" w:rsidRPr="00BD77D8" w:rsidRDefault="0053769C" w:rsidP="0053769C">
            <w:pPr>
              <w:spacing w:before="120" w:after="120" w:line="257" w:lineRule="auto"/>
              <w:rPr>
                <w:rFonts w:ascii="Arial" w:hAnsi="Arial"/>
              </w:rPr>
            </w:pPr>
            <w:r w:rsidRPr="00BD77D8">
              <w:rPr>
                <w:rFonts w:ascii="Arial" w:hAnsi="Arial"/>
              </w:rPr>
              <w:t xml:space="preserve">Members played a significant role in advising government about the impact of COVID-19 for people with disability and the disability sector services including opportunities to improve information and support. </w:t>
            </w:r>
          </w:p>
          <w:p w14:paraId="43FC08C4" w14:textId="77777777" w:rsidR="0053769C" w:rsidRPr="00BD77D8" w:rsidRDefault="0053769C" w:rsidP="0053769C">
            <w:pPr>
              <w:spacing w:before="120" w:after="120" w:line="257" w:lineRule="auto"/>
              <w:rPr>
                <w:rFonts w:ascii="Arial" w:hAnsi="Arial"/>
              </w:rPr>
            </w:pPr>
            <w:r w:rsidRPr="00BD77D8">
              <w:rPr>
                <w:rFonts w:ascii="Arial" w:hAnsi="Arial"/>
              </w:rPr>
              <w:t xml:space="preserve">Members provided a critical role in providing input on the development of the next state disability plan including feedback on the key components and approach for implementation. </w:t>
            </w:r>
          </w:p>
          <w:p w14:paraId="36E916B4" w14:textId="77777777" w:rsidR="0053769C" w:rsidRPr="00BD77D8" w:rsidRDefault="0053769C" w:rsidP="0053769C">
            <w:pPr>
              <w:spacing w:before="120" w:after="120" w:line="257" w:lineRule="auto"/>
              <w:rPr>
                <w:rFonts w:ascii="Arial" w:hAnsi="Arial"/>
              </w:rPr>
            </w:pPr>
            <w:r w:rsidRPr="00BD77D8">
              <w:rPr>
                <w:rFonts w:ascii="Arial" w:hAnsi="Arial"/>
              </w:rPr>
              <w:t>Members also provided advice to the Minister on the following matters:</w:t>
            </w:r>
          </w:p>
          <w:p w14:paraId="2718C684" w14:textId="1DEFDB13" w:rsidR="0053769C" w:rsidRPr="00BD77D8" w:rsidRDefault="00177A29" w:rsidP="00F729B3">
            <w:pPr>
              <w:numPr>
                <w:ilvl w:val="0"/>
                <w:numId w:val="62"/>
              </w:numPr>
              <w:spacing w:before="120" w:after="120" w:line="257" w:lineRule="auto"/>
              <w:contextualSpacing/>
              <w:rPr>
                <w:rFonts w:ascii="Arial" w:hAnsi="Arial"/>
              </w:rPr>
            </w:pPr>
            <w:r w:rsidRPr="00BD77D8">
              <w:rPr>
                <w:rFonts w:ascii="Arial" w:hAnsi="Arial"/>
              </w:rPr>
              <w:t>d</w:t>
            </w:r>
            <w:r w:rsidR="0053769C" w:rsidRPr="00BD77D8">
              <w:rPr>
                <w:rFonts w:ascii="Arial" w:hAnsi="Arial"/>
              </w:rPr>
              <w:t>evelopment of the department’s Disability Service Plan</w:t>
            </w:r>
          </w:p>
          <w:p w14:paraId="7C848898" w14:textId="1E5E145C" w:rsidR="0053769C" w:rsidRPr="00BD77D8" w:rsidRDefault="00177A29" w:rsidP="00F729B3">
            <w:pPr>
              <w:numPr>
                <w:ilvl w:val="0"/>
                <w:numId w:val="62"/>
              </w:numPr>
              <w:spacing w:before="120" w:after="120" w:line="257" w:lineRule="auto"/>
              <w:contextualSpacing/>
              <w:rPr>
                <w:rFonts w:ascii="Arial" w:hAnsi="Arial"/>
              </w:rPr>
            </w:pPr>
            <w:r w:rsidRPr="00BD77D8">
              <w:rPr>
                <w:rFonts w:ascii="Arial" w:hAnsi="Arial"/>
              </w:rPr>
              <w:t xml:space="preserve">the </w:t>
            </w:r>
            <w:r w:rsidR="0053769C" w:rsidRPr="00BD77D8">
              <w:rPr>
                <w:rFonts w:ascii="Arial" w:hAnsi="Arial"/>
              </w:rPr>
              <w:t>Queensland Disability Advocacy Program.</w:t>
            </w:r>
          </w:p>
        </w:tc>
      </w:tr>
      <w:tr w:rsidR="00BD77D8" w:rsidRPr="00BD77D8" w14:paraId="658470C9"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5D1F9CE8" w14:textId="77777777" w:rsidR="0053769C" w:rsidRPr="00BD77D8" w:rsidRDefault="0053769C" w:rsidP="0053769C">
            <w:pPr>
              <w:spacing w:before="120" w:after="120"/>
              <w:rPr>
                <w:rFonts w:ascii="Arial" w:hAnsi="Arial"/>
              </w:rPr>
            </w:pPr>
            <w:r w:rsidRPr="00BD77D8">
              <w:rPr>
                <w:rFonts w:ascii="Arial" w:hAnsi="Arial"/>
              </w:rPr>
              <w:t>Financial reporting</w:t>
            </w:r>
          </w:p>
        </w:tc>
        <w:tc>
          <w:tcPr>
            <w:tcW w:w="8516" w:type="dxa"/>
            <w:gridSpan w:val="5"/>
            <w:tcBorders>
              <w:top w:val="single" w:sz="4" w:space="0" w:color="auto"/>
              <w:left w:val="single" w:sz="4" w:space="0" w:color="auto"/>
              <w:bottom w:val="single" w:sz="4" w:space="0" w:color="auto"/>
              <w:right w:val="single" w:sz="4" w:space="0" w:color="auto"/>
            </w:tcBorders>
            <w:hideMark/>
          </w:tcPr>
          <w:p w14:paraId="20D34ED8" w14:textId="77777777" w:rsidR="0053769C" w:rsidRPr="00BD77D8" w:rsidRDefault="0053769C" w:rsidP="0053769C">
            <w:pPr>
              <w:spacing w:before="120" w:after="120" w:line="259" w:lineRule="auto"/>
              <w:rPr>
                <w:rFonts w:ascii="Arial" w:hAnsi="Arial"/>
              </w:rPr>
            </w:pPr>
            <w:r w:rsidRPr="00BD77D8">
              <w:rPr>
                <w:rFonts w:ascii="Arial" w:hAnsi="Arial"/>
              </w:rPr>
              <w:t>No financial decision-making or reporting</w:t>
            </w:r>
          </w:p>
        </w:tc>
      </w:tr>
      <w:tr w:rsidR="00BD77D8" w:rsidRPr="00BD77D8" w14:paraId="6E808523" w14:textId="77777777" w:rsidTr="00BF1467">
        <w:trPr>
          <w:trHeight w:val="2485"/>
        </w:trPr>
        <w:tc>
          <w:tcPr>
            <w:tcW w:w="10460" w:type="dxa"/>
            <w:gridSpan w:val="6"/>
            <w:tcBorders>
              <w:top w:val="single" w:sz="4" w:space="0" w:color="auto"/>
              <w:left w:val="single" w:sz="4" w:space="0" w:color="auto"/>
              <w:bottom w:val="single" w:sz="4" w:space="0" w:color="auto"/>
              <w:right w:val="single" w:sz="4" w:space="0" w:color="auto"/>
            </w:tcBorders>
          </w:tcPr>
          <w:p w14:paraId="53BE7724" w14:textId="77777777" w:rsidR="00177A29" w:rsidRPr="00BD77D8" w:rsidRDefault="00BF1467" w:rsidP="00BF1467">
            <w:pPr>
              <w:spacing w:before="120" w:after="120"/>
              <w:rPr>
                <w:rFonts w:ascii="Arial" w:hAnsi="Arial"/>
              </w:rPr>
            </w:pPr>
            <w:r w:rsidRPr="00BD77D8">
              <w:rPr>
                <w:rFonts w:ascii="Arial" w:hAnsi="Arial"/>
              </w:rPr>
              <w:t xml:space="preserve">Remuneration: </w:t>
            </w:r>
          </w:p>
          <w:p w14:paraId="0F123B02" w14:textId="63806B11" w:rsidR="00BF1467" w:rsidRPr="00BD77D8" w:rsidRDefault="00177A29" w:rsidP="00BF1467">
            <w:pPr>
              <w:spacing w:before="120" w:after="120"/>
              <w:rPr>
                <w:rFonts w:ascii="Arial" w:hAnsi="Arial"/>
              </w:rPr>
            </w:pPr>
            <w:r w:rsidRPr="00BD77D8">
              <w:rPr>
                <w:rFonts w:ascii="Arial" w:hAnsi="Arial"/>
              </w:rPr>
              <w:t>C</w:t>
            </w:r>
            <w:r w:rsidR="00BF1467" w:rsidRPr="00BD77D8">
              <w:rPr>
                <w:rFonts w:ascii="Arial" w:hAnsi="Arial"/>
              </w:rPr>
              <w:t xml:space="preserve">ouncil </w:t>
            </w:r>
            <w:r w:rsidRPr="00BD77D8">
              <w:rPr>
                <w:rFonts w:ascii="Arial" w:hAnsi="Arial"/>
              </w:rPr>
              <w:t xml:space="preserve">members </w:t>
            </w:r>
            <w:r w:rsidR="00BF1467" w:rsidRPr="00BD77D8">
              <w:rPr>
                <w:rFonts w:ascii="Arial" w:hAnsi="Arial"/>
              </w:rPr>
              <w:t xml:space="preserve">who are not employed in the Queensland public service are entitled to receive meeting fees in accordance with </w:t>
            </w:r>
            <w:r w:rsidR="00BF1467" w:rsidRPr="00BD77D8">
              <w:rPr>
                <w:rFonts w:ascii="Arial" w:hAnsi="Arial"/>
                <w:i/>
                <w:iCs/>
              </w:rPr>
              <w:t>Remuneration Procedures for Part-time Chairs and Members of Queensland Government Bodies</w:t>
            </w:r>
            <w:r w:rsidR="00BF1467" w:rsidRPr="00BD77D8">
              <w:rPr>
                <w:rFonts w:ascii="Arial" w:hAnsi="Arial"/>
              </w:rPr>
              <w:t>.</w:t>
            </w:r>
          </w:p>
          <w:p w14:paraId="3F850E40" w14:textId="009E0EF7" w:rsidR="00BF1467" w:rsidRPr="00BD77D8" w:rsidRDefault="00BF1467" w:rsidP="00BF1467">
            <w:pPr>
              <w:spacing w:before="120" w:after="120"/>
            </w:pPr>
            <w:r w:rsidRPr="00BD77D8">
              <w:rPr>
                <w:rFonts w:ascii="Arial" w:hAnsi="Arial"/>
              </w:rPr>
              <w:t>In addition to these entitlements, the Chair is paid an annual allowance that recognises the additional work they undertake in advising the Minister and department, and in representing the disability sector on other groups. Members are not remunerated for any additional work required to carry out their role.</w:t>
            </w:r>
          </w:p>
        </w:tc>
      </w:tr>
      <w:tr w:rsidR="00BD77D8" w:rsidRPr="00BD77D8" w14:paraId="7CBA01C4" w14:textId="77777777" w:rsidTr="00971311">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A92C4" w14:textId="1B21D215" w:rsidR="00940EF1" w:rsidRPr="00BD77D8" w:rsidRDefault="00940EF1" w:rsidP="00940EF1">
            <w:pPr>
              <w:spacing w:before="120" w:after="120"/>
            </w:pPr>
            <w:r w:rsidRPr="00BD77D8">
              <w:rPr>
                <w:rFonts w:ascii="Arial" w:hAnsi="Arial"/>
              </w:rPr>
              <w:lastRenderedPageBreak/>
              <w:t>Position</w:t>
            </w:r>
          </w:p>
        </w:tc>
        <w:tc>
          <w:tcPr>
            <w:tcW w:w="19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1D6369" w14:textId="7B853BE7" w:rsidR="00940EF1" w:rsidRPr="00BD77D8" w:rsidRDefault="00940EF1" w:rsidP="00940EF1">
            <w:pPr>
              <w:spacing w:before="120" w:after="120"/>
            </w:pPr>
            <w:r w:rsidRPr="00BD77D8">
              <w:rPr>
                <w:rFonts w:ascii="Arial" w:hAnsi="Arial"/>
              </w:rPr>
              <w:t>Name</w:t>
            </w:r>
          </w:p>
        </w:tc>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B96CD" w14:textId="415809AC" w:rsidR="00940EF1" w:rsidRPr="00BD77D8" w:rsidRDefault="00940EF1" w:rsidP="00940EF1">
            <w:pPr>
              <w:spacing w:before="120" w:after="120"/>
            </w:pPr>
            <w:r w:rsidRPr="00BD77D8">
              <w:rPr>
                <w:rFonts w:ascii="Arial" w:hAnsi="Arial"/>
              </w:rPr>
              <w:t>Meetings/ sessions attendance</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550047" w14:textId="6977F5F5" w:rsidR="00940EF1" w:rsidRPr="00BD77D8" w:rsidRDefault="00940EF1" w:rsidP="00940EF1">
            <w:pPr>
              <w:spacing w:before="120" w:after="120"/>
            </w:pPr>
            <w:r w:rsidRPr="00BD77D8">
              <w:rPr>
                <w:rFonts w:ascii="Arial" w:hAnsi="Arial"/>
              </w:rPr>
              <w:t xml:space="preserve">Approved annual, sessional or daily fee </w:t>
            </w:r>
          </w:p>
        </w:tc>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F87A6A" w14:textId="3A23961D" w:rsidR="00940EF1" w:rsidRPr="00BD77D8" w:rsidRDefault="00940EF1" w:rsidP="00940EF1">
            <w:pPr>
              <w:spacing w:before="120" w:after="120"/>
            </w:pPr>
            <w:r w:rsidRPr="00BD77D8">
              <w:rPr>
                <w:rFonts w:ascii="Arial" w:hAnsi="Arial"/>
              </w:rPr>
              <w:t>Approved sub-committee fees if applicable</w:t>
            </w:r>
          </w:p>
        </w:tc>
        <w:tc>
          <w:tcPr>
            <w:tcW w:w="14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7CE716" w14:textId="0242B5C6" w:rsidR="00940EF1" w:rsidRPr="00BD77D8" w:rsidRDefault="00940EF1" w:rsidP="00940EF1">
            <w:pPr>
              <w:spacing w:before="120" w:after="120"/>
            </w:pPr>
            <w:r w:rsidRPr="00BD77D8">
              <w:rPr>
                <w:rFonts w:ascii="Arial" w:hAnsi="Arial"/>
              </w:rPr>
              <w:t xml:space="preserve">Actual fees received </w:t>
            </w:r>
          </w:p>
        </w:tc>
      </w:tr>
      <w:tr w:rsidR="00BD77D8" w:rsidRPr="00BD77D8" w14:paraId="18D36E1D" w14:textId="77777777" w:rsidTr="00187A47">
        <w:tc>
          <w:tcPr>
            <w:tcW w:w="1944" w:type="dxa"/>
            <w:tcBorders>
              <w:top w:val="single" w:sz="4" w:space="0" w:color="auto"/>
              <w:left w:val="single" w:sz="4" w:space="0" w:color="auto"/>
              <w:bottom w:val="single" w:sz="4" w:space="0" w:color="auto"/>
              <w:right w:val="single" w:sz="4" w:space="0" w:color="auto"/>
            </w:tcBorders>
          </w:tcPr>
          <w:p w14:paraId="1AB5F427" w14:textId="77777777" w:rsidR="0053769C" w:rsidRPr="00BD77D8" w:rsidRDefault="0053769C" w:rsidP="0053769C">
            <w:pPr>
              <w:spacing w:before="120" w:after="120"/>
              <w:rPr>
                <w:rFonts w:ascii="Arial" w:hAnsi="Arial"/>
              </w:rPr>
            </w:pPr>
            <w:r w:rsidRPr="00BD77D8">
              <w:rPr>
                <w:rFonts w:ascii="Arial" w:hAnsi="Arial"/>
              </w:rPr>
              <w:t>Chair</w:t>
            </w:r>
          </w:p>
        </w:tc>
        <w:tc>
          <w:tcPr>
            <w:tcW w:w="1920" w:type="dxa"/>
            <w:tcBorders>
              <w:top w:val="single" w:sz="4" w:space="0" w:color="auto"/>
              <w:left w:val="single" w:sz="4" w:space="0" w:color="auto"/>
              <w:bottom w:val="single" w:sz="4" w:space="0" w:color="auto"/>
              <w:right w:val="single" w:sz="4" w:space="0" w:color="auto"/>
            </w:tcBorders>
          </w:tcPr>
          <w:p w14:paraId="51643291" w14:textId="77777777" w:rsidR="0053769C" w:rsidRPr="00BD77D8" w:rsidRDefault="0053769C" w:rsidP="0053769C">
            <w:pPr>
              <w:spacing w:before="120" w:after="120"/>
              <w:rPr>
                <w:rFonts w:ascii="Arial" w:hAnsi="Arial"/>
              </w:rPr>
            </w:pPr>
            <w:r w:rsidRPr="00BD77D8">
              <w:rPr>
                <w:rFonts w:ascii="Arial" w:hAnsi="Arial"/>
              </w:rPr>
              <w:t>Dr Sharon Boyce</w:t>
            </w:r>
          </w:p>
        </w:tc>
        <w:tc>
          <w:tcPr>
            <w:tcW w:w="1500" w:type="dxa"/>
            <w:tcBorders>
              <w:top w:val="single" w:sz="4" w:space="0" w:color="auto"/>
              <w:left w:val="single" w:sz="4" w:space="0" w:color="auto"/>
              <w:bottom w:val="single" w:sz="4" w:space="0" w:color="auto"/>
              <w:right w:val="single" w:sz="4" w:space="0" w:color="auto"/>
            </w:tcBorders>
          </w:tcPr>
          <w:p w14:paraId="0BF4B993"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467FE829" w14:textId="77777777" w:rsidR="0053769C" w:rsidRPr="00BD77D8" w:rsidRDefault="0053769C" w:rsidP="0053769C">
            <w:pPr>
              <w:spacing w:before="120" w:after="120"/>
              <w:rPr>
                <w:rFonts w:ascii="Arial" w:hAnsi="Arial"/>
              </w:rPr>
            </w:pPr>
            <w:r w:rsidRPr="00BD77D8">
              <w:rPr>
                <w:rFonts w:ascii="Arial" w:hAnsi="Arial"/>
              </w:rPr>
              <w:t>$17,160 per annum plus $520 per meeting/session</w:t>
            </w:r>
          </w:p>
        </w:tc>
        <w:tc>
          <w:tcPr>
            <w:tcW w:w="1698" w:type="dxa"/>
            <w:tcBorders>
              <w:top w:val="single" w:sz="4" w:space="0" w:color="auto"/>
              <w:left w:val="single" w:sz="4" w:space="0" w:color="auto"/>
              <w:bottom w:val="single" w:sz="4" w:space="0" w:color="auto"/>
              <w:right w:val="single" w:sz="4" w:space="0" w:color="auto"/>
            </w:tcBorders>
          </w:tcPr>
          <w:p w14:paraId="33FA49BB"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3EB66CC" w14:textId="77777777" w:rsidR="0053769C" w:rsidRPr="00BD77D8" w:rsidRDefault="0053769C" w:rsidP="0053769C">
            <w:pPr>
              <w:spacing w:before="120" w:after="120"/>
              <w:rPr>
                <w:rFonts w:ascii="Arial" w:hAnsi="Arial"/>
              </w:rPr>
            </w:pPr>
            <w:r w:rsidRPr="00BD77D8">
              <w:rPr>
                <w:rFonts w:ascii="Arial" w:hAnsi="Arial"/>
              </w:rPr>
              <w:t>$2,600.00</w:t>
            </w:r>
          </w:p>
        </w:tc>
      </w:tr>
      <w:tr w:rsidR="00BD77D8" w:rsidRPr="00BD77D8" w14:paraId="2B429FBD" w14:textId="77777777" w:rsidTr="00187A47">
        <w:tc>
          <w:tcPr>
            <w:tcW w:w="1944" w:type="dxa"/>
            <w:tcBorders>
              <w:top w:val="single" w:sz="4" w:space="0" w:color="auto"/>
              <w:left w:val="single" w:sz="4" w:space="0" w:color="auto"/>
              <w:bottom w:val="single" w:sz="4" w:space="0" w:color="auto"/>
              <w:right w:val="single" w:sz="4" w:space="0" w:color="auto"/>
            </w:tcBorders>
          </w:tcPr>
          <w:p w14:paraId="02340563" w14:textId="77777777" w:rsidR="0053769C" w:rsidRPr="00BD77D8" w:rsidRDefault="0053769C" w:rsidP="0053769C">
            <w:pPr>
              <w:spacing w:before="120" w:after="120"/>
              <w:rPr>
                <w:rFonts w:ascii="Arial" w:hAnsi="Arial"/>
              </w:rPr>
            </w:pPr>
            <w:r w:rsidRPr="00BD77D8">
              <w:rPr>
                <w:rFonts w:ascii="Arial" w:hAnsi="Arial"/>
              </w:rPr>
              <w:t>Deputy Chair</w:t>
            </w:r>
          </w:p>
        </w:tc>
        <w:tc>
          <w:tcPr>
            <w:tcW w:w="1920" w:type="dxa"/>
            <w:tcBorders>
              <w:top w:val="single" w:sz="4" w:space="0" w:color="auto"/>
              <w:left w:val="single" w:sz="4" w:space="0" w:color="auto"/>
              <w:bottom w:val="single" w:sz="4" w:space="0" w:color="auto"/>
              <w:right w:val="single" w:sz="4" w:space="0" w:color="auto"/>
            </w:tcBorders>
          </w:tcPr>
          <w:p w14:paraId="20BF58F2" w14:textId="77777777" w:rsidR="0053769C" w:rsidRPr="00BD77D8" w:rsidRDefault="0053769C" w:rsidP="0053769C">
            <w:pPr>
              <w:spacing w:before="120" w:after="120"/>
              <w:rPr>
                <w:rFonts w:ascii="Arial" w:hAnsi="Arial"/>
              </w:rPr>
            </w:pPr>
            <w:r w:rsidRPr="00BD77D8">
              <w:rPr>
                <w:rFonts w:ascii="Arial" w:hAnsi="Arial"/>
              </w:rPr>
              <w:t xml:space="preserve">Ms Anita </w:t>
            </w:r>
            <w:proofErr w:type="spellStart"/>
            <w:r w:rsidRPr="00BD77D8">
              <w:rPr>
                <w:rFonts w:ascii="Arial" w:hAnsi="Arial"/>
              </w:rPr>
              <w:t>Veivers</w:t>
            </w:r>
            <w:proofErr w:type="spellEnd"/>
          </w:p>
        </w:tc>
        <w:tc>
          <w:tcPr>
            <w:tcW w:w="1500" w:type="dxa"/>
            <w:tcBorders>
              <w:top w:val="single" w:sz="4" w:space="0" w:color="auto"/>
              <w:left w:val="single" w:sz="4" w:space="0" w:color="auto"/>
              <w:bottom w:val="single" w:sz="4" w:space="0" w:color="auto"/>
              <w:right w:val="single" w:sz="4" w:space="0" w:color="auto"/>
            </w:tcBorders>
          </w:tcPr>
          <w:p w14:paraId="67C3F54F"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63A6CDC9"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11317C0D"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3270C502"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41162DC1" w14:textId="77777777" w:rsidTr="00187A47">
        <w:tc>
          <w:tcPr>
            <w:tcW w:w="1944" w:type="dxa"/>
            <w:tcBorders>
              <w:top w:val="single" w:sz="4" w:space="0" w:color="auto"/>
              <w:left w:val="single" w:sz="4" w:space="0" w:color="auto"/>
              <w:bottom w:val="single" w:sz="4" w:space="0" w:color="auto"/>
              <w:right w:val="single" w:sz="4" w:space="0" w:color="auto"/>
            </w:tcBorders>
          </w:tcPr>
          <w:p w14:paraId="35F6F079"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5D74317D" w14:textId="77777777" w:rsidR="0053769C" w:rsidRPr="00BD77D8" w:rsidRDefault="0053769C" w:rsidP="0053769C">
            <w:pPr>
              <w:spacing w:before="120" w:after="120"/>
              <w:rPr>
                <w:rFonts w:ascii="Arial" w:hAnsi="Arial"/>
              </w:rPr>
            </w:pPr>
            <w:r w:rsidRPr="00BD77D8">
              <w:rPr>
                <w:rFonts w:ascii="Arial" w:hAnsi="Arial"/>
              </w:rPr>
              <w:t>Mr Ken Parker</w:t>
            </w:r>
          </w:p>
        </w:tc>
        <w:tc>
          <w:tcPr>
            <w:tcW w:w="1500" w:type="dxa"/>
            <w:tcBorders>
              <w:top w:val="single" w:sz="4" w:space="0" w:color="auto"/>
              <w:left w:val="single" w:sz="4" w:space="0" w:color="auto"/>
              <w:bottom w:val="single" w:sz="4" w:space="0" w:color="auto"/>
              <w:right w:val="single" w:sz="4" w:space="0" w:color="auto"/>
            </w:tcBorders>
          </w:tcPr>
          <w:p w14:paraId="4D9B78F4"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607BFBBC"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0F754600"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10B144A" w14:textId="77777777" w:rsidR="0053769C" w:rsidRPr="00BD77D8" w:rsidRDefault="0053769C" w:rsidP="0053769C">
            <w:pPr>
              <w:spacing w:before="120" w:after="120"/>
              <w:rPr>
                <w:rFonts w:ascii="Arial" w:hAnsi="Arial"/>
              </w:rPr>
            </w:pPr>
            <w:r w:rsidRPr="00BD77D8">
              <w:rPr>
                <w:rFonts w:ascii="Arial" w:hAnsi="Arial"/>
              </w:rPr>
              <w:t>$1,600.00</w:t>
            </w:r>
          </w:p>
        </w:tc>
      </w:tr>
      <w:tr w:rsidR="00BD77D8" w:rsidRPr="00BD77D8" w14:paraId="43D5C5BC" w14:textId="77777777" w:rsidTr="00187A47">
        <w:tc>
          <w:tcPr>
            <w:tcW w:w="1944" w:type="dxa"/>
            <w:tcBorders>
              <w:top w:val="single" w:sz="4" w:space="0" w:color="auto"/>
              <w:left w:val="single" w:sz="4" w:space="0" w:color="auto"/>
              <w:bottom w:val="single" w:sz="4" w:space="0" w:color="auto"/>
              <w:right w:val="single" w:sz="4" w:space="0" w:color="auto"/>
            </w:tcBorders>
          </w:tcPr>
          <w:p w14:paraId="0AE61AE9" w14:textId="77777777" w:rsidR="0053769C" w:rsidRPr="00BD77D8" w:rsidRDefault="0053769C" w:rsidP="0053769C">
            <w:pPr>
              <w:spacing w:before="120" w:after="120"/>
              <w:rPr>
                <w:rFonts w:ascii="Arial" w:hAnsi="Arial"/>
              </w:rPr>
            </w:pPr>
            <w:r w:rsidRPr="00BD77D8">
              <w:rPr>
                <w:rFonts w:ascii="Arial" w:hAnsi="Arial"/>
              </w:rPr>
              <w:t>Member – public sector employee</w:t>
            </w:r>
          </w:p>
        </w:tc>
        <w:tc>
          <w:tcPr>
            <w:tcW w:w="1920" w:type="dxa"/>
            <w:tcBorders>
              <w:top w:val="single" w:sz="4" w:space="0" w:color="auto"/>
              <w:left w:val="single" w:sz="4" w:space="0" w:color="auto"/>
              <w:bottom w:val="single" w:sz="4" w:space="0" w:color="auto"/>
              <w:right w:val="single" w:sz="4" w:space="0" w:color="auto"/>
            </w:tcBorders>
          </w:tcPr>
          <w:p w14:paraId="38A30F4C" w14:textId="77777777" w:rsidR="0053769C" w:rsidRPr="00BD77D8" w:rsidRDefault="0053769C" w:rsidP="0053769C">
            <w:pPr>
              <w:spacing w:before="120" w:after="120"/>
              <w:rPr>
                <w:rFonts w:ascii="Arial" w:hAnsi="Arial"/>
              </w:rPr>
            </w:pPr>
            <w:r w:rsidRPr="00BD77D8">
              <w:rPr>
                <w:rFonts w:ascii="Arial" w:hAnsi="Arial"/>
              </w:rPr>
              <w:t>Professor Harry McConnell</w:t>
            </w:r>
          </w:p>
        </w:tc>
        <w:tc>
          <w:tcPr>
            <w:tcW w:w="1500" w:type="dxa"/>
            <w:tcBorders>
              <w:top w:val="single" w:sz="4" w:space="0" w:color="auto"/>
              <w:left w:val="single" w:sz="4" w:space="0" w:color="auto"/>
              <w:bottom w:val="single" w:sz="4" w:space="0" w:color="auto"/>
              <w:right w:val="single" w:sz="4" w:space="0" w:color="auto"/>
            </w:tcBorders>
          </w:tcPr>
          <w:p w14:paraId="628EA85B"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15DD8B6B"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6F3A51F9"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B67AFF3" w14:textId="77777777" w:rsidR="0053769C" w:rsidRPr="00BD77D8" w:rsidRDefault="0053769C" w:rsidP="0053769C">
            <w:pPr>
              <w:spacing w:before="120" w:after="120"/>
              <w:rPr>
                <w:rFonts w:ascii="Arial" w:hAnsi="Arial"/>
              </w:rPr>
            </w:pPr>
            <w:r w:rsidRPr="00BD77D8">
              <w:rPr>
                <w:rFonts w:ascii="Arial" w:hAnsi="Arial"/>
              </w:rPr>
              <w:t>NIL</w:t>
            </w:r>
          </w:p>
        </w:tc>
      </w:tr>
      <w:tr w:rsidR="00BD77D8" w:rsidRPr="00BD77D8" w14:paraId="45493613" w14:textId="77777777" w:rsidTr="00187A47">
        <w:tc>
          <w:tcPr>
            <w:tcW w:w="1944" w:type="dxa"/>
            <w:tcBorders>
              <w:top w:val="single" w:sz="4" w:space="0" w:color="auto"/>
              <w:left w:val="single" w:sz="4" w:space="0" w:color="auto"/>
              <w:bottom w:val="single" w:sz="4" w:space="0" w:color="auto"/>
              <w:right w:val="single" w:sz="4" w:space="0" w:color="auto"/>
            </w:tcBorders>
          </w:tcPr>
          <w:p w14:paraId="7B0F8992"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1E1DA2CC" w14:textId="77777777" w:rsidR="0053769C" w:rsidRPr="00BD77D8" w:rsidRDefault="0053769C" w:rsidP="0053769C">
            <w:pPr>
              <w:spacing w:before="120" w:after="120"/>
              <w:rPr>
                <w:rFonts w:ascii="Arial" w:hAnsi="Arial"/>
              </w:rPr>
            </w:pPr>
            <w:r w:rsidRPr="00BD77D8">
              <w:rPr>
                <w:rFonts w:ascii="Arial" w:hAnsi="Arial"/>
              </w:rPr>
              <w:t xml:space="preserve">Mr Peter </w:t>
            </w:r>
            <w:proofErr w:type="spellStart"/>
            <w:r w:rsidRPr="00BD77D8">
              <w:rPr>
                <w:rFonts w:ascii="Arial" w:hAnsi="Arial"/>
              </w:rPr>
              <w:t>Gurr</w:t>
            </w:r>
            <w:proofErr w:type="spellEnd"/>
          </w:p>
        </w:tc>
        <w:tc>
          <w:tcPr>
            <w:tcW w:w="1500" w:type="dxa"/>
            <w:tcBorders>
              <w:top w:val="single" w:sz="4" w:space="0" w:color="auto"/>
              <w:left w:val="single" w:sz="4" w:space="0" w:color="auto"/>
              <w:bottom w:val="single" w:sz="4" w:space="0" w:color="auto"/>
              <w:right w:val="single" w:sz="4" w:space="0" w:color="auto"/>
            </w:tcBorders>
          </w:tcPr>
          <w:p w14:paraId="71FB3037"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4C75B274"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5A4BEB60"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D91968C" w14:textId="77777777" w:rsidR="0053769C" w:rsidRPr="00BD77D8" w:rsidRDefault="0053769C" w:rsidP="0053769C">
            <w:pPr>
              <w:spacing w:before="120" w:after="120"/>
              <w:rPr>
                <w:rFonts w:ascii="Arial" w:hAnsi="Arial"/>
              </w:rPr>
            </w:pPr>
            <w:r w:rsidRPr="00BD77D8">
              <w:rPr>
                <w:rFonts w:ascii="Arial" w:hAnsi="Arial"/>
              </w:rPr>
              <w:t>$1,600.00</w:t>
            </w:r>
          </w:p>
        </w:tc>
      </w:tr>
      <w:tr w:rsidR="00BD77D8" w:rsidRPr="00BD77D8" w14:paraId="2C952A8A" w14:textId="77777777" w:rsidTr="00187A47">
        <w:tc>
          <w:tcPr>
            <w:tcW w:w="1944" w:type="dxa"/>
            <w:tcBorders>
              <w:top w:val="single" w:sz="4" w:space="0" w:color="auto"/>
              <w:left w:val="single" w:sz="4" w:space="0" w:color="auto"/>
              <w:bottom w:val="single" w:sz="4" w:space="0" w:color="auto"/>
              <w:right w:val="single" w:sz="4" w:space="0" w:color="auto"/>
            </w:tcBorders>
          </w:tcPr>
          <w:p w14:paraId="24AC601B"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03EFA030" w14:textId="77777777" w:rsidR="0053769C" w:rsidRPr="00BD77D8" w:rsidRDefault="0053769C" w:rsidP="0053769C">
            <w:pPr>
              <w:spacing w:before="120" w:after="120"/>
              <w:rPr>
                <w:rFonts w:ascii="Arial" w:hAnsi="Arial"/>
              </w:rPr>
            </w:pPr>
            <w:r w:rsidRPr="00BD77D8">
              <w:rPr>
                <w:rFonts w:ascii="Arial" w:hAnsi="Arial"/>
              </w:rPr>
              <w:t xml:space="preserve">Ms </w:t>
            </w:r>
            <w:proofErr w:type="spellStart"/>
            <w:r w:rsidRPr="00BD77D8">
              <w:rPr>
                <w:rFonts w:ascii="Arial" w:hAnsi="Arial"/>
              </w:rPr>
              <w:t>Semah</w:t>
            </w:r>
            <w:proofErr w:type="spellEnd"/>
            <w:r w:rsidRPr="00BD77D8">
              <w:rPr>
                <w:rFonts w:ascii="Arial" w:hAnsi="Arial"/>
              </w:rPr>
              <w:t xml:space="preserve"> </w:t>
            </w:r>
            <w:proofErr w:type="spellStart"/>
            <w:r w:rsidRPr="00BD77D8">
              <w:rPr>
                <w:rFonts w:ascii="Arial" w:hAnsi="Arial"/>
              </w:rPr>
              <w:t>Mokak-Wischki</w:t>
            </w:r>
            <w:proofErr w:type="spellEnd"/>
          </w:p>
        </w:tc>
        <w:tc>
          <w:tcPr>
            <w:tcW w:w="1500" w:type="dxa"/>
            <w:tcBorders>
              <w:top w:val="single" w:sz="4" w:space="0" w:color="auto"/>
              <w:left w:val="single" w:sz="4" w:space="0" w:color="auto"/>
              <w:bottom w:val="single" w:sz="4" w:space="0" w:color="auto"/>
              <w:right w:val="single" w:sz="4" w:space="0" w:color="auto"/>
            </w:tcBorders>
          </w:tcPr>
          <w:p w14:paraId="1AE103A4"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455578E1"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7B0B2275"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7535D0B8" w14:textId="77777777" w:rsidR="0053769C" w:rsidRPr="00BD77D8" w:rsidRDefault="0053769C" w:rsidP="0053769C">
            <w:pPr>
              <w:spacing w:before="120" w:after="120"/>
              <w:rPr>
                <w:rFonts w:ascii="Arial" w:hAnsi="Arial"/>
              </w:rPr>
            </w:pPr>
            <w:r w:rsidRPr="00BD77D8">
              <w:rPr>
                <w:rFonts w:ascii="Arial" w:hAnsi="Arial"/>
              </w:rPr>
              <w:t>$1,600.00</w:t>
            </w:r>
          </w:p>
        </w:tc>
      </w:tr>
      <w:tr w:rsidR="00BD77D8" w:rsidRPr="00BD77D8" w14:paraId="5472BC98" w14:textId="77777777" w:rsidTr="00187A47">
        <w:tc>
          <w:tcPr>
            <w:tcW w:w="1944" w:type="dxa"/>
            <w:tcBorders>
              <w:top w:val="single" w:sz="4" w:space="0" w:color="auto"/>
              <w:left w:val="single" w:sz="4" w:space="0" w:color="auto"/>
              <w:bottom w:val="single" w:sz="4" w:space="0" w:color="auto"/>
              <w:right w:val="single" w:sz="4" w:space="0" w:color="auto"/>
            </w:tcBorders>
          </w:tcPr>
          <w:p w14:paraId="718DC82C"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67452A3B" w14:textId="77777777" w:rsidR="0053769C" w:rsidRPr="00BD77D8" w:rsidRDefault="0053769C" w:rsidP="0053769C">
            <w:pPr>
              <w:spacing w:before="120" w:after="120"/>
              <w:rPr>
                <w:rFonts w:ascii="Arial" w:hAnsi="Arial"/>
              </w:rPr>
            </w:pPr>
            <w:r w:rsidRPr="00BD77D8">
              <w:rPr>
                <w:rFonts w:ascii="Arial" w:hAnsi="Arial"/>
              </w:rPr>
              <w:t>Mrs Pamela Spelling</w:t>
            </w:r>
          </w:p>
        </w:tc>
        <w:tc>
          <w:tcPr>
            <w:tcW w:w="1500" w:type="dxa"/>
            <w:tcBorders>
              <w:top w:val="single" w:sz="4" w:space="0" w:color="auto"/>
              <w:left w:val="single" w:sz="4" w:space="0" w:color="auto"/>
              <w:bottom w:val="single" w:sz="4" w:space="0" w:color="auto"/>
              <w:right w:val="single" w:sz="4" w:space="0" w:color="auto"/>
            </w:tcBorders>
          </w:tcPr>
          <w:p w14:paraId="63720926"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28D5F057"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327204E9"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5B33272C"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2C384EDA" w14:textId="77777777" w:rsidTr="00187A47">
        <w:tc>
          <w:tcPr>
            <w:tcW w:w="1944" w:type="dxa"/>
            <w:tcBorders>
              <w:top w:val="single" w:sz="4" w:space="0" w:color="auto"/>
              <w:left w:val="single" w:sz="4" w:space="0" w:color="auto"/>
              <w:bottom w:val="single" w:sz="4" w:space="0" w:color="auto"/>
              <w:right w:val="single" w:sz="4" w:space="0" w:color="auto"/>
            </w:tcBorders>
          </w:tcPr>
          <w:p w14:paraId="50B9E57D"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06A5D730" w14:textId="77777777" w:rsidR="0053769C" w:rsidRPr="00BD77D8" w:rsidRDefault="0053769C" w:rsidP="0053769C">
            <w:pPr>
              <w:spacing w:before="120" w:after="120"/>
              <w:rPr>
                <w:rFonts w:ascii="Arial" w:hAnsi="Arial"/>
              </w:rPr>
            </w:pPr>
            <w:r w:rsidRPr="00BD77D8">
              <w:rPr>
                <w:rFonts w:ascii="Arial" w:hAnsi="Arial"/>
              </w:rPr>
              <w:t>Mr Simon Wright</w:t>
            </w:r>
          </w:p>
        </w:tc>
        <w:tc>
          <w:tcPr>
            <w:tcW w:w="1500" w:type="dxa"/>
            <w:tcBorders>
              <w:top w:val="single" w:sz="4" w:space="0" w:color="auto"/>
              <w:left w:val="single" w:sz="4" w:space="0" w:color="auto"/>
              <w:bottom w:val="single" w:sz="4" w:space="0" w:color="auto"/>
              <w:right w:val="single" w:sz="4" w:space="0" w:color="auto"/>
            </w:tcBorders>
          </w:tcPr>
          <w:p w14:paraId="233CF9B2"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7543F069"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4A6AE8AD"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026D0A7F"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628578C9" w14:textId="77777777" w:rsidTr="00187A47">
        <w:tc>
          <w:tcPr>
            <w:tcW w:w="1944" w:type="dxa"/>
            <w:tcBorders>
              <w:top w:val="single" w:sz="4" w:space="0" w:color="auto"/>
              <w:left w:val="single" w:sz="4" w:space="0" w:color="auto"/>
              <w:bottom w:val="single" w:sz="4" w:space="0" w:color="auto"/>
              <w:right w:val="single" w:sz="4" w:space="0" w:color="auto"/>
            </w:tcBorders>
          </w:tcPr>
          <w:p w14:paraId="0735DB31"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382690B0" w14:textId="77777777" w:rsidR="0053769C" w:rsidRPr="00BD77D8" w:rsidRDefault="0053769C" w:rsidP="0053769C">
            <w:pPr>
              <w:spacing w:before="120" w:after="120"/>
              <w:rPr>
                <w:rFonts w:ascii="Arial" w:hAnsi="Arial"/>
              </w:rPr>
            </w:pPr>
            <w:r w:rsidRPr="00BD77D8">
              <w:rPr>
                <w:rFonts w:ascii="Arial" w:hAnsi="Arial"/>
              </w:rPr>
              <w:t xml:space="preserve">Ms Gillian </w:t>
            </w:r>
            <w:proofErr w:type="spellStart"/>
            <w:r w:rsidRPr="00BD77D8">
              <w:rPr>
                <w:rFonts w:ascii="Arial" w:hAnsi="Arial"/>
              </w:rPr>
              <w:t>Costabeber</w:t>
            </w:r>
            <w:proofErr w:type="spellEnd"/>
          </w:p>
        </w:tc>
        <w:tc>
          <w:tcPr>
            <w:tcW w:w="1500" w:type="dxa"/>
            <w:tcBorders>
              <w:top w:val="single" w:sz="4" w:space="0" w:color="auto"/>
              <w:left w:val="single" w:sz="4" w:space="0" w:color="auto"/>
              <w:bottom w:val="single" w:sz="4" w:space="0" w:color="auto"/>
              <w:right w:val="single" w:sz="4" w:space="0" w:color="auto"/>
            </w:tcBorders>
          </w:tcPr>
          <w:p w14:paraId="3A897805" w14:textId="77777777" w:rsidR="0053769C" w:rsidRPr="00BD77D8" w:rsidRDefault="0053769C" w:rsidP="0053769C">
            <w:pPr>
              <w:spacing w:before="120" w:after="120"/>
              <w:rPr>
                <w:rFonts w:ascii="Arial" w:hAnsi="Arial"/>
              </w:rPr>
            </w:pPr>
            <w:r w:rsidRPr="00BD77D8">
              <w:rPr>
                <w:rFonts w:ascii="Arial" w:hAnsi="Arial"/>
              </w:rPr>
              <w:t>3</w:t>
            </w:r>
          </w:p>
        </w:tc>
        <w:tc>
          <w:tcPr>
            <w:tcW w:w="1905" w:type="dxa"/>
            <w:tcBorders>
              <w:top w:val="single" w:sz="4" w:space="0" w:color="auto"/>
              <w:left w:val="single" w:sz="4" w:space="0" w:color="auto"/>
              <w:bottom w:val="single" w:sz="4" w:space="0" w:color="auto"/>
              <w:right w:val="single" w:sz="4" w:space="0" w:color="auto"/>
            </w:tcBorders>
          </w:tcPr>
          <w:p w14:paraId="46CE279D"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6DD29D08"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43DF246E" w14:textId="77777777" w:rsidR="0053769C" w:rsidRPr="00BD77D8" w:rsidRDefault="0053769C" w:rsidP="0053769C">
            <w:pPr>
              <w:spacing w:before="120" w:after="120"/>
              <w:rPr>
                <w:rFonts w:ascii="Arial" w:hAnsi="Arial"/>
              </w:rPr>
            </w:pPr>
            <w:r w:rsidRPr="00BD77D8">
              <w:rPr>
                <w:rFonts w:ascii="Arial" w:hAnsi="Arial"/>
              </w:rPr>
              <w:t>$1,200.00</w:t>
            </w:r>
          </w:p>
        </w:tc>
      </w:tr>
      <w:tr w:rsidR="00BD77D8" w:rsidRPr="00BD77D8" w14:paraId="7A4736D7" w14:textId="77777777" w:rsidTr="00187A47">
        <w:tc>
          <w:tcPr>
            <w:tcW w:w="1944" w:type="dxa"/>
            <w:tcBorders>
              <w:top w:val="single" w:sz="4" w:space="0" w:color="auto"/>
              <w:left w:val="single" w:sz="4" w:space="0" w:color="auto"/>
              <w:bottom w:val="single" w:sz="4" w:space="0" w:color="auto"/>
              <w:right w:val="single" w:sz="4" w:space="0" w:color="auto"/>
            </w:tcBorders>
          </w:tcPr>
          <w:p w14:paraId="35779548"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47A6B1F7" w14:textId="77777777" w:rsidR="0053769C" w:rsidRPr="00BD77D8" w:rsidRDefault="0053769C" w:rsidP="0053769C">
            <w:pPr>
              <w:spacing w:before="120" w:after="120"/>
              <w:rPr>
                <w:rFonts w:ascii="Arial" w:hAnsi="Arial"/>
              </w:rPr>
            </w:pPr>
            <w:r w:rsidRPr="00BD77D8">
              <w:rPr>
                <w:rFonts w:ascii="Arial" w:hAnsi="Arial"/>
              </w:rPr>
              <w:t xml:space="preserve">Ms Paige Armstrong </w:t>
            </w:r>
          </w:p>
        </w:tc>
        <w:tc>
          <w:tcPr>
            <w:tcW w:w="1500" w:type="dxa"/>
            <w:tcBorders>
              <w:top w:val="single" w:sz="4" w:space="0" w:color="auto"/>
              <w:left w:val="single" w:sz="4" w:space="0" w:color="auto"/>
              <w:bottom w:val="single" w:sz="4" w:space="0" w:color="auto"/>
              <w:right w:val="single" w:sz="4" w:space="0" w:color="auto"/>
            </w:tcBorders>
          </w:tcPr>
          <w:p w14:paraId="61061D28" w14:textId="77777777" w:rsidR="0053769C" w:rsidRPr="00BD77D8" w:rsidRDefault="0053769C" w:rsidP="0053769C">
            <w:pPr>
              <w:spacing w:before="120" w:after="120"/>
              <w:rPr>
                <w:rFonts w:ascii="Arial" w:hAnsi="Arial"/>
              </w:rPr>
            </w:pPr>
            <w:r w:rsidRPr="00BD77D8">
              <w:rPr>
                <w:rFonts w:ascii="Arial" w:hAnsi="Arial"/>
              </w:rPr>
              <w:t>4</w:t>
            </w:r>
          </w:p>
        </w:tc>
        <w:tc>
          <w:tcPr>
            <w:tcW w:w="1905" w:type="dxa"/>
            <w:tcBorders>
              <w:top w:val="single" w:sz="4" w:space="0" w:color="auto"/>
              <w:left w:val="single" w:sz="4" w:space="0" w:color="auto"/>
              <w:bottom w:val="single" w:sz="4" w:space="0" w:color="auto"/>
              <w:right w:val="single" w:sz="4" w:space="0" w:color="auto"/>
            </w:tcBorders>
          </w:tcPr>
          <w:p w14:paraId="42996BDC"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12CBB915"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2C880C28"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36DC57A5" w14:textId="77777777" w:rsidTr="00187A47">
        <w:tc>
          <w:tcPr>
            <w:tcW w:w="1944" w:type="dxa"/>
            <w:tcBorders>
              <w:top w:val="single" w:sz="4" w:space="0" w:color="auto"/>
              <w:left w:val="single" w:sz="4" w:space="0" w:color="auto"/>
              <w:bottom w:val="single" w:sz="4" w:space="0" w:color="auto"/>
              <w:right w:val="single" w:sz="4" w:space="0" w:color="auto"/>
            </w:tcBorders>
          </w:tcPr>
          <w:p w14:paraId="190FCDEB"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0E5B74EF" w14:textId="77777777" w:rsidR="0053769C" w:rsidRPr="00BD77D8" w:rsidRDefault="0053769C" w:rsidP="0053769C">
            <w:pPr>
              <w:spacing w:before="120" w:after="120"/>
              <w:rPr>
                <w:rFonts w:ascii="Arial" w:hAnsi="Arial"/>
              </w:rPr>
            </w:pPr>
            <w:r w:rsidRPr="00BD77D8">
              <w:rPr>
                <w:rFonts w:ascii="Arial" w:hAnsi="Arial"/>
              </w:rPr>
              <w:t>Mr Peter Tully</w:t>
            </w:r>
          </w:p>
        </w:tc>
        <w:tc>
          <w:tcPr>
            <w:tcW w:w="1500" w:type="dxa"/>
            <w:tcBorders>
              <w:top w:val="single" w:sz="4" w:space="0" w:color="auto"/>
              <w:left w:val="single" w:sz="4" w:space="0" w:color="auto"/>
              <w:bottom w:val="single" w:sz="4" w:space="0" w:color="auto"/>
              <w:right w:val="single" w:sz="4" w:space="0" w:color="auto"/>
            </w:tcBorders>
          </w:tcPr>
          <w:p w14:paraId="65A1B004" w14:textId="77777777" w:rsidR="0053769C" w:rsidRPr="00BD77D8" w:rsidRDefault="0053769C" w:rsidP="0053769C">
            <w:pPr>
              <w:spacing w:before="120" w:after="120"/>
              <w:rPr>
                <w:rFonts w:ascii="Arial" w:hAnsi="Arial"/>
              </w:rPr>
            </w:pPr>
            <w:r w:rsidRPr="00BD77D8">
              <w:rPr>
                <w:rFonts w:ascii="Arial" w:hAnsi="Arial"/>
              </w:rPr>
              <w:t>5</w:t>
            </w:r>
          </w:p>
        </w:tc>
        <w:tc>
          <w:tcPr>
            <w:tcW w:w="1905" w:type="dxa"/>
            <w:tcBorders>
              <w:top w:val="single" w:sz="4" w:space="0" w:color="auto"/>
              <w:left w:val="single" w:sz="4" w:space="0" w:color="auto"/>
              <w:bottom w:val="single" w:sz="4" w:space="0" w:color="auto"/>
              <w:right w:val="single" w:sz="4" w:space="0" w:color="auto"/>
            </w:tcBorders>
          </w:tcPr>
          <w:p w14:paraId="06EA7654"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6BCA2511"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44FCF1FD" w14:textId="77777777" w:rsidR="0053769C" w:rsidRPr="00BD77D8" w:rsidRDefault="0053769C" w:rsidP="0053769C">
            <w:pPr>
              <w:spacing w:before="120" w:after="120"/>
              <w:rPr>
                <w:rFonts w:ascii="Arial" w:hAnsi="Arial"/>
              </w:rPr>
            </w:pPr>
            <w:r w:rsidRPr="00BD77D8">
              <w:rPr>
                <w:rFonts w:ascii="Arial" w:hAnsi="Arial"/>
              </w:rPr>
              <w:t>$2,000.00</w:t>
            </w:r>
          </w:p>
        </w:tc>
      </w:tr>
      <w:tr w:rsidR="00BD77D8" w:rsidRPr="00BD77D8" w14:paraId="70903214" w14:textId="77777777" w:rsidTr="00187A47">
        <w:tc>
          <w:tcPr>
            <w:tcW w:w="1944" w:type="dxa"/>
            <w:tcBorders>
              <w:top w:val="single" w:sz="4" w:space="0" w:color="auto"/>
              <w:left w:val="single" w:sz="4" w:space="0" w:color="auto"/>
              <w:bottom w:val="single" w:sz="4" w:space="0" w:color="auto"/>
              <w:right w:val="single" w:sz="4" w:space="0" w:color="auto"/>
            </w:tcBorders>
          </w:tcPr>
          <w:p w14:paraId="3E1B1B86" w14:textId="77777777" w:rsidR="0053769C" w:rsidRPr="00BD77D8" w:rsidRDefault="0053769C" w:rsidP="0053769C">
            <w:pPr>
              <w:spacing w:before="120" w:after="120"/>
              <w:rPr>
                <w:rFonts w:ascii="Arial" w:hAnsi="Arial"/>
              </w:rPr>
            </w:pPr>
            <w:r w:rsidRPr="00BD77D8">
              <w:rPr>
                <w:rFonts w:ascii="Arial" w:hAnsi="Arial"/>
              </w:rPr>
              <w:t>Member</w:t>
            </w:r>
          </w:p>
        </w:tc>
        <w:tc>
          <w:tcPr>
            <w:tcW w:w="1920" w:type="dxa"/>
            <w:tcBorders>
              <w:top w:val="single" w:sz="4" w:space="0" w:color="auto"/>
              <w:left w:val="single" w:sz="4" w:space="0" w:color="auto"/>
              <w:bottom w:val="single" w:sz="4" w:space="0" w:color="auto"/>
              <w:right w:val="single" w:sz="4" w:space="0" w:color="auto"/>
            </w:tcBorders>
          </w:tcPr>
          <w:p w14:paraId="30FBC191" w14:textId="77777777" w:rsidR="0053769C" w:rsidRPr="00BD77D8" w:rsidRDefault="0053769C" w:rsidP="0053769C">
            <w:pPr>
              <w:spacing w:before="120" w:after="120"/>
              <w:rPr>
                <w:rFonts w:ascii="Arial" w:hAnsi="Arial"/>
              </w:rPr>
            </w:pPr>
            <w:r w:rsidRPr="00BD77D8">
              <w:rPr>
                <w:rFonts w:ascii="Arial" w:hAnsi="Arial"/>
              </w:rPr>
              <w:t>Vacant</w:t>
            </w:r>
          </w:p>
        </w:tc>
        <w:tc>
          <w:tcPr>
            <w:tcW w:w="1500" w:type="dxa"/>
            <w:tcBorders>
              <w:top w:val="single" w:sz="4" w:space="0" w:color="auto"/>
              <w:left w:val="single" w:sz="4" w:space="0" w:color="auto"/>
              <w:bottom w:val="single" w:sz="4" w:space="0" w:color="auto"/>
              <w:right w:val="single" w:sz="4" w:space="0" w:color="auto"/>
            </w:tcBorders>
          </w:tcPr>
          <w:p w14:paraId="453DA201" w14:textId="77777777" w:rsidR="0053769C" w:rsidRPr="00BD77D8" w:rsidRDefault="0053769C" w:rsidP="0053769C">
            <w:pPr>
              <w:spacing w:before="120" w:after="120"/>
              <w:rPr>
                <w:rFonts w:ascii="Arial" w:hAnsi="Arial"/>
              </w:rPr>
            </w:pPr>
            <w:r w:rsidRPr="00BD77D8">
              <w:rPr>
                <w:rFonts w:ascii="Arial" w:hAnsi="Arial"/>
              </w:rPr>
              <w:t>0</w:t>
            </w:r>
          </w:p>
        </w:tc>
        <w:tc>
          <w:tcPr>
            <w:tcW w:w="1905" w:type="dxa"/>
            <w:tcBorders>
              <w:top w:val="single" w:sz="4" w:space="0" w:color="auto"/>
              <w:left w:val="single" w:sz="4" w:space="0" w:color="auto"/>
              <w:bottom w:val="single" w:sz="4" w:space="0" w:color="auto"/>
              <w:right w:val="single" w:sz="4" w:space="0" w:color="auto"/>
            </w:tcBorders>
          </w:tcPr>
          <w:p w14:paraId="687CE165" w14:textId="77777777" w:rsidR="0053769C" w:rsidRPr="00BD77D8" w:rsidRDefault="0053769C" w:rsidP="0053769C">
            <w:pPr>
              <w:spacing w:before="120" w:after="120"/>
              <w:rPr>
                <w:rFonts w:ascii="Arial" w:hAnsi="Arial"/>
              </w:rPr>
            </w:pPr>
            <w:r w:rsidRPr="00BD77D8">
              <w:rPr>
                <w:rFonts w:ascii="Arial" w:hAnsi="Arial"/>
              </w:rPr>
              <w:t>$400 per meeting/session</w:t>
            </w:r>
          </w:p>
        </w:tc>
        <w:tc>
          <w:tcPr>
            <w:tcW w:w="1698" w:type="dxa"/>
            <w:tcBorders>
              <w:top w:val="single" w:sz="4" w:space="0" w:color="auto"/>
              <w:left w:val="single" w:sz="4" w:space="0" w:color="auto"/>
              <w:bottom w:val="single" w:sz="4" w:space="0" w:color="auto"/>
              <w:right w:val="single" w:sz="4" w:space="0" w:color="auto"/>
            </w:tcBorders>
          </w:tcPr>
          <w:p w14:paraId="19DFC226" w14:textId="77777777" w:rsidR="0053769C" w:rsidRPr="00BD77D8" w:rsidRDefault="0053769C" w:rsidP="0053769C">
            <w:pPr>
              <w:spacing w:before="120" w:after="120"/>
              <w:rPr>
                <w:rFonts w:ascii="Arial" w:hAnsi="Arial"/>
              </w:rPr>
            </w:pPr>
            <w:r w:rsidRPr="00BD77D8">
              <w:rPr>
                <w:rFonts w:ascii="Arial" w:hAnsi="Arial"/>
              </w:rPr>
              <w:t>N/A</w:t>
            </w:r>
          </w:p>
        </w:tc>
        <w:tc>
          <w:tcPr>
            <w:tcW w:w="1493" w:type="dxa"/>
            <w:tcBorders>
              <w:top w:val="single" w:sz="4" w:space="0" w:color="auto"/>
              <w:left w:val="single" w:sz="4" w:space="0" w:color="auto"/>
              <w:bottom w:val="single" w:sz="4" w:space="0" w:color="auto"/>
              <w:right w:val="single" w:sz="4" w:space="0" w:color="auto"/>
            </w:tcBorders>
          </w:tcPr>
          <w:p w14:paraId="3827F935" w14:textId="77777777" w:rsidR="0053769C" w:rsidRPr="00BD77D8" w:rsidRDefault="0053769C" w:rsidP="0053769C">
            <w:pPr>
              <w:spacing w:before="120" w:after="120"/>
              <w:rPr>
                <w:rFonts w:ascii="Arial" w:hAnsi="Arial"/>
              </w:rPr>
            </w:pPr>
            <w:r w:rsidRPr="00BD77D8">
              <w:rPr>
                <w:rFonts w:ascii="Arial" w:hAnsi="Arial"/>
              </w:rPr>
              <w:t>NIL</w:t>
            </w:r>
          </w:p>
        </w:tc>
      </w:tr>
      <w:tr w:rsidR="00BD77D8" w:rsidRPr="00BD77D8" w14:paraId="4AE81BAA"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66DE2293" w14:textId="77777777" w:rsidR="0053769C" w:rsidRPr="00BD77D8" w:rsidRDefault="0053769C" w:rsidP="0053769C">
            <w:pPr>
              <w:spacing w:before="120" w:after="120"/>
              <w:rPr>
                <w:rFonts w:ascii="Arial" w:hAnsi="Arial"/>
              </w:rPr>
            </w:pPr>
            <w:r w:rsidRPr="00BD77D8">
              <w:rPr>
                <w:rFonts w:ascii="Arial" w:hAnsi="Arial"/>
              </w:rPr>
              <w:t>No. scheduled meetings/session</w:t>
            </w:r>
          </w:p>
        </w:tc>
        <w:tc>
          <w:tcPr>
            <w:tcW w:w="8516" w:type="dxa"/>
            <w:gridSpan w:val="5"/>
            <w:tcBorders>
              <w:top w:val="single" w:sz="4" w:space="0" w:color="auto"/>
              <w:left w:val="single" w:sz="4" w:space="0" w:color="auto"/>
              <w:bottom w:val="single" w:sz="4" w:space="0" w:color="auto"/>
              <w:right w:val="single" w:sz="4" w:space="0" w:color="auto"/>
            </w:tcBorders>
          </w:tcPr>
          <w:p w14:paraId="72E13E3C" w14:textId="4C3CBD39" w:rsidR="0053769C" w:rsidRPr="00BD77D8" w:rsidRDefault="0053769C" w:rsidP="0053769C">
            <w:pPr>
              <w:spacing w:before="120" w:after="120" w:line="259" w:lineRule="auto"/>
              <w:rPr>
                <w:rFonts w:ascii="Arial" w:hAnsi="Arial"/>
              </w:rPr>
            </w:pPr>
            <w:r w:rsidRPr="00BD77D8">
              <w:rPr>
                <w:rFonts w:ascii="Arial" w:hAnsi="Arial"/>
              </w:rPr>
              <w:t>During 2021</w:t>
            </w:r>
            <w:r w:rsidR="00177A29" w:rsidRPr="00BD77D8">
              <w:rPr>
                <w:rFonts w:ascii="Arial" w:hAnsi="Arial"/>
              </w:rPr>
              <w:t>–</w:t>
            </w:r>
            <w:r w:rsidR="009443C3" w:rsidRPr="00BD77D8">
              <w:rPr>
                <w:rFonts w:ascii="Arial" w:hAnsi="Arial"/>
              </w:rPr>
              <w:t>20</w:t>
            </w:r>
            <w:r w:rsidRPr="00BD77D8">
              <w:rPr>
                <w:rFonts w:ascii="Arial" w:hAnsi="Arial"/>
              </w:rPr>
              <w:t xml:space="preserve">22, the Queensland Disability Council met five times.  The first meeting on 15 December 2021 was a 30-minute meeting to meet the Minister and discuss strategic objectives and priorities for the upcoming term. </w:t>
            </w:r>
          </w:p>
          <w:p w14:paraId="461D8606" w14:textId="77777777" w:rsidR="0053769C" w:rsidRPr="00BD77D8" w:rsidRDefault="0053769C" w:rsidP="0053769C">
            <w:pPr>
              <w:spacing w:before="120" w:after="120" w:line="259" w:lineRule="auto"/>
              <w:rPr>
                <w:rFonts w:ascii="Arial" w:hAnsi="Arial"/>
              </w:rPr>
            </w:pPr>
            <w:r w:rsidRPr="00BD77D8">
              <w:rPr>
                <w:rFonts w:ascii="Arial" w:hAnsi="Arial"/>
              </w:rPr>
              <w:t xml:space="preserve">Three meetings were held via video-conference due to Queensland Health directives for pandemic management on 8 February 2022, 7 April 2022 and 16 May 2022. </w:t>
            </w:r>
          </w:p>
          <w:p w14:paraId="75AB6254" w14:textId="26312D3B" w:rsidR="0053769C" w:rsidRPr="00BD77D8" w:rsidRDefault="0053769C" w:rsidP="0053769C">
            <w:pPr>
              <w:spacing w:before="120" w:after="120" w:line="259" w:lineRule="auto"/>
              <w:rPr>
                <w:rFonts w:ascii="Arial" w:hAnsi="Arial"/>
              </w:rPr>
            </w:pPr>
            <w:r w:rsidRPr="00BD77D8">
              <w:rPr>
                <w:rFonts w:ascii="Arial" w:hAnsi="Arial"/>
              </w:rPr>
              <w:t>The final meeting was held in-person in Brisbane, over a two-day period on</w:t>
            </w:r>
            <w:r w:rsidR="009443C3" w:rsidRPr="00BD77D8">
              <w:rPr>
                <w:rFonts w:ascii="Arial" w:hAnsi="Arial"/>
              </w:rPr>
              <w:t xml:space="preserve"> </w:t>
            </w:r>
            <w:r w:rsidRPr="00BD77D8">
              <w:rPr>
                <w:rFonts w:ascii="Arial" w:hAnsi="Arial"/>
              </w:rPr>
              <w:t>27</w:t>
            </w:r>
            <w:r w:rsidR="00177A29" w:rsidRPr="00BD77D8">
              <w:rPr>
                <w:rFonts w:ascii="Arial" w:hAnsi="Arial"/>
              </w:rPr>
              <w:t>–</w:t>
            </w:r>
            <w:r w:rsidRPr="00BD77D8">
              <w:rPr>
                <w:rFonts w:ascii="Arial" w:hAnsi="Arial"/>
              </w:rPr>
              <w:t xml:space="preserve">28 June 2022. </w:t>
            </w:r>
          </w:p>
        </w:tc>
      </w:tr>
      <w:tr w:rsidR="0053769C" w:rsidRPr="00BD77D8" w14:paraId="268A56B6" w14:textId="77777777" w:rsidTr="00187A47">
        <w:tc>
          <w:tcPr>
            <w:tcW w:w="1944" w:type="dxa"/>
            <w:tcBorders>
              <w:top w:val="single" w:sz="4" w:space="0" w:color="auto"/>
              <w:left w:val="single" w:sz="4" w:space="0" w:color="auto"/>
              <w:bottom w:val="single" w:sz="4" w:space="0" w:color="auto"/>
              <w:right w:val="single" w:sz="4" w:space="0" w:color="auto"/>
            </w:tcBorders>
            <w:hideMark/>
          </w:tcPr>
          <w:p w14:paraId="457A1902" w14:textId="77777777" w:rsidR="0053769C" w:rsidRPr="00BD77D8" w:rsidRDefault="0053769C" w:rsidP="0053769C">
            <w:pPr>
              <w:spacing w:before="120" w:after="120"/>
              <w:rPr>
                <w:rFonts w:ascii="Arial" w:hAnsi="Arial"/>
              </w:rPr>
            </w:pPr>
            <w:r w:rsidRPr="00BD77D8">
              <w:rPr>
                <w:rFonts w:ascii="Arial" w:hAnsi="Arial"/>
              </w:rPr>
              <w:lastRenderedPageBreak/>
              <w:t>Total out of pocket expenses</w:t>
            </w:r>
          </w:p>
        </w:tc>
        <w:tc>
          <w:tcPr>
            <w:tcW w:w="8516" w:type="dxa"/>
            <w:gridSpan w:val="5"/>
            <w:tcBorders>
              <w:top w:val="single" w:sz="4" w:space="0" w:color="auto"/>
              <w:left w:val="single" w:sz="4" w:space="0" w:color="auto"/>
              <w:bottom w:val="single" w:sz="4" w:space="0" w:color="auto"/>
              <w:right w:val="single" w:sz="4" w:space="0" w:color="auto"/>
            </w:tcBorders>
          </w:tcPr>
          <w:p w14:paraId="781E29CE" w14:textId="77777777" w:rsidR="0053769C" w:rsidRPr="00BD77D8" w:rsidRDefault="0053769C" w:rsidP="0053769C">
            <w:pPr>
              <w:spacing w:before="120" w:after="120" w:line="259" w:lineRule="auto"/>
              <w:rPr>
                <w:rFonts w:ascii="Arial" w:hAnsi="Arial"/>
              </w:rPr>
            </w:pPr>
            <w:r w:rsidRPr="00BD77D8">
              <w:rPr>
                <w:rFonts w:ascii="Arial" w:hAnsi="Arial"/>
              </w:rPr>
              <w:t>No out-of-pocket expenses for members.</w:t>
            </w:r>
          </w:p>
          <w:p w14:paraId="3836BA00" w14:textId="7936DF53" w:rsidR="0053769C" w:rsidRPr="00BD77D8" w:rsidRDefault="0053769C" w:rsidP="0053769C">
            <w:pPr>
              <w:spacing w:before="120" w:after="120" w:line="259" w:lineRule="auto"/>
              <w:rPr>
                <w:rFonts w:ascii="Arial" w:hAnsi="Arial"/>
              </w:rPr>
            </w:pPr>
            <w:r w:rsidRPr="00BD77D8">
              <w:rPr>
                <w:rFonts w:ascii="Arial" w:hAnsi="Arial"/>
              </w:rPr>
              <w:t>$1</w:t>
            </w:r>
            <w:r w:rsidR="00E1778E" w:rsidRPr="00BD77D8">
              <w:rPr>
                <w:rFonts w:ascii="Arial" w:hAnsi="Arial"/>
              </w:rPr>
              <w:t>,</w:t>
            </w:r>
            <w:r w:rsidRPr="00BD77D8">
              <w:rPr>
                <w:rFonts w:ascii="Arial" w:hAnsi="Arial"/>
              </w:rPr>
              <w:t>420.05 travel costs met for regionally based council members to attend two-day meeting in Brisbane on</w:t>
            </w:r>
            <w:r w:rsidR="009443C3" w:rsidRPr="00BD77D8">
              <w:rPr>
                <w:rFonts w:ascii="Arial" w:hAnsi="Arial"/>
              </w:rPr>
              <w:t xml:space="preserve"> </w:t>
            </w:r>
            <w:r w:rsidRPr="00BD77D8">
              <w:rPr>
                <w:rFonts w:ascii="Arial" w:hAnsi="Arial"/>
              </w:rPr>
              <w:t>27</w:t>
            </w:r>
            <w:r w:rsidR="00177A29" w:rsidRPr="00BD77D8">
              <w:rPr>
                <w:rFonts w:ascii="Arial" w:hAnsi="Arial"/>
              </w:rPr>
              <w:t>–</w:t>
            </w:r>
            <w:r w:rsidRPr="00BD77D8">
              <w:rPr>
                <w:rFonts w:ascii="Arial" w:hAnsi="Arial"/>
              </w:rPr>
              <w:t xml:space="preserve">28 June 2022. </w:t>
            </w:r>
          </w:p>
        </w:tc>
      </w:tr>
    </w:tbl>
    <w:p w14:paraId="38DD8A65" w14:textId="26131F22" w:rsidR="00312556" w:rsidRPr="00BD77D8" w:rsidRDefault="00312556" w:rsidP="00EE2DF4">
      <w:pPr>
        <w:rPr>
          <w:b/>
          <w:bCs/>
          <w:lang w:eastAsia="en-US"/>
        </w:rPr>
      </w:pPr>
    </w:p>
    <w:tbl>
      <w:tblPr>
        <w:tblStyle w:val="TableGrid7"/>
        <w:tblW w:w="0" w:type="auto"/>
        <w:tblLook w:val="04A0" w:firstRow="1" w:lastRow="0" w:firstColumn="1" w:lastColumn="0" w:noHBand="0" w:noVBand="1"/>
      </w:tblPr>
      <w:tblGrid>
        <w:gridCol w:w="1944"/>
        <w:gridCol w:w="1476"/>
        <w:gridCol w:w="1944"/>
        <w:gridCol w:w="1488"/>
        <w:gridCol w:w="1485"/>
        <w:gridCol w:w="2122"/>
      </w:tblGrid>
      <w:tr w:rsidR="00BD77D8" w:rsidRPr="00BD77D8" w14:paraId="7A034FA0" w14:textId="77777777" w:rsidTr="00BF1467">
        <w:tc>
          <w:tcPr>
            <w:tcW w:w="1045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CD5A04" w14:textId="775E5EDC" w:rsidR="00124910" w:rsidRPr="00BD77D8" w:rsidRDefault="00AD5743" w:rsidP="00656566">
            <w:pPr>
              <w:rPr>
                <w:rFonts w:ascii="Arial" w:hAnsi="Arial"/>
                <w:b/>
                <w:bCs/>
              </w:rPr>
            </w:pPr>
            <w:r w:rsidRPr="00BD77D8">
              <w:rPr>
                <w:rFonts w:ascii="Arial" w:hAnsi="Arial"/>
                <w:b/>
                <w:bCs/>
              </w:rPr>
              <w:t>FAMILY RESPONSIBILITIES BOARD</w:t>
            </w:r>
          </w:p>
        </w:tc>
      </w:tr>
      <w:tr w:rsidR="00BD77D8" w:rsidRPr="00BD77D8" w14:paraId="35A07093"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6C1296D9" w14:textId="77777777" w:rsidR="00124910" w:rsidRPr="00BD77D8" w:rsidRDefault="00124910" w:rsidP="00656566">
            <w:pPr>
              <w:rPr>
                <w:rFonts w:ascii="Arial" w:hAnsi="Arial"/>
              </w:rPr>
            </w:pPr>
            <w:r w:rsidRPr="00BD77D8">
              <w:rPr>
                <w:rFonts w:ascii="Arial" w:hAnsi="Arial"/>
              </w:rPr>
              <w:t>Act or instrument</w:t>
            </w:r>
          </w:p>
        </w:tc>
        <w:tc>
          <w:tcPr>
            <w:tcW w:w="8515" w:type="dxa"/>
            <w:gridSpan w:val="5"/>
            <w:tcBorders>
              <w:top w:val="single" w:sz="4" w:space="0" w:color="auto"/>
              <w:left w:val="single" w:sz="4" w:space="0" w:color="auto"/>
              <w:bottom w:val="single" w:sz="4" w:space="0" w:color="auto"/>
              <w:right w:val="single" w:sz="4" w:space="0" w:color="auto"/>
            </w:tcBorders>
            <w:hideMark/>
          </w:tcPr>
          <w:p w14:paraId="2031E810" w14:textId="43668034" w:rsidR="00124910" w:rsidRPr="00BD77D8" w:rsidRDefault="00AD5743" w:rsidP="00995113">
            <w:pPr>
              <w:spacing w:before="120" w:after="120"/>
              <w:rPr>
                <w:rFonts w:ascii="Arial" w:hAnsi="Arial"/>
                <w:i/>
                <w:iCs/>
              </w:rPr>
            </w:pPr>
            <w:r w:rsidRPr="00BD77D8">
              <w:rPr>
                <w:rFonts w:ascii="Arial" w:hAnsi="Arial"/>
                <w:i/>
                <w:iCs/>
              </w:rPr>
              <w:t>Family Responsibilities Commission Act 2008</w:t>
            </w:r>
          </w:p>
        </w:tc>
      </w:tr>
      <w:tr w:rsidR="00BD77D8" w:rsidRPr="00BD77D8" w14:paraId="771EDB68"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670B8B2C" w14:textId="77777777" w:rsidR="00124910" w:rsidRPr="00BD77D8" w:rsidRDefault="00124910" w:rsidP="00D75FD8">
            <w:pPr>
              <w:spacing w:after="0" w:line="240" w:lineRule="auto"/>
              <w:rPr>
                <w:rFonts w:ascii="Arial" w:hAnsi="Arial"/>
              </w:rPr>
            </w:pPr>
            <w:r w:rsidRPr="00BD77D8">
              <w:rPr>
                <w:rFonts w:ascii="Arial" w:hAnsi="Arial"/>
              </w:rPr>
              <w:t>Functions</w:t>
            </w:r>
          </w:p>
        </w:tc>
        <w:tc>
          <w:tcPr>
            <w:tcW w:w="8515" w:type="dxa"/>
            <w:gridSpan w:val="5"/>
            <w:tcBorders>
              <w:top w:val="single" w:sz="4" w:space="0" w:color="auto"/>
              <w:left w:val="single" w:sz="4" w:space="0" w:color="auto"/>
              <w:bottom w:val="single" w:sz="4" w:space="0" w:color="auto"/>
              <w:right w:val="single" w:sz="4" w:space="0" w:color="auto"/>
            </w:tcBorders>
            <w:hideMark/>
          </w:tcPr>
          <w:p w14:paraId="40E6F3AC" w14:textId="5805D5CB" w:rsidR="00124910" w:rsidRPr="00BD77D8" w:rsidRDefault="00AD5743" w:rsidP="00995113">
            <w:pPr>
              <w:spacing w:before="120" w:after="120" w:line="259" w:lineRule="auto"/>
              <w:rPr>
                <w:rFonts w:ascii="Arial" w:hAnsi="Arial"/>
              </w:rPr>
            </w:pPr>
            <w:r w:rsidRPr="00BD77D8">
              <w:rPr>
                <w:rFonts w:ascii="Arial" w:hAnsi="Arial"/>
              </w:rPr>
              <w:t xml:space="preserve">The purpose of the Family Responsibilities Board is to give advice and make recommendations to the Minister for </w:t>
            </w:r>
            <w:r w:rsidR="003341B7" w:rsidRPr="00BD77D8">
              <w:rPr>
                <w:rFonts w:ascii="Arial" w:hAnsi="Arial"/>
              </w:rPr>
              <w:t xml:space="preserve">Seniors, Disability Services and </w:t>
            </w:r>
            <w:r w:rsidRPr="00BD77D8">
              <w:rPr>
                <w:rFonts w:ascii="Arial" w:hAnsi="Arial"/>
              </w:rPr>
              <w:t>Aboriginal and Torres Strait Islander Partnerships about the operation of the Family Responsibilities Commission.</w:t>
            </w:r>
          </w:p>
        </w:tc>
      </w:tr>
      <w:tr w:rsidR="00BD77D8" w:rsidRPr="00BD77D8" w14:paraId="4F86A7ED"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75D42162" w14:textId="77777777" w:rsidR="0078348E" w:rsidRPr="00BD77D8" w:rsidRDefault="0078348E" w:rsidP="00D75FD8">
            <w:pPr>
              <w:spacing w:after="0" w:line="240" w:lineRule="auto"/>
              <w:rPr>
                <w:rFonts w:ascii="Arial" w:hAnsi="Arial"/>
              </w:rPr>
            </w:pPr>
            <w:r w:rsidRPr="00BD77D8">
              <w:rPr>
                <w:rFonts w:ascii="Arial" w:hAnsi="Arial"/>
              </w:rPr>
              <w:t>Achievements</w:t>
            </w:r>
          </w:p>
        </w:tc>
        <w:tc>
          <w:tcPr>
            <w:tcW w:w="8515" w:type="dxa"/>
            <w:gridSpan w:val="5"/>
            <w:tcBorders>
              <w:top w:val="single" w:sz="4" w:space="0" w:color="auto"/>
              <w:left w:val="single" w:sz="4" w:space="0" w:color="auto"/>
              <w:bottom w:val="single" w:sz="4" w:space="0" w:color="auto"/>
              <w:right w:val="single" w:sz="4" w:space="0" w:color="auto"/>
            </w:tcBorders>
            <w:hideMark/>
          </w:tcPr>
          <w:p w14:paraId="6611AF80" w14:textId="04318754" w:rsidR="0078348E" w:rsidRPr="00BD77D8" w:rsidRDefault="00883B8F" w:rsidP="00995113">
            <w:pPr>
              <w:spacing w:before="120" w:after="120" w:line="259" w:lineRule="auto"/>
              <w:rPr>
                <w:rFonts w:ascii="Arial" w:hAnsi="Arial"/>
              </w:rPr>
            </w:pPr>
            <w:r w:rsidRPr="00BD77D8">
              <w:rPr>
                <w:rFonts w:ascii="Arial" w:hAnsi="Arial"/>
              </w:rPr>
              <w:t xml:space="preserve">Oversight of the Family Responsibilities Commission achieved through </w:t>
            </w:r>
            <w:r w:rsidR="00340EE8" w:rsidRPr="00BD77D8">
              <w:rPr>
                <w:rFonts w:ascii="Arial" w:hAnsi="Arial"/>
              </w:rPr>
              <w:t>six monthly</w:t>
            </w:r>
            <w:r w:rsidRPr="00BD77D8">
              <w:rPr>
                <w:rFonts w:ascii="Arial" w:hAnsi="Arial"/>
              </w:rPr>
              <w:t xml:space="preserve"> Board meetings.</w:t>
            </w:r>
          </w:p>
        </w:tc>
      </w:tr>
      <w:tr w:rsidR="00BD77D8" w:rsidRPr="00BD77D8" w14:paraId="53F3DE70"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7BE5148C" w14:textId="77777777" w:rsidR="0078348E" w:rsidRPr="00BD77D8" w:rsidRDefault="0078348E" w:rsidP="00D75FD8">
            <w:pPr>
              <w:spacing w:after="0" w:line="240" w:lineRule="auto"/>
              <w:rPr>
                <w:rFonts w:ascii="Arial" w:hAnsi="Arial"/>
              </w:rPr>
            </w:pPr>
            <w:r w:rsidRPr="00BD77D8">
              <w:rPr>
                <w:rFonts w:ascii="Arial" w:hAnsi="Arial"/>
              </w:rPr>
              <w:t>Financial reporting</w:t>
            </w:r>
          </w:p>
        </w:tc>
        <w:tc>
          <w:tcPr>
            <w:tcW w:w="8515" w:type="dxa"/>
            <w:gridSpan w:val="5"/>
            <w:tcBorders>
              <w:top w:val="single" w:sz="4" w:space="0" w:color="auto"/>
              <w:left w:val="single" w:sz="4" w:space="0" w:color="auto"/>
              <w:bottom w:val="single" w:sz="4" w:space="0" w:color="auto"/>
              <w:right w:val="single" w:sz="4" w:space="0" w:color="auto"/>
            </w:tcBorders>
            <w:hideMark/>
          </w:tcPr>
          <w:p w14:paraId="1E523CD1" w14:textId="20E30FFF" w:rsidR="0078348E" w:rsidRPr="00BD77D8" w:rsidRDefault="00883B8F" w:rsidP="00995113">
            <w:pPr>
              <w:spacing w:before="120" w:after="120" w:line="259" w:lineRule="auto"/>
              <w:rPr>
                <w:rFonts w:ascii="Arial" w:hAnsi="Arial"/>
              </w:rPr>
            </w:pPr>
            <w:r w:rsidRPr="00BD77D8">
              <w:rPr>
                <w:rFonts w:ascii="Arial" w:hAnsi="Arial"/>
              </w:rPr>
              <w:t>Not applicable</w:t>
            </w:r>
          </w:p>
        </w:tc>
      </w:tr>
      <w:tr w:rsidR="00BD77D8" w:rsidRPr="00BD77D8" w14:paraId="7491FAB8" w14:textId="77777777" w:rsidTr="00940EF1">
        <w:trPr>
          <w:trHeight w:val="551"/>
        </w:trPr>
        <w:tc>
          <w:tcPr>
            <w:tcW w:w="10459" w:type="dxa"/>
            <w:gridSpan w:val="6"/>
            <w:tcBorders>
              <w:top w:val="single" w:sz="4" w:space="0" w:color="auto"/>
              <w:left w:val="single" w:sz="4" w:space="0" w:color="auto"/>
              <w:bottom w:val="single" w:sz="4" w:space="0" w:color="auto"/>
              <w:right w:val="single" w:sz="4" w:space="0" w:color="auto"/>
            </w:tcBorders>
            <w:hideMark/>
          </w:tcPr>
          <w:p w14:paraId="4DA95796" w14:textId="41E97697" w:rsidR="0078348E" w:rsidRPr="00BD77D8" w:rsidRDefault="0078348E" w:rsidP="00D75FD8">
            <w:pPr>
              <w:spacing w:after="0" w:line="240" w:lineRule="auto"/>
              <w:rPr>
                <w:rFonts w:ascii="Arial" w:hAnsi="Arial"/>
              </w:rPr>
            </w:pPr>
            <w:r w:rsidRPr="00BD77D8">
              <w:rPr>
                <w:rFonts w:ascii="Arial" w:hAnsi="Arial"/>
              </w:rPr>
              <w:t xml:space="preserve">Remuneration </w:t>
            </w:r>
          </w:p>
        </w:tc>
      </w:tr>
      <w:tr w:rsidR="00BD77D8" w:rsidRPr="00BD77D8" w14:paraId="5C5F3C80" w14:textId="77777777" w:rsidTr="00940EF1">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4C4DE5" w14:textId="77777777" w:rsidR="0078348E" w:rsidRPr="00BD77D8" w:rsidRDefault="0078348E" w:rsidP="00D75FD8">
            <w:pPr>
              <w:spacing w:after="0" w:line="240" w:lineRule="auto"/>
              <w:rPr>
                <w:rFonts w:ascii="Arial" w:hAnsi="Arial"/>
              </w:rPr>
            </w:pPr>
            <w:r w:rsidRPr="00BD77D8">
              <w:rPr>
                <w:rFonts w:ascii="Arial" w:hAnsi="Arial"/>
              </w:rPr>
              <w:t>Position</w:t>
            </w:r>
          </w:p>
        </w:tc>
        <w:tc>
          <w:tcPr>
            <w:tcW w:w="14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551724" w14:textId="77777777" w:rsidR="0078348E" w:rsidRPr="00BD77D8" w:rsidRDefault="0078348E" w:rsidP="00D75FD8">
            <w:pPr>
              <w:spacing w:after="0" w:line="240" w:lineRule="auto"/>
              <w:rPr>
                <w:rFonts w:ascii="Arial" w:hAnsi="Arial"/>
              </w:rPr>
            </w:pPr>
            <w:r w:rsidRPr="00BD77D8">
              <w:rPr>
                <w:rFonts w:ascii="Arial" w:hAnsi="Arial"/>
              </w:rPr>
              <w:t>Name</w:t>
            </w:r>
          </w:p>
        </w:tc>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65AED2" w14:textId="77777777" w:rsidR="0078348E" w:rsidRPr="00BD77D8" w:rsidRDefault="0078348E" w:rsidP="00D75FD8">
            <w:pPr>
              <w:spacing w:after="0" w:line="240" w:lineRule="auto"/>
              <w:rPr>
                <w:rFonts w:ascii="Arial" w:hAnsi="Arial"/>
              </w:rPr>
            </w:pPr>
            <w:r w:rsidRPr="00BD77D8">
              <w:rPr>
                <w:rFonts w:ascii="Arial" w:hAnsi="Arial"/>
              </w:rPr>
              <w:t>Meetings/sessions attendance</w:t>
            </w:r>
          </w:p>
        </w:tc>
        <w:tc>
          <w:tcPr>
            <w:tcW w:w="1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F099F6" w14:textId="77777777" w:rsidR="0078348E" w:rsidRPr="00BD77D8" w:rsidRDefault="0078348E" w:rsidP="00D75FD8">
            <w:pPr>
              <w:spacing w:after="0" w:line="240" w:lineRule="auto"/>
              <w:rPr>
                <w:rFonts w:ascii="Arial" w:hAnsi="Arial"/>
              </w:rPr>
            </w:pPr>
            <w:r w:rsidRPr="00BD77D8">
              <w:rPr>
                <w:rFonts w:ascii="Arial" w:hAnsi="Arial"/>
              </w:rPr>
              <w:t xml:space="preserve">Approved annual, sessional or daily fee </w:t>
            </w:r>
          </w:p>
        </w:tc>
        <w:tc>
          <w:tcPr>
            <w:tcW w:w="1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4F4CE2" w14:textId="77777777" w:rsidR="0078348E" w:rsidRPr="00BD77D8" w:rsidRDefault="0078348E" w:rsidP="00D75FD8">
            <w:pPr>
              <w:spacing w:after="0" w:line="240" w:lineRule="auto"/>
              <w:rPr>
                <w:rFonts w:ascii="Arial" w:hAnsi="Arial"/>
              </w:rPr>
            </w:pPr>
            <w:r w:rsidRPr="00BD77D8">
              <w:rPr>
                <w:rFonts w:ascii="Arial" w:hAnsi="Arial"/>
              </w:rPr>
              <w:t>Approved sub-committee fees if applicable</w:t>
            </w:r>
          </w:p>
        </w:tc>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453DC3" w14:textId="77777777" w:rsidR="0078348E" w:rsidRPr="00BD77D8" w:rsidRDefault="0078348E" w:rsidP="00D75FD8">
            <w:pPr>
              <w:spacing w:after="0" w:line="240" w:lineRule="auto"/>
              <w:rPr>
                <w:rFonts w:ascii="Arial" w:hAnsi="Arial"/>
              </w:rPr>
            </w:pPr>
            <w:r w:rsidRPr="00BD77D8">
              <w:rPr>
                <w:rFonts w:ascii="Arial" w:hAnsi="Arial"/>
              </w:rPr>
              <w:t xml:space="preserve">Actual fees received </w:t>
            </w:r>
          </w:p>
        </w:tc>
      </w:tr>
      <w:tr w:rsidR="00BD77D8" w:rsidRPr="00BD77D8" w14:paraId="3FD732D5" w14:textId="77777777" w:rsidTr="00BF1467">
        <w:tc>
          <w:tcPr>
            <w:tcW w:w="1944" w:type="dxa"/>
            <w:tcBorders>
              <w:top w:val="single" w:sz="4" w:space="0" w:color="auto"/>
              <w:left w:val="single" w:sz="4" w:space="0" w:color="auto"/>
              <w:bottom w:val="single" w:sz="4" w:space="0" w:color="auto"/>
              <w:right w:val="single" w:sz="4" w:space="0" w:color="auto"/>
            </w:tcBorders>
          </w:tcPr>
          <w:p w14:paraId="4CA0F276" w14:textId="67BAE5F4" w:rsidR="0078348E" w:rsidRPr="00BD77D8" w:rsidRDefault="0078348E" w:rsidP="00D75FD8">
            <w:pPr>
              <w:spacing w:after="0" w:line="240" w:lineRule="auto"/>
              <w:rPr>
                <w:rFonts w:ascii="Arial" w:hAnsi="Arial"/>
              </w:rPr>
            </w:pPr>
            <w:r w:rsidRPr="00BD77D8">
              <w:rPr>
                <w:rFonts w:ascii="Arial" w:hAnsi="Arial"/>
              </w:rPr>
              <w:t>Chairperson</w:t>
            </w:r>
          </w:p>
        </w:tc>
        <w:tc>
          <w:tcPr>
            <w:tcW w:w="1476" w:type="dxa"/>
            <w:tcBorders>
              <w:top w:val="single" w:sz="4" w:space="0" w:color="auto"/>
              <w:left w:val="single" w:sz="4" w:space="0" w:color="auto"/>
              <w:bottom w:val="single" w:sz="4" w:space="0" w:color="auto"/>
              <w:right w:val="single" w:sz="4" w:space="0" w:color="E6E7E8"/>
            </w:tcBorders>
          </w:tcPr>
          <w:p w14:paraId="55826B4A" w14:textId="041D295F" w:rsidR="0078348E" w:rsidRPr="00BD77D8" w:rsidRDefault="00883B8F" w:rsidP="00D75FD8">
            <w:pPr>
              <w:spacing w:after="0" w:line="240" w:lineRule="auto"/>
              <w:rPr>
                <w:rFonts w:ascii="Arial" w:hAnsi="Arial"/>
              </w:rPr>
            </w:pPr>
            <w:r w:rsidRPr="00BD77D8">
              <w:rPr>
                <w:rFonts w:ascii="Arial" w:hAnsi="Arial"/>
              </w:rPr>
              <w:t>Mr Robert Gee</w:t>
            </w:r>
          </w:p>
        </w:tc>
        <w:tc>
          <w:tcPr>
            <w:tcW w:w="1944" w:type="dxa"/>
            <w:tcBorders>
              <w:top w:val="single" w:sz="4" w:space="0" w:color="auto"/>
              <w:left w:val="single" w:sz="4" w:space="0" w:color="auto"/>
              <w:bottom w:val="single" w:sz="4" w:space="0" w:color="auto"/>
              <w:right w:val="single" w:sz="4" w:space="0" w:color="auto"/>
            </w:tcBorders>
          </w:tcPr>
          <w:p w14:paraId="075AC83C" w14:textId="6DC8DFC6" w:rsidR="0078348E" w:rsidRPr="00BD77D8" w:rsidRDefault="00883B8F" w:rsidP="00D75FD8">
            <w:pPr>
              <w:spacing w:after="0" w:line="240" w:lineRule="auto"/>
              <w:rPr>
                <w:rFonts w:ascii="Arial" w:hAnsi="Arial"/>
              </w:rPr>
            </w:pPr>
            <w:r w:rsidRPr="00BD77D8">
              <w:rPr>
                <w:rFonts w:ascii="Arial" w:hAnsi="Arial"/>
              </w:rPr>
              <w:t>2</w:t>
            </w:r>
          </w:p>
        </w:tc>
        <w:tc>
          <w:tcPr>
            <w:tcW w:w="1488" w:type="dxa"/>
            <w:tcBorders>
              <w:top w:val="single" w:sz="4" w:space="0" w:color="auto"/>
              <w:left w:val="single" w:sz="4" w:space="0" w:color="auto"/>
              <w:bottom w:val="single" w:sz="4" w:space="0" w:color="auto"/>
              <w:right w:val="single" w:sz="4" w:space="0" w:color="auto"/>
            </w:tcBorders>
          </w:tcPr>
          <w:p w14:paraId="40C04AD0" w14:textId="5F9B022F" w:rsidR="0078348E" w:rsidRPr="00BD77D8" w:rsidRDefault="00883B8F" w:rsidP="00D75FD8">
            <w:pPr>
              <w:spacing w:after="0" w:line="240" w:lineRule="auto"/>
              <w:rPr>
                <w:rFonts w:ascii="Arial" w:hAnsi="Arial"/>
              </w:rPr>
            </w:pPr>
            <w:r w:rsidRPr="00BD77D8">
              <w:rPr>
                <w:rFonts w:ascii="Arial" w:hAnsi="Arial"/>
              </w:rPr>
              <w:t>Not applicable</w:t>
            </w:r>
          </w:p>
        </w:tc>
        <w:tc>
          <w:tcPr>
            <w:tcW w:w="1485" w:type="dxa"/>
            <w:tcBorders>
              <w:top w:val="single" w:sz="4" w:space="0" w:color="auto"/>
              <w:left w:val="single" w:sz="4" w:space="0" w:color="auto"/>
              <w:bottom w:val="single" w:sz="4" w:space="0" w:color="auto"/>
              <w:right w:val="single" w:sz="4" w:space="0" w:color="auto"/>
            </w:tcBorders>
          </w:tcPr>
          <w:p w14:paraId="2C02DD10" w14:textId="306D42ED" w:rsidR="0078348E" w:rsidRPr="00BD77D8" w:rsidRDefault="0078348E" w:rsidP="00D75FD8">
            <w:pPr>
              <w:spacing w:after="0" w:line="240" w:lineRule="auto"/>
              <w:rPr>
                <w:rFonts w:ascii="Arial" w:hAnsi="Arial"/>
              </w:rPr>
            </w:pPr>
          </w:p>
        </w:tc>
        <w:tc>
          <w:tcPr>
            <w:tcW w:w="2122" w:type="dxa"/>
            <w:tcBorders>
              <w:top w:val="single" w:sz="4" w:space="0" w:color="auto"/>
              <w:left w:val="single" w:sz="4" w:space="0" w:color="auto"/>
              <w:bottom w:val="single" w:sz="4" w:space="0" w:color="auto"/>
              <w:right w:val="single" w:sz="4" w:space="0" w:color="auto"/>
            </w:tcBorders>
          </w:tcPr>
          <w:p w14:paraId="04E77DF1" w14:textId="264D0436" w:rsidR="0078348E" w:rsidRPr="00BD77D8" w:rsidRDefault="00883B8F" w:rsidP="00D75FD8">
            <w:pPr>
              <w:spacing w:after="0" w:line="240" w:lineRule="auto"/>
              <w:rPr>
                <w:rFonts w:ascii="Arial" w:hAnsi="Arial"/>
              </w:rPr>
            </w:pPr>
            <w:r w:rsidRPr="00BD77D8">
              <w:rPr>
                <w:rFonts w:ascii="Arial" w:hAnsi="Arial"/>
              </w:rPr>
              <w:t>Nil</w:t>
            </w:r>
          </w:p>
        </w:tc>
      </w:tr>
      <w:tr w:rsidR="00BD77D8" w:rsidRPr="00BD77D8" w14:paraId="7F90C841" w14:textId="77777777" w:rsidTr="00BF1467">
        <w:tc>
          <w:tcPr>
            <w:tcW w:w="1944" w:type="dxa"/>
            <w:tcBorders>
              <w:top w:val="single" w:sz="4" w:space="0" w:color="auto"/>
              <w:left w:val="single" w:sz="4" w:space="0" w:color="auto"/>
              <w:bottom w:val="single" w:sz="4" w:space="0" w:color="auto"/>
              <w:right w:val="single" w:sz="4" w:space="0" w:color="auto"/>
            </w:tcBorders>
          </w:tcPr>
          <w:p w14:paraId="3F86475A" w14:textId="1BD67E9E" w:rsidR="00883B8F" w:rsidRPr="00BD77D8" w:rsidRDefault="00883B8F" w:rsidP="00D75FD8">
            <w:pPr>
              <w:spacing w:after="0" w:line="240" w:lineRule="auto"/>
              <w:rPr>
                <w:rFonts w:ascii="Arial" w:hAnsi="Arial"/>
              </w:rPr>
            </w:pPr>
            <w:r w:rsidRPr="00BD77D8">
              <w:rPr>
                <w:rFonts w:ascii="Arial" w:hAnsi="Arial"/>
              </w:rPr>
              <w:t>Member</w:t>
            </w:r>
          </w:p>
        </w:tc>
        <w:tc>
          <w:tcPr>
            <w:tcW w:w="1476" w:type="dxa"/>
            <w:tcBorders>
              <w:top w:val="single" w:sz="4" w:space="0" w:color="auto"/>
              <w:left w:val="single" w:sz="4" w:space="0" w:color="auto"/>
              <w:bottom w:val="single" w:sz="4" w:space="0" w:color="auto"/>
              <w:right w:val="single" w:sz="4" w:space="0" w:color="E6E7E8"/>
            </w:tcBorders>
          </w:tcPr>
          <w:p w14:paraId="1D6C279B" w14:textId="10AF0C20" w:rsidR="00883B8F" w:rsidRPr="00BD77D8" w:rsidRDefault="00883B8F" w:rsidP="00D75FD8">
            <w:pPr>
              <w:spacing w:after="0" w:line="240" w:lineRule="auto"/>
              <w:rPr>
                <w:rFonts w:ascii="Arial" w:hAnsi="Arial"/>
              </w:rPr>
            </w:pPr>
            <w:r w:rsidRPr="00BD77D8">
              <w:rPr>
                <w:rFonts w:ascii="Arial" w:hAnsi="Arial"/>
              </w:rPr>
              <w:t>Mr Raymond Griggs</w:t>
            </w:r>
          </w:p>
        </w:tc>
        <w:tc>
          <w:tcPr>
            <w:tcW w:w="1944" w:type="dxa"/>
            <w:tcBorders>
              <w:top w:val="single" w:sz="4" w:space="0" w:color="auto"/>
              <w:left w:val="single" w:sz="4" w:space="0" w:color="auto"/>
              <w:bottom w:val="single" w:sz="4" w:space="0" w:color="auto"/>
              <w:right w:val="single" w:sz="4" w:space="0" w:color="auto"/>
            </w:tcBorders>
          </w:tcPr>
          <w:p w14:paraId="59382BF7" w14:textId="4E3DACF5" w:rsidR="00883B8F" w:rsidRPr="00BD77D8" w:rsidRDefault="00883B8F" w:rsidP="00D75FD8">
            <w:pPr>
              <w:spacing w:after="0" w:line="240" w:lineRule="auto"/>
              <w:rPr>
                <w:rFonts w:ascii="Arial" w:hAnsi="Arial"/>
              </w:rPr>
            </w:pPr>
            <w:r w:rsidRPr="00BD77D8">
              <w:rPr>
                <w:rFonts w:ascii="Arial" w:hAnsi="Arial"/>
              </w:rPr>
              <w:t>2</w:t>
            </w:r>
          </w:p>
        </w:tc>
        <w:tc>
          <w:tcPr>
            <w:tcW w:w="1488" w:type="dxa"/>
            <w:tcBorders>
              <w:top w:val="single" w:sz="4" w:space="0" w:color="auto"/>
              <w:left w:val="single" w:sz="4" w:space="0" w:color="auto"/>
              <w:bottom w:val="single" w:sz="4" w:space="0" w:color="auto"/>
              <w:right w:val="single" w:sz="4" w:space="0" w:color="auto"/>
            </w:tcBorders>
          </w:tcPr>
          <w:p w14:paraId="5AFB8795" w14:textId="79669995" w:rsidR="00883B8F" w:rsidRPr="00BD77D8" w:rsidRDefault="00883B8F" w:rsidP="00D75FD8">
            <w:pPr>
              <w:spacing w:after="0" w:line="240" w:lineRule="auto"/>
              <w:rPr>
                <w:rFonts w:ascii="Arial" w:hAnsi="Arial"/>
              </w:rPr>
            </w:pPr>
            <w:r w:rsidRPr="00BD77D8">
              <w:rPr>
                <w:rFonts w:ascii="Arial" w:hAnsi="Arial"/>
              </w:rPr>
              <w:t>Not applicable</w:t>
            </w:r>
          </w:p>
        </w:tc>
        <w:tc>
          <w:tcPr>
            <w:tcW w:w="1485" w:type="dxa"/>
            <w:tcBorders>
              <w:top w:val="single" w:sz="4" w:space="0" w:color="auto"/>
              <w:left w:val="single" w:sz="4" w:space="0" w:color="auto"/>
              <w:bottom w:val="single" w:sz="4" w:space="0" w:color="auto"/>
              <w:right w:val="single" w:sz="4" w:space="0" w:color="auto"/>
            </w:tcBorders>
          </w:tcPr>
          <w:p w14:paraId="7E8D4BB2" w14:textId="0A9A2B29" w:rsidR="00883B8F" w:rsidRPr="00BD77D8" w:rsidRDefault="00883B8F" w:rsidP="00D75FD8">
            <w:pPr>
              <w:spacing w:after="0" w:line="240" w:lineRule="auto"/>
              <w:rPr>
                <w:rFonts w:ascii="Arial" w:hAnsi="Arial"/>
              </w:rPr>
            </w:pPr>
          </w:p>
        </w:tc>
        <w:tc>
          <w:tcPr>
            <w:tcW w:w="2122" w:type="dxa"/>
            <w:tcBorders>
              <w:top w:val="single" w:sz="4" w:space="0" w:color="auto"/>
              <w:left w:val="single" w:sz="4" w:space="0" w:color="auto"/>
              <w:bottom w:val="single" w:sz="4" w:space="0" w:color="auto"/>
              <w:right w:val="single" w:sz="4" w:space="0" w:color="auto"/>
            </w:tcBorders>
          </w:tcPr>
          <w:p w14:paraId="0D9DF370" w14:textId="701ECF2E" w:rsidR="00883B8F" w:rsidRPr="00BD77D8" w:rsidRDefault="00883B8F" w:rsidP="00D75FD8">
            <w:pPr>
              <w:spacing w:after="0" w:line="240" w:lineRule="auto"/>
              <w:rPr>
                <w:rFonts w:ascii="Arial" w:hAnsi="Arial"/>
              </w:rPr>
            </w:pPr>
            <w:r w:rsidRPr="00BD77D8">
              <w:rPr>
                <w:rFonts w:ascii="Arial" w:hAnsi="Arial"/>
              </w:rPr>
              <w:t>Nil</w:t>
            </w:r>
          </w:p>
        </w:tc>
      </w:tr>
      <w:tr w:rsidR="00BD77D8" w:rsidRPr="00BD77D8" w14:paraId="7E1F405C" w14:textId="77777777" w:rsidTr="00BF1467">
        <w:tc>
          <w:tcPr>
            <w:tcW w:w="1944" w:type="dxa"/>
            <w:tcBorders>
              <w:top w:val="single" w:sz="4" w:space="0" w:color="auto"/>
              <w:left w:val="single" w:sz="4" w:space="0" w:color="auto"/>
              <w:bottom w:val="single" w:sz="4" w:space="0" w:color="auto"/>
              <w:right w:val="single" w:sz="4" w:space="0" w:color="auto"/>
            </w:tcBorders>
          </w:tcPr>
          <w:p w14:paraId="3DC5FCA1" w14:textId="17F71B53" w:rsidR="00883B8F" w:rsidRPr="00BD77D8" w:rsidRDefault="00883B8F" w:rsidP="00D75FD8">
            <w:pPr>
              <w:spacing w:after="0" w:line="240" w:lineRule="auto"/>
              <w:rPr>
                <w:rFonts w:ascii="Arial" w:hAnsi="Arial"/>
              </w:rPr>
            </w:pPr>
            <w:r w:rsidRPr="00BD77D8">
              <w:rPr>
                <w:rFonts w:ascii="Arial" w:hAnsi="Arial"/>
              </w:rPr>
              <w:t>Member</w:t>
            </w:r>
          </w:p>
        </w:tc>
        <w:tc>
          <w:tcPr>
            <w:tcW w:w="1476" w:type="dxa"/>
            <w:tcBorders>
              <w:top w:val="single" w:sz="4" w:space="0" w:color="auto"/>
              <w:left w:val="single" w:sz="4" w:space="0" w:color="auto"/>
              <w:bottom w:val="single" w:sz="4" w:space="0" w:color="auto"/>
              <w:right w:val="single" w:sz="4" w:space="0" w:color="E6E7E8"/>
            </w:tcBorders>
          </w:tcPr>
          <w:p w14:paraId="6F7991DD" w14:textId="6FC1B5F3" w:rsidR="00883B8F" w:rsidRPr="00BD77D8" w:rsidRDefault="00883B8F" w:rsidP="00D75FD8">
            <w:pPr>
              <w:spacing w:after="0" w:line="240" w:lineRule="auto"/>
              <w:rPr>
                <w:rFonts w:ascii="Arial" w:hAnsi="Arial"/>
              </w:rPr>
            </w:pPr>
            <w:r w:rsidRPr="00BD77D8">
              <w:rPr>
                <w:rFonts w:ascii="Arial" w:hAnsi="Arial"/>
              </w:rPr>
              <w:t>Mr Noel Pearson</w:t>
            </w:r>
          </w:p>
        </w:tc>
        <w:tc>
          <w:tcPr>
            <w:tcW w:w="1944" w:type="dxa"/>
            <w:tcBorders>
              <w:top w:val="single" w:sz="4" w:space="0" w:color="auto"/>
              <w:left w:val="single" w:sz="4" w:space="0" w:color="auto"/>
              <w:bottom w:val="single" w:sz="4" w:space="0" w:color="auto"/>
              <w:right w:val="single" w:sz="4" w:space="0" w:color="auto"/>
            </w:tcBorders>
          </w:tcPr>
          <w:p w14:paraId="25DDC246" w14:textId="2F2120ED" w:rsidR="00883B8F" w:rsidRPr="00BD77D8" w:rsidRDefault="00883B8F" w:rsidP="00D75FD8">
            <w:pPr>
              <w:spacing w:after="0" w:line="240" w:lineRule="auto"/>
              <w:rPr>
                <w:rFonts w:ascii="Arial" w:hAnsi="Arial"/>
              </w:rPr>
            </w:pPr>
            <w:r w:rsidRPr="00BD77D8">
              <w:rPr>
                <w:rFonts w:ascii="Arial" w:hAnsi="Arial"/>
              </w:rPr>
              <w:t>2</w:t>
            </w:r>
          </w:p>
        </w:tc>
        <w:tc>
          <w:tcPr>
            <w:tcW w:w="1488" w:type="dxa"/>
            <w:tcBorders>
              <w:top w:val="single" w:sz="4" w:space="0" w:color="auto"/>
              <w:left w:val="single" w:sz="4" w:space="0" w:color="auto"/>
              <w:bottom w:val="single" w:sz="4" w:space="0" w:color="auto"/>
              <w:right w:val="single" w:sz="4" w:space="0" w:color="auto"/>
            </w:tcBorders>
          </w:tcPr>
          <w:p w14:paraId="4772BBFD" w14:textId="388A6650" w:rsidR="00883B8F" w:rsidRPr="00BD77D8" w:rsidRDefault="00883B8F" w:rsidP="00D75FD8">
            <w:pPr>
              <w:spacing w:after="0" w:line="240" w:lineRule="auto"/>
              <w:rPr>
                <w:rFonts w:ascii="Arial" w:hAnsi="Arial"/>
              </w:rPr>
            </w:pPr>
            <w:r w:rsidRPr="00BD77D8">
              <w:rPr>
                <w:rFonts w:ascii="Arial" w:hAnsi="Arial"/>
              </w:rPr>
              <w:t>Not applicable</w:t>
            </w:r>
          </w:p>
        </w:tc>
        <w:tc>
          <w:tcPr>
            <w:tcW w:w="1485" w:type="dxa"/>
            <w:tcBorders>
              <w:top w:val="single" w:sz="4" w:space="0" w:color="auto"/>
              <w:left w:val="single" w:sz="4" w:space="0" w:color="auto"/>
              <w:bottom w:val="single" w:sz="4" w:space="0" w:color="auto"/>
              <w:right w:val="single" w:sz="4" w:space="0" w:color="auto"/>
            </w:tcBorders>
          </w:tcPr>
          <w:p w14:paraId="17A2BA78" w14:textId="1C021265" w:rsidR="00883B8F" w:rsidRPr="00BD77D8" w:rsidRDefault="00883B8F" w:rsidP="00D75FD8">
            <w:pPr>
              <w:spacing w:after="0" w:line="240" w:lineRule="auto"/>
              <w:rPr>
                <w:rFonts w:ascii="Arial" w:hAnsi="Arial"/>
              </w:rPr>
            </w:pPr>
          </w:p>
        </w:tc>
        <w:tc>
          <w:tcPr>
            <w:tcW w:w="2122" w:type="dxa"/>
            <w:tcBorders>
              <w:top w:val="single" w:sz="4" w:space="0" w:color="auto"/>
              <w:left w:val="single" w:sz="4" w:space="0" w:color="auto"/>
              <w:bottom w:val="single" w:sz="4" w:space="0" w:color="auto"/>
              <w:right w:val="single" w:sz="4" w:space="0" w:color="auto"/>
            </w:tcBorders>
          </w:tcPr>
          <w:p w14:paraId="58D8541A" w14:textId="3083CA9A" w:rsidR="00883B8F" w:rsidRPr="00BD77D8" w:rsidRDefault="00883B8F" w:rsidP="00D75FD8">
            <w:pPr>
              <w:spacing w:after="0" w:line="240" w:lineRule="auto"/>
              <w:rPr>
                <w:rFonts w:ascii="Arial" w:hAnsi="Arial"/>
              </w:rPr>
            </w:pPr>
            <w:r w:rsidRPr="00BD77D8">
              <w:rPr>
                <w:rFonts w:ascii="Arial" w:hAnsi="Arial"/>
              </w:rPr>
              <w:t>Nil</w:t>
            </w:r>
          </w:p>
        </w:tc>
      </w:tr>
      <w:tr w:rsidR="00BD77D8" w:rsidRPr="00BD77D8" w14:paraId="19E83BFE"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0FF4FE3D" w14:textId="77777777" w:rsidR="00883B8F" w:rsidRPr="00BD77D8" w:rsidRDefault="00883B8F" w:rsidP="00D75FD8">
            <w:pPr>
              <w:spacing w:after="0" w:line="240" w:lineRule="auto"/>
              <w:rPr>
                <w:rFonts w:ascii="Arial" w:hAnsi="Arial"/>
              </w:rPr>
            </w:pPr>
            <w:r w:rsidRPr="00BD77D8">
              <w:rPr>
                <w:rFonts w:ascii="Arial" w:hAnsi="Arial"/>
              </w:rPr>
              <w:t>No. scheduled meetings/sessions</w:t>
            </w:r>
          </w:p>
        </w:tc>
        <w:tc>
          <w:tcPr>
            <w:tcW w:w="8515" w:type="dxa"/>
            <w:gridSpan w:val="5"/>
            <w:tcBorders>
              <w:top w:val="single" w:sz="4" w:space="0" w:color="auto"/>
              <w:left w:val="single" w:sz="4" w:space="0" w:color="auto"/>
              <w:bottom w:val="single" w:sz="4" w:space="0" w:color="auto"/>
              <w:right w:val="single" w:sz="4" w:space="0" w:color="auto"/>
            </w:tcBorders>
          </w:tcPr>
          <w:p w14:paraId="44CA2488" w14:textId="662FA19F" w:rsidR="00883B8F" w:rsidRPr="00BD77D8" w:rsidRDefault="00883B8F" w:rsidP="00D75FD8">
            <w:pPr>
              <w:spacing w:after="0" w:line="240" w:lineRule="auto"/>
              <w:rPr>
                <w:rFonts w:ascii="Arial" w:hAnsi="Arial"/>
              </w:rPr>
            </w:pPr>
            <w:r w:rsidRPr="00BD77D8">
              <w:rPr>
                <w:rFonts w:ascii="Arial" w:hAnsi="Arial"/>
              </w:rPr>
              <w:t>2</w:t>
            </w:r>
          </w:p>
        </w:tc>
      </w:tr>
      <w:tr w:rsidR="00883B8F" w:rsidRPr="00BD77D8" w14:paraId="4AF07BB8" w14:textId="77777777" w:rsidTr="00BF1467">
        <w:tc>
          <w:tcPr>
            <w:tcW w:w="1944" w:type="dxa"/>
            <w:tcBorders>
              <w:top w:val="single" w:sz="4" w:space="0" w:color="auto"/>
              <w:left w:val="single" w:sz="4" w:space="0" w:color="auto"/>
              <w:bottom w:val="single" w:sz="4" w:space="0" w:color="auto"/>
              <w:right w:val="single" w:sz="4" w:space="0" w:color="auto"/>
            </w:tcBorders>
            <w:hideMark/>
          </w:tcPr>
          <w:p w14:paraId="7D5236CB" w14:textId="77777777" w:rsidR="00883B8F" w:rsidRPr="00BD77D8" w:rsidRDefault="00883B8F" w:rsidP="00D75FD8">
            <w:pPr>
              <w:spacing w:after="0" w:line="240" w:lineRule="auto"/>
              <w:rPr>
                <w:rFonts w:ascii="Arial" w:hAnsi="Arial"/>
              </w:rPr>
            </w:pPr>
            <w:r w:rsidRPr="00BD77D8">
              <w:rPr>
                <w:rFonts w:ascii="Arial" w:hAnsi="Arial"/>
              </w:rPr>
              <w:t>Total out of pocket expenses</w:t>
            </w:r>
          </w:p>
        </w:tc>
        <w:tc>
          <w:tcPr>
            <w:tcW w:w="8515" w:type="dxa"/>
            <w:gridSpan w:val="5"/>
            <w:tcBorders>
              <w:top w:val="single" w:sz="4" w:space="0" w:color="auto"/>
              <w:left w:val="single" w:sz="4" w:space="0" w:color="auto"/>
              <w:bottom w:val="single" w:sz="4" w:space="0" w:color="auto"/>
              <w:right w:val="single" w:sz="4" w:space="0" w:color="auto"/>
            </w:tcBorders>
          </w:tcPr>
          <w:p w14:paraId="560CFA70" w14:textId="513F9CAA" w:rsidR="00883B8F" w:rsidRPr="00BD77D8" w:rsidRDefault="00883B8F" w:rsidP="00D75FD8">
            <w:pPr>
              <w:spacing w:after="0" w:line="240" w:lineRule="auto"/>
              <w:rPr>
                <w:rFonts w:ascii="Arial" w:hAnsi="Arial"/>
              </w:rPr>
            </w:pPr>
            <w:r w:rsidRPr="00BD77D8">
              <w:rPr>
                <w:rFonts w:ascii="Arial" w:hAnsi="Arial"/>
              </w:rPr>
              <w:t>Nil</w:t>
            </w:r>
          </w:p>
        </w:tc>
      </w:tr>
    </w:tbl>
    <w:p w14:paraId="7DB8506D" w14:textId="7B7AE03F" w:rsidR="00124910" w:rsidRPr="00BD77D8" w:rsidRDefault="00124910" w:rsidP="00124910">
      <w:pPr>
        <w:rPr>
          <w:b/>
          <w:bCs/>
          <w:lang w:eastAsia="en-US"/>
        </w:rPr>
      </w:pPr>
    </w:p>
    <w:tbl>
      <w:tblPr>
        <w:tblStyle w:val="TableGrid101"/>
        <w:tblW w:w="10485" w:type="dxa"/>
        <w:tblLook w:val="04A0" w:firstRow="1" w:lastRow="0" w:firstColumn="1" w:lastColumn="0" w:noHBand="0" w:noVBand="1"/>
      </w:tblPr>
      <w:tblGrid>
        <w:gridCol w:w="1980"/>
        <w:gridCol w:w="8505"/>
      </w:tblGrid>
      <w:tr w:rsidR="00BD77D8" w:rsidRPr="00BD77D8" w14:paraId="6A763CC5" w14:textId="77777777" w:rsidTr="00940EF1">
        <w:trPr>
          <w:trHeight w:val="416"/>
          <w:tblHeader/>
        </w:trPr>
        <w:tc>
          <w:tcPr>
            <w:tcW w:w="1048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D26B96" w14:textId="77777777" w:rsidR="00C77E32" w:rsidRPr="00BD77D8" w:rsidRDefault="00C77E32" w:rsidP="00A436C7">
            <w:pPr>
              <w:rPr>
                <w:rFonts w:ascii="Arial" w:hAnsi="Arial"/>
                <w:b/>
                <w:bCs/>
              </w:rPr>
            </w:pPr>
            <w:r w:rsidRPr="00BD77D8">
              <w:rPr>
                <w:rFonts w:ascii="Arial" w:hAnsi="Arial"/>
                <w:b/>
                <w:bCs/>
              </w:rPr>
              <w:t>THE LOCAL THRIVING COMMUNITIES JOINT COORDINATING COMMITTEE (JCC)</w:t>
            </w:r>
          </w:p>
        </w:tc>
      </w:tr>
      <w:tr w:rsidR="00BD77D8" w:rsidRPr="00BD77D8" w14:paraId="1B7B87B4" w14:textId="77777777" w:rsidTr="00244765">
        <w:trPr>
          <w:trHeight w:val="430"/>
        </w:trPr>
        <w:tc>
          <w:tcPr>
            <w:tcW w:w="1980" w:type="dxa"/>
            <w:tcBorders>
              <w:top w:val="single" w:sz="4" w:space="0" w:color="auto"/>
              <w:left w:val="single" w:sz="4" w:space="0" w:color="auto"/>
              <w:bottom w:val="single" w:sz="4" w:space="0" w:color="auto"/>
              <w:right w:val="single" w:sz="4" w:space="0" w:color="auto"/>
            </w:tcBorders>
            <w:vAlign w:val="center"/>
            <w:hideMark/>
          </w:tcPr>
          <w:p w14:paraId="55064554" w14:textId="77777777" w:rsidR="00C77E32" w:rsidRPr="00BD77D8" w:rsidRDefault="00C77E32" w:rsidP="00E1778E">
            <w:pPr>
              <w:spacing w:after="0" w:line="240" w:lineRule="auto"/>
              <w:rPr>
                <w:rFonts w:ascii="Arial" w:hAnsi="Arial"/>
              </w:rPr>
            </w:pPr>
            <w:r w:rsidRPr="00BD77D8">
              <w:rPr>
                <w:rFonts w:ascii="Arial" w:hAnsi="Arial"/>
              </w:rPr>
              <w:t>Act or instrument</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C9E99B4" w14:textId="77777777" w:rsidR="00C77E32" w:rsidRPr="00BD77D8" w:rsidRDefault="00C77E32" w:rsidP="00E1778E">
            <w:pPr>
              <w:spacing w:after="0" w:line="240" w:lineRule="auto"/>
              <w:rPr>
                <w:rFonts w:ascii="Arial" w:hAnsi="Arial"/>
                <w:iCs/>
              </w:rPr>
            </w:pPr>
            <w:r w:rsidRPr="00BD77D8">
              <w:rPr>
                <w:rFonts w:ascii="Arial" w:hAnsi="Arial"/>
                <w:iCs/>
              </w:rPr>
              <w:t xml:space="preserve">Terms of Reference </w:t>
            </w:r>
          </w:p>
        </w:tc>
      </w:tr>
      <w:tr w:rsidR="00BD77D8" w:rsidRPr="00BD77D8" w14:paraId="47178ACA" w14:textId="77777777" w:rsidTr="00244765">
        <w:tc>
          <w:tcPr>
            <w:tcW w:w="1980" w:type="dxa"/>
            <w:tcBorders>
              <w:top w:val="single" w:sz="4" w:space="0" w:color="auto"/>
              <w:left w:val="single" w:sz="4" w:space="0" w:color="auto"/>
              <w:bottom w:val="single" w:sz="4" w:space="0" w:color="auto"/>
              <w:right w:val="single" w:sz="4" w:space="0" w:color="auto"/>
            </w:tcBorders>
            <w:hideMark/>
          </w:tcPr>
          <w:p w14:paraId="6D11BADC" w14:textId="77777777" w:rsidR="00C77E32" w:rsidRPr="00BD77D8" w:rsidRDefault="00C77E32" w:rsidP="00C77E32">
            <w:pPr>
              <w:spacing w:after="0" w:line="240" w:lineRule="auto"/>
              <w:rPr>
                <w:rFonts w:ascii="Arial" w:hAnsi="Arial"/>
              </w:rPr>
            </w:pPr>
            <w:r w:rsidRPr="00BD77D8">
              <w:rPr>
                <w:rFonts w:ascii="Arial" w:hAnsi="Arial"/>
              </w:rPr>
              <w:t>Functions</w:t>
            </w:r>
          </w:p>
        </w:tc>
        <w:tc>
          <w:tcPr>
            <w:tcW w:w="8505" w:type="dxa"/>
            <w:tcBorders>
              <w:top w:val="single" w:sz="4" w:space="0" w:color="auto"/>
              <w:left w:val="single" w:sz="4" w:space="0" w:color="auto"/>
              <w:bottom w:val="single" w:sz="4" w:space="0" w:color="auto"/>
              <w:right w:val="single" w:sz="4" w:space="0" w:color="auto"/>
            </w:tcBorders>
            <w:hideMark/>
          </w:tcPr>
          <w:p w14:paraId="5C3A8C25" w14:textId="7A04F302" w:rsidR="00C77E32" w:rsidRPr="00BD77D8" w:rsidRDefault="00C77E32" w:rsidP="00995113">
            <w:pPr>
              <w:spacing w:before="120" w:after="120" w:line="259" w:lineRule="auto"/>
              <w:rPr>
                <w:rFonts w:ascii="Arial" w:hAnsi="Arial"/>
              </w:rPr>
            </w:pPr>
            <w:r w:rsidRPr="00BD77D8">
              <w:rPr>
                <w:rFonts w:ascii="Arial" w:hAnsi="Arial"/>
              </w:rPr>
              <w:t xml:space="preserve">The Local Thriving Communities Joint Coordinating Committee (JCC) was established on 22 December 2019 as a mechanism for representatives from government (local, state and federal) and Queensland Aboriginal and Torres Strait Islander communities to oversee the LTC reform agenda and provide advice on co-design and implementation.  Its membership (22) comprises </w:t>
            </w:r>
            <w:r w:rsidR="00177A29" w:rsidRPr="00BD77D8">
              <w:rPr>
                <w:rFonts w:ascii="Arial" w:hAnsi="Arial"/>
              </w:rPr>
              <w:t>6</w:t>
            </w:r>
            <w:r w:rsidRPr="00BD77D8">
              <w:rPr>
                <w:rFonts w:ascii="Arial" w:hAnsi="Arial"/>
              </w:rPr>
              <w:t xml:space="preserve"> representatives from First Nations communities, </w:t>
            </w:r>
            <w:r w:rsidR="00177A29" w:rsidRPr="00BD77D8">
              <w:rPr>
                <w:rFonts w:ascii="Arial" w:hAnsi="Arial"/>
              </w:rPr>
              <w:t>5</w:t>
            </w:r>
            <w:r w:rsidRPr="00BD77D8">
              <w:rPr>
                <w:rFonts w:ascii="Arial" w:hAnsi="Arial"/>
              </w:rPr>
              <w:t xml:space="preserve"> Mayoral representatives nominated by the Local Government Association of Queensland Indigenous Leaders Forum and 11 state and federal government representatives as equal partners.</w:t>
            </w:r>
          </w:p>
          <w:p w14:paraId="4D1F5BF4" w14:textId="77777777" w:rsidR="00C77E32" w:rsidRPr="00BD77D8" w:rsidRDefault="00C77E32" w:rsidP="00995113">
            <w:pPr>
              <w:spacing w:before="120" w:after="120" w:line="259" w:lineRule="auto"/>
              <w:rPr>
                <w:rFonts w:ascii="Arial" w:hAnsi="Arial"/>
              </w:rPr>
            </w:pPr>
          </w:p>
        </w:tc>
      </w:tr>
      <w:tr w:rsidR="00BD77D8" w:rsidRPr="00BD77D8" w14:paraId="6EC811D7" w14:textId="77777777" w:rsidTr="00244765">
        <w:tc>
          <w:tcPr>
            <w:tcW w:w="1980" w:type="dxa"/>
            <w:tcBorders>
              <w:top w:val="single" w:sz="4" w:space="0" w:color="auto"/>
              <w:left w:val="single" w:sz="4" w:space="0" w:color="auto"/>
              <w:bottom w:val="single" w:sz="4" w:space="0" w:color="auto"/>
              <w:right w:val="single" w:sz="4" w:space="0" w:color="auto"/>
            </w:tcBorders>
            <w:hideMark/>
          </w:tcPr>
          <w:p w14:paraId="6D34377B" w14:textId="77777777" w:rsidR="00C77E32" w:rsidRPr="00BD77D8" w:rsidRDefault="00C77E32" w:rsidP="00C77E32">
            <w:pPr>
              <w:spacing w:after="0" w:line="240" w:lineRule="auto"/>
              <w:rPr>
                <w:rFonts w:ascii="Arial" w:hAnsi="Arial"/>
              </w:rPr>
            </w:pPr>
            <w:r w:rsidRPr="00BD77D8">
              <w:rPr>
                <w:rFonts w:ascii="Arial" w:hAnsi="Arial"/>
              </w:rPr>
              <w:t>Achievements</w:t>
            </w:r>
          </w:p>
        </w:tc>
        <w:tc>
          <w:tcPr>
            <w:tcW w:w="8505" w:type="dxa"/>
            <w:tcBorders>
              <w:top w:val="single" w:sz="4" w:space="0" w:color="auto"/>
              <w:left w:val="single" w:sz="4" w:space="0" w:color="auto"/>
              <w:bottom w:val="single" w:sz="4" w:space="0" w:color="auto"/>
              <w:right w:val="single" w:sz="4" w:space="0" w:color="auto"/>
            </w:tcBorders>
            <w:hideMark/>
          </w:tcPr>
          <w:p w14:paraId="07414A32" w14:textId="7C92DB4C" w:rsidR="00C77E32" w:rsidRPr="00BD77D8" w:rsidRDefault="00227DA1" w:rsidP="00995113">
            <w:pPr>
              <w:spacing w:before="120" w:after="120" w:line="259" w:lineRule="auto"/>
              <w:rPr>
                <w:rFonts w:ascii="Arial" w:hAnsi="Arial"/>
              </w:rPr>
            </w:pPr>
            <w:r w:rsidRPr="00BD77D8">
              <w:rPr>
                <w:rFonts w:ascii="Arial" w:hAnsi="Arial"/>
              </w:rPr>
              <w:t xml:space="preserve">Five meetings of the JCC were co-chaired by a community member and the Director-General of the Department of Seniors, Disability Services and Aboriginal and Torres </w:t>
            </w:r>
            <w:r w:rsidRPr="00BD77D8">
              <w:rPr>
                <w:rFonts w:ascii="Arial" w:hAnsi="Arial"/>
              </w:rPr>
              <w:lastRenderedPageBreak/>
              <w:t>Strait Islander Partnerships to give effect to the reframed relationship between the Queensland Government and Aboriginal</w:t>
            </w:r>
            <w:r w:rsidR="00A901B7" w:rsidRPr="00BD77D8">
              <w:rPr>
                <w:rFonts w:ascii="Arial" w:hAnsi="Arial"/>
              </w:rPr>
              <w:t xml:space="preserve"> peoples</w:t>
            </w:r>
            <w:r w:rsidRPr="00BD77D8">
              <w:rPr>
                <w:rFonts w:ascii="Arial" w:hAnsi="Arial"/>
              </w:rPr>
              <w:t xml:space="preserve"> and Torres Strait Islander people</w:t>
            </w:r>
            <w:r w:rsidR="00A901B7" w:rsidRPr="00BD77D8">
              <w:rPr>
                <w:rFonts w:ascii="Arial" w:hAnsi="Arial"/>
              </w:rPr>
              <w:t>s</w:t>
            </w:r>
            <w:r w:rsidRPr="00BD77D8">
              <w:rPr>
                <w:rFonts w:ascii="Arial" w:hAnsi="Arial"/>
              </w:rPr>
              <w:t xml:space="preserve">. Through shared decision-making community and government JCC members are ensuring sustainable progress through an iterative approach to implementation of the reform. The JCC informed the development of the Local Thriving Communities Action Plan 2022-2024, the first in a series of action plans </w:t>
            </w:r>
            <w:r w:rsidR="00A901B7" w:rsidRPr="00BD77D8">
              <w:rPr>
                <w:rFonts w:ascii="Arial" w:hAnsi="Arial"/>
              </w:rPr>
              <w:t>that</w:t>
            </w:r>
            <w:r w:rsidRPr="00BD77D8">
              <w:rPr>
                <w:rFonts w:ascii="Arial" w:hAnsi="Arial"/>
              </w:rPr>
              <w:t xml:space="preserve"> articulates the steps the government needs to take to implement the reform. JCC community members provided guidance into the development of activity so self-determination and local decision</w:t>
            </w:r>
            <w:r w:rsidR="00A901B7" w:rsidRPr="00BD77D8">
              <w:rPr>
                <w:rFonts w:ascii="Arial" w:hAnsi="Arial"/>
              </w:rPr>
              <w:t>-</w:t>
            </w:r>
            <w:r w:rsidRPr="00BD77D8">
              <w:rPr>
                <w:rFonts w:ascii="Arial" w:hAnsi="Arial"/>
              </w:rPr>
              <w:t>making are embedded into practices across government to effect the change required to improve service coordination, design and delivery in communities.</w:t>
            </w:r>
          </w:p>
        </w:tc>
      </w:tr>
      <w:tr w:rsidR="00BD77D8" w:rsidRPr="00BD77D8" w14:paraId="6077F8AD" w14:textId="77777777" w:rsidTr="00244765">
        <w:trPr>
          <w:trHeight w:val="520"/>
        </w:trPr>
        <w:tc>
          <w:tcPr>
            <w:tcW w:w="1980" w:type="dxa"/>
            <w:tcBorders>
              <w:top w:val="single" w:sz="4" w:space="0" w:color="auto"/>
              <w:left w:val="single" w:sz="4" w:space="0" w:color="auto"/>
              <w:bottom w:val="single" w:sz="4" w:space="0" w:color="auto"/>
              <w:right w:val="single" w:sz="4" w:space="0" w:color="auto"/>
            </w:tcBorders>
            <w:hideMark/>
          </w:tcPr>
          <w:p w14:paraId="0C614F5B" w14:textId="77777777" w:rsidR="00C77E32" w:rsidRPr="00BD77D8" w:rsidRDefault="00C77E32" w:rsidP="00C77E32">
            <w:pPr>
              <w:spacing w:after="0" w:line="240" w:lineRule="auto"/>
              <w:rPr>
                <w:rFonts w:ascii="Arial" w:hAnsi="Arial"/>
              </w:rPr>
            </w:pPr>
            <w:r w:rsidRPr="00BD77D8">
              <w:rPr>
                <w:rFonts w:ascii="Arial" w:hAnsi="Arial"/>
              </w:rPr>
              <w:lastRenderedPageBreak/>
              <w:t>Financial reporting</w:t>
            </w:r>
          </w:p>
        </w:tc>
        <w:tc>
          <w:tcPr>
            <w:tcW w:w="8505" w:type="dxa"/>
            <w:tcBorders>
              <w:top w:val="single" w:sz="4" w:space="0" w:color="auto"/>
              <w:left w:val="single" w:sz="4" w:space="0" w:color="auto"/>
              <w:bottom w:val="single" w:sz="4" w:space="0" w:color="auto"/>
              <w:right w:val="single" w:sz="4" w:space="0" w:color="auto"/>
            </w:tcBorders>
            <w:hideMark/>
          </w:tcPr>
          <w:p w14:paraId="0C2E1F6B" w14:textId="77777777" w:rsidR="00C77E32" w:rsidRPr="00BD77D8" w:rsidRDefault="00C77E32" w:rsidP="00995113">
            <w:pPr>
              <w:spacing w:before="120" w:after="120" w:line="259" w:lineRule="auto"/>
              <w:rPr>
                <w:rFonts w:ascii="Arial" w:hAnsi="Arial"/>
              </w:rPr>
            </w:pPr>
            <w:r w:rsidRPr="00BD77D8">
              <w:rPr>
                <w:rFonts w:ascii="Arial" w:hAnsi="Arial"/>
              </w:rPr>
              <w:t>The transactions of the board are captured in the department’s financial statement.</w:t>
            </w:r>
          </w:p>
        </w:tc>
      </w:tr>
      <w:tr w:rsidR="00460600" w:rsidRPr="00BD77D8" w14:paraId="620F39EE" w14:textId="77777777" w:rsidTr="00943496">
        <w:trPr>
          <w:trHeight w:val="3756"/>
        </w:trPr>
        <w:tc>
          <w:tcPr>
            <w:tcW w:w="10485" w:type="dxa"/>
            <w:gridSpan w:val="2"/>
            <w:tcBorders>
              <w:top w:val="single" w:sz="4" w:space="0" w:color="auto"/>
              <w:left w:val="single" w:sz="4" w:space="0" w:color="auto"/>
              <w:bottom w:val="single" w:sz="4" w:space="0" w:color="auto"/>
              <w:right w:val="single" w:sz="4" w:space="0" w:color="auto"/>
            </w:tcBorders>
            <w:hideMark/>
          </w:tcPr>
          <w:p w14:paraId="758BF683" w14:textId="0B313484" w:rsidR="00C77E32" w:rsidRPr="00BD77D8" w:rsidRDefault="00C77E32" w:rsidP="00995113">
            <w:pPr>
              <w:spacing w:before="120" w:after="120" w:line="259" w:lineRule="auto"/>
              <w:rPr>
                <w:rFonts w:ascii="Arial" w:hAnsi="Arial"/>
              </w:rPr>
            </w:pPr>
            <w:bookmarkStart w:id="341" w:name="_Hlk80087873"/>
            <w:r w:rsidRPr="00BD77D8">
              <w:rPr>
                <w:rFonts w:ascii="Arial" w:hAnsi="Arial"/>
              </w:rPr>
              <w:t xml:space="preserve">Remuneration: </w:t>
            </w:r>
            <w:bookmarkStart w:id="342" w:name="_Hlk80085659"/>
            <w:r w:rsidRPr="00BD77D8">
              <w:rPr>
                <w:rFonts w:ascii="Arial" w:hAnsi="Arial"/>
              </w:rPr>
              <w:t xml:space="preserve">JCC Community Members are remunerated under the Queensland Government’s </w:t>
            </w:r>
            <w:r w:rsidRPr="00BD77D8">
              <w:rPr>
                <w:rFonts w:ascii="Arial" w:hAnsi="Arial"/>
                <w:i/>
                <w:iCs/>
              </w:rPr>
              <w:t>Remuneration Procedures for Part-time Chairs and Members of Queensland Government Bodies</w:t>
            </w:r>
            <w:r w:rsidRPr="00BD77D8">
              <w:rPr>
                <w:rFonts w:ascii="Arial" w:hAnsi="Arial"/>
              </w:rPr>
              <w:t xml:space="preserve">. JCC </w:t>
            </w:r>
            <w:r w:rsidR="00A901B7" w:rsidRPr="00BD77D8">
              <w:rPr>
                <w:rFonts w:ascii="Arial" w:hAnsi="Arial"/>
              </w:rPr>
              <w:t>c</w:t>
            </w:r>
            <w:r w:rsidRPr="00BD77D8">
              <w:rPr>
                <w:rFonts w:ascii="Arial" w:hAnsi="Arial"/>
              </w:rPr>
              <w:t xml:space="preserve">ommunity </w:t>
            </w:r>
            <w:r w:rsidR="00A901B7" w:rsidRPr="00BD77D8">
              <w:rPr>
                <w:rFonts w:ascii="Arial" w:hAnsi="Arial"/>
              </w:rPr>
              <w:t>m</w:t>
            </w:r>
            <w:r w:rsidRPr="00BD77D8">
              <w:rPr>
                <w:rFonts w:ascii="Arial" w:hAnsi="Arial"/>
              </w:rPr>
              <w:t xml:space="preserve">embers are paid in accordance with Level 3 of the Regulation, Administration and Advice Category of the Remuneration Matrix. </w:t>
            </w:r>
          </w:p>
          <w:bookmarkEnd w:id="342"/>
          <w:p w14:paraId="74D5DE4A" w14:textId="1169BEFA" w:rsidR="00C77E32" w:rsidRPr="00BD77D8" w:rsidRDefault="00C77E32" w:rsidP="00995113">
            <w:pPr>
              <w:spacing w:before="120" w:after="120" w:line="259" w:lineRule="auto"/>
              <w:rPr>
                <w:rFonts w:ascii="Arial" w:hAnsi="Arial"/>
              </w:rPr>
            </w:pPr>
            <w:r w:rsidRPr="00BD77D8">
              <w:rPr>
                <w:rFonts w:ascii="Arial" w:hAnsi="Arial"/>
              </w:rPr>
              <w:t xml:space="preserve">Community members are paid a daily meeting fee of </w:t>
            </w:r>
            <w:r w:rsidR="00F90726" w:rsidRPr="00BD77D8">
              <w:rPr>
                <w:rFonts w:ascii="Arial" w:hAnsi="Arial"/>
              </w:rPr>
              <w:t>$300,</w:t>
            </w:r>
            <w:r w:rsidRPr="00BD77D8">
              <w:rPr>
                <w:rFonts w:ascii="Arial" w:hAnsi="Arial"/>
              </w:rPr>
              <w:t xml:space="preserve"> and the Co-Chair is paid a daily meeting fee of $390 for JCC meetings. Community </w:t>
            </w:r>
            <w:r w:rsidR="00227DA1" w:rsidRPr="00BD77D8">
              <w:rPr>
                <w:rFonts w:ascii="Arial" w:hAnsi="Arial"/>
              </w:rPr>
              <w:t>m</w:t>
            </w:r>
            <w:r w:rsidRPr="00BD77D8">
              <w:rPr>
                <w:rFonts w:ascii="Arial" w:hAnsi="Arial"/>
              </w:rPr>
              <w:t>embers are also remunerated for ‘preparation and pre-briefing’ prior to each meeting at 50</w:t>
            </w:r>
            <w:r w:rsidR="00A901B7" w:rsidRPr="00BD77D8">
              <w:rPr>
                <w:rFonts w:ascii="Arial" w:hAnsi="Arial"/>
              </w:rPr>
              <w:t xml:space="preserve"> per cent</w:t>
            </w:r>
            <w:r w:rsidRPr="00BD77D8">
              <w:rPr>
                <w:rFonts w:ascii="Arial" w:hAnsi="Arial"/>
              </w:rPr>
              <w:t xml:space="preserve"> of the meeting fee (less than four hours meeting fees)</w:t>
            </w:r>
            <w:r w:rsidR="00227DA1" w:rsidRPr="00BD77D8">
              <w:rPr>
                <w:rFonts w:ascii="Arial" w:hAnsi="Arial"/>
              </w:rPr>
              <w:t xml:space="preserve"> and for participation in a community members pre-meeting workshop 5</w:t>
            </w:r>
            <w:r w:rsidR="00A901B7" w:rsidRPr="00BD77D8">
              <w:rPr>
                <w:rFonts w:ascii="Arial" w:hAnsi="Arial"/>
              </w:rPr>
              <w:t>0 per cent</w:t>
            </w:r>
            <w:r w:rsidR="00227DA1" w:rsidRPr="00BD77D8">
              <w:rPr>
                <w:rFonts w:ascii="Arial" w:hAnsi="Arial"/>
              </w:rPr>
              <w:t xml:space="preserve"> of the meeting fee (less than four hours meeting fees).</w:t>
            </w:r>
          </w:p>
          <w:p w14:paraId="47E973E0" w14:textId="20D02B0E" w:rsidR="00C77E32" w:rsidRPr="00BD77D8" w:rsidRDefault="00C77E32" w:rsidP="00995113">
            <w:pPr>
              <w:spacing w:before="120" w:after="120" w:line="259" w:lineRule="auto"/>
              <w:rPr>
                <w:rFonts w:ascii="Arial" w:hAnsi="Arial"/>
                <w:spacing w:val="-3"/>
                <w:lang w:val="en-US"/>
              </w:rPr>
            </w:pPr>
            <w:r w:rsidRPr="00BD77D8">
              <w:rPr>
                <w:rFonts w:ascii="Arial" w:hAnsi="Arial"/>
              </w:rPr>
              <w:t>As Co-Chair</w:t>
            </w:r>
            <w:r w:rsidR="00A901B7" w:rsidRPr="00BD77D8">
              <w:rPr>
                <w:rFonts w:ascii="Arial" w:hAnsi="Arial"/>
              </w:rPr>
              <w:t>,</w:t>
            </w:r>
            <w:r w:rsidRPr="00BD77D8">
              <w:rPr>
                <w:rFonts w:ascii="Arial" w:hAnsi="Arial"/>
              </w:rPr>
              <w:t xml:space="preserve"> the Director-General, Department of Seniors, Disability Services and Aboriginal and Torres Strait Islander Partnerships is also able to approve remuneration for additional activities including member attendance at consultation, workshops or engagement. Members are remunerated for these activities in accordance with the Queensland Government’s </w:t>
            </w:r>
            <w:r w:rsidRPr="00BD77D8">
              <w:rPr>
                <w:rFonts w:ascii="Arial" w:hAnsi="Arial"/>
                <w:i/>
                <w:iCs/>
              </w:rPr>
              <w:t>Remuneration Procedures for Part-time Chairs and Members of Queensland Government Bodies.</w:t>
            </w:r>
            <w:r w:rsidRPr="00BD77D8">
              <w:rPr>
                <w:rFonts w:ascii="Arial" w:hAnsi="Arial"/>
                <w:spacing w:val="-3"/>
                <w:lang w:val="en-US"/>
              </w:rPr>
              <w:t xml:space="preserve"> </w:t>
            </w:r>
          </w:p>
        </w:tc>
      </w:tr>
    </w:tbl>
    <w:p w14:paraId="1575536D" w14:textId="77777777" w:rsidR="00244765" w:rsidRPr="00BD77D8" w:rsidRDefault="00244765" w:rsidP="00BF1467">
      <w:pPr>
        <w:spacing w:after="40"/>
      </w:pPr>
    </w:p>
    <w:tbl>
      <w:tblPr>
        <w:tblStyle w:val="TableGrid101"/>
        <w:tblW w:w="10485" w:type="dxa"/>
        <w:tblLook w:val="04A0" w:firstRow="1" w:lastRow="0" w:firstColumn="1" w:lastColumn="0" w:noHBand="0" w:noVBand="1"/>
      </w:tblPr>
      <w:tblGrid>
        <w:gridCol w:w="1980"/>
        <w:gridCol w:w="1843"/>
        <w:gridCol w:w="2009"/>
        <w:gridCol w:w="1818"/>
        <w:gridCol w:w="1417"/>
        <w:gridCol w:w="1418"/>
      </w:tblGrid>
      <w:tr w:rsidR="00BD77D8" w:rsidRPr="00BD77D8" w14:paraId="36C933B4" w14:textId="77777777" w:rsidTr="00940EF1">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2E4C54"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Position</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332FCB"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Name</w:t>
            </w:r>
          </w:p>
        </w:tc>
        <w:tc>
          <w:tcPr>
            <w:tcW w:w="20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BD738F"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Meetings/sessions attendance</w:t>
            </w:r>
          </w:p>
        </w:tc>
        <w:tc>
          <w:tcPr>
            <w:tcW w:w="1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0715B0"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Approved annual, sessional or daily fee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D7A129"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Approved sub-committee fees if applicable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4E596A"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Actual fees received </w:t>
            </w:r>
          </w:p>
        </w:tc>
      </w:tr>
      <w:tr w:rsidR="00BD77D8" w:rsidRPr="00BD77D8" w14:paraId="669D0588" w14:textId="77777777" w:rsidTr="002704E5">
        <w:tc>
          <w:tcPr>
            <w:tcW w:w="1980" w:type="dxa"/>
            <w:tcBorders>
              <w:top w:val="single" w:sz="4" w:space="0" w:color="auto"/>
              <w:left w:val="single" w:sz="4" w:space="0" w:color="auto"/>
              <w:bottom w:val="single" w:sz="4" w:space="0" w:color="auto"/>
              <w:right w:val="single" w:sz="4" w:space="0" w:color="auto"/>
            </w:tcBorders>
          </w:tcPr>
          <w:p w14:paraId="5FD149BE"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Co-Chair</w:t>
            </w:r>
          </w:p>
          <w:p w14:paraId="7B06F78E" w14:textId="6D106E55" w:rsidR="00C77E32" w:rsidRPr="00BD77D8" w:rsidRDefault="00C77E32" w:rsidP="00C77E32">
            <w:pPr>
              <w:spacing w:after="0" w:line="240" w:lineRule="auto"/>
              <w:rPr>
                <w:rFonts w:ascii="Arial" w:hAnsi="Arial"/>
                <w:sz w:val="20"/>
                <w:szCs w:val="20"/>
              </w:rPr>
            </w:pPr>
            <w:r w:rsidRPr="00BD77D8">
              <w:rPr>
                <w:rFonts w:ascii="Arial" w:hAnsi="Arial"/>
                <w:sz w:val="20"/>
                <w:szCs w:val="20"/>
              </w:rPr>
              <w:t>Director-General</w:t>
            </w:r>
            <w:r w:rsidR="00A901B7" w:rsidRPr="00BD77D8">
              <w:rPr>
                <w:rFonts w:ascii="Arial" w:hAnsi="Arial"/>
                <w:sz w:val="20"/>
                <w:szCs w:val="20"/>
              </w:rPr>
              <w:t>,</w:t>
            </w:r>
            <w:r w:rsidRPr="00BD77D8">
              <w:rPr>
                <w:rFonts w:ascii="Arial" w:hAnsi="Arial"/>
                <w:sz w:val="20"/>
                <w:szCs w:val="20"/>
              </w:rPr>
              <w:t xml:space="preserve"> Department of Seniors, Disability Services and Aboriginal and Torres Strait Islander Partnerships</w:t>
            </w:r>
          </w:p>
        </w:tc>
        <w:tc>
          <w:tcPr>
            <w:tcW w:w="1843" w:type="dxa"/>
            <w:tcBorders>
              <w:top w:val="single" w:sz="4" w:space="0" w:color="auto"/>
              <w:left w:val="single" w:sz="4" w:space="0" w:color="auto"/>
              <w:bottom w:val="single" w:sz="4" w:space="0" w:color="auto"/>
              <w:right w:val="single" w:sz="4" w:space="0" w:color="auto"/>
            </w:tcBorders>
          </w:tcPr>
          <w:p w14:paraId="5553F440"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Dr Chris Sarra </w:t>
            </w:r>
          </w:p>
        </w:tc>
        <w:tc>
          <w:tcPr>
            <w:tcW w:w="2009" w:type="dxa"/>
            <w:tcBorders>
              <w:top w:val="single" w:sz="4" w:space="0" w:color="auto"/>
              <w:left w:val="single" w:sz="4" w:space="0" w:color="auto"/>
              <w:bottom w:val="single" w:sz="4" w:space="0" w:color="auto"/>
              <w:right w:val="single" w:sz="4" w:space="0" w:color="auto"/>
            </w:tcBorders>
          </w:tcPr>
          <w:p w14:paraId="10CE2A39" w14:textId="25BFFEEF" w:rsidR="00C77E32" w:rsidRPr="00BD77D8" w:rsidRDefault="00227DA1" w:rsidP="00C77E32">
            <w:pPr>
              <w:spacing w:after="0" w:line="240" w:lineRule="auto"/>
              <w:rPr>
                <w:rFonts w:ascii="Arial" w:hAnsi="Arial"/>
                <w:iCs/>
                <w:sz w:val="20"/>
                <w:szCs w:val="20"/>
              </w:rPr>
            </w:pPr>
            <w:r w:rsidRPr="00BD77D8">
              <w:rPr>
                <w:rFonts w:ascii="Arial" w:hAnsi="Arial"/>
                <w:iCs/>
                <w:sz w:val="20"/>
                <w:szCs w:val="20"/>
              </w:rPr>
              <w:t>5</w:t>
            </w:r>
          </w:p>
        </w:tc>
        <w:tc>
          <w:tcPr>
            <w:tcW w:w="1818" w:type="dxa"/>
            <w:tcBorders>
              <w:top w:val="single" w:sz="4" w:space="0" w:color="auto"/>
              <w:left w:val="single" w:sz="4" w:space="0" w:color="auto"/>
              <w:bottom w:val="single" w:sz="4" w:space="0" w:color="auto"/>
              <w:right w:val="single" w:sz="4" w:space="0" w:color="auto"/>
            </w:tcBorders>
          </w:tcPr>
          <w:p w14:paraId="5036808F"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55EEBC19"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42B2F63B"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N/A </w:t>
            </w:r>
          </w:p>
        </w:tc>
      </w:tr>
      <w:tr w:rsidR="00BD77D8" w:rsidRPr="00BD77D8" w14:paraId="00113ED3" w14:textId="77777777" w:rsidTr="002704E5">
        <w:tc>
          <w:tcPr>
            <w:tcW w:w="1980" w:type="dxa"/>
            <w:tcBorders>
              <w:top w:val="single" w:sz="4" w:space="0" w:color="auto"/>
              <w:left w:val="single" w:sz="4" w:space="0" w:color="auto"/>
              <w:bottom w:val="single" w:sz="4" w:space="0" w:color="auto"/>
              <w:right w:val="single" w:sz="4" w:space="0" w:color="auto"/>
            </w:tcBorders>
          </w:tcPr>
          <w:p w14:paraId="30EA12EA"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Member (2 meetings)</w:t>
            </w:r>
          </w:p>
          <w:p w14:paraId="1EE4730D" w14:textId="77777777" w:rsidR="00C77E32" w:rsidRPr="00BD77D8" w:rsidRDefault="00C77E32" w:rsidP="00C77E32">
            <w:pPr>
              <w:spacing w:after="0" w:line="240" w:lineRule="auto"/>
              <w:rPr>
                <w:rFonts w:ascii="Arial" w:hAnsi="Arial"/>
                <w:sz w:val="20"/>
                <w:szCs w:val="20"/>
              </w:rPr>
            </w:pPr>
          </w:p>
          <w:p w14:paraId="3D1E7D9C"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Co-Chair (3 meetings)</w:t>
            </w:r>
          </w:p>
        </w:tc>
        <w:tc>
          <w:tcPr>
            <w:tcW w:w="1843" w:type="dxa"/>
            <w:tcBorders>
              <w:top w:val="single" w:sz="4" w:space="0" w:color="auto"/>
              <w:left w:val="single" w:sz="4" w:space="0" w:color="auto"/>
              <w:bottom w:val="single" w:sz="4" w:space="0" w:color="auto"/>
              <w:right w:val="single" w:sz="4" w:space="0" w:color="auto"/>
            </w:tcBorders>
          </w:tcPr>
          <w:p w14:paraId="55C592E0"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Kelly Barclay</w:t>
            </w:r>
          </w:p>
        </w:tc>
        <w:tc>
          <w:tcPr>
            <w:tcW w:w="2009" w:type="dxa"/>
            <w:tcBorders>
              <w:top w:val="single" w:sz="4" w:space="0" w:color="auto"/>
              <w:left w:val="single" w:sz="4" w:space="0" w:color="auto"/>
              <w:bottom w:val="single" w:sz="4" w:space="0" w:color="auto"/>
              <w:right w:val="single" w:sz="4" w:space="0" w:color="auto"/>
            </w:tcBorders>
          </w:tcPr>
          <w:p w14:paraId="047AE74D" w14:textId="77777777" w:rsidR="00227DA1" w:rsidRPr="00BD77D8" w:rsidRDefault="00227DA1" w:rsidP="00227DA1">
            <w:pPr>
              <w:spacing w:after="80" w:line="240" w:lineRule="auto"/>
              <w:rPr>
                <w:rFonts w:ascii="Arial" w:hAnsi="Arial"/>
                <w:iCs/>
                <w:sz w:val="20"/>
                <w:szCs w:val="20"/>
              </w:rPr>
            </w:pPr>
            <w:r w:rsidRPr="00BD77D8">
              <w:rPr>
                <w:rFonts w:ascii="Arial" w:hAnsi="Arial"/>
                <w:iCs/>
                <w:sz w:val="20"/>
                <w:szCs w:val="20"/>
              </w:rPr>
              <w:t>5 JCC meetings</w:t>
            </w:r>
          </w:p>
          <w:p w14:paraId="7A08285F" w14:textId="77777777" w:rsidR="00227DA1" w:rsidRPr="00BD77D8" w:rsidRDefault="00227DA1" w:rsidP="00227DA1">
            <w:pPr>
              <w:spacing w:after="80" w:line="240" w:lineRule="auto"/>
              <w:rPr>
                <w:rFonts w:ascii="Arial" w:hAnsi="Arial"/>
                <w:iCs/>
                <w:sz w:val="20"/>
                <w:szCs w:val="20"/>
              </w:rPr>
            </w:pPr>
            <w:r w:rsidRPr="00BD77D8">
              <w:rPr>
                <w:rFonts w:ascii="Arial" w:hAnsi="Arial"/>
                <w:iCs/>
                <w:sz w:val="20"/>
                <w:szCs w:val="20"/>
              </w:rPr>
              <w:t>2  meetings as co-chair</w:t>
            </w:r>
          </w:p>
          <w:p w14:paraId="2601C114" w14:textId="77777777" w:rsidR="00227DA1" w:rsidRPr="00BD77D8" w:rsidRDefault="00227DA1" w:rsidP="00227DA1">
            <w:pPr>
              <w:spacing w:after="80" w:line="240" w:lineRule="auto"/>
              <w:rPr>
                <w:rFonts w:ascii="Arial" w:hAnsi="Arial"/>
                <w:iCs/>
                <w:sz w:val="20"/>
                <w:szCs w:val="20"/>
              </w:rPr>
            </w:pPr>
            <w:r w:rsidRPr="00BD77D8">
              <w:rPr>
                <w:rFonts w:ascii="Arial" w:hAnsi="Arial"/>
                <w:iCs/>
                <w:sz w:val="20"/>
                <w:szCs w:val="20"/>
              </w:rPr>
              <w:t>4 additional sessions as co-chair (workshops, meeting prep, pre-briefings, additional work)</w:t>
            </w:r>
          </w:p>
          <w:p w14:paraId="2C58DA88" w14:textId="77777777" w:rsidR="00227DA1" w:rsidRPr="00BD77D8" w:rsidRDefault="00227DA1" w:rsidP="00227DA1">
            <w:pPr>
              <w:spacing w:after="80" w:line="240" w:lineRule="auto"/>
              <w:rPr>
                <w:rFonts w:ascii="Arial" w:hAnsi="Arial"/>
                <w:iCs/>
                <w:sz w:val="20"/>
                <w:szCs w:val="20"/>
              </w:rPr>
            </w:pPr>
            <w:r w:rsidRPr="00BD77D8">
              <w:rPr>
                <w:rFonts w:ascii="Arial" w:hAnsi="Arial"/>
                <w:iCs/>
                <w:sz w:val="20"/>
                <w:szCs w:val="20"/>
              </w:rPr>
              <w:t>3 meetings as member</w:t>
            </w:r>
          </w:p>
          <w:p w14:paraId="3C0DAD9F" w14:textId="310956B3" w:rsidR="00244765" w:rsidRPr="00BD77D8" w:rsidRDefault="00227DA1" w:rsidP="00244765">
            <w:pPr>
              <w:spacing w:after="80" w:line="240" w:lineRule="auto"/>
              <w:rPr>
                <w:rFonts w:ascii="Arial" w:hAnsi="Arial"/>
                <w:iCs/>
                <w:sz w:val="20"/>
                <w:szCs w:val="20"/>
              </w:rPr>
            </w:pPr>
            <w:r w:rsidRPr="00BD77D8">
              <w:rPr>
                <w:rFonts w:ascii="Arial" w:hAnsi="Arial"/>
                <w:iCs/>
                <w:sz w:val="20"/>
                <w:szCs w:val="20"/>
              </w:rPr>
              <w:lastRenderedPageBreak/>
              <w:t>7 additional sessions as a member (workshops, pre-briefings, meeting prep, and additional work)</w:t>
            </w:r>
          </w:p>
        </w:tc>
        <w:tc>
          <w:tcPr>
            <w:tcW w:w="1818" w:type="dxa"/>
            <w:tcBorders>
              <w:top w:val="single" w:sz="4" w:space="0" w:color="auto"/>
              <w:left w:val="single" w:sz="4" w:space="0" w:color="auto"/>
              <w:bottom w:val="single" w:sz="4" w:space="0" w:color="auto"/>
              <w:right w:val="single" w:sz="4" w:space="0" w:color="auto"/>
            </w:tcBorders>
          </w:tcPr>
          <w:p w14:paraId="649E11DA" w14:textId="1C38E84E" w:rsidR="00460600" w:rsidRPr="00BD77D8" w:rsidRDefault="00C77E32" w:rsidP="0030478B">
            <w:pPr>
              <w:spacing w:after="120" w:line="240" w:lineRule="auto"/>
              <w:rPr>
                <w:rFonts w:ascii="Arial" w:hAnsi="Arial"/>
                <w:sz w:val="20"/>
                <w:szCs w:val="20"/>
              </w:rPr>
            </w:pPr>
            <w:r w:rsidRPr="00BD77D8">
              <w:rPr>
                <w:rFonts w:ascii="Arial" w:hAnsi="Arial"/>
                <w:sz w:val="20"/>
                <w:szCs w:val="20"/>
              </w:rPr>
              <w:lastRenderedPageBreak/>
              <w:t>$390 (Co-Chair fee)</w:t>
            </w:r>
          </w:p>
          <w:p w14:paraId="39952AE6" w14:textId="52BAD584" w:rsidR="00C77E32" w:rsidRPr="00BD77D8" w:rsidRDefault="00C77E32" w:rsidP="0030478B">
            <w:pPr>
              <w:spacing w:after="120" w:line="240" w:lineRule="auto"/>
              <w:rPr>
                <w:rFonts w:ascii="Arial" w:hAnsi="Arial"/>
                <w:sz w:val="20"/>
                <w:szCs w:val="20"/>
              </w:rPr>
            </w:pPr>
            <w:r w:rsidRPr="00BD77D8">
              <w:rPr>
                <w:rFonts w:ascii="Arial" w:hAnsi="Arial"/>
                <w:sz w:val="20"/>
                <w:szCs w:val="20"/>
              </w:rPr>
              <w:t xml:space="preserve">$300 (Member fee) </w:t>
            </w:r>
          </w:p>
          <w:p w14:paraId="2A9B799F" w14:textId="1F1FBD6D" w:rsidR="00C77E32" w:rsidRPr="00BD77D8" w:rsidRDefault="00C77E32" w:rsidP="00C77E32">
            <w:pPr>
              <w:spacing w:after="0" w:line="240" w:lineRule="auto"/>
              <w:rPr>
                <w:rFonts w:ascii="Arial" w:hAnsi="Arial"/>
                <w:sz w:val="20"/>
                <w:szCs w:val="20"/>
              </w:rPr>
            </w:pPr>
            <w:r w:rsidRPr="00BD77D8">
              <w:rPr>
                <w:rFonts w:ascii="Arial" w:hAnsi="Arial"/>
                <w:sz w:val="20"/>
                <w:szCs w:val="20"/>
              </w:rPr>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299587DA"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68898DC9" w14:textId="01A3A15A" w:rsidR="00C77E32" w:rsidRPr="00BD77D8" w:rsidRDefault="003B1A2C"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3,615</w:t>
            </w:r>
            <w:r w:rsidR="00460600" w:rsidRPr="00BD77D8">
              <w:rPr>
                <w:rFonts w:ascii="Arial" w:hAnsi="Arial"/>
                <w:sz w:val="20"/>
                <w:szCs w:val="20"/>
                <w:vertAlign w:val="superscript"/>
              </w:rPr>
              <w:t>1</w:t>
            </w:r>
          </w:p>
        </w:tc>
      </w:tr>
      <w:tr w:rsidR="00BD77D8" w:rsidRPr="00BD77D8" w14:paraId="131E139E" w14:textId="77777777" w:rsidTr="002704E5">
        <w:tc>
          <w:tcPr>
            <w:tcW w:w="1980" w:type="dxa"/>
            <w:tcBorders>
              <w:top w:val="single" w:sz="4" w:space="0" w:color="auto"/>
              <w:left w:val="single" w:sz="4" w:space="0" w:color="auto"/>
              <w:bottom w:val="single" w:sz="4" w:space="0" w:color="auto"/>
              <w:right w:val="single" w:sz="4" w:space="0" w:color="auto"/>
            </w:tcBorders>
          </w:tcPr>
          <w:p w14:paraId="30A3E039"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Co-Chair (3 meetings)/Member (2 meetings)</w:t>
            </w:r>
          </w:p>
        </w:tc>
        <w:tc>
          <w:tcPr>
            <w:tcW w:w="1843" w:type="dxa"/>
            <w:tcBorders>
              <w:top w:val="single" w:sz="4" w:space="0" w:color="auto"/>
              <w:left w:val="single" w:sz="4" w:space="0" w:color="auto"/>
              <w:bottom w:val="single" w:sz="4" w:space="0" w:color="auto"/>
              <w:right w:val="single" w:sz="4" w:space="0" w:color="auto"/>
            </w:tcBorders>
          </w:tcPr>
          <w:p w14:paraId="19DDADB2"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Joanne</w:t>
            </w:r>
          </w:p>
          <w:p w14:paraId="685D559C" w14:textId="77777777" w:rsidR="00C77E32" w:rsidRPr="00BD77D8" w:rsidRDefault="00C77E32" w:rsidP="00C77E32">
            <w:pPr>
              <w:spacing w:after="0" w:line="240" w:lineRule="auto"/>
              <w:rPr>
                <w:rFonts w:ascii="Arial" w:hAnsi="Arial"/>
                <w:sz w:val="20"/>
                <w:szCs w:val="20"/>
              </w:rPr>
            </w:pPr>
            <w:proofErr w:type="spellStart"/>
            <w:r w:rsidRPr="00BD77D8">
              <w:rPr>
                <w:rFonts w:ascii="Arial" w:hAnsi="Arial"/>
                <w:sz w:val="20"/>
                <w:szCs w:val="20"/>
              </w:rPr>
              <w:t>Schmider</w:t>
            </w:r>
            <w:proofErr w:type="spellEnd"/>
          </w:p>
        </w:tc>
        <w:tc>
          <w:tcPr>
            <w:tcW w:w="2009" w:type="dxa"/>
            <w:tcBorders>
              <w:top w:val="single" w:sz="4" w:space="0" w:color="auto"/>
              <w:left w:val="single" w:sz="4" w:space="0" w:color="auto"/>
              <w:bottom w:val="single" w:sz="4" w:space="0" w:color="auto"/>
              <w:right w:val="single" w:sz="4" w:space="0" w:color="auto"/>
            </w:tcBorders>
          </w:tcPr>
          <w:p w14:paraId="2523CC3E" w14:textId="78858189" w:rsidR="00460600" w:rsidRPr="00BD77D8" w:rsidRDefault="00460600" w:rsidP="00460600">
            <w:pPr>
              <w:spacing w:after="80" w:line="240" w:lineRule="auto"/>
              <w:rPr>
                <w:rFonts w:ascii="Arial" w:hAnsi="Arial"/>
                <w:sz w:val="20"/>
                <w:szCs w:val="20"/>
              </w:rPr>
            </w:pPr>
            <w:r w:rsidRPr="00BD77D8">
              <w:rPr>
                <w:rFonts w:ascii="Arial" w:hAnsi="Arial"/>
                <w:sz w:val="20"/>
                <w:szCs w:val="20"/>
              </w:rPr>
              <w:t>5 JCC meetings</w:t>
            </w:r>
          </w:p>
          <w:p w14:paraId="695F3964"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1 meeting as co-chair</w:t>
            </w:r>
          </w:p>
          <w:p w14:paraId="0529AD7D"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4 additional sessions as co-chair (pre-briefings, meeting prep, workshop, additional work)</w:t>
            </w:r>
          </w:p>
          <w:p w14:paraId="2AF14710"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4 meetings as member</w:t>
            </w:r>
          </w:p>
          <w:p w14:paraId="6F7CA823" w14:textId="05400290" w:rsidR="00C77E32" w:rsidRPr="00BD77D8" w:rsidRDefault="00460600" w:rsidP="00460600">
            <w:pPr>
              <w:spacing w:after="80" w:line="240" w:lineRule="auto"/>
              <w:rPr>
                <w:rFonts w:ascii="Arial" w:hAnsi="Arial"/>
                <w:sz w:val="20"/>
                <w:szCs w:val="20"/>
              </w:rPr>
            </w:pPr>
            <w:r w:rsidRPr="00BD77D8">
              <w:rPr>
                <w:rFonts w:ascii="Arial" w:hAnsi="Arial"/>
                <w:sz w:val="20"/>
                <w:szCs w:val="20"/>
              </w:rPr>
              <w:t>8 additional sessions as a member (workshops, meeting prep, pre-briefings and additional work)</w:t>
            </w:r>
          </w:p>
        </w:tc>
        <w:tc>
          <w:tcPr>
            <w:tcW w:w="1818" w:type="dxa"/>
            <w:tcBorders>
              <w:top w:val="single" w:sz="4" w:space="0" w:color="auto"/>
              <w:left w:val="single" w:sz="4" w:space="0" w:color="auto"/>
              <w:bottom w:val="single" w:sz="4" w:space="0" w:color="auto"/>
              <w:right w:val="single" w:sz="4" w:space="0" w:color="auto"/>
            </w:tcBorders>
          </w:tcPr>
          <w:p w14:paraId="0FB9BD20" w14:textId="2D8CCDF0" w:rsidR="00460600" w:rsidRPr="00BD77D8" w:rsidRDefault="00C77E32" w:rsidP="0030478B">
            <w:pPr>
              <w:spacing w:after="120" w:line="240" w:lineRule="auto"/>
              <w:rPr>
                <w:rFonts w:ascii="Arial" w:hAnsi="Arial"/>
                <w:sz w:val="20"/>
                <w:szCs w:val="20"/>
              </w:rPr>
            </w:pPr>
            <w:r w:rsidRPr="00BD77D8">
              <w:rPr>
                <w:rFonts w:ascii="Arial" w:hAnsi="Arial"/>
                <w:sz w:val="20"/>
                <w:szCs w:val="20"/>
              </w:rPr>
              <w:t>$390 (Co-Chair fee)</w:t>
            </w:r>
          </w:p>
          <w:p w14:paraId="084650CB" w14:textId="49A4E5E0" w:rsidR="00460600" w:rsidRPr="00BD77D8" w:rsidRDefault="00C77E32" w:rsidP="0030478B">
            <w:pPr>
              <w:spacing w:after="120" w:line="240" w:lineRule="auto"/>
              <w:rPr>
                <w:rFonts w:ascii="Arial" w:hAnsi="Arial"/>
                <w:sz w:val="20"/>
                <w:szCs w:val="20"/>
              </w:rPr>
            </w:pPr>
            <w:r w:rsidRPr="00BD77D8">
              <w:rPr>
                <w:rFonts w:ascii="Arial" w:hAnsi="Arial"/>
                <w:sz w:val="20"/>
                <w:szCs w:val="20"/>
              </w:rPr>
              <w:t>$300</w:t>
            </w:r>
            <w:r w:rsidR="00460600" w:rsidRPr="00BD77D8">
              <w:rPr>
                <w:rFonts w:ascii="Arial" w:hAnsi="Arial"/>
                <w:sz w:val="20"/>
                <w:szCs w:val="20"/>
              </w:rPr>
              <w:t xml:space="preserve"> (Member fee)</w:t>
            </w:r>
          </w:p>
          <w:p w14:paraId="01B7E4D0" w14:textId="3E676FA3" w:rsidR="00C77E32" w:rsidRPr="00BD77D8" w:rsidRDefault="00C77E32" w:rsidP="00C77E32">
            <w:pPr>
              <w:spacing w:after="0" w:line="240" w:lineRule="auto"/>
              <w:rPr>
                <w:rFonts w:ascii="Arial" w:hAnsi="Arial"/>
                <w:sz w:val="20"/>
                <w:szCs w:val="20"/>
              </w:rPr>
            </w:pPr>
            <w:r w:rsidRPr="00BD77D8">
              <w:rPr>
                <w:rFonts w:ascii="Arial" w:hAnsi="Arial"/>
                <w:sz w:val="20"/>
                <w:szCs w:val="20"/>
              </w:rPr>
              <w:t>50% fees</w:t>
            </w:r>
            <w:r w:rsidR="00460600" w:rsidRPr="00BD77D8">
              <w:rPr>
                <w:rFonts w:ascii="Arial" w:hAnsi="Arial"/>
                <w:sz w:val="20"/>
                <w:szCs w:val="20"/>
              </w:rPr>
              <w:t xml:space="preserve"> for pre-brief meetings &amp; workshops under</w:t>
            </w:r>
            <w:r w:rsidRPr="00BD77D8">
              <w:rPr>
                <w:rFonts w:ascii="Arial" w:hAnsi="Arial"/>
                <w:sz w:val="20"/>
                <w:szCs w:val="20"/>
              </w:rPr>
              <w:t xml:space="preserve"> 4 hours</w:t>
            </w:r>
          </w:p>
        </w:tc>
        <w:tc>
          <w:tcPr>
            <w:tcW w:w="1417" w:type="dxa"/>
            <w:tcBorders>
              <w:top w:val="single" w:sz="4" w:space="0" w:color="auto"/>
              <w:left w:val="single" w:sz="4" w:space="0" w:color="auto"/>
              <w:bottom w:val="single" w:sz="4" w:space="0" w:color="auto"/>
              <w:right w:val="single" w:sz="4" w:space="0" w:color="auto"/>
            </w:tcBorders>
          </w:tcPr>
          <w:p w14:paraId="06D1A003"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32F43928" w14:textId="01565887" w:rsidR="00C77E32" w:rsidRPr="00BD77D8" w:rsidRDefault="003B1A2C"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4</w:t>
            </w:r>
            <w:r w:rsidRPr="00BD77D8">
              <w:rPr>
                <w:rFonts w:ascii="Arial" w:hAnsi="Arial"/>
                <w:sz w:val="20"/>
                <w:szCs w:val="20"/>
              </w:rPr>
              <w:t>,</w:t>
            </w:r>
            <w:r w:rsidR="00460600" w:rsidRPr="00BD77D8">
              <w:rPr>
                <w:rFonts w:ascii="Arial" w:hAnsi="Arial"/>
                <w:sz w:val="20"/>
                <w:szCs w:val="20"/>
              </w:rPr>
              <w:t>770</w:t>
            </w:r>
            <w:r w:rsidR="00460600" w:rsidRPr="00BD77D8">
              <w:rPr>
                <w:rFonts w:ascii="Arial" w:hAnsi="Arial"/>
                <w:sz w:val="20"/>
                <w:szCs w:val="20"/>
                <w:vertAlign w:val="superscript"/>
              </w:rPr>
              <w:t>2</w:t>
            </w:r>
          </w:p>
          <w:p w14:paraId="5E41887D" w14:textId="77777777" w:rsidR="00C77E32" w:rsidRPr="00BD77D8" w:rsidRDefault="00C77E32" w:rsidP="00C77E32">
            <w:pPr>
              <w:spacing w:after="0" w:line="240" w:lineRule="auto"/>
              <w:rPr>
                <w:rFonts w:ascii="Arial" w:hAnsi="Arial"/>
                <w:sz w:val="20"/>
                <w:szCs w:val="20"/>
              </w:rPr>
            </w:pPr>
          </w:p>
        </w:tc>
      </w:tr>
      <w:tr w:rsidR="00BD77D8" w:rsidRPr="00BD77D8" w14:paraId="2CC54C2F" w14:textId="77777777" w:rsidTr="002704E5">
        <w:tc>
          <w:tcPr>
            <w:tcW w:w="1980" w:type="dxa"/>
            <w:tcBorders>
              <w:top w:val="single" w:sz="4" w:space="0" w:color="auto"/>
              <w:left w:val="single" w:sz="4" w:space="0" w:color="auto"/>
              <w:bottom w:val="single" w:sz="4" w:space="0" w:color="auto"/>
              <w:right w:val="single" w:sz="4" w:space="0" w:color="auto"/>
            </w:tcBorders>
          </w:tcPr>
          <w:p w14:paraId="03E35B49"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4431AC8D"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Michelle </w:t>
            </w:r>
            <w:proofErr w:type="spellStart"/>
            <w:r w:rsidRPr="00BD77D8">
              <w:rPr>
                <w:rFonts w:ascii="Arial" w:hAnsi="Arial"/>
                <w:sz w:val="20"/>
                <w:szCs w:val="20"/>
              </w:rPr>
              <w:t>Deshong</w:t>
            </w:r>
            <w:proofErr w:type="spellEnd"/>
          </w:p>
        </w:tc>
        <w:tc>
          <w:tcPr>
            <w:tcW w:w="2009" w:type="dxa"/>
            <w:tcBorders>
              <w:top w:val="single" w:sz="4" w:space="0" w:color="auto"/>
              <w:left w:val="single" w:sz="4" w:space="0" w:color="auto"/>
              <w:bottom w:val="single" w:sz="4" w:space="0" w:color="auto"/>
              <w:right w:val="single" w:sz="4" w:space="0" w:color="auto"/>
            </w:tcBorders>
          </w:tcPr>
          <w:p w14:paraId="0EEB2A93" w14:textId="6CC8F2D2" w:rsidR="00460600" w:rsidRPr="00BD77D8" w:rsidRDefault="00460600" w:rsidP="00460600">
            <w:pPr>
              <w:spacing w:after="80" w:line="240" w:lineRule="auto"/>
              <w:rPr>
                <w:rFonts w:ascii="Arial" w:hAnsi="Arial"/>
                <w:sz w:val="20"/>
                <w:szCs w:val="20"/>
              </w:rPr>
            </w:pPr>
            <w:r w:rsidRPr="00BD77D8">
              <w:rPr>
                <w:rFonts w:ascii="Arial" w:hAnsi="Arial"/>
                <w:sz w:val="20"/>
                <w:szCs w:val="20"/>
              </w:rPr>
              <w:t>1 JCC Meeting</w:t>
            </w:r>
          </w:p>
          <w:p w14:paraId="6ECD08DD"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1 meeting as co-chair</w:t>
            </w:r>
          </w:p>
          <w:p w14:paraId="4ADA00B8"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3 additional sessions as co-chair (pre-brief, meeting prep, and workshop)</w:t>
            </w:r>
          </w:p>
          <w:p w14:paraId="5F870124" w14:textId="285A6531" w:rsidR="00C77E32" w:rsidRPr="00BD77D8" w:rsidRDefault="00460600" w:rsidP="00460600">
            <w:pPr>
              <w:spacing w:after="80" w:line="240" w:lineRule="auto"/>
              <w:rPr>
                <w:rFonts w:ascii="Arial" w:hAnsi="Arial"/>
                <w:sz w:val="20"/>
                <w:szCs w:val="20"/>
              </w:rPr>
            </w:pPr>
            <w:r w:rsidRPr="00BD77D8">
              <w:rPr>
                <w:rFonts w:ascii="Arial" w:hAnsi="Arial"/>
                <w:sz w:val="20"/>
                <w:szCs w:val="20"/>
              </w:rPr>
              <w:t>1 additional session as member (additional work (community-members workshop)</w:t>
            </w:r>
          </w:p>
        </w:tc>
        <w:tc>
          <w:tcPr>
            <w:tcW w:w="1818" w:type="dxa"/>
            <w:tcBorders>
              <w:top w:val="single" w:sz="4" w:space="0" w:color="auto"/>
              <w:left w:val="single" w:sz="4" w:space="0" w:color="auto"/>
              <w:bottom w:val="single" w:sz="4" w:space="0" w:color="auto"/>
              <w:right w:val="single" w:sz="4" w:space="0" w:color="auto"/>
            </w:tcBorders>
          </w:tcPr>
          <w:p w14:paraId="6F423054" w14:textId="77777777" w:rsidR="0030478B" w:rsidRPr="00BD77D8" w:rsidRDefault="00460600" w:rsidP="0030478B">
            <w:pPr>
              <w:spacing w:after="120" w:line="240" w:lineRule="auto"/>
              <w:rPr>
                <w:rFonts w:ascii="Arial" w:hAnsi="Arial"/>
                <w:sz w:val="20"/>
                <w:szCs w:val="20"/>
              </w:rPr>
            </w:pPr>
            <w:r w:rsidRPr="00BD77D8">
              <w:rPr>
                <w:rFonts w:ascii="Arial" w:hAnsi="Arial"/>
                <w:sz w:val="20"/>
                <w:szCs w:val="20"/>
              </w:rPr>
              <w:t>$390 (Co-Chair fee)</w:t>
            </w:r>
          </w:p>
          <w:p w14:paraId="467C209D" w14:textId="637F70A4" w:rsidR="00460600" w:rsidRPr="00BD77D8" w:rsidRDefault="00460600" w:rsidP="0030478B">
            <w:pPr>
              <w:spacing w:after="120" w:line="240" w:lineRule="auto"/>
              <w:rPr>
                <w:rFonts w:ascii="Arial" w:hAnsi="Arial"/>
                <w:sz w:val="20"/>
                <w:szCs w:val="20"/>
              </w:rPr>
            </w:pPr>
            <w:r w:rsidRPr="00BD77D8">
              <w:rPr>
                <w:rFonts w:ascii="Arial" w:hAnsi="Arial"/>
                <w:sz w:val="20"/>
                <w:szCs w:val="20"/>
              </w:rPr>
              <w:t>$300 (Member fee)</w:t>
            </w:r>
          </w:p>
          <w:p w14:paraId="5943B026" w14:textId="711B7C4A" w:rsidR="00C77E32" w:rsidRPr="00BD77D8" w:rsidRDefault="00460600" w:rsidP="00460600">
            <w:pPr>
              <w:spacing w:after="0" w:line="240" w:lineRule="auto"/>
              <w:rPr>
                <w:rFonts w:ascii="Arial" w:hAnsi="Arial"/>
                <w:sz w:val="20"/>
                <w:szCs w:val="20"/>
              </w:rPr>
            </w:pPr>
            <w:r w:rsidRPr="00BD77D8">
              <w:rPr>
                <w:rFonts w:ascii="Arial" w:hAnsi="Arial"/>
                <w:sz w:val="20"/>
                <w:szCs w:val="20"/>
              </w:rPr>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14C97521"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F9F25DE" w14:textId="6A650600" w:rsidR="00C77E32" w:rsidRPr="00BD77D8" w:rsidRDefault="003B1A2C"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930</w:t>
            </w:r>
          </w:p>
          <w:p w14:paraId="677C75EF" w14:textId="77777777" w:rsidR="00C77E32" w:rsidRPr="00BD77D8" w:rsidRDefault="00C77E32" w:rsidP="00C77E32">
            <w:pPr>
              <w:spacing w:after="0" w:line="240" w:lineRule="auto"/>
              <w:rPr>
                <w:rFonts w:ascii="Arial" w:hAnsi="Arial"/>
                <w:sz w:val="20"/>
                <w:szCs w:val="20"/>
              </w:rPr>
            </w:pPr>
          </w:p>
        </w:tc>
      </w:tr>
      <w:tr w:rsidR="00BD77D8" w:rsidRPr="00BD77D8" w14:paraId="49F1763A" w14:textId="77777777" w:rsidTr="002704E5">
        <w:trPr>
          <w:trHeight w:val="1109"/>
        </w:trPr>
        <w:tc>
          <w:tcPr>
            <w:tcW w:w="1980" w:type="dxa"/>
            <w:tcBorders>
              <w:top w:val="single" w:sz="4" w:space="0" w:color="auto"/>
              <w:left w:val="single" w:sz="4" w:space="0" w:color="auto"/>
              <w:bottom w:val="single" w:sz="4" w:space="0" w:color="auto"/>
              <w:right w:val="single" w:sz="4" w:space="0" w:color="auto"/>
            </w:tcBorders>
          </w:tcPr>
          <w:p w14:paraId="2808724E"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6715DBE5"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 xml:space="preserve">Susan </w:t>
            </w:r>
            <w:proofErr w:type="spellStart"/>
            <w:r w:rsidRPr="00BD77D8">
              <w:rPr>
                <w:rFonts w:ascii="Arial" w:hAnsi="Arial"/>
                <w:sz w:val="20"/>
                <w:szCs w:val="20"/>
              </w:rPr>
              <w:t>Sewter</w:t>
            </w:r>
            <w:proofErr w:type="spellEnd"/>
          </w:p>
        </w:tc>
        <w:tc>
          <w:tcPr>
            <w:tcW w:w="2009" w:type="dxa"/>
            <w:tcBorders>
              <w:top w:val="single" w:sz="4" w:space="0" w:color="auto"/>
              <w:left w:val="single" w:sz="4" w:space="0" w:color="auto"/>
              <w:bottom w:val="single" w:sz="4" w:space="0" w:color="auto"/>
              <w:right w:val="single" w:sz="4" w:space="0" w:color="auto"/>
            </w:tcBorders>
          </w:tcPr>
          <w:p w14:paraId="14281562" w14:textId="11C7711E" w:rsidR="00460600" w:rsidRPr="00BD77D8" w:rsidRDefault="00460600" w:rsidP="00460600">
            <w:pPr>
              <w:spacing w:after="80" w:line="240" w:lineRule="auto"/>
              <w:rPr>
                <w:rFonts w:ascii="Arial" w:hAnsi="Arial"/>
                <w:sz w:val="20"/>
                <w:szCs w:val="20"/>
              </w:rPr>
            </w:pPr>
            <w:r w:rsidRPr="00BD77D8">
              <w:rPr>
                <w:rFonts w:ascii="Arial" w:hAnsi="Arial"/>
                <w:sz w:val="20"/>
                <w:szCs w:val="20"/>
              </w:rPr>
              <w:t>2 JCC Meetings</w:t>
            </w:r>
          </w:p>
          <w:p w14:paraId="60C913BC"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2 meetings as a member</w:t>
            </w:r>
          </w:p>
          <w:p w14:paraId="30DFA6C9" w14:textId="7FBA03D4" w:rsidR="00C77E32" w:rsidRPr="00BD77D8" w:rsidRDefault="00460600" w:rsidP="00460600">
            <w:pPr>
              <w:spacing w:after="80" w:line="240" w:lineRule="auto"/>
              <w:rPr>
                <w:rFonts w:ascii="Arial" w:hAnsi="Arial"/>
                <w:sz w:val="20"/>
                <w:szCs w:val="20"/>
              </w:rPr>
            </w:pPr>
            <w:r w:rsidRPr="00BD77D8">
              <w:rPr>
                <w:rFonts w:ascii="Arial" w:hAnsi="Arial"/>
                <w:sz w:val="20"/>
                <w:szCs w:val="20"/>
              </w:rPr>
              <w:t>4 additional sessions as member (workshops &amp; meeting prep)</w:t>
            </w:r>
          </w:p>
        </w:tc>
        <w:tc>
          <w:tcPr>
            <w:tcW w:w="1818" w:type="dxa"/>
            <w:tcBorders>
              <w:top w:val="single" w:sz="4" w:space="0" w:color="auto"/>
              <w:left w:val="single" w:sz="4" w:space="0" w:color="auto"/>
              <w:bottom w:val="single" w:sz="4" w:space="0" w:color="auto"/>
              <w:right w:val="single" w:sz="4" w:space="0" w:color="auto"/>
            </w:tcBorders>
          </w:tcPr>
          <w:p w14:paraId="21A805CF" w14:textId="294682FB" w:rsidR="00460600" w:rsidRPr="00BD77D8" w:rsidRDefault="00460600" w:rsidP="0030478B">
            <w:pPr>
              <w:spacing w:after="120" w:line="240" w:lineRule="auto"/>
              <w:rPr>
                <w:rFonts w:ascii="Arial" w:hAnsi="Arial"/>
                <w:sz w:val="20"/>
                <w:szCs w:val="20"/>
              </w:rPr>
            </w:pPr>
            <w:r w:rsidRPr="00BD77D8">
              <w:rPr>
                <w:rFonts w:ascii="Arial" w:hAnsi="Arial"/>
                <w:sz w:val="20"/>
                <w:szCs w:val="20"/>
              </w:rPr>
              <w:t xml:space="preserve">$300 (Member fee) </w:t>
            </w:r>
          </w:p>
          <w:p w14:paraId="0F0E2EE3" w14:textId="7AAB88B2" w:rsidR="00C77E32" w:rsidRPr="00BD77D8" w:rsidRDefault="00460600" w:rsidP="00460600">
            <w:pPr>
              <w:spacing w:after="0" w:line="240" w:lineRule="auto"/>
              <w:rPr>
                <w:rFonts w:ascii="Arial" w:hAnsi="Arial"/>
                <w:sz w:val="20"/>
                <w:szCs w:val="20"/>
              </w:rPr>
            </w:pPr>
            <w:r w:rsidRPr="00BD77D8">
              <w:rPr>
                <w:rFonts w:ascii="Arial" w:hAnsi="Arial"/>
                <w:sz w:val="20"/>
                <w:szCs w:val="20"/>
              </w:rPr>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2E2960FB"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47A3E9A" w14:textId="08F53265" w:rsidR="00C77E32" w:rsidRPr="00BD77D8" w:rsidRDefault="00C77E32"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1</w:t>
            </w:r>
            <w:r w:rsidR="003B1A2C" w:rsidRPr="00BD77D8">
              <w:rPr>
                <w:rFonts w:ascii="Arial" w:hAnsi="Arial"/>
                <w:sz w:val="20"/>
                <w:szCs w:val="20"/>
              </w:rPr>
              <w:t>,</w:t>
            </w:r>
            <w:r w:rsidR="00460600" w:rsidRPr="00BD77D8">
              <w:rPr>
                <w:rFonts w:ascii="Arial" w:hAnsi="Arial"/>
                <w:sz w:val="20"/>
                <w:szCs w:val="20"/>
              </w:rPr>
              <w:t>050</w:t>
            </w:r>
          </w:p>
          <w:p w14:paraId="60C03D03" w14:textId="77777777" w:rsidR="00C77E32" w:rsidRPr="00BD77D8" w:rsidRDefault="00C77E32" w:rsidP="00C77E32">
            <w:pPr>
              <w:spacing w:after="0" w:line="240" w:lineRule="auto"/>
              <w:rPr>
                <w:rFonts w:ascii="Arial" w:hAnsi="Arial"/>
                <w:sz w:val="20"/>
                <w:szCs w:val="20"/>
              </w:rPr>
            </w:pPr>
          </w:p>
        </w:tc>
      </w:tr>
      <w:tr w:rsidR="00BD77D8" w:rsidRPr="00BD77D8" w14:paraId="4AB4EE05" w14:textId="77777777" w:rsidTr="002704E5">
        <w:tc>
          <w:tcPr>
            <w:tcW w:w="1980" w:type="dxa"/>
            <w:tcBorders>
              <w:top w:val="single" w:sz="4" w:space="0" w:color="auto"/>
              <w:left w:val="single" w:sz="4" w:space="0" w:color="auto"/>
              <w:bottom w:val="single" w:sz="4" w:space="0" w:color="auto"/>
              <w:right w:val="single" w:sz="4" w:space="0" w:color="auto"/>
            </w:tcBorders>
          </w:tcPr>
          <w:p w14:paraId="4F517C9D"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0426824F"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t>Michael Bond</w:t>
            </w:r>
          </w:p>
        </w:tc>
        <w:tc>
          <w:tcPr>
            <w:tcW w:w="2009" w:type="dxa"/>
            <w:tcBorders>
              <w:top w:val="single" w:sz="4" w:space="0" w:color="auto"/>
              <w:left w:val="single" w:sz="4" w:space="0" w:color="auto"/>
              <w:bottom w:val="single" w:sz="4" w:space="0" w:color="auto"/>
              <w:right w:val="single" w:sz="4" w:space="0" w:color="auto"/>
            </w:tcBorders>
          </w:tcPr>
          <w:p w14:paraId="09764786" w14:textId="3420CC3C" w:rsidR="00460600" w:rsidRPr="00BD77D8" w:rsidRDefault="00460600" w:rsidP="00460600">
            <w:pPr>
              <w:spacing w:after="80" w:line="240" w:lineRule="auto"/>
              <w:rPr>
                <w:rFonts w:ascii="Arial" w:hAnsi="Arial"/>
                <w:sz w:val="20"/>
                <w:szCs w:val="20"/>
              </w:rPr>
            </w:pPr>
            <w:r w:rsidRPr="00BD77D8">
              <w:rPr>
                <w:rFonts w:ascii="Arial" w:hAnsi="Arial"/>
                <w:sz w:val="20"/>
                <w:szCs w:val="20"/>
              </w:rPr>
              <w:t>1 (JCC meeting)</w:t>
            </w:r>
          </w:p>
          <w:p w14:paraId="19A2884B"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1 meeting as a co-chair</w:t>
            </w:r>
          </w:p>
          <w:p w14:paraId="6D31ED1A" w14:textId="6C8E3A81" w:rsidR="00C77E32" w:rsidRPr="00BD77D8" w:rsidRDefault="00460600" w:rsidP="00460600">
            <w:pPr>
              <w:spacing w:after="80" w:line="240" w:lineRule="auto"/>
              <w:rPr>
                <w:rFonts w:ascii="Arial" w:hAnsi="Arial"/>
                <w:sz w:val="20"/>
                <w:szCs w:val="20"/>
              </w:rPr>
            </w:pPr>
            <w:r w:rsidRPr="00BD77D8">
              <w:rPr>
                <w:rFonts w:ascii="Arial" w:hAnsi="Arial"/>
                <w:sz w:val="20"/>
                <w:szCs w:val="20"/>
              </w:rPr>
              <w:t>3 additional sessions as co-</w:t>
            </w:r>
            <w:r w:rsidRPr="00BD77D8">
              <w:rPr>
                <w:rFonts w:ascii="Arial" w:hAnsi="Arial"/>
                <w:sz w:val="20"/>
                <w:szCs w:val="20"/>
              </w:rPr>
              <w:lastRenderedPageBreak/>
              <w:t>chair (workshops, pre-brief and additional work)</w:t>
            </w:r>
          </w:p>
        </w:tc>
        <w:tc>
          <w:tcPr>
            <w:tcW w:w="1818" w:type="dxa"/>
            <w:tcBorders>
              <w:top w:val="single" w:sz="4" w:space="0" w:color="auto"/>
              <w:left w:val="single" w:sz="4" w:space="0" w:color="auto"/>
              <w:bottom w:val="single" w:sz="4" w:space="0" w:color="auto"/>
              <w:right w:val="single" w:sz="4" w:space="0" w:color="auto"/>
            </w:tcBorders>
          </w:tcPr>
          <w:p w14:paraId="0E302B5C" w14:textId="4842667C" w:rsidR="00460600" w:rsidRPr="00BD77D8" w:rsidRDefault="00460600" w:rsidP="0030478B">
            <w:pPr>
              <w:spacing w:after="120" w:line="240" w:lineRule="auto"/>
              <w:rPr>
                <w:rFonts w:ascii="Arial" w:hAnsi="Arial"/>
                <w:sz w:val="20"/>
                <w:szCs w:val="20"/>
              </w:rPr>
            </w:pPr>
            <w:r w:rsidRPr="00BD77D8">
              <w:rPr>
                <w:rFonts w:ascii="Arial" w:hAnsi="Arial"/>
                <w:sz w:val="20"/>
                <w:szCs w:val="20"/>
              </w:rPr>
              <w:lastRenderedPageBreak/>
              <w:t>$390 (Co-Chair fee)</w:t>
            </w:r>
          </w:p>
          <w:p w14:paraId="68FC2AF5" w14:textId="77777777" w:rsidR="00460600" w:rsidRPr="00BD77D8" w:rsidRDefault="00460600" w:rsidP="0030478B">
            <w:pPr>
              <w:spacing w:after="120" w:line="240" w:lineRule="auto"/>
              <w:rPr>
                <w:rFonts w:ascii="Arial" w:hAnsi="Arial"/>
                <w:sz w:val="20"/>
                <w:szCs w:val="20"/>
              </w:rPr>
            </w:pPr>
            <w:r w:rsidRPr="00BD77D8">
              <w:rPr>
                <w:rFonts w:ascii="Arial" w:hAnsi="Arial"/>
                <w:sz w:val="20"/>
                <w:szCs w:val="20"/>
              </w:rPr>
              <w:t xml:space="preserve">$300.00 (Member fee) </w:t>
            </w:r>
          </w:p>
          <w:p w14:paraId="2F61FF9F" w14:textId="7969B8A3" w:rsidR="00C77E32" w:rsidRPr="00BD77D8" w:rsidRDefault="00460600" w:rsidP="00460600">
            <w:pPr>
              <w:spacing w:after="0" w:line="240" w:lineRule="auto"/>
              <w:rPr>
                <w:rFonts w:ascii="Arial" w:hAnsi="Arial"/>
                <w:sz w:val="20"/>
                <w:szCs w:val="20"/>
              </w:rPr>
            </w:pPr>
            <w:r w:rsidRPr="00BD77D8">
              <w:rPr>
                <w:rFonts w:ascii="Arial" w:hAnsi="Arial"/>
                <w:sz w:val="20"/>
                <w:szCs w:val="20"/>
              </w:rPr>
              <w:lastRenderedPageBreak/>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5D98564B" w14:textId="77777777" w:rsidR="00C77E32" w:rsidRPr="00BD77D8" w:rsidRDefault="00C77E32" w:rsidP="00C77E32">
            <w:pPr>
              <w:spacing w:after="0" w:line="240" w:lineRule="auto"/>
              <w:rPr>
                <w:rFonts w:ascii="Arial" w:hAnsi="Arial"/>
                <w:sz w:val="20"/>
                <w:szCs w:val="20"/>
              </w:rPr>
            </w:pPr>
            <w:r w:rsidRPr="00BD77D8">
              <w:rPr>
                <w:rFonts w:ascii="Arial" w:hAnsi="Arial"/>
                <w:sz w:val="20"/>
                <w:szCs w:val="20"/>
              </w:rPr>
              <w:lastRenderedPageBreak/>
              <w:t>N/A</w:t>
            </w:r>
          </w:p>
        </w:tc>
        <w:tc>
          <w:tcPr>
            <w:tcW w:w="1418" w:type="dxa"/>
            <w:tcBorders>
              <w:top w:val="single" w:sz="4" w:space="0" w:color="auto"/>
              <w:left w:val="single" w:sz="4" w:space="0" w:color="auto"/>
              <w:bottom w:val="single" w:sz="4" w:space="0" w:color="auto"/>
              <w:right w:val="single" w:sz="4" w:space="0" w:color="auto"/>
            </w:tcBorders>
          </w:tcPr>
          <w:p w14:paraId="38336BCA" w14:textId="4DB68279" w:rsidR="00C77E32" w:rsidRPr="00BD77D8" w:rsidRDefault="00C77E32" w:rsidP="00C77E32">
            <w:pPr>
              <w:spacing w:after="0" w:line="240" w:lineRule="auto"/>
              <w:rPr>
                <w:rFonts w:ascii="Arial" w:hAnsi="Arial"/>
                <w:sz w:val="20"/>
                <w:szCs w:val="20"/>
              </w:rPr>
            </w:pPr>
            <w:r w:rsidRPr="00BD77D8">
              <w:rPr>
                <w:rFonts w:ascii="Arial" w:hAnsi="Arial"/>
                <w:sz w:val="20"/>
                <w:szCs w:val="20"/>
              </w:rPr>
              <w:t>$</w:t>
            </w:r>
            <w:r w:rsidR="00460600" w:rsidRPr="00BD77D8">
              <w:rPr>
                <w:rFonts w:ascii="Arial" w:hAnsi="Arial"/>
                <w:sz w:val="20"/>
                <w:szCs w:val="20"/>
              </w:rPr>
              <w:t>780</w:t>
            </w:r>
          </w:p>
          <w:p w14:paraId="27BAF77B" w14:textId="77777777" w:rsidR="00C77E32" w:rsidRPr="00BD77D8" w:rsidRDefault="00C77E32" w:rsidP="00C77E32">
            <w:pPr>
              <w:spacing w:after="0" w:line="240" w:lineRule="auto"/>
              <w:rPr>
                <w:rFonts w:ascii="Arial" w:hAnsi="Arial"/>
                <w:sz w:val="20"/>
                <w:szCs w:val="20"/>
              </w:rPr>
            </w:pPr>
          </w:p>
        </w:tc>
      </w:tr>
      <w:bookmarkEnd w:id="341"/>
      <w:tr w:rsidR="00BD77D8" w:rsidRPr="00BD77D8" w14:paraId="0ADD64FF" w14:textId="77777777" w:rsidTr="002704E5">
        <w:tc>
          <w:tcPr>
            <w:tcW w:w="1980" w:type="dxa"/>
            <w:tcBorders>
              <w:top w:val="single" w:sz="4" w:space="0" w:color="auto"/>
              <w:left w:val="single" w:sz="4" w:space="0" w:color="auto"/>
              <w:bottom w:val="single" w:sz="4" w:space="0" w:color="auto"/>
              <w:right w:val="single" w:sz="4" w:space="0" w:color="auto"/>
            </w:tcBorders>
          </w:tcPr>
          <w:p w14:paraId="0582DD28" w14:textId="3361401D" w:rsidR="00460600" w:rsidRPr="00BD77D8" w:rsidRDefault="00460600" w:rsidP="00460600">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086AFEE8" w14:textId="34E557DA" w:rsidR="00460600" w:rsidRPr="00BD77D8" w:rsidRDefault="00460600" w:rsidP="00460600">
            <w:pPr>
              <w:spacing w:after="0" w:line="240" w:lineRule="auto"/>
              <w:rPr>
                <w:rFonts w:ascii="Arial" w:hAnsi="Arial"/>
                <w:sz w:val="20"/>
                <w:szCs w:val="20"/>
              </w:rPr>
            </w:pPr>
            <w:proofErr w:type="spellStart"/>
            <w:r w:rsidRPr="00BD77D8">
              <w:rPr>
                <w:rFonts w:ascii="Arial" w:hAnsi="Arial"/>
                <w:sz w:val="20"/>
                <w:szCs w:val="20"/>
              </w:rPr>
              <w:t>Zhanae</w:t>
            </w:r>
            <w:proofErr w:type="spellEnd"/>
            <w:r w:rsidRPr="00BD77D8">
              <w:rPr>
                <w:rFonts w:ascii="Arial" w:hAnsi="Arial"/>
                <w:sz w:val="20"/>
                <w:szCs w:val="20"/>
              </w:rPr>
              <w:t xml:space="preserve"> Dodd</w:t>
            </w:r>
          </w:p>
        </w:tc>
        <w:tc>
          <w:tcPr>
            <w:tcW w:w="2009" w:type="dxa"/>
            <w:tcBorders>
              <w:top w:val="single" w:sz="4" w:space="0" w:color="auto"/>
              <w:left w:val="single" w:sz="4" w:space="0" w:color="auto"/>
              <w:bottom w:val="single" w:sz="4" w:space="0" w:color="auto"/>
              <w:right w:val="single" w:sz="4" w:space="0" w:color="auto"/>
            </w:tcBorders>
          </w:tcPr>
          <w:p w14:paraId="5D680C54" w14:textId="297FA5EC" w:rsidR="00460600" w:rsidRPr="00BD77D8" w:rsidRDefault="00460600" w:rsidP="00460600">
            <w:pPr>
              <w:spacing w:after="80" w:line="240" w:lineRule="auto"/>
              <w:rPr>
                <w:rFonts w:ascii="Arial" w:hAnsi="Arial"/>
                <w:sz w:val="20"/>
                <w:szCs w:val="20"/>
              </w:rPr>
            </w:pPr>
            <w:r w:rsidRPr="00BD77D8">
              <w:rPr>
                <w:rFonts w:ascii="Arial" w:hAnsi="Arial"/>
                <w:sz w:val="20"/>
                <w:szCs w:val="20"/>
              </w:rPr>
              <w:t>2 JCC meetings</w:t>
            </w:r>
          </w:p>
          <w:p w14:paraId="7BADCCF3" w14:textId="77777777" w:rsidR="00460600" w:rsidRPr="00BD77D8" w:rsidRDefault="00460600" w:rsidP="00460600">
            <w:pPr>
              <w:spacing w:after="80" w:line="240" w:lineRule="auto"/>
              <w:rPr>
                <w:rFonts w:ascii="Arial" w:hAnsi="Arial"/>
                <w:sz w:val="20"/>
                <w:szCs w:val="20"/>
              </w:rPr>
            </w:pPr>
            <w:r w:rsidRPr="00BD77D8">
              <w:rPr>
                <w:rFonts w:ascii="Arial" w:hAnsi="Arial"/>
                <w:sz w:val="20"/>
                <w:szCs w:val="20"/>
              </w:rPr>
              <w:t>2 meetings as a member</w:t>
            </w:r>
          </w:p>
          <w:p w14:paraId="0BC1C6AD" w14:textId="559C8FB2" w:rsidR="00460600" w:rsidRPr="00BD77D8" w:rsidRDefault="00460600" w:rsidP="00460600">
            <w:pPr>
              <w:spacing w:after="80" w:line="240" w:lineRule="auto"/>
              <w:rPr>
                <w:rFonts w:ascii="Arial" w:hAnsi="Arial"/>
                <w:sz w:val="20"/>
                <w:szCs w:val="20"/>
              </w:rPr>
            </w:pPr>
            <w:r w:rsidRPr="00BD77D8">
              <w:rPr>
                <w:rFonts w:ascii="Arial" w:hAnsi="Arial"/>
                <w:sz w:val="20"/>
                <w:szCs w:val="20"/>
              </w:rPr>
              <w:t>4 additional sessions as a member (workshops, pre-brief and additional work)</w:t>
            </w:r>
          </w:p>
        </w:tc>
        <w:tc>
          <w:tcPr>
            <w:tcW w:w="1818" w:type="dxa"/>
            <w:tcBorders>
              <w:top w:val="single" w:sz="4" w:space="0" w:color="auto"/>
              <w:left w:val="single" w:sz="4" w:space="0" w:color="auto"/>
              <w:bottom w:val="single" w:sz="4" w:space="0" w:color="auto"/>
              <w:right w:val="single" w:sz="4" w:space="0" w:color="auto"/>
            </w:tcBorders>
          </w:tcPr>
          <w:p w14:paraId="7C1C3F32" w14:textId="3306B731" w:rsidR="00460600" w:rsidRPr="00BD77D8" w:rsidRDefault="00460600" w:rsidP="0030478B">
            <w:pPr>
              <w:spacing w:after="120" w:line="240" w:lineRule="auto"/>
              <w:rPr>
                <w:rFonts w:ascii="Arial" w:hAnsi="Arial"/>
                <w:sz w:val="20"/>
                <w:szCs w:val="20"/>
              </w:rPr>
            </w:pPr>
            <w:r w:rsidRPr="00BD77D8">
              <w:rPr>
                <w:rFonts w:ascii="Arial" w:hAnsi="Arial"/>
                <w:sz w:val="20"/>
                <w:szCs w:val="20"/>
              </w:rPr>
              <w:t>$390 (Co-Chair fee)</w:t>
            </w:r>
          </w:p>
          <w:p w14:paraId="496CEAD8" w14:textId="757C9412" w:rsidR="00460600" w:rsidRPr="00BD77D8" w:rsidRDefault="00460600" w:rsidP="0030478B">
            <w:pPr>
              <w:spacing w:after="120" w:line="240" w:lineRule="auto"/>
              <w:rPr>
                <w:rFonts w:ascii="Arial" w:hAnsi="Arial"/>
                <w:sz w:val="20"/>
                <w:szCs w:val="20"/>
              </w:rPr>
            </w:pPr>
            <w:r w:rsidRPr="00BD77D8">
              <w:rPr>
                <w:rFonts w:ascii="Arial" w:hAnsi="Arial"/>
                <w:sz w:val="20"/>
                <w:szCs w:val="20"/>
              </w:rPr>
              <w:t xml:space="preserve">$300.00 (Member fee) </w:t>
            </w:r>
          </w:p>
          <w:p w14:paraId="23EF9DC3" w14:textId="62B15DEB" w:rsidR="00460600" w:rsidRPr="00BD77D8" w:rsidRDefault="00460600" w:rsidP="00460600">
            <w:pPr>
              <w:spacing w:after="0" w:line="240" w:lineRule="auto"/>
              <w:rPr>
                <w:rFonts w:ascii="Arial" w:hAnsi="Arial"/>
                <w:sz w:val="20"/>
                <w:szCs w:val="20"/>
              </w:rPr>
            </w:pPr>
            <w:r w:rsidRPr="00BD77D8">
              <w:rPr>
                <w:rFonts w:ascii="Arial" w:hAnsi="Arial"/>
                <w:sz w:val="20"/>
                <w:szCs w:val="20"/>
              </w:rPr>
              <w:t>50% fees for pre-brief meetings &amp; workshops under 4 hours</w:t>
            </w:r>
          </w:p>
        </w:tc>
        <w:tc>
          <w:tcPr>
            <w:tcW w:w="1417" w:type="dxa"/>
            <w:tcBorders>
              <w:top w:val="single" w:sz="4" w:space="0" w:color="auto"/>
              <w:left w:val="single" w:sz="4" w:space="0" w:color="auto"/>
              <w:bottom w:val="single" w:sz="4" w:space="0" w:color="auto"/>
              <w:right w:val="single" w:sz="4" w:space="0" w:color="auto"/>
            </w:tcBorders>
          </w:tcPr>
          <w:p w14:paraId="3A83FD2F" w14:textId="49FF70A6" w:rsidR="00460600" w:rsidRPr="00BD77D8" w:rsidRDefault="00460600" w:rsidP="00460600">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7494C884" w14:textId="6DB83EEF" w:rsidR="00460600" w:rsidRPr="00BD77D8" w:rsidRDefault="00460600" w:rsidP="00460600">
            <w:pPr>
              <w:spacing w:after="0" w:line="240" w:lineRule="auto"/>
              <w:rPr>
                <w:rFonts w:ascii="Arial" w:hAnsi="Arial"/>
                <w:sz w:val="20"/>
                <w:szCs w:val="20"/>
              </w:rPr>
            </w:pPr>
            <w:r w:rsidRPr="00BD77D8">
              <w:rPr>
                <w:rFonts w:ascii="Arial" w:hAnsi="Arial"/>
                <w:sz w:val="20"/>
                <w:szCs w:val="20"/>
              </w:rPr>
              <w:t>$1</w:t>
            </w:r>
            <w:r w:rsidR="003B1A2C" w:rsidRPr="00BD77D8">
              <w:rPr>
                <w:rFonts w:ascii="Arial" w:hAnsi="Arial"/>
                <w:sz w:val="20"/>
                <w:szCs w:val="20"/>
              </w:rPr>
              <w:t>,</w:t>
            </w:r>
            <w:r w:rsidRPr="00BD77D8">
              <w:rPr>
                <w:rFonts w:ascii="Arial" w:hAnsi="Arial"/>
                <w:sz w:val="20"/>
                <w:szCs w:val="20"/>
              </w:rPr>
              <w:t>650</w:t>
            </w:r>
            <w:r w:rsidR="00584C59" w:rsidRPr="00BD77D8">
              <w:rPr>
                <w:rFonts w:ascii="Arial" w:hAnsi="Arial"/>
                <w:sz w:val="20"/>
                <w:szCs w:val="20"/>
                <w:vertAlign w:val="superscript"/>
              </w:rPr>
              <w:t>3</w:t>
            </w:r>
          </w:p>
        </w:tc>
      </w:tr>
      <w:tr w:rsidR="00BD77D8" w:rsidRPr="00BD77D8" w14:paraId="371990D6" w14:textId="77777777" w:rsidTr="002704E5">
        <w:tc>
          <w:tcPr>
            <w:tcW w:w="1980" w:type="dxa"/>
            <w:tcBorders>
              <w:top w:val="single" w:sz="4" w:space="0" w:color="auto"/>
              <w:left w:val="single" w:sz="4" w:space="0" w:color="auto"/>
              <w:bottom w:val="single" w:sz="4" w:space="0" w:color="auto"/>
              <w:right w:val="single" w:sz="4" w:space="0" w:color="auto"/>
            </w:tcBorders>
          </w:tcPr>
          <w:p w14:paraId="3DA369F9" w14:textId="1CF0900A" w:rsidR="00584C59" w:rsidRPr="00BD77D8" w:rsidRDefault="00584C59" w:rsidP="00584C59">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41255BBC" w14:textId="53D29EE8"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Mayor </w:t>
            </w:r>
            <w:proofErr w:type="spellStart"/>
            <w:r w:rsidRPr="00BD77D8">
              <w:rPr>
                <w:rFonts w:ascii="Arial" w:hAnsi="Arial"/>
                <w:sz w:val="20"/>
                <w:szCs w:val="20"/>
              </w:rPr>
              <w:t>Mislam</w:t>
            </w:r>
            <w:proofErr w:type="spellEnd"/>
            <w:r w:rsidRPr="00BD77D8">
              <w:rPr>
                <w:rFonts w:ascii="Arial" w:hAnsi="Arial"/>
                <w:sz w:val="20"/>
                <w:szCs w:val="20"/>
              </w:rPr>
              <w:t xml:space="preserve"> Sam</w:t>
            </w:r>
          </w:p>
        </w:tc>
        <w:tc>
          <w:tcPr>
            <w:tcW w:w="2009" w:type="dxa"/>
            <w:tcBorders>
              <w:top w:val="single" w:sz="4" w:space="0" w:color="auto"/>
              <w:left w:val="single" w:sz="4" w:space="0" w:color="auto"/>
              <w:bottom w:val="single" w:sz="4" w:space="0" w:color="auto"/>
              <w:right w:val="single" w:sz="4" w:space="0" w:color="auto"/>
            </w:tcBorders>
          </w:tcPr>
          <w:p w14:paraId="52270ADD" w14:textId="4BB51ED4" w:rsidR="00584C59" w:rsidRPr="00BD77D8" w:rsidRDefault="00584C59" w:rsidP="00584C59">
            <w:pPr>
              <w:spacing w:after="80" w:line="240" w:lineRule="auto"/>
              <w:rPr>
                <w:rFonts w:ascii="Arial" w:hAnsi="Arial"/>
                <w:sz w:val="20"/>
                <w:szCs w:val="20"/>
              </w:rPr>
            </w:pPr>
            <w:r w:rsidRPr="00BD77D8">
              <w:rPr>
                <w:rFonts w:ascii="Arial" w:hAnsi="Arial"/>
                <w:sz w:val="20"/>
                <w:szCs w:val="20"/>
              </w:rPr>
              <w:t>3 JCC meetings</w:t>
            </w:r>
          </w:p>
          <w:p w14:paraId="513D12D0" w14:textId="77777777" w:rsidR="00584C59" w:rsidRPr="00BD77D8" w:rsidRDefault="00584C59" w:rsidP="00584C59">
            <w:pPr>
              <w:spacing w:after="80" w:line="240" w:lineRule="auto"/>
              <w:rPr>
                <w:rFonts w:ascii="Arial" w:hAnsi="Arial"/>
                <w:sz w:val="20"/>
                <w:szCs w:val="20"/>
              </w:rPr>
            </w:pPr>
          </w:p>
        </w:tc>
        <w:tc>
          <w:tcPr>
            <w:tcW w:w="1818" w:type="dxa"/>
            <w:tcBorders>
              <w:top w:val="single" w:sz="4" w:space="0" w:color="auto"/>
              <w:left w:val="single" w:sz="4" w:space="0" w:color="auto"/>
              <w:bottom w:val="single" w:sz="4" w:space="0" w:color="auto"/>
              <w:right w:val="single" w:sz="4" w:space="0" w:color="auto"/>
            </w:tcBorders>
          </w:tcPr>
          <w:p w14:paraId="2F079566" w14:textId="3ED89F4B"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50FB29BE" w14:textId="1763E660"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4E7D46FF" w14:textId="6E89BA74"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000662DE" w14:textId="77777777" w:rsidTr="002704E5">
        <w:tc>
          <w:tcPr>
            <w:tcW w:w="1980" w:type="dxa"/>
            <w:tcBorders>
              <w:top w:val="single" w:sz="4" w:space="0" w:color="auto"/>
              <w:left w:val="single" w:sz="4" w:space="0" w:color="auto"/>
              <w:bottom w:val="single" w:sz="4" w:space="0" w:color="auto"/>
              <w:right w:val="single" w:sz="4" w:space="0" w:color="auto"/>
            </w:tcBorders>
          </w:tcPr>
          <w:p w14:paraId="43DE3418" w14:textId="34C2DC38"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Member </w:t>
            </w:r>
          </w:p>
        </w:tc>
        <w:tc>
          <w:tcPr>
            <w:tcW w:w="1843" w:type="dxa"/>
            <w:tcBorders>
              <w:top w:val="single" w:sz="4" w:space="0" w:color="auto"/>
              <w:left w:val="single" w:sz="4" w:space="0" w:color="auto"/>
              <w:bottom w:val="single" w:sz="4" w:space="0" w:color="auto"/>
              <w:right w:val="single" w:sz="4" w:space="0" w:color="auto"/>
            </w:tcBorders>
          </w:tcPr>
          <w:p w14:paraId="3E8151D7" w14:textId="32870F5C" w:rsidR="00584C59" w:rsidRPr="00BD77D8" w:rsidRDefault="00584C59" w:rsidP="00584C59">
            <w:pPr>
              <w:spacing w:after="0" w:line="240" w:lineRule="auto"/>
              <w:rPr>
                <w:rFonts w:ascii="Arial" w:hAnsi="Arial"/>
                <w:sz w:val="20"/>
                <w:szCs w:val="20"/>
              </w:rPr>
            </w:pPr>
            <w:r w:rsidRPr="00BD77D8">
              <w:rPr>
                <w:rFonts w:ascii="Arial" w:hAnsi="Arial"/>
                <w:sz w:val="20"/>
                <w:szCs w:val="20"/>
              </w:rPr>
              <w:t>Mayor Joshua Weasel</w:t>
            </w:r>
          </w:p>
        </w:tc>
        <w:tc>
          <w:tcPr>
            <w:tcW w:w="2009" w:type="dxa"/>
            <w:tcBorders>
              <w:top w:val="single" w:sz="4" w:space="0" w:color="auto"/>
              <w:left w:val="single" w:sz="4" w:space="0" w:color="auto"/>
              <w:bottom w:val="single" w:sz="4" w:space="0" w:color="auto"/>
              <w:right w:val="single" w:sz="4" w:space="0" w:color="auto"/>
            </w:tcBorders>
          </w:tcPr>
          <w:p w14:paraId="022D7CC7" w14:textId="24C2C389" w:rsidR="00584C59" w:rsidRPr="00BD77D8" w:rsidRDefault="00584C59" w:rsidP="00584C59">
            <w:pPr>
              <w:spacing w:after="80" w:line="240" w:lineRule="auto"/>
              <w:rPr>
                <w:rFonts w:ascii="Arial" w:hAnsi="Arial"/>
                <w:sz w:val="20"/>
                <w:szCs w:val="20"/>
              </w:rPr>
            </w:pPr>
            <w:r w:rsidRPr="00BD77D8">
              <w:rPr>
                <w:rFonts w:ascii="Arial" w:hAnsi="Arial"/>
                <w:sz w:val="20"/>
                <w:szCs w:val="20"/>
              </w:rPr>
              <w:t>1 JCC meeting</w:t>
            </w:r>
          </w:p>
        </w:tc>
        <w:tc>
          <w:tcPr>
            <w:tcW w:w="1818" w:type="dxa"/>
            <w:tcBorders>
              <w:top w:val="single" w:sz="4" w:space="0" w:color="auto"/>
              <w:left w:val="single" w:sz="4" w:space="0" w:color="auto"/>
              <w:bottom w:val="single" w:sz="4" w:space="0" w:color="auto"/>
              <w:right w:val="single" w:sz="4" w:space="0" w:color="auto"/>
            </w:tcBorders>
          </w:tcPr>
          <w:p w14:paraId="26187F57" w14:textId="79B249EA"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14D9E40F" w14:textId="47CA9DEE"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60EC774" w14:textId="4319910C"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7D68EA12" w14:textId="77777777" w:rsidTr="002704E5">
        <w:tc>
          <w:tcPr>
            <w:tcW w:w="1980" w:type="dxa"/>
            <w:tcBorders>
              <w:top w:val="single" w:sz="4" w:space="0" w:color="auto"/>
              <w:left w:val="single" w:sz="4" w:space="0" w:color="auto"/>
              <w:bottom w:val="single" w:sz="4" w:space="0" w:color="auto"/>
              <w:right w:val="single" w:sz="4" w:space="0" w:color="auto"/>
            </w:tcBorders>
          </w:tcPr>
          <w:p w14:paraId="6E7903A0" w14:textId="46DE4E2E" w:rsidR="00584C59" w:rsidRPr="00BD77D8" w:rsidRDefault="00584C59" w:rsidP="00584C59">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338D1094" w14:textId="596A05DD"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Mayor Patricia </w:t>
            </w:r>
            <w:proofErr w:type="spellStart"/>
            <w:r w:rsidRPr="00BD77D8">
              <w:rPr>
                <w:rFonts w:ascii="Arial" w:hAnsi="Arial"/>
                <w:sz w:val="20"/>
                <w:szCs w:val="20"/>
              </w:rPr>
              <w:t>Yusia</w:t>
            </w:r>
            <w:proofErr w:type="spellEnd"/>
          </w:p>
        </w:tc>
        <w:tc>
          <w:tcPr>
            <w:tcW w:w="2009" w:type="dxa"/>
            <w:tcBorders>
              <w:top w:val="single" w:sz="4" w:space="0" w:color="auto"/>
              <w:left w:val="single" w:sz="4" w:space="0" w:color="auto"/>
              <w:bottom w:val="single" w:sz="4" w:space="0" w:color="auto"/>
              <w:right w:val="single" w:sz="4" w:space="0" w:color="auto"/>
            </w:tcBorders>
          </w:tcPr>
          <w:p w14:paraId="45C1D68E" w14:textId="15CE41E6" w:rsidR="00584C59" w:rsidRPr="00BD77D8" w:rsidRDefault="00584C59" w:rsidP="00584C59">
            <w:pPr>
              <w:spacing w:after="80" w:line="240" w:lineRule="auto"/>
              <w:rPr>
                <w:rFonts w:ascii="Arial" w:hAnsi="Arial"/>
                <w:sz w:val="20"/>
                <w:szCs w:val="20"/>
              </w:rPr>
            </w:pPr>
            <w:r w:rsidRPr="00BD77D8">
              <w:rPr>
                <w:rFonts w:ascii="Arial" w:hAnsi="Arial"/>
                <w:sz w:val="20"/>
                <w:szCs w:val="20"/>
              </w:rPr>
              <w:t>2 JCC meetings</w:t>
            </w:r>
          </w:p>
        </w:tc>
        <w:tc>
          <w:tcPr>
            <w:tcW w:w="1818" w:type="dxa"/>
            <w:tcBorders>
              <w:top w:val="single" w:sz="4" w:space="0" w:color="auto"/>
              <w:left w:val="single" w:sz="4" w:space="0" w:color="auto"/>
              <w:bottom w:val="single" w:sz="4" w:space="0" w:color="auto"/>
              <w:right w:val="single" w:sz="4" w:space="0" w:color="auto"/>
            </w:tcBorders>
          </w:tcPr>
          <w:p w14:paraId="3850E8CB" w14:textId="0394B604"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12FF7A1B" w14:textId="7B17629C"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6DFC26C9" w14:textId="4B2EEC7D"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3FFFB36F" w14:textId="77777777" w:rsidTr="002704E5">
        <w:tc>
          <w:tcPr>
            <w:tcW w:w="1980" w:type="dxa"/>
            <w:tcBorders>
              <w:top w:val="single" w:sz="4" w:space="0" w:color="auto"/>
              <w:left w:val="single" w:sz="4" w:space="0" w:color="auto"/>
              <w:bottom w:val="single" w:sz="4" w:space="0" w:color="auto"/>
              <w:right w:val="single" w:sz="4" w:space="0" w:color="auto"/>
            </w:tcBorders>
          </w:tcPr>
          <w:p w14:paraId="124B5F03" w14:textId="62334DF3" w:rsidR="00584C59" w:rsidRPr="00BD77D8" w:rsidRDefault="00584C59" w:rsidP="00584C59">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7088B195" w14:textId="65425B9C"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Mayor Janita </w:t>
            </w:r>
            <w:proofErr w:type="spellStart"/>
            <w:r w:rsidRPr="00BD77D8">
              <w:rPr>
                <w:rFonts w:ascii="Arial" w:hAnsi="Arial"/>
                <w:sz w:val="20"/>
                <w:szCs w:val="20"/>
              </w:rPr>
              <w:t>Motton</w:t>
            </w:r>
            <w:proofErr w:type="spellEnd"/>
          </w:p>
        </w:tc>
        <w:tc>
          <w:tcPr>
            <w:tcW w:w="2009" w:type="dxa"/>
            <w:tcBorders>
              <w:top w:val="single" w:sz="4" w:space="0" w:color="auto"/>
              <w:left w:val="single" w:sz="4" w:space="0" w:color="auto"/>
              <w:bottom w:val="single" w:sz="4" w:space="0" w:color="auto"/>
              <w:right w:val="single" w:sz="4" w:space="0" w:color="auto"/>
            </w:tcBorders>
          </w:tcPr>
          <w:p w14:paraId="47118382" w14:textId="2BF3BDA5" w:rsidR="00584C59" w:rsidRPr="00BD77D8" w:rsidRDefault="00584C59" w:rsidP="00584C59">
            <w:pPr>
              <w:spacing w:after="80" w:line="240" w:lineRule="auto"/>
              <w:rPr>
                <w:rFonts w:ascii="Arial" w:hAnsi="Arial"/>
                <w:sz w:val="20"/>
                <w:szCs w:val="20"/>
              </w:rPr>
            </w:pPr>
            <w:r w:rsidRPr="00BD77D8">
              <w:rPr>
                <w:rFonts w:ascii="Arial" w:hAnsi="Arial"/>
                <w:sz w:val="20"/>
                <w:szCs w:val="20"/>
              </w:rPr>
              <w:t>2 JCC meetings</w:t>
            </w:r>
          </w:p>
        </w:tc>
        <w:tc>
          <w:tcPr>
            <w:tcW w:w="1818" w:type="dxa"/>
            <w:tcBorders>
              <w:top w:val="single" w:sz="4" w:space="0" w:color="auto"/>
              <w:left w:val="single" w:sz="4" w:space="0" w:color="auto"/>
              <w:bottom w:val="single" w:sz="4" w:space="0" w:color="auto"/>
              <w:right w:val="single" w:sz="4" w:space="0" w:color="auto"/>
            </w:tcBorders>
          </w:tcPr>
          <w:p w14:paraId="05EEFF1A" w14:textId="3F4A08EE"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3CBD3900" w14:textId="16455FB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42408373" w14:textId="7E75AD5E"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269F7B79" w14:textId="77777777" w:rsidTr="002704E5">
        <w:tc>
          <w:tcPr>
            <w:tcW w:w="1980" w:type="dxa"/>
            <w:tcBorders>
              <w:top w:val="single" w:sz="4" w:space="0" w:color="auto"/>
              <w:left w:val="single" w:sz="4" w:space="0" w:color="auto"/>
              <w:bottom w:val="single" w:sz="4" w:space="0" w:color="auto"/>
              <w:right w:val="single" w:sz="4" w:space="0" w:color="auto"/>
            </w:tcBorders>
          </w:tcPr>
          <w:p w14:paraId="4F0CE092" w14:textId="0388F0B4" w:rsidR="00584C59" w:rsidRPr="00BD77D8" w:rsidRDefault="00584C59" w:rsidP="00584C59">
            <w:pPr>
              <w:spacing w:after="0" w:line="240" w:lineRule="auto"/>
              <w:rPr>
                <w:rFonts w:ascii="Arial" w:hAnsi="Arial"/>
                <w:sz w:val="20"/>
                <w:szCs w:val="20"/>
              </w:rPr>
            </w:pPr>
            <w:r w:rsidRPr="00BD77D8">
              <w:rPr>
                <w:rFonts w:ascii="Arial" w:hAnsi="Arial"/>
                <w:sz w:val="20"/>
                <w:szCs w:val="20"/>
              </w:rPr>
              <w:t>Member</w:t>
            </w:r>
          </w:p>
        </w:tc>
        <w:tc>
          <w:tcPr>
            <w:tcW w:w="1843" w:type="dxa"/>
            <w:tcBorders>
              <w:top w:val="single" w:sz="4" w:space="0" w:color="auto"/>
              <w:left w:val="single" w:sz="4" w:space="0" w:color="auto"/>
              <w:bottom w:val="single" w:sz="4" w:space="0" w:color="auto"/>
              <w:right w:val="single" w:sz="4" w:space="0" w:color="auto"/>
            </w:tcBorders>
          </w:tcPr>
          <w:p w14:paraId="3C102AC3" w14:textId="3786DF1D"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VACANT – Mayor Kyle </w:t>
            </w:r>
            <w:proofErr w:type="spellStart"/>
            <w:r w:rsidRPr="00BD77D8">
              <w:rPr>
                <w:rFonts w:ascii="Arial" w:hAnsi="Arial"/>
                <w:sz w:val="20"/>
                <w:szCs w:val="20"/>
              </w:rPr>
              <w:t>Yanner</w:t>
            </w:r>
            <w:proofErr w:type="spellEnd"/>
            <w:r w:rsidRPr="00BD77D8">
              <w:rPr>
                <w:rFonts w:ascii="Arial" w:hAnsi="Arial"/>
                <w:sz w:val="20"/>
                <w:szCs w:val="20"/>
              </w:rPr>
              <w:t xml:space="preserve"> nominated by ILF and approved by Queensland Government however Mayor </w:t>
            </w:r>
            <w:proofErr w:type="spellStart"/>
            <w:r w:rsidRPr="00BD77D8">
              <w:rPr>
                <w:rFonts w:ascii="Arial" w:hAnsi="Arial"/>
                <w:sz w:val="20"/>
                <w:szCs w:val="20"/>
              </w:rPr>
              <w:t>Yanner</w:t>
            </w:r>
            <w:proofErr w:type="spellEnd"/>
            <w:r w:rsidRPr="00BD77D8">
              <w:rPr>
                <w:rFonts w:ascii="Arial" w:hAnsi="Arial"/>
                <w:sz w:val="20"/>
                <w:szCs w:val="20"/>
              </w:rPr>
              <w:t xml:space="preserve"> has not yet accepted the role. </w:t>
            </w:r>
          </w:p>
        </w:tc>
        <w:tc>
          <w:tcPr>
            <w:tcW w:w="2009" w:type="dxa"/>
            <w:tcBorders>
              <w:top w:val="single" w:sz="4" w:space="0" w:color="auto"/>
              <w:left w:val="single" w:sz="4" w:space="0" w:color="auto"/>
              <w:bottom w:val="single" w:sz="4" w:space="0" w:color="auto"/>
              <w:right w:val="single" w:sz="4" w:space="0" w:color="auto"/>
            </w:tcBorders>
          </w:tcPr>
          <w:p w14:paraId="60F0CBAE" w14:textId="77777777" w:rsidR="00584C59" w:rsidRPr="00BD77D8" w:rsidRDefault="00584C59" w:rsidP="00584C59">
            <w:pPr>
              <w:spacing w:after="80" w:line="240" w:lineRule="auto"/>
              <w:rPr>
                <w:rFonts w:ascii="Arial" w:hAnsi="Arial"/>
                <w:sz w:val="20"/>
                <w:szCs w:val="20"/>
              </w:rPr>
            </w:pPr>
            <w:r w:rsidRPr="00BD77D8">
              <w:rPr>
                <w:rFonts w:ascii="Arial" w:hAnsi="Arial"/>
                <w:sz w:val="20"/>
                <w:szCs w:val="20"/>
              </w:rPr>
              <w:t>1 JCC meeting</w:t>
            </w:r>
          </w:p>
          <w:p w14:paraId="53455FFE" w14:textId="6D9DFC9C" w:rsidR="00584C59" w:rsidRPr="00BD77D8" w:rsidRDefault="00584C59" w:rsidP="00584C59">
            <w:pPr>
              <w:spacing w:after="80" w:line="240" w:lineRule="auto"/>
              <w:rPr>
                <w:rFonts w:ascii="Arial" w:hAnsi="Arial"/>
                <w:sz w:val="20"/>
                <w:szCs w:val="20"/>
              </w:rPr>
            </w:pPr>
            <w:r w:rsidRPr="00BD77D8">
              <w:rPr>
                <w:rFonts w:ascii="Arial" w:hAnsi="Arial"/>
                <w:sz w:val="20"/>
                <w:szCs w:val="20"/>
              </w:rPr>
              <w:t xml:space="preserve">(Mayor </w:t>
            </w:r>
            <w:proofErr w:type="spellStart"/>
            <w:r w:rsidRPr="00BD77D8">
              <w:rPr>
                <w:rFonts w:ascii="Arial" w:hAnsi="Arial"/>
                <w:sz w:val="20"/>
                <w:szCs w:val="20"/>
              </w:rPr>
              <w:t>Yanner</w:t>
            </w:r>
            <w:proofErr w:type="spellEnd"/>
            <w:r w:rsidRPr="00BD77D8">
              <w:rPr>
                <w:rFonts w:ascii="Arial" w:hAnsi="Arial"/>
                <w:sz w:val="20"/>
                <w:szCs w:val="20"/>
              </w:rPr>
              <w:t xml:space="preserve"> attended as a guest in September 2021)</w:t>
            </w:r>
          </w:p>
        </w:tc>
        <w:tc>
          <w:tcPr>
            <w:tcW w:w="1818" w:type="dxa"/>
            <w:tcBorders>
              <w:top w:val="single" w:sz="4" w:space="0" w:color="auto"/>
              <w:left w:val="single" w:sz="4" w:space="0" w:color="auto"/>
              <w:bottom w:val="single" w:sz="4" w:space="0" w:color="auto"/>
              <w:right w:val="single" w:sz="4" w:space="0" w:color="auto"/>
            </w:tcBorders>
          </w:tcPr>
          <w:p w14:paraId="2780755B" w14:textId="0BAA45E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0622F4FC" w14:textId="1E486205"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61D219F" w14:textId="59E52F02"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107060AA" w14:textId="77777777" w:rsidTr="002704E5">
        <w:tc>
          <w:tcPr>
            <w:tcW w:w="1980" w:type="dxa"/>
            <w:tcBorders>
              <w:top w:val="single" w:sz="4" w:space="0" w:color="auto"/>
              <w:left w:val="single" w:sz="4" w:space="0" w:color="auto"/>
              <w:bottom w:val="single" w:sz="4" w:space="0" w:color="auto"/>
              <w:right w:val="single" w:sz="4" w:space="0" w:color="auto"/>
            </w:tcBorders>
          </w:tcPr>
          <w:p w14:paraId="1A1C0278"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3F97887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w:t>
            </w:r>
          </w:p>
          <w:p w14:paraId="335B130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Education (or proxy)</w:t>
            </w:r>
          </w:p>
          <w:p w14:paraId="47F5A632" w14:textId="77777777" w:rsidR="00584C59" w:rsidRPr="00BD77D8" w:rsidRDefault="00584C59" w:rsidP="00584C59">
            <w:pPr>
              <w:spacing w:after="0" w:line="240" w:lineRule="auto"/>
              <w:rPr>
                <w:rFonts w:ascii="Arial" w:hAnsi="Arial"/>
                <w:sz w:val="20"/>
                <w:szCs w:val="20"/>
              </w:rPr>
            </w:pPr>
          </w:p>
        </w:tc>
        <w:tc>
          <w:tcPr>
            <w:tcW w:w="2009" w:type="dxa"/>
            <w:tcBorders>
              <w:top w:val="single" w:sz="4" w:space="0" w:color="auto"/>
              <w:left w:val="single" w:sz="4" w:space="0" w:color="auto"/>
              <w:bottom w:val="single" w:sz="4" w:space="0" w:color="auto"/>
              <w:right w:val="single" w:sz="4" w:space="0" w:color="auto"/>
            </w:tcBorders>
          </w:tcPr>
          <w:p w14:paraId="39CA2FD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0 (member)</w:t>
            </w:r>
          </w:p>
          <w:p w14:paraId="1C9A1C1B" w14:textId="77777777" w:rsidR="00584C59" w:rsidRPr="00BD77D8" w:rsidRDefault="00584C59" w:rsidP="00584C59">
            <w:pPr>
              <w:spacing w:after="0" w:line="240" w:lineRule="auto"/>
              <w:rPr>
                <w:rFonts w:ascii="Arial" w:hAnsi="Arial"/>
                <w:sz w:val="20"/>
                <w:szCs w:val="20"/>
              </w:rPr>
            </w:pPr>
          </w:p>
          <w:p w14:paraId="5F34F8D8" w14:textId="77777777" w:rsidR="00584C59" w:rsidRPr="00BD77D8" w:rsidRDefault="00584C59" w:rsidP="00584C59">
            <w:pPr>
              <w:spacing w:after="0" w:line="240" w:lineRule="auto"/>
              <w:rPr>
                <w:rFonts w:ascii="Arial" w:hAnsi="Arial"/>
                <w:sz w:val="20"/>
                <w:szCs w:val="20"/>
              </w:rPr>
            </w:pPr>
          </w:p>
          <w:p w14:paraId="0E3B69C9" w14:textId="2DB7E528" w:rsidR="00584C59" w:rsidRPr="00BD77D8" w:rsidRDefault="00584C59" w:rsidP="00584C59">
            <w:pPr>
              <w:spacing w:after="0" w:line="240" w:lineRule="auto"/>
              <w:rPr>
                <w:rFonts w:ascii="Arial" w:hAnsi="Arial"/>
                <w:sz w:val="20"/>
                <w:szCs w:val="20"/>
              </w:rPr>
            </w:pPr>
            <w:r w:rsidRPr="00BD77D8">
              <w:rPr>
                <w:rFonts w:ascii="Arial" w:hAnsi="Arial"/>
                <w:sz w:val="20"/>
                <w:szCs w:val="20"/>
              </w:rPr>
              <w:t>4 (proxy)</w:t>
            </w:r>
          </w:p>
          <w:p w14:paraId="02DEFB23" w14:textId="77777777" w:rsidR="00584C59" w:rsidRPr="00BD77D8" w:rsidRDefault="00584C59" w:rsidP="00584C59">
            <w:pPr>
              <w:spacing w:after="0" w:line="240" w:lineRule="auto"/>
              <w:rPr>
                <w:rFonts w:ascii="Arial" w:hAnsi="Arial"/>
                <w:sz w:val="20"/>
                <w:szCs w:val="20"/>
              </w:rPr>
            </w:pPr>
          </w:p>
          <w:p w14:paraId="35F59DE9" w14:textId="5E8432EE" w:rsidR="00584C59" w:rsidRPr="00BD77D8" w:rsidRDefault="00584C59" w:rsidP="00584C59">
            <w:pPr>
              <w:spacing w:after="0" w:line="240" w:lineRule="auto"/>
              <w:rPr>
                <w:rFonts w:ascii="Arial" w:hAnsi="Arial"/>
                <w:sz w:val="20"/>
                <w:szCs w:val="20"/>
              </w:rPr>
            </w:pPr>
            <w:r w:rsidRPr="00BD77D8">
              <w:rPr>
                <w:rFonts w:ascii="Arial" w:hAnsi="Arial"/>
                <w:sz w:val="20"/>
                <w:szCs w:val="20"/>
              </w:rPr>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2AB7D401"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694CF47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484B6BB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2AF85CE0" w14:textId="77777777" w:rsidTr="002704E5">
        <w:tc>
          <w:tcPr>
            <w:tcW w:w="1980" w:type="dxa"/>
            <w:tcBorders>
              <w:top w:val="single" w:sz="4" w:space="0" w:color="auto"/>
              <w:left w:val="single" w:sz="4" w:space="0" w:color="auto"/>
              <w:bottom w:val="single" w:sz="4" w:space="0" w:color="auto"/>
              <w:right w:val="single" w:sz="4" w:space="0" w:color="auto"/>
            </w:tcBorders>
          </w:tcPr>
          <w:p w14:paraId="4239260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2574FDAA"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 Strategy</w:t>
            </w:r>
          </w:p>
          <w:p w14:paraId="143426C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Children, Youth Justice and Multicultural Affairs (or proxy)</w:t>
            </w:r>
          </w:p>
        </w:tc>
        <w:tc>
          <w:tcPr>
            <w:tcW w:w="2009" w:type="dxa"/>
            <w:tcBorders>
              <w:top w:val="single" w:sz="4" w:space="0" w:color="auto"/>
              <w:left w:val="single" w:sz="4" w:space="0" w:color="auto"/>
              <w:bottom w:val="single" w:sz="4" w:space="0" w:color="auto"/>
              <w:right w:val="single" w:sz="4" w:space="0" w:color="auto"/>
            </w:tcBorders>
          </w:tcPr>
          <w:p w14:paraId="41EC335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2 (member)</w:t>
            </w:r>
          </w:p>
          <w:p w14:paraId="1D7B938A" w14:textId="77777777" w:rsidR="00584C59" w:rsidRPr="00BD77D8" w:rsidRDefault="00584C59" w:rsidP="00584C59">
            <w:pPr>
              <w:spacing w:after="0" w:line="240" w:lineRule="auto"/>
              <w:rPr>
                <w:rFonts w:ascii="Arial" w:hAnsi="Arial"/>
                <w:sz w:val="20"/>
                <w:szCs w:val="20"/>
              </w:rPr>
            </w:pPr>
          </w:p>
          <w:p w14:paraId="28D7C850" w14:textId="77777777" w:rsidR="00584C59" w:rsidRPr="00BD77D8" w:rsidRDefault="00584C59" w:rsidP="00584C59">
            <w:pPr>
              <w:spacing w:after="0" w:line="240" w:lineRule="auto"/>
              <w:rPr>
                <w:rFonts w:ascii="Arial" w:hAnsi="Arial"/>
                <w:sz w:val="20"/>
                <w:szCs w:val="20"/>
              </w:rPr>
            </w:pPr>
          </w:p>
          <w:p w14:paraId="792C5AD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2 (proxy)</w:t>
            </w:r>
          </w:p>
          <w:p w14:paraId="35A693CC" w14:textId="77777777" w:rsidR="00584C59" w:rsidRPr="00BD77D8" w:rsidRDefault="00584C59" w:rsidP="00584C59">
            <w:pPr>
              <w:spacing w:after="0" w:line="240" w:lineRule="auto"/>
              <w:rPr>
                <w:rFonts w:ascii="Arial" w:hAnsi="Arial"/>
                <w:sz w:val="20"/>
                <w:szCs w:val="20"/>
              </w:rPr>
            </w:pPr>
          </w:p>
          <w:p w14:paraId="2FC110E4" w14:textId="58B0B36D" w:rsidR="00584C59" w:rsidRPr="00BD77D8" w:rsidRDefault="00584C59" w:rsidP="00584C59">
            <w:pPr>
              <w:spacing w:after="0" w:line="240" w:lineRule="auto"/>
              <w:rPr>
                <w:rFonts w:ascii="Arial" w:hAnsi="Arial"/>
                <w:sz w:val="20"/>
                <w:szCs w:val="20"/>
              </w:rPr>
            </w:pPr>
            <w:r w:rsidRPr="00BD77D8">
              <w:rPr>
                <w:rFonts w:ascii="Arial" w:hAnsi="Arial"/>
                <w:sz w:val="20"/>
                <w:szCs w:val="20"/>
              </w:rPr>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1CB1B7D2"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68E5C795"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5226863B"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6EE7D9B2" w14:textId="77777777" w:rsidTr="002704E5">
        <w:tc>
          <w:tcPr>
            <w:tcW w:w="1980" w:type="dxa"/>
            <w:tcBorders>
              <w:top w:val="single" w:sz="4" w:space="0" w:color="auto"/>
              <w:left w:val="single" w:sz="4" w:space="0" w:color="auto"/>
              <w:bottom w:val="single" w:sz="4" w:space="0" w:color="auto"/>
              <w:right w:val="single" w:sz="4" w:space="0" w:color="auto"/>
            </w:tcBorders>
          </w:tcPr>
          <w:p w14:paraId="150FD63E"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2CF4AE42" w14:textId="77777777" w:rsidR="0030478B" w:rsidRPr="00BD77D8" w:rsidRDefault="00584C59" w:rsidP="0030478B">
            <w:pPr>
              <w:spacing w:after="0" w:line="240" w:lineRule="auto"/>
              <w:rPr>
                <w:rFonts w:ascii="Arial" w:hAnsi="Arial"/>
                <w:sz w:val="20"/>
                <w:szCs w:val="20"/>
              </w:rPr>
            </w:pPr>
            <w:r w:rsidRPr="00BD77D8">
              <w:rPr>
                <w:rFonts w:ascii="Arial" w:hAnsi="Arial"/>
                <w:sz w:val="20"/>
                <w:szCs w:val="20"/>
              </w:rPr>
              <w:t>Assistant Commissioner, Southern Region</w:t>
            </w:r>
          </w:p>
          <w:p w14:paraId="1C9DC17B" w14:textId="3C448D7C" w:rsidR="00584C59" w:rsidRPr="00BD77D8" w:rsidRDefault="00584C59" w:rsidP="0030478B">
            <w:pPr>
              <w:spacing w:after="0" w:line="240" w:lineRule="auto"/>
              <w:rPr>
                <w:rFonts w:ascii="Arial" w:hAnsi="Arial"/>
                <w:sz w:val="20"/>
                <w:szCs w:val="20"/>
              </w:rPr>
            </w:pPr>
            <w:r w:rsidRPr="00BD77D8">
              <w:rPr>
                <w:rFonts w:ascii="Arial" w:hAnsi="Arial"/>
                <w:sz w:val="20"/>
                <w:szCs w:val="20"/>
              </w:rPr>
              <w:t>Queensland Police Service (or proxy)</w:t>
            </w:r>
          </w:p>
        </w:tc>
        <w:tc>
          <w:tcPr>
            <w:tcW w:w="2009" w:type="dxa"/>
            <w:tcBorders>
              <w:top w:val="single" w:sz="4" w:space="0" w:color="auto"/>
              <w:left w:val="single" w:sz="4" w:space="0" w:color="auto"/>
              <w:bottom w:val="single" w:sz="4" w:space="0" w:color="auto"/>
              <w:right w:val="single" w:sz="4" w:space="0" w:color="auto"/>
            </w:tcBorders>
          </w:tcPr>
          <w:p w14:paraId="53915C95"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2 (member)</w:t>
            </w:r>
          </w:p>
          <w:p w14:paraId="0A99B133" w14:textId="77777777" w:rsidR="00584C59" w:rsidRPr="00BD77D8" w:rsidRDefault="00584C59" w:rsidP="00584C59">
            <w:pPr>
              <w:spacing w:after="0" w:line="240" w:lineRule="auto"/>
              <w:rPr>
                <w:rFonts w:ascii="Arial" w:hAnsi="Arial"/>
                <w:sz w:val="20"/>
                <w:szCs w:val="20"/>
              </w:rPr>
            </w:pPr>
          </w:p>
          <w:p w14:paraId="452FA8AD"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3 (proxy)</w:t>
            </w:r>
          </w:p>
          <w:p w14:paraId="5066C2B3" w14:textId="77777777" w:rsidR="00584C59" w:rsidRPr="00BD77D8" w:rsidRDefault="00584C59" w:rsidP="00584C59">
            <w:pPr>
              <w:spacing w:after="0" w:line="240" w:lineRule="auto"/>
              <w:rPr>
                <w:rFonts w:ascii="Arial" w:hAnsi="Arial"/>
                <w:sz w:val="20"/>
                <w:szCs w:val="20"/>
              </w:rPr>
            </w:pPr>
          </w:p>
          <w:p w14:paraId="6B145509" w14:textId="11481C4E"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060F33C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1043314B"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7CC6BA5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286897C3" w14:textId="77777777" w:rsidTr="002704E5">
        <w:tc>
          <w:tcPr>
            <w:tcW w:w="1980" w:type="dxa"/>
            <w:tcBorders>
              <w:top w:val="single" w:sz="4" w:space="0" w:color="auto"/>
              <w:left w:val="single" w:sz="4" w:space="0" w:color="auto"/>
              <w:bottom w:val="single" w:sz="4" w:space="0" w:color="auto"/>
              <w:right w:val="single" w:sz="4" w:space="0" w:color="auto"/>
            </w:tcBorders>
          </w:tcPr>
          <w:p w14:paraId="4F977B1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015B3F0A"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Deputy Director-General and Chief Aboriginal and Torres Strait </w:t>
            </w:r>
            <w:r w:rsidRPr="00BD77D8">
              <w:rPr>
                <w:rFonts w:ascii="Arial" w:hAnsi="Arial"/>
                <w:sz w:val="20"/>
                <w:szCs w:val="20"/>
              </w:rPr>
              <w:lastRenderedPageBreak/>
              <w:t>Islander Health Officer,</w:t>
            </w:r>
          </w:p>
          <w:p w14:paraId="248E0FE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Queensland Health (or proxy)</w:t>
            </w:r>
          </w:p>
        </w:tc>
        <w:tc>
          <w:tcPr>
            <w:tcW w:w="2009" w:type="dxa"/>
            <w:tcBorders>
              <w:top w:val="single" w:sz="4" w:space="0" w:color="auto"/>
              <w:left w:val="single" w:sz="4" w:space="0" w:color="auto"/>
              <w:bottom w:val="single" w:sz="4" w:space="0" w:color="auto"/>
              <w:right w:val="single" w:sz="4" w:space="0" w:color="auto"/>
            </w:tcBorders>
          </w:tcPr>
          <w:p w14:paraId="5A2B1FC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lastRenderedPageBreak/>
              <w:t>1 (member)</w:t>
            </w:r>
          </w:p>
          <w:p w14:paraId="3047A2F4" w14:textId="77777777" w:rsidR="00584C59" w:rsidRPr="00BD77D8" w:rsidRDefault="00584C59" w:rsidP="00584C59">
            <w:pPr>
              <w:spacing w:after="0" w:line="240" w:lineRule="auto"/>
              <w:rPr>
                <w:rFonts w:ascii="Arial" w:hAnsi="Arial"/>
                <w:sz w:val="20"/>
                <w:szCs w:val="20"/>
              </w:rPr>
            </w:pPr>
          </w:p>
          <w:p w14:paraId="47432A41" w14:textId="7DFD4477" w:rsidR="00584C59" w:rsidRPr="00BD77D8" w:rsidRDefault="00584C59" w:rsidP="00584C59">
            <w:pPr>
              <w:spacing w:after="0" w:line="240" w:lineRule="auto"/>
              <w:rPr>
                <w:rFonts w:ascii="Arial" w:hAnsi="Arial"/>
                <w:sz w:val="20"/>
                <w:szCs w:val="20"/>
              </w:rPr>
            </w:pPr>
            <w:r w:rsidRPr="00BD77D8">
              <w:rPr>
                <w:rFonts w:ascii="Arial" w:hAnsi="Arial"/>
                <w:sz w:val="20"/>
                <w:szCs w:val="20"/>
              </w:rPr>
              <w:t>3 (proxy)</w:t>
            </w:r>
          </w:p>
          <w:p w14:paraId="783894F8" w14:textId="77777777" w:rsidR="00584C59" w:rsidRPr="00BD77D8" w:rsidRDefault="00584C59" w:rsidP="00584C59">
            <w:pPr>
              <w:spacing w:after="0" w:line="240" w:lineRule="auto"/>
              <w:rPr>
                <w:rFonts w:ascii="Arial" w:hAnsi="Arial"/>
                <w:sz w:val="20"/>
                <w:szCs w:val="20"/>
              </w:rPr>
            </w:pPr>
          </w:p>
          <w:p w14:paraId="79046C93" w14:textId="14ABFD28" w:rsidR="00584C59" w:rsidRPr="00BD77D8" w:rsidRDefault="00584C59" w:rsidP="00584C59">
            <w:pPr>
              <w:spacing w:after="0" w:line="240" w:lineRule="auto"/>
              <w:rPr>
                <w:rFonts w:ascii="Arial" w:hAnsi="Arial"/>
                <w:sz w:val="20"/>
                <w:szCs w:val="20"/>
              </w:rPr>
            </w:pPr>
            <w:r w:rsidRPr="00BD77D8">
              <w:rPr>
                <w:rFonts w:ascii="Arial" w:hAnsi="Arial"/>
                <w:sz w:val="20"/>
                <w:szCs w:val="20"/>
              </w:rPr>
              <w:lastRenderedPageBreak/>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39C64B6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lastRenderedPageBreak/>
              <w:t>N/A</w:t>
            </w:r>
          </w:p>
        </w:tc>
        <w:tc>
          <w:tcPr>
            <w:tcW w:w="1417" w:type="dxa"/>
            <w:tcBorders>
              <w:top w:val="single" w:sz="4" w:space="0" w:color="auto"/>
              <w:left w:val="single" w:sz="4" w:space="0" w:color="auto"/>
              <w:bottom w:val="single" w:sz="4" w:space="0" w:color="auto"/>
              <w:right w:val="single" w:sz="4" w:space="0" w:color="auto"/>
            </w:tcBorders>
          </w:tcPr>
          <w:p w14:paraId="0748C582"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0DCDBA1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2F0B381D" w14:textId="77777777" w:rsidTr="002704E5">
        <w:tc>
          <w:tcPr>
            <w:tcW w:w="1980" w:type="dxa"/>
            <w:tcBorders>
              <w:top w:val="single" w:sz="4" w:space="0" w:color="auto"/>
              <w:left w:val="single" w:sz="4" w:space="0" w:color="auto"/>
              <w:bottom w:val="single" w:sz="4" w:space="0" w:color="auto"/>
              <w:right w:val="single" w:sz="4" w:space="0" w:color="auto"/>
            </w:tcBorders>
          </w:tcPr>
          <w:p w14:paraId="4F92EF6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52F71AE8"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w:t>
            </w:r>
          </w:p>
          <w:p w14:paraId="6CD023F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Communities, Housing and Digital Economy (or proxy)</w:t>
            </w:r>
          </w:p>
        </w:tc>
        <w:tc>
          <w:tcPr>
            <w:tcW w:w="2009" w:type="dxa"/>
            <w:tcBorders>
              <w:top w:val="single" w:sz="4" w:space="0" w:color="auto"/>
              <w:left w:val="single" w:sz="4" w:space="0" w:color="auto"/>
              <w:bottom w:val="single" w:sz="4" w:space="0" w:color="auto"/>
              <w:right w:val="single" w:sz="4" w:space="0" w:color="auto"/>
            </w:tcBorders>
          </w:tcPr>
          <w:p w14:paraId="0312CFE8"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0 (member)</w:t>
            </w:r>
          </w:p>
          <w:p w14:paraId="46A94F21" w14:textId="77777777" w:rsidR="00584C59" w:rsidRPr="00BD77D8" w:rsidRDefault="00584C59" w:rsidP="00584C59">
            <w:pPr>
              <w:spacing w:after="0" w:line="240" w:lineRule="auto"/>
              <w:rPr>
                <w:rFonts w:ascii="Arial" w:hAnsi="Arial"/>
                <w:sz w:val="20"/>
                <w:szCs w:val="20"/>
              </w:rPr>
            </w:pPr>
          </w:p>
          <w:p w14:paraId="684D90B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5 (proxy)</w:t>
            </w:r>
          </w:p>
          <w:p w14:paraId="02B601C5" w14:textId="77777777" w:rsidR="00584C59" w:rsidRPr="00BD77D8" w:rsidRDefault="00584C59" w:rsidP="00584C59">
            <w:pPr>
              <w:spacing w:after="0" w:line="240" w:lineRule="auto"/>
              <w:rPr>
                <w:rFonts w:ascii="Arial" w:hAnsi="Arial"/>
                <w:sz w:val="20"/>
                <w:szCs w:val="20"/>
              </w:rPr>
            </w:pPr>
          </w:p>
          <w:p w14:paraId="080104AA" w14:textId="1B6EA003"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2A1CB551"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2A64A9D0"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72D34BAE"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1F618784" w14:textId="77777777" w:rsidTr="002704E5">
        <w:tc>
          <w:tcPr>
            <w:tcW w:w="1980" w:type="dxa"/>
            <w:tcBorders>
              <w:top w:val="single" w:sz="4" w:space="0" w:color="auto"/>
              <w:left w:val="single" w:sz="4" w:space="0" w:color="auto"/>
              <w:bottom w:val="single" w:sz="4" w:space="0" w:color="auto"/>
              <w:right w:val="single" w:sz="4" w:space="0" w:color="auto"/>
            </w:tcBorders>
          </w:tcPr>
          <w:p w14:paraId="5C748B92"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7E1B547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Under Treasurer, Agency Performance</w:t>
            </w:r>
          </w:p>
          <w:p w14:paraId="7984B07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Queensland Treasury (or proxy)</w:t>
            </w:r>
          </w:p>
        </w:tc>
        <w:tc>
          <w:tcPr>
            <w:tcW w:w="2009" w:type="dxa"/>
            <w:tcBorders>
              <w:top w:val="single" w:sz="4" w:space="0" w:color="auto"/>
              <w:left w:val="single" w:sz="4" w:space="0" w:color="auto"/>
              <w:bottom w:val="single" w:sz="4" w:space="0" w:color="auto"/>
              <w:right w:val="single" w:sz="4" w:space="0" w:color="auto"/>
            </w:tcBorders>
          </w:tcPr>
          <w:p w14:paraId="5C321B71"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 5 (member)</w:t>
            </w:r>
          </w:p>
          <w:p w14:paraId="6BBF6068" w14:textId="77777777" w:rsidR="00584C59" w:rsidRPr="00BD77D8" w:rsidRDefault="00584C59" w:rsidP="00584C59">
            <w:pPr>
              <w:spacing w:after="0" w:line="240" w:lineRule="auto"/>
              <w:rPr>
                <w:rFonts w:ascii="Arial" w:hAnsi="Arial"/>
                <w:sz w:val="20"/>
                <w:szCs w:val="20"/>
              </w:rPr>
            </w:pPr>
          </w:p>
          <w:p w14:paraId="27E25850"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Nil proxy attendance</w:t>
            </w:r>
          </w:p>
          <w:p w14:paraId="6CB4C31D" w14:textId="77777777" w:rsidR="00584C59" w:rsidRPr="00BD77D8" w:rsidRDefault="00584C59" w:rsidP="00584C59">
            <w:pPr>
              <w:spacing w:after="0" w:line="240" w:lineRule="auto"/>
              <w:rPr>
                <w:rFonts w:ascii="Arial" w:hAnsi="Arial"/>
                <w:sz w:val="20"/>
                <w:szCs w:val="20"/>
              </w:rPr>
            </w:pPr>
          </w:p>
          <w:p w14:paraId="7273F2CB" w14:textId="35D94EE7"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65363CE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6CCC083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6A64280E"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1F77CFB7" w14:textId="77777777" w:rsidTr="002704E5">
        <w:tc>
          <w:tcPr>
            <w:tcW w:w="1980" w:type="dxa"/>
            <w:tcBorders>
              <w:top w:val="single" w:sz="4" w:space="0" w:color="auto"/>
              <w:left w:val="single" w:sz="4" w:space="0" w:color="auto"/>
              <w:bottom w:val="single" w:sz="4" w:space="0" w:color="auto"/>
              <w:right w:val="single" w:sz="4" w:space="0" w:color="auto"/>
            </w:tcBorders>
          </w:tcPr>
          <w:p w14:paraId="24ACA720" w14:textId="204F0FA9"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141879C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w:t>
            </w:r>
          </w:p>
          <w:p w14:paraId="0E9430EC" w14:textId="0A0551D1"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State Development, Infrastructure, Local Government and Planning (or proxy)</w:t>
            </w:r>
          </w:p>
        </w:tc>
        <w:tc>
          <w:tcPr>
            <w:tcW w:w="2009" w:type="dxa"/>
            <w:tcBorders>
              <w:top w:val="single" w:sz="4" w:space="0" w:color="auto"/>
              <w:left w:val="single" w:sz="4" w:space="0" w:color="auto"/>
              <w:bottom w:val="single" w:sz="4" w:space="0" w:color="auto"/>
              <w:right w:val="single" w:sz="4" w:space="0" w:color="auto"/>
            </w:tcBorders>
          </w:tcPr>
          <w:p w14:paraId="0920761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1 (member)</w:t>
            </w:r>
          </w:p>
          <w:p w14:paraId="3D5E84C1" w14:textId="77777777" w:rsidR="00584C59" w:rsidRPr="00BD77D8" w:rsidRDefault="00584C59" w:rsidP="00584C59">
            <w:pPr>
              <w:spacing w:after="0" w:line="240" w:lineRule="auto"/>
              <w:rPr>
                <w:rFonts w:ascii="Arial" w:hAnsi="Arial"/>
                <w:sz w:val="20"/>
                <w:szCs w:val="20"/>
              </w:rPr>
            </w:pPr>
          </w:p>
          <w:p w14:paraId="0F025EF2"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3 (proxy)</w:t>
            </w:r>
          </w:p>
          <w:p w14:paraId="690130A5" w14:textId="77777777" w:rsidR="00584C59" w:rsidRPr="00BD77D8" w:rsidRDefault="00584C59" w:rsidP="00584C59">
            <w:pPr>
              <w:spacing w:after="0" w:line="240" w:lineRule="auto"/>
              <w:rPr>
                <w:rFonts w:ascii="Arial" w:hAnsi="Arial"/>
                <w:sz w:val="20"/>
                <w:szCs w:val="20"/>
              </w:rPr>
            </w:pPr>
          </w:p>
          <w:p w14:paraId="66258D59" w14:textId="23A040E1" w:rsidR="00584C59" w:rsidRPr="00BD77D8" w:rsidRDefault="00584C59" w:rsidP="00584C59">
            <w:pPr>
              <w:spacing w:after="0" w:line="240" w:lineRule="auto"/>
              <w:rPr>
                <w:rFonts w:ascii="Arial" w:hAnsi="Arial"/>
                <w:sz w:val="20"/>
                <w:szCs w:val="20"/>
              </w:rPr>
            </w:pPr>
            <w:r w:rsidRPr="00BD77D8">
              <w:rPr>
                <w:rFonts w:ascii="Arial" w:hAnsi="Arial"/>
                <w:sz w:val="20"/>
                <w:szCs w:val="20"/>
              </w:rPr>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49AC7157" w14:textId="30B3C24B"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7784E08E" w14:textId="7B3172D0"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3FA7B281" w14:textId="330E7EEA"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1ED31C7E" w14:textId="77777777" w:rsidTr="002704E5">
        <w:tc>
          <w:tcPr>
            <w:tcW w:w="1980" w:type="dxa"/>
            <w:tcBorders>
              <w:top w:val="single" w:sz="4" w:space="0" w:color="auto"/>
              <w:left w:val="single" w:sz="4" w:space="0" w:color="auto"/>
              <w:bottom w:val="single" w:sz="4" w:space="0" w:color="auto"/>
              <w:right w:val="single" w:sz="4" w:space="0" w:color="auto"/>
            </w:tcBorders>
          </w:tcPr>
          <w:p w14:paraId="7B98920A"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2727879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 Justice Services</w:t>
            </w:r>
          </w:p>
          <w:p w14:paraId="32896C5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Justice and Attorney-General (or proxy)</w:t>
            </w:r>
          </w:p>
        </w:tc>
        <w:tc>
          <w:tcPr>
            <w:tcW w:w="2009" w:type="dxa"/>
            <w:tcBorders>
              <w:top w:val="single" w:sz="4" w:space="0" w:color="auto"/>
              <w:left w:val="single" w:sz="4" w:space="0" w:color="auto"/>
              <w:bottom w:val="single" w:sz="4" w:space="0" w:color="auto"/>
              <w:right w:val="single" w:sz="4" w:space="0" w:color="auto"/>
            </w:tcBorders>
          </w:tcPr>
          <w:p w14:paraId="5E3239C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4 (member)</w:t>
            </w:r>
          </w:p>
          <w:p w14:paraId="47E02C30" w14:textId="77777777" w:rsidR="00584C59" w:rsidRPr="00BD77D8" w:rsidRDefault="00584C59" w:rsidP="00584C59">
            <w:pPr>
              <w:spacing w:after="0" w:line="240" w:lineRule="auto"/>
              <w:rPr>
                <w:rFonts w:ascii="Arial" w:hAnsi="Arial"/>
                <w:sz w:val="20"/>
                <w:szCs w:val="20"/>
              </w:rPr>
            </w:pPr>
          </w:p>
          <w:p w14:paraId="524BB6D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1 (proxy)</w:t>
            </w:r>
          </w:p>
          <w:p w14:paraId="2F2F9759" w14:textId="77777777" w:rsidR="00584C59" w:rsidRPr="00BD77D8" w:rsidRDefault="00584C59" w:rsidP="00584C59">
            <w:pPr>
              <w:spacing w:after="0" w:line="240" w:lineRule="auto"/>
              <w:rPr>
                <w:rFonts w:ascii="Arial" w:hAnsi="Arial"/>
                <w:sz w:val="20"/>
                <w:szCs w:val="20"/>
              </w:rPr>
            </w:pPr>
          </w:p>
          <w:p w14:paraId="5D0F3B0C" w14:textId="726887D3"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2C59209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7244038A"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3648B84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3EFBAABF" w14:textId="77777777" w:rsidTr="002704E5">
        <w:tc>
          <w:tcPr>
            <w:tcW w:w="1980" w:type="dxa"/>
            <w:tcBorders>
              <w:top w:val="single" w:sz="4" w:space="0" w:color="auto"/>
              <w:left w:val="single" w:sz="4" w:space="0" w:color="auto"/>
              <w:bottom w:val="single" w:sz="4" w:space="0" w:color="auto"/>
              <w:right w:val="single" w:sz="4" w:space="0" w:color="auto"/>
            </w:tcBorders>
          </w:tcPr>
          <w:p w14:paraId="23F8E24B"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1E0E2CE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Deputy Director-General, Policy</w:t>
            </w:r>
          </w:p>
          <w:p w14:paraId="20DCF1E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Department of the Premier and Cabinet (or proxy)</w:t>
            </w:r>
          </w:p>
        </w:tc>
        <w:tc>
          <w:tcPr>
            <w:tcW w:w="2009" w:type="dxa"/>
            <w:tcBorders>
              <w:top w:val="single" w:sz="4" w:space="0" w:color="auto"/>
              <w:left w:val="single" w:sz="4" w:space="0" w:color="auto"/>
              <w:bottom w:val="single" w:sz="4" w:space="0" w:color="auto"/>
              <w:right w:val="single" w:sz="4" w:space="0" w:color="auto"/>
            </w:tcBorders>
          </w:tcPr>
          <w:p w14:paraId="07F4C0F9"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1 (member)</w:t>
            </w:r>
          </w:p>
          <w:p w14:paraId="539BD5FD" w14:textId="77777777" w:rsidR="00584C59" w:rsidRPr="00BD77D8" w:rsidRDefault="00584C59" w:rsidP="00584C59">
            <w:pPr>
              <w:spacing w:after="0" w:line="240" w:lineRule="auto"/>
              <w:rPr>
                <w:rFonts w:ascii="Arial" w:hAnsi="Arial"/>
                <w:sz w:val="20"/>
                <w:szCs w:val="20"/>
              </w:rPr>
            </w:pPr>
          </w:p>
          <w:p w14:paraId="1C6D3A55"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4 (proxy)</w:t>
            </w:r>
          </w:p>
          <w:p w14:paraId="2563862E" w14:textId="77777777" w:rsidR="00584C59" w:rsidRPr="00BD77D8" w:rsidRDefault="00584C59" w:rsidP="00584C59">
            <w:pPr>
              <w:spacing w:after="0" w:line="240" w:lineRule="auto"/>
              <w:rPr>
                <w:rFonts w:ascii="Arial" w:hAnsi="Arial"/>
                <w:sz w:val="20"/>
                <w:szCs w:val="20"/>
              </w:rPr>
            </w:pPr>
          </w:p>
          <w:p w14:paraId="57392B45" w14:textId="761F4822" w:rsidR="00584C59" w:rsidRPr="00BD77D8" w:rsidRDefault="00584C59" w:rsidP="00584C59">
            <w:pPr>
              <w:spacing w:after="0" w:line="240" w:lineRule="auto"/>
              <w:rPr>
                <w:rFonts w:ascii="Arial" w:hAnsi="Arial"/>
                <w:sz w:val="20"/>
                <w:szCs w:val="20"/>
              </w:rPr>
            </w:pPr>
            <w:r w:rsidRPr="00BD77D8">
              <w:rPr>
                <w:rFonts w:ascii="Arial" w:hAnsi="Arial"/>
                <w:sz w:val="20"/>
                <w:szCs w:val="20"/>
              </w:rPr>
              <w:t>Attended all meetings</w:t>
            </w:r>
          </w:p>
        </w:tc>
        <w:tc>
          <w:tcPr>
            <w:tcW w:w="1818" w:type="dxa"/>
            <w:tcBorders>
              <w:top w:val="single" w:sz="4" w:space="0" w:color="auto"/>
              <w:left w:val="single" w:sz="4" w:space="0" w:color="auto"/>
              <w:bottom w:val="single" w:sz="4" w:space="0" w:color="auto"/>
              <w:right w:val="single" w:sz="4" w:space="0" w:color="auto"/>
            </w:tcBorders>
          </w:tcPr>
          <w:p w14:paraId="473DD5AD"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2A3B1EF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3920EB9D"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72CE4D75" w14:textId="77777777" w:rsidTr="002704E5">
        <w:tc>
          <w:tcPr>
            <w:tcW w:w="1980" w:type="dxa"/>
            <w:tcBorders>
              <w:top w:val="single" w:sz="4" w:space="0" w:color="auto"/>
              <w:left w:val="single" w:sz="4" w:space="0" w:color="auto"/>
              <w:bottom w:val="single" w:sz="4" w:space="0" w:color="auto"/>
              <w:right w:val="single" w:sz="4" w:space="0" w:color="auto"/>
            </w:tcBorders>
          </w:tcPr>
          <w:p w14:paraId="57D22A8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Ex-Officio</w:t>
            </w:r>
          </w:p>
        </w:tc>
        <w:tc>
          <w:tcPr>
            <w:tcW w:w="1843" w:type="dxa"/>
            <w:tcBorders>
              <w:top w:val="single" w:sz="4" w:space="0" w:color="auto"/>
              <w:left w:val="single" w:sz="4" w:space="0" w:color="auto"/>
              <w:bottom w:val="single" w:sz="4" w:space="0" w:color="auto"/>
              <w:right w:val="single" w:sz="4" w:space="0" w:color="auto"/>
            </w:tcBorders>
          </w:tcPr>
          <w:p w14:paraId="34B5EE95"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National Indigenous Australians Agency, Australian Government </w:t>
            </w:r>
          </w:p>
          <w:p w14:paraId="428EA1CC"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 xml:space="preserve"> (</w:t>
            </w:r>
            <w:proofErr w:type="gramStart"/>
            <w:r w:rsidRPr="00BD77D8">
              <w:rPr>
                <w:rFonts w:ascii="Arial" w:hAnsi="Arial"/>
                <w:sz w:val="20"/>
                <w:szCs w:val="20"/>
              </w:rPr>
              <w:t>or</w:t>
            </w:r>
            <w:proofErr w:type="gramEnd"/>
            <w:r w:rsidRPr="00BD77D8">
              <w:rPr>
                <w:rFonts w:ascii="Arial" w:hAnsi="Arial"/>
                <w:sz w:val="20"/>
                <w:szCs w:val="20"/>
              </w:rPr>
              <w:t xml:space="preserve"> proxy)</w:t>
            </w:r>
          </w:p>
        </w:tc>
        <w:tc>
          <w:tcPr>
            <w:tcW w:w="2009" w:type="dxa"/>
            <w:tcBorders>
              <w:top w:val="single" w:sz="4" w:space="0" w:color="auto"/>
              <w:left w:val="single" w:sz="4" w:space="0" w:color="auto"/>
              <w:bottom w:val="single" w:sz="4" w:space="0" w:color="auto"/>
              <w:right w:val="single" w:sz="4" w:space="0" w:color="auto"/>
            </w:tcBorders>
          </w:tcPr>
          <w:p w14:paraId="7A7A74EE" w14:textId="60EDFCEC" w:rsidR="00584C59" w:rsidRPr="00BD77D8" w:rsidRDefault="00584C59" w:rsidP="00584C59">
            <w:pPr>
              <w:spacing w:after="0" w:line="240" w:lineRule="auto"/>
              <w:rPr>
                <w:rFonts w:ascii="Arial" w:hAnsi="Arial"/>
                <w:sz w:val="20"/>
                <w:szCs w:val="20"/>
              </w:rPr>
            </w:pPr>
            <w:r w:rsidRPr="00BD77D8">
              <w:rPr>
                <w:rFonts w:ascii="Arial" w:hAnsi="Arial"/>
                <w:sz w:val="20"/>
                <w:szCs w:val="20"/>
              </w:rPr>
              <w:t>2 (member)</w:t>
            </w:r>
          </w:p>
          <w:p w14:paraId="250CCC6B" w14:textId="77777777" w:rsidR="00584C59" w:rsidRPr="00BD77D8" w:rsidRDefault="00584C59" w:rsidP="00584C59">
            <w:pPr>
              <w:spacing w:after="0" w:line="240" w:lineRule="auto"/>
              <w:rPr>
                <w:rFonts w:ascii="Arial" w:hAnsi="Arial"/>
                <w:sz w:val="20"/>
                <w:szCs w:val="20"/>
              </w:rPr>
            </w:pPr>
          </w:p>
          <w:p w14:paraId="46E4C466"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2 (proxy</w:t>
            </w:r>
          </w:p>
          <w:p w14:paraId="775F7163" w14:textId="77777777" w:rsidR="00584C59" w:rsidRPr="00BD77D8" w:rsidRDefault="00584C59" w:rsidP="00584C59">
            <w:pPr>
              <w:spacing w:after="0" w:line="240" w:lineRule="auto"/>
              <w:rPr>
                <w:rFonts w:ascii="Arial" w:hAnsi="Arial"/>
                <w:sz w:val="20"/>
                <w:szCs w:val="20"/>
              </w:rPr>
            </w:pPr>
          </w:p>
          <w:p w14:paraId="74E1D683" w14:textId="74D55E9C" w:rsidR="00584C59" w:rsidRPr="00BD77D8" w:rsidRDefault="00584C59" w:rsidP="00584C59">
            <w:pPr>
              <w:spacing w:after="0" w:line="240" w:lineRule="auto"/>
              <w:rPr>
                <w:rFonts w:ascii="Arial" w:hAnsi="Arial"/>
                <w:sz w:val="20"/>
                <w:szCs w:val="20"/>
              </w:rPr>
            </w:pPr>
            <w:r w:rsidRPr="00BD77D8">
              <w:rPr>
                <w:rFonts w:ascii="Arial" w:hAnsi="Arial"/>
                <w:sz w:val="20"/>
                <w:szCs w:val="20"/>
              </w:rPr>
              <w:t>Nil attendance at 1 meeting</w:t>
            </w:r>
          </w:p>
        </w:tc>
        <w:tc>
          <w:tcPr>
            <w:tcW w:w="1818" w:type="dxa"/>
            <w:tcBorders>
              <w:top w:val="single" w:sz="4" w:space="0" w:color="auto"/>
              <w:left w:val="single" w:sz="4" w:space="0" w:color="auto"/>
              <w:bottom w:val="single" w:sz="4" w:space="0" w:color="auto"/>
              <w:right w:val="single" w:sz="4" w:space="0" w:color="auto"/>
            </w:tcBorders>
          </w:tcPr>
          <w:p w14:paraId="16EF63C4"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7" w:type="dxa"/>
            <w:tcBorders>
              <w:top w:val="single" w:sz="4" w:space="0" w:color="auto"/>
              <w:left w:val="single" w:sz="4" w:space="0" w:color="auto"/>
              <w:bottom w:val="single" w:sz="4" w:space="0" w:color="auto"/>
              <w:right w:val="single" w:sz="4" w:space="0" w:color="auto"/>
            </w:tcBorders>
          </w:tcPr>
          <w:p w14:paraId="78D3198F"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c>
          <w:tcPr>
            <w:tcW w:w="1418" w:type="dxa"/>
            <w:tcBorders>
              <w:top w:val="single" w:sz="4" w:space="0" w:color="auto"/>
              <w:left w:val="single" w:sz="4" w:space="0" w:color="auto"/>
              <w:bottom w:val="single" w:sz="4" w:space="0" w:color="auto"/>
              <w:right w:val="single" w:sz="4" w:space="0" w:color="auto"/>
            </w:tcBorders>
          </w:tcPr>
          <w:p w14:paraId="55888E77" w14:textId="77777777" w:rsidR="00584C59" w:rsidRPr="00BD77D8" w:rsidRDefault="00584C59" w:rsidP="00584C59">
            <w:pPr>
              <w:spacing w:after="0" w:line="240" w:lineRule="auto"/>
              <w:rPr>
                <w:rFonts w:ascii="Arial" w:hAnsi="Arial"/>
                <w:sz w:val="20"/>
                <w:szCs w:val="20"/>
              </w:rPr>
            </w:pPr>
            <w:r w:rsidRPr="00BD77D8">
              <w:rPr>
                <w:rFonts w:ascii="Arial" w:hAnsi="Arial"/>
                <w:sz w:val="20"/>
                <w:szCs w:val="20"/>
              </w:rPr>
              <w:t>N/A</w:t>
            </w:r>
          </w:p>
        </w:tc>
      </w:tr>
      <w:tr w:rsidR="00BD77D8" w:rsidRPr="00BD77D8" w14:paraId="71697B7A" w14:textId="77777777" w:rsidTr="002704E5">
        <w:tc>
          <w:tcPr>
            <w:tcW w:w="1980" w:type="dxa"/>
            <w:tcBorders>
              <w:top w:val="single" w:sz="4" w:space="0" w:color="auto"/>
              <w:left w:val="single" w:sz="4" w:space="0" w:color="auto"/>
              <w:bottom w:val="single" w:sz="4" w:space="0" w:color="auto"/>
              <w:right w:val="single" w:sz="4" w:space="0" w:color="auto"/>
            </w:tcBorders>
            <w:hideMark/>
          </w:tcPr>
          <w:p w14:paraId="6F7E86B9" w14:textId="2A65A033" w:rsidR="00584C59" w:rsidRPr="00BD77D8" w:rsidRDefault="00584C59" w:rsidP="0068080C">
            <w:pPr>
              <w:spacing w:after="120" w:line="240" w:lineRule="auto"/>
              <w:rPr>
                <w:rFonts w:ascii="Arial" w:hAnsi="Arial"/>
              </w:rPr>
            </w:pPr>
            <w:r w:rsidRPr="00BD77D8">
              <w:rPr>
                <w:rFonts w:ascii="Arial" w:hAnsi="Arial"/>
              </w:rPr>
              <w:t>No</w:t>
            </w:r>
            <w:r w:rsidR="00A901B7" w:rsidRPr="00BD77D8">
              <w:rPr>
                <w:rFonts w:ascii="Arial" w:hAnsi="Arial"/>
              </w:rPr>
              <w:t>.</w:t>
            </w:r>
            <w:r w:rsidRPr="00BD77D8">
              <w:rPr>
                <w:rFonts w:ascii="Arial" w:hAnsi="Arial"/>
              </w:rPr>
              <w:t xml:space="preserve"> of meetings </w:t>
            </w:r>
          </w:p>
        </w:tc>
        <w:tc>
          <w:tcPr>
            <w:tcW w:w="8505" w:type="dxa"/>
            <w:gridSpan w:val="5"/>
            <w:tcBorders>
              <w:top w:val="single" w:sz="4" w:space="0" w:color="auto"/>
              <w:left w:val="single" w:sz="4" w:space="0" w:color="auto"/>
              <w:bottom w:val="single" w:sz="4" w:space="0" w:color="auto"/>
              <w:right w:val="single" w:sz="4" w:space="0" w:color="auto"/>
            </w:tcBorders>
            <w:hideMark/>
          </w:tcPr>
          <w:p w14:paraId="5AFA5746" w14:textId="77777777" w:rsidR="00584C59" w:rsidRPr="00BD77D8" w:rsidRDefault="00584C59" w:rsidP="0068080C">
            <w:pPr>
              <w:spacing w:after="120" w:line="240" w:lineRule="auto"/>
              <w:rPr>
                <w:rFonts w:ascii="Arial" w:hAnsi="Arial"/>
                <w:iCs/>
              </w:rPr>
            </w:pPr>
            <w:r w:rsidRPr="00BD77D8">
              <w:rPr>
                <w:rFonts w:ascii="Arial" w:hAnsi="Arial"/>
                <w:iCs/>
              </w:rPr>
              <w:t>5</w:t>
            </w:r>
          </w:p>
          <w:p w14:paraId="640365E9" w14:textId="18FA7229" w:rsidR="004D44FB" w:rsidRPr="00BD77D8" w:rsidRDefault="004D44FB" w:rsidP="0068080C">
            <w:pPr>
              <w:spacing w:after="120" w:line="240" w:lineRule="auto"/>
              <w:rPr>
                <w:rFonts w:ascii="Arial" w:hAnsi="Arial"/>
                <w:iCs/>
              </w:rPr>
            </w:pPr>
          </w:p>
        </w:tc>
      </w:tr>
      <w:tr w:rsidR="00BD77D8" w:rsidRPr="00BD77D8" w14:paraId="1E183710" w14:textId="77777777" w:rsidTr="002704E5">
        <w:trPr>
          <w:trHeight w:val="494"/>
        </w:trPr>
        <w:tc>
          <w:tcPr>
            <w:tcW w:w="1980" w:type="dxa"/>
            <w:tcBorders>
              <w:top w:val="single" w:sz="4" w:space="0" w:color="auto"/>
              <w:left w:val="single" w:sz="4" w:space="0" w:color="auto"/>
              <w:bottom w:val="single" w:sz="4" w:space="0" w:color="auto"/>
              <w:right w:val="single" w:sz="4" w:space="0" w:color="auto"/>
            </w:tcBorders>
            <w:hideMark/>
          </w:tcPr>
          <w:p w14:paraId="76B2DD5F" w14:textId="77777777" w:rsidR="00584C59" w:rsidRPr="00BD77D8" w:rsidRDefault="00584C59" w:rsidP="0068080C">
            <w:pPr>
              <w:spacing w:after="120" w:line="240" w:lineRule="auto"/>
              <w:rPr>
                <w:rFonts w:ascii="Arial" w:hAnsi="Arial"/>
                <w:i/>
              </w:rPr>
            </w:pPr>
            <w:r w:rsidRPr="00BD77D8">
              <w:rPr>
                <w:rFonts w:ascii="Arial" w:hAnsi="Arial"/>
              </w:rPr>
              <w:t>Total out of pocket expenses</w:t>
            </w:r>
          </w:p>
        </w:tc>
        <w:tc>
          <w:tcPr>
            <w:tcW w:w="8505" w:type="dxa"/>
            <w:gridSpan w:val="5"/>
            <w:tcBorders>
              <w:top w:val="single" w:sz="4" w:space="0" w:color="auto"/>
              <w:left w:val="single" w:sz="4" w:space="0" w:color="auto"/>
              <w:bottom w:val="single" w:sz="4" w:space="0" w:color="auto"/>
              <w:right w:val="single" w:sz="4" w:space="0" w:color="auto"/>
            </w:tcBorders>
            <w:hideMark/>
          </w:tcPr>
          <w:p w14:paraId="46E36EA3" w14:textId="3B4646DC" w:rsidR="00584C59" w:rsidRPr="00BD77D8" w:rsidRDefault="00584C59" w:rsidP="0068080C">
            <w:pPr>
              <w:spacing w:after="120" w:line="240" w:lineRule="auto"/>
              <w:rPr>
                <w:rFonts w:ascii="Arial" w:hAnsi="Arial"/>
              </w:rPr>
            </w:pPr>
            <w:r w:rsidRPr="00BD77D8">
              <w:rPr>
                <w:rFonts w:ascii="Arial" w:hAnsi="Arial"/>
              </w:rPr>
              <w:t>Total out of pocket expenses $2</w:t>
            </w:r>
            <w:r w:rsidR="00E1778E" w:rsidRPr="00BD77D8">
              <w:rPr>
                <w:rFonts w:ascii="Arial" w:hAnsi="Arial"/>
              </w:rPr>
              <w:t>,</w:t>
            </w:r>
            <w:r w:rsidRPr="00BD77D8">
              <w:rPr>
                <w:rFonts w:ascii="Arial" w:hAnsi="Arial"/>
              </w:rPr>
              <w:t>126.19</w:t>
            </w:r>
          </w:p>
        </w:tc>
      </w:tr>
      <w:tr w:rsidR="00BD77D8" w:rsidRPr="00BD77D8" w14:paraId="79F69003" w14:textId="77777777" w:rsidTr="002704E5">
        <w:trPr>
          <w:trHeight w:val="358"/>
        </w:trPr>
        <w:tc>
          <w:tcPr>
            <w:tcW w:w="1980" w:type="dxa"/>
            <w:tcBorders>
              <w:top w:val="single" w:sz="4" w:space="0" w:color="auto"/>
              <w:left w:val="single" w:sz="4" w:space="0" w:color="auto"/>
              <w:bottom w:val="single" w:sz="4" w:space="0" w:color="auto"/>
              <w:right w:val="single" w:sz="4" w:space="0" w:color="auto"/>
            </w:tcBorders>
          </w:tcPr>
          <w:p w14:paraId="24BCEEA7" w14:textId="36874E7B" w:rsidR="00584C59" w:rsidRPr="00BD77D8" w:rsidRDefault="00584C59" w:rsidP="0068080C">
            <w:pPr>
              <w:spacing w:after="120" w:line="240" w:lineRule="auto"/>
              <w:rPr>
                <w:rFonts w:ascii="Arial" w:hAnsi="Arial"/>
              </w:rPr>
            </w:pPr>
            <w:r w:rsidRPr="00BD77D8">
              <w:rPr>
                <w:rFonts w:ascii="Arial" w:hAnsi="Arial"/>
              </w:rPr>
              <w:t>Notes</w:t>
            </w:r>
          </w:p>
        </w:tc>
        <w:tc>
          <w:tcPr>
            <w:tcW w:w="8505" w:type="dxa"/>
            <w:gridSpan w:val="5"/>
            <w:tcBorders>
              <w:top w:val="single" w:sz="4" w:space="0" w:color="auto"/>
              <w:left w:val="single" w:sz="4" w:space="0" w:color="auto"/>
              <w:bottom w:val="single" w:sz="4" w:space="0" w:color="auto"/>
              <w:right w:val="single" w:sz="4" w:space="0" w:color="auto"/>
            </w:tcBorders>
          </w:tcPr>
          <w:p w14:paraId="4CD3820E" w14:textId="00F63DE9" w:rsidR="00584C59" w:rsidRPr="00BD77D8" w:rsidRDefault="00584C59" w:rsidP="0068080C">
            <w:pPr>
              <w:pStyle w:val="ListParagraph"/>
              <w:numPr>
                <w:ilvl w:val="0"/>
                <w:numId w:val="68"/>
              </w:numPr>
              <w:spacing w:after="120" w:line="240" w:lineRule="auto"/>
              <w:rPr>
                <w:rFonts w:ascii="Arial" w:hAnsi="Arial"/>
              </w:rPr>
            </w:pPr>
            <w:r w:rsidRPr="00BD77D8">
              <w:rPr>
                <w:rFonts w:ascii="Arial" w:hAnsi="Arial"/>
              </w:rPr>
              <w:t>Kelly Barclay includes $750 for additional work as approved</w:t>
            </w:r>
          </w:p>
          <w:p w14:paraId="77F93AC9" w14:textId="1BC0A6FB" w:rsidR="00470DEB" w:rsidRPr="00BD77D8" w:rsidRDefault="00470DEB" w:rsidP="0068080C">
            <w:pPr>
              <w:pStyle w:val="ListParagraph"/>
              <w:numPr>
                <w:ilvl w:val="0"/>
                <w:numId w:val="68"/>
              </w:numPr>
              <w:spacing w:after="120" w:line="240" w:lineRule="auto"/>
              <w:rPr>
                <w:rFonts w:ascii="Arial" w:hAnsi="Arial"/>
              </w:rPr>
            </w:pPr>
            <w:r w:rsidRPr="00BD77D8">
              <w:rPr>
                <w:rFonts w:ascii="Arial" w:hAnsi="Arial"/>
              </w:rPr>
              <w:t xml:space="preserve">Joanne </w:t>
            </w:r>
            <w:proofErr w:type="spellStart"/>
            <w:r w:rsidRPr="00BD77D8">
              <w:rPr>
                <w:rFonts w:ascii="Arial" w:hAnsi="Arial"/>
              </w:rPr>
              <w:t>Schmider</w:t>
            </w:r>
            <w:proofErr w:type="spellEnd"/>
            <w:r w:rsidRPr="00BD77D8">
              <w:rPr>
                <w:rFonts w:ascii="Arial" w:hAnsi="Arial"/>
              </w:rPr>
              <w:t xml:space="preserve"> includes $1</w:t>
            </w:r>
            <w:r w:rsidR="003B1A2C" w:rsidRPr="00BD77D8">
              <w:rPr>
                <w:rFonts w:ascii="Arial" w:hAnsi="Arial"/>
              </w:rPr>
              <w:t>,</w:t>
            </w:r>
            <w:r w:rsidRPr="00BD77D8">
              <w:rPr>
                <w:rFonts w:ascii="Arial" w:hAnsi="Arial"/>
              </w:rPr>
              <w:t>650 for additional work as approved</w:t>
            </w:r>
          </w:p>
          <w:p w14:paraId="7F1C4100" w14:textId="55DC4471" w:rsidR="00584C59" w:rsidRPr="00BD77D8" w:rsidRDefault="00584C59" w:rsidP="0068080C">
            <w:pPr>
              <w:pStyle w:val="ListParagraph"/>
              <w:numPr>
                <w:ilvl w:val="0"/>
                <w:numId w:val="68"/>
              </w:numPr>
              <w:spacing w:after="120" w:line="240" w:lineRule="auto"/>
            </w:pPr>
            <w:proofErr w:type="spellStart"/>
            <w:r w:rsidRPr="00BD77D8">
              <w:rPr>
                <w:rFonts w:ascii="Arial" w:hAnsi="Arial"/>
              </w:rPr>
              <w:t>Zhanae</w:t>
            </w:r>
            <w:proofErr w:type="spellEnd"/>
            <w:r w:rsidRPr="00BD77D8">
              <w:rPr>
                <w:rFonts w:ascii="Arial" w:hAnsi="Arial"/>
              </w:rPr>
              <w:t xml:space="preserve"> Dodd includes $600 for additional work as approved</w:t>
            </w:r>
          </w:p>
        </w:tc>
      </w:tr>
    </w:tbl>
    <w:p w14:paraId="798C4E06" w14:textId="77777777" w:rsidR="00922DE4" w:rsidRPr="00BD77D8" w:rsidRDefault="00922DE4">
      <w:pPr>
        <w:spacing w:after="0" w:line="240" w:lineRule="auto"/>
        <w:rPr>
          <w:rFonts w:eastAsia="Calibri"/>
          <w:bCs/>
          <w:iCs/>
          <w:sz w:val="32"/>
          <w:szCs w:val="32"/>
          <w:lang w:eastAsia="en-US"/>
        </w:rPr>
      </w:pPr>
      <w:bookmarkStart w:id="343" w:name="_Hlk95805704"/>
      <w:r w:rsidRPr="00BD77D8">
        <w:br w:type="page"/>
      </w:r>
    </w:p>
    <w:p w14:paraId="4C9DC9BE" w14:textId="71314DE7" w:rsidR="002D7FA9" w:rsidRPr="00BD77D8" w:rsidRDefault="00141925" w:rsidP="00141925">
      <w:pPr>
        <w:pStyle w:val="Heading2"/>
        <w:rPr>
          <w:color w:val="auto"/>
        </w:rPr>
      </w:pPr>
      <w:bookmarkStart w:id="344" w:name="_Toc113544416"/>
      <w:r w:rsidRPr="00BD77D8">
        <w:rPr>
          <w:color w:val="auto"/>
        </w:rPr>
        <w:lastRenderedPageBreak/>
        <w:t>Appendix 5</w:t>
      </w:r>
      <w:r w:rsidR="00E434A2" w:rsidRPr="00BD77D8">
        <w:rPr>
          <w:color w:val="auto"/>
        </w:rPr>
        <w:t>—</w:t>
      </w:r>
      <w:r w:rsidRPr="00BD77D8">
        <w:rPr>
          <w:color w:val="auto"/>
        </w:rPr>
        <w:t>Master Plan information</w:t>
      </w:r>
      <w:bookmarkEnd w:id="344"/>
    </w:p>
    <w:bookmarkEnd w:id="343"/>
    <w:p w14:paraId="58103F40" w14:textId="2BA80250" w:rsidR="00141925" w:rsidRPr="00BD77D8" w:rsidRDefault="00141925">
      <w:pPr>
        <w:spacing w:after="0" w:line="240" w:lineRule="auto"/>
      </w:pPr>
    </w:p>
    <w:tbl>
      <w:tblPr>
        <w:tblStyle w:val="TableGrid15"/>
        <w:tblW w:w="0" w:type="auto"/>
        <w:tblInd w:w="-5" w:type="dxa"/>
        <w:tblLook w:val="04A0" w:firstRow="1" w:lastRow="0" w:firstColumn="1" w:lastColumn="0" w:noHBand="0" w:noVBand="1"/>
      </w:tblPr>
      <w:tblGrid>
        <w:gridCol w:w="10206"/>
      </w:tblGrid>
      <w:tr w:rsidR="00BD77D8" w:rsidRPr="00BD77D8" w14:paraId="60024FC5" w14:textId="77777777" w:rsidTr="00141925">
        <w:tc>
          <w:tcPr>
            <w:tcW w:w="10206" w:type="dxa"/>
            <w:shd w:val="clear" w:color="auto" w:fill="auto"/>
          </w:tcPr>
          <w:p w14:paraId="4201F434" w14:textId="3EC1DBED" w:rsidR="00141925" w:rsidRPr="00BD77D8" w:rsidRDefault="00141925" w:rsidP="0052356E">
            <w:pPr>
              <w:autoSpaceDE w:val="0"/>
              <w:autoSpaceDN w:val="0"/>
              <w:adjustRightInd w:val="0"/>
              <w:spacing w:before="120" w:after="120" w:line="240" w:lineRule="auto"/>
              <w:rPr>
                <w:rFonts w:ascii="Arial" w:hAnsi="Arial"/>
              </w:rPr>
            </w:pPr>
            <w:r w:rsidRPr="00BD77D8">
              <w:rPr>
                <w:rFonts w:ascii="Arial" w:hAnsi="Arial"/>
              </w:rPr>
              <w:t>Note: Due to C</w:t>
            </w:r>
            <w:r w:rsidR="00154F3A" w:rsidRPr="00BD77D8">
              <w:rPr>
                <w:rFonts w:ascii="Arial" w:hAnsi="Arial"/>
              </w:rPr>
              <w:t>OVID</w:t>
            </w:r>
            <w:r w:rsidR="00E1778E" w:rsidRPr="00BD77D8">
              <w:rPr>
                <w:rFonts w:ascii="Arial" w:hAnsi="Arial"/>
              </w:rPr>
              <w:t>-19</w:t>
            </w:r>
            <w:r w:rsidRPr="00BD77D8">
              <w:rPr>
                <w:rFonts w:ascii="Arial" w:hAnsi="Arial"/>
              </w:rPr>
              <w:t xml:space="preserve"> restrictions during the reporting period 2021</w:t>
            </w:r>
            <w:r w:rsidR="00A901B7" w:rsidRPr="00BD77D8">
              <w:rPr>
                <w:rFonts w:ascii="Arial" w:hAnsi="Arial"/>
              </w:rPr>
              <w:t>–</w:t>
            </w:r>
            <w:r w:rsidRPr="00BD77D8">
              <w:rPr>
                <w:rFonts w:ascii="Arial" w:hAnsi="Arial"/>
              </w:rPr>
              <w:t>2022, significant delays were experienced in undertaking the community consultation component of developing the master plans.</w:t>
            </w:r>
          </w:p>
        </w:tc>
      </w:tr>
    </w:tbl>
    <w:p w14:paraId="62344B43" w14:textId="77777777" w:rsidR="006609E8" w:rsidRPr="00BD77D8" w:rsidRDefault="006609E8"/>
    <w:tbl>
      <w:tblPr>
        <w:tblStyle w:val="TableGrid15"/>
        <w:tblW w:w="0" w:type="auto"/>
        <w:tblInd w:w="-5" w:type="dxa"/>
        <w:tblLook w:val="04A0" w:firstRow="1" w:lastRow="0" w:firstColumn="1" w:lastColumn="0" w:noHBand="0" w:noVBand="1"/>
      </w:tblPr>
      <w:tblGrid>
        <w:gridCol w:w="4111"/>
        <w:gridCol w:w="2552"/>
        <w:gridCol w:w="3543"/>
      </w:tblGrid>
      <w:tr w:rsidR="00BD77D8" w:rsidRPr="00BD77D8" w14:paraId="5964010D" w14:textId="77777777" w:rsidTr="006609E8">
        <w:trPr>
          <w:trHeight w:val="358"/>
          <w:tblHeader/>
        </w:trPr>
        <w:tc>
          <w:tcPr>
            <w:tcW w:w="4111" w:type="dxa"/>
            <w:shd w:val="clear" w:color="auto" w:fill="000000"/>
          </w:tcPr>
          <w:p w14:paraId="53BB3373" w14:textId="77777777" w:rsidR="00141925" w:rsidRPr="00BD77D8" w:rsidRDefault="00141925" w:rsidP="00141925">
            <w:pPr>
              <w:autoSpaceDE w:val="0"/>
              <w:autoSpaceDN w:val="0"/>
              <w:adjustRightInd w:val="0"/>
              <w:spacing w:after="0" w:line="240" w:lineRule="auto"/>
              <w:rPr>
                <w:rFonts w:ascii="Arial" w:hAnsi="Arial"/>
                <w:b/>
                <w:bCs/>
              </w:rPr>
            </w:pPr>
            <w:r w:rsidRPr="00BD77D8">
              <w:rPr>
                <w:rFonts w:ascii="Arial" w:hAnsi="Arial"/>
                <w:b/>
                <w:bCs/>
              </w:rPr>
              <w:t>Council</w:t>
            </w:r>
          </w:p>
        </w:tc>
        <w:tc>
          <w:tcPr>
            <w:tcW w:w="2552" w:type="dxa"/>
            <w:shd w:val="clear" w:color="auto" w:fill="000000"/>
          </w:tcPr>
          <w:p w14:paraId="4FB1986B" w14:textId="77777777" w:rsidR="00141925" w:rsidRPr="00BD77D8" w:rsidRDefault="00141925" w:rsidP="00141925">
            <w:pPr>
              <w:autoSpaceDE w:val="0"/>
              <w:autoSpaceDN w:val="0"/>
              <w:adjustRightInd w:val="0"/>
              <w:spacing w:after="0" w:line="240" w:lineRule="auto"/>
              <w:rPr>
                <w:rFonts w:ascii="Arial" w:hAnsi="Arial"/>
                <w:b/>
                <w:bCs/>
              </w:rPr>
            </w:pPr>
            <w:r w:rsidRPr="00BD77D8">
              <w:rPr>
                <w:rFonts w:ascii="Arial" w:hAnsi="Arial"/>
                <w:b/>
                <w:bCs/>
              </w:rPr>
              <w:t>Community</w:t>
            </w:r>
          </w:p>
        </w:tc>
        <w:tc>
          <w:tcPr>
            <w:tcW w:w="3543" w:type="dxa"/>
            <w:shd w:val="clear" w:color="auto" w:fill="000000"/>
          </w:tcPr>
          <w:p w14:paraId="6B31324F" w14:textId="77777777" w:rsidR="00141925" w:rsidRPr="00BD77D8" w:rsidRDefault="00141925" w:rsidP="00141925">
            <w:pPr>
              <w:autoSpaceDE w:val="0"/>
              <w:autoSpaceDN w:val="0"/>
              <w:adjustRightInd w:val="0"/>
              <w:spacing w:after="0" w:line="240" w:lineRule="auto"/>
              <w:rPr>
                <w:rFonts w:ascii="Arial" w:hAnsi="Arial"/>
                <w:b/>
                <w:bCs/>
              </w:rPr>
            </w:pPr>
            <w:r w:rsidRPr="00BD77D8">
              <w:rPr>
                <w:rFonts w:ascii="Arial" w:hAnsi="Arial"/>
                <w:b/>
                <w:bCs/>
              </w:rPr>
              <w:t>Master Plan Type</w:t>
            </w:r>
          </w:p>
        </w:tc>
      </w:tr>
      <w:tr w:rsidR="00BD77D8" w:rsidRPr="00BD77D8" w14:paraId="2043FB3B" w14:textId="77777777" w:rsidTr="00141925">
        <w:tc>
          <w:tcPr>
            <w:tcW w:w="4111" w:type="dxa"/>
            <w:shd w:val="clear" w:color="auto" w:fill="D9D9D9"/>
          </w:tcPr>
          <w:p w14:paraId="6C892F67"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Aurukun Shire Council</w:t>
            </w:r>
          </w:p>
        </w:tc>
        <w:tc>
          <w:tcPr>
            <w:tcW w:w="2552" w:type="dxa"/>
            <w:shd w:val="clear" w:color="auto" w:fill="D9D9D9"/>
          </w:tcPr>
          <w:p w14:paraId="65EC80E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Aurukun</w:t>
            </w:r>
          </w:p>
        </w:tc>
        <w:tc>
          <w:tcPr>
            <w:tcW w:w="3543" w:type="dxa"/>
            <w:shd w:val="clear" w:color="auto" w:fill="D9D9D9"/>
          </w:tcPr>
          <w:p w14:paraId="3D19C269" w14:textId="70F94170"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BCAB64C" w14:textId="77777777" w:rsidTr="00141925">
        <w:tc>
          <w:tcPr>
            <w:tcW w:w="4111" w:type="dxa"/>
            <w:shd w:val="clear" w:color="auto" w:fill="D9D9D9"/>
          </w:tcPr>
          <w:p w14:paraId="6B09CC0A"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Cherbourg Shire Council</w:t>
            </w:r>
          </w:p>
        </w:tc>
        <w:tc>
          <w:tcPr>
            <w:tcW w:w="2552" w:type="dxa"/>
            <w:shd w:val="clear" w:color="auto" w:fill="D9D9D9"/>
          </w:tcPr>
          <w:p w14:paraId="71E59204"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Cherbourg</w:t>
            </w:r>
          </w:p>
        </w:tc>
        <w:tc>
          <w:tcPr>
            <w:tcW w:w="3543" w:type="dxa"/>
            <w:shd w:val="clear" w:color="auto" w:fill="D9D9D9"/>
          </w:tcPr>
          <w:p w14:paraId="0F1FA35C" w14:textId="16D21F7B"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630DA347" w14:textId="77777777" w:rsidTr="00141925">
        <w:tc>
          <w:tcPr>
            <w:tcW w:w="4111" w:type="dxa"/>
            <w:shd w:val="clear" w:color="auto" w:fill="D9D9D9"/>
          </w:tcPr>
          <w:p w14:paraId="3AC04C17"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Cook Shire Council</w:t>
            </w:r>
          </w:p>
        </w:tc>
        <w:tc>
          <w:tcPr>
            <w:tcW w:w="2552" w:type="dxa"/>
            <w:shd w:val="clear" w:color="auto" w:fill="D9D9D9"/>
          </w:tcPr>
          <w:p w14:paraId="7E33D6F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Coen</w:t>
            </w:r>
          </w:p>
        </w:tc>
        <w:tc>
          <w:tcPr>
            <w:tcW w:w="3543" w:type="dxa"/>
            <w:shd w:val="clear" w:color="auto" w:fill="D9D9D9"/>
          </w:tcPr>
          <w:p w14:paraId="25CA7595" w14:textId="40D5CCDE"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10E2B19B" w14:textId="77777777" w:rsidTr="00141925">
        <w:tc>
          <w:tcPr>
            <w:tcW w:w="4111" w:type="dxa"/>
            <w:shd w:val="clear" w:color="auto" w:fill="D9D9D9"/>
          </w:tcPr>
          <w:p w14:paraId="1D3DC5F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Doomadgee Aboriginal Shire Council</w:t>
            </w:r>
          </w:p>
        </w:tc>
        <w:tc>
          <w:tcPr>
            <w:tcW w:w="2552" w:type="dxa"/>
            <w:shd w:val="clear" w:color="auto" w:fill="D9D9D9"/>
          </w:tcPr>
          <w:p w14:paraId="65DF7EA6"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Doomadgee</w:t>
            </w:r>
          </w:p>
        </w:tc>
        <w:tc>
          <w:tcPr>
            <w:tcW w:w="3543" w:type="dxa"/>
            <w:shd w:val="clear" w:color="auto" w:fill="D9D9D9"/>
          </w:tcPr>
          <w:p w14:paraId="4A0A86D0" w14:textId="490F6516"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8E305EE" w14:textId="77777777" w:rsidTr="00141925">
        <w:tc>
          <w:tcPr>
            <w:tcW w:w="4111" w:type="dxa"/>
            <w:shd w:val="clear" w:color="auto" w:fill="D9D9D9"/>
          </w:tcPr>
          <w:p w14:paraId="63C44B3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Hope Vale Aboriginal Shire Council</w:t>
            </w:r>
          </w:p>
        </w:tc>
        <w:tc>
          <w:tcPr>
            <w:tcW w:w="2552" w:type="dxa"/>
            <w:shd w:val="clear" w:color="auto" w:fill="D9D9D9"/>
          </w:tcPr>
          <w:p w14:paraId="7C85865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Hope Vale</w:t>
            </w:r>
          </w:p>
        </w:tc>
        <w:tc>
          <w:tcPr>
            <w:tcW w:w="3543" w:type="dxa"/>
            <w:shd w:val="clear" w:color="auto" w:fill="D9D9D9"/>
          </w:tcPr>
          <w:p w14:paraId="2980AFBF" w14:textId="6D7700CC"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6315F50D" w14:textId="77777777" w:rsidTr="00141925">
        <w:tc>
          <w:tcPr>
            <w:tcW w:w="4111" w:type="dxa"/>
          </w:tcPr>
          <w:p w14:paraId="4867699B"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Hope Vale Congress</w:t>
            </w:r>
          </w:p>
        </w:tc>
        <w:tc>
          <w:tcPr>
            <w:tcW w:w="2552" w:type="dxa"/>
          </w:tcPr>
          <w:p w14:paraId="424B3999"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Hope Vale</w:t>
            </w:r>
          </w:p>
        </w:tc>
        <w:tc>
          <w:tcPr>
            <w:tcW w:w="3543" w:type="dxa"/>
          </w:tcPr>
          <w:p w14:paraId="5AED77B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Rural Based Master Plan underway</w:t>
            </w:r>
          </w:p>
        </w:tc>
      </w:tr>
      <w:tr w:rsidR="00BD77D8" w:rsidRPr="00BD77D8" w14:paraId="1ED4FDE3" w14:textId="77777777" w:rsidTr="00141925">
        <w:tc>
          <w:tcPr>
            <w:tcW w:w="4111" w:type="dxa"/>
            <w:shd w:val="clear" w:color="auto" w:fill="D9D9D9"/>
          </w:tcPr>
          <w:p w14:paraId="5C66EA8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Kowanyama Aboriginal Shire Council</w:t>
            </w:r>
          </w:p>
        </w:tc>
        <w:tc>
          <w:tcPr>
            <w:tcW w:w="2552" w:type="dxa"/>
            <w:shd w:val="clear" w:color="auto" w:fill="D9D9D9"/>
          </w:tcPr>
          <w:p w14:paraId="73414CE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Kowanyama</w:t>
            </w:r>
          </w:p>
        </w:tc>
        <w:tc>
          <w:tcPr>
            <w:tcW w:w="3543" w:type="dxa"/>
            <w:shd w:val="clear" w:color="auto" w:fill="D9D9D9"/>
          </w:tcPr>
          <w:p w14:paraId="2B3156A0" w14:textId="3A564EDE"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883C354" w14:textId="77777777" w:rsidTr="00141925">
        <w:tc>
          <w:tcPr>
            <w:tcW w:w="4111" w:type="dxa"/>
            <w:shd w:val="clear" w:color="auto" w:fill="D9D9D9"/>
          </w:tcPr>
          <w:p w14:paraId="6C1CA50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Lockhart River Aboriginal Shire Council</w:t>
            </w:r>
          </w:p>
        </w:tc>
        <w:tc>
          <w:tcPr>
            <w:tcW w:w="2552" w:type="dxa"/>
            <w:shd w:val="clear" w:color="auto" w:fill="D9D9D9"/>
          </w:tcPr>
          <w:p w14:paraId="21F5281D"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Lockhart River</w:t>
            </w:r>
          </w:p>
        </w:tc>
        <w:tc>
          <w:tcPr>
            <w:tcW w:w="3543" w:type="dxa"/>
            <w:shd w:val="clear" w:color="auto" w:fill="D9D9D9"/>
          </w:tcPr>
          <w:p w14:paraId="55109728" w14:textId="0B180C4D"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681739C" w14:textId="77777777" w:rsidTr="00141925">
        <w:tc>
          <w:tcPr>
            <w:tcW w:w="4111" w:type="dxa"/>
            <w:shd w:val="clear" w:color="auto" w:fill="D9D9D9"/>
          </w:tcPr>
          <w:p w14:paraId="71E959A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Mapoon Aboriginal Shire Council</w:t>
            </w:r>
          </w:p>
        </w:tc>
        <w:tc>
          <w:tcPr>
            <w:tcW w:w="2552" w:type="dxa"/>
            <w:shd w:val="clear" w:color="auto" w:fill="D9D9D9"/>
          </w:tcPr>
          <w:p w14:paraId="2020A04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Mapoon</w:t>
            </w:r>
          </w:p>
        </w:tc>
        <w:tc>
          <w:tcPr>
            <w:tcW w:w="3543" w:type="dxa"/>
            <w:shd w:val="clear" w:color="auto" w:fill="D9D9D9"/>
          </w:tcPr>
          <w:p w14:paraId="1EB08F98" w14:textId="76CBC18A"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2C4A5B10" w14:textId="77777777" w:rsidTr="00141925">
        <w:tc>
          <w:tcPr>
            <w:tcW w:w="4111" w:type="dxa"/>
            <w:shd w:val="clear" w:color="auto" w:fill="D9D9D9"/>
          </w:tcPr>
          <w:p w14:paraId="5F3D2D1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Mornington Shire Council</w:t>
            </w:r>
          </w:p>
        </w:tc>
        <w:tc>
          <w:tcPr>
            <w:tcW w:w="2552" w:type="dxa"/>
            <w:shd w:val="clear" w:color="auto" w:fill="D9D9D9"/>
          </w:tcPr>
          <w:p w14:paraId="48F8C51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Mornington Island</w:t>
            </w:r>
          </w:p>
        </w:tc>
        <w:tc>
          <w:tcPr>
            <w:tcW w:w="3543" w:type="dxa"/>
            <w:shd w:val="clear" w:color="auto" w:fill="D9D9D9"/>
          </w:tcPr>
          <w:p w14:paraId="0AAD0FF8" w14:textId="29FD4444"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5AA09B8D" w14:textId="77777777" w:rsidTr="00141925">
        <w:tc>
          <w:tcPr>
            <w:tcW w:w="4111" w:type="dxa"/>
            <w:shd w:val="clear" w:color="auto" w:fill="D9D9D9"/>
          </w:tcPr>
          <w:p w14:paraId="3B94309B"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Napranum Shire Council</w:t>
            </w:r>
          </w:p>
        </w:tc>
        <w:tc>
          <w:tcPr>
            <w:tcW w:w="2552" w:type="dxa"/>
            <w:shd w:val="clear" w:color="auto" w:fill="D9D9D9"/>
          </w:tcPr>
          <w:p w14:paraId="3F19823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Napranum</w:t>
            </w:r>
          </w:p>
        </w:tc>
        <w:tc>
          <w:tcPr>
            <w:tcW w:w="3543" w:type="dxa"/>
            <w:shd w:val="clear" w:color="auto" w:fill="D9D9D9"/>
          </w:tcPr>
          <w:p w14:paraId="50A4BAD7" w14:textId="0CFC63D2"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00524BF2" w14:textId="77777777" w:rsidTr="00141925">
        <w:tc>
          <w:tcPr>
            <w:tcW w:w="4111" w:type="dxa"/>
            <w:shd w:val="clear" w:color="auto" w:fill="D9D9D9"/>
          </w:tcPr>
          <w:p w14:paraId="5E7C5B1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Northern Peninsula Area Regional Council</w:t>
            </w:r>
          </w:p>
        </w:tc>
        <w:tc>
          <w:tcPr>
            <w:tcW w:w="2552" w:type="dxa"/>
            <w:shd w:val="clear" w:color="auto" w:fill="D9D9D9"/>
          </w:tcPr>
          <w:p w14:paraId="63BE9C2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Bamaga, Injinoo, Seisia, Umagico, New Mapoon</w:t>
            </w:r>
          </w:p>
        </w:tc>
        <w:tc>
          <w:tcPr>
            <w:tcW w:w="3543" w:type="dxa"/>
            <w:shd w:val="clear" w:color="auto" w:fill="D9D9D9"/>
          </w:tcPr>
          <w:p w14:paraId="2278689E" w14:textId="6E81F7BB"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1E0E4D4E" w14:textId="77777777" w:rsidTr="00141925">
        <w:tc>
          <w:tcPr>
            <w:tcW w:w="4111" w:type="dxa"/>
          </w:tcPr>
          <w:p w14:paraId="70382E8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Northern Peninsula Area Regional Council</w:t>
            </w:r>
          </w:p>
        </w:tc>
        <w:tc>
          <w:tcPr>
            <w:tcW w:w="2552" w:type="dxa"/>
          </w:tcPr>
          <w:p w14:paraId="365D999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Northern Peninsula Area</w:t>
            </w:r>
          </w:p>
        </w:tc>
        <w:tc>
          <w:tcPr>
            <w:tcW w:w="3543" w:type="dxa"/>
          </w:tcPr>
          <w:p w14:paraId="3FD9B55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Rural Master Plan nearing completion</w:t>
            </w:r>
          </w:p>
        </w:tc>
      </w:tr>
      <w:tr w:rsidR="00BD77D8" w:rsidRPr="00BD77D8" w14:paraId="690003A0" w14:textId="77777777" w:rsidTr="00141925">
        <w:tc>
          <w:tcPr>
            <w:tcW w:w="4111" w:type="dxa"/>
            <w:shd w:val="clear" w:color="auto" w:fill="D9D9D9"/>
          </w:tcPr>
          <w:p w14:paraId="25B8717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Palm Island Aboriginal Shire Council</w:t>
            </w:r>
          </w:p>
        </w:tc>
        <w:tc>
          <w:tcPr>
            <w:tcW w:w="2552" w:type="dxa"/>
            <w:shd w:val="clear" w:color="auto" w:fill="D9D9D9"/>
          </w:tcPr>
          <w:p w14:paraId="2FE6C58B"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Palm Island</w:t>
            </w:r>
          </w:p>
        </w:tc>
        <w:tc>
          <w:tcPr>
            <w:tcW w:w="3543" w:type="dxa"/>
            <w:shd w:val="clear" w:color="auto" w:fill="D9D9D9"/>
          </w:tcPr>
          <w:p w14:paraId="43352602" w14:textId="10C76784"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B9A693E" w14:textId="77777777" w:rsidTr="00141925">
        <w:tc>
          <w:tcPr>
            <w:tcW w:w="4111" w:type="dxa"/>
            <w:shd w:val="clear" w:color="auto" w:fill="D9D9D9"/>
          </w:tcPr>
          <w:p w14:paraId="4097F65A"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Pormpuraaw Aboriginal Shire Council</w:t>
            </w:r>
          </w:p>
        </w:tc>
        <w:tc>
          <w:tcPr>
            <w:tcW w:w="2552" w:type="dxa"/>
            <w:shd w:val="clear" w:color="auto" w:fill="D9D9D9"/>
          </w:tcPr>
          <w:p w14:paraId="20D2C3B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Pormpuraaw</w:t>
            </w:r>
          </w:p>
        </w:tc>
        <w:tc>
          <w:tcPr>
            <w:tcW w:w="3543" w:type="dxa"/>
            <w:shd w:val="clear" w:color="auto" w:fill="D9D9D9"/>
          </w:tcPr>
          <w:p w14:paraId="50AC433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Revision of Urban Master Plan completed</w:t>
            </w:r>
          </w:p>
        </w:tc>
      </w:tr>
      <w:tr w:rsidR="00BD77D8" w:rsidRPr="00BD77D8" w14:paraId="1200A2BE" w14:textId="77777777" w:rsidTr="00141925">
        <w:tc>
          <w:tcPr>
            <w:tcW w:w="4111" w:type="dxa"/>
            <w:shd w:val="clear" w:color="auto" w:fill="D9D9D9"/>
          </w:tcPr>
          <w:p w14:paraId="6DC4636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Shire Council</w:t>
            </w:r>
          </w:p>
        </w:tc>
        <w:tc>
          <w:tcPr>
            <w:tcW w:w="2552" w:type="dxa"/>
            <w:shd w:val="clear" w:color="auto" w:fill="D9D9D9"/>
          </w:tcPr>
          <w:p w14:paraId="22279987"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Wasaga (Horn Island)</w:t>
            </w:r>
          </w:p>
        </w:tc>
        <w:tc>
          <w:tcPr>
            <w:tcW w:w="3543" w:type="dxa"/>
            <w:shd w:val="clear" w:color="auto" w:fill="D9D9D9"/>
          </w:tcPr>
          <w:p w14:paraId="6439A1CA" w14:textId="06172C81"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DF7F956" w14:textId="77777777" w:rsidTr="00141925">
        <w:tc>
          <w:tcPr>
            <w:tcW w:w="4111" w:type="dxa"/>
            <w:shd w:val="clear" w:color="auto" w:fill="D0CECE"/>
          </w:tcPr>
          <w:p w14:paraId="3D701D2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111A471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Badu Island</w:t>
            </w:r>
          </w:p>
        </w:tc>
        <w:tc>
          <w:tcPr>
            <w:tcW w:w="3543" w:type="dxa"/>
            <w:shd w:val="clear" w:color="auto" w:fill="D0CECE"/>
          </w:tcPr>
          <w:p w14:paraId="3827125B" w14:textId="71045378"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42A034AF" w14:textId="77777777" w:rsidTr="00141925">
        <w:tc>
          <w:tcPr>
            <w:tcW w:w="4111" w:type="dxa"/>
            <w:shd w:val="clear" w:color="auto" w:fill="D0CECE"/>
          </w:tcPr>
          <w:p w14:paraId="3D252EA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567AE74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Boigu Island</w:t>
            </w:r>
          </w:p>
        </w:tc>
        <w:tc>
          <w:tcPr>
            <w:tcW w:w="3543" w:type="dxa"/>
            <w:shd w:val="clear" w:color="auto" w:fill="D0CECE"/>
          </w:tcPr>
          <w:p w14:paraId="44065964" w14:textId="68BCA4E4"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4320B1AA" w14:textId="77777777" w:rsidTr="00141925">
        <w:tc>
          <w:tcPr>
            <w:tcW w:w="4111" w:type="dxa"/>
            <w:shd w:val="clear" w:color="auto" w:fill="D0CECE"/>
          </w:tcPr>
          <w:p w14:paraId="1711F1D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2678B8C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Dauan Island</w:t>
            </w:r>
          </w:p>
        </w:tc>
        <w:tc>
          <w:tcPr>
            <w:tcW w:w="3543" w:type="dxa"/>
            <w:shd w:val="clear" w:color="auto" w:fill="D0CECE"/>
          </w:tcPr>
          <w:p w14:paraId="00547532" w14:textId="582B0E6E"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7B0A9DCC" w14:textId="77777777" w:rsidTr="00141925">
        <w:tc>
          <w:tcPr>
            <w:tcW w:w="4111" w:type="dxa"/>
            <w:shd w:val="clear" w:color="auto" w:fill="D0CECE"/>
          </w:tcPr>
          <w:p w14:paraId="584CB0E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112C917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Erub Island</w:t>
            </w:r>
          </w:p>
        </w:tc>
        <w:tc>
          <w:tcPr>
            <w:tcW w:w="3543" w:type="dxa"/>
            <w:shd w:val="clear" w:color="auto" w:fill="D0CECE"/>
          </w:tcPr>
          <w:p w14:paraId="75D4AD55" w14:textId="48809C02"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3B10FA26" w14:textId="77777777" w:rsidTr="00141925">
        <w:tc>
          <w:tcPr>
            <w:tcW w:w="4111" w:type="dxa"/>
            <w:shd w:val="clear" w:color="auto" w:fill="D9D9D9"/>
          </w:tcPr>
          <w:p w14:paraId="6154882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cPr>
          <w:p w14:paraId="02F73EEC"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Hammond Island</w:t>
            </w:r>
          </w:p>
        </w:tc>
        <w:tc>
          <w:tcPr>
            <w:tcW w:w="3543" w:type="dxa"/>
            <w:shd w:val="clear" w:color="auto" w:fill="D9D9D9"/>
          </w:tcPr>
          <w:p w14:paraId="62358A8C" w14:textId="2990D55F"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9BA9D0F" w14:textId="77777777" w:rsidTr="00141925">
        <w:tc>
          <w:tcPr>
            <w:tcW w:w="4111" w:type="dxa"/>
            <w:shd w:val="clear" w:color="auto" w:fill="D9D9D9"/>
          </w:tcPr>
          <w:p w14:paraId="155953C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cPr>
          <w:p w14:paraId="1EEEE5B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Iama Island</w:t>
            </w:r>
          </w:p>
        </w:tc>
        <w:tc>
          <w:tcPr>
            <w:tcW w:w="3543" w:type="dxa"/>
            <w:shd w:val="clear" w:color="auto" w:fill="D9D9D9"/>
          </w:tcPr>
          <w:p w14:paraId="4DEE4ADB" w14:textId="71DA8423"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9959D2B" w14:textId="77777777" w:rsidTr="00141925">
        <w:tc>
          <w:tcPr>
            <w:tcW w:w="4111" w:type="dxa"/>
            <w:shd w:val="clear" w:color="auto" w:fill="D0CECE"/>
          </w:tcPr>
          <w:p w14:paraId="172818B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lastRenderedPageBreak/>
              <w:t>Torres Strait Island Regional Council</w:t>
            </w:r>
          </w:p>
        </w:tc>
        <w:tc>
          <w:tcPr>
            <w:tcW w:w="2552" w:type="dxa"/>
            <w:shd w:val="clear" w:color="auto" w:fill="D0CECE"/>
          </w:tcPr>
          <w:p w14:paraId="7848531B"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Kubin Community Moa Island</w:t>
            </w:r>
          </w:p>
        </w:tc>
        <w:tc>
          <w:tcPr>
            <w:tcW w:w="3543" w:type="dxa"/>
            <w:shd w:val="clear" w:color="auto" w:fill="D0CECE"/>
          </w:tcPr>
          <w:p w14:paraId="09A928F9" w14:textId="55950689"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 xml:space="preserve">ompleted </w:t>
            </w:r>
          </w:p>
        </w:tc>
      </w:tr>
      <w:tr w:rsidR="00BD77D8" w:rsidRPr="00BD77D8" w14:paraId="209A34B1" w14:textId="77777777" w:rsidTr="00141925">
        <w:tc>
          <w:tcPr>
            <w:tcW w:w="4111" w:type="dxa"/>
            <w:shd w:val="clear" w:color="auto" w:fill="D0CECE"/>
          </w:tcPr>
          <w:p w14:paraId="3BBB43C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0CECE"/>
          </w:tcPr>
          <w:p w14:paraId="1A230162"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Mabuiag Island</w:t>
            </w:r>
          </w:p>
        </w:tc>
        <w:tc>
          <w:tcPr>
            <w:tcW w:w="3543" w:type="dxa"/>
            <w:shd w:val="clear" w:color="auto" w:fill="D0CECE"/>
          </w:tcPr>
          <w:p w14:paraId="4BF8BDE7" w14:textId="1C17457A"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Master Plan </w:t>
            </w:r>
            <w:r w:rsidR="00A901B7" w:rsidRPr="00BD77D8">
              <w:rPr>
                <w:rFonts w:ascii="Arial" w:hAnsi="Arial"/>
              </w:rPr>
              <w:t>c</w:t>
            </w:r>
            <w:r w:rsidRPr="00BD77D8">
              <w:rPr>
                <w:rFonts w:ascii="Arial" w:hAnsi="Arial"/>
              </w:rPr>
              <w:t>ompleted</w:t>
            </w:r>
          </w:p>
        </w:tc>
      </w:tr>
      <w:tr w:rsidR="00BD77D8" w:rsidRPr="00BD77D8" w14:paraId="4DB6E33C" w14:textId="77777777" w:rsidTr="00141925">
        <w:tc>
          <w:tcPr>
            <w:tcW w:w="4111" w:type="dxa"/>
            <w:shd w:val="clear" w:color="auto" w:fill="D9D9D9"/>
          </w:tcPr>
          <w:p w14:paraId="56E421B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cPr>
          <w:p w14:paraId="08EF861D"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Masig Island</w:t>
            </w:r>
          </w:p>
        </w:tc>
        <w:tc>
          <w:tcPr>
            <w:tcW w:w="3543" w:type="dxa"/>
            <w:shd w:val="clear" w:color="auto" w:fill="D9D9D9"/>
          </w:tcPr>
          <w:p w14:paraId="67F8C553" w14:textId="46719972"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2C98B487" w14:textId="77777777" w:rsidTr="00154F3A">
        <w:tc>
          <w:tcPr>
            <w:tcW w:w="4111" w:type="dxa"/>
            <w:shd w:val="clear" w:color="auto" w:fill="D9D9D9" w:themeFill="background1" w:themeFillShade="D9"/>
          </w:tcPr>
          <w:p w14:paraId="7C3845B7" w14:textId="77777777" w:rsidR="00141925" w:rsidRPr="00BD77D8" w:rsidRDefault="00141925" w:rsidP="0052356E">
            <w:pPr>
              <w:autoSpaceDE w:val="0"/>
              <w:autoSpaceDN w:val="0"/>
              <w:adjustRightInd w:val="0"/>
              <w:spacing w:before="120" w:after="120" w:line="240" w:lineRule="auto"/>
              <w:rPr>
                <w:rFonts w:ascii="Arial" w:hAnsi="Arial"/>
              </w:rPr>
            </w:pPr>
            <w:r w:rsidRPr="00BD77D8">
              <w:rPr>
                <w:rFonts w:ascii="Arial" w:hAnsi="Arial"/>
              </w:rPr>
              <w:t>Torres Strait Island Regional Council</w:t>
            </w:r>
          </w:p>
        </w:tc>
        <w:tc>
          <w:tcPr>
            <w:tcW w:w="2552" w:type="dxa"/>
            <w:shd w:val="clear" w:color="auto" w:fill="D9D9D9" w:themeFill="background1" w:themeFillShade="D9"/>
          </w:tcPr>
          <w:p w14:paraId="15D78448" w14:textId="77777777" w:rsidR="00141925" w:rsidRPr="00BD77D8" w:rsidRDefault="00141925" w:rsidP="0052356E">
            <w:pPr>
              <w:autoSpaceDE w:val="0"/>
              <w:autoSpaceDN w:val="0"/>
              <w:adjustRightInd w:val="0"/>
              <w:spacing w:before="120" w:after="120" w:line="240" w:lineRule="auto"/>
              <w:rPr>
                <w:rFonts w:ascii="Arial" w:hAnsi="Arial"/>
              </w:rPr>
            </w:pPr>
            <w:r w:rsidRPr="00BD77D8">
              <w:rPr>
                <w:rFonts w:ascii="Arial" w:hAnsi="Arial"/>
              </w:rPr>
              <w:t>Mer Island</w:t>
            </w:r>
          </w:p>
        </w:tc>
        <w:tc>
          <w:tcPr>
            <w:tcW w:w="3543" w:type="dxa"/>
            <w:shd w:val="clear" w:color="auto" w:fill="D9D9D9" w:themeFill="background1" w:themeFillShade="D9"/>
          </w:tcPr>
          <w:p w14:paraId="07FA68F2" w14:textId="39013585" w:rsidR="00141925" w:rsidRPr="00BD77D8" w:rsidRDefault="00141925" w:rsidP="0052356E">
            <w:pPr>
              <w:autoSpaceDE w:val="0"/>
              <w:autoSpaceDN w:val="0"/>
              <w:adjustRightInd w:val="0"/>
              <w:spacing w:before="120" w:after="120" w:line="240" w:lineRule="auto"/>
              <w:rPr>
                <w:rFonts w:ascii="Arial" w:hAnsi="Arial"/>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B6FCED6" w14:textId="77777777" w:rsidTr="00141925">
        <w:tc>
          <w:tcPr>
            <w:tcW w:w="4111" w:type="dxa"/>
            <w:shd w:val="clear" w:color="auto" w:fill="D9D9D9"/>
          </w:tcPr>
          <w:p w14:paraId="795263C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cPr>
          <w:p w14:paraId="68C9AC3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Poruma</w:t>
            </w:r>
          </w:p>
        </w:tc>
        <w:tc>
          <w:tcPr>
            <w:tcW w:w="3543" w:type="dxa"/>
            <w:shd w:val="clear" w:color="auto" w:fill="D9D9D9"/>
          </w:tcPr>
          <w:p w14:paraId="1BE1AB28" w14:textId="05856C49"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4BD59A1" w14:textId="77777777" w:rsidTr="00154F3A">
        <w:tc>
          <w:tcPr>
            <w:tcW w:w="4111" w:type="dxa"/>
            <w:shd w:val="clear" w:color="auto" w:fill="D9D9D9" w:themeFill="background1" w:themeFillShade="D9"/>
          </w:tcPr>
          <w:p w14:paraId="4B5EAF26"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hemeFill="background1" w:themeFillShade="D9"/>
          </w:tcPr>
          <w:p w14:paraId="0A72229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Saibai Island</w:t>
            </w:r>
          </w:p>
        </w:tc>
        <w:tc>
          <w:tcPr>
            <w:tcW w:w="3543" w:type="dxa"/>
            <w:shd w:val="clear" w:color="auto" w:fill="D9D9D9" w:themeFill="background1" w:themeFillShade="D9"/>
          </w:tcPr>
          <w:p w14:paraId="57A6CAC2" w14:textId="5D0C273E"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4CE2DE8B" w14:textId="77777777" w:rsidTr="00154F3A">
        <w:tc>
          <w:tcPr>
            <w:tcW w:w="4111" w:type="dxa"/>
            <w:shd w:val="clear" w:color="auto" w:fill="D9D9D9" w:themeFill="background1" w:themeFillShade="D9"/>
          </w:tcPr>
          <w:p w14:paraId="5F24579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hemeFill="background1" w:themeFillShade="D9"/>
          </w:tcPr>
          <w:p w14:paraId="10404CF7"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St Pauls Community Moa Island</w:t>
            </w:r>
          </w:p>
        </w:tc>
        <w:tc>
          <w:tcPr>
            <w:tcW w:w="3543" w:type="dxa"/>
            <w:shd w:val="clear" w:color="auto" w:fill="D9D9D9" w:themeFill="background1" w:themeFillShade="D9"/>
          </w:tcPr>
          <w:p w14:paraId="0DD559CE" w14:textId="5CED27C8"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B21E8EA" w14:textId="77777777" w:rsidTr="00154F3A">
        <w:tc>
          <w:tcPr>
            <w:tcW w:w="4111" w:type="dxa"/>
            <w:shd w:val="clear" w:color="auto" w:fill="D9D9D9" w:themeFill="background1" w:themeFillShade="D9"/>
          </w:tcPr>
          <w:p w14:paraId="368068D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hemeFill="background1" w:themeFillShade="D9"/>
          </w:tcPr>
          <w:p w14:paraId="7743D57A"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Ugar Island</w:t>
            </w:r>
          </w:p>
        </w:tc>
        <w:tc>
          <w:tcPr>
            <w:tcW w:w="3543" w:type="dxa"/>
            <w:shd w:val="clear" w:color="auto" w:fill="D9D9D9" w:themeFill="background1" w:themeFillShade="D9"/>
          </w:tcPr>
          <w:p w14:paraId="00619871" w14:textId="7C7F2449"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6FB4F9C4" w14:textId="77777777" w:rsidTr="00154F3A">
        <w:tc>
          <w:tcPr>
            <w:tcW w:w="4111" w:type="dxa"/>
            <w:shd w:val="clear" w:color="auto" w:fill="D9D9D9" w:themeFill="background1" w:themeFillShade="D9"/>
          </w:tcPr>
          <w:p w14:paraId="1EF125E3"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Torres Strait Island Regional Council</w:t>
            </w:r>
          </w:p>
        </w:tc>
        <w:tc>
          <w:tcPr>
            <w:tcW w:w="2552" w:type="dxa"/>
            <w:shd w:val="clear" w:color="auto" w:fill="D9D9D9" w:themeFill="background1" w:themeFillShade="D9"/>
          </w:tcPr>
          <w:p w14:paraId="24474544"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Warraber Island</w:t>
            </w:r>
          </w:p>
        </w:tc>
        <w:tc>
          <w:tcPr>
            <w:tcW w:w="3543" w:type="dxa"/>
            <w:shd w:val="clear" w:color="auto" w:fill="D9D9D9" w:themeFill="background1" w:themeFillShade="D9"/>
          </w:tcPr>
          <w:p w14:paraId="5D390656" w14:textId="77CB5701"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26F65F2" w14:textId="77777777" w:rsidTr="00141925">
        <w:tc>
          <w:tcPr>
            <w:tcW w:w="4111" w:type="dxa"/>
            <w:shd w:val="clear" w:color="auto" w:fill="D9D9D9"/>
          </w:tcPr>
          <w:p w14:paraId="0CDEBCF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Woorabinda Aboriginal Shire Council</w:t>
            </w:r>
          </w:p>
        </w:tc>
        <w:tc>
          <w:tcPr>
            <w:tcW w:w="2552" w:type="dxa"/>
            <w:shd w:val="clear" w:color="auto" w:fill="D9D9D9"/>
          </w:tcPr>
          <w:p w14:paraId="5803B415"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Woorabinda</w:t>
            </w:r>
          </w:p>
        </w:tc>
        <w:tc>
          <w:tcPr>
            <w:tcW w:w="3543" w:type="dxa"/>
            <w:shd w:val="clear" w:color="auto" w:fill="D9D9D9"/>
          </w:tcPr>
          <w:p w14:paraId="2120627F" w14:textId="7A4CFF63"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37C2C551" w14:textId="77777777" w:rsidTr="00141925">
        <w:tc>
          <w:tcPr>
            <w:tcW w:w="4111" w:type="dxa"/>
          </w:tcPr>
          <w:p w14:paraId="36A6DD84"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Woorabinda Aboriginal Shire Council</w:t>
            </w:r>
          </w:p>
        </w:tc>
        <w:tc>
          <w:tcPr>
            <w:tcW w:w="2552" w:type="dxa"/>
          </w:tcPr>
          <w:p w14:paraId="3A8CDA4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Woorabinda</w:t>
            </w:r>
          </w:p>
        </w:tc>
        <w:tc>
          <w:tcPr>
            <w:tcW w:w="3543" w:type="dxa"/>
          </w:tcPr>
          <w:p w14:paraId="489FDBDF"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Rural Master Plan nearing completion</w:t>
            </w:r>
          </w:p>
        </w:tc>
      </w:tr>
      <w:tr w:rsidR="00BD77D8" w:rsidRPr="00BD77D8" w14:paraId="5BFCC416" w14:textId="77777777" w:rsidTr="00154F3A">
        <w:tc>
          <w:tcPr>
            <w:tcW w:w="4111" w:type="dxa"/>
            <w:shd w:val="clear" w:color="auto" w:fill="D9D9D9" w:themeFill="background1" w:themeFillShade="D9"/>
          </w:tcPr>
          <w:p w14:paraId="46187CF5" w14:textId="77777777" w:rsidR="00141925" w:rsidRPr="00BD77D8" w:rsidRDefault="00141925" w:rsidP="0052356E">
            <w:pPr>
              <w:autoSpaceDE w:val="0"/>
              <w:autoSpaceDN w:val="0"/>
              <w:adjustRightInd w:val="0"/>
              <w:spacing w:before="120" w:after="120" w:line="240" w:lineRule="auto"/>
              <w:rPr>
                <w:rFonts w:ascii="Arial" w:hAnsi="Arial"/>
                <w:b/>
                <w:bCs/>
              </w:rPr>
            </w:pP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r w:rsidRPr="00BD77D8">
              <w:rPr>
                <w:rFonts w:ascii="Arial" w:hAnsi="Arial"/>
              </w:rPr>
              <w:t xml:space="preserve"> Aboriginal Shire Council</w:t>
            </w:r>
          </w:p>
        </w:tc>
        <w:tc>
          <w:tcPr>
            <w:tcW w:w="2552" w:type="dxa"/>
            <w:shd w:val="clear" w:color="auto" w:fill="D9D9D9" w:themeFill="background1" w:themeFillShade="D9"/>
          </w:tcPr>
          <w:p w14:paraId="347E9640" w14:textId="77777777" w:rsidR="00141925" w:rsidRPr="00BD77D8" w:rsidRDefault="00141925" w:rsidP="0052356E">
            <w:pPr>
              <w:autoSpaceDE w:val="0"/>
              <w:autoSpaceDN w:val="0"/>
              <w:adjustRightInd w:val="0"/>
              <w:spacing w:before="120" w:after="120" w:line="240" w:lineRule="auto"/>
              <w:rPr>
                <w:rFonts w:ascii="Arial" w:hAnsi="Arial"/>
                <w:b/>
                <w:bCs/>
              </w:rPr>
            </w:pPr>
            <w:proofErr w:type="spellStart"/>
            <w:r w:rsidRPr="00BD77D8">
              <w:rPr>
                <w:rFonts w:ascii="Arial" w:hAnsi="Arial"/>
              </w:rPr>
              <w:t>Wujal</w:t>
            </w:r>
            <w:proofErr w:type="spellEnd"/>
            <w:r w:rsidRPr="00BD77D8">
              <w:rPr>
                <w:rFonts w:ascii="Arial" w:hAnsi="Arial"/>
              </w:rPr>
              <w:t xml:space="preserve"> </w:t>
            </w:r>
            <w:proofErr w:type="spellStart"/>
            <w:r w:rsidRPr="00BD77D8">
              <w:rPr>
                <w:rFonts w:ascii="Arial" w:hAnsi="Arial"/>
              </w:rPr>
              <w:t>Wujal</w:t>
            </w:r>
            <w:proofErr w:type="spellEnd"/>
          </w:p>
        </w:tc>
        <w:tc>
          <w:tcPr>
            <w:tcW w:w="3543" w:type="dxa"/>
            <w:shd w:val="clear" w:color="auto" w:fill="D9D9D9" w:themeFill="background1" w:themeFillShade="D9"/>
          </w:tcPr>
          <w:p w14:paraId="7756E785" w14:textId="340A6B32"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7C021C05" w14:textId="77777777" w:rsidTr="00154F3A">
        <w:tc>
          <w:tcPr>
            <w:tcW w:w="4111" w:type="dxa"/>
            <w:shd w:val="clear" w:color="auto" w:fill="D9D9D9" w:themeFill="background1" w:themeFillShade="D9"/>
          </w:tcPr>
          <w:p w14:paraId="0AFB7A0E"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Yarrabah Aboriginal Shire Council</w:t>
            </w:r>
          </w:p>
        </w:tc>
        <w:tc>
          <w:tcPr>
            <w:tcW w:w="2552" w:type="dxa"/>
            <w:shd w:val="clear" w:color="auto" w:fill="D9D9D9" w:themeFill="background1" w:themeFillShade="D9"/>
          </w:tcPr>
          <w:p w14:paraId="6C861A70"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Yarrabah</w:t>
            </w:r>
          </w:p>
        </w:tc>
        <w:tc>
          <w:tcPr>
            <w:tcW w:w="3543" w:type="dxa"/>
            <w:shd w:val="clear" w:color="auto" w:fill="D9D9D9" w:themeFill="background1" w:themeFillShade="D9"/>
          </w:tcPr>
          <w:p w14:paraId="6FB13318" w14:textId="584677B1"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 xml:space="preserve">Urban Master Plan </w:t>
            </w:r>
            <w:r w:rsidR="00A901B7" w:rsidRPr="00BD77D8">
              <w:rPr>
                <w:rFonts w:ascii="Arial" w:hAnsi="Arial"/>
              </w:rPr>
              <w:t>c</w:t>
            </w:r>
            <w:r w:rsidRPr="00BD77D8">
              <w:rPr>
                <w:rFonts w:ascii="Arial" w:hAnsi="Arial"/>
              </w:rPr>
              <w:t>ompleted</w:t>
            </w:r>
          </w:p>
        </w:tc>
      </w:tr>
      <w:tr w:rsidR="00BD77D8" w:rsidRPr="00BD77D8" w14:paraId="65522D25" w14:textId="77777777" w:rsidTr="00141925">
        <w:trPr>
          <w:trHeight w:val="1242"/>
        </w:trPr>
        <w:tc>
          <w:tcPr>
            <w:tcW w:w="4111" w:type="dxa"/>
          </w:tcPr>
          <w:p w14:paraId="77F9F934"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Yarrabah Aboriginal Shire Council</w:t>
            </w:r>
          </w:p>
        </w:tc>
        <w:tc>
          <w:tcPr>
            <w:tcW w:w="2552" w:type="dxa"/>
          </w:tcPr>
          <w:p w14:paraId="4BDA36CD"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Gunggandji-Mandingalbay Yidinji Peoples Prescribed Body Corporate (GMYPPBC)</w:t>
            </w:r>
          </w:p>
        </w:tc>
        <w:tc>
          <w:tcPr>
            <w:tcW w:w="3543" w:type="dxa"/>
          </w:tcPr>
          <w:p w14:paraId="0D753A81" w14:textId="77777777" w:rsidR="00141925" w:rsidRPr="00BD77D8" w:rsidRDefault="00141925" w:rsidP="0052356E">
            <w:pPr>
              <w:autoSpaceDE w:val="0"/>
              <w:autoSpaceDN w:val="0"/>
              <w:adjustRightInd w:val="0"/>
              <w:spacing w:before="120" w:after="120" w:line="240" w:lineRule="auto"/>
              <w:rPr>
                <w:rFonts w:ascii="Arial" w:hAnsi="Arial"/>
                <w:b/>
                <w:bCs/>
              </w:rPr>
            </w:pPr>
            <w:r w:rsidRPr="00BD77D8">
              <w:rPr>
                <w:rFonts w:ascii="Arial" w:hAnsi="Arial"/>
              </w:rPr>
              <w:t>Rural Master Plan nearing completion</w:t>
            </w:r>
          </w:p>
        </w:tc>
      </w:tr>
    </w:tbl>
    <w:p w14:paraId="676D6F68" w14:textId="6C57D965" w:rsidR="00141925" w:rsidRPr="00BD77D8" w:rsidRDefault="00141925">
      <w:pPr>
        <w:spacing w:after="0" w:line="240" w:lineRule="auto"/>
      </w:pPr>
    </w:p>
    <w:tbl>
      <w:tblPr>
        <w:tblStyle w:val="TableGrid"/>
        <w:tblW w:w="0" w:type="auto"/>
        <w:tblLook w:val="04A0" w:firstRow="1" w:lastRow="0" w:firstColumn="1" w:lastColumn="0" w:noHBand="0" w:noVBand="1"/>
      </w:tblPr>
      <w:tblGrid>
        <w:gridCol w:w="4248"/>
      </w:tblGrid>
      <w:tr w:rsidR="00BD77D8" w:rsidRPr="00BD77D8" w14:paraId="3C4799BD" w14:textId="77777777" w:rsidTr="00154F3A">
        <w:tc>
          <w:tcPr>
            <w:tcW w:w="4248" w:type="dxa"/>
          </w:tcPr>
          <w:p w14:paraId="4B274324" w14:textId="2D39FB1C" w:rsidR="00154F3A" w:rsidRPr="00BD77D8" w:rsidRDefault="00154F3A">
            <w:pPr>
              <w:spacing w:after="0" w:line="240" w:lineRule="auto"/>
              <w:rPr>
                <w:rFonts w:ascii="Arial" w:hAnsi="Arial"/>
                <w:b/>
                <w:bCs/>
                <w:sz w:val="18"/>
                <w:szCs w:val="18"/>
              </w:rPr>
            </w:pPr>
            <w:r w:rsidRPr="00BD77D8">
              <w:rPr>
                <w:rFonts w:ascii="Arial" w:hAnsi="Arial"/>
                <w:b/>
                <w:bCs/>
                <w:sz w:val="18"/>
                <w:szCs w:val="18"/>
              </w:rPr>
              <w:t>Legend</w:t>
            </w:r>
          </w:p>
        </w:tc>
      </w:tr>
      <w:tr w:rsidR="00BD77D8" w:rsidRPr="00BD77D8" w14:paraId="72FEC1F6" w14:textId="77777777" w:rsidTr="00154F3A">
        <w:tc>
          <w:tcPr>
            <w:tcW w:w="4248" w:type="dxa"/>
            <w:shd w:val="clear" w:color="auto" w:fill="BFBFBF" w:themeFill="background1" w:themeFillShade="BF"/>
          </w:tcPr>
          <w:p w14:paraId="531F4DF6" w14:textId="6DF9CF51" w:rsidR="00154F3A" w:rsidRPr="00BD77D8" w:rsidRDefault="00154F3A">
            <w:pPr>
              <w:spacing w:after="0" w:line="240" w:lineRule="auto"/>
              <w:rPr>
                <w:rFonts w:ascii="Arial" w:hAnsi="Arial"/>
                <w:sz w:val="18"/>
                <w:szCs w:val="18"/>
              </w:rPr>
            </w:pPr>
            <w:r w:rsidRPr="00BD77D8">
              <w:rPr>
                <w:rFonts w:ascii="Arial" w:hAnsi="Arial"/>
                <w:sz w:val="18"/>
                <w:szCs w:val="18"/>
              </w:rPr>
              <w:t xml:space="preserve">Master Plan </w:t>
            </w:r>
            <w:r w:rsidR="00A901B7" w:rsidRPr="00BD77D8">
              <w:rPr>
                <w:rFonts w:ascii="Arial" w:hAnsi="Arial"/>
                <w:sz w:val="18"/>
                <w:szCs w:val="18"/>
              </w:rPr>
              <w:t>c</w:t>
            </w:r>
            <w:r w:rsidRPr="00BD77D8">
              <w:rPr>
                <w:rFonts w:ascii="Arial" w:hAnsi="Arial"/>
                <w:sz w:val="18"/>
                <w:szCs w:val="18"/>
              </w:rPr>
              <w:t>ompleted</w:t>
            </w:r>
          </w:p>
        </w:tc>
      </w:tr>
      <w:tr w:rsidR="00BD77D8" w:rsidRPr="00BD77D8" w14:paraId="6D13D9CF" w14:textId="77777777" w:rsidTr="00154F3A">
        <w:tc>
          <w:tcPr>
            <w:tcW w:w="4248" w:type="dxa"/>
            <w:shd w:val="clear" w:color="auto" w:fill="D9D9D9" w:themeFill="background1" w:themeFillShade="D9"/>
          </w:tcPr>
          <w:p w14:paraId="21E1C373" w14:textId="6613345F" w:rsidR="00154F3A" w:rsidRPr="00BD77D8" w:rsidRDefault="00154F3A">
            <w:pPr>
              <w:spacing w:after="0" w:line="240" w:lineRule="auto"/>
              <w:rPr>
                <w:rFonts w:ascii="Arial" w:hAnsi="Arial"/>
                <w:sz w:val="18"/>
                <w:szCs w:val="18"/>
              </w:rPr>
            </w:pPr>
            <w:r w:rsidRPr="00BD77D8">
              <w:rPr>
                <w:rFonts w:ascii="Arial" w:hAnsi="Arial"/>
                <w:sz w:val="18"/>
                <w:szCs w:val="18"/>
              </w:rPr>
              <w:t xml:space="preserve">Urban Master Plan </w:t>
            </w:r>
            <w:r w:rsidR="00A901B7" w:rsidRPr="00BD77D8">
              <w:rPr>
                <w:rFonts w:ascii="Arial" w:hAnsi="Arial"/>
                <w:sz w:val="18"/>
                <w:szCs w:val="18"/>
              </w:rPr>
              <w:t>c</w:t>
            </w:r>
            <w:r w:rsidRPr="00BD77D8">
              <w:rPr>
                <w:rFonts w:ascii="Arial" w:hAnsi="Arial"/>
                <w:sz w:val="18"/>
                <w:szCs w:val="18"/>
              </w:rPr>
              <w:t>ompleted</w:t>
            </w:r>
          </w:p>
        </w:tc>
      </w:tr>
      <w:tr w:rsidR="00BD77D8" w:rsidRPr="00BD77D8" w14:paraId="31022873" w14:textId="77777777" w:rsidTr="00154F3A">
        <w:tc>
          <w:tcPr>
            <w:tcW w:w="4248" w:type="dxa"/>
          </w:tcPr>
          <w:p w14:paraId="2D97BB88" w14:textId="357A7CB9" w:rsidR="00154F3A" w:rsidRPr="00BD77D8" w:rsidRDefault="00154F3A">
            <w:pPr>
              <w:spacing w:after="0" w:line="240" w:lineRule="auto"/>
              <w:rPr>
                <w:rFonts w:ascii="Arial" w:hAnsi="Arial"/>
                <w:sz w:val="18"/>
                <w:szCs w:val="18"/>
              </w:rPr>
            </w:pPr>
            <w:r w:rsidRPr="00BD77D8">
              <w:rPr>
                <w:rFonts w:ascii="Arial" w:hAnsi="Arial"/>
                <w:sz w:val="18"/>
                <w:szCs w:val="18"/>
              </w:rPr>
              <w:t xml:space="preserve">Non-shaded – underway or nearing completion. </w:t>
            </w:r>
          </w:p>
        </w:tc>
      </w:tr>
    </w:tbl>
    <w:p w14:paraId="013BF81F" w14:textId="2A34CB01" w:rsidR="00141925" w:rsidRPr="00BD77D8" w:rsidRDefault="00141925">
      <w:pPr>
        <w:spacing w:after="0" w:line="240" w:lineRule="auto"/>
      </w:pPr>
      <w:r w:rsidRPr="00BD77D8">
        <w:br w:type="page"/>
      </w:r>
    </w:p>
    <w:p w14:paraId="1C31C3AD" w14:textId="4D387C22" w:rsidR="00807F67" w:rsidRPr="00BD77D8" w:rsidRDefault="00807F67" w:rsidP="00807F67">
      <w:pPr>
        <w:pStyle w:val="Heading2"/>
        <w:rPr>
          <w:color w:val="auto"/>
        </w:rPr>
      </w:pPr>
      <w:bookmarkStart w:id="345" w:name="_Toc113544417"/>
      <w:r w:rsidRPr="00BD77D8">
        <w:rPr>
          <w:color w:val="auto"/>
        </w:rPr>
        <w:lastRenderedPageBreak/>
        <w:t>Appendix 6</w:t>
      </w:r>
      <w:r w:rsidR="00E434A2" w:rsidRPr="00BD77D8">
        <w:rPr>
          <w:color w:val="auto"/>
        </w:rPr>
        <w:t>—</w:t>
      </w:r>
      <w:r w:rsidRPr="00BD77D8">
        <w:rPr>
          <w:color w:val="auto"/>
        </w:rPr>
        <w:t xml:space="preserve">Financial </w:t>
      </w:r>
      <w:r w:rsidR="00154F3A" w:rsidRPr="00BD77D8">
        <w:rPr>
          <w:color w:val="auto"/>
        </w:rPr>
        <w:t>S</w:t>
      </w:r>
      <w:r w:rsidRPr="00BD77D8">
        <w:rPr>
          <w:color w:val="auto"/>
        </w:rPr>
        <w:t>tatement</w:t>
      </w:r>
      <w:r w:rsidR="008735CC" w:rsidRPr="00BD77D8">
        <w:rPr>
          <w:color w:val="auto"/>
        </w:rPr>
        <w:t>s</w:t>
      </w:r>
      <w:bookmarkEnd w:id="345"/>
    </w:p>
    <w:p w14:paraId="5B5FD1E6" w14:textId="68C9E7F5" w:rsidR="00AF6CD7" w:rsidRPr="00BD77D8" w:rsidRDefault="00AF6CD7" w:rsidP="00DF4756">
      <w:pPr>
        <w:spacing w:before="2160" w:after="120" w:line="240" w:lineRule="auto"/>
        <w:jc w:val="center"/>
        <w:textAlignment w:val="baseline"/>
        <w:rPr>
          <w:rFonts w:eastAsia="Arial"/>
          <w:b/>
          <w:bCs/>
          <w:spacing w:val="-6"/>
          <w:w w:val="105"/>
          <w:sz w:val="44"/>
          <w:szCs w:val="44"/>
          <w:lang w:eastAsia="en-US"/>
        </w:rPr>
      </w:pPr>
      <w:r w:rsidRPr="00BD77D8">
        <w:rPr>
          <w:rFonts w:eastAsia="Arial"/>
          <w:b/>
          <w:bCs/>
          <w:spacing w:val="-6"/>
          <w:w w:val="105"/>
          <w:sz w:val="44"/>
          <w:szCs w:val="44"/>
          <w:lang w:eastAsia="en-US"/>
        </w:rPr>
        <w:t xml:space="preserve">Department of Seniors, Disability Services and Aboriginal and Torres Strait Islander </w:t>
      </w:r>
    </w:p>
    <w:p w14:paraId="06045075" w14:textId="7FFBEDDA" w:rsidR="00AF6CD7" w:rsidRPr="00BD77D8" w:rsidRDefault="00AF6CD7" w:rsidP="00702AE3">
      <w:pPr>
        <w:spacing w:after="120" w:line="240" w:lineRule="auto"/>
        <w:jc w:val="center"/>
        <w:textAlignment w:val="baseline"/>
        <w:rPr>
          <w:rFonts w:eastAsia="Arial"/>
          <w:b/>
          <w:bCs/>
          <w:spacing w:val="-6"/>
          <w:w w:val="105"/>
          <w:sz w:val="44"/>
          <w:szCs w:val="44"/>
          <w:lang w:eastAsia="en-US"/>
        </w:rPr>
      </w:pPr>
      <w:r w:rsidRPr="00BD77D8">
        <w:rPr>
          <w:rFonts w:eastAsia="Arial"/>
          <w:b/>
          <w:bCs/>
          <w:spacing w:val="-6"/>
          <w:w w:val="105"/>
          <w:sz w:val="44"/>
          <w:szCs w:val="44"/>
          <w:lang w:eastAsia="en-US"/>
        </w:rPr>
        <w:t>Partnership</w:t>
      </w:r>
      <w:r w:rsidR="00154F3A" w:rsidRPr="00BD77D8">
        <w:rPr>
          <w:rFonts w:eastAsia="Arial"/>
          <w:b/>
          <w:bCs/>
          <w:spacing w:val="-6"/>
          <w:w w:val="105"/>
          <w:sz w:val="44"/>
          <w:szCs w:val="44"/>
          <w:lang w:eastAsia="en-US"/>
        </w:rPr>
        <w:t>s</w:t>
      </w:r>
    </w:p>
    <w:p w14:paraId="07DECAD4" w14:textId="77777777" w:rsidR="00AF6CD7" w:rsidRPr="00BD77D8" w:rsidRDefault="00AF6CD7" w:rsidP="00DF4756">
      <w:pPr>
        <w:spacing w:before="360" w:after="0" w:line="456" w:lineRule="exact"/>
        <w:jc w:val="center"/>
        <w:textAlignment w:val="baseline"/>
        <w:rPr>
          <w:rFonts w:eastAsia="Arial"/>
          <w:b/>
          <w:bCs/>
          <w:spacing w:val="-4"/>
          <w:w w:val="105"/>
          <w:sz w:val="44"/>
          <w:szCs w:val="44"/>
          <w:lang w:eastAsia="en-US"/>
        </w:rPr>
      </w:pPr>
      <w:r w:rsidRPr="00BD77D8">
        <w:rPr>
          <w:rFonts w:eastAsia="Arial"/>
          <w:b/>
          <w:bCs/>
          <w:spacing w:val="-4"/>
          <w:w w:val="105"/>
          <w:sz w:val="44"/>
          <w:szCs w:val="44"/>
          <w:lang w:eastAsia="en-US"/>
        </w:rPr>
        <w:t>Annual Financial Statements</w:t>
      </w:r>
    </w:p>
    <w:p w14:paraId="737661D2" w14:textId="79F50C83" w:rsidR="00AF6CD7" w:rsidRPr="00BD77D8" w:rsidRDefault="00AF6CD7" w:rsidP="00DF4756">
      <w:pPr>
        <w:spacing w:before="360" w:after="0" w:line="465" w:lineRule="exact"/>
        <w:jc w:val="center"/>
        <w:textAlignment w:val="baseline"/>
        <w:rPr>
          <w:rFonts w:eastAsia="Arial"/>
          <w:b/>
          <w:bCs/>
          <w:spacing w:val="-9"/>
          <w:sz w:val="44"/>
          <w:szCs w:val="44"/>
          <w:lang w:eastAsia="en-US"/>
        </w:rPr>
      </w:pPr>
      <w:r w:rsidRPr="00BD77D8">
        <w:rPr>
          <w:rFonts w:eastAsia="Arial"/>
          <w:b/>
          <w:bCs/>
          <w:spacing w:val="-9"/>
          <w:sz w:val="44"/>
          <w:szCs w:val="44"/>
          <w:lang w:eastAsia="en-US"/>
        </w:rPr>
        <w:t>2021</w:t>
      </w:r>
      <w:r w:rsidR="00A901B7" w:rsidRPr="00BD77D8">
        <w:rPr>
          <w:rFonts w:eastAsia="Arial"/>
          <w:b/>
          <w:bCs/>
          <w:spacing w:val="-9"/>
          <w:sz w:val="44"/>
          <w:szCs w:val="44"/>
          <w:lang w:eastAsia="en-US"/>
        </w:rPr>
        <w:t>–</w:t>
      </w:r>
      <w:r w:rsidR="00154F3A" w:rsidRPr="00BD77D8">
        <w:rPr>
          <w:rFonts w:eastAsia="Arial"/>
          <w:b/>
          <w:bCs/>
          <w:spacing w:val="-9"/>
          <w:sz w:val="44"/>
          <w:szCs w:val="44"/>
          <w:lang w:eastAsia="en-US"/>
        </w:rPr>
        <w:t>20</w:t>
      </w:r>
      <w:r w:rsidRPr="00BD77D8">
        <w:rPr>
          <w:rFonts w:eastAsia="Arial"/>
          <w:b/>
          <w:bCs/>
          <w:spacing w:val="-9"/>
          <w:sz w:val="44"/>
          <w:szCs w:val="44"/>
          <w:lang w:eastAsia="en-US"/>
        </w:rPr>
        <w:t>22</w:t>
      </w:r>
    </w:p>
    <w:p w14:paraId="41CD6D84" w14:textId="0B79A746" w:rsidR="00AF6CD7" w:rsidRPr="00BD77D8" w:rsidRDefault="00AF6CD7">
      <w:pPr>
        <w:spacing w:after="0" w:line="240" w:lineRule="auto"/>
        <w:rPr>
          <w:rFonts w:eastAsia="Calibri"/>
          <w:bCs/>
          <w:iCs/>
          <w:sz w:val="32"/>
          <w:szCs w:val="32"/>
          <w:lang w:eastAsia="en-US"/>
        </w:rPr>
      </w:pPr>
      <w:r w:rsidRPr="00BD77D8">
        <w:rPr>
          <w:rFonts w:eastAsia="Calibri"/>
          <w:bCs/>
          <w:iCs/>
          <w:sz w:val="32"/>
          <w:szCs w:val="32"/>
          <w:lang w:eastAsia="en-US"/>
        </w:rPr>
        <w:br w:type="page"/>
      </w:r>
    </w:p>
    <w:p w14:paraId="59B70D21" w14:textId="77777777" w:rsidR="00AF6CD7" w:rsidRPr="00BD77D8" w:rsidRDefault="00AF6CD7" w:rsidP="00AF6CD7">
      <w:pPr>
        <w:spacing w:before="21" w:after="0" w:line="200" w:lineRule="exact"/>
        <w:jc w:val="center"/>
        <w:textAlignment w:val="baseline"/>
        <w:rPr>
          <w:rFonts w:eastAsia="Arial" w:cs="Times New Roman"/>
          <w:b/>
          <w:sz w:val="18"/>
          <w:szCs w:val="22"/>
          <w:lang w:val="en-US" w:eastAsia="en-US"/>
        </w:rPr>
      </w:pPr>
      <w:r w:rsidRPr="00BD77D8">
        <w:rPr>
          <w:rFonts w:eastAsia="Arial" w:cs="Times New Roman"/>
          <w:b/>
          <w:sz w:val="18"/>
          <w:szCs w:val="22"/>
          <w:lang w:val="en-US" w:eastAsia="en-US"/>
        </w:rPr>
        <w:lastRenderedPageBreak/>
        <w:t>Department of Seniors, Disability Services and Aboriginal and Torres Strait Islander Partnerships</w:t>
      </w:r>
    </w:p>
    <w:p w14:paraId="5E7F7F82" w14:textId="77777777" w:rsidR="00AF6CD7" w:rsidRPr="00BD77D8" w:rsidRDefault="00AF6CD7" w:rsidP="00AF6CD7">
      <w:pPr>
        <w:spacing w:before="4" w:after="0" w:line="200" w:lineRule="exact"/>
        <w:jc w:val="center"/>
        <w:textAlignment w:val="baseline"/>
        <w:rPr>
          <w:rFonts w:eastAsia="Arial" w:cs="Times New Roman"/>
          <w:b/>
          <w:sz w:val="18"/>
          <w:szCs w:val="22"/>
          <w:lang w:val="en-US" w:eastAsia="en-US"/>
        </w:rPr>
      </w:pPr>
      <w:r w:rsidRPr="00BD77D8">
        <w:rPr>
          <w:rFonts w:eastAsia="Arial" w:cs="Times New Roman"/>
          <w:b/>
          <w:sz w:val="18"/>
          <w:szCs w:val="22"/>
          <w:lang w:val="en-US" w:eastAsia="en-US"/>
        </w:rPr>
        <w:t>Financial Statements</w:t>
      </w:r>
    </w:p>
    <w:p w14:paraId="5C4B73DE" w14:textId="0A015BBD" w:rsidR="00AF6CD7" w:rsidRPr="00BD77D8" w:rsidRDefault="00AF6CD7" w:rsidP="00AF6CD7">
      <w:pPr>
        <w:spacing w:before="14" w:after="95" w:line="200" w:lineRule="exact"/>
        <w:jc w:val="center"/>
        <w:textAlignment w:val="baseline"/>
        <w:rPr>
          <w:rFonts w:eastAsia="Arial" w:cs="Times New Roman"/>
          <w:b/>
          <w:sz w:val="18"/>
          <w:szCs w:val="22"/>
          <w:lang w:val="en-US" w:eastAsia="en-US"/>
        </w:rPr>
      </w:pPr>
      <w:r w:rsidRPr="00BD77D8">
        <w:rPr>
          <w:rFonts w:eastAsia="Arial" w:cs="Times New Roman"/>
          <w:b/>
          <w:sz w:val="18"/>
          <w:szCs w:val="22"/>
          <w:lang w:val="en-US" w:eastAsia="en-US"/>
        </w:rPr>
        <w:t>for the year ended 30 June 2022</w:t>
      </w:r>
    </w:p>
    <w:p w14:paraId="3267B9C5" w14:textId="77777777" w:rsidR="009C02E1" w:rsidRPr="00BD77D8" w:rsidRDefault="009C02E1" w:rsidP="00B71089">
      <w:pPr>
        <w:tabs>
          <w:tab w:val="right" w:pos="9072"/>
        </w:tabs>
        <w:spacing w:before="240" w:after="0" w:line="200" w:lineRule="exact"/>
        <w:ind w:left="3459"/>
        <w:textAlignment w:val="baseline"/>
        <w:rPr>
          <w:rFonts w:eastAsia="Arial" w:cs="Times New Roman"/>
          <w:b/>
          <w:sz w:val="18"/>
          <w:szCs w:val="22"/>
          <w:lang w:val="en-US" w:eastAsia="en-US"/>
        </w:rPr>
      </w:pPr>
    </w:p>
    <w:p w14:paraId="28ED8BB8" w14:textId="0474E626" w:rsidR="009C02E1" w:rsidRPr="00BD77D8" w:rsidRDefault="00702AE3" w:rsidP="00B71089">
      <w:pPr>
        <w:tabs>
          <w:tab w:val="right" w:pos="9072"/>
        </w:tabs>
        <w:spacing w:before="240" w:after="0" w:line="200" w:lineRule="exact"/>
        <w:ind w:left="3459"/>
        <w:textAlignment w:val="baseline"/>
        <w:rPr>
          <w:rFonts w:eastAsia="Arial" w:cs="Times New Roman"/>
          <w:b/>
          <w:sz w:val="18"/>
          <w:szCs w:val="22"/>
          <w:lang w:val="en-US" w:eastAsia="en-US"/>
        </w:rPr>
      </w:pPr>
      <w:r w:rsidRPr="00BD77D8">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1666432" behindDoc="0" locked="0" layoutInCell="1" allowOverlap="1" wp14:anchorId="316DBB4B" wp14:editId="5341B15B">
                <wp:simplePos x="0" y="0"/>
                <wp:positionH relativeFrom="page">
                  <wp:posOffset>556591</wp:posOffset>
                </wp:positionH>
                <wp:positionV relativeFrom="page">
                  <wp:posOffset>1391478</wp:posOffset>
                </wp:positionV>
                <wp:extent cx="6103593" cy="7952"/>
                <wp:effectExtent l="0" t="0" r="31115" b="3048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3593" cy="79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B4A3F" id="Straight Connector 1" o:spid="_x0000_s1026" alt="&quot;&quot;" style="position:absolute;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5pt,109.55pt" to="524.4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" strokeweight=".25pt">
                <w10:wrap anchorx="page" anchory="page"/>
              </v:line>
            </w:pict>
          </mc:Fallback>
        </mc:AlternateContent>
      </w:r>
    </w:p>
    <w:p w14:paraId="55A8FD17" w14:textId="22D17367" w:rsidR="00AF6CD7" w:rsidRPr="00BD77D8" w:rsidRDefault="00AF6CD7" w:rsidP="00702AE3">
      <w:pPr>
        <w:tabs>
          <w:tab w:val="right" w:pos="9072"/>
        </w:tabs>
        <w:spacing w:before="240" w:after="0" w:line="200" w:lineRule="exact"/>
        <w:ind w:left="4395"/>
        <w:textAlignment w:val="baseline"/>
        <w:rPr>
          <w:rFonts w:eastAsia="Arial" w:cs="Times New Roman"/>
          <w:b/>
          <w:sz w:val="20"/>
          <w:szCs w:val="20"/>
          <w:lang w:val="en-US" w:eastAsia="en-US"/>
        </w:rPr>
      </w:pPr>
      <w:r w:rsidRPr="00BD77D8">
        <w:rPr>
          <w:rFonts w:eastAsia="Arial" w:cs="Times New Roman"/>
          <w:b/>
          <w:sz w:val="20"/>
          <w:szCs w:val="20"/>
          <w:lang w:val="en-US" w:eastAsia="en-US"/>
        </w:rPr>
        <w:t>CONTENTS</w:t>
      </w:r>
    </w:p>
    <w:p w14:paraId="4F023558" w14:textId="41D7770C" w:rsidR="00AF6CD7" w:rsidRPr="00BD77D8" w:rsidRDefault="00AF6CD7" w:rsidP="00702AE3">
      <w:pPr>
        <w:tabs>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b/>
          <w:sz w:val="18"/>
          <w:szCs w:val="22"/>
          <w:lang w:val="en-US" w:eastAsia="en-US"/>
        </w:rPr>
        <w:t>Financial Statements</w:t>
      </w:r>
      <w:r w:rsidRPr="00BD77D8">
        <w:rPr>
          <w:rFonts w:eastAsia="Arial" w:cs="Times New Roman"/>
          <w:b/>
          <w:sz w:val="18"/>
          <w:szCs w:val="22"/>
          <w:lang w:val="en-US" w:eastAsia="en-US"/>
        </w:rPr>
        <w:tab/>
      </w:r>
      <w:r w:rsidRPr="00BD77D8">
        <w:rPr>
          <w:rFonts w:eastAsia="Arial" w:cs="Times New Roman"/>
          <w:sz w:val="18"/>
          <w:szCs w:val="22"/>
          <w:lang w:val="en-US" w:eastAsia="en-US"/>
        </w:rPr>
        <w:t xml:space="preserve">   2</w:t>
      </w:r>
    </w:p>
    <w:p w14:paraId="22C55094" w14:textId="3655F9F9" w:rsidR="00AF6CD7" w:rsidRPr="00BD77D8" w:rsidRDefault="00AF6CD7" w:rsidP="00702AE3">
      <w:pPr>
        <w:tabs>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Comprehensive Income - Controlled</w:t>
      </w:r>
      <w:r w:rsidRPr="00BD77D8">
        <w:rPr>
          <w:rFonts w:eastAsia="Arial" w:cs="Times New Roman"/>
          <w:sz w:val="18"/>
          <w:szCs w:val="22"/>
          <w:lang w:val="en-US" w:eastAsia="en-US"/>
        </w:rPr>
        <w:tab/>
        <w:t>4</w:t>
      </w:r>
    </w:p>
    <w:p w14:paraId="06B10EEB" w14:textId="29933AEF" w:rsidR="00AF6CD7" w:rsidRPr="00BD77D8" w:rsidRDefault="00AF6CD7" w:rsidP="00702AE3">
      <w:pPr>
        <w:tabs>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Comprehensive Income by Major Departmental Services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5</w:t>
      </w:r>
    </w:p>
    <w:p w14:paraId="5195F5FB" w14:textId="5107A81A" w:rsidR="00AF6CD7" w:rsidRPr="00BD77D8" w:rsidRDefault="00AF6CD7" w:rsidP="00702AE3">
      <w:pPr>
        <w:tabs>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Financial Position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6</w:t>
      </w:r>
    </w:p>
    <w:p w14:paraId="010A8943" w14:textId="0E67B111" w:rsidR="00AF6CD7" w:rsidRPr="00BD77D8" w:rsidRDefault="00AF6CD7" w:rsidP="00702AE3">
      <w:pPr>
        <w:tabs>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Assets and Liabilities by Major Departmental Services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7</w:t>
      </w:r>
    </w:p>
    <w:p w14:paraId="0C40721C" w14:textId="21655A38" w:rsidR="00AF6CD7" w:rsidRPr="00BD77D8" w:rsidRDefault="00AF6CD7" w:rsidP="00702AE3">
      <w:pPr>
        <w:tabs>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Statement of Changes in Equity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8</w:t>
      </w:r>
    </w:p>
    <w:p w14:paraId="1F665A71" w14:textId="46EEBBD2" w:rsidR="00AF6CD7" w:rsidRPr="00BD77D8" w:rsidRDefault="00AF6CD7" w:rsidP="00702AE3">
      <w:pPr>
        <w:tabs>
          <w:tab w:val="right" w:pos="9781"/>
        </w:tabs>
        <w:spacing w:before="66"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 xml:space="preserve">Statement of Cash Flows - Controlled </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9</w:t>
      </w:r>
    </w:p>
    <w:p w14:paraId="495E1542" w14:textId="264B13C2" w:rsidR="00AF6CD7" w:rsidRPr="00BD77D8" w:rsidRDefault="00AF6CD7" w:rsidP="00702AE3">
      <w:pPr>
        <w:tabs>
          <w:tab w:val="right" w:pos="9781"/>
        </w:tabs>
        <w:spacing w:before="59"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Notes to the Statement of Cash Flows - Controlled</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10</w:t>
      </w:r>
    </w:p>
    <w:p w14:paraId="39625B72" w14:textId="43DD46D4" w:rsidR="00AF6CD7" w:rsidRPr="00BD77D8" w:rsidRDefault="00AF6CD7" w:rsidP="00702AE3">
      <w:pPr>
        <w:tabs>
          <w:tab w:val="right" w:pos="9781"/>
        </w:tabs>
        <w:spacing w:before="59"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Notes to the Financial Statements</w:t>
      </w:r>
      <w:r w:rsidR="00B71089" w:rsidRPr="00BD77D8">
        <w:rPr>
          <w:rFonts w:eastAsia="Arial" w:cs="Times New Roman"/>
          <w:b/>
          <w:sz w:val="18"/>
          <w:szCs w:val="22"/>
          <w:lang w:val="en-US" w:eastAsia="en-US"/>
        </w:rPr>
        <w:tab/>
      </w:r>
      <w:r w:rsidR="00B71089" w:rsidRPr="00BD77D8">
        <w:rPr>
          <w:rFonts w:eastAsia="Arial" w:cs="Times New Roman"/>
          <w:bCs/>
          <w:sz w:val="18"/>
          <w:szCs w:val="22"/>
          <w:lang w:val="en-US" w:eastAsia="en-US"/>
        </w:rPr>
        <w:t>11</w:t>
      </w:r>
    </w:p>
    <w:p w14:paraId="749FAEE4" w14:textId="3D301D97" w:rsidR="00AF6CD7" w:rsidRPr="00BD77D8" w:rsidRDefault="00AF6CD7" w:rsidP="00702AE3">
      <w:pPr>
        <w:tabs>
          <w:tab w:val="left" w:pos="504"/>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A</w:t>
      </w:r>
      <w:r w:rsidR="00012D14" w:rsidRPr="00BD77D8">
        <w:rPr>
          <w:rFonts w:eastAsia="Arial" w:cs="Times New Roman"/>
          <w:sz w:val="18"/>
          <w:szCs w:val="22"/>
          <w:lang w:val="en-US" w:eastAsia="en-US"/>
        </w:rPr>
        <w:t>1</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Departmental Objectives</w:t>
      </w:r>
      <w:r w:rsidRPr="00BD77D8">
        <w:rPr>
          <w:rFonts w:eastAsia="Arial" w:cs="Times New Roman"/>
          <w:sz w:val="18"/>
          <w:szCs w:val="22"/>
          <w:lang w:val="en-US" w:eastAsia="en-US"/>
        </w:rPr>
        <w:tab/>
      </w:r>
      <w:r w:rsidR="00B71089" w:rsidRPr="00BD77D8">
        <w:rPr>
          <w:rFonts w:eastAsia="Arial" w:cs="Times New Roman"/>
          <w:sz w:val="18"/>
          <w:szCs w:val="22"/>
          <w:lang w:val="en-US" w:eastAsia="en-US"/>
        </w:rPr>
        <w:t>11</w:t>
      </w:r>
    </w:p>
    <w:p w14:paraId="2D05448F" w14:textId="26B62B41" w:rsidR="00AF6CD7" w:rsidRPr="00BD77D8" w:rsidRDefault="00AF6CD7" w:rsidP="00702AE3">
      <w:pPr>
        <w:tabs>
          <w:tab w:val="left" w:pos="504"/>
          <w:tab w:val="right" w:pos="9781"/>
        </w:tabs>
        <w:spacing w:before="54" w:after="0" w:line="202"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A2</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Basis of Financial Statement Preparation</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1</w:t>
      </w:r>
    </w:p>
    <w:p w14:paraId="3E23F2CC" w14:textId="417BB4BB" w:rsidR="00AF6CD7" w:rsidRPr="00BD77D8" w:rsidRDefault="00AF6CD7" w:rsidP="00702AE3">
      <w:pPr>
        <w:tabs>
          <w:tab w:val="left" w:pos="504"/>
          <w:tab w:val="right" w:pos="9781"/>
        </w:tabs>
        <w:spacing w:before="68"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A3</w:t>
      </w:r>
      <w:r w:rsidR="00B71089" w:rsidRPr="00BD77D8">
        <w:rPr>
          <w:rFonts w:eastAsia="Arial" w:cs="Times New Roman"/>
          <w:sz w:val="18"/>
          <w:szCs w:val="22"/>
          <w:lang w:val="en-US" w:eastAsia="en-US"/>
        </w:rPr>
        <w:t xml:space="preserve"> National Disability Insurance Scheme</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3</w:t>
      </w:r>
    </w:p>
    <w:p w14:paraId="04265594" w14:textId="5B03C881" w:rsidR="00AF6CD7" w:rsidRPr="00BD77D8" w:rsidRDefault="00AF6CD7" w:rsidP="00702AE3">
      <w:pPr>
        <w:tabs>
          <w:tab w:val="left" w:pos="504"/>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A4</w:t>
      </w:r>
      <w:r w:rsidR="00B71089" w:rsidRPr="00BD77D8">
        <w:rPr>
          <w:rFonts w:eastAsia="Arial" w:cs="Times New Roman"/>
          <w:sz w:val="18"/>
          <w:szCs w:val="22"/>
          <w:lang w:val="en-US" w:eastAsia="en-US"/>
        </w:rPr>
        <w:t xml:space="preserve"> Machinery-of-Government (</w:t>
      </w:r>
      <w:proofErr w:type="spellStart"/>
      <w:r w:rsidR="005D1832" w:rsidRPr="00BD77D8">
        <w:rPr>
          <w:rFonts w:eastAsia="Arial" w:cs="Times New Roman"/>
          <w:sz w:val="18"/>
          <w:szCs w:val="22"/>
          <w:lang w:val="en-US" w:eastAsia="en-US"/>
        </w:rPr>
        <w:t>M</w:t>
      </w:r>
      <w:r w:rsidR="00B71089" w:rsidRPr="00BD77D8">
        <w:rPr>
          <w:rFonts w:eastAsia="Arial" w:cs="Times New Roman"/>
          <w:sz w:val="18"/>
          <w:szCs w:val="22"/>
          <w:lang w:val="en-US" w:eastAsia="en-US"/>
        </w:rPr>
        <w:t>oG</w:t>
      </w:r>
      <w:proofErr w:type="spellEnd"/>
      <w:r w:rsidR="00B71089" w:rsidRPr="00BD77D8">
        <w:rPr>
          <w:rFonts w:eastAsia="Arial" w:cs="Times New Roman"/>
          <w:sz w:val="18"/>
          <w:szCs w:val="22"/>
          <w:lang w:val="en-US" w:eastAsia="en-US"/>
        </w:rPr>
        <w:t>) Changes</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3</w:t>
      </w:r>
    </w:p>
    <w:p w14:paraId="4DADBD98" w14:textId="7135F0D0" w:rsidR="00AF6CD7" w:rsidRPr="00BD77D8" w:rsidRDefault="00AF6CD7" w:rsidP="00702AE3">
      <w:pPr>
        <w:tabs>
          <w:tab w:val="right" w:pos="9781"/>
        </w:tabs>
        <w:spacing w:before="70"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Our Performance</w:t>
      </w:r>
      <w:r w:rsidRPr="00BD77D8">
        <w:rPr>
          <w:rFonts w:eastAsia="Arial" w:cs="Times New Roman"/>
          <w:b/>
          <w:sz w:val="18"/>
          <w:szCs w:val="22"/>
          <w:lang w:val="en-US" w:eastAsia="en-US"/>
        </w:rPr>
        <w:tab/>
      </w:r>
      <w:r w:rsidRPr="00BD77D8">
        <w:rPr>
          <w:rFonts w:eastAsia="Arial" w:cs="Times New Roman"/>
          <w:sz w:val="18"/>
          <w:szCs w:val="22"/>
          <w:lang w:val="en-US" w:eastAsia="en-US"/>
        </w:rPr>
        <w:t>1</w:t>
      </w:r>
      <w:r w:rsidR="00B71089" w:rsidRPr="00BD77D8">
        <w:rPr>
          <w:rFonts w:eastAsia="Arial" w:cs="Times New Roman"/>
          <w:sz w:val="18"/>
          <w:szCs w:val="22"/>
          <w:lang w:val="en-US" w:eastAsia="en-US"/>
        </w:rPr>
        <w:t>4</w:t>
      </w:r>
    </w:p>
    <w:p w14:paraId="1D4F5E37" w14:textId="4D0A6C92" w:rsidR="00AF6CD7" w:rsidRPr="00BD77D8" w:rsidRDefault="00AF6CD7" w:rsidP="00702AE3">
      <w:pPr>
        <w:tabs>
          <w:tab w:val="right" w:pos="9781"/>
        </w:tabs>
        <w:spacing w:before="58"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B1 Revenue</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4</w:t>
      </w:r>
    </w:p>
    <w:p w14:paraId="08DE3056" w14:textId="6002968A" w:rsidR="00AF6CD7" w:rsidRPr="00BD77D8" w:rsidRDefault="00AF6CD7" w:rsidP="00702AE3">
      <w:pPr>
        <w:tabs>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B2 Expenses</w:t>
      </w:r>
      <w:r w:rsidRPr="00BD77D8">
        <w:rPr>
          <w:rFonts w:eastAsia="Arial" w:cs="Times New Roman"/>
          <w:sz w:val="18"/>
          <w:szCs w:val="22"/>
          <w:lang w:val="en-US" w:eastAsia="en-US"/>
        </w:rPr>
        <w:tab/>
        <w:t>1</w:t>
      </w:r>
      <w:r w:rsidR="00B71089" w:rsidRPr="00BD77D8">
        <w:rPr>
          <w:rFonts w:eastAsia="Arial" w:cs="Times New Roman"/>
          <w:sz w:val="18"/>
          <w:szCs w:val="22"/>
          <w:lang w:val="en-US" w:eastAsia="en-US"/>
        </w:rPr>
        <w:t>7</w:t>
      </w:r>
    </w:p>
    <w:p w14:paraId="4EF10A3D" w14:textId="4A3152A2" w:rsidR="00AF6CD7" w:rsidRPr="00BD77D8" w:rsidRDefault="00AF6CD7" w:rsidP="00702AE3">
      <w:pPr>
        <w:tabs>
          <w:tab w:val="right" w:pos="9781"/>
        </w:tabs>
        <w:spacing w:before="67"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Our Financial Position</w:t>
      </w:r>
      <w:r w:rsidRPr="00BD77D8">
        <w:rPr>
          <w:rFonts w:eastAsia="Arial" w:cs="Times New Roman"/>
          <w:b/>
          <w:sz w:val="18"/>
          <w:szCs w:val="22"/>
          <w:lang w:val="en-US" w:eastAsia="en-US"/>
        </w:rPr>
        <w:tab/>
      </w:r>
      <w:r w:rsidRPr="00BD77D8">
        <w:rPr>
          <w:rFonts w:eastAsia="Arial" w:cs="Times New Roman"/>
          <w:sz w:val="18"/>
          <w:szCs w:val="22"/>
          <w:lang w:val="en-US" w:eastAsia="en-US"/>
        </w:rPr>
        <w:t>2</w:t>
      </w:r>
      <w:r w:rsidR="00A04862" w:rsidRPr="00BD77D8">
        <w:rPr>
          <w:rFonts w:eastAsia="Arial" w:cs="Times New Roman"/>
          <w:sz w:val="18"/>
          <w:szCs w:val="22"/>
          <w:lang w:val="en-US" w:eastAsia="en-US"/>
        </w:rPr>
        <w:t>0</w:t>
      </w:r>
    </w:p>
    <w:p w14:paraId="1022AC71" w14:textId="6E3416E3" w:rsidR="00AF6CD7" w:rsidRPr="00BD77D8" w:rsidRDefault="00AF6CD7" w:rsidP="00702AE3">
      <w:pPr>
        <w:tabs>
          <w:tab w:val="left" w:pos="504"/>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w:t>
      </w:r>
      <w:r w:rsidR="00012D14" w:rsidRPr="00BD77D8">
        <w:rPr>
          <w:rFonts w:eastAsia="Arial" w:cs="Times New Roman"/>
          <w:sz w:val="18"/>
          <w:szCs w:val="22"/>
          <w:lang w:val="en-US" w:eastAsia="en-US"/>
        </w:rPr>
        <w:t>1</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Cash and Cash Equivalents</w:t>
      </w:r>
      <w:r w:rsidRPr="00BD77D8">
        <w:rPr>
          <w:rFonts w:eastAsia="Arial" w:cs="Times New Roman"/>
          <w:sz w:val="18"/>
          <w:szCs w:val="22"/>
          <w:lang w:val="en-US" w:eastAsia="en-US"/>
        </w:rPr>
        <w:tab/>
        <w:t>2</w:t>
      </w:r>
      <w:r w:rsidR="00A04862" w:rsidRPr="00BD77D8">
        <w:rPr>
          <w:rFonts w:eastAsia="Arial" w:cs="Times New Roman"/>
          <w:sz w:val="18"/>
          <w:szCs w:val="22"/>
          <w:lang w:val="en-US" w:eastAsia="en-US"/>
        </w:rPr>
        <w:t>0</w:t>
      </w:r>
    </w:p>
    <w:p w14:paraId="1D3E1C35" w14:textId="65642335" w:rsidR="00AF6CD7" w:rsidRPr="00BD77D8" w:rsidRDefault="00AF6CD7" w:rsidP="00702AE3">
      <w:pPr>
        <w:tabs>
          <w:tab w:val="right" w:pos="9781"/>
        </w:tabs>
        <w:spacing w:before="59"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C2 Receivables</w:t>
      </w:r>
      <w:r w:rsidRPr="00BD77D8">
        <w:rPr>
          <w:rFonts w:eastAsia="Arial" w:cs="Times New Roman"/>
          <w:sz w:val="18"/>
          <w:szCs w:val="22"/>
          <w:lang w:val="en-US" w:eastAsia="en-US"/>
        </w:rPr>
        <w:tab/>
        <w:t>2</w:t>
      </w:r>
      <w:r w:rsidR="00A04862" w:rsidRPr="00BD77D8">
        <w:rPr>
          <w:rFonts w:eastAsia="Arial" w:cs="Times New Roman"/>
          <w:sz w:val="18"/>
          <w:szCs w:val="22"/>
          <w:lang w:val="en-US" w:eastAsia="en-US"/>
        </w:rPr>
        <w:t>0</w:t>
      </w:r>
    </w:p>
    <w:p w14:paraId="72CCD6B9" w14:textId="76FCFF1E" w:rsidR="00AF6CD7" w:rsidRPr="00BD77D8" w:rsidRDefault="00AF6CD7" w:rsidP="00702AE3">
      <w:pPr>
        <w:tabs>
          <w:tab w:val="left" w:pos="504"/>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C3</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Non-Current Assets Held for Sale</w:t>
      </w:r>
      <w:r w:rsidRPr="00BD77D8">
        <w:rPr>
          <w:rFonts w:eastAsia="Arial" w:cs="Times New Roman"/>
          <w:sz w:val="18"/>
          <w:szCs w:val="22"/>
          <w:lang w:val="en-US" w:eastAsia="en-US"/>
        </w:rPr>
        <w:tab/>
        <w:t>2</w:t>
      </w:r>
      <w:r w:rsidR="00A04862" w:rsidRPr="00BD77D8">
        <w:rPr>
          <w:rFonts w:eastAsia="Arial" w:cs="Times New Roman"/>
          <w:sz w:val="18"/>
          <w:szCs w:val="22"/>
          <w:lang w:val="en-US" w:eastAsia="en-US"/>
        </w:rPr>
        <w:t>1</w:t>
      </w:r>
    </w:p>
    <w:p w14:paraId="37565D43" w14:textId="338EE6D5" w:rsidR="00AF6CD7" w:rsidRPr="00BD77D8" w:rsidRDefault="00AF6CD7" w:rsidP="00702AE3">
      <w:pPr>
        <w:tabs>
          <w:tab w:val="left" w:pos="504"/>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C4</w:t>
      </w:r>
      <w:r w:rsidR="00B71089" w:rsidRPr="00BD77D8">
        <w:rPr>
          <w:rFonts w:eastAsia="Arial" w:cs="Times New Roman"/>
          <w:sz w:val="18"/>
          <w:szCs w:val="22"/>
          <w:lang w:val="en-US" w:eastAsia="en-US"/>
        </w:rPr>
        <w:t xml:space="preserve"> </w:t>
      </w:r>
      <w:r w:rsidRPr="00BD77D8">
        <w:rPr>
          <w:rFonts w:eastAsia="Arial" w:cs="Times New Roman"/>
          <w:sz w:val="18"/>
          <w:szCs w:val="22"/>
          <w:lang w:val="en-US" w:eastAsia="en-US"/>
        </w:rPr>
        <w:t>Property, Plant and Equipment</w:t>
      </w:r>
      <w:r w:rsidR="00A04862" w:rsidRPr="00BD77D8">
        <w:rPr>
          <w:rFonts w:eastAsia="Arial" w:cs="Times New Roman"/>
          <w:sz w:val="18"/>
          <w:szCs w:val="22"/>
          <w:lang w:val="en-US" w:eastAsia="en-US"/>
        </w:rPr>
        <w:t xml:space="preserve"> and Depreciation Expenses</w:t>
      </w:r>
      <w:r w:rsidRPr="00BD77D8">
        <w:rPr>
          <w:rFonts w:eastAsia="Arial" w:cs="Times New Roman"/>
          <w:sz w:val="18"/>
          <w:szCs w:val="22"/>
          <w:lang w:val="en-US" w:eastAsia="en-US"/>
        </w:rPr>
        <w:tab/>
        <w:t>2</w:t>
      </w:r>
      <w:r w:rsidR="00A04862" w:rsidRPr="00BD77D8">
        <w:rPr>
          <w:rFonts w:eastAsia="Arial" w:cs="Times New Roman"/>
          <w:sz w:val="18"/>
          <w:szCs w:val="22"/>
          <w:lang w:val="en-US" w:eastAsia="en-US"/>
        </w:rPr>
        <w:t>1</w:t>
      </w:r>
    </w:p>
    <w:p w14:paraId="0744961B" w14:textId="33C2A696" w:rsidR="00AF6CD7" w:rsidRPr="00BD77D8" w:rsidRDefault="00AF6CD7" w:rsidP="00702AE3">
      <w:pPr>
        <w:tabs>
          <w:tab w:val="right" w:pos="9781"/>
        </w:tabs>
        <w:spacing w:before="69"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C5 Intangibles</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27</w:t>
      </w:r>
    </w:p>
    <w:p w14:paraId="6D3F3736" w14:textId="2E78189C" w:rsidR="00AF6CD7" w:rsidRPr="00BD77D8" w:rsidRDefault="00AF6CD7" w:rsidP="00702AE3">
      <w:pPr>
        <w:tabs>
          <w:tab w:val="right" w:pos="9781"/>
        </w:tabs>
        <w:spacing w:before="63"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C6 Payables</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29</w:t>
      </w:r>
    </w:p>
    <w:p w14:paraId="2D3615AB" w14:textId="3BDF4CB1" w:rsidR="00AF6CD7" w:rsidRPr="00BD77D8" w:rsidRDefault="00AF6CD7" w:rsidP="00702AE3">
      <w:pPr>
        <w:tabs>
          <w:tab w:val="left" w:pos="504"/>
          <w:tab w:val="right" w:pos="9781"/>
        </w:tabs>
        <w:spacing w:before="59"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C7</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Accrued Employee Benefits</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29</w:t>
      </w:r>
    </w:p>
    <w:p w14:paraId="0EEA0F20" w14:textId="47C68C6E" w:rsidR="00AF6CD7" w:rsidRPr="00BD77D8" w:rsidRDefault="00AF6CD7" w:rsidP="00702AE3">
      <w:pPr>
        <w:tabs>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C8 Equity</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29</w:t>
      </w:r>
    </w:p>
    <w:p w14:paraId="4452F579" w14:textId="534093F3" w:rsidR="00AF6CD7" w:rsidRPr="00BD77D8" w:rsidRDefault="00A04862" w:rsidP="00702AE3">
      <w:pPr>
        <w:tabs>
          <w:tab w:val="right" w:pos="9781"/>
        </w:tabs>
        <w:spacing w:before="65"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 xml:space="preserve">Risks and Other Accounting Uncertainties </w:t>
      </w:r>
      <w:r w:rsidR="00AF6CD7" w:rsidRPr="00BD77D8">
        <w:rPr>
          <w:rFonts w:eastAsia="Arial" w:cs="Times New Roman"/>
          <w:b/>
          <w:sz w:val="18"/>
          <w:szCs w:val="22"/>
          <w:lang w:val="en-US" w:eastAsia="en-US"/>
        </w:rPr>
        <w:tab/>
      </w:r>
      <w:r w:rsidR="00AF6CD7" w:rsidRPr="00BD77D8">
        <w:rPr>
          <w:rFonts w:eastAsia="Arial" w:cs="Times New Roman"/>
          <w:sz w:val="18"/>
          <w:szCs w:val="22"/>
          <w:lang w:val="en-US" w:eastAsia="en-US"/>
        </w:rPr>
        <w:t>3</w:t>
      </w:r>
      <w:r w:rsidRPr="00BD77D8">
        <w:rPr>
          <w:rFonts w:eastAsia="Arial" w:cs="Times New Roman"/>
          <w:sz w:val="18"/>
          <w:szCs w:val="22"/>
          <w:lang w:val="en-US" w:eastAsia="en-US"/>
        </w:rPr>
        <w:t>0</w:t>
      </w:r>
    </w:p>
    <w:p w14:paraId="3D9FFB4C" w14:textId="1A54A9F8" w:rsidR="00AF6CD7" w:rsidRPr="00BD77D8" w:rsidRDefault="00AF6CD7" w:rsidP="00702AE3">
      <w:pPr>
        <w:tabs>
          <w:tab w:val="left" w:pos="504"/>
          <w:tab w:val="right" w:pos="9781"/>
        </w:tabs>
        <w:spacing w:before="60"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D1</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Financial Risk Disclosures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0</w:t>
      </w:r>
    </w:p>
    <w:p w14:paraId="3D78725E" w14:textId="2842E197" w:rsidR="00AF6CD7" w:rsidRPr="00BD77D8" w:rsidRDefault="00AF6CD7" w:rsidP="00702AE3">
      <w:pPr>
        <w:tabs>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D2 Contingencies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1</w:t>
      </w:r>
    </w:p>
    <w:p w14:paraId="63A0BC83" w14:textId="52CCF697" w:rsidR="00A04862" w:rsidRPr="00BD77D8" w:rsidRDefault="00AF6CD7" w:rsidP="00702AE3">
      <w:pPr>
        <w:tabs>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D3 Commitments</w:t>
      </w:r>
      <w:r w:rsidR="00A04862" w:rsidRPr="00BD77D8">
        <w:rPr>
          <w:rFonts w:eastAsia="Arial" w:cs="Times New Roman"/>
          <w:sz w:val="18"/>
          <w:szCs w:val="22"/>
          <w:lang w:val="en-US" w:eastAsia="en-US"/>
        </w:rPr>
        <w:tab/>
        <w:t>31</w:t>
      </w:r>
    </w:p>
    <w:p w14:paraId="50C85F3B" w14:textId="2C4F3990" w:rsidR="00AF6CD7" w:rsidRPr="00BD77D8" w:rsidRDefault="00A04862" w:rsidP="00702AE3">
      <w:pPr>
        <w:tabs>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b/>
          <w:sz w:val="18"/>
          <w:szCs w:val="22"/>
          <w:lang w:val="en-US" w:eastAsia="en-US"/>
        </w:rPr>
        <w:t>Performance compared to Budget</w:t>
      </w:r>
      <w:r w:rsidR="00AF6CD7" w:rsidRPr="00BD77D8">
        <w:rPr>
          <w:rFonts w:eastAsia="Arial" w:cs="Times New Roman"/>
          <w:sz w:val="18"/>
          <w:szCs w:val="22"/>
          <w:lang w:val="en-US" w:eastAsia="en-US"/>
        </w:rPr>
        <w:tab/>
        <w:t>3</w:t>
      </w:r>
      <w:r w:rsidRPr="00BD77D8">
        <w:rPr>
          <w:rFonts w:eastAsia="Arial" w:cs="Times New Roman"/>
          <w:sz w:val="18"/>
          <w:szCs w:val="22"/>
          <w:lang w:val="en-US" w:eastAsia="en-US"/>
        </w:rPr>
        <w:t>2</w:t>
      </w:r>
    </w:p>
    <w:p w14:paraId="6996F1DD" w14:textId="56D45B75" w:rsidR="00AF6CD7" w:rsidRPr="00BD77D8" w:rsidRDefault="00AF6CD7" w:rsidP="00702AE3">
      <w:pPr>
        <w:tabs>
          <w:tab w:val="left" w:pos="504"/>
          <w:tab w:val="right" w:pos="9781"/>
        </w:tabs>
        <w:spacing w:before="66"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E</w:t>
      </w:r>
      <w:r w:rsidR="00012D14" w:rsidRPr="00BD77D8">
        <w:rPr>
          <w:rFonts w:eastAsia="Arial" w:cs="Times New Roman"/>
          <w:sz w:val="18"/>
          <w:szCs w:val="22"/>
          <w:lang w:val="en-US" w:eastAsia="en-US"/>
        </w:rPr>
        <w:t>1</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Budgetary Reporting Disclosures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2</w:t>
      </w:r>
    </w:p>
    <w:p w14:paraId="0271ABA9" w14:textId="32511180" w:rsidR="00A04862" w:rsidRPr="00BD77D8" w:rsidRDefault="00A04862" w:rsidP="00702AE3">
      <w:pPr>
        <w:tabs>
          <w:tab w:val="left" w:pos="504"/>
          <w:tab w:val="right" w:pos="9781"/>
        </w:tabs>
        <w:spacing w:before="62" w:after="0" w:line="200" w:lineRule="exact"/>
        <w:ind w:left="142"/>
        <w:textAlignment w:val="baseline"/>
        <w:rPr>
          <w:rFonts w:eastAsia="Arial" w:cs="Times New Roman"/>
          <w:b/>
          <w:bCs/>
          <w:sz w:val="18"/>
          <w:szCs w:val="22"/>
          <w:lang w:val="en-US" w:eastAsia="en-US"/>
        </w:rPr>
      </w:pPr>
      <w:r w:rsidRPr="00BD77D8">
        <w:rPr>
          <w:rFonts w:eastAsia="Arial" w:cs="Times New Roman"/>
          <w:b/>
          <w:bCs/>
          <w:sz w:val="18"/>
          <w:szCs w:val="22"/>
          <w:lang w:val="en-US" w:eastAsia="en-US"/>
        </w:rPr>
        <w:t>Other Key Information</w:t>
      </w:r>
      <w:r w:rsidRPr="00BD77D8">
        <w:rPr>
          <w:rFonts w:eastAsia="Arial" w:cs="Times New Roman"/>
          <w:b/>
          <w:bCs/>
          <w:sz w:val="18"/>
          <w:szCs w:val="22"/>
          <w:lang w:val="en-US" w:eastAsia="en-US"/>
        </w:rPr>
        <w:tab/>
      </w:r>
      <w:r w:rsidRPr="00BD77D8">
        <w:rPr>
          <w:rFonts w:eastAsia="Arial" w:cs="Times New Roman"/>
          <w:sz w:val="18"/>
          <w:szCs w:val="22"/>
          <w:lang w:val="en-US" w:eastAsia="en-US"/>
        </w:rPr>
        <w:t>35</w:t>
      </w:r>
    </w:p>
    <w:p w14:paraId="5EC993BC" w14:textId="54A20036" w:rsidR="00AF6CD7" w:rsidRPr="00BD77D8" w:rsidRDefault="00AF6CD7" w:rsidP="00702AE3">
      <w:pPr>
        <w:tabs>
          <w:tab w:val="left" w:pos="504"/>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F</w:t>
      </w:r>
      <w:r w:rsidR="00012D14" w:rsidRPr="00BD77D8">
        <w:rPr>
          <w:rFonts w:eastAsia="Arial" w:cs="Times New Roman"/>
          <w:sz w:val="18"/>
          <w:szCs w:val="22"/>
          <w:lang w:val="en-US" w:eastAsia="en-US"/>
        </w:rPr>
        <w:t>1</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Key Management Personnel Disclosures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5</w:t>
      </w:r>
    </w:p>
    <w:p w14:paraId="76357513" w14:textId="4CBE1D7E" w:rsidR="00AF6CD7" w:rsidRPr="00BD77D8" w:rsidRDefault="00AF6CD7" w:rsidP="00702AE3">
      <w:pPr>
        <w:tabs>
          <w:tab w:val="left" w:pos="504"/>
          <w:tab w:val="right" w:pos="9781"/>
        </w:tabs>
        <w:spacing w:before="65"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F2</w:t>
      </w:r>
      <w:r w:rsidR="00A04862" w:rsidRPr="00BD77D8">
        <w:rPr>
          <w:rFonts w:eastAsia="Arial" w:cs="Times New Roman"/>
          <w:sz w:val="18"/>
          <w:szCs w:val="22"/>
          <w:lang w:val="en-US" w:eastAsia="en-US"/>
        </w:rPr>
        <w:t xml:space="preserve"> </w:t>
      </w:r>
      <w:r w:rsidRPr="00BD77D8">
        <w:rPr>
          <w:rFonts w:eastAsia="Arial" w:cs="Times New Roman"/>
          <w:sz w:val="18"/>
          <w:szCs w:val="22"/>
          <w:lang w:val="en-US" w:eastAsia="en-US"/>
        </w:rPr>
        <w:t>Related Party Transaction</w:t>
      </w:r>
      <w:r w:rsidR="00A04862" w:rsidRPr="00BD77D8">
        <w:rPr>
          <w:rFonts w:eastAsia="Arial" w:cs="Times New Roman"/>
          <w:sz w:val="18"/>
          <w:szCs w:val="22"/>
          <w:lang w:val="en-US" w:eastAsia="en-US"/>
        </w:rPr>
        <w:t>s</w:t>
      </w:r>
      <w:r w:rsidRPr="00BD77D8">
        <w:rPr>
          <w:rFonts w:eastAsia="Arial" w:cs="Times New Roman"/>
          <w:sz w:val="18"/>
          <w:szCs w:val="22"/>
          <w:lang w:val="en-US" w:eastAsia="en-US"/>
        </w:rPr>
        <w:tab/>
        <w:t>3</w:t>
      </w:r>
      <w:r w:rsidR="00A04862" w:rsidRPr="00BD77D8">
        <w:rPr>
          <w:rFonts w:eastAsia="Arial" w:cs="Times New Roman"/>
          <w:sz w:val="18"/>
          <w:szCs w:val="22"/>
          <w:lang w:val="en-US" w:eastAsia="en-US"/>
        </w:rPr>
        <w:t>7</w:t>
      </w:r>
    </w:p>
    <w:p w14:paraId="6688BC22" w14:textId="7FAB5075" w:rsidR="00A04862" w:rsidRPr="00BD77D8" w:rsidRDefault="00AF6CD7" w:rsidP="00702AE3">
      <w:pPr>
        <w:tabs>
          <w:tab w:val="left" w:pos="504"/>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F3</w:t>
      </w:r>
      <w:r w:rsidR="00A04862" w:rsidRPr="00BD77D8">
        <w:rPr>
          <w:rFonts w:eastAsia="Arial" w:cs="Times New Roman"/>
          <w:sz w:val="18"/>
          <w:szCs w:val="22"/>
          <w:lang w:val="en-US" w:eastAsia="en-US"/>
        </w:rPr>
        <w:t xml:space="preserve"> First Year Application of New Accounting Standards or Change in Accounting Policy </w:t>
      </w:r>
      <w:r w:rsidR="00A04862" w:rsidRPr="00BD77D8">
        <w:rPr>
          <w:rFonts w:eastAsia="Arial" w:cs="Times New Roman"/>
          <w:sz w:val="18"/>
          <w:szCs w:val="22"/>
          <w:lang w:val="en-US" w:eastAsia="en-US"/>
        </w:rPr>
        <w:tab/>
        <w:t>38</w:t>
      </w:r>
    </w:p>
    <w:p w14:paraId="7BD95BAD" w14:textId="5C721796" w:rsidR="00AF6CD7" w:rsidRPr="00BD77D8" w:rsidRDefault="00A04862" w:rsidP="00702AE3">
      <w:pPr>
        <w:tabs>
          <w:tab w:val="left" w:pos="504"/>
          <w:tab w:val="right" w:pos="9781"/>
        </w:tabs>
        <w:spacing w:before="64"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 xml:space="preserve">F4 </w:t>
      </w:r>
      <w:r w:rsidR="00AF6CD7" w:rsidRPr="00BD77D8">
        <w:rPr>
          <w:rFonts w:eastAsia="Arial" w:cs="Times New Roman"/>
          <w:sz w:val="18"/>
          <w:szCs w:val="22"/>
          <w:lang w:val="en-US" w:eastAsia="en-US"/>
        </w:rPr>
        <w:t xml:space="preserve">Climate Risk </w:t>
      </w:r>
      <w:r w:rsidRPr="00BD77D8">
        <w:rPr>
          <w:rFonts w:eastAsia="Arial" w:cs="Times New Roman"/>
          <w:sz w:val="18"/>
          <w:szCs w:val="22"/>
          <w:lang w:val="en-US" w:eastAsia="en-US"/>
        </w:rPr>
        <w:t>Assessment</w:t>
      </w:r>
      <w:r w:rsidR="00AF6CD7" w:rsidRPr="00BD77D8">
        <w:rPr>
          <w:rFonts w:eastAsia="Arial" w:cs="Times New Roman"/>
          <w:sz w:val="18"/>
          <w:szCs w:val="22"/>
          <w:lang w:val="en-US" w:eastAsia="en-US"/>
        </w:rPr>
        <w:tab/>
      </w:r>
      <w:r w:rsidRPr="00BD77D8">
        <w:rPr>
          <w:rFonts w:eastAsia="Arial" w:cs="Times New Roman"/>
          <w:sz w:val="18"/>
          <w:szCs w:val="22"/>
          <w:lang w:val="en-US" w:eastAsia="en-US"/>
        </w:rPr>
        <w:t>39</w:t>
      </w:r>
    </w:p>
    <w:p w14:paraId="5C9EECC3" w14:textId="447B8839" w:rsidR="00AF6CD7" w:rsidRPr="00BD77D8" w:rsidRDefault="00AF6CD7" w:rsidP="00702AE3">
      <w:pPr>
        <w:tabs>
          <w:tab w:val="left" w:pos="504"/>
          <w:tab w:val="right" w:pos="9781"/>
        </w:tabs>
        <w:spacing w:before="62"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F</w:t>
      </w:r>
      <w:r w:rsidR="00A04862" w:rsidRPr="00BD77D8">
        <w:rPr>
          <w:rFonts w:eastAsia="Arial" w:cs="Times New Roman"/>
          <w:sz w:val="18"/>
          <w:szCs w:val="22"/>
          <w:lang w:val="en-US" w:eastAsia="en-US"/>
        </w:rPr>
        <w:t xml:space="preserve">5 </w:t>
      </w:r>
      <w:r w:rsidRPr="00BD77D8">
        <w:rPr>
          <w:rFonts w:eastAsia="Arial" w:cs="Times New Roman"/>
          <w:sz w:val="18"/>
          <w:szCs w:val="22"/>
          <w:lang w:val="en-US" w:eastAsia="en-US"/>
        </w:rPr>
        <w:t xml:space="preserve">Impact of COVID-19 </w:t>
      </w:r>
      <w:r w:rsidR="00A04862" w:rsidRPr="00BD77D8">
        <w:rPr>
          <w:rFonts w:eastAsia="Arial" w:cs="Times New Roman"/>
          <w:sz w:val="18"/>
          <w:szCs w:val="22"/>
          <w:lang w:val="en-US" w:eastAsia="en-US"/>
        </w:rPr>
        <w:t>P</w:t>
      </w:r>
      <w:r w:rsidRPr="00BD77D8">
        <w:rPr>
          <w:rFonts w:eastAsia="Arial" w:cs="Times New Roman"/>
          <w:sz w:val="18"/>
          <w:szCs w:val="22"/>
          <w:lang w:val="en-US" w:eastAsia="en-US"/>
        </w:rPr>
        <w:t>andemic</w:t>
      </w:r>
      <w:r w:rsidRPr="00BD77D8">
        <w:rPr>
          <w:rFonts w:eastAsia="Arial" w:cs="Times New Roman"/>
          <w:sz w:val="18"/>
          <w:szCs w:val="22"/>
          <w:lang w:val="en-US" w:eastAsia="en-US"/>
        </w:rPr>
        <w:tab/>
      </w:r>
      <w:r w:rsidR="00A04862" w:rsidRPr="00BD77D8">
        <w:rPr>
          <w:rFonts w:eastAsia="Arial" w:cs="Times New Roman"/>
          <w:sz w:val="18"/>
          <w:szCs w:val="22"/>
          <w:lang w:val="en-US" w:eastAsia="en-US"/>
        </w:rPr>
        <w:t>39</w:t>
      </w:r>
    </w:p>
    <w:p w14:paraId="57EDEADA" w14:textId="77777777" w:rsidR="00AF6CD7" w:rsidRPr="00BD77D8" w:rsidRDefault="00AF6CD7" w:rsidP="00702AE3">
      <w:pPr>
        <w:tabs>
          <w:tab w:val="right" w:pos="9781"/>
        </w:tabs>
        <w:spacing w:before="68" w:after="0" w:line="200" w:lineRule="exact"/>
        <w:ind w:left="142"/>
        <w:textAlignment w:val="baseline"/>
        <w:rPr>
          <w:rFonts w:eastAsia="Arial" w:cs="Times New Roman"/>
          <w:b/>
          <w:sz w:val="18"/>
          <w:szCs w:val="22"/>
          <w:lang w:val="en-US" w:eastAsia="en-US"/>
        </w:rPr>
      </w:pPr>
      <w:r w:rsidRPr="00BD77D8">
        <w:rPr>
          <w:rFonts w:eastAsia="Arial" w:cs="Times New Roman"/>
          <w:b/>
          <w:sz w:val="18"/>
          <w:szCs w:val="22"/>
          <w:lang w:val="en-US" w:eastAsia="en-US"/>
        </w:rPr>
        <w:t>What We Look After On Behalf of Whole-of-Government</w:t>
      </w:r>
      <w:r w:rsidRPr="00BD77D8">
        <w:rPr>
          <w:rFonts w:eastAsia="Arial" w:cs="Times New Roman"/>
          <w:b/>
          <w:sz w:val="18"/>
          <w:szCs w:val="22"/>
          <w:lang w:val="en-US" w:eastAsia="en-US"/>
        </w:rPr>
        <w:tab/>
      </w:r>
      <w:r w:rsidRPr="00BD77D8">
        <w:rPr>
          <w:rFonts w:eastAsia="Arial" w:cs="Times New Roman"/>
          <w:sz w:val="18"/>
          <w:szCs w:val="22"/>
          <w:lang w:val="en-US" w:eastAsia="en-US"/>
        </w:rPr>
        <w:t>40</w:t>
      </w:r>
    </w:p>
    <w:p w14:paraId="31140D07" w14:textId="4D23AB35" w:rsidR="00A04862" w:rsidRPr="00BD77D8" w:rsidRDefault="00AF6CD7"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w:t>
      </w:r>
      <w:r w:rsidR="00A04862" w:rsidRPr="00BD77D8">
        <w:rPr>
          <w:rFonts w:eastAsia="Arial" w:cs="Times New Roman"/>
          <w:sz w:val="18"/>
          <w:szCs w:val="22"/>
          <w:lang w:val="en-US" w:eastAsia="en-US"/>
        </w:rPr>
        <w:t>-1 Schedule of</w:t>
      </w:r>
      <w:r w:rsidRPr="00BD77D8">
        <w:rPr>
          <w:rFonts w:eastAsia="Arial" w:cs="Times New Roman"/>
          <w:sz w:val="18"/>
          <w:szCs w:val="22"/>
          <w:lang w:val="en-US" w:eastAsia="en-US"/>
        </w:rPr>
        <w:t xml:space="preserve"> Administered</w:t>
      </w:r>
      <w:r w:rsidR="00A04862" w:rsidRPr="00BD77D8">
        <w:rPr>
          <w:rFonts w:eastAsia="Arial" w:cs="Times New Roman"/>
          <w:sz w:val="18"/>
          <w:szCs w:val="22"/>
          <w:lang w:val="en-US" w:eastAsia="en-US"/>
        </w:rPr>
        <w:t xml:space="preserve"> Income and Expenses</w:t>
      </w:r>
      <w:r w:rsidR="007D6F7F" w:rsidRPr="00BD77D8">
        <w:rPr>
          <w:rFonts w:eastAsia="Arial" w:cs="Times New Roman"/>
          <w:sz w:val="18"/>
          <w:szCs w:val="22"/>
          <w:lang w:val="en-US" w:eastAsia="en-US"/>
        </w:rPr>
        <w:tab/>
        <w:t>40</w:t>
      </w:r>
    </w:p>
    <w:p w14:paraId="2B83E327" w14:textId="2E4D4060" w:rsidR="00A04862" w:rsidRPr="00BD77D8" w:rsidRDefault="00A04862"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G1-2 Schedule of Administered Assets and Liabilities</w:t>
      </w:r>
      <w:r w:rsidR="007D6F7F" w:rsidRPr="00BD77D8">
        <w:rPr>
          <w:rFonts w:eastAsia="Arial" w:cs="Times New Roman"/>
          <w:sz w:val="18"/>
          <w:szCs w:val="22"/>
          <w:lang w:val="en-US" w:eastAsia="en-US"/>
        </w:rPr>
        <w:tab/>
        <w:t>40</w:t>
      </w:r>
    </w:p>
    <w:p w14:paraId="5DE54AE4" w14:textId="77FFBEA8" w:rsidR="00A04862" w:rsidRPr="00BD77D8" w:rsidRDefault="00A04862"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G1-3 Appropriation Revenue</w:t>
      </w:r>
      <w:r w:rsidR="007D6F7F" w:rsidRPr="00BD77D8">
        <w:rPr>
          <w:rFonts w:eastAsia="Arial" w:cs="Times New Roman"/>
          <w:sz w:val="18"/>
          <w:szCs w:val="22"/>
          <w:lang w:val="en-US" w:eastAsia="en-US"/>
        </w:rPr>
        <w:tab/>
        <w:t>41</w:t>
      </w:r>
    </w:p>
    <w:p w14:paraId="06F93E1B" w14:textId="1E78D377" w:rsidR="007D6F7F" w:rsidRPr="00BD77D8" w:rsidRDefault="00A04862"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w:t>
      </w:r>
      <w:r w:rsidR="007D6F7F" w:rsidRPr="00BD77D8">
        <w:rPr>
          <w:rFonts w:eastAsia="Arial" w:cs="Times New Roman"/>
          <w:sz w:val="18"/>
          <w:szCs w:val="22"/>
          <w:lang w:val="en-US" w:eastAsia="en-US"/>
        </w:rPr>
        <w:t>1-4 Grants and Other Contributions</w:t>
      </w:r>
      <w:r w:rsidR="007D6F7F" w:rsidRPr="00BD77D8">
        <w:rPr>
          <w:rFonts w:eastAsia="Arial" w:cs="Times New Roman"/>
          <w:sz w:val="18"/>
          <w:szCs w:val="22"/>
          <w:lang w:val="en-US" w:eastAsia="en-US"/>
        </w:rPr>
        <w:tab/>
        <w:t>42</w:t>
      </w:r>
    </w:p>
    <w:p w14:paraId="5D578A41" w14:textId="44613122" w:rsidR="00AF6CD7" w:rsidRPr="00BD77D8" w:rsidRDefault="007D6F7F"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G1-5 Supplies and Services</w:t>
      </w:r>
      <w:r w:rsidR="00AF6CD7" w:rsidRPr="00BD77D8">
        <w:rPr>
          <w:rFonts w:eastAsia="Arial" w:cs="Times New Roman"/>
          <w:sz w:val="18"/>
          <w:szCs w:val="22"/>
          <w:lang w:val="en-US" w:eastAsia="en-US"/>
        </w:rPr>
        <w:tab/>
        <w:t>4</w:t>
      </w:r>
      <w:r w:rsidRPr="00BD77D8">
        <w:rPr>
          <w:rFonts w:eastAsia="Arial" w:cs="Times New Roman"/>
          <w:sz w:val="18"/>
          <w:szCs w:val="22"/>
          <w:lang w:val="en-US" w:eastAsia="en-US"/>
        </w:rPr>
        <w:t>2</w:t>
      </w:r>
    </w:p>
    <w:p w14:paraId="6BF4EC81" w14:textId="7777777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p>
    <w:p w14:paraId="6B9C6EDB" w14:textId="7777777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p>
    <w:p w14:paraId="50F222CC" w14:textId="4F2131EC" w:rsidR="009C02E1" w:rsidRPr="00BD77D8" w:rsidRDefault="00702AE3" w:rsidP="00702AE3">
      <w:pPr>
        <w:tabs>
          <w:tab w:val="right" w:pos="9781"/>
        </w:tabs>
        <w:spacing w:before="57" w:after="0" w:line="200" w:lineRule="exact"/>
        <w:ind w:left="142" w:right="688"/>
        <w:jc w:val="right"/>
        <w:textAlignment w:val="baseline"/>
        <w:rPr>
          <w:rFonts w:eastAsia="Arial" w:cs="Times New Roman"/>
          <w:sz w:val="18"/>
          <w:szCs w:val="22"/>
          <w:lang w:val="en-US" w:eastAsia="en-US"/>
        </w:rPr>
      </w:pPr>
      <w:r w:rsidRPr="00BD77D8">
        <w:rPr>
          <w:rFonts w:eastAsia="Arial" w:cs="Times New Roman"/>
          <w:sz w:val="18"/>
          <w:szCs w:val="22"/>
          <w:lang w:val="en-US" w:eastAsia="en-US"/>
        </w:rPr>
        <w:t>Page 2 of 45</w:t>
      </w:r>
    </w:p>
    <w:p w14:paraId="1A29D74C" w14:textId="7777777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p>
    <w:p w14:paraId="612DA0DD" w14:textId="7777777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p>
    <w:p w14:paraId="5FA6AE68" w14:textId="3575FABB" w:rsidR="007D6F7F"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lastRenderedPageBreak/>
        <w:t>G1-6 Grants and Subsides</w:t>
      </w:r>
      <w:r w:rsidRPr="00BD77D8">
        <w:rPr>
          <w:rFonts w:eastAsia="Arial" w:cs="Times New Roman"/>
          <w:sz w:val="18"/>
          <w:szCs w:val="22"/>
          <w:lang w:val="en-US" w:eastAsia="en-US"/>
        </w:rPr>
        <w:tab/>
        <w:t>43</w:t>
      </w:r>
    </w:p>
    <w:p w14:paraId="748B255E" w14:textId="14AAAA0A"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G1-7 Receivables</w:t>
      </w:r>
      <w:r w:rsidRPr="00BD77D8">
        <w:rPr>
          <w:rFonts w:eastAsia="Arial" w:cs="Times New Roman"/>
          <w:sz w:val="18"/>
          <w:szCs w:val="22"/>
          <w:lang w:val="en-US" w:eastAsia="en-US"/>
        </w:rPr>
        <w:tab/>
        <w:t>43</w:t>
      </w:r>
    </w:p>
    <w:p w14:paraId="724A0464" w14:textId="2E87E8EF"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G1-8 Payables</w:t>
      </w:r>
      <w:r w:rsidRPr="00BD77D8">
        <w:rPr>
          <w:rFonts w:eastAsia="Arial" w:cs="Times New Roman"/>
          <w:sz w:val="18"/>
          <w:szCs w:val="22"/>
          <w:lang w:val="en-US" w:eastAsia="en-US"/>
        </w:rPr>
        <w:tab/>
        <w:t>43</w:t>
      </w:r>
    </w:p>
    <w:p w14:paraId="2EFFDC43" w14:textId="0CE5A584"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G1-9 Financial Instruments</w:t>
      </w:r>
      <w:r w:rsidRPr="00BD77D8">
        <w:rPr>
          <w:rFonts w:eastAsia="Arial" w:cs="Times New Roman"/>
          <w:sz w:val="18"/>
          <w:szCs w:val="22"/>
          <w:lang w:val="en-US" w:eastAsia="en-US"/>
        </w:rPr>
        <w:tab/>
        <w:t>43</w:t>
      </w:r>
    </w:p>
    <w:p w14:paraId="610B811B" w14:textId="422310D7" w:rsidR="009C02E1" w:rsidRPr="00BD77D8" w:rsidRDefault="009C02E1" w:rsidP="00702AE3">
      <w:pPr>
        <w:tabs>
          <w:tab w:val="right" w:pos="9781"/>
        </w:tabs>
        <w:spacing w:before="57" w:after="0" w:line="200" w:lineRule="exact"/>
        <w:ind w:left="142"/>
        <w:textAlignment w:val="baseline"/>
        <w:rPr>
          <w:rFonts w:eastAsia="Arial" w:cs="Times New Roman"/>
          <w:sz w:val="18"/>
          <w:szCs w:val="22"/>
          <w:lang w:val="en-US" w:eastAsia="en-US"/>
        </w:rPr>
      </w:pPr>
      <w:r w:rsidRPr="00BD77D8">
        <w:rPr>
          <w:rFonts w:eastAsia="Arial" w:cs="Times New Roman"/>
          <w:sz w:val="18"/>
          <w:szCs w:val="22"/>
          <w:lang w:val="en-US" w:eastAsia="en-US"/>
        </w:rPr>
        <w:t>G1-10 Administered Budgetary Reporting Disclosures</w:t>
      </w:r>
      <w:r w:rsidRPr="00BD77D8">
        <w:rPr>
          <w:rFonts w:eastAsia="Arial" w:cs="Times New Roman"/>
          <w:sz w:val="18"/>
          <w:szCs w:val="22"/>
          <w:lang w:val="en-US" w:eastAsia="en-US"/>
        </w:rPr>
        <w:tab/>
        <w:t>44</w:t>
      </w:r>
    </w:p>
    <w:p w14:paraId="509E5F7F" w14:textId="11FA7194" w:rsidR="009C02E1" w:rsidRPr="00BD77D8" w:rsidRDefault="00AF6CD7" w:rsidP="00702AE3">
      <w:pPr>
        <w:tabs>
          <w:tab w:val="right" w:pos="9781"/>
        </w:tabs>
        <w:spacing w:before="11" w:after="1052" w:line="200" w:lineRule="exact"/>
        <w:ind w:left="142"/>
        <w:textAlignment w:val="baseline"/>
        <w:rPr>
          <w:rFonts w:eastAsia="Arial" w:cs="Times New Roman"/>
          <w:sz w:val="18"/>
          <w:szCs w:val="22"/>
          <w:lang w:val="en-US" w:eastAsia="en-US"/>
        </w:rPr>
      </w:pPr>
      <w:r w:rsidRPr="00BD77D8">
        <w:rPr>
          <w:rFonts w:eastAsia="Arial" w:cs="Times New Roman"/>
          <w:b/>
          <w:bCs/>
          <w:sz w:val="18"/>
          <w:szCs w:val="22"/>
          <w:lang w:val="en-US" w:eastAsia="en-US"/>
        </w:rPr>
        <w:t>Management Certificate</w:t>
      </w:r>
      <w:r w:rsidRPr="00BD77D8">
        <w:rPr>
          <w:rFonts w:eastAsia="Arial" w:cs="Times New Roman"/>
          <w:sz w:val="18"/>
          <w:szCs w:val="22"/>
          <w:lang w:val="en-US" w:eastAsia="en-US"/>
        </w:rPr>
        <w:tab/>
        <w:t>4</w:t>
      </w:r>
      <w:r w:rsidR="009C02E1" w:rsidRPr="00BD77D8">
        <w:rPr>
          <w:rFonts w:eastAsia="Arial" w:cs="Times New Roman"/>
          <w:sz w:val="18"/>
          <w:szCs w:val="22"/>
          <w:lang w:val="en-US" w:eastAsia="en-US"/>
        </w:rPr>
        <w:t>5</w:t>
      </w:r>
    </w:p>
    <w:p w14:paraId="1043F799" w14:textId="77777777" w:rsidR="00B9311E" w:rsidRPr="00BD77D8" w:rsidRDefault="009C02E1" w:rsidP="00702AE3">
      <w:pPr>
        <w:spacing w:after="0" w:line="240" w:lineRule="auto"/>
        <w:textAlignment w:val="baseline"/>
        <w:rPr>
          <w:rFonts w:eastAsia="Arial"/>
          <w:b/>
          <w:bCs/>
          <w:sz w:val="18"/>
          <w:szCs w:val="18"/>
          <w:lang w:eastAsia="en-US"/>
        </w:rPr>
      </w:pPr>
      <w:r w:rsidRPr="00BD77D8">
        <w:rPr>
          <w:rFonts w:eastAsia="Arial" w:cs="Times New Roman"/>
          <w:sz w:val="18"/>
          <w:szCs w:val="22"/>
          <w:lang w:val="en-US" w:eastAsia="en-US"/>
        </w:rPr>
        <w:br w:type="page"/>
      </w:r>
      <w:r w:rsidR="00B9311E" w:rsidRPr="00BD77D8">
        <w:rPr>
          <w:rFonts w:eastAsia="Arial"/>
          <w:b/>
          <w:bCs/>
          <w:sz w:val="18"/>
          <w:szCs w:val="18"/>
          <w:lang w:eastAsia="en-US"/>
        </w:rPr>
        <w:lastRenderedPageBreak/>
        <w:t>Department of Seniors, Disability Services and Aboriginal and Torres Strait Islander Partnerships</w:t>
      </w:r>
    </w:p>
    <w:p w14:paraId="1A7E638E" w14:textId="77777777" w:rsidR="00B9311E" w:rsidRPr="00BD77D8" w:rsidRDefault="00B9311E" w:rsidP="00F70507">
      <w:pPr>
        <w:spacing w:after="0" w:line="240" w:lineRule="auto"/>
        <w:textAlignment w:val="baseline"/>
        <w:rPr>
          <w:rFonts w:eastAsia="Arial"/>
          <w:b/>
          <w:bCs/>
          <w:sz w:val="18"/>
          <w:szCs w:val="18"/>
          <w:lang w:eastAsia="en-US"/>
        </w:rPr>
      </w:pPr>
      <w:bookmarkStart w:id="346" w:name="_Toc111494792"/>
      <w:bookmarkStart w:id="347" w:name="_Toc111540664"/>
      <w:bookmarkStart w:id="348" w:name="_Toc111559227"/>
      <w:bookmarkStart w:id="349" w:name="_Toc113196499"/>
      <w:bookmarkStart w:id="350" w:name="_Toc113196847"/>
      <w:r w:rsidRPr="00BD77D8">
        <w:rPr>
          <w:rFonts w:eastAsia="Arial"/>
          <w:b/>
          <w:bCs/>
          <w:sz w:val="18"/>
          <w:szCs w:val="18"/>
          <w:lang w:eastAsia="en-US"/>
        </w:rPr>
        <w:t>Statement of Comprehensive Income - Controlled</w:t>
      </w:r>
      <w:bookmarkEnd w:id="346"/>
      <w:bookmarkEnd w:id="347"/>
      <w:bookmarkEnd w:id="348"/>
      <w:bookmarkEnd w:id="349"/>
      <w:bookmarkEnd w:id="350"/>
    </w:p>
    <w:p w14:paraId="7DBDF02F" w14:textId="77777777" w:rsidR="00B9311E" w:rsidRPr="00BD77D8" w:rsidRDefault="00B9311E" w:rsidP="00702AE3">
      <w:pPr>
        <w:spacing w:after="0" w:line="240" w:lineRule="auto"/>
        <w:textAlignment w:val="baseline"/>
        <w:rPr>
          <w:rFonts w:eastAsia="Arial"/>
          <w:b/>
          <w:bCs/>
          <w:sz w:val="18"/>
          <w:szCs w:val="18"/>
          <w:lang w:eastAsia="en-US"/>
        </w:rPr>
      </w:pPr>
      <w:r w:rsidRPr="00BD77D8">
        <w:rPr>
          <w:rFonts w:eastAsia="Arial"/>
          <w:b/>
          <w:bCs/>
          <w:sz w:val="18"/>
          <w:szCs w:val="18"/>
          <w:lang w:eastAsia="en-US"/>
        </w:rPr>
        <w:t>for the year ended 30 June 2022</w:t>
      </w:r>
    </w:p>
    <w:p w14:paraId="7AB444B7"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70BD143E" w14:textId="77777777" w:rsidR="00B9311E" w:rsidRPr="00BD77D8" w:rsidRDefault="00B9311E" w:rsidP="00B9311E">
      <w:pPr>
        <w:spacing w:after="0" w:line="20" w:lineRule="exact"/>
        <w:jc w:val="center"/>
        <w:rPr>
          <w:rFonts w:eastAsia="PMingLiU"/>
          <w:sz w:val="18"/>
          <w:szCs w:val="18"/>
          <w:lang w:eastAsia="en-US"/>
        </w:rPr>
      </w:pPr>
    </w:p>
    <w:p w14:paraId="20BE80CB" w14:textId="77777777" w:rsidR="00B9311E" w:rsidRPr="00BD77D8" w:rsidRDefault="00B9311E" w:rsidP="00B9311E">
      <w:pPr>
        <w:tabs>
          <w:tab w:val="left" w:pos="360"/>
        </w:tabs>
        <w:spacing w:after="0" w:line="240" w:lineRule="auto"/>
        <w:textAlignment w:val="baseline"/>
        <w:rPr>
          <w:rFonts w:eastAsia="PMingLiU"/>
          <w:sz w:val="18"/>
          <w:szCs w:val="22"/>
          <w:lang w:val="en-US" w:eastAsia="en-US"/>
        </w:rPr>
      </w:pPr>
    </w:p>
    <w:tbl>
      <w:tblPr>
        <w:tblW w:w="10469" w:type="dxa"/>
        <w:tblCellMar>
          <w:left w:w="0" w:type="dxa"/>
          <w:right w:w="0" w:type="dxa"/>
        </w:tblCellMar>
        <w:tblLook w:val="04A0" w:firstRow="1" w:lastRow="0" w:firstColumn="1" w:lastColumn="0" w:noHBand="0" w:noVBand="1"/>
      </w:tblPr>
      <w:tblGrid>
        <w:gridCol w:w="3926"/>
        <w:gridCol w:w="1163"/>
        <w:gridCol w:w="1387"/>
        <w:gridCol w:w="1433"/>
        <w:gridCol w:w="1369"/>
        <w:gridCol w:w="1191"/>
      </w:tblGrid>
      <w:tr w:rsidR="00BD77D8" w:rsidRPr="00BD77D8" w14:paraId="704E651E" w14:textId="77777777" w:rsidTr="003057FB">
        <w:trPr>
          <w:trHeight w:val="690"/>
        </w:trPr>
        <w:tc>
          <w:tcPr>
            <w:tcW w:w="3945" w:type="dxa"/>
            <w:tcBorders>
              <w:top w:val="nil"/>
              <w:left w:val="nil"/>
              <w:bottom w:val="nil"/>
              <w:right w:val="nil"/>
            </w:tcBorders>
            <w:shd w:val="clear" w:color="auto" w:fill="auto"/>
            <w:noWrap/>
            <w:vAlign w:val="bottom"/>
            <w:hideMark/>
          </w:tcPr>
          <w:p w14:paraId="475F9F5F" w14:textId="77777777" w:rsidR="00B9311E" w:rsidRPr="00BD77D8" w:rsidRDefault="00B9311E" w:rsidP="00B9311E">
            <w:pPr>
              <w:spacing w:after="0" w:line="240" w:lineRule="auto"/>
              <w:rPr>
                <w:rFonts w:ascii="Times New Roman" w:hAnsi="Times New Roman" w:cs="Times New Roman"/>
                <w:sz w:val="24"/>
                <w:szCs w:val="24"/>
              </w:rPr>
            </w:pPr>
          </w:p>
        </w:tc>
        <w:tc>
          <w:tcPr>
            <w:tcW w:w="1158" w:type="dxa"/>
            <w:tcBorders>
              <w:top w:val="nil"/>
              <w:left w:val="nil"/>
              <w:bottom w:val="nil"/>
              <w:right w:val="nil"/>
            </w:tcBorders>
            <w:shd w:val="clear" w:color="auto" w:fill="auto"/>
            <w:noWrap/>
            <w:vAlign w:val="bottom"/>
            <w:hideMark/>
          </w:tcPr>
          <w:p w14:paraId="3A71DF1F"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384" w:type="dxa"/>
            <w:tcBorders>
              <w:top w:val="nil"/>
              <w:left w:val="nil"/>
              <w:bottom w:val="nil"/>
              <w:right w:val="nil"/>
            </w:tcBorders>
            <w:shd w:val="clear" w:color="auto" w:fill="auto"/>
            <w:vAlign w:val="bottom"/>
            <w:hideMark/>
          </w:tcPr>
          <w:p w14:paraId="3D897969" w14:textId="77777777" w:rsidR="00B9311E" w:rsidRPr="00BD77D8" w:rsidRDefault="00B9311E" w:rsidP="00B9311E">
            <w:pPr>
              <w:spacing w:after="0" w:line="240" w:lineRule="auto"/>
              <w:jc w:val="right"/>
              <w:rPr>
                <w:b/>
                <w:bCs/>
                <w:sz w:val="18"/>
                <w:szCs w:val="18"/>
              </w:rPr>
            </w:pPr>
            <w:r w:rsidRPr="00BD77D8">
              <w:rPr>
                <w:b/>
                <w:bCs/>
                <w:sz w:val="18"/>
                <w:szCs w:val="18"/>
              </w:rPr>
              <w:t>Actual</w:t>
            </w:r>
            <w:r w:rsidRPr="00BD77D8">
              <w:rPr>
                <w:b/>
                <w:bCs/>
                <w:sz w:val="18"/>
                <w:szCs w:val="18"/>
              </w:rPr>
              <w:br/>
              <w:t xml:space="preserve">2022 </w:t>
            </w:r>
          </w:p>
        </w:tc>
        <w:tc>
          <w:tcPr>
            <w:tcW w:w="1430" w:type="dxa"/>
            <w:tcBorders>
              <w:top w:val="nil"/>
              <w:left w:val="nil"/>
              <w:bottom w:val="nil"/>
              <w:right w:val="nil"/>
            </w:tcBorders>
            <w:shd w:val="clear" w:color="auto" w:fill="auto"/>
            <w:vAlign w:val="bottom"/>
            <w:hideMark/>
          </w:tcPr>
          <w:p w14:paraId="5E03801E" w14:textId="77777777" w:rsidR="00B9311E" w:rsidRPr="00BD77D8" w:rsidRDefault="00B9311E" w:rsidP="00B9311E">
            <w:pPr>
              <w:spacing w:after="0" w:line="240" w:lineRule="auto"/>
              <w:jc w:val="right"/>
              <w:rPr>
                <w:b/>
                <w:bCs/>
                <w:sz w:val="18"/>
                <w:szCs w:val="18"/>
              </w:rPr>
            </w:pPr>
            <w:r w:rsidRPr="00BD77D8">
              <w:rPr>
                <w:b/>
                <w:bCs/>
                <w:sz w:val="18"/>
                <w:szCs w:val="18"/>
              </w:rPr>
              <w:t xml:space="preserve"> Original Budget^</w:t>
            </w:r>
            <w:r w:rsidRPr="00BD77D8">
              <w:rPr>
                <w:b/>
                <w:bCs/>
                <w:sz w:val="18"/>
                <w:szCs w:val="18"/>
              </w:rPr>
              <w:br/>
              <w:t xml:space="preserve">2022  </w:t>
            </w:r>
          </w:p>
        </w:tc>
        <w:tc>
          <w:tcPr>
            <w:tcW w:w="1366" w:type="dxa"/>
            <w:tcBorders>
              <w:top w:val="nil"/>
              <w:left w:val="nil"/>
              <w:bottom w:val="nil"/>
              <w:right w:val="nil"/>
            </w:tcBorders>
            <w:shd w:val="clear" w:color="auto" w:fill="auto"/>
            <w:vAlign w:val="bottom"/>
            <w:hideMark/>
          </w:tcPr>
          <w:p w14:paraId="4756E9F9" w14:textId="77777777" w:rsidR="00B9311E" w:rsidRPr="00BD77D8" w:rsidRDefault="00B9311E" w:rsidP="00B9311E">
            <w:pPr>
              <w:spacing w:after="0" w:line="240" w:lineRule="auto"/>
              <w:jc w:val="right"/>
              <w:rPr>
                <w:b/>
                <w:bCs/>
                <w:sz w:val="18"/>
                <w:szCs w:val="18"/>
              </w:rPr>
            </w:pPr>
            <w:r w:rsidRPr="00BD77D8">
              <w:rPr>
                <w:b/>
                <w:bCs/>
                <w:sz w:val="18"/>
                <w:szCs w:val="18"/>
              </w:rPr>
              <w:t xml:space="preserve"> Budget Variance*</w:t>
            </w:r>
            <w:r w:rsidRPr="00BD77D8">
              <w:rPr>
                <w:b/>
                <w:bCs/>
                <w:sz w:val="18"/>
                <w:szCs w:val="18"/>
              </w:rPr>
              <w:br/>
              <w:t xml:space="preserve">2022  </w:t>
            </w:r>
          </w:p>
        </w:tc>
        <w:tc>
          <w:tcPr>
            <w:tcW w:w="1186" w:type="dxa"/>
            <w:tcBorders>
              <w:top w:val="nil"/>
              <w:left w:val="nil"/>
              <w:bottom w:val="nil"/>
              <w:right w:val="nil"/>
            </w:tcBorders>
            <w:shd w:val="clear" w:color="auto" w:fill="auto"/>
            <w:vAlign w:val="bottom"/>
            <w:hideMark/>
          </w:tcPr>
          <w:p w14:paraId="6C5ABE96" w14:textId="77777777" w:rsidR="00B9311E" w:rsidRPr="00BD77D8" w:rsidRDefault="00B9311E" w:rsidP="00B9311E">
            <w:pPr>
              <w:spacing w:after="0" w:line="240" w:lineRule="auto"/>
              <w:jc w:val="right"/>
              <w:rPr>
                <w:b/>
                <w:bCs/>
                <w:sz w:val="18"/>
                <w:szCs w:val="18"/>
              </w:rPr>
            </w:pPr>
            <w:r w:rsidRPr="00BD77D8">
              <w:rPr>
                <w:b/>
                <w:bCs/>
                <w:sz w:val="18"/>
                <w:szCs w:val="18"/>
              </w:rPr>
              <w:t xml:space="preserve"> Actual</w:t>
            </w:r>
            <w:r w:rsidRPr="00BD77D8">
              <w:rPr>
                <w:b/>
                <w:bCs/>
                <w:sz w:val="18"/>
                <w:szCs w:val="18"/>
              </w:rPr>
              <w:br/>
              <w:t xml:space="preserve">2021 </w:t>
            </w:r>
          </w:p>
        </w:tc>
      </w:tr>
      <w:tr w:rsidR="00BD77D8" w:rsidRPr="00BD77D8" w14:paraId="76EC0388" w14:textId="77777777" w:rsidTr="003057FB">
        <w:trPr>
          <w:trHeight w:val="315"/>
        </w:trPr>
        <w:tc>
          <w:tcPr>
            <w:tcW w:w="3945" w:type="dxa"/>
            <w:tcBorders>
              <w:top w:val="nil"/>
              <w:left w:val="nil"/>
              <w:bottom w:val="nil"/>
              <w:right w:val="nil"/>
            </w:tcBorders>
            <w:shd w:val="clear" w:color="auto" w:fill="auto"/>
            <w:noWrap/>
            <w:vAlign w:val="bottom"/>
            <w:hideMark/>
          </w:tcPr>
          <w:p w14:paraId="0A8A2E02" w14:textId="77777777" w:rsidR="00B9311E" w:rsidRPr="00BD77D8" w:rsidRDefault="00B9311E" w:rsidP="00B9311E">
            <w:pPr>
              <w:spacing w:after="0" w:line="240" w:lineRule="auto"/>
              <w:jc w:val="right"/>
              <w:rPr>
                <w:sz w:val="18"/>
                <w:szCs w:val="18"/>
              </w:rPr>
            </w:pPr>
          </w:p>
        </w:tc>
        <w:tc>
          <w:tcPr>
            <w:tcW w:w="1158" w:type="dxa"/>
            <w:tcBorders>
              <w:top w:val="nil"/>
              <w:left w:val="nil"/>
              <w:bottom w:val="nil"/>
              <w:right w:val="nil"/>
            </w:tcBorders>
            <w:shd w:val="clear" w:color="auto" w:fill="auto"/>
            <w:noWrap/>
            <w:vAlign w:val="bottom"/>
            <w:hideMark/>
          </w:tcPr>
          <w:p w14:paraId="7213AACF" w14:textId="77777777" w:rsidR="00B9311E" w:rsidRPr="00BD77D8" w:rsidRDefault="00B9311E" w:rsidP="00B9311E">
            <w:pPr>
              <w:spacing w:after="0" w:line="240" w:lineRule="auto"/>
              <w:rPr>
                <w:rFonts w:ascii="Times New Roman" w:hAnsi="Times New Roman" w:cs="Times New Roman"/>
                <w:b/>
                <w:bCs/>
                <w:sz w:val="20"/>
                <w:szCs w:val="20"/>
              </w:rPr>
            </w:pPr>
          </w:p>
        </w:tc>
        <w:tc>
          <w:tcPr>
            <w:tcW w:w="1384" w:type="dxa"/>
            <w:tcBorders>
              <w:top w:val="nil"/>
              <w:left w:val="nil"/>
              <w:bottom w:val="single" w:sz="4" w:space="0" w:color="auto"/>
              <w:right w:val="nil"/>
            </w:tcBorders>
            <w:shd w:val="clear" w:color="auto" w:fill="auto"/>
            <w:vAlign w:val="bottom"/>
            <w:hideMark/>
          </w:tcPr>
          <w:p w14:paraId="778CCE3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430" w:type="dxa"/>
            <w:tcBorders>
              <w:top w:val="nil"/>
              <w:left w:val="nil"/>
              <w:bottom w:val="single" w:sz="4" w:space="0" w:color="auto"/>
              <w:right w:val="nil"/>
            </w:tcBorders>
            <w:shd w:val="clear" w:color="auto" w:fill="auto"/>
            <w:vAlign w:val="bottom"/>
            <w:hideMark/>
          </w:tcPr>
          <w:p w14:paraId="6FD0207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66" w:type="dxa"/>
            <w:tcBorders>
              <w:top w:val="nil"/>
              <w:left w:val="nil"/>
              <w:bottom w:val="single" w:sz="4" w:space="0" w:color="auto"/>
              <w:right w:val="nil"/>
            </w:tcBorders>
            <w:shd w:val="clear" w:color="auto" w:fill="auto"/>
            <w:vAlign w:val="bottom"/>
            <w:hideMark/>
          </w:tcPr>
          <w:p w14:paraId="1E7A8B9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86" w:type="dxa"/>
            <w:tcBorders>
              <w:top w:val="nil"/>
              <w:left w:val="nil"/>
              <w:bottom w:val="single" w:sz="4" w:space="0" w:color="auto"/>
              <w:right w:val="nil"/>
            </w:tcBorders>
            <w:shd w:val="clear" w:color="auto" w:fill="auto"/>
            <w:vAlign w:val="bottom"/>
            <w:hideMark/>
          </w:tcPr>
          <w:p w14:paraId="5E4ACEC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7290295F" w14:textId="77777777" w:rsidTr="003057FB">
        <w:trPr>
          <w:trHeight w:val="286"/>
        </w:trPr>
        <w:tc>
          <w:tcPr>
            <w:tcW w:w="3945" w:type="dxa"/>
            <w:tcBorders>
              <w:top w:val="single" w:sz="4" w:space="0" w:color="auto"/>
              <w:left w:val="nil"/>
              <w:bottom w:val="nil"/>
              <w:right w:val="nil"/>
            </w:tcBorders>
            <w:shd w:val="clear" w:color="auto" w:fill="auto"/>
            <w:noWrap/>
            <w:vAlign w:val="bottom"/>
            <w:hideMark/>
          </w:tcPr>
          <w:p w14:paraId="575064AD" w14:textId="77777777" w:rsidR="00B9311E" w:rsidRPr="00BD77D8" w:rsidRDefault="00B9311E" w:rsidP="00B9311E">
            <w:pPr>
              <w:spacing w:after="0" w:line="240" w:lineRule="auto"/>
              <w:rPr>
                <w:sz w:val="18"/>
                <w:szCs w:val="18"/>
              </w:rPr>
            </w:pPr>
            <w:r w:rsidRPr="00BD77D8">
              <w:rPr>
                <w:sz w:val="18"/>
                <w:szCs w:val="18"/>
              </w:rPr>
              <w:t> </w:t>
            </w:r>
          </w:p>
        </w:tc>
        <w:tc>
          <w:tcPr>
            <w:tcW w:w="1158" w:type="dxa"/>
            <w:tcBorders>
              <w:top w:val="single" w:sz="4" w:space="0" w:color="auto"/>
              <w:left w:val="nil"/>
              <w:bottom w:val="nil"/>
              <w:right w:val="nil"/>
            </w:tcBorders>
            <w:shd w:val="clear" w:color="auto" w:fill="auto"/>
            <w:noWrap/>
            <w:vAlign w:val="bottom"/>
            <w:hideMark/>
          </w:tcPr>
          <w:p w14:paraId="42332CD2" w14:textId="77777777" w:rsidR="00B9311E" w:rsidRPr="00BD77D8" w:rsidRDefault="00B9311E" w:rsidP="00B9311E">
            <w:pPr>
              <w:spacing w:after="0" w:line="240" w:lineRule="auto"/>
              <w:jc w:val="center"/>
              <w:rPr>
                <w:sz w:val="18"/>
                <w:szCs w:val="18"/>
              </w:rPr>
            </w:pPr>
            <w:r w:rsidRPr="00BD77D8">
              <w:rPr>
                <w:sz w:val="18"/>
                <w:szCs w:val="18"/>
              </w:rPr>
              <w:t> </w:t>
            </w:r>
          </w:p>
        </w:tc>
        <w:tc>
          <w:tcPr>
            <w:tcW w:w="1384" w:type="dxa"/>
            <w:tcBorders>
              <w:top w:val="nil"/>
              <w:left w:val="nil"/>
              <w:bottom w:val="nil"/>
              <w:right w:val="nil"/>
            </w:tcBorders>
            <w:shd w:val="clear" w:color="auto" w:fill="auto"/>
            <w:noWrap/>
            <w:vAlign w:val="bottom"/>
            <w:hideMark/>
          </w:tcPr>
          <w:p w14:paraId="404B4450" w14:textId="77777777" w:rsidR="00B9311E" w:rsidRPr="00BD77D8" w:rsidRDefault="00B9311E" w:rsidP="00B9311E">
            <w:pPr>
              <w:spacing w:after="0" w:line="240" w:lineRule="auto"/>
              <w:jc w:val="center"/>
              <w:rPr>
                <w:sz w:val="18"/>
                <w:szCs w:val="18"/>
              </w:rPr>
            </w:pPr>
          </w:p>
        </w:tc>
        <w:tc>
          <w:tcPr>
            <w:tcW w:w="1430" w:type="dxa"/>
            <w:tcBorders>
              <w:top w:val="nil"/>
              <w:left w:val="nil"/>
              <w:bottom w:val="nil"/>
              <w:right w:val="nil"/>
            </w:tcBorders>
            <w:shd w:val="clear" w:color="auto" w:fill="auto"/>
            <w:noWrap/>
            <w:vAlign w:val="bottom"/>
            <w:hideMark/>
          </w:tcPr>
          <w:p w14:paraId="22888A9B"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366" w:type="dxa"/>
            <w:tcBorders>
              <w:top w:val="nil"/>
              <w:left w:val="nil"/>
              <w:bottom w:val="nil"/>
              <w:right w:val="nil"/>
            </w:tcBorders>
            <w:shd w:val="clear" w:color="auto" w:fill="auto"/>
            <w:noWrap/>
            <w:vAlign w:val="bottom"/>
            <w:hideMark/>
          </w:tcPr>
          <w:p w14:paraId="6B3A121B"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86" w:type="dxa"/>
            <w:tcBorders>
              <w:top w:val="nil"/>
              <w:left w:val="nil"/>
              <w:bottom w:val="nil"/>
              <w:right w:val="nil"/>
            </w:tcBorders>
            <w:shd w:val="clear" w:color="auto" w:fill="auto"/>
            <w:noWrap/>
            <w:vAlign w:val="bottom"/>
            <w:hideMark/>
          </w:tcPr>
          <w:p w14:paraId="2DD57FAF"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718071E2" w14:textId="77777777" w:rsidTr="003057FB">
        <w:trPr>
          <w:trHeight w:val="286"/>
        </w:trPr>
        <w:tc>
          <w:tcPr>
            <w:tcW w:w="3945" w:type="dxa"/>
            <w:tcBorders>
              <w:top w:val="nil"/>
              <w:left w:val="nil"/>
              <w:bottom w:val="nil"/>
              <w:right w:val="nil"/>
            </w:tcBorders>
            <w:shd w:val="clear" w:color="auto" w:fill="auto"/>
            <w:noWrap/>
            <w:vAlign w:val="bottom"/>
            <w:hideMark/>
          </w:tcPr>
          <w:p w14:paraId="1F9028AF" w14:textId="77777777" w:rsidR="00B9311E" w:rsidRPr="00BD77D8" w:rsidRDefault="00B9311E" w:rsidP="00B9311E">
            <w:pPr>
              <w:spacing w:after="0" w:line="240" w:lineRule="auto"/>
              <w:rPr>
                <w:b/>
                <w:bCs/>
                <w:sz w:val="18"/>
                <w:szCs w:val="18"/>
              </w:rPr>
            </w:pPr>
            <w:r w:rsidRPr="00BD77D8">
              <w:rPr>
                <w:b/>
                <w:bCs/>
                <w:sz w:val="18"/>
                <w:szCs w:val="18"/>
              </w:rPr>
              <w:t xml:space="preserve"> Income from Continuing Operations </w:t>
            </w:r>
          </w:p>
        </w:tc>
        <w:tc>
          <w:tcPr>
            <w:tcW w:w="1158" w:type="dxa"/>
            <w:tcBorders>
              <w:top w:val="nil"/>
              <w:left w:val="nil"/>
              <w:bottom w:val="nil"/>
              <w:right w:val="nil"/>
            </w:tcBorders>
            <w:shd w:val="clear" w:color="auto" w:fill="auto"/>
            <w:noWrap/>
            <w:vAlign w:val="bottom"/>
            <w:hideMark/>
          </w:tcPr>
          <w:p w14:paraId="78758F1F" w14:textId="77777777" w:rsidR="00B9311E" w:rsidRPr="00BD77D8" w:rsidRDefault="00B9311E" w:rsidP="00B9311E">
            <w:pPr>
              <w:spacing w:after="0" w:line="240" w:lineRule="auto"/>
              <w:rPr>
                <w:sz w:val="18"/>
                <w:szCs w:val="18"/>
              </w:rPr>
            </w:pPr>
          </w:p>
        </w:tc>
        <w:tc>
          <w:tcPr>
            <w:tcW w:w="1384" w:type="dxa"/>
            <w:tcBorders>
              <w:top w:val="nil"/>
              <w:left w:val="nil"/>
              <w:bottom w:val="nil"/>
              <w:right w:val="nil"/>
            </w:tcBorders>
            <w:shd w:val="clear" w:color="auto" w:fill="auto"/>
            <w:noWrap/>
            <w:vAlign w:val="bottom"/>
            <w:hideMark/>
          </w:tcPr>
          <w:p w14:paraId="51009863"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430" w:type="dxa"/>
            <w:tcBorders>
              <w:top w:val="nil"/>
              <w:left w:val="nil"/>
              <w:bottom w:val="nil"/>
              <w:right w:val="nil"/>
            </w:tcBorders>
            <w:shd w:val="clear" w:color="auto" w:fill="auto"/>
            <w:noWrap/>
            <w:vAlign w:val="bottom"/>
            <w:hideMark/>
          </w:tcPr>
          <w:p w14:paraId="1EE2FF2F" w14:textId="77777777" w:rsidR="00B9311E" w:rsidRPr="00BD77D8" w:rsidRDefault="00B9311E" w:rsidP="00B9311E">
            <w:pPr>
              <w:spacing w:after="0" w:line="240" w:lineRule="auto"/>
              <w:rPr>
                <w:rFonts w:ascii="Times New Roman" w:hAnsi="Times New Roman" w:cs="Times New Roman"/>
                <w:sz w:val="20"/>
                <w:szCs w:val="20"/>
              </w:rPr>
            </w:pPr>
          </w:p>
        </w:tc>
        <w:tc>
          <w:tcPr>
            <w:tcW w:w="1366" w:type="dxa"/>
            <w:tcBorders>
              <w:top w:val="nil"/>
              <w:left w:val="nil"/>
              <w:bottom w:val="nil"/>
              <w:right w:val="nil"/>
            </w:tcBorders>
            <w:shd w:val="clear" w:color="auto" w:fill="auto"/>
            <w:noWrap/>
            <w:vAlign w:val="bottom"/>
            <w:hideMark/>
          </w:tcPr>
          <w:p w14:paraId="05647329"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86" w:type="dxa"/>
            <w:tcBorders>
              <w:top w:val="nil"/>
              <w:left w:val="nil"/>
              <w:bottom w:val="nil"/>
              <w:right w:val="nil"/>
            </w:tcBorders>
            <w:shd w:val="clear" w:color="auto" w:fill="auto"/>
            <w:noWrap/>
            <w:vAlign w:val="bottom"/>
            <w:hideMark/>
          </w:tcPr>
          <w:p w14:paraId="79A2B180"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5D07A526" w14:textId="77777777" w:rsidTr="003057FB">
        <w:trPr>
          <w:trHeight w:val="286"/>
        </w:trPr>
        <w:tc>
          <w:tcPr>
            <w:tcW w:w="3945" w:type="dxa"/>
            <w:tcBorders>
              <w:top w:val="nil"/>
              <w:left w:val="nil"/>
              <w:bottom w:val="nil"/>
              <w:right w:val="nil"/>
            </w:tcBorders>
            <w:shd w:val="clear" w:color="000000" w:fill="FFFFFF"/>
            <w:noWrap/>
            <w:vAlign w:val="bottom"/>
            <w:hideMark/>
          </w:tcPr>
          <w:p w14:paraId="679DEB01"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Appropriation revenue </w:t>
            </w:r>
          </w:p>
        </w:tc>
        <w:tc>
          <w:tcPr>
            <w:tcW w:w="1158" w:type="dxa"/>
            <w:tcBorders>
              <w:top w:val="nil"/>
              <w:left w:val="nil"/>
              <w:bottom w:val="nil"/>
              <w:right w:val="nil"/>
            </w:tcBorders>
            <w:shd w:val="clear" w:color="auto" w:fill="auto"/>
            <w:noWrap/>
            <w:vAlign w:val="bottom"/>
            <w:hideMark/>
          </w:tcPr>
          <w:p w14:paraId="304D619A" w14:textId="77777777" w:rsidR="00B9311E" w:rsidRPr="00BD77D8" w:rsidRDefault="00F56A31" w:rsidP="00B9311E">
            <w:pPr>
              <w:spacing w:after="0" w:line="240" w:lineRule="auto"/>
              <w:jc w:val="center"/>
              <w:rPr>
                <w:rFonts w:eastAsia="PMingLiU"/>
                <w:b/>
                <w:bCs/>
                <w:sz w:val="18"/>
                <w:szCs w:val="22"/>
                <w:lang w:eastAsia="en-US"/>
              </w:rPr>
            </w:pPr>
            <w:hyperlink r:id="rId31" w:anchor="'Note B1-1'!A5" w:history="1">
              <w:r w:rsidR="00B9311E" w:rsidRPr="00BD77D8">
                <w:rPr>
                  <w:rFonts w:eastAsia="PMingLiU"/>
                  <w:b/>
                  <w:bCs/>
                  <w:sz w:val="18"/>
                  <w:szCs w:val="22"/>
                  <w:lang w:eastAsia="en-US"/>
                </w:rPr>
                <w:t>B1-1</w:t>
              </w:r>
            </w:hyperlink>
          </w:p>
        </w:tc>
        <w:tc>
          <w:tcPr>
            <w:tcW w:w="1384" w:type="dxa"/>
            <w:tcBorders>
              <w:top w:val="nil"/>
              <w:left w:val="nil"/>
              <w:bottom w:val="nil"/>
              <w:right w:val="nil"/>
            </w:tcBorders>
            <w:shd w:val="clear" w:color="auto" w:fill="auto"/>
            <w:vAlign w:val="bottom"/>
            <w:hideMark/>
          </w:tcPr>
          <w:p w14:paraId="23A61B6D" w14:textId="77777777" w:rsidR="00B9311E" w:rsidRPr="00BD77D8" w:rsidRDefault="00B9311E" w:rsidP="00B9311E">
            <w:pPr>
              <w:spacing w:after="0" w:line="240" w:lineRule="auto"/>
              <w:jc w:val="right"/>
              <w:rPr>
                <w:b/>
                <w:bCs/>
                <w:sz w:val="18"/>
                <w:szCs w:val="18"/>
              </w:rPr>
            </w:pPr>
            <w:r w:rsidRPr="00BD77D8">
              <w:rPr>
                <w:b/>
                <w:bCs/>
                <w:sz w:val="18"/>
                <w:szCs w:val="18"/>
              </w:rPr>
              <w:t xml:space="preserve">           282,968 </w:t>
            </w:r>
          </w:p>
        </w:tc>
        <w:tc>
          <w:tcPr>
            <w:tcW w:w="1430" w:type="dxa"/>
            <w:tcBorders>
              <w:top w:val="nil"/>
              <w:left w:val="nil"/>
              <w:bottom w:val="nil"/>
              <w:right w:val="nil"/>
            </w:tcBorders>
            <w:shd w:val="clear" w:color="auto" w:fill="auto"/>
            <w:vAlign w:val="bottom"/>
            <w:hideMark/>
          </w:tcPr>
          <w:p w14:paraId="3676ED34" w14:textId="77777777" w:rsidR="00B9311E" w:rsidRPr="00BD77D8" w:rsidRDefault="00B9311E" w:rsidP="00B9311E">
            <w:pPr>
              <w:spacing w:after="0" w:line="240" w:lineRule="auto"/>
              <w:jc w:val="right"/>
              <w:rPr>
                <w:sz w:val="18"/>
                <w:szCs w:val="18"/>
              </w:rPr>
            </w:pPr>
            <w:r w:rsidRPr="00BD77D8">
              <w:rPr>
                <w:sz w:val="18"/>
                <w:szCs w:val="18"/>
              </w:rPr>
              <w:t xml:space="preserve">           297,144 </w:t>
            </w:r>
          </w:p>
        </w:tc>
        <w:tc>
          <w:tcPr>
            <w:tcW w:w="1366" w:type="dxa"/>
            <w:tcBorders>
              <w:top w:val="nil"/>
              <w:left w:val="nil"/>
              <w:bottom w:val="nil"/>
              <w:right w:val="nil"/>
            </w:tcBorders>
            <w:shd w:val="clear" w:color="auto" w:fill="auto"/>
            <w:vAlign w:val="bottom"/>
            <w:hideMark/>
          </w:tcPr>
          <w:p w14:paraId="0B76BE1C" w14:textId="77777777" w:rsidR="00B9311E" w:rsidRPr="00BD77D8" w:rsidRDefault="00B9311E" w:rsidP="00B9311E">
            <w:pPr>
              <w:spacing w:after="0" w:line="240" w:lineRule="auto"/>
              <w:jc w:val="right"/>
              <w:rPr>
                <w:sz w:val="18"/>
                <w:szCs w:val="18"/>
              </w:rPr>
            </w:pPr>
            <w:r w:rsidRPr="00BD77D8">
              <w:rPr>
                <w:sz w:val="18"/>
                <w:szCs w:val="18"/>
              </w:rPr>
              <w:t xml:space="preserve">          (14,176)</w:t>
            </w:r>
          </w:p>
        </w:tc>
        <w:tc>
          <w:tcPr>
            <w:tcW w:w="1186" w:type="dxa"/>
            <w:tcBorders>
              <w:top w:val="nil"/>
              <w:left w:val="nil"/>
              <w:bottom w:val="nil"/>
              <w:right w:val="nil"/>
            </w:tcBorders>
            <w:shd w:val="clear" w:color="auto" w:fill="auto"/>
            <w:vAlign w:val="bottom"/>
            <w:hideMark/>
          </w:tcPr>
          <w:p w14:paraId="6567DFF5" w14:textId="77777777" w:rsidR="00B9311E" w:rsidRPr="00BD77D8" w:rsidRDefault="00B9311E" w:rsidP="00B9311E">
            <w:pPr>
              <w:spacing w:after="0" w:line="240" w:lineRule="auto"/>
              <w:jc w:val="right"/>
              <w:rPr>
                <w:sz w:val="18"/>
                <w:szCs w:val="18"/>
              </w:rPr>
            </w:pPr>
            <w:r w:rsidRPr="00BD77D8">
              <w:rPr>
                <w:sz w:val="18"/>
                <w:szCs w:val="18"/>
              </w:rPr>
              <w:t xml:space="preserve">        320,736 </w:t>
            </w:r>
          </w:p>
        </w:tc>
      </w:tr>
      <w:tr w:rsidR="00BD77D8" w:rsidRPr="00BD77D8" w14:paraId="308DED84" w14:textId="77777777" w:rsidTr="003057FB">
        <w:trPr>
          <w:trHeight w:val="286"/>
        </w:trPr>
        <w:tc>
          <w:tcPr>
            <w:tcW w:w="3945" w:type="dxa"/>
            <w:tcBorders>
              <w:top w:val="nil"/>
              <w:left w:val="nil"/>
              <w:bottom w:val="nil"/>
              <w:right w:val="nil"/>
            </w:tcBorders>
            <w:shd w:val="clear" w:color="auto" w:fill="auto"/>
            <w:noWrap/>
            <w:vAlign w:val="bottom"/>
            <w:hideMark/>
          </w:tcPr>
          <w:p w14:paraId="09579945"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User charges and fees </w:t>
            </w:r>
          </w:p>
        </w:tc>
        <w:tc>
          <w:tcPr>
            <w:tcW w:w="1158" w:type="dxa"/>
            <w:tcBorders>
              <w:top w:val="nil"/>
              <w:left w:val="nil"/>
              <w:bottom w:val="nil"/>
              <w:right w:val="nil"/>
            </w:tcBorders>
            <w:shd w:val="clear" w:color="auto" w:fill="auto"/>
            <w:noWrap/>
            <w:vAlign w:val="bottom"/>
            <w:hideMark/>
          </w:tcPr>
          <w:p w14:paraId="009FA637" w14:textId="77777777" w:rsidR="00B9311E" w:rsidRPr="00BD77D8" w:rsidRDefault="00F56A31" w:rsidP="00B9311E">
            <w:pPr>
              <w:spacing w:after="0" w:line="240" w:lineRule="auto"/>
              <w:jc w:val="center"/>
              <w:rPr>
                <w:rFonts w:eastAsia="PMingLiU"/>
                <w:b/>
                <w:bCs/>
                <w:sz w:val="18"/>
                <w:szCs w:val="22"/>
                <w:lang w:eastAsia="en-US"/>
              </w:rPr>
            </w:pPr>
            <w:hyperlink r:id="rId32" w:anchor="'Note B1-2'!A5" w:history="1">
              <w:r w:rsidR="00B9311E" w:rsidRPr="00BD77D8">
                <w:rPr>
                  <w:rFonts w:eastAsia="PMingLiU"/>
                  <w:b/>
                  <w:bCs/>
                  <w:sz w:val="18"/>
                  <w:szCs w:val="22"/>
                  <w:lang w:eastAsia="en-US"/>
                </w:rPr>
                <w:t>B1-2</w:t>
              </w:r>
            </w:hyperlink>
          </w:p>
        </w:tc>
        <w:tc>
          <w:tcPr>
            <w:tcW w:w="1384" w:type="dxa"/>
            <w:tcBorders>
              <w:top w:val="nil"/>
              <w:left w:val="nil"/>
              <w:bottom w:val="nil"/>
              <w:right w:val="nil"/>
            </w:tcBorders>
            <w:shd w:val="clear" w:color="auto" w:fill="auto"/>
            <w:vAlign w:val="bottom"/>
            <w:hideMark/>
          </w:tcPr>
          <w:p w14:paraId="07B83DA9" w14:textId="77777777" w:rsidR="00B9311E" w:rsidRPr="00BD77D8" w:rsidRDefault="00B9311E" w:rsidP="00B9311E">
            <w:pPr>
              <w:spacing w:after="0" w:line="240" w:lineRule="auto"/>
              <w:jc w:val="right"/>
              <w:rPr>
                <w:b/>
                <w:bCs/>
                <w:sz w:val="18"/>
                <w:szCs w:val="18"/>
              </w:rPr>
            </w:pPr>
            <w:r w:rsidRPr="00BD77D8">
              <w:rPr>
                <w:b/>
                <w:bCs/>
                <w:sz w:val="18"/>
                <w:szCs w:val="18"/>
              </w:rPr>
              <w:t xml:space="preserve">              10,412 </w:t>
            </w:r>
          </w:p>
        </w:tc>
        <w:tc>
          <w:tcPr>
            <w:tcW w:w="1430" w:type="dxa"/>
            <w:tcBorders>
              <w:top w:val="nil"/>
              <w:left w:val="nil"/>
              <w:bottom w:val="nil"/>
              <w:right w:val="nil"/>
            </w:tcBorders>
            <w:shd w:val="clear" w:color="auto" w:fill="auto"/>
            <w:vAlign w:val="bottom"/>
            <w:hideMark/>
          </w:tcPr>
          <w:p w14:paraId="42224048" w14:textId="77777777" w:rsidR="00B9311E" w:rsidRPr="00BD77D8" w:rsidRDefault="00B9311E" w:rsidP="00B9311E">
            <w:pPr>
              <w:spacing w:after="0" w:line="240" w:lineRule="auto"/>
              <w:jc w:val="right"/>
              <w:rPr>
                <w:sz w:val="18"/>
                <w:szCs w:val="18"/>
              </w:rPr>
            </w:pPr>
            <w:r w:rsidRPr="00BD77D8">
              <w:rPr>
                <w:sz w:val="18"/>
                <w:szCs w:val="18"/>
              </w:rPr>
              <w:t xml:space="preserve">                1,149 </w:t>
            </w:r>
          </w:p>
        </w:tc>
        <w:tc>
          <w:tcPr>
            <w:tcW w:w="1366" w:type="dxa"/>
            <w:tcBorders>
              <w:top w:val="nil"/>
              <w:left w:val="nil"/>
              <w:bottom w:val="nil"/>
              <w:right w:val="nil"/>
            </w:tcBorders>
            <w:shd w:val="clear" w:color="auto" w:fill="auto"/>
            <w:vAlign w:val="bottom"/>
            <w:hideMark/>
          </w:tcPr>
          <w:p w14:paraId="3708DEDD" w14:textId="77777777" w:rsidR="00B9311E" w:rsidRPr="00BD77D8" w:rsidRDefault="00B9311E" w:rsidP="00B9311E">
            <w:pPr>
              <w:spacing w:after="0" w:line="240" w:lineRule="auto"/>
              <w:jc w:val="right"/>
              <w:rPr>
                <w:sz w:val="18"/>
                <w:szCs w:val="18"/>
              </w:rPr>
            </w:pPr>
            <w:r w:rsidRPr="00BD77D8">
              <w:rPr>
                <w:sz w:val="18"/>
                <w:szCs w:val="18"/>
              </w:rPr>
              <w:t xml:space="preserve">              9,263 </w:t>
            </w:r>
          </w:p>
        </w:tc>
        <w:tc>
          <w:tcPr>
            <w:tcW w:w="1186" w:type="dxa"/>
            <w:tcBorders>
              <w:top w:val="nil"/>
              <w:left w:val="nil"/>
              <w:bottom w:val="nil"/>
              <w:right w:val="nil"/>
            </w:tcBorders>
            <w:shd w:val="clear" w:color="auto" w:fill="auto"/>
            <w:vAlign w:val="bottom"/>
            <w:hideMark/>
          </w:tcPr>
          <w:p w14:paraId="6A5A9834" w14:textId="77777777" w:rsidR="00B9311E" w:rsidRPr="00BD77D8" w:rsidRDefault="00B9311E" w:rsidP="00B9311E">
            <w:pPr>
              <w:spacing w:after="0" w:line="240" w:lineRule="auto"/>
              <w:jc w:val="right"/>
              <w:rPr>
                <w:sz w:val="18"/>
                <w:szCs w:val="18"/>
              </w:rPr>
            </w:pPr>
            <w:r w:rsidRPr="00BD77D8">
              <w:rPr>
                <w:sz w:val="18"/>
                <w:szCs w:val="18"/>
              </w:rPr>
              <w:t xml:space="preserve">          10,178 </w:t>
            </w:r>
          </w:p>
        </w:tc>
      </w:tr>
      <w:tr w:rsidR="00BD77D8" w:rsidRPr="00BD77D8" w14:paraId="1AE84C86" w14:textId="77777777" w:rsidTr="003057FB">
        <w:trPr>
          <w:trHeight w:val="286"/>
        </w:trPr>
        <w:tc>
          <w:tcPr>
            <w:tcW w:w="3945" w:type="dxa"/>
            <w:tcBorders>
              <w:top w:val="nil"/>
              <w:left w:val="nil"/>
              <w:bottom w:val="nil"/>
              <w:right w:val="nil"/>
            </w:tcBorders>
            <w:shd w:val="clear" w:color="auto" w:fill="auto"/>
            <w:noWrap/>
            <w:vAlign w:val="bottom"/>
            <w:hideMark/>
          </w:tcPr>
          <w:p w14:paraId="4FDDA6A3"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Grants and other contributions </w:t>
            </w:r>
          </w:p>
        </w:tc>
        <w:bookmarkStart w:id="351" w:name="RANGE!B10"/>
        <w:tc>
          <w:tcPr>
            <w:tcW w:w="1158" w:type="dxa"/>
            <w:tcBorders>
              <w:top w:val="nil"/>
              <w:left w:val="nil"/>
              <w:bottom w:val="nil"/>
              <w:right w:val="nil"/>
            </w:tcBorders>
            <w:shd w:val="clear" w:color="auto" w:fill="auto"/>
            <w:noWrap/>
            <w:vAlign w:val="bottom"/>
            <w:hideMark/>
          </w:tcPr>
          <w:p w14:paraId="054E9236"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B1-3'!A5" </w:instrText>
            </w:r>
            <w:r w:rsidRPr="00BD77D8">
              <w:rPr>
                <w:rFonts w:eastAsia="PMingLiU"/>
                <w:b/>
                <w:bCs/>
                <w:sz w:val="18"/>
                <w:szCs w:val="22"/>
                <w:lang w:eastAsia="en-US"/>
              </w:rPr>
              <w:fldChar w:fldCharType="separate"/>
            </w:r>
            <w:r w:rsidRPr="00BD77D8">
              <w:rPr>
                <w:rFonts w:eastAsia="PMingLiU"/>
                <w:b/>
                <w:bCs/>
                <w:sz w:val="18"/>
                <w:szCs w:val="22"/>
                <w:lang w:eastAsia="en-US"/>
              </w:rPr>
              <w:t>B1-3</w:t>
            </w:r>
            <w:r w:rsidRPr="00BD77D8">
              <w:rPr>
                <w:rFonts w:eastAsia="PMingLiU"/>
                <w:b/>
                <w:bCs/>
                <w:sz w:val="18"/>
                <w:szCs w:val="22"/>
                <w:lang w:eastAsia="en-US"/>
              </w:rPr>
              <w:fldChar w:fldCharType="end"/>
            </w:r>
            <w:bookmarkEnd w:id="351"/>
          </w:p>
        </w:tc>
        <w:tc>
          <w:tcPr>
            <w:tcW w:w="1384" w:type="dxa"/>
            <w:tcBorders>
              <w:top w:val="nil"/>
              <w:left w:val="nil"/>
              <w:bottom w:val="nil"/>
              <w:right w:val="nil"/>
            </w:tcBorders>
            <w:shd w:val="clear" w:color="auto" w:fill="auto"/>
            <w:vAlign w:val="bottom"/>
            <w:hideMark/>
          </w:tcPr>
          <w:p w14:paraId="324BD0AC" w14:textId="77777777" w:rsidR="00B9311E" w:rsidRPr="00BD77D8" w:rsidRDefault="00B9311E" w:rsidP="00B9311E">
            <w:pPr>
              <w:spacing w:after="0" w:line="240" w:lineRule="auto"/>
              <w:jc w:val="right"/>
              <w:rPr>
                <w:b/>
                <w:bCs/>
                <w:sz w:val="18"/>
                <w:szCs w:val="18"/>
              </w:rPr>
            </w:pPr>
            <w:r w:rsidRPr="00BD77D8">
              <w:rPr>
                <w:b/>
                <w:bCs/>
                <w:sz w:val="18"/>
                <w:szCs w:val="18"/>
              </w:rPr>
              <w:t xml:space="preserve">              11,209 </w:t>
            </w:r>
          </w:p>
        </w:tc>
        <w:tc>
          <w:tcPr>
            <w:tcW w:w="1430" w:type="dxa"/>
            <w:tcBorders>
              <w:top w:val="nil"/>
              <w:left w:val="nil"/>
              <w:bottom w:val="nil"/>
              <w:right w:val="nil"/>
            </w:tcBorders>
            <w:shd w:val="clear" w:color="auto" w:fill="auto"/>
            <w:vAlign w:val="bottom"/>
            <w:hideMark/>
          </w:tcPr>
          <w:p w14:paraId="21913306" w14:textId="77777777" w:rsidR="00B9311E" w:rsidRPr="00BD77D8" w:rsidRDefault="00B9311E" w:rsidP="00B9311E">
            <w:pPr>
              <w:spacing w:after="0" w:line="240" w:lineRule="auto"/>
              <w:jc w:val="right"/>
              <w:rPr>
                <w:sz w:val="18"/>
                <w:szCs w:val="18"/>
              </w:rPr>
            </w:pPr>
            <w:r w:rsidRPr="00BD77D8">
              <w:rPr>
                <w:sz w:val="18"/>
                <w:szCs w:val="18"/>
              </w:rPr>
              <w:t xml:space="preserve">             12,373 </w:t>
            </w:r>
          </w:p>
        </w:tc>
        <w:tc>
          <w:tcPr>
            <w:tcW w:w="1366" w:type="dxa"/>
            <w:tcBorders>
              <w:top w:val="nil"/>
              <w:left w:val="nil"/>
              <w:bottom w:val="nil"/>
              <w:right w:val="nil"/>
            </w:tcBorders>
            <w:shd w:val="clear" w:color="auto" w:fill="auto"/>
            <w:vAlign w:val="bottom"/>
            <w:hideMark/>
          </w:tcPr>
          <w:p w14:paraId="5A5F2D2B" w14:textId="77777777" w:rsidR="00B9311E" w:rsidRPr="00BD77D8" w:rsidRDefault="00B9311E" w:rsidP="00B9311E">
            <w:pPr>
              <w:spacing w:after="0" w:line="240" w:lineRule="auto"/>
              <w:jc w:val="right"/>
              <w:rPr>
                <w:sz w:val="18"/>
                <w:szCs w:val="18"/>
              </w:rPr>
            </w:pPr>
            <w:r w:rsidRPr="00BD77D8">
              <w:rPr>
                <w:sz w:val="18"/>
                <w:szCs w:val="18"/>
              </w:rPr>
              <w:t xml:space="preserve">             (1,164)</w:t>
            </w:r>
          </w:p>
        </w:tc>
        <w:tc>
          <w:tcPr>
            <w:tcW w:w="1186" w:type="dxa"/>
            <w:tcBorders>
              <w:top w:val="nil"/>
              <w:left w:val="nil"/>
              <w:bottom w:val="nil"/>
              <w:right w:val="nil"/>
            </w:tcBorders>
            <w:shd w:val="clear" w:color="auto" w:fill="auto"/>
            <w:vAlign w:val="bottom"/>
            <w:hideMark/>
          </w:tcPr>
          <w:p w14:paraId="1054A91C" w14:textId="77777777" w:rsidR="00B9311E" w:rsidRPr="00BD77D8" w:rsidRDefault="00B9311E" w:rsidP="00B9311E">
            <w:pPr>
              <w:spacing w:after="0" w:line="240" w:lineRule="auto"/>
              <w:jc w:val="right"/>
              <w:rPr>
                <w:sz w:val="18"/>
                <w:szCs w:val="18"/>
              </w:rPr>
            </w:pPr>
            <w:r w:rsidRPr="00BD77D8">
              <w:rPr>
                <w:sz w:val="18"/>
                <w:szCs w:val="18"/>
              </w:rPr>
              <w:t xml:space="preserve">          13,489 </w:t>
            </w:r>
          </w:p>
        </w:tc>
      </w:tr>
      <w:tr w:rsidR="00BD77D8" w:rsidRPr="00BD77D8" w14:paraId="7B9249F8" w14:textId="77777777" w:rsidTr="003057FB">
        <w:trPr>
          <w:trHeight w:val="286"/>
        </w:trPr>
        <w:tc>
          <w:tcPr>
            <w:tcW w:w="3945" w:type="dxa"/>
            <w:tcBorders>
              <w:top w:val="nil"/>
              <w:left w:val="nil"/>
              <w:bottom w:val="nil"/>
              <w:right w:val="nil"/>
            </w:tcBorders>
            <w:shd w:val="clear" w:color="auto" w:fill="auto"/>
            <w:noWrap/>
            <w:vAlign w:val="bottom"/>
            <w:hideMark/>
          </w:tcPr>
          <w:p w14:paraId="5CCC70BE"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Interest </w:t>
            </w:r>
          </w:p>
        </w:tc>
        <w:tc>
          <w:tcPr>
            <w:tcW w:w="1158" w:type="dxa"/>
            <w:tcBorders>
              <w:top w:val="nil"/>
              <w:left w:val="nil"/>
              <w:bottom w:val="nil"/>
              <w:right w:val="nil"/>
            </w:tcBorders>
            <w:shd w:val="clear" w:color="auto" w:fill="auto"/>
            <w:noWrap/>
            <w:vAlign w:val="bottom"/>
            <w:hideMark/>
          </w:tcPr>
          <w:p w14:paraId="2A0E0E7A" w14:textId="77777777" w:rsidR="00B9311E" w:rsidRPr="00BD77D8" w:rsidRDefault="00B9311E" w:rsidP="00B9311E">
            <w:pPr>
              <w:spacing w:after="0" w:line="240" w:lineRule="auto"/>
              <w:ind w:firstLineChars="100" w:firstLine="181"/>
              <w:rPr>
                <w:b/>
                <w:bCs/>
                <w:sz w:val="18"/>
                <w:szCs w:val="18"/>
              </w:rPr>
            </w:pPr>
          </w:p>
        </w:tc>
        <w:tc>
          <w:tcPr>
            <w:tcW w:w="1384" w:type="dxa"/>
            <w:tcBorders>
              <w:top w:val="nil"/>
              <w:left w:val="nil"/>
              <w:bottom w:val="nil"/>
              <w:right w:val="nil"/>
            </w:tcBorders>
            <w:shd w:val="clear" w:color="auto" w:fill="auto"/>
            <w:vAlign w:val="bottom"/>
            <w:hideMark/>
          </w:tcPr>
          <w:p w14:paraId="784E35E9"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430" w:type="dxa"/>
            <w:tcBorders>
              <w:top w:val="nil"/>
              <w:left w:val="nil"/>
              <w:bottom w:val="nil"/>
              <w:right w:val="nil"/>
            </w:tcBorders>
            <w:shd w:val="clear" w:color="auto" w:fill="auto"/>
            <w:vAlign w:val="bottom"/>
            <w:hideMark/>
          </w:tcPr>
          <w:p w14:paraId="6B77127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66" w:type="dxa"/>
            <w:tcBorders>
              <w:top w:val="nil"/>
              <w:left w:val="nil"/>
              <w:bottom w:val="nil"/>
              <w:right w:val="nil"/>
            </w:tcBorders>
            <w:shd w:val="clear" w:color="auto" w:fill="auto"/>
            <w:vAlign w:val="bottom"/>
            <w:hideMark/>
          </w:tcPr>
          <w:p w14:paraId="520B815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86" w:type="dxa"/>
            <w:tcBorders>
              <w:top w:val="nil"/>
              <w:left w:val="nil"/>
              <w:bottom w:val="nil"/>
              <w:right w:val="nil"/>
            </w:tcBorders>
            <w:shd w:val="clear" w:color="auto" w:fill="auto"/>
            <w:vAlign w:val="bottom"/>
            <w:hideMark/>
          </w:tcPr>
          <w:p w14:paraId="1E6DF665" w14:textId="77777777" w:rsidR="00B9311E" w:rsidRPr="00BD77D8" w:rsidRDefault="00B9311E" w:rsidP="00B9311E">
            <w:pPr>
              <w:spacing w:after="0" w:line="240" w:lineRule="auto"/>
              <w:jc w:val="right"/>
              <w:rPr>
                <w:sz w:val="18"/>
                <w:szCs w:val="18"/>
              </w:rPr>
            </w:pPr>
            <w:r w:rsidRPr="00BD77D8">
              <w:rPr>
                <w:sz w:val="18"/>
                <w:szCs w:val="18"/>
              </w:rPr>
              <w:t xml:space="preserve">                    3 </w:t>
            </w:r>
          </w:p>
        </w:tc>
      </w:tr>
      <w:tr w:rsidR="00BD77D8" w:rsidRPr="00BD77D8" w14:paraId="2EC54D35" w14:textId="77777777" w:rsidTr="003057FB">
        <w:trPr>
          <w:trHeight w:val="286"/>
        </w:trPr>
        <w:tc>
          <w:tcPr>
            <w:tcW w:w="3945" w:type="dxa"/>
            <w:tcBorders>
              <w:top w:val="nil"/>
              <w:left w:val="nil"/>
              <w:bottom w:val="nil"/>
              <w:right w:val="nil"/>
            </w:tcBorders>
            <w:shd w:val="clear" w:color="auto" w:fill="auto"/>
            <w:noWrap/>
            <w:vAlign w:val="bottom"/>
            <w:hideMark/>
          </w:tcPr>
          <w:p w14:paraId="362CA1A9"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Reversal of revaluation decrement </w:t>
            </w:r>
          </w:p>
        </w:tc>
        <w:bookmarkStart w:id="352" w:name="RANGE!B12"/>
        <w:tc>
          <w:tcPr>
            <w:tcW w:w="1158" w:type="dxa"/>
            <w:tcBorders>
              <w:top w:val="nil"/>
              <w:left w:val="nil"/>
              <w:bottom w:val="nil"/>
              <w:right w:val="nil"/>
            </w:tcBorders>
            <w:shd w:val="clear" w:color="auto" w:fill="auto"/>
            <w:noWrap/>
            <w:vAlign w:val="bottom"/>
            <w:hideMark/>
          </w:tcPr>
          <w:p w14:paraId="69429FE4"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C4-1 Cont'!G24" </w:instrText>
            </w:r>
            <w:r w:rsidRPr="00BD77D8">
              <w:rPr>
                <w:rFonts w:eastAsia="PMingLiU"/>
                <w:b/>
                <w:bCs/>
                <w:sz w:val="18"/>
                <w:szCs w:val="22"/>
                <w:lang w:eastAsia="en-US"/>
              </w:rPr>
              <w:fldChar w:fldCharType="separate"/>
            </w:r>
            <w:r w:rsidRPr="00BD77D8">
              <w:rPr>
                <w:rFonts w:eastAsia="PMingLiU"/>
                <w:b/>
                <w:bCs/>
                <w:sz w:val="18"/>
                <w:szCs w:val="22"/>
                <w:lang w:eastAsia="en-US"/>
              </w:rPr>
              <w:t>C4-1</w:t>
            </w:r>
            <w:r w:rsidRPr="00BD77D8">
              <w:rPr>
                <w:rFonts w:eastAsia="PMingLiU"/>
                <w:b/>
                <w:bCs/>
                <w:sz w:val="18"/>
                <w:szCs w:val="22"/>
                <w:lang w:eastAsia="en-US"/>
              </w:rPr>
              <w:fldChar w:fldCharType="end"/>
            </w:r>
            <w:bookmarkEnd w:id="352"/>
          </w:p>
        </w:tc>
        <w:tc>
          <w:tcPr>
            <w:tcW w:w="1384" w:type="dxa"/>
            <w:tcBorders>
              <w:top w:val="nil"/>
              <w:left w:val="nil"/>
              <w:bottom w:val="nil"/>
              <w:right w:val="nil"/>
            </w:tcBorders>
            <w:shd w:val="clear" w:color="auto" w:fill="auto"/>
            <w:vAlign w:val="bottom"/>
            <w:hideMark/>
          </w:tcPr>
          <w:p w14:paraId="3BFCE351" w14:textId="77777777" w:rsidR="00B9311E" w:rsidRPr="00BD77D8" w:rsidRDefault="00B9311E" w:rsidP="00B9311E">
            <w:pPr>
              <w:spacing w:after="0" w:line="240" w:lineRule="auto"/>
              <w:jc w:val="right"/>
              <w:rPr>
                <w:b/>
                <w:bCs/>
                <w:sz w:val="18"/>
                <w:szCs w:val="18"/>
              </w:rPr>
            </w:pPr>
            <w:r w:rsidRPr="00BD77D8">
              <w:rPr>
                <w:b/>
                <w:bCs/>
                <w:sz w:val="18"/>
                <w:szCs w:val="18"/>
              </w:rPr>
              <w:t xml:space="preserve">              28,569 </w:t>
            </w:r>
          </w:p>
        </w:tc>
        <w:tc>
          <w:tcPr>
            <w:tcW w:w="1430" w:type="dxa"/>
            <w:tcBorders>
              <w:top w:val="nil"/>
              <w:left w:val="nil"/>
              <w:bottom w:val="nil"/>
              <w:right w:val="nil"/>
            </w:tcBorders>
            <w:shd w:val="clear" w:color="auto" w:fill="auto"/>
            <w:vAlign w:val="bottom"/>
            <w:hideMark/>
          </w:tcPr>
          <w:p w14:paraId="6FA96D1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66" w:type="dxa"/>
            <w:tcBorders>
              <w:top w:val="nil"/>
              <w:left w:val="nil"/>
              <w:bottom w:val="nil"/>
              <w:right w:val="nil"/>
            </w:tcBorders>
            <w:shd w:val="clear" w:color="auto" w:fill="auto"/>
            <w:vAlign w:val="bottom"/>
            <w:hideMark/>
          </w:tcPr>
          <w:p w14:paraId="51CA32CA" w14:textId="77777777" w:rsidR="00B9311E" w:rsidRPr="00BD77D8" w:rsidRDefault="00B9311E" w:rsidP="00B9311E">
            <w:pPr>
              <w:spacing w:after="0" w:line="240" w:lineRule="auto"/>
              <w:jc w:val="right"/>
              <w:rPr>
                <w:sz w:val="18"/>
                <w:szCs w:val="18"/>
              </w:rPr>
            </w:pPr>
            <w:r w:rsidRPr="00BD77D8">
              <w:rPr>
                <w:sz w:val="18"/>
                <w:szCs w:val="18"/>
              </w:rPr>
              <w:t xml:space="preserve">            28,569 </w:t>
            </w:r>
          </w:p>
        </w:tc>
        <w:tc>
          <w:tcPr>
            <w:tcW w:w="1186" w:type="dxa"/>
            <w:tcBorders>
              <w:top w:val="nil"/>
              <w:left w:val="nil"/>
              <w:bottom w:val="nil"/>
              <w:right w:val="nil"/>
            </w:tcBorders>
            <w:shd w:val="clear" w:color="auto" w:fill="auto"/>
            <w:vAlign w:val="bottom"/>
            <w:hideMark/>
          </w:tcPr>
          <w:p w14:paraId="550B54E9" w14:textId="77777777" w:rsidR="00B9311E" w:rsidRPr="00BD77D8" w:rsidRDefault="00B9311E" w:rsidP="00B9311E">
            <w:pPr>
              <w:spacing w:after="0" w:line="240" w:lineRule="auto"/>
              <w:jc w:val="right"/>
              <w:rPr>
                <w:sz w:val="18"/>
                <w:szCs w:val="18"/>
              </w:rPr>
            </w:pPr>
            <w:r w:rsidRPr="00BD77D8">
              <w:rPr>
                <w:sz w:val="18"/>
                <w:szCs w:val="18"/>
              </w:rPr>
              <w:t xml:space="preserve">            1,229 </w:t>
            </w:r>
          </w:p>
        </w:tc>
      </w:tr>
      <w:tr w:rsidR="00BD77D8" w:rsidRPr="00BD77D8" w14:paraId="2458F1BC" w14:textId="77777777" w:rsidTr="003057FB">
        <w:trPr>
          <w:trHeight w:val="286"/>
        </w:trPr>
        <w:tc>
          <w:tcPr>
            <w:tcW w:w="3945" w:type="dxa"/>
            <w:tcBorders>
              <w:top w:val="nil"/>
              <w:left w:val="nil"/>
              <w:bottom w:val="nil"/>
              <w:right w:val="nil"/>
            </w:tcBorders>
            <w:shd w:val="clear" w:color="auto" w:fill="auto"/>
            <w:noWrap/>
            <w:vAlign w:val="bottom"/>
            <w:hideMark/>
          </w:tcPr>
          <w:p w14:paraId="622FA692"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revenue </w:t>
            </w:r>
          </w:p>
        </w:tc>
        <w:bookmarkStart w:id="353" w:name="RANGE!B13"/>
        <w:tc>
          <w:tcPr>
            <w:tcW w:w="1158" w:type="dxa"/>
            <w:tcBorders>
              <w:top w:val="nil"/>
              <w:left w:val="nil"/>
              <w:bottom w:val="nil"/>
              <w:right w:val="nil"/>
            </w:tcBorders>
            <w:shd w:val="clear" w:color="auto" w:fill="auto"/>
            <w:noWrap/>
            <w:vAlign w:val="bottom"/>
            <w:hideMark/>
          </w:tcPr>
          <w:p w14:paraId="59161158"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B1-4'!A5" </w:instrText>
            </w:r>
            <w:r w:rsidRPr="00BD77D8">
              <w:rPr>
                <w:rFonts w:eastAsia="PMingLiU"/>
                <w:b/>
                <w:bCs/>
                <w:sz w:val="18"/>
                <w:szCs w:val="22"/>
                <w:lang w:eastAsia="en-US"/>
              </w:rPr>
              <w:fldChar w:fldCharType="separate"/>
            </w:r>
            <w:r w:rsidRPr="00BD77D8">
              <w:rPr>
                <w:rFonts w:eastAsia="PMingLiU"/>
                <w:b/>
                <w:bCs/>
                <w:sz w:val="18"/>
                <w:szCs w:val="22"/>
                <w:lang w:eastAsia="en-US"/>
              </w:rPr>
              <w:t>B1-4</w:t>
            </w:r>
            <w:r w:rsidRPr="00BD77D8">
              <w:rPr>
                <w:rFonts w:eastAsia="PMingLiU"/>
                <w:b/>
                <w:bCs/>
                <w:sz w:val="18"/>
                <w:szCs w:val="22"/>
                <w:lang w:eastAsia="en-US"/>
              </w:rPr>
              <w:fldChar w:fldCharType="end"/>
            </w:r>
            <w:bookmarkEnd w:id="353"/>
          </w:p>
        </w:tc>
        <w:tc>
          <w:tcPr>
            <w:tcW w:w="1384" w:type="dxa"/>
            <w:tcBorders>
              <w:top w:val="nil"/>
              <w:left w:val="nil"/>
              <w:bottom w:val="nil"/>
              <w:right w:val="nil"/>
            </w:tcBorders>
            <w:shd w:val="clear" w:color="auto" w:fill="auto"/>
            <w:vAlign w:val="bottom"/>
            <w:hideMark/>
          </w:tcPr>
          <w:p w14:paraId="3EA442CC" w14:textId="77777777" w:rsidR="00B9311E" w:rsidRPr="00BD77D8" w:rsidRDefault="00B9311E" w:rsidP="00B9311E">
            <w:pPr>
              <w:spacing w:after="0" w:line="240" w:lineRule="auto"/>
              <w:jc w:val="right"/>
              <w:rPr>
                <w:b/>
                <w:bCs/>
                <w:sz w:val="18"/>
                <w:szCs w:val="18"/>
              </w:rPr>
            </w:pPr>
            <w:r w:rsidRPr="00BD77D8">
              <w:rPr>
                <w:b/>
                <w:bCs/>
                <w:sz w:val="18"/>
                <w:szCs w:val="18"/>
              </w:rPr>
              <w:t xml:space="preserve">                2,969 </w:t>
            </w:r>
          </w:p>
        </w:tc>
        <w:tc>
          <w:tcPr>
            <w:tcW w:w="1430" w:type="dxa"/>
            <w:tcBorders>
              <w:top w:val="nil"/>
              <w:left w:val="nil"/>
              <w:bottom w:val="nil"/>
              <w:right w:val="nil"/>
            </w:tcBorders>
            <w:shd w:val="clear" w:color="auto" w:fill="auto"/>
            <w:vAlign w:val="bottom"/>
            <w:hideMark/>
          </w:tcPr>
          <w:p w14:paraId="3EA3602E" w14:textId="77777777" w:rsidR="00B9311E" w:rsidRPr="00BD77D8" w:rsidRDefault="00B9311E" w:rsidP="00B9311E">
            <w:pPr>
              <w:spacing w:after="0" w:line="240" w:lineRule="auto"/>
              <w:jc w:val="right"/>
              <w:rPr>
                <w:sz w:val="18"/>
                <w:szCs w:val="18"/>
              </w:rPr>
            </w:pPr>
            <w:r w:rsidRPr="00BD77D8">
              <w:rPr>
                <w:sz w:val="18"/>
                <w:szCs w:val="18"/>
              </w:rPr>
              <w:t xml:space="preserve">                   864 </w:t>
            </w:r>
          </w:p>
        </w:tc>
        <w:tc>
          <w:tcPr>
            <w:tcW w:w="1366" w:type="dxa"/>
            <w:tcBorders>
              <w:top w:val="nil"/>
              <w:left w:val="nil"/>
              <w:bottom w:val="nil"/>
              <w:right w:val="nil"/>
            </w:tcBorders>
            <w:shd w:val="clear" w:color="auto" w:fill="auto"/>
            <w:vAlign w:val="bottom"/>
            <w:hideMark/>
          </w:tcPr>
          <w:p w14:paraId="1CAD96E9" w14:textId="77777777" w:rsidR="00B9311E" w:rsidRPr="00BD77D8" w:rsidRDefault="00B9311E" w:rsidP="00B9311E">
            <w:pPr>
              <w:spacing w:after="0" w:line="240" w:lineRule="auto"/>
              <w:jc w:val="right"/>
              <w:rPr>
                <w:sz w:val="18"/>
                <w:szCs w:val="18"/>
              </w:rPr>
            </w:pPr>
            <w:r w:rsidRPr="00BD77D8">
              <w:rPr>
                <w:sz w:val="18"/>
                <w:szCs w:val="18"/>
              </w:rPr>
              <w:t xml:space="preserve">              2,105 </w:t>
            </w:r>
          </w:p>
        </w:tc>
        <w:tc>
          <w:tcPr>
            <w:tcW w:w="1186" w:type="dxa"/>
            <w:tcBorders>
              <w:top w:val="nil"/>
              <w:left w:val="nil"/>
              <w:bottom w:val="nil"/>
              <w:right w:val="nil"/>
            </w:tcBorders>
            <w:shd w:val="clear" w:color="auto" w:fill="auto"/>
            <w:vAlign w:val="bottom"/>
            <w:hideMark/>
          </w:tcPr>
          <w:p w14:paraId="4A832616" w14:textId="77777777" w:rsidR="00B9311E" w:rsidRPr="00BD77D8" w:rsidRDefault="00B9311E" w:rsidP="00B9311E">
            <w:pPr>
              <w:spacing w:after="0" w:line="240" w:lineRule="auto"/>
              <w:jc w:val="right"/>
              <w:rPr>
                <w:sz w:val="18"/>
                <w:szCs w:val="18"/>
              </w:rPr>
            </w:pPr>
            <w:r w:rsidRPr="00BD77D8">
              <w:rPr>
                <w:sz w:val="18"/>
                <w:szCs w:val="18"/>
              </w:rPr>
              <w:t xml:space="preserve">            4,188 </w:t>
            </w:r>
          </w:p>
        </w:tc>
      </w:tr>
      <w:tr w:rsidR="00BD77D8" w:rsidRPr="00BD77D8" w14:paraId="0EC82D49" w14:textId="77777777" w:rsidTr="003057FB">
        <w:trPr>
          <w:trHeight w:val="286"/>
        </w:trPr>
        <w:tc>
          <w:tcPr>
            <w:tcW w:w="3945" w:type="dxa"/>
            <w:tcBorders>
              <w:top w:val="nil"/>
              <w:left w:val="nil"/>
              <w:bottom w:val="nil"/>
              <w:right w:val="nil"/>
            </w:tcBorders>
            <w:shd w:val="clear" w:color="auto" w:fill="auto"/>
            <w:noWrap/>
            <w:vAlign w:val="bottom"/>
            <w:hideMark/>
          </w:tcPr>
          <w:p w14:paraId="033E87AD" w14:textId="77777777" w:rsidR="00B9311E" w:rsidRPr="00BD77D8" w:rsidRDefault="00B9311E" w:rsidP="00B9311E">
            <w:pPr>
              <w:spacing w:after="0" w:line="240" w:lineRule="auto"/>
              <w:rPr>
                <w:b/>
                <w:bCs/>
                <w:sz w:val="18"/>
                <w:szCs w:val="18"/>
              </w:rPr>
            </w:pPr>
            <w:r w:rsidRPr="00BD77D8">
              <w:rPr>
                <w:b/>
                <w:bCs/>
                <w:sz w:val="18"/>
                <w:szCs w:val="18"/>
              </w:rPr>
              <w:t xml:space="preserve"> Total Income from Continuing Operations </w:t>
            </w:r>
          </w:p>
        </w:tc>
        <w:tc>
          <w:tcPr>
            <w:tcW w:w="1158" w:type="dxa"/>
            <w:tcBorders>
              <w:top w:val="nil"/>
              <w:left w:val="nil"/>
              <w:bottom w:val="nil"/>
              <w:right w:val="nil"/>
            </w:tcBorders>
            <w:shd w:val="clear" w:color="auto" w:fill="auto"/>
            <w:noWrap/>
            <w:vAlign w:val="bottom"/>
            <w:hideMark/>
          </w:tcPr>
          <w:p w14:paraId="10E7AB2D" w14:textId="77777777" w:rsidR="00B9311E" w:rsidRPr="00BD77D8" w:rsidRDefault="00B9311E" w:rsidP="00B9311E">
            <w:pPr>
              <w:spacing w:after="0" w:line="240" w:lineRule="auto"/>
              <w:rPr>
                <w:b/>
                <w:bCs/>
                <w:sz w:val="18"/>
                <w:szCs w:val="18"/>
              </w:rPr>
            </w:pPr>
          </w:p>
        </w:tc>
        <w:tc>
          <w:tcPr>
            <w:tcW w:w="1384" w:type="dxa"/>
            <w:tcBorders>
              <w:top w:val="single" w:sz="4" w:space="0" w:color="auto"/>
              <w:left w:val="nil"/>
              <w:bottom w:val="single" w:sz="4" w:space="0" w:color="auto"/>
              <w:right w:val="nil"/>
            </w:tcBorders>
            <w:shd w:val="clear" w:color="auto" w:fill="auto"/>
            <w:vAlign w:val="bottom"/>
            <w:hideMark/>
          </w:tcPr>
          <w:p w14:paraId="229EA116" w14:textId="77777777" w:rsidR="00B9311E" w:rsidRPr="00BD77D8" w:rsidRDefault="00B9311E" w:rsidP="00B9311E">
            <w:pPr>
              <w:spacing w:after="0" w:line="240" w:lineRule="auto"/>
              <w:jc w:val="right"/>
              <w:rPr>
                <w:b/>
                <w:bCs/>
                <w:sz w:val="18"/>
                <w:szCs w:val="18"/>
              </w:rPr>
            </w:pPr>
            <w:r w:rsidRPr="00BD77D8">
              <w:rPr>
                <w:b/>
                <w:bCs/>
                <w:sz w:val="18"/>
                <w:szCs w:val="18"/>
              </w:rPr>
              <w:t xml:space="preserve">           336,127 </w:t>
            </w:r>
          </w:p>
        </w:tc>
        <w:tc>
          <w:tcPr>
            <w:tcW w:w="1430" w:type="dxa"/>
            <w:tcBorders>
              <w:top w:val="single" w:sz="4" w:space="0" w:color="auto"/>
              <w:left w:val="nil"/>
              <w:bottom w:val="single" w:sz="4" w:space="0" w:color="auto"/>
              <w:right w:val="nil"/>
            </w:tcBorders>
            <w:shd w:val="clear" w:color="auto" w:fill="auto"/>
            <w:vAlign w:val="bottom"/>
            <w:hideMark/>
          </w:tcPr>
          <w:p w14:paraId="3A969B44" w14:textId="77777777" w:rsidR="00B9311E" w:rsidRPr="00BD77D8" w:rsidRDefault="00B9311E" w:rsidP="00B9311E">
            <w:pPr>
              <w:spacing w:after="0" w:line="240" w:lineRule="auto"/>
              <w:jc w:val="right"/>
              <w:rPr>
                <w:b/>
                <w:bCs/>
                <w:sz w:val="18"/>
                <w:szCs w:val="18"/>
              </w:rPr>
            </w:pPr>
            <w:r w:rsidRPr="00BD77D8">
              <w:rPr>
                <w:b/>
                <w:bCs/>
                <w:sz w:val="18"/>
                <w:szCs w:val="18"/>
              </w:rPr>
              <w:t xml:space="preserve">           311,530 </w:t>
            </w:r>
          </w:p>
        </w:tc>
        <w:tc>
          <w:tcPr>
            <w:tcW w:w="1366" w:type="dxa"/>
            <w:tcBorders>
              <w:top w:val="single" w:sz="4" w:space="0" w:color="auto"/>
              <w:left w:val="nil"/>
              <w:bottom w:val="single" w:sz="4" w:space="0" w:color="auto"/>
              <w:right w:val="nil"/>
            </w:tcBorders>
            <w:shd w:val="clear" w:color="auto" w:fill="auto"/>
            <w:vAlign w:val="bottom"/>
            <w:hideMark/>
          </w:tcPr>
          <w:p w14:paraId="3ECF441D" w14:textId="77777777" w:rsidR="00B9311E" w:rsidRPr="00BD77D8" w:rsidRDefault="00B9311E" w:rsidP="00B9311E">
            <w:pPr>
              <w:spacing w:after="0" w:line="240" w:lineRule="auto"/>
              <w:jc w:val="right"/>
              <w:rPr>
                <w:b/>
                <w:bCs/>
                <w:sz w:val="18"/>
                <w:szCs w:val="18"/>
              </w:rPr>
            </w:pPr>
            <w:r w:rsidRPr="00BD77D8">
              <w:rPr>
                <w:b/>
                <w:bCs/>
                <w:sz w:val="18"/>
                <w:szCs w:val="18"/>
              </w:rPr>
              <w:t xml:space="preserve">            24,597 </w:t>
            </w:r>
          </w:p>
        </w:tc>
        <w:tc>
          <w:tcPr>
            <w:tcW w:w="1186" w:type="dxa"/>
            <w:tcBorders>
              <w:top w:val="single" w:sz="4" w:space="0" w:color="auto"/>
              <w:left w:val="nil"/>
              <w:bottom w:val="single" w:sz="4" w:space="0" w:color="auto"/>
              <w:right w:val="nil"/>
            </w:tcBorders>
            <w:shd w:val="clear" w:color="auto" w:fill="auto"/>
            <w:vAlign w:val="bottom"/>
            <w:hideMark/>
          </w:tcPr>
          <w:p w14:paraId="3074E028" w14:textId="77777777" w:rsidR="00B9311E" w:rsidRPr="00BD77D8" w:rsidRDefault="00B9311E" w:rsidP="00B9311E">
            <w:pPr>
              <w:spacing w:after="0" w:line="240" w:lineRule="auto"/>
              <w:jc w:val="right"/>
              <w:rPr>
                <w:b/>
                <w:bCs/>
                <w:sz w:val="18"/>
                <w:szCs w:val="18"/>
              </w:rPr>
            </w:pPr>
            <w:r w:rsidRPr="00BD77D8">
              <w:rPr>
                <w:b/>
                <w:bCs/>
                <w:sz w:val="18"/>
                <w:szCs w:val="18"/>
              </w:rPr>
              <w:t xml:space="preserve">        349,823 </w:t>
            </w:r>
          </w:p>
        </w:tc>
      </w:tr>
      <w:tr w:rsidR="00BD77D8" w:rsidRPr="00BD77D8" w14:paraId="5B322594" w14:textId="77777777" w:rsidTr="003057FB">
        <w:trPr>
          <w:trHeight w:val="286"/>
        </w:trPr>
        <w:tc>
          <w:tcPr>
            <w:tcW w:w="3945" w:type="dxa"/>
            <w:tcBorders>
              <w:top w:val="nil"/>
              <w:left w:val="nil"/>
              <w:bottom w:val="nil"/>
              <w:right w:val="nil"/>
            </w:tcBorders>
            <w:shd w:val="clear" w:color="auto" w:fill="auto"/>
            <w:noWrap/>
            <w:vAlign w:val="bottom"/>
            <w:hideMark/>
          </w:tcPr>
          <w:p w14:paraId="307DF953" w14:textId="77777777" w:rsidR="00B9311E" w:rsidRPr="00BD77D8" w:rsidRDefault="00B9311E" w:rsidP="00B9311E">
            <w:pPr>
              <w:spacing w:after="0" w:line="240" w:lineRule="auto"/>
              <w:jc w:val="right"/>
              <w:rPr>
                <w:sz w:val="18"/>
                <w:szCs w:val="18"/>
              </w:rPr>
            </w:pPr>
          </w:p>
        </w:tc>
        <w:tc>
          <w:tcPr>
            <w:tcW w:w="1158" w:type="dxa"/>
            <w:tcBorders>
              <w:top w:val="nil"/>
              <w:left w:val="nil"/>
              <w:bottom w:val="nil"/>
              <w:right w:val="nil"/>
            </w:tcBorders>
            <w:shd w:val="clear" w:color="auto" w:fill="auto"/>
            <w:noWrap/>
            <w:vAlign w:val="bottom"/>
            <w:hideMark/>
          </w:tcPr>
          <w:p w14:paraId="6BD2BAA5" w14:textId="77777777" w:rsidR="00B9311E" w:rsidRPr="00BD77D8" w:rsidRDefault="00B9311E" w:rsidP="00B9311E">
            <w:pPr>
              <w:spacing w:after="0" w:line="240" w:lineRule="auto"/>
              <w:rPr>
                <w:rFonts w:ascii="Times New Roman" w:hAnsi="Times New Roman" w:cs="Times New Roman"/>
                <w:b/>
                <w:bCs/>
                <w:sz w:val="20"/>
                <w:szCs w:val="20"/>
              </w:rPr>
            </w:pPr>
          </w:p>
        </w:tc>
        <w:tc>
          <w:tcPr>
            <w:tcW w:w="1384" w:type="dxa"/>
            <w:tcBorders>
              <w:top w:val="nil"/>
              <w:left w:val="nil"/>
              <w:bottom w:val="nil"/>
              <w:right w:val="nil"/>
            </w:tcBorders>
            <w:shd w:val="clear" w:color="auto" w:fill="auto"/>
            <w:vAlign w:val="bottom"/>
            <w:hideMark/>
          </w:tcPr>
          <w:p w14:paraId="0E4F2F7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430" w:type="dxa"/>
            <w:tcBorders>
              <w:top w:val="nil"/>
              <w:left w:val="nil"/>
              <w:bottom w:val="nil"/>
              <w:right w:val="nil"/>
            </w:tcBorders>
            <w:shd w:val="clear" w:color="FFFFFF" w:fill="FFFFFF"/>
            <w:vAlign w:val="bottom"/>
            <w:hideMark/>
          </w:tcPr>
          <w:p w14:paraId="0EDC0AA6" w14:textId="77777777" w:rsidR="00B9311E" w:rsidRPr="00BD77D8" w:rsidRDefault="00B9311E" w:rsidP="00B9311E">
            <w:pPr>
              <w:spacing w:after="0" w:line="240" w:lineRule="auto"/>
              <w:jc w:val="right"/>
              <w:rPr>
                <w:sz w:val="18"/>
                <w:szCs w:val="18"/>
              </w:rPr>
            </w:pPr>
            <w:r w:rsidRPr="00BD77D8">
              <w:rPr>
                <w:sz w:val="18"/>
                <w:szCs w:val="18"/>
              </w:rPr>
              <w:t> </w:t>
            </w:r>
          </w:p>
        </w:tc>
        <w:tc>
          <w:tcPr>
            <w:tcW w:w="1366" w:type="dxa"/>
            <w:tcBorders>
              <w:top w:val="nil"/>
              <w:left w:val="nil"/>
              <w:bottom w:val="nil"/>
              <w:right w:val="nil"/>
            </w:tcBorders>
            <w:shd w:val="clear" w:color="auto" w:fill="auto"/>
            <w:vAlign w:val="bottom"/>
            <w:hideMark/>
          </w:tcPr>
          <w:p w14:paraId="2A913ACD" w14:textId="77777777" w:rsidR="00B9311E" w:rsidRPr="00BD77D8" w:rsidRDefault="00B9311E" w:rsidP="00B9311E">
            <w:pPr>
              <w:spacing w:after="0" w:line="240" w:lineRule="auto"/>
              <w:jc w:val="right"/>
              <w:rPr>
                <w:sz w:val="18"/>
                <w:szCs w:val="18"/>
              </w:rPr>
            </w:pPr>
          </w:p>
        </w:tc>
        <w:tc>
          <w:tcPr>
            <w:tcW w:w="1186" w:type="dxa"/>
            <w:tcBorders>
              <w:top w:val="nil"/>
              <w:left w:val="nil"/>
              <w:bottom w:val="nil"/>
              <w:right w:val="nil"/>
            </w:tcBorders>
            <w:shd w:val="clear" w:color="auto" w:fill="auto"/>
            <w:vAlign w:val="bottom"/>
            <w:hideMark/>
          </w:tcPr>
          <w:p w14:paraId="2089A2AA"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3F12DB2F" w14:textId="77777777" w:rsidTr="003057FB">
        <w:trPr>
          <w:trHeight w:val="75"/>
        </w:trPr>
        <w:tc>
          <w:tcPr>
            <w:tcW w:w="3945" w:type="dxa"/>
            <w:tcBorders>
              <w:top w:val="nil"/>
              <w:left w:val="nil"/>
              <w:bottom w:val="nil"/>
              <w:right w:val="nil"/>
            </w:tcBorders>
            <w:shd w:val="clear" w:color="auto" w:fill="auto"/>
            <w:noWrap/>
            <w:vAlign w:val="bottom"/>
            <w:hideMark/>
          </w:tcPr>
          <w:p w14:paraId="2DD88618" w14:textId="77777777" w:rsidR="00B9311E" w:rsidRPr="00BD77D8" w:rsidRDefault="00B9311E" w:rsidP="00B9311E">
            <w:pPr>
              <w:spacing w:after="0" w:line="240" w:lineRule="auto"/>
              <w:rPr>
                <w:b/>
                <w:bCs/>
                <w:sz w:val="18"/>
                <w:szCs w:val="18"/>
              </w:rPr>
            </w:pPr>
            <w:r w:rsidRPr="00BD77D8">
              <w:rPr>
                <w:b/>
                <w:bCs/>
                <w:sz w:val="18"/>
                <w:szCs w:val="18"/>
              </w:rPr>
              <w:t xml:space="preserve"> Expenses from Continuing Operations </w:t>
            </w:r>
          </w:p>
        </w:tc>
        <w:tc>
          <w:tcPr>
            <w:tcW w:w="1158" w:type="dxa"/>
            <w:tcBorders>
              <w:top w:val="nil"/>
              <w:left w:val="nil"/>
              <w:bottom w:val="nil"/>
              <w:right w:val="nil"/>
            </w:tcBorders>
            <w:shd w:val="clear" w:color="auto" w:fill="auto"/>
            <w:noWrap/>
            <w:vAlign w:val="bottom"/>
            <w:hideMark/>
          </w:tcPr>
          <w:p w14:paraId="669D0CB3" w14:textId="77777777" w:rsidR="00B9311E" w:rsidRPr="00BD77D8" w:rsidRDefault="00B9311E" w:rsidP="00B9311E">
            <w:pPr>
              <w:spacing w:after="0" w:line="240" w:lineRule="auto"/>
              <w:rPr>
                <w:b/>
                <w:bCs/>
                <w:sz w:val="18"/>
                <w:szCs w:val="18"/>
              </w:rPr>
            </w:pPr>
          </w:p>
        </w:tc>
        <w:tc>
          <w:tcPr>
            <w:tcW w:w="1384" w:type="dxa"/>
            <w:tcBorders>
              <w:top w:val="nil"/>
              <w:left w:val="nil"/>
              <w:bottom w:val="nil"/>
              <w:right w:val="nil"/>
            </w:tcBorders>
            <w:shd w:val="clear" w:color="auto" w:fill="auto"/>
            <w:vAlign w:val="bottom"/>
            <w:hideMark/>
          </w:tcPr>
          <w:p w14:paraId="31FD21E5"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430" w:type="dxa"/>
            <w:tcBorders>
              <w:top w:val="nil"/>
              <w:left w:val="nil"/>
              <w:bottom w:val="nil"/>
              <w:right w:val="nil"/>
            </w:tcBorders>
            <w:shd w:val="clear" w:color="FFFFFF" w:fill="FFFFFF"/>
            <w:vAlign w:val="bottom"/>
            <w:hideMark/>
          </w:tcPr>
          <w:p w14:paraId="570A1320" w14:textId="77777777" w:rsidR="00B9311E" w:rsidRPr="00BD77D8" w:rsidRDefault="00B9311E" w:rsidP="00B9311E">
            <w:pPr>
              <w:spacing w:after="0" w:line="240" w:lineRule="auto"/>
              <w:jc w:val="right"/>
              <w:rPr>
                <w:b/>
                <w:bCs/>
                <w:sz w:val="18"/>
                <w:szCs w:val="18"/>
              </w:rPr>
            </w:pPr>
            <w:r w:rsidRPr="00BD77D8">
              <w:rPr>
                <w:b/>
                <w:bCs/>
                <w:sz w:val="18"/>
                <w:szCs w:val="18"/>
              </w:rPr>
              <w:t> </w:t>
            </w:r>
          </w:p>
        </w:tc>
        <w:tc>
          <w:tcPr>
            <w:tcW w:w="1366" w:type="dxa"/>
            <w:tcBorders>
              <w:top w:val="nil"/>
              <w:left w:val="nil"/>
              <w:bottom w:val="nil"/>
              <w:right w:val="nil"/>
            </w:tcBorders>
            <w:shd w:val="clear" w:color="auto" w:fill="auto"/>
            <w:vAlign w:val="bottom"/>
            <w:hideMark/>
          </w:tcPr>
          <w:p w14:paraId="388C90A9" w14:textId="77777777" w:rsidR="00B9311E" w:rsidRPr="00BD77D8" w:rsidRDefault="00B9311E" w:rsidP="00B9311E">
            <w:pPr>
              <w:spacing w:after="0" w:line="240" w:lineRule="auto"/>
              <w:jc w:val="right"/>
              <w:rPr>
                <w:b/>
                <w:bCs/>
                <w:sz w:val="18"/>
                <w:szCs w:val="18"/>
              </w:rPr>
            </w:pPr>
          </w:p>
        </w:tc>
        <w:tc>
          <w:tcPr>
            <w:tcW w:w="1186" w:type="dxa"/>
            <w:tcBorders>
              <w:top w:val="nil"/>
              <w:left w:val="nil"/>
              <w:bottom w:val="nil"/>
              <w:right w:val="nil"/>
            </w:tcBorders>
            <w:shd w:val="clear" w:color="auto" w:fill="auto"/>
            <w:vAlign w:val="bottom"/>
            <w:hideMark/>
          </w:tcPr>
          <w:p w14:paraId="03967BAA"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65DDB74B" w14:textId="77777777" w:rsidTr="003057FB">
        <w:trPr>
          <w:trHeight w:val="286"/>
        </w:trPr>
        <w:tc>
          <w:tcPr>
            <w:tcW w:w="3945" w:type="dxa"/>
            <w:tcBorders>
              <w:top w:val="nil"/>
              <w:left w:val="nil"/>
              <w:bottom w:val="nil"/>
              <w:right w:val="nil"/>
            </w:tcBorders>
            <w:shd w:val="clear" w:color="auto" w:fill="auto"/>
            <w:noWrap/>
            <w:vAlign w:val="bottom"/>
            <w:hideMark/>
          </w:tcPr>
          <w:p w14:paraId="516F7D47"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Employee expenses </w:t>
            </w:r>
          </w:p>
        </w:tc>
        <w:tc>
          <w:tcPr>
            <w:tcW w:w="1158" w:type="dxa"/>
            <w:tcBorders>
              <w:top w:val="nil"/>
              <w:left w:val="nil"/>
              <w:bottom w:val="nil"/>
              <w:right w:val="nil"/>
            </w:tcBorders>
            <w:shd w:val="clear" w:color="auto" w:fill="auto"/>
            <w:noWrap/>
            <w:vAlign w:val="bottom"/>
            <w:hideMark/>
          </w:tcPr>
          <w:p w14:paraId="3D25F984" w14:textId="77777777" w:rsidR="00B9311E" w:rsidRPr="00BD77D8" w:rsidRDefault="00F56A31" w:rsidP="00B9311E">
            <w:pPr>
              <w:spacing w:after="0" w:line="240" w:lineRule="auto"/>
              <w:jc w:val="center"/>
              <w:rPr>
                <w:rFonts w:eastAsia="PMingLiU"/>
                <w:b/>
                <w:bCs/>
                <w:sz w:val="18"/>
                <w:szCs w:val="22"/>
                <w:lang w:eastAsia="en-US"/>
              </w:rPr>
            </w:pPr>
            <w:hyperlink r:id="rId33" w:anchor="'Note B2-1'!A5" w:history="1">
              <w:r w:rsidR="00B9311E" w:rsidRPr="00BD77D8">
                <w:rPr>
                  <w:rFonts w:eastAsia="PMingLiU"/>
                  <w:b/>
                  <w:bCs/>
                  <w:sz w:val="18"/>
                  <w:szCs w:val="22"/>
                  <w:lang w:eastAsia="en-US"/>
                </w:rPr>
                <w:t>B2-1</w:t>
              </w:r>
            </w:hyperlink>
          </w:p>
        </w:tc>
        <w:tc>
          <w:tcPr>
            <w:tcW w:w="1384" w:type="dxa"/>
            <w:tcBorders>
              <w:top w:val="nil"/>
              <w:left w:val="nil"/>
              <w:bottom w:val="nil"/>
              <w:right w:val="nil"/>
            </w:tcBorders>
            <w:shd w:val="clear" w:color="auto" w:fill="auto"/>
            <w:vAlign w:val="bottom"/>
            <w:hideMark/>
          </w:tcPr>
          <w:p w14:paraId="74E205EE" w14:textId="77777777" w:rsidR="00B9311E" w:rsidRPr="00BD77D8" w:rsidRDefault="00B9311E" w:rsidP="00B9311E">
            <w:pPr>
              <w:spacing w:after="0" w:line="240" w:lineRule="auto"/>
              <w:jc w:val="right"/>
              <w:rPr>
                <w:b/>
                <w:bCs/>
                <w:sz w:val="18"/>
                <w:szCs w:val="18"/>
              </w:rPr>
            </w:pPr>
            <w:r w:rsidRPr="00BD77D8">
              <w:rPr>
                <w:b/>
                <w:bCs/>
                <w:sz w:val="18"/>
                <w:szCs w:val="18"/>
              </w:rPr>
              <w:t xml:space="preserve">           214,908 </w:t>
            </w:r>
          </w:p>
        </w:tc>
        <w:tc>
          <w:tcPr>
            <w:tcW w:w="1430" w:type="dxa"/>
            <w:tcBorders>
              <w:top w:val="nil"/>
              <w:left w:val="nil"/>
              <w:bottom w:val="nil"/>
              <w:right w:val="nil"/>
            </w:tcBorders>
            <w:shd w:val="clear" w:color="FFFFFF" w:fill="FFFFFF"/>
            <w:vAlign w:val="bottom"/>
            <w:hideMark/>
          </w:tcPr>
          <w:p w14:paraId="1E0A7885" w14:textId="77777777" w:rsidR="00B9311E" w:rsidRPr="00BD77D8" w:rsidRDefault="00B9311E" w:rsidP="00B9311E">
            <w:pPr>
              <w:spacing w:after="0" w:line="240" w:lineRule="auto"/>
              <w:jc w:val="right"/>
              <w:rPr>
                <w:sz w:val="18"/>
                <w:szCs w:val="18"/>
              </w:rPr>
            </w:pPr>
            <w:r w:rsidRPr="00BD77D8">
              <w:rPr>
                <w:sz w:val="18"/>
                <w:szCs w:val="18"/>
              </w:rPr>
              <w:t xml:space="preserve">           203,793 </w:t>
            </w:r>
          </w:p>
        </w:tc>
        <w:tc>
          <w:tcPr>
            <w:tcW w:w="1366" w:type="dxa"/>
            <w:tcBorders>
              <w:top w:val="nil"/>
              <w:left w:val="nil"/>
              <w:bottom w:val="nil"/>
              <w:right w:val="nil"/>
            </w:tcBorders>
            <w:shd w:val="clear" w:color="auto" w:fill="auto"/>
            <w:vAlign w:val="bottom"/>
            <w:hideMark/>
          </w:tcPr>
          <w:p w14:paraId="12BE3FF0" w14:textId="77777777" w:rsidR="00B9311E" w:rsidRPr="00BD77D8" w:rsidRDefault="00B9311E" w:rsidP="00B9311E">
            <w:pPr>
              <w:spacing w:after="0" w:line="240" w:lineRule="auto"/>
              <w:jc w:val="right"/>
              <w:rPr>
                <w:sz w:val="18"/>
                <w:szCs w:val="18"/>
              </w:rPr>
            </w:pPr>
            <w:r w:rsidRPr="00BD77D8">
              <w:rPr>
                <w:sz w:val="18"/>
                <w:szCs w:val="18"/>
              </w:rPr>
              <w:t xml:space="preserve">          (11,115)</w:t>
            </w:r>
          </w:p>
        </w:tc>
        <w:tc>
          <w:tcPr>
            <w:tcW w:w="1186" w:type="dxa"/>
            <w:tcBorders>
              <w:top w:val="nil"/>
              <w:left w:val="nil"/>
              <w:bottom w:val="nil"/>
              <w:right w:val="nil"/>
            </w:tcBorders>
            <w:shd w:val="clear" w:color="auto" w:fill="auto"/>
            <w:vAlign w:val="bottom"/>
            <w:hideMark/>
          </w:tcPr>
          <w:p w14:paraId="27A7A7D1" w14:textId="77777777" w:rsidR="00B9311E" w:rsidRPr="00BD77D8" w:rsidRDefault="00B9311E" w:rsidP="00B9311E">
            <w:pPr>
              <w:spacing w:after="0" w:line="240" w:lineRule="auto"/>
              <w:jc w:val="right"/>
              <w:rPr>
                <w:sz w:val="18"/>
                <w:szCs w:val="18"/>
              </w:rPr>
            </w:pPr>
            <w:r w:rsidRPr="00BD77D8">
              <w:rPr>
                <w:sz w:val="18"/>
                <w:szCs w:val="18"/>
              </w:rPr>
              <w:t xml:space="preserve">        205,688 </w:t>
            </w:r>
          </w:p>
        </w:tc>
      </w:tr>
      <w:tr w:rsidR="00BD77D8" w:rsidRPr="00BD77D8" w14:paraId="38F7FDAC" w14:textId="77777777" w:rsidTr="003057FB">
        <w:trPr>
          <w:trHeight w:val="286"/>
        </w:trPr>
        <w:tc>
          <w:tcPr>
            <w:tcW w:w="3945" w:type="dxa"/>
            <w:tcBorders>
              <w:top w:val="nil"/>
              <w:left w:val="nil"/>
              <w:bottom w:val="nil"/>
              <w:right w:val="nil"/>
            </w:tcBorders>
            <w:shd w:val="clear" w:color="auto" w:fill="auto"/>
            <w:noWrap/>
            <w:vAlign w:val="bottom"/>
            <w:hideMark/>
          </w:tcPr>
          <w:p w14:paraId="05CDA532"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Supplies and services </w:t>
            </w:r>
          </w:p>
        </w:tc>
        <w:bookmarkStart w:id="354" w:name="RANGE!B18"/>
        <w:tc>
          <w:tcPr>
            <w:tcW w:w="1158" w:type="dxa"/>
            <w:tcBorders>
              <w:top w:val="nil"/>
              <w:left w:val="nil"/>
              <w:bottom w:val="nil"/>
              <w:right w:val="nil"/>
            </w:tcBorders>
            <w:shd w:val="clear" w:color="auto" w:fill="auto"/>
            <w:noWrap/>
            <w:vAlign w:val="bottom"/>
            <w:hideMark/>
          </w:tcPr>
          <w:p w14:paraId="3D4726B0"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B2-2'!A5" </w:instrText>
            </w:r>
            <w:r w:rsidRPr="00BD77D8">
              <w:rPr>
                <w:rFonts w:eastAsia="PMingLiU"/>
                <w:b/>
                <w:bCs/>
                <w:sz w:val="18"/>
                <w:szCs w:val="22"/>
                <w:lang w:eastAsia="en-US"/>
              </w:rPr>
              <w:fldChar w:fldCharType="separate"/>
            </w:r>
            <w:r w:rsidRPr="00BD77D8">
              <w:rPr>
                <w:rFonts w:eastAsia="PMingLiU"/>
                <w:b/>
                <w:bCs/>
                <w:sz w:val="18"/>
                <w:szCs w:val="22"/>
                <w:lang w:eastAsia="en-US"/>
              </w:rPr>
              <w:t>B2-2</w:t>
            </w:r>
            <w:r w:rsidRPr="00BD77D8">
              <w:rPr>
                <w:rFonts w:eastAsia="PMingLiU"/>
                <w:b/>
                <w:bCs/>
                <w:sz w:val="18"/>
                <w:szCs w:val="22"/>
                <w:lang w:eastAsia="en-US"/>
              </w:rPr>
              <w:fldChar w:fldCharType="end"/>
            </w:r>
            <w:bookmarkEnd w:id="354"/>
          </w:p>
        </w:tc>
        <w:tc>
          <w:tcPr>
            <w:tcW w:w="1384" w:type="dxa"/>
            <w:tcBorders>
              <w:top w:val="nil"/>
              <w:left w:val="nil"/>
              <w:bottom w:val="nil"/>
              <w:right w:val="nil"/>
            </w:tcBorders>
            <w:shd w:val="clear" w:color="auto" w:fill="auto"/>
            <w:vAlign w:val="bottom"/>
            <w:hideMark/>
          </w:tcPr>
          <w:p w14:paraId="6DA3F844" w14:textId="77777777" w:rsidR="00B9311E" w:rsidRPr="00BD77D8" w:rsidRDefault="00B9311E" w:rsidP="00B9311E">
            <w:pPr>
              <w:spacing w:after="0" w:line="240" w:lineRule="auto"/>
              <w:jc w:val="right"/>
              <w:rPr>
                <w:b/>
                <w:bCs/>
                <w:sz w:val="18"/>
                <w:szCs w:val="18"/>
              </w:rPr>
            </w:pPr>
            <w:r w:rsidRPr="00BD77D8">
              <w:rPr>
                <w:b/>
                <w:bCs/>
                <w:sz w:val="18"/>
                <w:szCs w:val="18"/>
              </w:rPr>
              <w:t xml:space="preserve">              67,636 </w:t>
            </w:r>
          </w:p>
        </w:tc>
        <w:tc>
          <w:tcPr>
            <w:tcW w:w="1430" w:type="dxa"/>
            <w:tcBorders>
              <w:top w:val="nil"/>
              <w:left w:val="nil"/>
              <w:bottom w:val="nil"/>
              <w:right w:val="nil"/>
            </w:tcBorders>
            <w:shd w:val="clear" w:color="FFFFFF" w:fill="FFFFFF"/>
            <w:vAlign w:val="bottom"/>
            <w:hideMark/>
          </w:tcPr>
          <w:p w14:paraId="467829BC" w14:textId="77777777" w:rsidR="00B9311E" w:rsidRPr="00BD77D8" w:rsidRDefault="00B9311E" w:rsidP="00B9311E">
            <w:pPr>
              <w:spacing w:after="0" w:line="240" w:lineRule="auto"/>
              <w:jc w:val="right"/>
              <w:rPr>
                <w:sz w:val="18"/>
                <w:szCs w:val="18"/>
              </w:rPr>
            </w:pPr>
            <w:r w:rsidRPr="00BD77D8">
              <w:rPr>
                <w:sz w:val="18"/>
                <w:szCs w:val="18"/>
              </w:rPr>
              <w:t xml:space="preserve">             90,085 </w:t>
            </w:r>
          </w:p>
        </w:tc>
        <w:tc>
          <w:tcPr>
            <w:tcW w:w="1366" w:type="dxa"/>
            <w:tcBorders>
              <w:top w:val="nil"/>
              <w:left w:val="nil"/>
              <w:bottom w:val="nil"/>
              <w:right w:val="nil"/>
            </w:tcBorders>
            <w:shd w:val="clear" w:color="auto" w:fill="auto"/>
            <w:vAlign w:val="bottom"/>
            <w:hideMark/>
          </w:tcPr>
          <w:p w14:paraId="0AE5F3D5" w14:textId="77777777" w:rsidR="00B9311E" w:rsidRPr="00BD77D8" w:rsidRDefault="00B9311E" w:rsidP="00B9311E">
            <w:pPr>
              <w:spacing w:after="0" w:line="240" w:lineRule="auto"/>
              <w:jc w:val="right"/>
              <w:rPr>
                <w:sz w:val="18"/>
                <w:szCs w:val="18"/>
              </w:rPr>
            </w:pPr>
            <w:r w:rsidRPr="00BD77D8">
              <w:rPr>
                <w:sz w:val="18"/>
                <w:szCs w:val="18"/>
              </w:rPr>
              <w:t xml:space="preserve">            22,449 </w:t>
            </w:r>
          </w:p>
        </w:tc>
        <w:tc>
          <w:tcPr>
            <w:tcW w:w="1186" w:type="dxa"/>
            <w:tcBorders>
              <w:top w:val="nil"/>
              <w:left w:val="nil"/>
              <w:bottom w:val="nil"/>
              <w:right w:val="nil"/>
            </w:tcBorders>
            <w:shd w:val="clear" w:color="auto" w:fill="auto"/>
            <w:vAlign w:val="bottom"/>
            <w:hideMark/>
          </w:tcPr>
          <w:p w14:paraId="32C7E063" w14:textId="77777777" w:rsidR="00B9311E" w:rsidRPr="00BD77D8" w:rsidRDefault="00B9311E" w:rsidP="00B9311E">
            <w:pPr>
              <w:spacing w:after="0" w:line="240" w:lineRule="auto"/>
              <w:jc w:val="right"/>
              <w:rPr>
                <w:sz w:val="18"/>
                <w:szCs w:val="18"/>
              </w:rPr>
            </w:pPr>
            <w:r w:rsidRPr="00BD77D8">
              <w:rPr>
                <w:sz w:val="18"/>
                <w:szCs w:val="18"/>
              </w:rPr>
              <w:t xml:space="preserve">        116,539 </w:t>
            </w:r>
          </w:p>
        </w:tc>
      </w:tr>
      <w:tr w:rsidR="00BD77D8" w:rsidRPr="00BD77D8" w14:paraId="035893EB" w14:textId="77777777" w:rsidTr="003057FB">
        <w:trPr>
          <w:trHeight w:val="286"/>
        </w:trPr>
        <w:tc>
          <w:tcPr>
            <w:tcW w:w="3945" w:type="dxa"/>
            <w:tcBorders>
              <w:top w:val="nil"/>
              <w:left w:val="nil"/>
              <w:bottom w:val="nil"/>
              <w:right w:val="nil"/>
            </w:tcBorders>
            <w:shd w:val="clear" w:color="auto" w:fill="auto"/>
            <w:noWrap/>
            <w:vAlign w:val="bottom"/>
            <w:hideMark/>
          </w:tcPr>
          <w:p w14:paraId="1CCB82CF"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Grants and subsidies </w:t>
            </w:r>
          </w:p>
        </w:tc>
        <w:tc>
          <w:tcPr>
            <w:tcW w:w="1158" w:type="dxa"/>
            <w:tcBorders>
              <w:top w:val="nil"/>
              <w:left w:val="nil"/>
              <w:bottom w:val="nil"/>
              <w:right w:val="nil"/>
            </w:tcBorders>
            <w:shd w:val="clear" w:color="auto" w:fill="auto"/>
            <w:noWrap/>
            <w:vAlign w:val="bottom"/>
            <w:hideMark/>
          </w:tcPr>
          <w:p w14:paraId="4665F213" w14:textId="77777777" w:rsidR="00B9311E" w:rsidRPr="00BD77D8" w:rsidRDefault="00F56A31" w:rsidP="00B9311E">
            <w:pPr>
              <w:spacing w:after="0" w:line="240" w:lineRule="auto"/>
              <w:jc w:val="center"/>
              <w:rPr>
                <w:rFonts w:eastAsia="PMingLiU"/>
                <w:b/>
                <w:bCs/>
                <w:sz w:val="18"/>
                <w:szCs w:val="22"/>
                <w:lang w:eastAsia="en-US"/>
              </w:rPr>
            </w:pPr>
            <w:hyperlink r:id="rId34" w:anchor="'Note B2-3'!A5" w:history="1">
              <w:r w:rsidR="00B9311E" w:rsidRPr="00BD77D8">
                <w:rPr>
                  <w:rFonts w:eastAsia="PMingLiU"/>
                  <w:b/>
                  <w:bCs/>
                  <w:sz w:val="18"/>
                  <w:szCs w:val="22"/>
                  <w:lang w:eastAsia="en-US"/>
                </w:rPr>
                <w:t>B2-3</w:t>
              </w:r>
            </w:hyperlink>
          </w:p>
        </w:tc>
        <w:tc>
          <w:tcPr>
            <w:tcW w:w="1384" w:type="dxa"/>
            <w:tcBorders>
              <w:top w:val="nil"/>
              <w:left w:val="nil"/>
              <w:bottom w:val="nil"/>
              <w:right w:val="nil"/>
            </w:tcBorders>
            <w:shd w:val="clear" w:color="auto" w:fill="auto"/>
            <w:vAlign w:val="bottom"/>
            <w:hideMark/>
          </w:tcPr>
          <w:p w14:paraId="5004A98E" w14:textId="77777777" w:rsidR="00B9311E" w:rsidRPr="00BD77D8" w:rsidRDefault="00B9311E" w:rsidP="00B9311E">
            <w:pPr>
              <w:spacing w:after="0" w:line="240" w:lineRule="auto"/>
              <w:jc w:val="right"/>
              <w:rPr>
                <w:b/>
                <w:bCs/>
                <w:sz w:val="18"/>
                <w:szCs w:val="18"/>
              </w:rPr>
            </w:pPr>
            <w:r w:rsidRPr="00BD77D8">
              <w:rPr>
                <w:b/>
                <w:bCs/>
                <w:sz w:val="18"/>
                <w:szCs w:val="18"/>
              </w:rPr>
              <w:t xml:space="preserve">              15,863 </w:t>
            </w:r>
          </w:p>
        </w:tc>
        <w:tc>
          <w:tcPr>
            <w:tcW w:w="1430" w:type="dxa"/>
            <w:tcBorders>
              <w:top w:val="nil"/>
              <w:left w:val="nil"/>
              <w:bottom w:val="nil"/>
              <w:right w:val="nil"/>
            </w:tcBorders>
            <w:shd w:val="clear" w:color="FFFFFF" w:fill="FFFFFF"/>
            <w:vAlign w:val="bottom"/>
            <w:hideMark/>
          </w:tcPr>
          <w:p w14:paraId="5DE98094" w14:textId="77777777" w:rsidR="00B9311E" w:rsidRPr="00BD77D8" w:rsidRDefault="00B9311E" w:rsidP="00B9311E">
            <w:pPr>
              <w:spacing w:after="0" w:line="240" w:lineRule="auto"/>
              <w:jc w:val="right"/>
              <w:rPr>
                <w:sz w:val="18"/>
                <w:szCs w:val="18"/>
              </w:rPr>
            </w:pPr>
            <w:r w:rsidRPr="00BD77D8">
              <w:rPr>
                <w:sz w:val="18"/>
                <w:szCs w:val="18"/>
              </w:rPr>
              <w:t xml:space="preserve">                9,112 </w:t>
            </w:r>
          </w:p>
        </w:tc>
        <w:tc>
          <w:tcPr>
            <w:tcW w:w="1366" w:type="dxa"/>
            <w:tcBorders>
              <w:top w:val="nil"/>
              <w:left w:val="nil"/>
              <w:bottom w:val="nil"/>
              <w:right w:val="nil"/>
            </w:tcBorders>
            <w:shd w:val="clear" w:color="auto" w:fill="auto"/>
            <w:vAlign w:val="bottom"/>
            <w:hideMark/>
          </w:tcPr>
          <w:p w14:paraId="61F69F5B" w14:textId="77777777" w:rsidR="00B9311E" w:rsidRPr="00BD77D8" w:rsidRDefault="00B9311E" w:rsidP="00B9311E">
            <w:pPr>
              <w:spacing w:after="0" w:line="240" w:lineRule="auto"/>
              <w:jc w:val="right"/>
              <w:rPr>
                <w:sz w:val="18"/>
                <w:szCs w:val="18"/>
              </w:rPr>
            </w:pPr>
            <w:r w:rsidRPr="00BD77D8">
              <w:rPr>
                <w:sz w:val="18"/>
                <w:szCs w:val="18"/>
              </w:rPr>
              <w:t xml:space="preserve">             (6,751)</w:t>
            </w:r>
          </w:p>
        </w:tc>
        <w:tc>
          <w:tcPr>
            <w:tcW w:w="1186" w:type="dxa"/>
            <w:tcBorders>
              <w:top w:val="nil"/>
              <w:left w:val="nil"/>
              <w:bottom w:val="nil"/>
              <w:right w:val="nil"/>
            </w:tcBorders>
            <w:shd w:val="clear" w:color="auto" w:fill="auto"/>
            <w:vAlign w:val="bottom"/>
            <w:hideMark/>
          </w:tcPr>
          <w:p w14:paraId="4D4C4DFC" w14:textId="77777777" w:rsidR="00B9311E" w:rsidRPr="00BD77D8" w:rsidRDefault="00B9311E" w:rsidP="00B9311E">
            <w:pPr>
              <w:spacing w:after="0" w:line="240" w:lineRule="auto"/>
              <w:jc w:val="right"/>
              <w:rPr>
                <w:sz w:val="18"/>
                <w:szCs w:val="18"/>
              </w:rPr>
            </w:pPr>
            <w:r w:rsidRPr="00BD77D8">
              <w:rPr>
                <w:sz w:val="18"/>
                <w:szCs w:val="18"/>
              </w:rPr>
              <w:t xml:space="preserve">          16,763 </w:t>
            </w:r>
          </w:p>
        </w:tc>
      </w:tr>
      <w:tr w:rsidR="00BD77D8" w:rsidRPr="00BD77D8" w14:paraId="561AA5EF" w14:textId="77777777" w:rsidTr="003057FB">
        <w:trPr>
          <w:trHeight w:val="286"/>
        </w:trPr>
        <w:tc>
          <w:tcPr>
            <w:tcW w:w="3945" w:type="dxa"/>
            <w:tcBorders>
              <w:top w:val="nil"/>
              <w:left w:val="nil"/>
              <w:bottom w:val="nil"/>
              <w:right w:val="nil"/>
            </w:tcBorders>
            <w:shd w:val="clear" w:color="auto" w:fill="auto"/>
            <w:noWrap/>
            <w:vAlign w:val="bottom"/>
            <w:hideMark/>
          </w:tcPr>
          <w:p w14:paraId="782F49E7"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Depreciation and amortisation </w:t>
            </w:r>
          </w:p>
        </w:tc>
        <w:tc>
          <w:tcPr>
            <w:tcW w:w="1158" w:type="dxa"/>
            <w:tcBorders>
              <w:top w:val="nil"/>
              <w:left w:val="nil"/>
              <w:bottom w:val="nil"/>
              <w:right w:val="nil"/>
            </w:tcBorders>
            <w:shd w:val="clear" w:color="auto" w:fill="auto"/>
            <w:noWrap/>
            <w:vAlign w:val="bottom"/>
            <w:hideMark/>
          </w:tcPr>
          <w:p w14:paraId="49331136" w14:textId="77777777" w:rsidR="00B9311E" w:rsidRPr="00BD77D8" w:rsidRDefault="00F56A31" w:rsidP="00B9311E">
            <w:pPr>
              <w:spacing w:after="0" w:line="240" w:lineRule="auto"/>
              <w:jc w:val="center"/>
              <w:rPr>
                <w:rFonts w:eastAsia="PMingLiU"/>
                <w:b/>
                <w:bCs/>
                <w:sz w:val="18"/>
                <w:szCs w:val="22"/>
                <w:lang w:eastAsia="en-US"/>
              </w:rPr>
            </w:pPr>
            <w:hyperlink r:id="rId35" w:anchor="'Note B2-4'!A5" w:history="1">
              <w:r w:rsidR="00B9311E" w:rsidRPr="00BD77D8">
                <w:rPr>
                  <w:rFonts w:eastAsia="PMingLiU"/>
                  <w:b/>
                  <w:bCs/>
                  <w:sz w:val="18"/>
                  <w:szCs w:val="22"/>
                  <w:lang w:eastAsia="en-US"/>
                </w:rPr>
                <w:t>B2-4</w:t>
              </w:r>
            </w:hyperlink>
          </w:p>
        </w:tc>
        <w:tc>
          <w:tcPr>
            <w:tcW w:w="1384" w:type="dxa"/>
            <w:tcBorders>
              <w:top w:val="nil"/>
              <w:left w:val="nil"/>
              <w:bottom w:val="nil"/>
              <w:right w:val="nil"/>
            </w:tcBorders>
            <w:shd w:val="clear" w:color="auto" w:fill="auto"/>
            <w:vAlign w:val="bottom"/>
            <w:hideMark/>
          </w:tcPr>
          <w:p w14:paraId="47282CD8" w14:textId="77777777" w:rsidR="00B9311E" w:rsidRPr="00BD77D8" w:rsidRDefault="00B9311E" w:rsidP="00B9311E">
            <w:pPr>
              <w:spacing w:after="0" w:line="240" w:lineRule="auto"/>
              <w:jc w:val="right"/>
              <w:rPr>
                <w:b/>
                <w:bCs/>
                <w:sz w:val="18"/>
                <w:szCs w:val="18"/>
              </w:rPr>
            </w:pPr>
            <w:r w:rsidRPr="00BD77D8">
              <w:rPr>
                <w:b/>
                <w:bCs/>
                <w:sz w:val="18"/>
                <w:szCs w:val="18"/>
              </w:rPr>
              <w:t xml:space="preserve">                3,784 </w:t>
            </w:r>
          </w:p>
        </w:tc>
        <w:tc>
          <w:tcPr>
            <w:tcW w:w="1430" w:type="dxa"/>
            <w:tcBorders>
              <w:top w:val="nil"/>
              <w:left w:val="nil"/>
              <w:bottom w:val="nil"/>
              <w:right w:val="nil"/>
            </w:tcBorders>
            <w:shd w:val="clear" w:color="FFFFFF" w:fill="FFFFFF"/>
            <w:vAlign w:val="bottom"/>
            <w:hideMark/>
          </w:tcPr>
          <w:p w14:paraId="6B4D2758" w14:textId="77777777" w:rsidR="00B9311E" w:rsidRPr="00BD77D8" w:rsidRDefault="00B9311E" w:rsidP="00B9311E">
            <w:pPr>
              <w:spacing w:after="0" w:line="240" w:lineRule="auto"/>
              <w:jc w:val="right"/>
              <w:rPr>
                <w:sz w:val="18"/>
                <w:szCs w:val="18"/>
              </w:rPr>
            </w:pPr>
            <w:r w:rsidRPr="00BD77D8">
              <w:rPr>
                <w:sz w:val="18"/>
                <w:szCs w:val="18"/>
              </w:rPr>
              <w:t xml:space="preserve">                6,960 </w:t>
            </w:r>
          </w:p>
        </w:tc>
        <w:tc>
          <w:tcPr>
            <w:tcW w:w="1366" w:type="dxa"/>
            <w:tcBorders>
              <w:top w:val="nil"/>
              <w:left w:val="nil"/>
              <w:bottom w:val="nil"/>
              <w:right w:val="nil"/>
            </w:tcBorders>
            <w:shd w:val="clear" w:color="auto" w:fill="auto"/>
            <w:vAlign w:val="bottom"/>
            <w:hideMark/>
          </w:tcPr>
          <w:p w14:paraId="09EB42C0" w14:textId="77777777" w:rsidR="00B9311E" w:rsidRPr="00BD77D8" w:rsidRDefault="00B9311E" w:rsidP="00B9311E">
            <w:pPr>
              <w:spacing w:after="0" w:line="240" w:lineRule="auto"/>
              <w:jc w:val="right"/>
              <w:rPr>
                <w:sz w:val="18"/>
                <w:szCs w:val="18"/>
              </w:rPr>
            </w:pPr>
            <w:r w:rsidRPr="00BD77D8">
              <w:rPr>
                <w:sz w:val="18"/>
                <w:szCs w:val="18"/>
              </w:rPr>
              <w:t xml:space="preserve">              3,176 </w:t>
            </w:r>
          </w:p>
        </w:tc>
        <w:tc>
          <w:tcPr>
            <w:tcW w:w="1186" w:type="dxa"/>
            <w:tcBorders>
              <w:top w:val="nil"/>
              <w:left w:val="nil"/>
              <w:bottom w:val="nil"/>
              <w:right w:val="nil"/>
            </w:tcBorders>
            <w:shd w:val="clear" w:color="auto" w:fill="auto"/>
            <w:vAlign w:val="bottom"/>
            <w:hideMark/>
          </w:tcPr>
          <w:p w14:paraId="216C62E5" w14:textId="77777777" w:rsidR="00B9311E" w:rsidRPr="00BD77D8" w:rsidRDefault="00B9311E" w:rsidP="00B9311E">
            <w:pPr>
              <w:spacing w:after="0" w:line="240" w:lineRule="auto"/>
              <w:jc w:val="right"/>
              <w:rPr>
                <w:sz w:val="18"/>
                <w:szCs w:val="18"/>
              </w:rPr>
            </w:pPr>
            <w:r w:rsidRPr="00BD77D8">
              <w:rPr>
                <w:sz w:val="18"/>
                <w:szCs w:val="18"/>
              </w:rPr>
              <w:t xml:space="preserve">            5,051 </w:t>
            </w:r>
          </w:p>
        </w:tc>
      </w:tr>
      <w:tr w:rsidR="00BD77D8" w:rsidRPr="00BD77D8" w14:paraId="4A867BF9" w14:textId="77777777" w:rsidTr="003057FB">
        <w:trPr>
          <w:trHeight w:val="286"/>
        </w:trPr>
        <w:tc>
          <w:tcPr>
            <w:tcW w:w="3945" w:type="dxa"/>
            <w:tcBorders>
              <w:top w:val="nil"/>
              <w:left w:val="nil"/>
              <w:bottom w:val="nil"/>
              <w:right w:val="nil"/>
            </w:tcBorders>
            <w:shd w:val="clear" w:color="auto" w:fill="auto"/>
            <w:noWrap/>
            <w:vAlign w:val="bottom"/>
            <w:hideMark/>
          </w:tcPr>
          <w:p w14:paraId="575CAB3F"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Impairment losses on financial assets </w:t>
            </w:r>
          </w:p>
        </w:tc>
        <w:tc>
          <w:tcPr>
            <w:tcW w:w="1158" w:type="dxa"/>
            <w:tcBorders>
              <w:top w:val="nil"/>
              <w:left w:val="nil"/>
              <w:bottom w:val="nil"/>
              <w:right w:val="nil"/>
            </w:tcBorders>
            <w:shd w:val="clear" w:color="auto" w:fill="auto"/>
            <w:noWrap/>
            <w:vAlign w:val="bottom"/>
            <w:hideMark/>
          </w:tcPr>
          <w:p w14:paraId="19227F88" w14:textId="77777777" w:rsidR="00B9311E" w:rsidRPr="00BD77D8" w:rsidRDefault="00B9311E" w:rsidP="00B9311E">
            <w:pPr>
              <w:spacing w:after="0" w:line="240" w:lineRule="auto"/>
              <w:ind w:firstLineChars="100" w:firstLine="181"/>
              <w:rPr>
                <w:b/>
                <w:bCs/>
                <w:sz w:val="18"/>
                <w:szCs w:val="18"/>
              </w:rPr>
            </w:pPr>
          </w:p>
        </w:tc>
        <w:tc>
          <w:tcPr>
            <w:tcW w:w="1384" w:type="dxa"/>
            <w:tcBorders>
              <w:top w:val="nil"/>
              <w:left w:val="nil"/>
              <w:bottom w:val="nil"/>
              <w:right w:val="nil"/>
            </w:tcBorders>
            <w:shd w:val="clear" w:color="auto" w:fill="auto"/>
            <w:vAlign w:val="bottom"/>
            <w:hideMark/>
          </w:tcPr>
          <w:p w14:paraId="5B83509B" w14:textId="77777777" w:rsidR="00B9311E" w:rsidRPr="00BD77D8" w:rsidRDefault="00B9311E" w:rsidP="00B9311E">
            <w:pPr>
              <w:spacing w:after="0" w:line="240" w:lineRule="auto"/>
              <w:jc w:val="right"/>
              <w:rPr>
                <w:b/>
                <w:bCs/>
                <w:sz w:val="18"/>
                <w:szCs w:val="18"/>
              </w:rPr>
            </w:pPr>
            <w:r w:rsidRPr="00BD77D8">
              <w:rPr>
                <w:b/>
                <w:bCs/>
                <w:sz w:val="18"/>
                <w:szCs w:val="18"/>
              </w:rPr>
              <w:t xml:space="preserve">                   531 </w:t>
            </w:r>
          </w:p>
        </w:tc>
        <w:tc>
          <w:tcPr>
            <w:tcW w:w="1430" w:type="dxa"/>
            <w:tcBorders>
              <w:top w:val="nil"/>
              <w:left w:val="nil"/>
              <w:bottom w:val="nil"/>
              <w:right w:val="nil"/>
            </w:tcBorders>
            <w:shd w:val="clear" w:color="FFFFFF" w:fill="FFFFFF"/>
            <w:vAlign w:val="bottom"/>
            <w:hideMark/>
          </w:tcPr>
          <w:p w14:paraId="57B84018" w14:textId="77777777" w:rsidR="00B9311E" w:rsidRPr="00BD77D8" w:rsidRDefault="00B9311E" w:rsidP="00B9311E">
            <w:pPr>
              <w:spacing w:after="0" w:line="240" w:lineRule="auto"/>
              <w:jc w:val="right"/>
              <w:rPr>
                <w:sz w:val="18"/>
                <w:szCs w:val="18"/>
              </w:rPr>
            </w:pPr>
            <w:r w:rsidRPr="00BD77D8">
              <w:rPr>
                <w:sz w:val="18"/>
                <w:szCs w:val="18"/>
              </w:rPr>
              <w:t xml:space="preserve">                   400 </w:t>
            </w:r>
          </w:p>
        </w:tc>
        <w:tc>
          <w:tcPr>
            <w:tcW w:w="1366" w:type="dxa"/>
            <w:tcBorders>
              <w:top w:val="nil"/>
              <w:left w:val="nil"/>
              <w:bottom w:val="nil"/>
              <w:right w:val="nil"/>
            </w:tcBorders>
            <w:shd w:val="clear" w:color="auto" w:fill="auto"/>
            <w:vAlign w:val="bottom"/>
            <w:hideMark/>
          </w:tcPr>
          <w:p w14:paraId="527FC73D" w14:textId="77777777" w:rsidR="00B9311E" w:rsidRPr="00BD77D8" w:rsidRDefault="00B9311E" w:rsidP="00B9311E">
            <w:pPr>
              <w:spacing w:after="0" w:line="240" w:lineRule="auto"/>
              <w:jc w:val="right"/>
              <w:rPr>
                <w:sz w:val="18"/>
                <w:szCs w:val="18"/>
              </w:rPr>
            </w:pPr>
            <w:r w:rsidRPr="00BD77D8">
              <w:rPr>
                <w:sz w:val="18"/>
                <w:szCs w:val="18"/>
              </w:rPr>
              <w:t xml:space="preserve">                (131)</w:t>
            </w:r>
          </w:p>
        </w:tc>
        <w:tc>
          <w:tcPr>
            <w:tcW w:w="1186" w:type="dxa"/>
            <w:tcBorders>
              <w:top w:val="nil"/>
              <w:left w:val="nil"/>
              <w:bottom w:val="nil"/>
              <w:right w:val="nil"/>
            </w:tcBorders>
            <w:shd w:val="clear" w:color="auto" w:fill="auto"/>
            <w:vAlign w:val="bottom"/>
            <w:hideMark/>
          </w:tcPr>
          <w:p w14:paraId="0B0B45EE" w14:textId="77777777" w:rsidR="00B9311E" w:rsidRPr="00BD77D8" w:rsidRDefault="00B9311E" w:rsidP="00B9311E">
            <w:pPr>
              <w:spacing w:after="0" w:line="240" w:lineRule="auto"/>
              <w:jc w:val="right"/>
              <w:rPr>
                <w:sz w:val="18"/>
                <w:szCs w:val="18"/>
              </w:rPr>
            </w:pPr>
            <w:r w:rsidRPr="00BD77D8">
              <w:rPr>
                <w:sz w:val="18"/>
                <w:szCs w:val="18"/>
              </w:rPr>
              <w:t xml:space="preserve">                (57)</w:t>
            </w:r>
          </w:p>
        </w:tc>
      </w:tr>
      <w:tr w:rsidR="00BD77D8" w:rsidRPr="00BD77D8" w14:paraId="1E4BDC26" w14:textId="77777777" w:rsidTr="003057FB">
        <w:trPr>
          <w:trHeight w:val="286"/>
        </w:trPr>
        <w:tc>
          <w:tcPr>
            <w:tcW w:w="3945" w:type="dxa"/>
            <w:tcBorders>
              <w:top w:val="nil"/>
              <w:left w:val="nil"/>
              <w:bottom w:val="nil"/>
              <w:right w:val="nil"/>
            </w:tcBorders>
            <w:shd w:val="clear" w:color="auto" w:fill="auto"/>
            <w:noWrap/>
            <w:vAlign w:val="bottom"/>
            <w:hideMark/>
          </w:tcPr>
          <w:p w14:paraId="244EE85C"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expenses </w:t>
            </w:r>
          </w:p>
        </w:tc>
        <w:tc>
          <w:tcPr>
            <w:tcW w:w="1158" w:type="dxa"/>
            <w:tcBorders>
              <w:top w:val="nil"/>
              <w:left w:val="nil"/>
              <w:bottom w:val="nil"/>
              <w:right w:val="nil"/>
            </w:tcBorders>
            <w:shd w:val="clear" w:color="auto" w:fill="auto"/>
            <w:noWrap/>
            <w:vAlign w:val="bottom"/>
            <w:hideMark/>
          </w:tcPr>
          <w:p w14:paraId="0234D04A" w14:textId="77777777" w:rsidR="00B9311E" w:rsidRPr="00BD77D8" w:rsidRDefault="00F56A31" w:rsidP="00B9311E">
            <w:pPr>
              <w:spacing w:after="0" w:line="240" w:lineRule="auto"/>
              <w:jc w:val="center"/>
              <w:rPr>
                <w:rFonts w:eastAsia="PMingLiU"/>
                <w:b/>
                <w:bCs/>
                <w:sz w:val="18"/>
                <w:szCs w:val="22"/>
                <w:lang w:eastAsia="en-US"/>
              </w:rPr>
            </w:pPr>
            <w:hyperlink r:id="rId36" w:anchor="'Note B2-5'!A5" w:history="1">
              <w:r w:rsidR="00B9311E" w:rsidRPr="00BD77D8">
                <w:rPr>
                  <w:rFonts w:eastAsia="PMingLiU"/>
                  <w:b/>
                  <w:bCs/>
                  <w:sz w:val="18"/>
                  <w:szCs w:val="22"/>
                  <w:lang w:eastAsia="en-US"/>
                </w:rPr>
                <w:t>B2-5</w:t>
              </w:r>
            </w:hyperlink>
          </w:p>
        </w:tc>
        <w:tc>
          <w:tcPr>
            <w:tcW w:w="1384" w:type="dxa"/>
            <w:tcBorders>
              <w:top w:val="nil"/>
              <w:left w:val="nil"/>
              <w:bottom w:val="nil"/>
              <w:right w:val="nil"/>
            </w:tcBorders>
            <w:shd w:val="clear" w:color="auto" w:fill="auto"/>
            <w:vAlign w:val="bottom"/>
            <w:hideMark/>
          </w:tcPr>
          <w:p w14:paraId="3F276992" w14:textId="77777777" w:rsidR="00B9311E" w:rsidRPr="00BD77D8" w:rsidRDefault="00B9311E" w:rsidP="00B9311E">
            <w:pPr>
              <w:spacing w:after="0" w:line="240" w:lineRule="auto"/>
              <w:jc w:val="right"/>
              <w:rPr>
                <w:b/>
                <w:bCs/>
                <w:sz w:val="18"/>
                <w:szCs w:val="18"/>
              </w:rPr>
            </w:pPr>
            <w:r w:rsidRPr="00BD77D8">
              <w:rPr>
                <w:b/>
                <w:bCs/>
                <w:sz w:val="18"/>
                <w:szCs w:val="18"/>
              </w:rPr>
              <w:t xml:space="preserve">                2,214 </w:t>
            </w:r>
          </w:p>
        </w:tc>
        <w:tc>
          <w:tcPr>
            <w:tcW w:w="1430" w:type="dxa"/>
            <w:tcBorders>
              <w:top w:val="nil"/>
              <w:left w:val="nil"/>
              <w:bottom w:val="nil"/>
              <w:right w:val="nil"/>
            </w:tcBorders>
            <w:shd w:val="clear" w:color="FFFFFF" w:fill="FFFFFF"/>
            <w:vAlign w:val="bottom"/>
            <w:hideMark/>
          </w:tcPr>
          <w:p w14:paraId="6609D2D7" w14:textId="77777777" w:rsidR="00B9311E" w:rsidRPr="00BD77D8" w:rsidRDefault="00B9311E" w:rsidP="00B9311E">
            <w:pPr>
              <w:spacing w:after="0" w:line="240" w:lineRule="auto"/>
              <w:jc w:val="right"/>
              <w:rPr>
                <w:sz w:val="18"/>
                <w:szCs w:val="18"/>
              </w:rPr>
            </w:pPr>
            <w:r w:rsidRPr="00BD77D8">
              <w:rPr>
                <w:sz w:val="18"/>
                <w:szCs w:val="18"/>
              </w:rPr>
              <w:t xml:space="preserve">                1,105 </w:t>
            </w:r>
          </w:p>
        </w:tc>
        <w:tc>
          <w:tcPr>
            <w:tcW w:w="1366" w:type="dxa"/>
            <w:tcBorders>
              <w:top w:val="nil"/>
              <w:left w:val="nil"/>
              <w:bottom w:val="nil"/>
              <w:right w:val="nil"/>
            </w:tcBorders>
            <w:shd w:val="clear" w:color="auto" w:fill="auto"/>
            <w:vAlign w:val="bottom"/>
            <w:hideMark/>
          </w:tcPr>
          <w:p w14:paraId="21EA79EB" w14:textId="77777777" w:rsidR="00B9311E" w:rsidRPr="00BD77D8" w:rsidRDefault="00B9311E" w:rsidP="00B9311E">
            <w:pPr>
              <w:spacing w:after="0" w:line="240" w:lineRule="auto"/>
              <w:jc w:val="right"/>
              <w:rPr>
                <w:sz w:val="18"/>
                <w:szCs w:val="18"/>
              </w:rPr>
            </w:pPr>
            <w:r w:rsidRPr="00BD77D8">
              <w:rPr>
                <w:sz w:val="18"/>
                <w:szCs w:val="18"/>
              </w:rPr>
              <w:t xml:space="preserve">             (1,109)</w:t>
            </w:r>
          </w:p>
        </w:tc>
        <w:tc>
          <w:tcPr>
            <w:tcW w:w="1186" w:type="dxa"/>
            <w:tcBorders>
              <w:top w:val="nil"/>
              <w:left w:val="nil"/>
              <w:bottom w:val="nil"/>
              <w:right w:val="nil"/>
            </w:tcBorders>
            <w:shd w:val="clear" w:color="auto" w:fill="auto"/>
            <w:vAlign w:val="bottom"/>
            <w:hideMark/>
          </w:tcPr>
          <w:p w14:paraId="3B53F0DB" w14:textId="77777777" w:rsidR="00B9311E" w:rsidRPr="00BD77D8" w:rsidRDefault="00B9311E" w:rsidP="00B9311E">
            <w:pPr>
              <w:spacing w:after="0" w:line="240" w:lineRule="auto"/>
              <w:jc w:val="right"/>
              <w:rPr>
                <w:sz w:val="18"/>
                <w:szCs w:val="18"/>
              </w:rPr>
            </w:pPr>
            <w:r w:rsidRPr="00BD77D8">
              <w:rPr>
                <w:sz w:val="18"/>
                <w:szCs w:val="18"/>
              </w:rPr>
              <w:t xml:space="preserve">            2,944 </w:t>
            </w:r>
          </w:p>
        </w:tc>
      </w:tr>
      <w:tr w:rsidR="00BD77D8" w:rsidRPr="00BD77D8" w14:paraId="24C0D1E6" w14:textId="77777777" w:rsidTr="003057FB">
        <w:trPr>
          <w:trHeight w:val="286"/>
        </w:trPr>
        <w:tc>
          <w:tcPr>
            <w:tcW w:w="3945" w:type="dxa"/>
            <w:tcBorders>
              <w:top w:val="nil"/>
              <w:left w:val="nil"/>
              <w:bottom w:val="nil"/>
              <w:right w:val="nil"/>
            </w:tcBorders>
            <w:shd w:val="clear" w:color="auto" w:fill="auto"/>
            <w:noWrap/>
            <w:vAlign w:val="bottom"/>
            <w:hideMark/>
          </w:tcPr>
          <w:p w14:paraId="5F49686F"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Revaluation decrement </w:t>
            </w:r>
          </w:p>
        </w:tc>
        <w:tc>
          <w:tcPr>
            <w:tcW w:w="1158" w:type="dxa"/>
            <w:tcBorders>
              <w:top w:val="nil"/>
              <w:left w:val="nil"/>
              <w:bottom w:val="nil"/>
              <w:right w:val="nil"/>
            </w:tcBorders>
            <w:shd w:val="clear" w:color="auto" w:fill="auto"/>
            <w:noWrap/>
            <w:vAlign w:val="bottom"/>
            <w:hideMark/>
          </w:tcPr>
          <w:p w14:paraId="1E3840DE" w14:textId="77777777" w:rsidR="00B9311E" w:rsidRPr="00BD77D8" w:rsidRDefault="00B9311E" w:rsidP="00B9311E">
            <w:pPr>
              <w:spacing w:after="0" w:line="240" w:lineRule="auto"/>
              <w:ind w:firstLineChars="100" w:firstLine="181"/>
              <w:rPr>
                <w:b/>
                <w:bCs/>
                <w:sz w:val="18"/>
                <w:szCs w:val="18"/>
              </w:rPr>
            </w:pPr>
          </w:p>
        </w:tc>
        <w:tc>
          <w:tcPr>
            <w:tcW w:w="1384" w:type="dxa"/>
            <w:tcBorders>
              <w:top w:val="nil"/>
              <w:left w:val="nil"/>
              <w:bottom w:val="nil"/>
              <w:right w:val="nil"/>
            </w:tcBorders>
            <w:shd w:val="clear" w:color="auto" w:fill="auto"/>
            <w:vAlign w:val="bottom"/>
            <w:hideMark/>
          </w:tcPr>
          <w:p w14:paraId="6F1D569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430" w:type="dxa"/>
            <w:tcBorders>
              <w:top w:val="nil"/>
              <w:left w:val="nil"/>
              <w:bottom w:val="nil"/>
              <w:right w:val="nil"/>
            </w:tcBorders>
            <w:shd w:val="clear" w:color="FFFFFF" w:fill="FFFFFF"/>
            <w:vAlign w:val="bottom"/>
            <w:hideMark/>
          </w:tcPr>
          <w:p w14:paraId="5390E0A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66" w:type="dxa"/>
            <w:tcBorders>
              <w:top w:val="nil"/>
              <w:left w:val="nil"/>
              <w:bottom w:val="nil"/>
              <w:right w:val="nil"/>
            </w:tcBorders>
            <w:shd w:val="clear" w:color="auto" w:fill="auto"/>
            <w:vAlign w:val="bottom"/>
            <w:hideMark/>
          </w:tcPr>
          <w:p w14:paraId="7807979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86" w:type="dxa"/>
            <w:tcBorders>
              <w:top w:val="nil"/>
              <w:left w:val="nil"/>
              <w:bottom w:val="nil"/>
              <w:right w:val="nil"/>
            </w:tcBorders>
            <w:shd w:val="clear" w:color="auto" w:fill="auto"/>
            <w:vAlign w:val="bottom"/>
            <w:hideMark/>
          </w:tcPr>
          <w:p w14:paraId="564EB69F" w14:textId="77777777" w:rsidR="00B9311E" w:rsidRPr="00BD77D8" w:rsidRDefault="00B9311E" w:rsidP="00B9311E">
            <w:pPr>
              <w:spacing w:after="0" w:line="240" w:lineRule="auto"/>
              <w:jc w:val="right"/>
              <w:rPr>
                <w:sz w:val="18"/>
                <w:szCs w:val="18"/>
              </w:rPr>
            </w:pPr>
            <w:r w:rsidRPr="00BD77D8">
              <w:rPr>
                <w:sz w:val="18"/>
                <w:szCs w:val="18"/>
              </w:rPr>
              <w:t xml:space="preserve">                112 </w:t>
            </w:r>
          </w:p>
        </w:tc>
      </w:tr>
      <w:tr w:rsidR="00BD77D8" w:rsidRPr="00BD77D8" w14:paraId="74BA2494" w14:textId="77777777" w:rsidTr="003057FB">
        <w:trPr>
          <w:trHeight w:val="286"/>
        </w:trPr>
        <w:tc>
          <w:tcPr>
            <w:tcW w:w="3945" w:type="dxa"/>
            <w:tcBorders>
              <w:top w:val="nil"/>
              <w:left w:val="nil"/>
              <w:bottom w:val="nil"/>
              <w:right w:val="nil"/>
            </w:tcBorders>
            <w:shd w:val="clear" w:color="auto" w:fill="auto"/>
            <w:noWrap/>
            <w:vAlign w:val="bottom"/>
            <w:hideMark/>
          </w:tcPr>
          <w:p w14:paraId="144119C2" w14:textId="77777777" w:rsidR="00B9311E" w:rsidRPr="00BD77D8" w:rsidRDefault="00B9311E" w:rsidP="00B9311E">
            <w:pPr>
              <w:spacing w:after="0" w:line="240" w:lineRule="auto"/>
              <w:rPr>
                <w:b/>
                <w:bCs/>
                <w:sz w:val="18"/>
                <w:szCs w:val="18"/>
              </w:rPr>
            </w:pPr>
            <w:r w:rsidRPr="00BD77D8">
              <w:rPr>
                <w:b/>
                <w:bCs/>
                <w:sz w:val="18"/>
                <w:szCs w:val="18"/>
              </w:rPr>
              <w:t xml:space="preserve"> Total Expenses from Continuing Operations </w:t>
            </w:r>
          </w:p>
        </w:tc>
        <w:tc>
          <w:tcPr>
            <w:tcW w:w="1158" w:type="dxa"/>
            <w:tcBorders>
              <w:top w:val="nil"/>
              <w:left w:val="nil"/>
              <w:bottom w:val="nil"/>
              <w:right w:val="nil"/>
            </w:tcBorders>
            <w:shd w:val="clear" w:color="auto" w:fill="auto"/>
            <w:noWrap/>
            <w:vAlign w:val="bottom"/>
            <w:hideMark/>
          </w:tcPr>
          <w:p w14:paraId="2085D99B" w14:textId="77777777" w:rsidR="00B9311E" w:rsidRPr="00BD77D8" w:rsidRDefault="00B9311E" w:rsidP="00B9311E">
            <w:pPr>
              <w:spacing w:after="0" w:line="240" w:lineRule="auto"/>
              <w:rPr>
                <w:b/>
                <w:bCs/>
                <w:sz w:val="18"/>
                <w:szCs w:val="18"/>
              </w:rPr>
            </w:pPr>
          </w:p>
        </w:tc>
        <w:tc>
          <w:tcPr>
            <w:tcW w:w="1384" w:type="dxa"/>
            <w:tcBorders>
              <w:top w:val="single" w:sz="4" w:space="0" w:color="auto"/>
              <w:left w:val="nil"/>
              <w:bottom w:val="single" w:sz="4" w:space="0" w:color="auto"/>
              <w:right w:val="nil"/>
            </w:tcBorders>
            <w:shd w:val="clear" w:color="auto" w:fill="auto"/>
            <w:vAlign w:val="bottom"/>
            <w:hideMark/>
          </w:tcPr>
          <w:p w14:paraId="49F9D6A4" w14:textId="77777777" w:rsidR="00B9311E" w:rsidRPr="00BD77D8" w:rsidRDefault="00B9311E" w:rsidP="00B9311E">
            <w:pPr>
              <w:spacing w:after="0" w:line="240" w:lineRule="auto"/>
              <w:jc w:val="right"/>
              <w:rPr>
                <w:b/>
                <w:bCs/>
                <w:sz w:val="18"/>
                <w:szCs w:val="18"/>
              </w:rPr>
            </w:pPr>
            <w:r w:rsidRPr="00BD77D8">
              <w:rPr>
                <w:b/>
                <w:bCs/>
                <w:sz w:val="18"/>
                <w:szCs w:val="18"/>
              </w:rPr>
              <w:t xml:space="preserve">           304,936 </w:t>
            </w:r>
          </w:p>
        </w:tc>
        <w:tc>
          <w:tcPr>
            <w:tcW w:w="1430" w:type="dxa"/>
            <w:tcBorders>
              <w:top w:val="single" w:sz="4" w:space="0" w:color="auto"/>
              <w:left w:val="nil"/>
              <w:bottom w:val="single" w:sz="4" w:space="0" w:color="auto"/>
              <w:right w:val="nil"/>
            </w:tcBorders>
            <w:shd w:val="clear" w:color="auto" w:fill="auto"/>
            <w:vAlign w:val="bottom"/>
            <w:hideMark/>
          </w:tcPr>
          <w:p w14:paraId="10AC286C" w14:textId="77777777" w:rsidR="00B9311E" w:rsidRPr="00BD77D8" w:rsidRDefault="00B9311E" w:rsidP="00B9311E">
            <w:pPr>
              <w:spacing w:after="0" w:line="240" w:lineRule="auto"/>
              <w:jc w:val="right"/>
              <w:rPr>
                <w:b/>
                <w:bCs/>
                <w:sz w:val="18"/>
                <w:szCs w:val="18"/>
              </w:rPr>
            </w:pPr>
            <w:r w:rsidRPr="00BD77D8">
              <w:rPr>
                <w:b/>
                <w:bCs/>
                <w:sz w:val="18"/>
                <w:szCs w:val="18"/>
              </w:rPr>
              <w:t xml:space="preserve">           311,455 </w:t>
            </w:r>
          </w:p>
        </w:tc>
        <w:tc>
          <w:tcPr>
            <w:tcW w:w="1366" w:type="dxa"/>
            <w:tcBorders>
              <w:top w:val="single" w:sz="4" w:space="0" w:color="auto"/>
              <w:left w:val="nil"/>
              <w:bottom w:val="single" w:sz="4" w:space="0" w:color="auto"/>
              <w:right w:val="nil"/>
            </w:tcBorders>
            <w:shd w:val="clear" w:color="auto" w:fill="auto"/>
            <w:vAlign w:val="bottom"/>
            <w:hideMark/>
          </w:tcPr>
          <w:p w14:paraId="37977EB8" w14:textId="77777777" w:rsidR="00B9311E" w:rsidRPr="00BD77D8" w:rsidRDefault="00B9311E" w:rsidP="00B9311E">
            <w:pPr>
              <w:spacing w:after="0" w:line="240" w:lineRule="auto"/>
              <w:jc w:val="right"/>
              <w:rPr>
                <w:b/>
                <w:bCs/>
                <w:sz w:val="18"/>
                <w:szCs w:val="18"/>
              </w:rPr>
            </w:pPr>
            <w:r w:rsidRPr="00BD77D8">
              <w:rPr>
                <w:b/>
                <w:bCs/>
                <w:sz w:val="18"/>
                <w:szCs w:val="18"/>
              </w:rPr>
              <w:t xml:space="preserve">              6,519 </w:t>
            </w:r>
          </w:p>
        </w:tc>
        <w:tc>
          <w:tcPr>
            <w:tcW w:w="1186" w:type="dxa"/>
            <w:tcBorders>
              <w:top w:val="single" w:sz="4" w:space="0" w:color="auto"/>
              <w:left w:val="nil"/>
              <w:bottom w:val="single" w:sz="4" w:space="0" w:color="auto"/>
              <w:right w:val="nil"/>
            </w:tcBorders>
            <w:shd w:val="clear" w:color="auto" w:fill="auto"/>
            <w:vAlign w:val="bottom"/>
            <w:hideMark/>
          </w:tcPr>
          <w:p w14:paraId="49E51742" w14:textId="77777777" w:rsidR="00B9311E" w:rsidRPr="00BD77D8" w:rsidRDefault="00B9311E" w:rsidP="00B9311E">
            <w:pPr>
              <w:spacing w:after="0" w:line="240" w:lineRule="auto"/>
              <w:jc w:val="right"/>
              <w:rPr>
                <w:b/>
                <w:bCs/>
                <w:sz w:val="18"/>
                <w:szCs w:val="18"/>
              </w:rPr>
            </w:pPr>
            <w:r w:rsidRPr="00BD77D8">
              <w:rPr>
                <w:b/>
                <w:bCs/>
                <w:sz w:val="18"/>
                <w:szCs w:val="18"/>
              </w:rPr>
              <w:t xml:space="preserve">        347,040 </w:t>
            </w:r>
          </w:p>
        </w:tc>
      </w:tr>
      <w:tr w:rsidR="00BD77D8" w:rsidRPr="00BD77D8" w14:paraId="0D600576" w14:textId="77777777" w:rsidTr="003057FB">
        <w:trPr>
          <w:trHeight w:val="286"/>
        </w:trPr>
        <w:tc>
          <w:tcPr>
            <w:tcW w:w="3945" w:type="dxa"/>
            <w:tcBorders>
              <w:top w:val="nil"/>
              <w:left w:val="nil"/>
              <w:bottom w:val="nil"/>
              <w:right w:val="nil"/>
            </w:tcBorders>
            <w:shd w:val="clear" w:color="auto" w:fill="auto"/>
            <w:noWrap/>
            <w:vAlign w:val="bottom"/>
            <w:hideMark/>
          </w:tcPr>
          <w:p w14:paraId="241A274C" w14:textId="77777777" w:rsidR="00B9311E" w:rsidRPr="00BD77D8" w:rsidRDefault="00B9311E" w:rsidP="00B9311E">
            <w:pPr>
              <w:spacing w:after="0" w:line="240" w:lineRule="auto"/>
              <w:rPr>
                <w:sz w:val="18"/>
                <w:szCs w:val="18"/>
              </w:rPr>
            </w:pPr>
            <w:r w:rsidRPr="00BD77D8">
              <w:rPr>
                <w:sz w:val="18"/>
                <w:szCs w:val="18"/>
              </w:rPr>
              <w:t xml:space="preserve"> Operating Result from Continuing Operations </w:t>
            </w:r>
          </w:p>
        </w:tc>
        <w:tc>
          <w:tcPr>
            <w:tcW w:w="1158" w:type="dxa"/>
            <w:tcBorders>
              <w:top w:val="nil"/>
              <w:left w:val="nil"/>
              <w:bottom w:val="nil"/>
              <w:right w:val="nil"/>
            </w:tcBorders>
            <w:shd w:val="clear" w:color="auto" w:fill="auto"/>
            <w:noWrap/>
            <w:vAlign w:val="bottom"/>
            <w:hideMark/>
          </w:tcPr>
          <w:p w14:paraId="1A6246E2" w14:textId="77777777" w:rsidR="00B9311E" w:rsidRPr="00BD77D8" w:rsidRDefault="00B9311E" w:rsidP="00B9311E">
            <w:pPr>
              <w:spacing w:after="0" w:line="240" w:lineRule="auto"/>
              <w:rPr>
                <w:sz w:val="18"/>
                <w:szCs w:val="18"/>
              </w:rPr>
            </w:pPr>
          </w:p>
        </w:tc>
        <w:tc>
          <w:tcPr>
            <w:tcW w:w="1384" w:type="dxa"/>
            <w:tcBorders>
              <w:top w:val="nil"/>
              <w:left w:val="nil"/>
              <w:bottom w:val="nil"/>
              <w:right w:val="nil"/>
            </w:tcBorders>
            <w:shd w:val="clear" w:color="auto" w:fill="auto"/>
            <w:vAlign w:val="bottom"/>
            <w:hideMark/>
          </w:tcPr>
          <w:p w14:paraId="47460F63"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1430" w:type="dxa"/>
            <w:tcBorders>
              <w:top w:val="nil"/>
              <w:left w:val="nil"/>
              <w:bottom w:val="nil"/>
              <w:right w:val="nil"/>
            </w:tcBorders>
            <w:shd w:val="clear" w:color="auto" w:fill="auto"/>
            <w:vAlign w:val="bottom"/>
            <w:hideMark/>
          </w:tcPr>
          <w:p w14:paraId="65C92726" w14:textId="77777777" w:rsidR="00B9311E" w:rsidRPr="00BD77D8" w:rsidRDefault="00B9311E" w:rsidP="00B9311E">
            <w:pPr>
              <w:spacing w:after="0" w:line="240" w:lineRule="auto"/>
              <w:jc w:val="right"/>
              <w:rPr>
                <w:sz w:val="18"/>
                <w:szCs w:val="18"/>
              </w:rPr>
            </w:pPr>
            <w:r w:rsidRPr="00BD77D8">
              <w:rPr>
                <w:sz w:val="18"/>
                <w:szCs w:val="18"/>
              </w:rPr>
              <w:t xml:space="preserve">                     75 </w:t>
            </w:r>
          </w:p>
        </w:tc>
        <w:tc>
          <w:tcPr>
            <w:tcW w:w="1366" w:type="dxa"/>
            <w:tcBorders>
              <w:top w:val="nil"/>
              <w:left w:val="nil"/>
              <w:bottom w:val="nil"/>
              <w:right w:val="nil"/>
            </w:tcBorders>
            <w:shd w:val="clear" w:color="auto" w:fill="auto"/>
            <w:vAlign w:val="bottom"/>
            <w:hideMark/>
          </w:tcPr>
          <w:p w14:paraId="70EFC301" w14:textId="77777777" w:rsidR="00B9311E" w:rsidRPr="00BD77D8" w:rsidRDefault="00B9311E" w:rsidP="00B9311E">
            <w:pPr>
              <w:spacing w:after="0" w:line="240" w:lineRule="auto"/>
              <w:jc w:val="right"/>
              <w:rPr>
                <w:b/>
                <w:bCs/>
                <w:sz w:val="18"/>
                <w:szCs w:val="18"/>
              </w:rPr>
            </w:pPr>
            <w:r w:rsidRPr="00BD77D8">
              <w:rPr>
                <w:sz w:val="18"/>
                <w:szCs w:val="18"/>
              </w:rPr>
              <w:t xml:space="preserve">          31,116</w:t>
            </w:r>
          </w:p>
        </w:tc>
        <w:tc>
          <w:tcPr>
            <w:tcW w:w="1186" w:type="dxa"/>
            <w:tcBorders>
              <w:top w:val="nil"/>
              <w:left w:val="nil"/>
              <w:bottom w:val="nil"/>
              <w:right w:val="nil"/>
            </w:tcBorders>
            <w:shd w:val="clear" w:color="auto" w:fill="auto"/>
            <w:vAlign w:val="bottom"/>
            <w:hideMark/>
          </w:tcPr>
          <w:p w14:paraId="3918F446" w14:textId="77777777" w:rsidR="00B9311E" w:rsidRPr="00BD77D8" w:rsidRDefault="00B9311E" w:rsidP="00B9311E">
            <w:pPr>
              <w:spacing w:after="0" w:line="240" w:lineRule="auto"/>
              <w:jc w:val="right"/>
              <w:rPr>
                <w:sz w:val="18"/>
                <w:szCs w:val="18"/>
              </w:rPr>
            </w:pPr>
            <w:r w:rsidRPr="00BD77D8">
              <w:rPr>
                <w:sz w:val="18"/>
                <w:szCs w:val="18"/>
              </w:rPr>
              <w:t xml:space="preserve">            2,783 </w:t>
            </w:r>
          </w:p>
        </w:tc>
      </w:tr>
      <w:tr w:rsidR="00BD77D8" w:rsidRPr="00BD77D8" w14:paraId="212DF2AF" w14:textId="77777777" w:rsidTr="003057FB">
        <w:trPr>
          <w:trHeight w:val="286"/>
        </w:trPr>
        <w:tc>
          <w:tcPr>
            <w:tcW w:w="3945" w:type="dxa"/>
            <w:tcBorders>
              <w:top w:val="nil"/>
              <w:left w:val="nil"/>
              <w:bottom w:val="nil"/>
              <w:right w:val="nil"/>
            </w:tcBorders>
            <w:shd w:val="clear" w:color="auto" w:fill="auto"/>
            <w:noWrap/>
            <w:vAlign w:val="bottom"/>
            <w:hideMark/>
          </w:tcPr>
          <w:p w14:paraId="37BE4627" w14:textId="77777777" w:rsidR="00B9311E" w:rsidRPr="00BD77D8" w:rsidRDefault="00B9311E" w:rsidP="00B9311E">
            <w:pPr>
              <w:spacing w:after="0" w:line="240" w:lineRule="auto"/>
              <w:rPr>
                <w:b/>
                <w:bCs/>
                <w:sz w:val="18"/>
                <w:szCs w:val="18"/>
              </w:rPr>
            </w:pPr>
            <w:r w:rsidRPr="00BD77D8">
              <w:rPr>
                <w:b/>
                <w:bCs/>
                <w:sz w:val="18"/>
                <w:szCs w:val="18"/>
              </w:rPr>
              <w:t xml:space="preserve"> Operating Result for the Year </w:t>
            </w:r>
          </w:p>
        </w:tc>
        <w:tc>
          <w:tcPr>
            <w:tcW w:w="1158" w:type="dxa"/>
            <w:tcBorders>
              <w:top w:val="nil"/>
              <w:left w:val="nil"/>
              <w:bottom w:val="nil"/>
              <w:right w:val="nil"/>
            </w:tcBorders>
            <w:shd w:val="clear" w:color="auto" w:fill="auto"/>
            <w:noWrap/>
            <w:vAlign w:val="bottom"/>
            <w:hideMark/>
          </w:tcPr>
          <w:p w14:paraId="1996082F" w14:textId="77777777" w:rsidR="00B9311E" w:rsidRPr="00BD77D8" w:rsidRDefault="00B9311E" w:rsidP="00B9311E">
            <w:pPr>
              <w:spacing w:after="0" w:line="240" w:lineRule="auto"/>
              <w:rPr>
                <w:b/>
                <w:bCs/>
                <w:sz w:val="18"/>
                <w:szCs w:val="18"/>
              </w:rPr>
            </w:pPr>
          </w:p>
        </w:tc>
        <w:tc>
          <w:tcPr>
            <w:tcW w:w="1384" w:type="dxa"/>
            <w:tcBorders>
              <w:top w:val="single" w:sz="4" w:space="0" w:color="auto"/>
              <w:left w:val="nil"/>
              <w:bottom w:val="single" w:sz="4" w:space="0" w:color="auto"/>
              <w:right w:val="nil"/>
            </w:tcBorders>
            <w:shd w:val="clear" w:color="auto" w:fill="auto"/>
            <w:vAlign w:val="bottom"/>
            <w:hideMark/>
          </w:tcPr>
          <w:p w14:paraId="2BC4A787"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1430" w:type="dxa"/>
            <w:tcBorders>
              <w:top w:val="single" w:sz="4" w:space="0" w:color="auto"/>
              <w:left w:val="nil"/>
              <w:bottom w:val="single" w:sz="4" w:space="0" w:color="auto"/>
              <w:right w:val="nil"/>
            </w:tcBorders>
            <w:shd w:val="clear" w:color="auto" w:fill="auto"/>
            <w:vAlign w:val="bottom"/>
            <w:hideMark/>
          </w:tcPr>
          <w:p w14:paraId="325B9F37" w14:textId="77777777" w:rsidR="00B9311E" w:rsidRPr="00BD77D8" w:rsidRDefault="00B9311E" w:rsidP="00B9311E">
            <w:pPr>
              <w:spacing w:after="0" w:line="240" w:lineRule="auto"/>
              <w:jc w:val="right"/>
              <w:rPr>
                <w:b/>
                <w:bCs/>
                <w:sz w:val="18"/>
                <w:szCs w:val="18"/>
              </w:rPr>
            </w:pPr>
            <w:r w:rsidRPr="00BD77D8">
              <w:rPr>
                <w:b/>
                <w:bCs/>
                <w:sz w:val="18"/>
                <w:szCs w:val="18"/>
              </w:rPr>
              <w:t xml:space="preserve">                     75 </w:t>
            </w:r>
          </w:p>
        </w:tc>
        <w:tc>
          <w:tcPr>
            <w:tcW w:w="1366" w:type="dxa"/>
            <w:tcBorders>
              <w:top w:val="single" w:sz="4" w:space="0" w:color="auto"/>
              <w:left w:val="nil"/>
              <w:bottom w:val="single" w:sz="4" w:space="0" w:color="auto"/>
              <w:right w:val="nil"/>
            </w:tcBorders>
            <w:shd w:val="clear" w:color="auto" w:fill="auto"/>
            <w:vAlign w:val="bottom"/>
            <w:hideMark/>
          </w:tcPr>
          <w:p w14:paraId="7FF7CB28" w14:textId="77777777" w:rsidR="00B9311E" w:rsidRPr="00BD77D8" w:rsidRDefault="00B9311E" w:rsidP="00B9311E">
            <w:pPr>
              <w:spacing w:after="0" w:line="240" w:lineRule="auto"/>
              <w:jc w:val="right"/>
              <w:rPr>
                <w:b/>
                <w:bCs/>
                <w:sz w:val="18"/>
                <w:szCs w:val="18"/>
              </w:rPr>
            </w:pPr>
            <w:r w:rsidRPr="00BD77D8">
              <w:rPr>
                <w:b/>
                <w:bCs/>
                <w:sz w:val="18"/>
                <w:szCs w:val="18"/>
              </w:rPr>
              <w:t xml:space="preserve">          31,116</w:t>
            </w:r>
          </w:p>
        </w:tc>
        <w:tc>
          <w:tcPr>
            <w:tcW w:w="1186" w:type="dxa"/>
            <w:tcBorders>
              <w:top w:val="single" w:sz="4" w:space="0" w:color="auto"/>
              <w:left w:val="nil"/>
              <w:bottom w:val="single" w:sz="4" w:space="0" w:color="auto"/>
              <w:right w:val="nil"/>
            </w:tcBorders>
            <w:shd w:val="clear" w:color="auto" w:fill="auto"/>
            <w:vAlign w:val="bottom"/>
            <w:hideMark/>
          </w:tcPr>
          <w:p w14:paraId="6039B6FD"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r>
      <w:tr w:rsidR="00BD77D8" w:rsidRPr="00BD77D8" w14:paraId="25D57226" w14:textId="77777777" w:rsidTr="003057FB">
        <w:trPr>
          <w:trHeight w:val="271"/>
        </w:trPr>
        <w:tc>
          <w:tcPr>
            <w:tcW w:w="3945" w:type="dxa"/>
            <w:tcBorders>
              <w:top w:val="nil"/>
              <w:left w:val="nil"/>
              <w:bottom w:val="nil"/>
              <w:right w:val="nil"/>
            </w:tcBorders>
            <w:shd w:val="clear" w:color="auto" w:fill="auto"/>
            <w:noWrap/>
            <w:vAlign w:val="bottom"/>
            <w:hideMark/>
          </w:tcPr>
          <w:p w14:paraId="7AC3F731" w14:textId="77777777" w:rsidR="00B9311E" w:rsidRPr="00BD77D8" w:rsidRDefault="00B9311E" w:rsidP="00B9311E">
            <w:pPr>
              <w:spacing w:after="0" w:line="240" w:lineRule="auto"/>
              <w:rPr>
                <w:b/>
                <w:bCs/>
                <w:sz w:val="18"/>
                <w:szCs w:val="18"/>
              </w:rPr>
            </w:pPr>
            <w:r w:rsidRPr="00BD77D8">
              <w:rPr>
                <w:b/>
                <w:bCs/>
                <w:sz w:val="18"/>
                <w:szCs w:val="18"/>
              </w:rPr>
              <w:t xml:space="preserve"> Total Comprehensive Income </w:t>
            </w:r>
          </w:p>
        </w:tc>
        <w:tc>
          <w:tcPr>
            <w:tcW w:w="1158" w:type="dxa"/>
            <w:tcBorders>
              <w:top w:val="nil"/>
              <w:left w:val="nil"/>
              <w:bottom w:val="nil"/>
              <w:right w:val="nil"/>
            </w:tcBorders>
            <w:shd w:val="clear" w:color="auto" w:fill="auto"/>
            <w:noWrap/>
            <w:vAlign w:val="bottom"/>
            <w:hideMark/>
          </w:tcPr>
          <w:p w14:paraId="4AEF07EA" w14:textId="77777777" w:rsidR="00B9311E" w:rsidRPr="00BD77D8" w:rsidRDefault="00B9311E" w:rsidP="00B9311E">
            <w:pPr>
              <w:spacing w:after="0" w:line="240" w:lineRule="auto"/>
              <w:rPr>
                <w:b/>
                <w:bCs/>
                <w:sz w:val="18"/>
                <w:szCs w:val="18"/>
              </w:rPr>
            </w:pPr>
          </w:p>
        </w:tc>
        <w:tc>
          <w:tcPr>
            <w:tcW w:w="1384" w:type="dxa"/>
            <w:tcBorders>
              <w:top w:val="nil"/>
              <w:left w:val="nil"/>
              <w:bottom w:val="single" w:sz="4" w:space="0" w:color="auto"/>
              <w:right w:val="nil"/>
            </w:tcBorders>
            <w:shd w:val="clear" w:color="auto" w:fill="auto"/>
            <w:vAlign w:val="bottom"/>
            <w:hideMark/>
          </w:tcPr>
          <w:p w14:paraId="4F0F7240"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1430" w:type="dxa"/>
            <w:tcBorders>
              <w:top w:val="nil"/>
              <w:left w:val="nil"/>
              <w:bottom w:val="single" w:sz="4" w:space="0" w:color="auto"/>
              <w:right w:val="nil"/>
            </w:tcBorders>
            <w:shd w:val="clear" w:color="auto" w:fill="auto"/>
            <w:vAlign w:val="bottom"/>
            <w:hideMark/>
          </w:tcPr>
          <w:p w14:paraId="1E9EDDB7" w14:textId="77777777" w:rsidR="00B9311E" w:rsidRPr="00BD77D8" w:rsidRDefault="00B9311E" w:rsidP="00B9311E">
            <w:pPr>
              <w:spacing w:after="0" w:line="240" w:lineRule="auto"/>
              <w:jc w:val="right"/>
              <w:rPr>
                <w:b/>
                <w:bCs/>
                <w:sz w:val="18"/>
                <w:szCs w:val="18"/>
              </w:rPr>
            </w:pPr>
            <w:r w:rsidRPr="00BD77D8">
              <w:rPr>
                <w:b/>
                <w:bCs/>
                <w:sz w:val="18"/>
                <w:szCs w:val="18"/>
              </w:rPr>
              <w:t xml:space="preserve">                     75 </w:t>
            </w:r>
          </w:p>
        </w:tc>
        <w:tc>
          <w:tcPr>
            <w:tcW w:w="1366" w:type="dxa"/>
            <w:tcBorders>
              <w:top w:val="nil"/>
              <w:left w:val="nil"/>
              <w:bottom w:val="single" w:sz="4" w:space="0" w:color="auto"/>
              <w:right w:val="nil"/>
            </w:tcBorders>
            <w:shd w:val="clear" w:color="auto" w:fill="auto"/>
            <w:vAlign w:val="bottom"/>
            <w:hideMark/>
          </w:tcPr>
          <w:p w14:paraId="4FAC6E80" w14:textId="77777777" w:rsidR="00B9311E" w:rsidRPr="00BD77D8" w:rsidRDefault="00B9311E" w:rsidP="00B9311E">
            <w:pPr>
              <w:spacing w:after="0" w:line="240" w:lineRule="auto"/>
              <w:jc w:val="right"/>
              <w:rPr>
                <w:b/>
                <w:bCs/>
                <w:sz w:val="18"/>
                <w:szCs w:val="18"/>
              </w:rPr>
            </w:pPr>
            <w:r w:rsidRPr="00BD77D8">
              <w:rPr>
                <w:b/>
                <w:bCs/>
                <w:sz w:val="18"/>
                <w:szCs w:val="18"/>
              </w:rPr>
              <w:t xml:space="preserve">          31,116</w:t>
            </w:r>
          </w:p>
        </w:tc>
        <w:tc>
          <w:tcPr>
            <w:tcW w:w="1186" w:type="dxa"/>
            <w:tcBorders>
              <w:top w:val="nil"/>
              <w:left w:val="nil"/>
              <w:bottom w:val="single" w:sz="4" w:space="0" w:color="auto"/>
              <w:right w:val="nil"/>
            </w:tcBorders>
            <w:shd w:val="clear" w:color="auto" w:fill="auto"/>
            <w:vAlign w:val="bottom"/>
            <w:hideMark/>
          </w:tcPr>
          <w:p w14:paraId="2518071C"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r>
    </w:tbl>
    <w:p w14:paraId="05EED307" w14:textId="77777777" w:rsidR="00B9311E" w:rsidRPr="00BD77D8" w:rsidRDefault="00B9311E" w:rsidP="00587E62">
      <w:pPr>
        <w:tabs>
          <w:tab w:val="left" w:pos="360"/>
        </w:tabs>
        <w:spacing w:before="240" w:after="0" w:line="240" w:lineRule="auto"/>
        <w:textAlignment w:val="baseline"/>
        <w:rPr>
          <w:rFonts w:eastAsia="Arial"/>
          <w:b/>
          <w:bCs/>
          <w:sz w:val="16"/>
          <w:szCs w:val="16"/>
          <w:lang w:eastAsia="en-US"/>
        </w:rPr>
      </w:pPr>
      <w:bookmarkStart w:id="355" w:name="RANGE!B21"/>
      <w:bookmarkStart w:id="356" w:name="RANGE!B24"/>
      <w:bookmarkEnd w:id="355"/>
      <w:bookmarkEnd w:id="356"/>
      <w:r w:rsidRPr="00BD77D8">
        <w:rPr>
          <w:rFonts w:eastAsia="Arial"/>
          <w:sz w:val="16"/>
          <w:szCs w:val="16"/>
          <w:lang w:eastAsia="en-US"/>
        </w:rPr>
        <w:t>*An explanation of major variances is included at Note E1-1.</w:t>
      </w:r>
    </w:p>
    <w:p w14:paraId="362262E6" w14:textId="77777777" w:rsidR="00B9311E" w:rsidRPr="00BD77D8" w:rsidRDefault="00B9311E" w:rsidP="00B9311E">
      <w:pPr>
        <w:tabs>
          <w:tab w:val="left" w:pos="360"/>
        </w:tabs>
        <w:spacing w:after="0" w:line="195" w:lineRule="exact"/>
        <w:textAlignment w:val="baseline"/>
        <w:rPr>
          <w:rFonts w:eastAsia="Arial"/>
          <w:b/>
          <w:bCs/>
          <w:sz w:val="18"/>
          <w:szCs w:val="18"/>
          <w:lang w:eastAsia="en-US"/>
        </w:rPr>
      </w:pPr>
      <w:r w:rsidRPr="00BD77D8">
        <w:rPr>
          <w:rFonts w:eastAsia="Arial"/>
          <w:sz w:val="16"/>
          <w:szCs w:val="16"/>
          <w:lang w:eastAsia="en-US"/>
        </w:rPr>
        <w:t>^These figures represent budgeted figures as published in the 2021-22 Service Delivery Statement tabled in Parliament.</w:t>
      </w:r>
    </w:p>
    <w:p w14:paraId="4FCE5664" w14:textId="77777777" w:rsidR="00B9311E" w:rsidRPr="00BD77D8" w:rsidRDefault="00B9311E" w:rsidP="00DF4756">
      <w:pPr>
        <w:spacing w:before="3840" w:after="0" w:line="240" w:lineRule="auto"/>
        <w:textAlignment w:val="baseline"/>
        <w:rPr>
          <w:rFonts w:eastAsia="Arial"/>
          <w:b/>
          <w:bCs/>
          <w:sz w:val="18"/>
          <w:szCs w:val="18"/>
          <w:lang w:eastAsia="en-US"/>
        </w:rPr>
      </w:pPr>
      <w:r w:rsidRPr="00BD77D8">
        <w:rPr>
          <w:rFonts w:eastAsia="Arial"/>
          <w:iCs/>
          <w:spacing w:val="-3"/>
          <w:sz w:val="16"/>
          <w:szCs w:val="16"/>
          <w:lang w:eastAsia="en-US"/>
        </w:rPr>
        <w:t>The accompanying notes form part of these financial statements.</w:t>
      </w:r>
    </w:p>
    <w:p w14:paraId="39D508A1" w14:textId="0916A9C4" w:rsidR="00702AE3" w:rsidRPr="00BD77D8" w:rsidRDefault="00702AE3" w:rsidP="00DF4756">
      <w:pPr>
        <w:spacing w:before="1200" w:after="0" w:line="240" w:lineRule="auto"/>
        <w:textAlignment w:val="baseline"/>
        <w:rPr>
          <w:rFonts w:eastAsia="Arial"/>
          <w:sz w:val="18"/>
          <w:szCs w:val="18"/>
          <w:lang w:eastAsia="en-US"/>
        </w:rPr>
        <w:sectPr w:rsidR="00702AE3" w:rsidRPr="00BD77D8" w:rsidSect="00B9311E">
          <w:footerReference w:type="default" r:id="rId37"/>
          <w:pgSz w:w="11909" w:h="16838" w:code="9"/>
          <w:pgMar w:top="720" w:right="720" w:bottom="720" w:left="720" w:header="720" w:footer="720" w:gutter="0"/>
          <w:cols w:space="720"/>
          <w:titlePg/>
          <w:docGrid w:linePitch="245"/>
        </w:sectPr>
      </w:pP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sz w:val="18"/>
          <w:szCs w:val="18"/>
          <w:lang w:eastAsia="en-US"/>
        </w:rPr>
        <w:t>Page 4 of 45</w:t>
      </w:r>
    </w:p>
    <w:p w14:paraId="3CB8DB36" w14:textId="77777777" w:rsidR="00B9311E" w:rsidRPr="00BD77D8" w:rsidRDefault="00B9311E" w:rsidP="00B9311E">
      <w:pPr>
        <w:spacing w:after="0" w:line="205" w:lineRule="exact"/>
        <w:ind w:left="-142"/>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ABE6E7A" w14:textId="77777777" w:rsidR="00B9311E" w:rsidRPr="00BD77D8" w:rsidRDefault="00B9311E" w:rsidP="00F70507">
      <w:pPr>
        <w:spacing w:after="0" w:line="205" w:lineRule="exact"/>
        <w:ind w:left="-142"/>
        <w:textAlignment w:val="baseline"/>
        <w:rPr>
          <w:rFonts w:eastAsia="Arial"/>
          <w:b/>
          <w:bCs/>
          <w:sz w:val="18"/>
          <w:szCs w:val="18"/>
          <w:lang w:eastAsia="en-US"/>
        </w:rPr>
      </w:pPr>
      <w:bookmarkStart w:id="357" w:name="_Toc111494793"/>
      <w:bookmarkStart w:id="358" w:name="_Toc111540665"/>
      <w:bookmarkStart w:id="359" w:name="_Toc111559228"/>
      <w:bookmarkStart w:id="360" w:name="_Toc113196500"/>
      <w:bookmarkStart w:id="361" w:name="_Toc113196848"/>
      <w:bookmarkStart w:id="362" w:name="_Toc113261978"/>
      <w:r w:rsidRPr="00BD77D8">
        <w:rPr>
          <w:rFonts w:eastAsia="Arial"/>
          <w:b/>
          <w:bCs/>
          <w:sz w:val="18"/>
          <w:szCs w:val="18"/>
          <w:lang w:eastAsia="en-US"/>
        </w:rPr>
        <w:t>Statement of Comprehensive Income by Major Departmental Services - Controlled</w:t>
      </w:r>
      <w:bookmarkEnd w:id="357"/>
      <w:bookmarkEnd w:id="358"/>
      <w:bookmarkEnd w:id="359"/>
      <w:bookmarkEnd w:id="360"/>
      <w:bookmarkEnd w:id="361"/>
      <w:bookmarkEnd w:id="362"/>
    </w:p>
    <w:p w14:paraId="16A0F938" w14:textId="77777777" w:rsidR="00B9311E" w:rsidRPr="00BD77D8" w:rsidRDefault="00B9311E" w:rsidP="00B9311E">
      <w:pPr>
        <w:spacing w:after="0" w:line="205" w:lineRule="exact"/>
        <w:ind w:left="-142"/>
        <w:textAlignment w:val="baseline"/>
        <w:rPr>
          <w:rFonts w:eastAsia="Arial"/>
          <w:b/>
          <w:bCs/>
          <w:sz w:val="18"/>
          <w:szCs w:val="18"/>
          <w:lang w:eastAsia="en-US"/>
        </w:rPr>
      </w:pPr>
      <w:r w:rsidRPr="00BD77D8">
        <w:rPr>
          <w:rFonts w:eastAsia="Arial"/>
          <w:b/>
          <w:bCs/>
          <w:sz w:val="18"/>
          <w:szCs w:val="18"/>
          <w:lang w:eastAsia="en-US"/>
        </w:rPr>
        <w:t>for the year ended 30 June 2022</w:t>
      </w:r>
    </w:p>
    <w:p w14:paraId="388583FB" w14:textId="77777777" w:rsidR="00B9311E" w:rsidRPr="00BD77D8" w:rsidRDefault="00B9311E" w:rsidP="00B9311E">
      <w:pPr>
        <w:pBdr>
          <w:bottom w:val="single" w:sz="4" w:space="1" w:color="auto"/>
        </w:pBdr>
        <w:spacing w:after="0" w:line="205" w:lineRule="exact"/>
        <w:ind w:left="-142"/>
        <w:textAlignment w:val="baseline"/>
        <w:rPr>
          <w:rFonts w:eastAsia="Arial"/>
          <w:bCs/>
          <w:sz w:val="18"/>
          <w:szCs w:val="18"/>
          <w:lang w:eastAsia="en-US"/>
        </w:rPr>
      </w:pPr>
    </w:p>
    <w:p w14:paraId="7524F538" w14:textId="77777777" w:rsidR="00B9311E" w:rsidRPr="00BD77D8" w:rsidRDefault="00B9311E" w:rsidP="00B9311E">
      <w:pPr>
        <w:spacing w:after="0" w:line="205" w:lineRule="exact"/>
        <w:ind w:left="-284"/>
        <w:textAlignment w:val="baseline"/>
        <w:rPr>
          <w:rFonts w:eastAsia="PMingLiU"/>
          <w:sz w:val="18"/>
          <w:szCs w:val="22"/>
          <w:lang w:val="en-US" w:eastAsia="en-US"/>
        </w:rPr>
      </w:pPr>
    </w:p>
    <w:tbl>
      <w:tblPr>
        <w:tblW w:w="0" w:type="auto"/>
        <w:tblCellMar>
          <w:left w:w="0" w:type="dxa"/>
          <w:right w:w="0" w:type="dxa"/>
        </w:tblCellMar>
        <w:tblLook w:val="04A0" w:firstRow="1" w:lastRow="0" w:firstColumn="1" w:lastColumn="0" w:noHBand="0" w:noVBand="1"/>
      </w:tblPr>
      <w:tblGrid>
        <w:gridCol w:w="3625"/>
        <w:gridCol w:w="997"/>
        <w:gridCol w:w="995"/>
        <w:gridCol w:w="859"/>
        <w:gridCol w:w="998"/>
        <w:gridCol w:w="1131"/>
        <w:gridCol w:w="1132"/>
        <w:gridCol w:w="1263"/>
        <w:gridCol w:w="1136"/>
        <w:gridCol w:w="1137"/>
        <w:gridCol w:w="1018"/>
        <w:gridCol w:w="1073"/>
      </w:tblGrid>
      <w:tr w:rsidR="00BD77D8" w:rsidRPr="00BD77D8" w14:paraId="6F8B47C5" w14:textId="77777777" w:rsidTr="003057FB">
        <w:trPr>
          <w:trHeight w:val="870"/>
        </w:trPr>
        <w:tc>
          <w:tcPr>
            <w:tcW w:w="3655" w:type="dxa"/>
            <w:tcBorders>
              <w:top w:val="nil"/>
              <w:left w:val="nil"/>
              <w:bottom w:val="nil"/>
              <w:right w:val="nil"/>
            </w:tcBorders>
            <w:shd w:val="clear" w:color="auto" w:fill="auto"/>
            <w:noWrap/>
            <w:vAlign w:val="bottom"/>
            <w:hideMark/>
          </w:tcPr>
          <w:p w14:paraId="25E058A9" w14:textId="77777777" w:rsidR="00B9311E" w:rsidRPr="00BD77D8" w:rsidRDefault="00B9311E" w:rsidP="00B9311E">
            <w:pPr>
              <w:spacing w:after="0" w:line="240" w:lineRule="auto"/>
              <w:rPr>
                <w:rFonts w:ascii="Times New Roman" w:hAnsi="Times New Roman" w:cs="Times New Roman"/>
                <w:sz w:val="24"/>
                <w:szCs w:val="24"/>
              </w:rPr>
            </w:pPr>
          </w:p>
        </w:tc>
        <w:tc>
          <w:tcPr>
            <w:tcW w:w="994" w:type="dxa"/>
            <w:tcBorders>
              <w:top w:val="nil"/>
              <w:left w:val="nil"/>
              <w:bottom w:val="nil"/>
              <w:right w:val="nil"/>
            </w:tcBorders>
            <w:shd w:val="clear" w:color="auto" w:fill="auto"/>
            <w:vAlign w:val="center"/>
            <w:hideMark/>
          </w:tcPr>
          <w:p w14:paraId="2AB613DA" w14:textId="77777777" w:rsidR="00B9311E" w:rsidRPr="00BD77D8" w:rsidRDefault="00B9311E" w:rsidP="00B9311E">
            <w:pPr>
              <w:spacing w:after="0" w:line="240" w:lineRule="auto"/>
              <w:jc w:val="right"/>
              <w:rPr>
                <w:b/>
                <w:bCs/>
                <w:sz w:val="16"/>
                <w:szCs w:val="16"/>
              </w:rPr>
            </w:pPr>
            <w:r w:rsidRPr="00BD77D8">
              <w:rPr>
                <w:b/>
                <w:bCs/>
                <w:sz w:val="16"/>
                <w:szCs w:val="16"/>
              </w:rPr>
              <w:t xml:space="preserve"> Disability Services </w:t>
            </w:r>
          </w:p>
        </w:tc>
        <w:tc>
          <w:tcPr>
            <w:tcW w:w="991" w:type="dxa"/>
            <w:tcBorders>
              <w:top w:val="nil"/>
              <w:left w:val="nil"/>
              <w:bottom w:val="nil"/>
              <w:right w:val="nil"/>
            </w:tcBorders>
            <w:shd w:val="clear" w:color="auto" w:fill="auto"/>
            <w:vAlign w:val="center"/>
            <w:hideMark/>
          </w:tcPr>
          <w:p w14:paraId="26245E79" w14:textId="77777777" w:rsidR="00B9311E" w:rsidRPr="00BD77D8" w:rsidRDefault="00B9311E" w:rsidP="00B9311E">
            <w:pPr>
              <w:spacing w:after="0" w:line="240" w:lineRule="auto"/>
              <w:jc w:val="right"/>
              <w:rPr>
                <w:b/>
                <w:bCs/>
                <w:sz w:val="16"/>
                <w:szCs w:val="16"/>
              </w:rPr>
            </w:pPr>
            <w:r w:rsidRPr="00BD77D8">
              <w:rPr>
                <w:b/>
                <w:bCs/>
                <w:sz w:val="16"/>
                <w:szCs w:val="16"/>
              </w:rPr>
              <w:t xml:space="preserve"> Disability Services </w:t>
            </w:r>
          </w:p>
        </w:tc>
        <w:tc>
          <w:tcPr>
            <w:tcW w:w="854" w:type="dxa"/>
            <w:tcBorders>
              <w:top w:val="nil"/>
              <w:left w:val="nil"/>
              <w:bottom w:val="nil"/>
              <w:right w:val="nil"/>
            </w:tcBorders>
            <w:shd w:val="clear" w:color="auto" w:fill="auto"/>
            <w:vAlign w:val="center"/>
            <w:hideMark/>
          </w:tcPr>
          <w:p w14:paraId="5C491E59" w14:textId="77777777" w:rsidR="00B9311E" w:rsidRPr="00BD77D8" w:rsidRDefault="00B9311E" w:rsidP="00B9311E">
            <w:pPr>
              <w:spacing w:after="0" w:line="240" w:lineRule="auto"/>
              <w:jc w:val="right"/>
              <w:rPr>
                <w:b/>
                <w:bCs/>
                <w:sz w:val="16"/>
                <w:szCs w:val="16"/>
              </w:rPr>
            </w:pPr>
            <w:r w:rsidRPr="00BD77D8">
              <w:rPr>
                <w:b/>
                <w:bCs/>
                <w:sz w:val="16"/>
                <w:szCs w:val="16"/>
              </w:rPr>
              <w:t xml:space="preserve"> Seniors Services </w:t>
            </w:r>
          </w:p>
        </w:tc>
        <w:tc>
          <w:tcPr>
            <w:tcW w:w="994" w:type="dxa"/>
            <w:tcBorders>
              <w:top w:val="nil"/>
              <w:left w:val="nil"/>
              <w:bottom w:val="nil"/>
              <w:right w:val="nil"/>
            </w:tcBorders>
            <w:shd w:val="clear" w:color="auto" w:fill="auto"/>
            <w:vAlign w:val="center"/>
            <w:hideMark/>
          </w:tcPr>
          <w:p w14:paraId="7C1E26BA" w14:textId="77777777" w:rsidR="00B9311E" w:rsidRPr="00BD77D8" w:rsidRDefault="00B9311E" w:rsidP="00B9311E">
            <w:pPr>
              <w:spacing w:after="0" w:line="240" w:lineRule="auto"/>
              <w:jc w:val="right"/>
              <w:rPr>
                <w:b/>
                <w:bCs/>
                <w:sz w:val="16"/>
                <w:szCs w:val="16"/>
              </w:rPr>
            </w:pPr>
            <w:r w:rsidRPr="00BD77D8">
              <w:rPr>
                <w:b/>
                <w:bCs/>
                <w:sz w:val="16"/>
                <w:szCs w:val="16"/>
              </w:rPr>
              <w:t xml:space="preserve"> Seniors Services </w:t>
            </w:r>
          </w:p>
        </w:tc>
        <w:tc>
          <w:tcPr>
            <w:tcW w:w="1129" w:type="dxa"/>
            <w:tcBorders>
              <w:top w:val="nil"/>
              <w:left w:val="nil"/>
              <w:bottom w:val="nil"/>
              <w:right w:val="nil"/>
            </w:tcBorders>
            <w:shd w:val="clear" w:color="auto" w:fill="auto"/>
            <w:vAlign w:val="center"/>
            <w:hideMark/>
          </w:tcPr>
          <w:p w14:paraId="2BC0AB14" w14:textId="77777777" w:rsidR="00B9311E" w:rsidRPr="00BD77D8" w:rsidRDefault="00B9311E" w:rsidP="00B9311E">
            <w:pPr>
              <w:spacing w:after="0" w:line="240" w:lineRule="auto"/>
              <w:jc w:val="right"/>
              <w:rPr>
                <w:b/>
                <w:bCs/>
                <w:sz w:val="16"/>
                <w:szCs w:val="16"/>
              </w:rPr>
            </w:pPr>
            <w:r w:rsidRPr="00BD77D8">
              <w:rPr>
                <w:b/>
                <w:bCs/>
                <w:sz w:val="16"/>
                <w:szCs w:val="16"/>
              </w:rPr>
              <w:t xml:space="preserve"> Community Services^ </w:t>
            </w:r>
          </w:p>
        </w:tc>
        <w:tc>
          <w:tcPr>
            <w:tcW w:w="1130" w:type="dxa"/>
            <w:tcBorders>
              <w:top w:val="nil"/>
              <w:left w:val="nil"/>
              <w:bottom w:val="nil"/>
              <w:right w:val="nil"/>
            </w:tcBorders>
            <w:shd w:val="clear" w:color="auto" w:fill="auto"/>
            <w:vAlign w:val="center"/>
            <w:hideMark/>
          </w:tcPr>
          <w:p w14:paraId="196FDB56" w14:textId="77777777" w:rsidR="00B9311E" w:rsidRPr="00BD77D8" w:rsidRDefault="00B9311E" w:rsidP="00B9311E">
            <w:pPr>
              <w:spacing w:after="0" w:line="240" w:lineRule="auto"/>
              <w:jc w:val="right"/>
              <w:rPr>
                <w:b/>
                <w:bCs/>
                <w:sz w:val="16"/>
                <w:szCs w:val="16"/>
              </w:rPr>
            </w:pPr>
            <w:r w:rsidRPr="00BD77D8">
              <w:rPr>
                <w:b/>
                <w:bCs/>
                <w:sz w:val="16"/>
                <w:szCs w:val="16"/>
              </w:rPr>
              <w:t xml:space="preserve"> Economic Participation Services  </w:t>
            </w:r>
          </w:p>
        </w:tc>
        <w:tc>
          <w:tcPr>
            <w:tcW w:w="1263" w:type="dxa"/>
            <w:tcBorders>
              <w:top w:val="nil"/>
              <w:left w:val="nil"/>
              <w:bottom w:val="nil"/>
              <w:right w:val="nil"/>
            </w:tcBorders>
            <w:shd w:val="clear" w:color="auto" w:fill="auto"/>
            <w:vAlign w:val="center"/>
            <w:hideMark/>
          </w:tcPr>
          <w:p w14:paraId="733E2724" w14:textId="77777777" w:rsidR="00B9311E" w:rsidRPr="00BD77D8" w:rsidRDefault="00B9311E" w:rsidP="00B9311E">
            <w:pPr>
              <w:spacing w:after="0" w:line="240" w:lineRule="auto"/>
              <w:jc w:val="right"/>
              <w:rPr>
                <w:b/>
                <w:bCs/>
                <w:sz w:val="16"/>
                <w:szCs w:val="16"/>
              </w:rPr>
            </w:pPr>
            <w:r w:rsidRPr="00BD77D8">
              <w:rPr>
                <w:b/>
                <w:bCs/>
                <w:sz w:val="16"/>
                <w:szCs w:val="16"/>
              </w:rPr>
              <w:t xml:space="preserve"> Economic Participation Services * </w:t>
            </w:r>
          </w:p>
        </w:tc>
        <w:tc>
          <w:tcPr>
            <w:tcW w:w="1134" w:type="dxa"/>
            <w:tcBorders>
              <w:top w:val="nil"/>
              <w:left w:val="nil"/>
              <w:bottom w:val="nil"/>
              <w:right w:val="nil"/>
            </w:tcBorders>
            <w:shd w:val="clear" w:color="auto" w:fill="auto"/>
            <w:vAlign w:val="center"/>
            <w:hideMark/>
          </w:tcPr>
          <w:p w14:paraId="3270730F" w14:textId="77777777" w:rsidR="00B9311E" w:rsidRPr="00BD77D8" w:rsidRDefault="00B9311E" w:rsidP="00B9311E">
            <w:pPr>
              <w:spacing w:after="0" w:line="240" w:lineRule="auto"/>
              <w:jc w:val="right"/>
              <w:rPr>
                <w:b/>
                <w:bCs/>
                <w:sz w:val="16"/>
                <w:szCs w:val="16"/>
              </w:rPr>
            </w:pPr>
            <w:r w:rsidRPr="00BD77D8">
              <w:rPr>
                <w:b/>
                <w:bCs/>
                <w:sz w:val="16"/>
                <w:szCs w:val="16"/>
              </w:rPr>
              <w:t xml:space="preserve"> Community Participation Services  </w:t>
            </w:r>
          </w:p>
        </w:tc>
        <w:tc>
          <w:tcPr>
            <w:tcW w:w="1135" w:type="dxa"/>
            <w:tcBorders>
              <w:top w:val="nil"/>
              <w:left w:val="nil"/>
              <w:bottom w:val="nil"/>
              <w:right w:val="nil"/>
            </w:tcBorders>
            <w:shd w:val="clear" w:color="auto" w:fill="auto"/>
            <w:vAlign w:val="center"/>
            <w:hideMark/>
          </w:tcPr>
          <w:p w14:paraId="1EFADE58" w14:textId="77777777" w:rsidR="00B9311E" w:rsidRPr="00BD77D8" w:rsidRDefault="00B9311E" w:rsidP="00B9311E">
            <w:pPr>
              <w:spacing w:after="0" w:line="240" w:lineRule="auto"/>
              <w:jc w:val="right"/>
              <w:rPr>
                <w:b/>
                <w:bCs/>
                <w:sz w:val="16"/>
                <w:szCs w:val="16"/>
              </w:rPr>
            </w:pPr>
            <w:r w:rsidRPr="00BD77D8">
              <w:rPr>
                <w:b/>
                <w:bCs/>
                <w:sz w:val="16"/>
                <w:szCs w:val="16"/>
              </w:rPr>
              <w:t xml:space="preserve"> Community Participation Services * </w:t>
            </w:r>
          </w:p>
        </w:tc>
        <w:tc>
          <w:tcPr>
            <w:tcW w:w="1015" w:type="dxa"/>
            <w:tcBorders>
              <w:top w:val="nil"/>
              <w:left w:val="nil"/>
              <w:bottom w:val="nil"/>
              <w:right w:val="nil"/>
            </w:tcBorders>
            <w:shd w:val="clear" w:color="auto" w:fill="auto"/>
            <w:vAlign w:val="center"/>
            <w:hideMark/>
          </w:tcPr>
          <w:p w14:paraId="19308BEB" w14:textId="77777777" w:rsidR="00B9311E" w:rsidRPr="00BD77D8" w:rsidRDefault="00B9311E" w:rsidP="00B9311E">
            <w:pPr>
              <w:spacing w:after="0" w:line="240" w:lineRule="auto"/>
              <w:jc w:val="right"/>
              <w:rPr>
                <w:b/>
                <w:bCs/>
                <w:sz w:val="16"/>
                <w:szCs w:val="16"/>
              </w:rPr>
            </w:pPr>
            <w:r w:rsidRPr="00BD77D8">
              <w:rPr>
                <w:b/>
                <w:bCs/>
                <w:sz w:val="16"/>
                <w:szCs w:val="16"/>
              </w:rPr>
              <w:t xml:space="preserve"> Total </w:t>
            </w:r>
          </w:p>
        </w:tc>
        <w:tc>
          <w:tcPr>
            <w:tcW w:w="1070" w:type="dxa"/>
            <w:tcBorders>
              <w:top w:val="nil"/>
              <w:left w:val="nil"/>
              <w:bottom w:val="nil"/>
              <w:right w:val="nil"/>
            </w:tcBorders>
            <w:shd w:val="clear" w:color="auto" w:fill="auto"/>
            <w:vAlign w:val="center"/>
            <w:hideMark/>
          </w:tcPr>
          <w:p w14:paraId="767487D1" w14:textId="77777777" w:rsidR="00B9311E" w:rsidRPr="00BD77D8" w:rsidRDefault="00B9311E" w:rsidP="00B9311E">
            <w:pPr>
              <w:spacing w:after="0" w:line="240" w:lineRule="auto"/>
              <w:jc w:val="right"/>
              <w:rPr>
                <w:b/>
                <w:bCs/>
                <w:sz w:val="16"/>
                <w:szCs w:val="16"/>
              </w:rPr>
            </w:pPr>
            <w:r w:rsidRPr="00BD77D8">
              <w:rPr>
                <w:b/>
                <w:bCs/>
                <w:sz w:val="16"/>
                <w:szCs w:val="16"/>
              </w:rPr>
              <w:t xml:space="preserve"> Total </w:t>
            </w:r>
          </w:p>
        </w:tc>
      </w:tr>
      <w:tr w:rsidR="00BD77D8" w:rsidRPr="00BD77D8" w14:paraId="310E01D5" w14:textId="77777777" w:rsidTr="003057FB">
        <w:trPr>
          <w:trHeight w:val="240"/>
        </w:trPr>
        <w:tc>
          <w:tcPr>
            <w:tcW w:w="3655" w:type="dxa"/>
            <w:tcBorders>
              <w:top w:val="nil"/>
              <w:left w:val="nil"/>
              <w:bottom w:val="nil"/>
              <w:right w:val="nil"/>
            </w:tcBorders>
            <w:shd w:val="clear" w:color="auto" w:fill="auto"/>
            <w:noWrap/>
            <w:vAlign w:val="bottom"/>
            <w:hideMark/>
          </w:tcPr>
          <w:p w14:paraId="4D4D51AB" w14:textId="77777777" w:rsidR="00B9311E" w:rsidRPr="00BD77D8" w:rsidRDefault="00B9311E" w:rsidP="00B9311E">
            <w:pPr>
              <w:spacing w:after="0" w:line="240" w:lineRule="auto"/>
              <w:jc w:val="right"/>
              <w:rPr>
                <w:sz w:val="16"/>
                <w:szCs w:val="16"/>
              </w:rPr>
            </w:pPr>
          </w:p>
        </w:tc>
        <w:tc>
          <w:tcPr>
            <w:tcW w:w="994" w:type="dxa"/>
            <w:tcBorders>
              <w:top w:val="nil"/>
              <w:left w:val="nil"/>
              <w:bottom w:val="nil"/>
              <w:right w:val="nil"/>
            </w:tcBorders>
            <w:shd w:val="clear" w:color="auto" w:fill="auto"/>
            <w:noWrap/>
            <w:vAlign w:val="bottom"/>
            <w:hideMark/>
          </w:tcPr>
          <w:p w14:paraId="2A42E5C3"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991" w:type="dxa"/>
            <w:tcBorders>
              <w:top w:val="nil"/>
              <w:left w:val="nil"/>
              <w:bottom w:val="nil"/>
              <w:right w:val="nil"/>
            </w:tcBorders>
            <w:shd w:val="clear" w:color="auto" w:fill="auto"/>
            <w:noWrap/>
            <w:vAlign w:val="bottom"/>
            <w:hideMark/>
          </w:tcPr>
          <w:p w14:paraId="63753F1B"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854" w:type="dxa"/>
            <w:tcBorders>
              <w:top w:val="nil"/>
              <w:left w:val="nil"/>
              <w:bottom w:val="nil"/>
              <w:right w:val="nil"/>
            </w:tcBorders>
            <w:shd w:val="clear" w:color="auto" w:fill="auto"/>
            <w:noWrap/>
            <w:vAlign w:val="bottom"/>
            <w:hideMark/>
          </w:tcPr>
          <w:p w14:paraId="2402E3C6"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994" w:type="dxa"/>
            <w:tcBorders>
              <w:top w:val="nil"/>
              <w:left w:val="nil"/>
              <w:bottom w:val="nil"/>
              <w:right w:val="nil"/>
            </w:tcBorders>
            <w:shd w:val="clear" w:color="auto" w:fill="auto"/>
            <w:noWrap/>
            <w:vAlign w:val="bottom"/>
            <w:hideMark/>
          </w:tcPr>
          <w:p w14:paraId="1DE8EB2A"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1129" w:type="dxa"/>
            <w:tcBorders>
              <w:top w:val="nil"/>
              <w:left w:val="nil"/>
              <w:bottom w:val="nil"/>
              <w:right w:val="nil"/>
            </w:tcBorders>
            <w:shd w:val="clear" w:color="auto" w:fill="auto"/>
            <w:noWrap/>
            <w:vAlign w:val="bottom"/>
            <w:hideMark/>
          </w:tcPr>
          <w:p w14:paraId="0B9261A2"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1130" w:type="dxa"/>
            <w:tcBorders>
              <w:top w:val="nil"/>
              <w:left w:val="nil"/>
              <w:bottom w:val="nil"/>
              <w:right w:val="nil"/>
            </w:tcBorders>
            <w:shd w:val="clear" w:color="auto" w:fill="auto"/>
            <w:noWrap/>
            <w:vAlign w:val="bottom"/>
            <w:hideMark/>
          </w:tcPr>
          <w:p w14:paraId="09B8403F"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1263" w:type="dxa"/>
            <w:tcBorders>
              <w:top w:val="nil"/>
              <w:left w:val="nil"/>
              <w:bottom w:val="nil"/>
              <w:right w:val="nil"/>
            </w:tcBorders>
            <w:shd w:val="clear" w:color="auto" w:fill="auto"/>
            <w:noWrap/>
            <w:vAlign w:val="bottom"/>
            <w:hideMark/>
          </w:tcPr>
          <w:p w14:paraId="7C8573CB"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1134" w:type="dxa"/>
            <w:tcBorders>
              <w:top w:val="nil"/>
              <w:left w:val="nil"/>
              <w:bottom w:val="nil"/>
              <w:right w:val="nil"/>
            </w:tcBorders>
            <w:shd w:val="clear" w:color="auto" w:fill="auto"/>
            <w:noWrap/>
            <w:vAlign w:val="bottom"/>
            <w:hideMark/>
          </w:tcPr>
          <w:p w14:paraId="26B83AD1"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1135" w:type="dxa"/>
            <w:tcBorders>
              <w:top w:val="nil"/>
              <w:left w:val="nil"/>
              <w:bottom w:val="nil"/>
              <w:right w:val="nil"/>
            </w:tcBorders>
            <w:shd w:val="clear" w:color="auto" w:fill="auto"/>
            <w:noWrap/>
            <w:vAlign w:val="bottom"/>
            <w:hideMark/>
          </w:tcPr>
          <w:p w14:paraId="04B53860" w14:textId="77777777" w:rsidR="00B9311E" w:rsidRPr="00BD77D8" w:rsidRDefault="00B9311E" w:rsidP="00B9311E">
            <w:pPr>
              <w:spacing w:after="0" w:line="240" w:lineRule="auto"/>
              <w:jc w:val="right"/>
              <w:rPr>
                <w:b/>
                <w:bCs/>
                <w:sz w:val="16"/>
                <w:szCs w:val="16"/>
              </w:rPr>
            </w:pPr>
            <w:r w:rsidRPr="00BD77D8">
              <w:rPr>
                <w:b/>
                <w:bCs/>
                <w:sz w:val="16"/>
                <w:szCs w:val="16"/>
              </w:rPr>
              <w:t>2021</w:t>
            </w:r>
          </w:p>
        </w:tc>
        <w:tc>
          <w:tcPr>
            <w:tcW w:w="1015" w:type="dxa"/>
            <w:tcBorders>
              <w:top w:val="nil"/>
              <w:left w:val="nil"/>
              <w:bottom w:val="nil"/>
              <w:right w:val="nil"/>
            </w:tcBorders>
            <w:shd w:val="clear" w:color="auto" w:fill="auto"/>
            <w:noWrap/>
            <w:vAlign w:val="bottom"/>
            <w:hideMark/>
          </w:tcPr>
          <w:p w14:paraId="37406330" w14:textId="77777777" w:rsidR="00B9311E" w:rsidRPr="00BD77D8" w:rsidRDefault="00B9311E" w:rsidP="00B9311E">
            <w:pPr>
              <w:spacing w:after="0" w:line="240" w:lineRule="auto"/>
              <w:jc w:val="right"/>
              <w:rPr>
                <w:b/>
                <w:bCs/>
                <w:sz w:val="16"/>
                <w:szCs w:val="16"/>
              </w:rPr>
            </w:pPr>
            <w:r w:rsidRPr="00BD77D8">
              <w:rPr>
                <w:b/>
                <w:bCs/>
                <w:sz w:val="16"/>
                <w:szCs w:val="16"/>
              </w:rPr>
              <w:t>2022</w:t>
            </w:r>
          </w:p>
        </w:tc>
        <w:tc>
          <w:tcPr>
            <w:tcW w:w="1070" w:type="dxa"/>
            <w:tcBorders>
              <w:top w:val="nil"/>
              <w:left w:val="nil"/>
              <w:bottom w:val="nil"/>
              <w:right w:val="nil"/>
            </w:tcBorders>
            <w:shd w:val="clear" w:color="auto" w:fill="auto"/>
            <w:noWrap/>
            <w:vAlign w:val="bottom"/>
            <w:hideMark/>
          </w:tcPr>
          <w:p w14:paraId="3C29F7A3" w14:textId="77777777" w:rsidR="00B9311E" w:rsidRPr="00BD77D8" w:rsidRDefault="00B9311E" w:rsidP="00B9311E">
            <w:pPr>
              <w:spacing w:after="0" w:line="240" w:lineRule="auto"/>
              <w:jc w:val="right"/>
              <w:rPr>
                <w:b/>
                <w:bCs/>
                <w:sz w:val="16"/>
                <w:szCs w:val="16"/>
              </w:rPr>
            </w:pPr>
            <w:r w:rsidRPr="00BD77D8">
              <w:rPr>
                <w:b/>
                <w:bCs/>
                <w:sz w:val="16"/>
                <w:szCs w:val="16"/>
              </w:rPr>
              <w:t>2021</w:t>
            </w:r>
          </w:p>
        </w:tc>
      </w:tr>
      <w:tr w:rsidR="00BD77D8" w:rsidRPr="00BD77D8" w14:paraId="4E58B6A4" w14:textId="77777777" w:rsidTr="003057FB">
        <w:trPr>
          <w:trHeight w:val="240"/>
        </w:trPr>
        <w:tc>
          <w:tcPr>
            <w:tcW w:w="3655" w:type="dxa"/>
            <w:tcBorders>
              <w:top w:val="nil"/>
              <w:left w:val="nil"/>
              <w:bottom w:val="single" w:sz="4" w:space="0" w:color="auto"/>
              <w:right w:val="nil"/>
            </w:tcBorders>
            <w:shd w:val="clear" w:color="auto" w:fill="auto"/>
            <w:noWrap/>
            <w:vAlign w:val="bottom"/>
            <w:hideMark/>
          </w:tcPr>
          <w:p w14:paraId="01690526" w14:textId="77777777" w:rsidR="00B9311E" w:rsidRPr="00BD77D8" w:rsidRDefault="00B9311E" w:rsidP="00B9311E">
            <w:pPr>
              <w:spacing w:after="0" w:line="240" w:lineRule="auto"/>
              <w:rPr>
                <w:sz w:val="16"/>
                <w:szCs w:val="16"/>
              </w:rPr>
            </w:pPr>
            <w:r w:rsidRPr="00BD77D8">
              <w:rPr>
                <w:sz w:val="16"/>
                <w:szCs w:val="16"/>
              </w:rPr>
              <w:t> </w:t>
            </w:r>
          </w:p>
        </w:tc>
        <w:tc>
          <w:tcPr>
            <w:tcW w:w="994" w:type="dxa"/>
            <w:tcBorders>
              <w:top w:val="nil"/>
              <w:left w:val="nil"/>
              <w:bottom w:val="single" w:sz="4" w:space="0" w:color="auto"/>
              <w:right w:val="nil"/>
            </w:tcBorders>
            <w:shd w:val="clear" w:color="auto" w:fill="auto"/>
            <w:noWrap/>
            <w:vAlign w:val="bottom"/>
            <w:hideMark/>
          </w:tcPr>
          <w:p w14:paraId="34F74232"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991" w:type="dxa"/>
            <w:tcBorders>
              <w:top w:val="nil"/>
              <w:left w:val="nil"/>
              <w:bottom w:val="single" w:sz="4" w:space="0" w:color="auto"/>
              <w:right w:val="nil"/>
            </w:tcBorders>
            <w:shd w:val="clear" w:color="auto" w:fill="auto"/>
            <w:noWrap/>
            <w:vAlign w:val="bottom"/>
            <w:hideMark/>
          </w:tcPr>
          <w:p w14:paraId="0CB34545"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854" w:type="dxa"/>
            <w:tcBorders>
              <w:top w:val="nil"/>
              <w:left w:val="nil"/>
              <w:bottom w:val="single" w:sz="4" w:space="0" w:color="auto"/>
              <w:right w:val="nil"/>
            </w:tcBorders>
            <w:shd w:val="clear" w:color="auto" w:fill="auto"/>
            <w:noWrap/>
            <w:vAlign w:val="bottom"/>
            <w:hideMark/>
          </w:tcPr>
          <w:p w14:paraId="54752385"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994" w:type="dxa"/>
            <w:tcBorders>
              <w:top w:val="nil"/>
              <w:left w:val="nil"/>
              <w:bottom w:val="single" w:sz="4" w:space="0" w:color="auto"/>
              <w:right w:val="nil"/>
            </w:tcBorders>
            <w:shd w:val="clear" w:color="auto" w:fill="auto"/>
            <w:noWrap/>
            <w:vAlign w:val="bottom"/>
            <w:hideMark/>
          </w:tcPr>
          <w:p w14:paraId="2CE09765"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129" w:type="dxa"/>
            <w:tcBorders>
              <w:top w:val="nil"/>
              <w:left w:val="nil"/>
              <w:bottom w:val="single" w:sz="4" w:space="0" w:color="auto"/>
              <w:right w:val="nil"/>
            </w:tcBorders>
            <w:shd w:val="clear" w:color="auto" w:fill="auto"/>
            <w:noWrap/>
            <w:vAlign w:val="bottom"/>
            <w:hideMark/>
          </w:tcPr>
          <w:p w14:paraId="3F1CD967"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130" w:type="dxa"/>
            <w:tcBorders>
              <w:top w:val="nil"/>
              <w:left w:val="nil"/>
              <w:bottom w:val="single" w:sz="4" w:space="0" w:color="auto"/>
              <w:right w:val="nil"/>
            </w:tcBorders>
            <w:shd w:val="clear" w:color="auto" w:fill="auto"/>
            <w:noWrap/>
            <w:vAlign w:val="bottom"/>
            <w:hideMark/>
          </w:tcPr>
          <w:p w14:paraId="50CD2AD8"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263" w:type="dxa"/>
            <w:tcBorders>
              <w:top w:val="nil"/>
              <w:left w:val="nil"/>
              <w:bottom w:val="single" w:sz="4" w:space="0" w:color="auto"/>
              <w:right w:val="nil"/>
            </w:tcBorders>
            <w:shd w:val="clear" w:color="auto" w:fill="auto"/>
            <w:noWrap/>
            <w:vAlign w:val="bottom"/>
            <w:hideMark/>
          </w:tcPr>
          <w:p w14:paraId="69F185EB"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134" w:type="dxa"/>
            <w:tcBorders>
              <w:top w:val="nil"/>
              <w:left w:val="nil"/>
              <w:bottom w:val="single" w:sz="4" w:space="0" w:color="auto"/>
              <w:right w:val="nil"/>
            </w:tcBorders>
            <w:shd w:val="clear" w:color="auto" w:fill="auto"/>
            <w:noWrap/>
            <w:vAlign w:val="bottom"/>
            <w:hideMark/>
          </w:tcPr>
          <w:p w14:paraId="71AB8653"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135" w:type="dxa"/>
            <w:tcBorders>
              <w:top w:val="nil"/>
              <w:left w:val="nil"/>
              <w:bottom w:val="single" w:sz="4" w:space="0" w:color="auto"/>
              <w:right w:val="nil"/>
            </w:tcBorders>
            <w:shd w:val="clear" w:color="auto" w:fill="auto"/>
            <w:noWrap/>
            <w:vAlign w:val="bottom"/>
            <w:hideMark/>
          </w:tcPr>
          <w:p w14:paraId="5C4D04F4"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015" w:type="dxa"/>
            <w:tcBorders>
              <w:top w:val="nil"/>
              <w:left w:val="nil"/>
              <w:bottom w:val="single" w:sz="4" w:space="0" w:color="auto"/>
              <w:right w:val="nil"/>
            </w:tcBorders>
            <w:shd w:val="clear" w:color="auto" w:fill="auto"/>
            <w:noWrap/>
            <w:vAlign w:val="bottom"/>
            <w:hideMark/>
          </w:tcPr>
          <w:p w14:paraId="11C3E693" w14:textId="77777777" w:rsidR="00B9311E" w:rsidRPr="00BD77D8" w:rsidRDefault="00B9311E" w:rsidP="00B9311E">
            <w:pPr>
              <w:spacing w:after="0" w:line="240" w:lineRule="auto"/>
              <w:jc w:val="right"/>
              <w:rPr>
                <w:b/>
                <w:bCs/>
                <w:sz w:val="16"/>
                <w:szCs w:val="16"/>
              </w:rPr>
            </w:pPr>
            <w:r w:rsidRPr="00BD77D8">
              <w:rPr>
                <w:b/>
                <w:bCs/>
                <w:sz w:val="16"/>
                <w:szCs w:val="16"/>
              </w:rPr>
              <w:t>$'000</w:t>
            </w:r>
          </w:p>
        </w:tc>
        <w:tc>
          <w:tcPr>
            <w:tcW w:w="1070" w:type="dxa"/>
            <w:tcBorders>
              <w:top w:val="nil"/>
              <w:left w:val="nil"/>
              <w:bottom w:val="single" w:sz="4" w:space="0" w:color="auto"/>
              <w:right w:val="nil"/>
            </w:tcBorders>
            <w:shd w:val="clear" w:color="auto" w:fill="auto"/>
            <w:noWrap/>
            <w:vAlign w:val="bottom"/>
            <w:hideMark/>
          </w:tcPr>
          <w:p w14:paraId="23715864" w14:textId="77777777" w:rsidR="00B9311E" w:rsidRPr="00BD77D8" w:rsidRDefault="00B9311E" w:rsidP="00B9311E">
            <w:pPr>
              <w:spacing w:after="0" w:line="240" w:lineRule="auto"/>
              <w:jc w:val="right"/>
              <w:rPr>
                <w:b/>
                <w:bCs/>
                <w:sz w:val="16"/>
                <w:szCs w:val="16"/>
              </w:rPr>
            </w:pPr>
            <w:r w:rsidRPr="00BD77D8">
              <w:rPr>
                <w:b/>
                <w:bCs/>
                <w:sz w:val="16"/>
                <w:szCs w:val="16"/>
              </w:rPr>
              <w:t>$'000</w:t>
            </w:r>
          </w:p>
        </w:tc>
      </w:tr>
      <w:tr w:rsidR="00BD77D8" w:rsidRPr="00BD77D8" w14:paraId="118E9BC8" w14:textId="77777777" w:rsidTr="003057FB">
        <w:trPr>
          <w:trHeight w:val="240"/>
        </w:trPr>
        <w:tc>
          <w:tcPr>
            <w:tcW w:w="3655" w:type="dxa"/>
            <w:tcBorders>
              <w:top w:val="nil"/>
              <w:left w:val="nil"/>
              <w:bottom w:val="nil"/>
              <w:right w:val="nil"/>
            </w:tcBorders>
            <w:shd w:val="clear" w:color="auto" w:fill="auto"/>
            <w:noWrap/>
            <w:vAlign w:val="bottom"/>
            <w:hideMark/>
          </w:tcPr>
          <w:p w14:paraId="3C6381E7" w14:textId="77777777" w:rsidR="00B9311E" w:rsidRPr="00BD77D8" w:rsidRDefault="00B9311E" w:rsidP="00B9311E">
            <w:pPr>
              <w:spacing w:after="0" w:line="240" w:lineRule="auto"/>
              <w:jc w:val="right"/>
              <w:rPr>
                <w:sz w:val="16"/>
                <w:szCs w:val="16"/>
              </w:rPr>
            </w:pPr>
          </w:p>
        </w:tc>
        <w:tc>
          <w:tcPr>
            <w:tcW w:w="994" w:type="dxa"/>
            <w:tcBorders>
              <w:top w:val="nil"/>
              <w:left w:val="nil"/>
              <w:bottom w:val="nil"/>
              <w:right w:val="nil"/>
            </w:tcBorders>
            <w:shd w:val="clear" w:color="auto" w:fill="auto"/>
            <w:noWrap/>
            <w:vAlign w:val="bottom"/>
            <w:hideMark/>
          </w:tcPr>
          <w:p w14:paraId="507B49F7" w14:textId="77777777" w:rsidR="00B9311E" w:rsidRPr="00BD77D8" w:rsidRDefault="00B9311E" w:rsidP="00B9311E">
            <w:pPr>
              <w:spacing w:after="0" w:line="240" w:lineRule="auto"/>
              <w:rPr>
                <w:rFonts w:ascii="Times New Roman" w:hAnsi="Times New Roman" w:cs="Times New Roman"/>
                <w:sz w:val="20"/>
                <w:szCs w:val="20"/>
              </w:rPr>
            </w:pPr>
          </w:p>
        </w:tc>
        <w:tc>
          <w:tcPr>
            <w:tcW w:w="991" w:type="dxa"/>
            <w:tcBorders>
              <w:top w:val="nil"/>
              <w:left w:val="nil"/>
              <w:bottom w:val="nil"/>
              <w:right w:val="nil"/>
            </w:tcBorders>
            <w:shd w:val="clear" w:color="auto" w:fill="auto"/>
            <w:noWrap/>
            <w:vAlign w:val="bottom"/>
            <w:hideMark/>
          </w:tcPr>
          <w:p w14:paraId="24D17AC6"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54" w:type="dxa"/>
            <w:tcBorders>
              <w:top w:val="nil"/>
              <w:left w:val="nil"/>
              <w:bottom w:val="nil"/>
              <w:right w:val="nil"/>
            </w:tcBorders>
            <w:shd w:val="clear" w:color="auto" w:fill="auto"/>
            <w:noWrap/>
            <w:vAlign w:val="bottom"/>
            <w:hideMark/>
          </w:tcPr>
          <w:p w14:paraId="135FC2F1"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14:paraId="5BC65631"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29" w:type="dxa"/>
            <w:tcBorders>
              <w:top w:val="nil"/>
              <w:left w:val="nil"/>
              <w:bottom w:val="nil"/>
              <w:right w:val="nil"/>
            </w:tcBorders>
            <w:shd w:val="clear" w:color="auto" w:fill="auto"/>
            <w:noWrap/>
            <w:vAlign w:val="bottom"/>
            <w:hideMark/>
          </w:tcPr>
          <w:p w14:paraId="62E569F2"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30" w:type="dxa"/>
            <w:tcBorders>
              <w:top w:val="nil"/>
              <w:left w:val="nil"/>
              <w:bottom w:val="nil"/>
              <w:right w:val="nil"/>
            </w:tcBorders>
            <w:shd w:val="clear" w:color="auto" w:fill="auto"/>
            <w:noWrap/>
            <w:vAlign w:val="bottom"/>
            <w:hideMark/>
          </w:tcPr>
          <w:p w14:paraId="161E4215"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263" w:type="dxa"/>
            <w:tcBorders>
              <w:top w:val="nil"/>
              <w:left w:val="nil"/>
              <w:bottom w:val="nil"/>
              <w:right w:val="nil"/>
            </w:tcBorders>
            <w:shd w:val="clear" w:color="auto" w:fill="auto"/>
            <w:noWrap/>
            <w:vAlign w:val="bottom"/>
            <w:hideMark/>
          </w:tcPr>
          <w:p w14:paraId="21D9D8F4"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D64BA65"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35" w:type="dxa"/>
            <w:tcBorders>
              <w:top w:val="nil"/>
              <w:left w:val="nil"/>
              <w:bottom w:val="nil"/>
              <w:right w:val="nil"/>
            </w:tcBorders>
            <w:shd w:val="clear" w:color="auto" w:fill="auto"/>
            <w:noWrap/>
            <w:vAlign w:val="bottom"/>
            <w:hideMark/>
          </w:tcPr>
          <w:p w14:paraId="5C4F7F8B"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015" w:type="dxa"/>
            <w:tcBorders>
              <w:top w:val="nil"/>
              <w:left w:val="nil"/>
              <w:bottom w:val="nil"/>
              <w:right w:val="nil"/>
            </w:tcBorders>
            <w:shd w:val="clear" w:color="auto" w:fill="auto"/>
            <w:noWrap/>
            <w:vAlign w:val="bottom"/>
            <w:hideMark/>
          </w:tcPr>
          <w:p w14:paraId="70DCE2F1"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070" w:type="dxa"/>
            <w:tcBorders>
              <w:top w:val="nil"/>
              <w:left w:val="nil"/>
              <w:bottom w:val="nil"/>
              <w:right w:val="nil"/>
            </w:tcBorders>
            <w:shd w:val="clear" w:color="auto" w:fill="auto"/>
            <w:noWrap/>
            <w:vAlign w:val="bottom"/>
            <w:hideMark/>
          </w:tcPr>
          <w:p w14:paraId="64FB2385"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03C5BA4E" w14:textId="77777777" w:rsidTr="003057FB">
        <w:trPr>
          <w:trHeight w:val="285"/>
        </w:trPr>
        <w:tc>
          <w:tcPr>
            <w:tcW w:w="3655" w:type="dxa"/>
            <w:tcBorders>
              <w:top w:val="nil"/>
              <w:left w:val="nil"/>
              <w:bottom w:val="nil"/>
              <w:right w:val="nil"/>
            </w:tcBorders>
            <w:shd w:val="clear" w:color="auto" w:fill="auto"/>
            <w:noWrap/>
            <w:vAlign w:val="bottom"/>
            <w:hideMark/>
          </w:tcPr>
          <w:p w14:paraId="26FB01CD" w14:textId="77777777" w:rsidR="00B9311E" w:rsidRPr="00BD77D8" w:rsidRDefault="00B9311E" w:rsidP="00B9311E">
            <w:pPr>
              <w:spacing w:after="0" w:line="240" w:lineRule="auto"/>
              <w:rPr>
                <w:b/>
                <w:bCs/>
                <w:sz w:val="16"/>
                <w:szCs w:val="16"/>
              </w:rPr>
            </w:pPr>
            <w:r w:rsidRPr="00BD77D8">
              <w:rPr>
                <w:b/>
                <w:bCs/>
                <w:sz w:val="16"/>
                <w:szCs w:val="16"/>
              </w:rPr>
              <w:t xml:space="preserve"> Income from Continuing Operations  </w:t>
            </w:r>
          </w:p>
        </w:tc>
        <w:tc>
          <w:tcPr>
            <w:tcW w:w="994" w:type="dxa"/>
            <w:tcBorders>
              <w:top w:val="nil"/>
              <w:left w:val="nil"/>
              <w:bottom w:val="nil"/>
              <w:right w:val="nil"/>
            </w:tcBorders>
            <w:shd w:val="clear" w:color="auto" w:fill="auto"/>
            <w:noWrap/>
            <w:vAlign w:val="bottom"/>
            <w:hideMark/>
          </w:tcPr>
          <w:p w14:paraId="0680ED84" w14:textId="77777777" w:rsidR="00B9311E" w:rsidRPr="00BD77D8" w:rsidRDefault="00B9311E" w:rsidP="00B9311E">
            <w:pPr>
              <w:spacing w:after="0" w:line="240" w:lineRule="auto"/>
              <w:rPr>
                <w:b/>
                <w:bCs/>
                <w:sz w:val="16"/>
                <w:szCs w:val="16"/>
              </w:rPr>
            </w:pPr>
          </w:p>
        </w:tc>
        <w:tc>
          <w:tcPr>
            <w:tcW w:w="991" w:type="dxa"/>
            <w:tcBorders>
              <w:top w:val="nil"/>
              <w:left w:val="nil"/>
              <w:bottom w:val="nil"/>
              <w:right w:val="nil"/>
            </w:tcBorders>
            <w:shd w:val="clear" w:color="auto" w:fill="auto"/>
            <w:noWrap/>
            <w:vAlign w:val="bottom"/>
            <w:hideMark/>
          </w:tcPr>
          <w:p w14:paraId="1B24A4D7"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854" w:type="dxa"/>
            <w:tcBorders>
              <w:top w:val="nil"/>
              <w:left w:val="nil"/>
              <w:bottom w:val="nil"/>
              <w:right w:val="nil"/>
            </w:tcBorders>
            <w:shd w:val="clear" w:color="auto" w:fill="auto"/>
            <w:noWrap/>
            <w:vAlign w:val="bottom"/>
            <w:hideMark/>
          </w:tcPr>
          <w:p w14:paraId="67D4954F"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994" w:type="dxa"/>
            <w:tcBorders>
              <w:top w:val="nil"/>
              <w:left w:val="nil"/>
              <w:bottom w:val="nil"/>
              <w:right w:val="nil"/>
            </w:tcBorders>
            <w:shd w:val="clear" w:color="auto" w:fill="auto"/>
            <w:noWrap/>
            <w:vAlign w:val="bottom"/>
            <w:hideMark/>
          </w:tcPr>
          <w:p w14:paraId="6170E34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129" w:type="dxa"/>
            <w:tcBorders>
              <w:top w:val="nil"/>
              <w:left w:val="nil"/>
              <w:bottom w:val="nil"/>
              <w:right w:val="nil"/>
            </w:tcBorders>
            <w:shd w:val="clear" w:color="auto" w:fill="auto"/>
            <w:noWrap/>
            <w:vAlign w:val="bottom"/>
            <w:hideMark/>
          </w:tcPr>
          <w:p w14:paraId="42CCAE28"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130" w:type="dxa"/>
            <w:tcBorders>
              <w:top w:val="nil"/>
              <w:left w:val="nil"/>
              <w:bottom w:val="nil"/>
              <w:right w:val="nil"/>
            </w:tcBorders>
            <w:shd w:val="clear" w:color="auto" w:fill="auto"/>
            <w:noWrap/>
            <w:vAlign w:val="bottom"/>
            <w:hideMark/>
          </w:tcPr>
          <w:p w14:paraId="4141FC50"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63" w:type="dxa"/>
            <w:tcBorders>
              <w:top w:val="nil"/>
              <w:left w:val="nil"/>
              <w:bottom w:val="nil"/>
              <w:right w:val="nil"/>
            </w:tcBorders>
            <w:shd w:val="clear" w:color="auto" w:fill="auto"/>
            <w:noWrap/>
            <w:vAlign w:val="bottom"/>
            <w:hideMark/>
          </w:tcPr>
          <w:p w14:paraId="1B79635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134" w:type="dxa"/>
            <w:tcBorders>
              <w:top w:val="nil"/>
              <w:left w:val="nil"/>
              <w:bottom w:val="nil"/>
              <w:right w:val="nil"/>
            </w:tcBorders>
            <w:shd w:val="clear" w:color="auto" w:fill="auto"/>
            <w:noWrap/>
            <w:vAlign w:val="bottom"/>
            <w:hideMark/>
          </w:tcPr>
          <w:p w14:paraId="1AE548D1"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135" w:type="dxa"/>
            <w:tcBorders>
              <w:top w:val="nil"/>
              <w:left w:val="nil"/>
              <w:bottom w:val="nil"/>
              <w:right w:val="nil"/>
            </w:tcBorders>
            <w:shd w:val="clear" w:color="auto" w:fill="auto"/>
            <w:noWrap/>
            <w:vAlign w:val="bottom"/>
            <w:hideMark/>
          </w:tcPr>
          <w:p w14:paraId="69273A96"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015" w:type="dxa"/>
            <w:tcBorders>
              <w:top w:val="nil"/>
              <w:left w:val="nil"/>
              <w:bottom w:val="nil"/>
              <w:right w:val="nil"/>
            </w:tcBorders>
            <w:shd w:val="clear" w:color="auto" w:fill="auto"/>
            <w:noWrap/>
            <w:vAlign w:val="bottom"/>
            <w:hideMark/>
          </w:tcPr>
          <w:p w14:paraId="20FF8355"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070" w:type="dxa"/>
            <w:tcBorders>
              <w:top w:val="nil"/>
              <w:left w:val="nil"/>
              <w:bottom w:val="nil"/>
              <w:right w:val="nil"/>
            </w:tcBorders>
            <w:shd w:val="clear" w:color="auto" w:fill="auto"/>
            <w:noWrap/>
            <w:vAlign w:val="bottom"/>
            <w:hideMark/>
          </w:tcPr>
          <w:p w14:paraId="055E0A81" w14:textId="77777777" w:rsidR="00B9311E" w:rsidRPr="00BD77D8" w:rsidRDefault="00B9311E" w:rsidP="00B9311E">
            <w:pPr>
              <w:spacing w:after="0" w:line="240" w:lineRule="auto"/>
              <w:jc w:val="center"/>
              <w:rPr>
                <w:rFonts w:ascii="Times New Roman" w:hAnsi="Times New Roman" w:cs="Times New Roman"/>
                <w:b/>
                <w:bCs/>
                <w:sz w:val="20"/>
                <w:szCs w:val="20"/>
              </w:rPr>
            </w:pPr>
          </w:p>
        </w:tc>
      </w:tr>
      <w:tr w:rsidR="00BD77D8" w:rsidRPr="00BD77D8" w14:paraId="3618E64A" w14:textId="77777777" w:rsidTr="003057FB">
        <w:trPr>
          <w:trHeight w:val="285"/>
        </w:trPr>
        <w:tc>
          <w:tcPr>
            <w:tcW w:w="3655" w:type="dxa"/>
            <w:tcBorders>
              <w:top w:val="nil"/>
              <w:left w:val="nil"/>
              <w:bottom w:val="nil"/>
              <w:right w:val="nil"/>
            </w:tcBorders>
            <w:shd w:val="clear" w:color="auto" w:fill="auto"/>
            <w:noWrap/>
            <w:vAlign w:val="bottom"/>
            <w:hideMark/>
          </w:tcPr>
          <w:p w14:paraId="5388E1BB"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Appropriation revenue  </w:t>
            </w:r>
          </w:p>
        </w:tc>
        <w:tc>
          <w:tcPr>
            <w:tcW w:w="994" w:type="dxa"/>
            <w:tcBorders>
              <w:top w:val="nil"/>
              <w:left w:val="nil"/>
              <w:bottom w:val="nil"/>
              <w:right w:val="nil"/>
            </w:tcBorders>
            <w:shd w:val="clear" w:color="auto" w:fill="auto"/>
            <w:vAlign w:val="bottom"/>
            <w:hideMark/>
          </w:tcPr>
          <w:p w14:paraId="4548A0E5" w14:textId="77777777" w:rsidR="00B9311E" w:rsidRPr="00BD77D8" w:rsidRDefault="00B9311E" w:rsidP="00B9311E">
            <w:pPr>
              <w:spacing w:after="0" w:line="240" w:lineRule="auto"/>
              <w:jc w:val="right"/>
              <w:rPr>
                <w:b/>
                <w:bCs/>
                <w:sz w:val="16"/>
                <w:szCs w:val="16"/>
              </w:rPr>
            </w:pPr>
            <w:r w:rsidRPr="00BD77D8">
              <w:rPr>
                <w:b/>
                <w:bCs/>
                <w:sz w:val="16"/>
                <w:szCs w:val="16"/>
              </w:rPr>
              <w:t xml:space="preserve">     209,529 </w:t>
            </w:r>
          </w:p>
        </w:tc>
        <w:tc>
          <w:tcPr>
            <w:tcW w:w="991" w:type="dxa"/>
            <w:tcBorders>
              <w:top w:val="nil"/>
              <w:left w:val="nil"/>
              <w:bottom w:val="nil"/>
              <w:right w:val="nil"/>
            </w:tcBorders>
            <w:shd w:val="clear" w:color="auto" w:fill="auto"/>
            <w:vAlign w:val="bottom"/>
            <w:hideMark/>
          </w:tcPr>
          <w:p w14:paraId="0E51427E" w14:textId="77777777" w:rsidR="00B9311E" w:rsidRPr="00BD77D8" w:rsidRDefault="00B9311E" w:rsidP="00B9311E">
            <w:pPr>
              <w:spacing w:after="0" w:line="240" w:lineRule="auto"/>
              <w:jc w:val="right"/>
              <w:rPr>
                <w:sz w:val="16"/>
                <w:szCs w:val="16"/>
              </w:rPr>
            </w:pPr>
            <w:r w:rsidRPr="00BD77D8">
              <w:rPr>
                <w:sz w:val="16"/>
                <w:szCs w:val="16"/>
              </w:rPr>
              <w:t xml:space="preserve">      211,125 </w:t>
            </w:r>
          </w:p>
        </w:tc>
        <w:tc>
          <w:tcPr>
            <w:tcW w:w="854" w:type="dxa"/>
            <w:tcBorders>
              <w:top w:val="nil"/>
              <w:left w:val="nil"/>
              <w:bottom w:val="nil"/>
              <w:right w:val="nil"/>
            </w:tcBorders>
            <w:shd w:val="clear" w:color="auto" w:fill="auto"/>
            <w:vAlign w:val="bottom"/>
            <w:hideMark/>
          </w:tcPr>
          <w:p w14:paraId="5E709252" w14:textId="77777777" w:rsidR="00B9311E" w:rsidRPr="00BD77D8" w:rsidRDefault="00B9311E" w:rsidP="00B9311E">
            <w:pPr>
              <w:spacing w:after="0" w:line="240" w:lineRule="auto"/>
              <w:jc w:val="right"/>
              <w:rPr>
                <w:b/>
                <w:bCs/>
                <w:sz w:val="16"/>
                <w:szCs w:val="16"/>
              </w:rPr>
            </w:pPr>
            <w:r w:rsidRPr="00BD77D8">
              <w:rPr>
                <w:b/>
                <w:bCs/>
                <w:sz w:val="16"/>
                <w:szCs w:val="16"/>
              </w:rPr>
              <w:t xml:space="preserve">       11,244 </w:t>
            </w:r>
          </w:p>
        </w:tc>
        <w:tc>
          <w:tcPr>
            <w:tcW w:w="994" w:type="dxa"/>
            <w:tcBorders>
              <w:top w:val="nil"/>
              <w:left w:val="nil"/>
              <w:bottom w:val="nil"/>
              <w:right w:val="nil"/>
            </w:tcBorders>
            <w:shd w:val="clear" w:color="auto" w:fill="auto"/>
            <w:vAlign w:val="bottom"/>
            <w:hideMark/>
          </w:tcPr>
          <w:p w14:paraId="1FAA369F" w14:textId="77777777" w:rsidR="00B9311E" w:rsidRPr="00BD77D8" w:rsidRDefault="00B9311E" w:rsidP="00B9311E">
            <w:pPr>
              <w:spacing w:after="0" w:line="240" w:lineRule="auto"/>
              <w:jc w:val="right"/>
              <w:rPr>
                <w:sz w:val="16"/>
                <w:szCs w:val="16"/>
              </w:rPr>
            </w:pPr>
            <w:r w:rsidRPr="00BD77D8">
              <w:rPr>
                <w:sz w:val="16"/>
                <w:szCs w:val="16"/>
              </w:rPr>
              <w:t xml:space="preserve">         11,701 </w:t>
            </w:r>
          </w:p>
        </w:tc>
        <w:tc>
          <w:tcPr>
            <w:tcW w:w="1129" w:type="dxa"/>
            <w:tcBorders>
              <w:top w:val="nil"/>
              <w:left w:val="nil"/>
              <w:bottom w:val="nil"/>
              <w:right w:val="nil"/>
            </w:tcBorders>
            <w:shd w:val="clear" w:color="auto" w:fill="auto"/>
            <w:vAlign w:val="bottom"/>
            <w:hideMark/>
          </w:tcPr>
          <w:p w14:paraId="5FFE3BA4" w14:textId="77777777" w:rsidR="00B9311E" w:rsidRPr="00BD77D8" w:rsidRDefault="00B9311E" w:rsidP="00B9311E">
            <w:pPr>
              <w:spacing w:after="0" w:line="240" w:lineRule="auto"/>
              <w:jc w:val="right"/>
              <w:rPr>
                <w:sz w:val="16"/>
                <w:szCs w:val="16"/>
              </w:rPr>
            </w:pPr>
            <w:r w:rsidRPr="00BD77D8">
              <w:rPr>
                <w:sz w:val="16"/>
                <w:szCs w:val="16"/>
              </w:rPr>
              <w:t xml:space="preserve">          64,832 </w:t>
            </w:r>
          </w:p>
        </w:tc>
        <w:tc>
          <w:tcPr>
            <w:tcW w:w="1130" w:type="dxa"/>
            <w:tcBorders>
              <w:top w:val="nil"/>
              <w:left w:val="nil"/>
              <w:bottom w:val="nil"/>
              <w:right w:val="nil"/>
            </w:tcBorders>
            <w:shd w:val="clear" w:color="auto" w:fill="auto"/>
            <w:vAlign w:val="bottom"/>
            <w:hideMark/>
          </w:tcPr>
          <w:p w14:paraId="3742E02A" w14:textId="77777777" w:rsidR="00B9311E" w:rsidRPr="00BD77D8" w:rsidRDefault="00B9311E" w:rsidP="00B9311E">
            <w:pPr>
              <w:spacing w:after="0" w:line="240" w:lineRule="auto"/>
              <w:jc w:val="right"/>
              <w:rPr>
                <w:b/>
                <w:bCs/>
                <w:sz w:val="16"/>
                <w:szCs w:val="16"/>
              </w:rPr>
            </w:pPr>
            <w:r w:rsidRPr="00BD77D8">
              <w:rPr>
                <w:b/>
                <w:bCs/>
                <w:sz w:val="16"/>
                <w:szCs w:val="16"/>
              </w:rPr>
              <w:t xml:space="preserve">           28,031 </w:t>
            </w:r>
          </w:p>
        </w:tc>
        <w:tc>
          <w:tcPr>
            <w:tcW w:w="1263" w:type="dxa"/>
            <w:tcBorders>
              <w:top w:val="nil"/>
              <w:left w:val="nil"/>
              <w:bottom w:val="nil"/>
              <w:right w:val="nil"/>
            </w:tcBorders>
            <w:shd w:val="clear" w:color="auto" w:fill="auto"/>
            <w:vAlign w:val="bottom"/>
            <w:hideMark/>
          </w:tcPr>
          <w:p w14:paraId="1B9E8014" w14:textId="77777777" w:rsidR="00B9311E" w:rsidRPr="00BD77D8" w:rsidRDefault="00B9311E" w:rsidP="00B9311E">
            <w:pPr>
              <w:spacing w:after="0" w:line="240" w:lineRule="auto"/>
              <w:jc w:val="right"/>
              <w:rPr>
                <w:sz w:val="16"/>
                <w:szCs w:val="16"/>
              </w:rPr>
            </w:pPr>
            <w:r w:rsidRPr="00BD77D8">
              <w:rPr>
                <w:sz w:val="16"/>
                <w:szCs w:val="16"/>
              </w:rPr>
              <w:t xml:space="preserve">            16,236 </w:t>
            </w:r>
          </w:p>
        </w:tc>
        <w:tc>
          <w:tcPr>
            <w:tcW w:w="1134" w:type="dxa"/>
            <w:tcBorders>
              <w:top w:val="nil"/>
              <w:left w:val="nil"/>
              <w:bottom w:val="nil"/>
              <w:right w:val="nil"/>
            </w:tcBorders>
            <w:shd w:val="clear" w:color="auto" w:fill="auto"/>
            <w:vAlign w:val="bottom"/>
            <w:hideMark/>
          </w:tcPr>
          <w:p w14:paraId="2AA44A6C" w14:textId="77777777" w:rsidR="00B9311E" w:rsidRPr="00BD77D8" w:rsidRDefault="00B9311E" w:rsidP="00B9311E">
            <w:pPr>
              <w:spacing w:after="0" w:line="240" w:lineRule="auto"/>
              <w:jc w:val="right"/>
              <w:rPr>
                <w:b/>
                <w:bCs/>
                <w:sz w:val="16"/>
                <w:szCs w:val="16"/>
              </w:rPr>
            </w:pPr>
            <w:r w:rsidRPr="00BD77D8">
              <w:rPr>
                <w:b/>
                <w:bCs/>
                <w:sz w:val="16"/>
                <w:szCs w:val="16"/>
              </w:rPr>
              <w:t xml:space="preserve">           34,164 </w:t>
            </w:r>
          </w:p>
        </w:tc>
        <w:tc>
          <w:tcPr>
            <w:tcW w:w="1135" w:type="dxa"/>
            <w:tcBorders>
              <w:top w:val="nil"/>
              <w:left w:val="nil"/>
              <w:bottom w:val="nil"/>
              <w:right w:val="nil"/>
            </w:tcBorders>
            <w:shd w:val="clear" w:color="auto" w:fill="auto"/>
            <w:vAlign w:val="bottom"/>
            <w:hideMark/>
          </w:tcPr>
          <w:p w14:paraId="7BC7CBD3" w14:textId="77777777" w:rsidR="00B9311E" w:rsidRPr="00BD77D8" w:rsidRDefault="00B9311E" w:rsidP="00B9311E">
            <w:pPr>
              <w:spacing w:after="0" w:line="240" w:lineRule="auto"/>
              <w:jc w:val="right"/>
              <w:rPr>
                <w:sz w:val="16"/>
                <w:szCs w:val="16"/>
              </w:rPr>
            </w:pPr>
            <w:r w:rsidRPr="00BD77D8">
              <w:rPr>
                <w:sz w:val="16"/>
                <w:szCs w:val="16"/>
              </w:rPr>
              <w:t xml:space="preserve">            16,842 </w:t>
            </w:r>
          </w:p>
        </w:tc>
        <w:tc>
          <w:tcPr>
            <w:tcW w:w="1015" w:type="dxa"/>
            <w:tcBorders>
              <w:top w:val="nil"/>
              <w:left w:val="nil"/>
              <w:bottom w:val="nil"/>
              <w:right w:val="nil"/>
            </w:tcBorders>
            <w:shd w:val="clear" w:color="auto" w:fill="auto"/>
            <w:vAlign w:val="bottom"/>
            <w:hideMark/>
          </w:tcPr>
          <w:p w14:paraId="3AE35F81" w14:textId="77777777" w:rsidR="00B9311E" w:rsidRPr="00BD77D8" w:rsidRDefault="00B9311E" w:rsidP="00B9311E">
            <w:pPr>
              <w:spacing w:after="0" w:line="240" w:lineRule="auto"/>
              <w:jc w:val="right"/>
              <w:rPr>
                <w:b/>
                <w:bCs/>
                <w:sz w:val="16"/>
                <w:szCs w:val="16"/>
              </w:rPr>
            </w:pPr>
            <w:r w:rsidRPr="00BD77D8">
              <w:rPr>
                <w:b/>
                <w:bCs/>
                <w:sz w:val="16"/>
                <w:szCs w:val="16"/>
              </w:rPr>
              <w:t xml:space="preserve">      282,968 </w:t>
            </w:r>
          </w:p>
        </w:tc>
        <w:tc>
          <w:tcPr>
            <w:tcW w:w="1070" w:type="dxa"/>
            <w:tcBorders>
              <w:top w:val="nil"/>
              <w:left w:val="nil"/>
              <w:bottom w:val="nil"/>
              <w:right w:val="nil"/>
            </w:tcBorders>
            <w:shd w:val="clear" w:color="auto" w:fill="auto"/>
            <w:vAlign w:val="bottom"/>
            <w:hideMark/>
          </w:tcPr>
          <w:p w14:paraId="3FD3A976" w14:textId="77777777" w:rsidR="00B9311E" w:rsidRPr="00BD77D8" w:rsidRDefault="00B9311E" w:rsidP="00B9311E">
            <w:pPr>
              <w:spacing w:after="0" w:line="240" w:lineRule="auto"/>
              <w:jc w:val="right"/>
              <w:rPr>
                <w:sz w:val="16"/>
                <w:szCs w:val="16"/>
              </w:rPr>
            </w:pPr>
            <w:r w:rsidRPr="00BD77D8">
              <w:rPr>
                <w:sz w:val="16"/>
                <w:szCs w:val="16"/>
              </w:rPr>
              <w:t xml:space="preserve">      320,736 </w:t>
            </w:r>
          </w:p>
        </w:tc>
      </w:tr>
      <w:tr w:rsidR="00BD77D8" w:rsidRPr="00BD77D8" w14:paraId="7893ABB9" w14:textId="77777777" w:rsidTr="003057FB">
        <w:trPr>
          <w:trHeight w:val="285"/>
        </w:trPr>
        <w:tc>
          <w:tcPr>
            <w:tcW w:w="3655" w:type="dxa"/>
            <w:tcBorders>
              <w:top w:val="nil"/>
              <w:left w:val="nil"/>
              <w:bottom w:val="nil"/>
              <w:right w:val="nil"/>
            </w:tcBorders>
            <w:shd w:val="clear" w:color="auto" w:fill="auto"/>
            <w:noWrap/>
            <w:vAlign w:val="bottom"/>
            <w:hideMark/>
          </w:tcPr>
          <w:p w14:paraId="7447773A"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User Charges and fees </w:t>
            </w:r>
          </w:p>
        </w:tc>
        <w:tc>
          <w:tcPr>
            <w:tcW w:w="994" w:type="dxa"/>
            <w:tcBorders>
              <w:top w:val="nil"/>
              <w:left w:val="nil"/>
              <w:bottom w:val="nil"/>
              <w:right w:val="nil"/>
            </w:tcBorders>
            <w:shd w:val="clear" w:color="auto" w:fill="auto"/>
            <w:vAlign w:val="bottom"/>
            <w:hideMark/>
          </w:tcPr>
          <w:p w14:paraId="74B5DDCF" w14:textId="77777777" w:rsidR="00B9311E" w:rsidRPr="00BD77D8" w:rsidRDefault="00B9311E" w:rsidP="00B9311E">
            <w:pPr>
              <w:spacing w:after="0" w:line="240" w:lineRule="auto"/>
              <w:jc w:val="right"/>
              <w:rPr>
                <w:b/>
                <w:bCs/>
                <w:sz w:val="16"/>
                <w:szCs w:val="16"/>
              </w:rPr>
            </w:pPr>
            <w:r w:rsidRPr="00BD77D8">
              <w:rPr>
                <w:b/>
                <w:bCs/>
                <w:sz w:val="16"/>
                <w:szCs w:val="16"/>
              </w:rPr>
              <w:t xml:space="preserve">       10,280 </w:t>
            </w:r>
          </w:p>
        </w:tc>
        <w:tc>
          <w:tcPr>
            <w:tcW w:w="991" w:type="dxa"/>
            <w:tcBorders>
              <w:top w:val="nil"/>
              <w:left w:val="nil"/>
              <w:bottom w:val="nil"/>
              <w:right w:val="nil"/>
            </w:tcBorders>
            <w:shd w:val="clear" w:color="auto" w:fill="auto"/>
            <w:vAlign w:val="bottom"/>
            <w:hideMark/>
          </w:tcPr>
          <w:p w14:paraId="000B4437" w14:textId="77777777" w:rsidR="00B9311E" w:rsidRPr="00BD77D8" w:rsidRDefault="00B9311E" w:rsidP="00B9311E">
            <w:pPr>
              <w:spacing w:after="0" w:line="240" w:lineRule="auto"/>
              <w:jc w:val="right"/>
              <w:rPr>
                <w:sz w:val="16"/>
                <w:szCs w:val="16"/>
              </w:rPr>
            </w:pPr>
            <w:r w:rsidRPr="00BD77D8">
              <w:rPr>
                <w:sz w:val="16"/>
                <w:szCs w:val="16"/>
              </w:rPr>
              <w:t xml:space="preserve">          7,826 </w:t>
            </w:r>
          </w:p>
        </w:tc>
        <w:tc>
          <w:tcPr>
            <w:tcW w:w="854" w:type="dxa"/>
            <w:tcBorders>
              <w:top w:val="nil"/>
              <w:left w:val="nil"/>
              <w:bottom w:val="nil"/>
              <w:right w:val="nil"/>
            </w:tcBorders>
            <w:shd w:val="clear" w:color="auto" w:fill="auto"/>
            <w:vAlign w:val="bottom"/>
            <w:hideMark/>
          </w:tcPr>
          <w:p w14:paraId="4B44A8C1"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4" w:type="dxa"/>
            <w:tcBorders>
              <w:top w:val="nil"/>
              <w:left w:val="nil"/>
              <w:bottom w:val="nil"/>
              <w:right w:val="nil"/>
            </w:tcBorders>
            <w:shd w:val="clear" w:color="auto" w:fill="auto"/>
            <w:vAlign w:val="bottom"/>
            <w:hideMark/>
          </w:tcPr>
          <w:p w14:paraId="240AC57D"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4C471790" w14:textId="77777777" w:rsidR="00B9311E" w:rsidRPr="00BD77D8" w:rsidRDefault="00B9311E" w:rsidP="00B9311E">
            <w:pPr>
              <w:spacing w:after="0" w:line="240" w:lineRule="auto"/>
              <w:jc w:val="right"/>
              <w:rPr>
                <w:sz w:val="16"/>
                <w:szCs w:val="16"/>
              </w:rPr>
            </w:pPr>
            <w:r w:rsidRPr="00BD77D8">
              <w:rPr>
                <w:sz w:val="16"/>
                <w:szCs w:val="16"/>
              </w:rPr>
              <w:t xml:space="preserve">            2,341 </w:t>
            </w:r>
          </w:p>
        </w:tc>
        <w:tc>
          <w:tcPr>
            <w:tcW w:w="1130" w:type="dxa"/>
            <w:tcBorders>
              <w:top w:val="nil"/>
              <w:left w:val="nil"/>
              <w:bottom w:val="nil"/>
              <w:right w:val="nil"/>
            </w:tcBorders>
            <w:shd w:val="clear" w:color="auto" w:fill="auto"/>
            <w:vAlign w:val="bottom"/>
            <w:hideMark/>
          </w:tcPr>
          <w:p w14:paraId="5E5FD045" w14:textId="77777777" w:rsidR="00B9311E" w:rsidRPr="00BD77D8" w:rsidRDefault="00B9311E" w:rsidP="00B9311E">
            <w:pPr>
              <w:spacing w:after="0" w:line="240" w:lineRule="auto"/>
              <w:jc w:val="right"/>
              <w:rPr>
                <w:b/>
                <w:bCs/>
                <w:sz w:val="16"/>
                <w:szCs w:val="16"/>
              </w:rPr>
            </w:pPr>
            <w:r w:rsidRPr="00BD77D8">
              <w:rPr>
                <w:b/>
                <w:bCs/>
                <w:sz w:val="16"/>
                <w:szCs w:val="16"/>
              </w:rPr>
              <w:t xml:space="preserve">                  17 </w:t>
            </w:r>
          </w:p>
        </w:tc>
        <w:tc>
          <w:tcPr>
            <w:tcW w:w="1263" w:type="dxa"/>
            <w:tcBorders>
              <w:top w:val="nil"/>
              <w:left w:val="nil"/>
              <w:bottom w:val="nil"/>
              <w:right w:val="nil"/>
            </w:tcBorders>
            <w:shd w:val="clear" w:color="auto" w:fill="auto"/>
            <w:vAlign w:val="bottom"/>
            <w:hideMark/>
          </w:tcPr>
          <w:p w14:paraId="1CC5C28E" w14:textId="77777777" w:rsidR="00B9311E" w:rsidRPr="00BD77D8" w:rsidRDefault="00B9311E" w:rsidP="00B9311E">
            <w:pPr>
              <w:spacing w:after="0" w:line="240" w:lineRule="auto"/>
              <w:jc w:val="right"/>
              <w:rPr>
                <w:sz w:val="16"/>
                <w:szCs w:val="16"/>
              </w:rPr>
            </w:pPr>
            <w:r w:rsidRPr="00BD77D8">
              <w:rPr>
                <w:sz w:val="16"/>
                <w:szCs w:val="16"/>
              </w:rPr>
              <w:t xml:space="preserve">                     5 </w:t>
            </w:r>
          </w:p>
        </w:tc>
        <w:tc>
          <w:tcPr>
            <w:tcW w:w="1134" w:type="dxa"/>
            <w:tcBorders>
              <w:top w:val="nil"/>
              <w:left w:val="nil"/>
              <w:bottom w:val="nil"/>
              <w:right w:val="nil"/>
            </w:tcBorders>
            <w:shd w:val="clear" w:color="auto" w:fill="auto"/>
            <w:vAlign w:val="bottom"/>
            <w:hideMark/>
          </w:tcPr>
          <w:p w14:paraId="69C5931B" w14:textId="77777777" w:rsidR="00B9311E" w:rsidRPr="00BD77D8" w:rsidRDefault="00B9311E" w:rsidP="00B9311E">
            <w:pPr>
              <w:spacing w:after="0" w:line="240" w:lineRule="auto"/>
              <w:jc w:val="right"/>
              <w:rPr>
                <w:b/>
                <w:bCs/>
                <w:sz w:val="16"/>
                <w:szCs w:val="16"/>
              </w:rPr>
            </w:pPr>
            <w:r w:rsidRPr="00BD77D8">
              <w:rPr>
                <w:b/>
                <w:bCs/>
                <w:sz w:val="16"/>
                <w:szCs w:val="16"/>
              </w:rPr>
              <w:t xml:space="preserve">                115 </w:t>
            </w:r>
          </w:p>
        </w:tc>
        <w:tc>
          <w:tcPr>
            <w:tcW w:w="1135" w:type="dxa"/>
            <w:tcBorders>
              <w:top w:val="nil"/>
              <w:left w:val="nil"/>
              <w:bottom w:val="nil"/>
              <w:right w:val="nil"/>
            </w:tcBorders>
            <w:shd w:val="clear" w:color="auto" w:fill="auto"/>
            <w:vAlign w:val="bottom"/>
            <w:hideMark/>
          </w:tcPr>
          <w:p w14:paraId="5BA964A0" w14:textId="77777777" w:rsidR="00B9311E" w:rsidRPr="00BD77D8" w:rsidRDefault="00B9311E" w:rsidP="00B9311E">
            <w:pPr>
              <w:spacing w:after="0" w:line="240" w:lineRule="auto"/>
              <w:jc w:val="right"/>
              <w:rPr>
                <w:sz w:val="16"/>
                <w:szCs w:val="16"/>
              </w:rPr>
            </w:pPr>
            <w:r w:rsidRPr="00BD77D8">
              <w:rPr>
                <w:sz w:val="16"/>
                <w:szCs w:val="16"/>
              </w:rPr>
              <w:t xml:space="preserve">                     6 </w:t>
            </w:r>
          </w:p>
        </w:tc>
        <w:tc>
          <w:tcPr>
            <w:tcW w:w="1015" w:type="dxa"/>
            <w:tcBorders>
              <w:top w:val="nil"/>
              <w:left w:val="nil"/>
              <w:bottom w:val="nil"/>
              <w:right w:val="nil"/>
            </w:tcBorders>
            <w:shd w:val="clear" w:color="auto" w:fill="auto"/>
            <w:vAlign w:val="bottom"/>
            <w:hideMark/>
          </w:tcPr>
          <w:p w14:paraId="0C862499" w14:textId="77777777" w:rsidR="00B9311E" w:rsidRPr="00BD77D8" w:rsidRDefault="00B9311E" w:rsidP="00B9311E">
            <w:pPr>
              <w:spacing w:after="0" w:line="240" w:lineRule="auto"/>
              <w:jc w:val="right"/>
              <w:rPr>
                <w:b/>
                <w:bCs/>
                <w:sz w:val="16"/>
                <w:szCs w:val="16"/>
              </w:rPr>
            </w:pPr>
            <w:r w:rsidRPr="00BD77D8">
              <w:rPr>
                <w:b/>
                <w:bCs/>
                <w:sz w:val="16"/>
                <w:szCs w:val="16"/>
              </w:rPr>
              <w:t xml:space="preserve">        10,412 </w:t>
            </w:r>
          </w:p>
        </w:tc>
        <w:tc>
          <w:tcPr>
            <w:tcW w:w="1070" w:type="dxa"/>
            <w:tcBorders>
              <w:top w:val="nil"/>
              <w:left w:val="nil"/>
              <w:bottom w:val="nil"/>
              <w:right w:val="nil"/>
            </w:tcBorders>
            <w:shd w:val="clear" w:color="auto" w:fill="auto"/>
            <w:vAlign w:val="bottom"/>
            <w:hideMark/>
          </w:tcPr>
          <w:p w14:paraId="1136A63A" w14:textId="77777777" w:rsidR="00B9311E" w:rsidRPr="00BD77D8" w:rsidRDefault="00B9311E" w:rsidP="00B9311E">
            <w:pPr>
              <w:spacing w:after="0" w:line="240" w:lineRule="auto"/>
              <w:jc w:val="right"/>
              <w:rPr>
                <w:sz w:val="16"/>
                <w:szCs w:val="16"/>
              </w:rPr>
            </w:pPr>
            <w:r w:rsidRPr="00BD77D8">
              <w:rPr>
                <w:sz w:val="16"/>
                <w:szCs w:val="16"/>
              </w:rPr>
              <w:t xml:space="preserve">        10,178 </w:t>
            </w:r>
          </w:p>
        </w:tc>
      </w:tr>
      <w:tr w:rsidR="00BD77D8" w:rsidRPr="00BD77D8" w14:paraId="6C175457" w14:textId="77777777" w:rsidTr="003057FB">
        <w:trPr>
          <w:trHeight w:val="285"/>
        </w:trPr>
        <w:tc>
          <w:tcPr>
            <w:tcW w:w="3655" w:type="dxa"/>
            <w:tcBorders>
              <w:top w:val="nil"/>
              <w:left w:val="nil"/>
              <w:bottom w:val="nil"/>
              <w:right w:val="nil"/>
            </w:tcBorders>
            <w:shd w:val="clear" w:color="auto" w:fill="auto"/>
            <w:noWrap/>
            <w:vAlign w:val="bottom"/>
            <w:hideMark/>
          </w:tcPr>
          <w:p w14:paraId="542FE24D"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Grants and Other Contributions </w:t>
            </w:r>
          </w:p>
        </w:tc>
        <w:tc>
          <w:tcPr>
            <w:tcW w:w="994" w:type="dxa"/>
            <w:tcBorders>
              <w:top w:val="nil"/>
              <w:left w:val="nil"/>
              <w:bottom w:val="nil"/>
              <w:right w:val="nil"/>
            </w:tcBorders>
            <w:shd w:val="clear" w:color="auto" w:fill="auto"/>
            <w:vAlign w:val="bottom"/>
            <w:hideMark/>
          </w:tcPr>
          <w:p w14:paraId="4C0974D2" w14:textId="77777777" w:rsidR="00B9311E" w:rsidRPr="00BD77D8" w:rsidRDefault="00B9311E" w:rsidP="00B9311E">
            <w:pPr>
              <w:spacing w:after="0" w:line="240" w:lineRule="auto"/>
              <w:jc w:val="right"/>
              <w:rPr>
                <w:b/>
                <w:bCs/>
                <w:sz w:val="16"/>
                <w:szCs w:val="16"/>
              </w:rPr>
            </w:pPr>
            <w:r w:rsidRPr="00BD77D8">
              <w:rPr>
                <w:b/>
                <w:bCs/>
                <w:sz w:val="16"/>
                <w:szCs w:val="16"/>
              </w:rPr>
              <w:t xml:space="preserve">       10,206 </w:t>
            </w:r>
          </w:p>
        </w:tc>
        <w:tc>
          <w:tcPr>
            <w:tcW w:w="991" w:type="dxa"/>
            <w:tcBorders>
              <w:top w:val="nil"/>
              <w:left w:val="nil"/>
              <w:bottom w:val="nil"/>
              <w:right w:val="nil"/>
            </w:tcBorders>
            <w:shd w:val="clear" w:color="auto" w:fill="auto"/>
            <w:vAlign w:val="bottom"/>
            <w:hideMark/>
          </w:tcPr>
          <w:p w14:paraId="21D375C1" w14:textId="77777777" w:rsidR="00B9311E" w:rsidRPr="00BD77D8" w:rsidRDefault="00B9311E" w:rsidP="00B9311E">
            <w:pPr>
              <w:spacing w:after="0" w:line="240" w:lineRule="auto"/>
              <w:jc w:val="right"/>
              <w:rPr>
                <w:sz w:val="16"/>
                <w:szCs w:val="16"/>
              </w:rPr>
            </w:pPr>
            <w:r w:rsidRPr="00BD77D8">
              <w:rPr>
                <w:sz w:val="16"/>
                <w:szCs w:val="16"/>
              </w:rPr>
              <w:t xml:space="preserve">        11,469 </w:t>
            </w:r>
          </w:p>
        </w:tc>
        <w:tc>
          <w:tcPr>
            <w:tcW w:w="854" w:type="dxa"/>
            <w:tcBorders>
              <w:top w:val="nil"/>
              <w:left w:val="nil"/>
              <w:bottom w:val="nil"/>
              <w:right w:val="nil"/>
            </w:tcBorders>
            <w:shd w:val="clear" w:color="auto" w:fill="auto"/>
            <w:vAlign w:val="bottom"/>
            <w:hideMark/>
          </w:tcPr>
          <w:p w14:paraId="4859424E"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4" w:type="dxa"/>
            <w:tcBorders>
              <w:top w:val="nil"/>
              <w:left w:val="nil"/>
              <w:bottom w:val="nil"/>
              <w:right w:val="nil"/>
            </w:tcBorders>
            <w:shd w:val="clear" w:color="auto" w:fill="auto"/>
            <w:vAlign w:val="bottom"/>
            <w:hideMark/>
          </w:tcPr>
          <w:p w14:paraId="23519855"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0C4DC13C" w14:textId="77777777" w:rsidR="00B9311E" w:rsidRPr="00BD77D8" w:rsidRDefault="00B9311E" w:rsidP="00B9311E">
            <w:pPr>
              <w:spacing w:after="0" w:line="240" w:lineRule="auto"/>
              <w:jc w:val="right"/>
              <w:rPr>
                <w:sz w:val="16"/>
                <w:szCs w:val="16"/>
              </w:rPr>
            </w:pPr>
            <w:r w:rsidRPr="00BD77D8">
              <w:rPr>
                <w:sz w:val="16"/>
                <w:szCs w:val="16"/>
              </w:rPr>
              <w:t xml:space="preserve">            1,460 </w:t>
            </w:r>
          </w:p>
        </w:tc>
        <w:tc>
          <w:tcPr>
            <w:tcW w:w="1130" w:type="dxa"/>
            <w:tcBorders>
              <w:top w:val="nil"/>
              <w:left w:val="nil"/>
              <w:bottom w:val="nil"/>
              <w:right w:val="nil"/>
            </w:tcBorders>
            <w:shd w:val="clear" w:color="auto" w:fill="auto"/>
            <w:vAlign w:val="bottom"/>
            <w:hideMark/>
          </w:tcPr>
          <w:p w14:paraId="1DFAD1CC" w14:textId="77777777" w:rsidR="00B9311E" w:rsidRPr="00BD77D8" w:rsidRDefault="00B9311E" w:rsidP="00B9311E">
            <w:pPr>
              <w:spacing w:after="0" w:line="240" w:lineRule="auto"/>
              <w:jc w:val="right"/>
              <w:rPr>
                <w:b/>
                <w:bCs/>
                <w:sz w:val="16"/>
                <w:szCs w:val="16"/>
              </w:rPr>
            </w:pPr>
            <w:r w:rsidRPr="00BD77D8">
              <w:rPr>
                <w:b/>
                <w:bCs/>
                <w:sz w:val="16"/>
                <w:szCs w:val="16"/>
              </w:rPr>
              <w:t xml:space="preserve">                320 </w:t>
            </w:r>
          </w:p>
        </w:tc>
        <w:tc>
          <w:tcPr>
            <w:tcW w:w="1263" w:type="dxa"/>
            <w:tcBorders>
              <w:top w:val="nil"/>
              <w:left w:val="nil"/>
              <w:bottom w:val="nil"/>
              <w:right w:val="nil"/>
            </w:tcBorders>
            <w:shd w:val="clear" w:color="auto" w:fill="auto"/>
            <w:vAlign w:val="bottom"/>
            <w:hideMark/>
          </w:tcPr>
          <w:p w14:paraId="3A4F3F06" w14:textId="77777777" w:rsidR="00B9311E" w:rsidRPr="00BD77D8" w:rsidRDefault="00B9311E" w:rsidP="00B9311E">
            <w:pPr>
              <w:spacing w:after="0" w:line="240" w:lineRule="auto"/>
              <w:jc w:val="right"/>
              <w:rPr>
                <w:sz w:val="16"/>
                <w:szCs w:val="16"/>
              </w:rPr>
            </w:pPr>
            <w:r w:rsidRPr="00BD77D8">
              <w:rPr>
                <w:sz w:val="16"/>
                <w:szCs w:val="16"/>
              </w:rPr>
              <w:t xml:space="preserve">                   93 </w:t>
            </w:r>
          </w:p>
        </w:tc>
        <w:tc>
          <w:tcPr>
            <w:tcW w:w="1134" w:type="dxa"/>
            <w:tcBorders>
              <w:top w:val="nil"/>
              <w:left w:val="nil"/>
              <w:bottom w:val="nil"/>
              <w:right w:val="nil"/>
            </w:tcBorders>
            <w:shd w:val="clear" w:color="auto" w:fill="auto"/>
            <w:vAlign w:val="bottom"/>
            <w:hideMark/>
          </w:tcPr>
          <w:p w14:paraId="0D31A0B3" w14:textId="77777777" w:rsidR="00B9311E" w:rsidRPr="00BD77D8" w:rsidRDefault="00B9311E" w:rsidP="00B9311E">
            <w:pPr>
              <w:spacing w:after="0" w:line="240" w:lineRule="auto"/>
              <w:jc w:val="right"/>
              <w:rPr>
                <w:b/>
                <w:bCs/>
                <w:sz w:val="16"/>
                <w:szCs w:val="16"/>
              </w:rPr>
            </w:pPr>
            <w:r w:rsidRPr="00BD77D8">
              <w:rPr>
                <w:b/>
                <w:bCs/>
                <w:sz w:val="16"/>
                <w:szCs w:val="16"/>
              </w:rPr>
              <w:t xml:space="preserve">                683 </w:t>
            </w:r>
          </w:p>
        </w:tc>
        <w:tc>
          <w:tcPr>
            <w:tcW w:w="1135" w:type="dxa"/>
            <w:tcBorders>
              <w:top w:val="nil"/>
              <w:left w:val="nil"/>
              <w:bottom w:val="nil"/>
              <w:right w:val="nil"/>
            </w:tcBorders>
            <w:shd w:val="clear" w:color="auto" w:fill="auto"/>
            <w:vAlign w:val="bottom"/>
            <w:hideMark/>
          </w:tcPr>
          <w:p w14:paraId="43EEAC7F" w14:textId="77777777" w:rsidR="00B9311E" w:rsidRPr="00BD77D8" w:rsidRDefault="00B9311E" w:rsidP="00B9311E">
            <w:pPr>
              <w:spacing w:after="0" w:line="240" w:lineRule="auto"/>
              <w:jc w:val="right"/>
              <w:rPr>
                <w:sz w:val="16"/>
                <w:szCs w:val="16"/>
              </w:rPr>
            </w:pPr>
            <w:r w:rsidRPr="00BD77D8">
              <w:rPr>
                <w:sz w:val="16"/>
                <w:szCs w:val="16"/>
              </w:rPr>
              <w:t xml:space="preserve">                 467 </w:t>
            </w:r>
          </w:p>
        </w:tc>
        <w:tc>
          <w:tcPr>
            <w:tcW w:w="1015" w:type="dxa"/>
            <w:tcBorders>
              <w:top w:val="nil"/>
              <w:left w:val="nil"/>
              <w:bottom w:val="nil"/>
              <w:right w:val="nil"/>
            </w:tcBorders>
            <w:shd w:val="clear" w:color="auto" w:fill="auto"/>
            <w:vAlign w:val="bottom"/>
            <w:hideMark/>
          </w:tcPr>
          <w:p w14:paraId="365C6A31" w14:textId="77777777" w:rsidR="00B9311E" w:rsidRPr="00BD77D8" w:rsidRDefault="00B9311E" w:rsidP="00B9311E">
            <w:pPr>
              <w:spacing w:after="0" w:line="240" w:lineRule="auto"/>
              <w:jc w:val="right"/>
              <w:rPr>
                <w:b/>
                <w:bCs/>
                <w:sz w:val="16"/>
                <w:szCs w:val="16"/>
              </w:rPr>
            </w:pPr>
            <w:r w:rsidRPr="00BD77D8">
              <w:rPr>
                <w:b/>
                <w:bCs/>
                <w:sz w:val="16"/>
                <w:szCs w:val="16"/>
              </w:rPr>
              <w:t xml:space="preserve">        11,209 </w:t>
            </w:r>
          </w:p>
        </w:tc>
        <w:tc>
          <w:tcPr>
            <w:tcW w:w="1070" w:type="dxa"/>
            <w:tcBorders>
              <w:top w:val="nil"/>
              <w:left w:val="nil"/>
              <w:bottom w:val="nil"/>
              <w:right w:val="nil"/>
            </w:tcBorders>
            <w:shd w:val="clear" w:color="auto" w:fill="auto"/>
            <w:vAlign w:val="bottom"/>
            <w:hideMark/>
          </w:tcPr>
          <w:p w14:paraId="12629C6A" w14:textId="77777777" w:rsidR="00B9311E" w:rsidRPr="00BD77D8" w:rsidRDefault="00B9311E" w:rsidP="00B9311E">
            <w:pPr>
              <w:spacing w:after="0" w:line="240" w:lineRule="auto"/>
              <w:jc w:val="right"/>
              <w:rPr>
                <w:sz w:val="16"/>
                <w:szCs w:val="16"/>
              </w:rPr>
            </w:pPr>
            <w:r w:rsidRPr="00BD77D8">
              <w:rPr>
                <w:sz w:val="16"/>
                <w:szCs w:val="16"/>
              </w:rPr>
              <w:t xml:space="preserve">        13,489 </w:t>
            </w:r>
          </w:p>
        </w:tc>
      </w:tr>
      <w:tr w:rsidR="00BD77D8" w:rsidRPr="00BD77D8" w14:paraId="5A147D44" w14:textId="77777777" w:rsidTr="003057FB">
        <w:trPr>
          <w:trHeight w:val="285"/>
        </w:trPr>
        <w:tc>
          <w:tcPr>
            <w:tcW w:w="3655" w:type="dxa"/>
            <w:tcBorders>
              <w:top w:val="nil"/>
              <w:left w:val="nil"/>
              <w:bottom w:val="nil"/>
              <w:right w:val="nil"/>
            </w:tcBorders>
            <w:shd w:val="clear" w:color="auto" w:fill="auto"/>
            <w:noWrap/>
            <w:vAlign w:val="bottom"/>
            <w:hideMark/>
          </w:tcPr>
          <w:p w14:paraId="560B7288"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Interest </w:t>
            </w:r>
          </w:p>
        </w:tc>
        <w:tc>
          <w:tcPr>
            <w:tcW w:w="994" w:type="dxa"/>
            <w:tcBorders>
              <w:top w:val="nil"/>
              <w:left w:val="nil"/>
              <w:bottom w:val="nil"/>
              <w:right w:val="nil"/>
            </w:tcBorders>
            <w:shd w:val="clear" w:color="auto" w:fill="auto"/>
            <w:vAlign w:val="bottom"/>
            <w:hideMark/>
          </w:tcPr>
          <w:p w14:paraId="1035BF06"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1" w:type="dxa"/>
            <w:tcBorders>
              <w:top w:val="nil"/>
              <w:left w:val="nil"/>
              <w:bottom w:val="nil"/>
              <w:right w:val="nil"/>
            </w:tcBorders>
            <w:shd w:val="clear" w:color="auto" w:fill="auto"/>
            <w:vAlign w:val="bottom"/>
            <w:hideMark/>
          </w:tcPr>
          <w:p w14:paraId="78EE0711" w14:textId="77777777" w:rsidR="00B9311E" w:rsidRPr="00BD77D8" w:rsidRDefault="00B9311E" w:rsidP="00B9311E">
            <w:pPr>
              <w:spacing w:after="0" w:line="240" w:lineRule="auto"/>
              <w:jc w:val="right"/>
              <w:rPr>
                <w:sz w:val="16"/>
                <w:szCs w:val="16"/>
              </w:rPr>
            </w:pPr>
            <w:r w:rsidRPr="00BD77D8">
              <w:rPr>
                <w:sz w:val="16"/>
                <w:szCs w:val="16"/>
              </w:rPr>
              <w:t xml:space="preserve">                 3 </w:t>
            </w:r>
          </w:p>
        </w:tc>
        <w:tc>
          <w:tcPr>
            <w:tcW w:w="854" w:type="dxa"/>
            <w:tcBorders>
              <w:top w:val="nil"/>
              <w:left w:val="nil"/>
              <w:bottom w:val="nil"/>
              <w:right w:val="nil"/>
            </w:tcBorders>
            <w:shd w:val="clear" w:color="auto" w:fill="auto"/>
            <w:vAlign w:val="bottom"/>
            <w:hideMark/>
          </w:tcPr>
          <w:p w14:paraId="5E9218BA"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4" w:type="dxa"/>
            <w:tcBorders>
              <w:top w:val="nil"/>
              <w:left w:val="nil"/>
              <w:bottom w:val="nil"/>
              <w:right w:val="nil"/>
            </w:tcBorders>
            <w:shd w:val="clear" w:color="auto" w:fill="auto"/>
            <w:vAlign w:val="bottom"/>
            <w:hideMark/>
          </w:tcPr>
          <w:p w14:paraId="25CB73A9"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0920D6F1"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nil"/>
              <w:left w:val="nil"/>
              <w:bottom w:val="nil"/>
              <w:right w:val="nil"/>
            </w:tcBorders>
            <w:shd w:val="clear" w:color="auto" w:fill="auto"/>
            <w:vAlign w:val="bottom"/>
            <w:hideMark/>
          </w:tcPr>
          <w:p w14:paraId="4BE28609"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263" w:type="dxa"/>
            <w:tcBorders>
              <w:top w:val="nil"/>
              <w:left w:val="nil"/>
              <w:bottom w:val="nil"/>
              <w:right w:val="nil"/>
            </w:tcBorders>
            <w:shd w:val="clear" w:color="auto" w:fill="auto"/>
            <w:vAlign w:val="bottom"/>
            <w:hideMark/>
          </w:tcPr>
          <w:p w14:paraId="4C3CE0BC"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4" w:type="dxa"/>
            <w:tcBorders>
              <w:top w:val="nil"/>
              <w:left w:val="nil"/>
              <w:bottom w:val="nil"/>
              <w:right w:val="nil"/>
            </w:tcBorders>
            <w:shd w:val="clear" w:color="auto" w:fill="auto"/>
            <w:vAlign w:val="bottom"/>
            <w:hideMark/>
          </w:tcPr>
          <w:p w14:paraId="5686617D"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135" w:type="dxa"/>
            <w:tcBorders>
              <w:top w:val="nil"/>
              <w:left w:val="nil"/>
              <w:bottom w:val="nil"/>
              <w:right w:val="nil"/>
            </w:tcBorders>
            <w:shd w:val="clear" w:color="auto" w:fill="auto"/>
            <w:vAlign w:val="bottom"/>
            <w:hideMark/>
          </w:tcPr>
          <w:p w14:paraId="7C56E667"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015" w:type="dxa"/>
            <w:tcBorders>
              <w:top w:val="nil"/>
              <w:left w:val="nil"/>
              <w:bottom w:val="nil"/>
              <w:right w:val="nil"/>
            </w:tcBorders>
            <w:shd w:val="clear" w:color="auto" w:fill="auto"/>
            <w:vAlign w:val="bottom"/>
            <w:hideMark/>
          </w:tcPr>
          <w:p w14:paraId="2CD1F022"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070" w:type="dxa"/>
            <w:tcBorders>
              <w:top w:val="nil"/>
              <w:left w:val="nil"/>
              <w:bottom w:val="nil"/>
              <w:right w:val="nil"/>
            </w:tcBorders>
            <w:shd w:val="clear" w:color="auto" w:fill="auto"/>
            <w:vAlign w:val="bottom"/>
            <w:hideMark/>
          </w:tcPr>
          <w:p w14:paraId="0CF625CA" w14:textId="77777777" w:rsidR="00B9311E" w:rsidRPr="00BD77D8" w:rsidRDefault="00B9311E" w:rsidP="00B9311E">
            <w:pPr>
              <w:spacing w:after="0" w:line="240" w:lineRule="auto"/>
              <w:jc w:val="right"/>
              <w:rPr>
                <w:sz w:val="16"/>
                <w:szCs w:val="16"/>
              </w:rPr>
            </w:pPr>
            <w:r w:rsidRPr="00BD77D8">
              <w:rPr>
                <w:sz w:val="16"/>
                <w:szCs w:val="16"/>
              </w:rPr>
              <w:t xml:space="preserve">                 3 </w:t>
            </w:r>
          </w:p>
        </w:tc>
      </w:tr>
      <w:tr w:rsidR="00BD77D8" w:rsidRPr="00BD77D8" w14:paraId="2FBA10E8" w14:textId="77777777" w:rsidTr="003057FB">
        <w:trPr>
          <w:trHeight w:val="285"/>
        </w:trPr>
        <w:tc>
          <w:tcPr>
            <w:tcW w:w="3655" w:type="dxa"/>
            <w:tcBorders>
              <w:top w:val="nil"/>
              <w:left w:val="nil"/>
              <w:bottom w:val="nil"/>
              <w:right w:val="nil"/>
            </w:tcBorders>
            <w:shd w:val="clear" w:color="auto" w:fill="auto"/>
            <w:noWrap/>
            <w:vAlign w:val="bottom"/>
            <w:hideMark/>
          </w:tcPr>
          <w:p w14:paraId="5F166D19"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Reversal of revaluation decrement </w:t>
            </w:r>
          </w:p>
        </w:tc>
        <w:tc>
          <w:tcPr>
            <w:tcW w:w="994" w:type="dxa"/>
            <w:tcBorders>
              <w:top w:val="nil"/>
              <w:left w:val="nil"/>
              <w:bottom w:val="nil"/>
              <w:right w:val="nil"/>
            </w:tcBorders>
            <w:shd w:val="clear" w:color="auto" w:fill="auto"/>
            <w:vAlign w:val="bottom"/>
            <w:hideMark/>
          </w:tcPr>
          <w:p w14:paraId="7A643849" w14:textId="77777777" w:rsidR="00B9311E" w:rsidRPr="00BD77D8" w:rsidRDefault="00B9311E" w:rsidP="00B9311E">
            <w:pPr>
              <w:spacing w:after="0" w:line="240" w:lineRule="auto"/>
              <w:jc w:val="right"/>
              <w:rPr>
                <w:b/>
                <w:bCs/>
                <w:sz w:val="16"/>
                <w:szCs w:val="16"/>
              </w:rPr>
            </w:pPr>
            <w:r w:rsidRPr="00BD77D8">
              <w:rPr>
                <w:b/>
                <w:bCs/>
                <w:sz w:val="16"/>
                <w:szCs w:val="16"/>
              </w:rPr>
              <w:t xml:space="preserve">       25,852 </w:t>
            </w:r>
          </w:p>
        </w:tc>
        <w:tc>
          <w:tcPr>
            <w:tcW w:w="991" w:type="dxa"/>
            <w:tcBorders>
              <w:top w:val="nil"/>
              <w:left w:val="nil"/>
              <w:bottom w:val="nil"/>
              <w:right w:val="nil"/>
            </w:tcBorders>
            <w:shd w:val="clear" w:color="auto" w:fill="auto"/>
            <w:vAlign w:val="bottom"/>
            <w:hideMark/>
          </w:tcPr>
          <w:p w14:paraId="71D05169" w14:textId="77777777" w:rsidR="00B9311E" w:rsidRPr="00BD77D8" w:rsidRDefault="00B9311E" w:rsidP="00B9311E">
            <w:pPr>
              <w:spacing w:after="0" w:line="240" w:lineRule="auto"/>
              <w:jc w:val="right"/>
              <w:rPr>
                <w:sz w:val="16"/>
                <w:szCs w:val="16"/>
              </w:rPr>
            </w:pPr>
            <w:r w:rsidRPr="00BD77D8">
              <w:rPr>
                <w:sz w:val="16"/>
                <w:szCs w:val="16"/>
              </w:rPr>
              <w:t xml:space="preserve">          1,220 </w:t>
            </w:r>
          </w:p>
        </w:tc>
        <w:tc>
          <w:tcPr>
            <w:tcW w:w="854" w:type="dxa"/>
            <w:tcBorders>
              <w:top w:val="nil"/>
              <w:left w:val="nil"/>
              <w:bottom w:val="nil"/>
              <w:right w:val="nil"/>
            </w:tcBorders>
            <w:shd w:val="clear" w:color="auto" w:fill="auto"/>
            <w:vAlign w:val="bottom"/>
            <w:hideMark/>
          </w:tcPr>
          <w:p w14:paraId="5FD023F3" w14:textId="77777777" w:rsidR="00B9311E" w:rsidRPr="00BD77D8" w:rsidRDefault="00B9311E" w:rsidP="00B9311E">
            <w:pPr>
              <w:spacing w:after="0" w:line="240" w:lineRule="auto"/>
              <w:jc w:val="right"/>
              <w:rPr>
                <w:b/>
                <w:bCs/>
                <w:sz w:val="16"/>
                <w:szCs w:val="16"/>
              </w:rPr>
            </w:pPr>
            <w:r w:rsidRPr="00BD77D8">
              <w:rPr>
                <w:b/>
                <w:bCs/>
                <w:sz w:val="16"/>
                <w:szCs w:val="16"/>
              </w:rPr>
              <w:t xml:space="preserve">            248 </w:t>
            </w:r>
          </w:p>
        </w:tc>
        <w:tc>
          <w:tcPr>
            <w:tcW w:w="994" w:type="dxa"/>
            <w:tcBorders>
              <w:top w:val="nil"/>
              <w:left w:val="nil"/>
              <w:bottom w:val="nil"/>
              <w:right w:val="nil"/>
            </w:tcBorders>
            <w:shd w:val="clear" w:color="auto" w:fill="auto"/>
            <w:vAlign w:val="bottom"/>
            <w:hideMark/>
          </w:tcPr>
          <w:p w14:paraId="4F001664"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5167D07F"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nil"/>
              <w:left w:val="nil"/>
              <w:bottom w:val="nil"/>
              <w:right w:val="nil"/>
            </w:tcBorders>
            <w:shd w:val="clear" w:color="auto" w:fill="auto"/>
            <w:vAlign w:val="bottom"/>
            <w:hideMark/>
          </w:tcPr>
          <w:p w14:paraId="16B66DA2" w14:textId="77777777" w:rsidR="00B9311E" w:rsidRPr="00BD77D8" w:rsidRDefault="00B9311E" w:rsidP="00B9311E">
            <w:pPr>
              <w:spacing w:after="0" w:line="240" w:lineRule="auto"/>
              <w:jc w:val="right"/>
              <w:rPr>
                <w:b/>
                <w:bCs/>
                <w:sz w:val="16"/>
                <w:szCs w:val="16"/>
              </w:rPr>
            </w:pPr>
            <w:r w:rsidRPr="00BD77D8">
              <w:rPr>
                <w:b/>
                <w:bCs/>
                <w:sz w:val="16"/>
                <w:szCs w:val="16"/>
              </w:rPr>
              <w:t xml:space="preserve">                242 </w:t>
            </w:r>
          </w:p>
        </w:tc>
        <w:tc>
          <w:tcPr>
            <w:tcW w:w="1263" w:type="dxa"/>
            <w:tcBorders>
              <w:top w:val="nil"/>
              <w:left w:val="nil"/>
              <w:bottom w:val="nil"/>
              <w:right w:val="nil"/>
            </w:tcBorders>
            <w:shd w:val="clear" w:color="auto" w:fill="auto"/>
            <w:vAlign w:val="bottom"/>
            <w:hideMark/>
          </w:tcPr>
          <w:p w14:paraId="6F989CFE" w14:textId="77777777" w:rsidR="00B9311E" w:rsidRPr="00BD77D8" w:rsidRDefault="00B9311E" w:rsidP="00B9311E">
            <w:pPr>
              <w:spacing w:after="0" w:line="240" w:lineRule="auto"/>
              <w:jc w:val="right"/>
              <w:rPr>
                <w:sz w:val="16"/>
                <w:szCs w:val="16"/>
              </w:rPr>
            </w:pPr>
            <w:r w:rsidRPr="00BD77D8">
              <w:rPr>
                <w:sz w:val="16"/>
                <w:szCs w:val="16"/>
              </w:rPr>
              <w:t xml:space="preserve">                     1 </w:t>
            </w:r>
          </w:p>
        </w:tc>
        <w:tc>
          <w:tcPr>
            <w:tcW w:w="1134" w:type="dxa"/>
            <w:tcBorders>
              <w:top w:val="nil"/>
              <w:left w:val="nil"/>
              <w:bottom w:val="nil"/>
              <w:right w:val="nil"/>
            </w:tcBorders>
            <w:shd w:val="clear" w:color="auto" w:fill="auto"/>
            <w:vAlign w:val="bottom"/>
            <w:hideMark/>
          </w:tcPr>
          <w:p w14:paraId="4CCB9E81" w14:textId="77777777" w:rsidR="00B9311E" w:rsidRPr="00BD77D8" w:rsidRDefault="00B9311E" w:rsidP="00B9311E">
            <w:pPr>
              <w:spacing w:after="0" w:line="240" w:lineRule="auto"/>
              <w:jc w:val="right"/>
              <w:rPr>
                <w:b/>
                <w:bCs/>
                <w:sz w:val="16"/>
                <w:szCs w:val="16"/>
              </w:rPr>
            </w:pPr>
            <w:r w:rsidRPr="00BD77D8">
              <w:rPr>
                <w:b/>
                <w:bCs/>
                <w:sz w:val="16"/>
                <w:szCs w:val="16"/>
              </w:rPr>
              <w:t xml:space="preserve">             2,227 </w:t>
            </w:r>
          </w:p>
        </w:tc>
        <w:tc>
          <w:tcPr>
            <w:tcW w:w="1135" w:type="dxa"/>
            <w:tcBorders>
              <w:top w:val="nil"/>
              <w:left w:val="nil"/>
              <w:bottom w:val="nil"/>
              <w:right w:val="nil"/>
            </w:tcBorders>
            <w:shd w:val="clear" w:color="auto" w:fill="auto"/>
            <w:vAlign w:val="bottom"/>
            <w:hideMark/>
          </w:tcPr>
          <w:p w14:paraId="3A8C99CC" w14:textId="77777777" w:rsidR="00B9311E" w:rsidRPr="00BD77D8" w:rsidRDefault="00B9311E" w:rsidP="00B9311E">
            <w:pPr>
              <w:spacing w:after="0" w:line="240" w:lineRule="auto"/>
              <w:jc w:val="right"/>
              <w:rPr>
                <w:sz w:val="16"/>
                <w:szCs w:val="16"/>
              </w:rPr>
            </w:pPr>
            <w:r w:rsidRPr="00BD77D8">
              <w:rPr>
                <w:sz w:val="16"/>
                <w:szCs w:val="16"/>
              </w:rPr>
              <w:t xml:space="preserve">                     8 </w:t>
            </w:r>
          </w:p>
        </w:tc>
        <w:tc>
          <w:tcPr>
            <w:tcW w:w="1015" w:type="dxa"/>
            <w:tcBorders>
              <w:top w:val="nil"/>
              <w:left w:val="nil"/>
              <w:bottom w:val="nil"/>
              <w:right w:val="nil"/>
            </w:tcBorders>
            <w:shd w:val="clear" w:color="auto" w:fill="auto"/>
            <w:vAlign w:val="bottom"/>
            <w:hideMark/>
          </w:tcPr>
          <w:p w14:paraId="3EF50645" w14:textId="77777777" w:rsidR="00B9311E" w:rsidRPr="00BD77D8" w:rsidRDefault="00B9311E" w:rsidP="00B9311E">
            <w:pPr>
              <w:spacing w:after="0" w:line="240" w:lineRule="auto"/>
              <w:jc w:val="right"/>
              <w:rPr>
                <w:b/>
                <w:bCs/>
                <w:sz w:val="16"/>
                <w:szCs w:val="16"/>
              </w:rPr>
            </w:pPr>
            <w:r w:rsidRPr="00BD77D8">
              <w:rPr>
                <w:b/>
                <w:bCs/>
                <w:sz w:val="16"/>
                <w:szCs w:val="16"/>
              </w:rPr>
              <w:t xml:space="preserve">        28,569 </w:t>
            </w:r>
          </w:p>
        </w:tc>
        <w:tc>
          <w:tcPr>
            <w:tcW w:w="1070" w:type="dxa"/>
            <w:tcBorders>
              <w:top w:val="nil"/>
              <w:left w:val="nil"/>
              <w:bottom w:val="nil"/>
              <w:right w:val="nil"/>
            </w:tcBorders>
            <w:shd w:val="clear" w:color="auto" w:fill="auto"/>
            <w:vAlign w:val="bottom"/>
            <w:hideMark/>
          </w:tcPr>
          <w:p w14:paraId="58FE52C4" w14:textId="77777777" w:rsidR="00B9311E" w:rsidRPr="00BD77D8" w:rsidRDefault="00B9311E" w:rsidP="00B9311E">
            <w:pPr>
              <w:spacing w:after="0" w:line="240" w:lineRule="auto"/>
              <w:jc w:val="right"/>
              <w:rPr>
                <w:sz w:val="16"/>
                <w:szCs w:val="16"/>
              </w:rPr>
            </w:pPr>
            <w:r w:rsidRPr="00BD77D8">
              <w:rPr>
                <w:sz w:val="16"/>
                <w:szCs w:val="16"/>
              </w:rPr>
              <w:t xml:space="preserve">          1,229 </w:t>
            </w:r>
          </w:p>
        </w:tc>
      </w:tr>
      <w:tr w:rsidR="00BD77D8" w:rsidRPr="00BD77D8" w14:paraId="6CEFE383" w14:textId="77777777" w:rsidTr="003057FB">
        <w:trPr>
          <w:trHeight w:val="285"/>
        </w:trPr>
        <w:tc>
          <w:tcPr>
            <w:tcW w:w="3655" w:type="dxa"/>
            <w:tcBorders>
              <w:top w:val="nil"/>
              <w:left w:val="nil"/>
              <w:bottom w:val="nil"/>
              <w:right w:val="nil"/>
            </w:tcBorders>
            <w:shd w:val="clear" w:color="auto" w:fill="auto"/>
            <w:noWrap/>
            <w:vAlign w:val="bottom"/>
            <w:hideMark/>
          </w:tcPr>
          <w:p w14:paraId="102756BF"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Other revenue  </w:t>
            </w:r>
          </w:p>
        </w:tc>
        <w:tc>
          <w:tcPr>
            <w:tcW w:w="994" w:type="dxa"/>
            <w:tcBorders>
              <w:top w:val="nil"/>
              <w:left w:val="nil"/>
              <w:bottom w:val="nil"/>
              <w:right w:val="nil"/>
            </w:tcBorders>
            <w:shd w:val="clear" w:color="auto" w:fill="auto"/>
            <w:vAlign w:val="bottom"/>
            <w:hideMark/>
          </w:tcPr>
          <w:p w14:paraId="50379548" w14:textId="77777777" w:rsidR="00B9311E" w:rsidRPr="00BD77D8" w:rsidRDefault="00B9311E" w:rsidP="00B9311E">
            <w:pPr>
              <w:spacing w:after="0" w:line="240" w:lineRule="auto"/>
              <w:jc w:val="right"/>
              <w:rPr>
                <w:b/>
                <w:bCs/>
                <w:sz w:val="16"/>
                <w:szCs w:val="16"/>
              </w:rPr>
            </w:pPr>
            <w:r w:rsidRPr="00BD77D8">
              <w:rPr>
                <w:b/>
                <w:bCs/>
                <w:sz w:val="16"/>
                <w:szCs w:val="16"/>
              </w:rPr>
              <w:t xml:space="preserve">            756 </w:t>
            </w:r>
          </w:p>
        </w:tc>
        <w:tc>
          <w:tcPr>
            <w:tcW w:w="991" w:type="dxa"/>
            <w:tcBorders>
              <w:top w:val="nil"/>
              <w:left w:val="nil"/>
              <w:bottom w:val="nil"/>
              <w:right w:val="nil"/>
            </w:tcBorders>
            <w:shd w:val="clear" w:color="auto" w:fill="auto"/>
            <w:vAlign w:val="bottom"/>
            <w:hideMark/>
          </w:tcPr>
          <w:p w14:paraId="7F66D853" w14:textId="77777777" w:rsidR="00B9311E" w:rsidRPr="00BD77D8" w:rsidRDefault="00B9311E" w:rsidP="00B9311E">
            <w:pPr>
              <w:spacing w:after="0" w:line="240" w:lineRule="auto"/>
              <w:jc w:val="right"/>
              <w:rPr>
                <w:sz w:val="16"/>
                <w:szCs w:val="16"/>
              </w:rPr>
            </w:pPr>
            <w:r w:rsidRPr="00BD77D8">
              <w:rPr>
                <w:sz w:val="16"/>
                <w:szCs w:val="16"/>
              </w:rPr>
              <w:t xml:space="preserve">          2,781 </w:t>
            </w:r>
          </w:p>
        </w:tc>
        <w:tc>
          <w:tcPr>
            <w:tcW w:w="854" w:type="dxa"/>
            <w:tcBorders>
              <w:top w:val="nil"/>
              <w:left w:val="nil"/>
              <w:bottom w:val="nil"/>
              <w:right w:val="nil"/>
            </w:tcBorders>
            <w:shd w:val="clear" w:color="auto" w:fill="auto"/>
            <w:vAlign w:val="bottom"/>
            <w:hideMark/>
          </w:tcPr>
          <w:p w14:paraId="2785DAF2" w14:textId="77777777" w:rsidR="00B9311E" w:rsidRPr="00BD77D8" w:rsidRDefault="00B9311E" w:rsidP="00B9311E">
            <w:pPr>
              <w:spacing w:after="0" w:line="240" w:lineRule="auto"/>
              <w:jc w:val="right"/>
              <w:rPr>
                <w:b/>
                <w:bCs/>
                <w:sz w:val="16"/>
                <w:szCs w:val="16"/>
              </w:rPr>
            </w:pPr>
            <w:r w:rsidRPr="00BD77D8">
              <w:rPr>
                <w:b/>
                <w:bCs/>
                <w:sz w:val="16"/>
                <w:szCs w:val="16"/>
              </w:rPr>
              <w:t xml:space="preserve">         1,174 </w:t>
            </w:r>
          </w:p>
        </w:tc>
        <w:tc>
          <w:tcPr>
            <w:tcW w:w="994" w:type="dxa"/>
            <w:tcBorders>
              <w:top w:val="nil"/>
              <w:left w:val="nil"/>
              <w:bottom w:val="nil"/>
              <w:right w:val="nil"/>
            </w:tcBorders>
            <w:shd w:val="clear" w:color="auto" w:fill="auto"/>
            <w:vAlign w:val="bottom"/>
            <w:hideMark/>
          </w:tcPr>
          <w:p w14:paraId="552D33E1" w14:textId="77777777" w:rsidR="00B9311E" w:rsidRPr="00BD77D8" w:rsidRDefault="00B9311E" w:rsidP="00B9311E">
            <w:pPr>
              <w:spacing w:after="0" w:line="240" w:lineRule="auto"/>
              <w:jc w:val="right"/>
              <w:rPr>
                <w:sz w:val="16"/>
                <w:szCs w:val="16"/>
              </w:rPr>
            </w:pPr>
            <w:r w:rsidRPr="00BD77D8">
              <w:rPr>
                <w:sz w:val="16"/>
                <w:szCs w:val="16"/>
              </w:rPr>
              <w:t xml:space="preserve">                  6 </w:t>
            </w:r>
          </w:p>
        </w:tc>
        <w:tc>
          <w:tcPr>
            <w:tcW w:w="1129" w:type="dxa"/>
            <w:tcBorders>
              <w:top w:val="nil"/>
              <w:left w:val="nil"/>
              <w:bottom w:val="nil"/>
              <w:right w:val="nil"/>
            </w:tcBorders>
            <w:shd w:val="clear" w:color="auto" w:fill="auto"/>
            <w:vAlign w:val="bottom"/>
            <w:hideMark/>
          </w:tcPr>
          <w:p w14:paraId="422C20E5" w14:textId="77777777" w:rsidR="00B9311E" w:rsidRPr="00BD77D8" w:rsidRDefault="00B9311E" w:rsidP="00B9311E">
            <w:pPr>
              <w:spacing w:after="0" w:line="240" w:lineRule="auto"/>
              <w:jc w:val="right"/>
              <w:rPr>
                <w:sz w:val="16"/>
                <w:szCs w:val="16"/>
              </w:rPr>
            </w:pPr>
            <w:r w:rsidRPr="00BD77D8">
              <w:rPr>
                <w:sz w:val="16"/>
                <w:szCs w:val="16"/>
              </w:rPr>
              <w:t xml:space="preserve">               742 </w:t>
            </w:r>
          </w:p>
        </w:tc>
        <w:tc>
          <w:tcPr>
            <w:tcW w:w="1130" w:type="dxa"/>
            <w:tcBorders>
              <w:top w:val="nil"/>
              <w:left w:val="nil"/>
              <w:bottom w:val="nil"/>
              <w:right w:val="nil"/>
            </w:tcBorders>
            <w:shd w:val="clear" w:color="auto" w:fill="auto"/>
            <w:vAlign w:val="bottom"/>
            <w:hideMark/>
          </w:tcPr>
          <w:p w14:paraId="31F6C915" w14:textId="77777777" w:rsidR="00B9311E" w:rsidRPr="00BD77D8" w:rsidRDefault="00B9311E" w:rsidP="00B9311E">
            <w:pPr>
              <w:spacing w:after="0" w:line="240" w:lineRule="auto"/>
              <w:jc w:val="right"/>
              <w:rPr>
                <w:b/>
                <w:bCs/>
                <w:sz w:val="16"/>
                <w:szCs w:val="16"/>
              </w:rPr>
            </w:pPr>
            <w:r w:rsidRPr="00BD77D8">
              <w:rPr>
                <w:b/>
                <w:bCs/>
                <w:sz w:val="16"/>
                <w:szCs w:val="16"/>
              </w:rPr>
              <w:t xml:space="preserve">                100 </w:t>
            </w:r>
          </w:p>
        </w:tc>
        <w:tc>
          <w:tcPr>
            <w:tcW w:w="1263" w:type="dxa"/>
            <w:tcBorders>
              <w:top w:val="nil"/>
              <w:left w:val="nil"/>
              <w:bottom w:val="nil"/>
              <w:right w:val="nil"/>
            </w:tcBorders>
            <w:shd w:val="clear" w:color="auto" w:fill="auto"/>
            <w:vAlign w:val="bottom"/>
            <w:hideMark/>
          </w:tcPr>
          <w:p w14:paraId="638D06F0" w14:textId="77777777" w:rsidR="00B9311E" w:rsidRPr="00BD77D8" w:rsidRDefault="00B9311E" w:rsidP="00B9311E">
            <w:pPr>
              <w:spacing w:after="0" w:line="240" w:lineRule="auto"/>
              <w:jc w:val="right"/>
              <w:rPr>
                <w:sz w:val="16"/>
                <w:szCs w:val="16"/>
              </w:rPr>
            </w:pPr>
            <w:r w:rsidRPr="00BD77D8">
              <w:rPr>
                <w:sz w:val="16"/>
                <w:szCs w:val="16"/>
              </w:rPr>
              <w:t xml:space="preserve">                   26 </w:t>
            </w:r>
          </w:p>
        </w:tc>
        <w:tc>
          <w:tcPr>
            <w:tcW w:w="1134" w:type="dxa"/>
            <w:tcBorders>
              <w:top w:val="nil"/>
              <w:left w:val="nil"/>
              <w:bottom w:val="nil"/>
              <w:right w:val="nil"/>
            </w:tcBorders>
            <w:shd w:val="clear" w:color="auto" w:fill="auto"/>
            <w:vAlign w:val="bottom"/>
            <w:hideMark/>
          </w:tcPr>
          <w:p w14:paraId="34501D00" w14:textId="77777777" w:rsidR="00B9311E" w:rsidRPr="00BD77D8" w:rsidRDefault="00B9311E" w:rsidP="00B9311E">
            <w:pPr>
              <w:spacing w:after="0" w:line="240" w:lineRule="auto"/>
              <w:jc w:val="right"/>
              <w:rPr>
                <w:b/>
                <w:bCs/>
                <w:sz w:val="16"/>
                <w:szCs w:val="16"/>
              </w:rPr>
            </w:pPr>
            <w:r w:rsidRPr="00BD77D8">
              <w:rPr>
                <w:b/>
                <w:bCs/>
                <w:sz w:val="16"/>
                <w:szCs w:val="16"/>
              </w:rPr>
              <w:t xml:space="preserve">                939 </w:t>
            </w:r>
          </w:p>
        </w:tc>
        <w:tc>
          <w:tcPr>
            <w:tcW w:w="1135" w:type="dxa"/>
            <w:tcBorders>
              <w:top w:val="nil"/>
              <w:left w:val="nil"/>
              <w:bottom w:val="nil"/>
              <w:right w:val="nil"/>
            </w:tcBorders>
            <w:shd w:val="clear" w:color="auto" w:fill="auto"/>
            <w:vAlign w:val="bottom"/>
            <w:hideMark/>
          </w:tcPr>
          <w:p w14:paraId="00754D7D" w14:textId="77777777" w:rsidR="00B9311E" w:rsidRPr="00BD77D8" w:rsidRDefault="00B9311E" w:rsidP="00B9311E">
            <w:pPr>
              <w:spacing w:after="0" w:line="240" w:lineRule="auto"/>
              <w:jc w:val="right"/>
              <w:rPr>
                <w:sz w:val="16"/>
                <w:szCs w:val="16"/>
              </w:rPr>
            </w:pPr>
            <w:r w:rsidRPr="00BD77D8">
              <w:rPr>
                <w:sz w:val="16"/>
                <w:szCs w:val="16"/>
              </w:rPr>
              <w:t xml:space="preserve">                 633 </w:t>
            </w:r>
          </w:p>
        </w:tc>
        <w:tc>
          <w:tcPr>
            <w:tcW w:w="1015" w:type="dxa"/>
            <w:tcBorders>
              <w:top w:val="nil"/>
              <w:left w:val="nil"/>
              <w:bottom w:val="nil"/>
              <w:right w:val="nil"/>
            </w:tcBorders>
            <w:shd w:val="clear" w:color="auto" w:fill="auto"/>
            <w:vAlign w:val="bottom"/>
            <w:hideMark/>
          </w:tcPr>
          <w:p w14:paraId="2F2A68A3" w14:textId="77777777" w:rsidR="00B9311E" w:rsidRPr="00BD77D8" w:rsidRDefault="00B9311E" w:rsidP="00B9311E">
            <w:pPr>
              <w:spacing w:after="0" w:line="240" w:lineRule="auto"/>
              <w:jc w:val="right"/>
              <w:rPr>
                <w:b/>
                <w:bCs/>
                <w:sz w:val="16"/>
                <w:szCs w:val="16"/>
              </w:rPr>
            </w:pPr>
            <w:r w:rsidRPr="00BD77D8">
              <w:rPr>
                <w:b/>
                <w:bCs/>
                <w:sz w:val="16"/>
                <w:szCs w:val="16"/>
              </w:rPr>
              <w:t xml:space="preserve">          2,969 </w:t>
            </w:r>
          </w:p>
        </w:tc>
        <w:tc>
          <w:tcPr>
            <w:tcW w:w="1070" w:type="dxa"/>
            <w:tcBorders>
              <w:top w:val="nil"/>
              <w:left w:val="nil"/>
              <w:bottom w:val="nil"/>
              <w:right w:val="nil"/>
            </w:tcBorders>
            <w:shd w:val="clear" w:color="auto" w:fill="auto"/>
            <w:vAlign w:val="bottom"/>
            <w:hideMark/>
          </w:tcPr>
          <w:p w14:paraId="08FCFFD9" w14:textId="77777777" w:rsidR="00B9311E" w:rsidRPr="00BD77D8" w:rsidRDefault="00B9311E" w:rsidP="00B9311E">
            <w:pPr>
              <w:spacing w:after="0" w:line="240" w:lineRule="auto"/>
              <w:jc w:val="right"/>
              <w:rPr>
                <w:sz w:val="16"/>
                <w:szCs w:val="16"/>
              </w:rPr>
            </w:pPr>
            <w:r w:rsidRPr="00BD77D8">
              <w:rPr>
                <w:sz w:val="16"/>
                <w:szCs w:val="16"/>
              </w:rPr>
              <w:t xml:space="preserve">          4,188 </w:t>
            </w:r>
          </w:p>
        </w:tc>
      </w:tr>
      <w:tr w:rsidR="00BD77D8" w:rsidRPr="00BD77D8" w14:paraId="1CE87A1C" w14:textId="77777777" w:rsidTr="003057FB">
        <w:trPr>
          <w:trHeight w:val="300"/>
        </w:trPr>
        <w:tc>
          <w:tcPr>
            <w:tcW w:w="3655" w:type="dxa"/>
            <w:tcBorders>
              <w:top w:val="nil"/>
              <w:left w:val="nil"/>
              <w:bottom w:val="nil"/>
              <w:right w:val="nil"/>
            </w:tcBorders>
            <w:shd w:val="clear" w:color="auto" w:fill="auto"/>
            <w:noWrap/>
            <w:vAlign w:val="bottom"/>
            <w:hideMark/>
          </w:tcPr>
          <w:p w14:paraId="49F7F936" w14:textId="77777777" w:rsidR="00B9311E" w:rsidRPr="00BD77D8" w:rsidRDefault="00B9311E" w:rsidP="00B9311E">
            <w:pPr>
              <w:spacing w:after="0" w:line="240" w:lineRule="auto"/>
              <w:rPr>
                <w:b/>
                <w:bCs/>
                <w:sz w:val="16"/>
                <w:szCs w:val="16"/>
              </w:rPr>
            </w:pPr>
            <w:r w:rsidRPr="00BD77D8">
              <w:rPr>
                <w:b/>
                <w:bCs/>
                <w:sz w:val="16"/>
                <w:szCs w:val="16"/>
              </w:rPr>
              <w:t xml:space="preserve"> Total Income from Continuing Operations </w:t>
            </w:r>
          </w:p>
        </w:tc>
        <w:tc>
          <w:tcPr>
            <w:tcW w:w="994" w:type="dxa"/>
            <w:tcBorders>
              <w:top w:val="single" w:sz="4" w:space="0" w:color="auto"/>
              <w:left w:val="nil"/>
              <w:bottom w:val="single" w:sz="4" w:space="0" w:color="auto"/>
              <w:right w:val="nil"/>
            </w:tcBorders>
            <w:shd w:val="clear" w:color="auto" w:fill="auto"/>
            <w:vAlign w:val="bottom"/>
            <w:hideMark/>
          </w:tcPr>
          <w:p w14:paraId="49205BF7" w14:textId="77777777" w:rsidR="00B9311E" w:rsidRPr="00BD77D8" w:rsidRDefault="00B9311E" w:rsidP="00B9311E">
            <w:pPr>
              <w:spacing w:after="0" w:line="240" w:lineRule="auto"/>
              <w:jc w:val="right"/>
              <w:rPr>
                <w:b/>
                <w:bCs/>
                <w:sz w:val="16"/>
                <w:szCs w:val="16"/>
              </w:rPr>
            </w:pPr>
            <w:r w:rsidRPr="00BD77D8">
              <w:rPr>
                <w:b/>
                <w:bCs/>
                <w:sz w:val="16"/>
                <w:szCs w:val="16"/>
              </w:rPr>
              <w:t xml:space="preserve">     256,623 </w:t>
            </w:r>
          </w:p>
        </w:tc>
        <w:tc>
          <w:tcPr>
            <w:tcW w:w="991" w:type="dxa"/>
            <w:tcBorders>
              <w:top w:val="single" w:sz="4" w:space="0" w:color="auto"/>
              <w:left w:val="nil"/>
              <w:bottom w:val="single" w:sz="4" w:space="0" w:color="auto"/>
              <w:right w:val="nil"/>
            </w:tcBorders>
            <w:shd w:val="clear" w:color="auto" w:fill="auto"/>
            <w:vAlign w:val="bottom"/>
            <w:hideMark/>
          </w:tcPr>
          <w:p w14:paraId="7974FA47" w14:textId="77777777" w:rsidR="00B9311E" w:rsidRPr="00BD77D8" w:rsidRDefault="00B9311E" w:rsidP="00B9311E">
            <w:pPr>
              <w:spacing w:after="0" w:line="240" w:lineRule="auto"/>
              <w:jc w:val="right"/>
              <w:rPr>
                <w:b/>
                <w:bCs/>
                <w:sz w:val="16"/>
                <w:szCs w:val="16"/>
              </w:rPr>
            </w:pPr>
            <w:r w:rsidRPr="00BD77D8">
              <w:rPr>
                <w:b/>
                <w:bCs/>
                <w:sz w:val="16"/>
                <w:szCs w:val="16"/>
              </w:rPr>
              <w:t xml:space="preserve">      234,424 </w:t>
            </w:r>
          </w:p>
        </w:tc>
        <w:tc>
          <w:tcPr>
            <w:tcW w:w="854" w:type="dxa"/>
            <w:tcBorders>
              <w:top w:val="single" w:sz="4" w:space="0" w:color="auto"/>
              <w:left w:val="nil"/>
              <w:bottom w:val="single" w:sz="4" w:space="0" w:color="auto"/>
              <w:right w:val="nil"/>
            </w:tcBorders>
            <w:shd w:val="clear" w:color="auto" w:fill="auto"/>
            <w:vAlign w:val="bottom"/>
            <w:hideMark/>
          </w:tcPr>
          <w:p w14:paraId="17B2770C" w14:textId="77777777" w:rsidR="00B9311E" w:rsidRPr="00BD77D8" w:rsidRDefault="00B9311E" w:rsidP="00B9311E">
            <w:pPr>
              <w:spacing w:after="0" w:line="240" w:lineRule="auto"/>
              <w:jc w:val="right"/>
              <w:rPr>
                <w:b/>
                <w:bCs/>
                <w:sz w:val="16"/>
                <w:szCs w:val="16"/>
              </w:rPr>
            </w:pPr>
            <w:r w:rsidRPr="00BD77D8">
              <w:rPr>
                <w:b/>
                <w:bCs/>
                <w:sz w:val="16"/>
                <w:szCs w:val="16"/>
              </w:rPr>
              <w:t xml:space="preserve">       12,666 </w:t>
            </w:r>
          </w:p>
        </w:tc>
        <w:tc>
          <w:tcPr>
            <w:tcW w:w="994" w:type="dxa"/>
            <w:tcBorders>
              <w:top w:val="single" w:sz="4" w:space="0" w:color="auto"/>
              <w:left w:val="nil"/>
              <w:bottom w:val="single" w:sz="4" w:space="0" w:color="auto"/>
              <w:right w:val="nil"/>
            </w:tcBorders>
            <w:shd w:val="clear" w:color="auto" w:fill="auto"/>
            <w:vAlign w:val="bottom"/>
            <w:hideMark/>
          </w:tcPr>
          <w:p w14:paraId="348DC793" w14:textId="77777777" w:rsidR="00B9311E" w:rsidRPr="00BD77D8" w:rsidRDefault="00B9311E" w:rsidP="00B9311E">
            <w:pPr>
              <w:spacing w:after="0" w:line="240" w:lineRule="auto"/>
              <w:jc w:val="right"/>
              <w:rPr>
                <w:b/>
                <w:bCs/>
                <w:sz w:val="16"/>
                <w:szCs w:val="16"/>
              </w:rPr>
            </w:pPr>
            <w:r w:rsidRPr="00BD77D8">
              <w:rPr>
                <w:b/>
                <w:bCs/>
                <w:sz w:val="16"/>
                <w:szCs w:val="16"/>
              </w:rPr>
              <w:t xml:space="preserve">         11,707 </w:t>
            </w:r>
          </w:p>
        </w:tc>
        <w:tc>
          <w:tcPr>
            <w:tcW w:w="1129" w:type="dxa"/>
            <w:tcBorders>
              <w:top w:val="single" w:sz="4" w:space="0" w:color="auto"/>
              <w:left w:val="nil"/>
              <w:bottom w:val="single" w:sz="4" w:space="0" w:color="auto"/>
              <w:right w:val="nil"/>
            </w:tcBorders>
            <w:shd w:val="clear" w:color="auto" w:fill="auto"/>
            <w:vAlign w:val="bottom"/>
            <w:hideMark/>
          </w:tcPr>
          <w:p w14:paraId="3E2E1F6E" w14:textId="77777777" w:rsidR="00B9311E" w:rsidRPr="00BD77D8" w:rsidRDefault="00B9311E" w:rsidP="00B9311E">
            <w:pPr>
              <w:spacing w:after="0" w:line="240" w:lineRule="auto"/>
              <w:jc w:val="right"/>
              <w:rPr>
                <w:b/>
                <w:bCs/>
                <w:sz w:val="16"/>
                <w:szCs w:val="16"/>
              </w:rPr>
            </w:pPr>
            <w:r w:rsidRPr="00BD77D8">
              <w:rPr>
                <w:b/>
                <w:bCs/>
                <w:sz w:val="16"/>
                <w:szCs w:val="16"/>
              </w:rPr>
              <w:t xml:space="preserve">          69,375 </w:t>
            </w:r>
          </w:p>
        </w:tc>
        <w:tc>
          <w:tcPr>
            <w:tcW w:w="1130" w:type="dxa"/>
            <w:tcBorders>
              <w:top w:val="single" w:sz="4" w:space="0" w:color="auto"/>
              <w:left w:val="nil"/>
              <w:bottom w:val="single" w:sz="4" w:space="0" w:color="auto"/>
              <w:right w:val="nil"/>
            </w:tcBorders>
            <w:shd w:val="clear" w:color="auto" w:fill="auto"/>
            <w:vAlign w:val="bottom"/>
            <w:hideMark/>
          </w:tcPr>
          <w:p w14:paraId="0A788E50" w14:textId="77777777" w:rsidR="00B9311E" w:rsidRPr="00BD77D8" w:rsidRDefault="00B9311E" w:rsidP="00B9311E">
            <w:pPr>
              <w:spacing w:after="0" w:line="240" w:lineRule="auto"/>
              <w:jc w:val="right"/>
              <w:rPr>
                <w:b/>
                <w:bCs/>
                <w:sz w:val="16"/>
                <w:szCs w:val="16"/>
              </w:rPr>
            </w:pPr>
            <w:r w:rsidRPr="00BD77D8">
              <w:rPr>
                <w:b/>
                <w:bCs/>
                <w:sz w:val="16"/>
                <w:szCs w:val="16"/>
              </w:rPr>
              <w:t xml:space="preserve">           28,710 </w:t>
            </w:r>
          </w:p>
        </w:tc>
        <w:tc>
          <w:tcPr>
            <w:tcW w:w="1263" w:type="dxa"/>
            <w:tcBorders>
              <w:top w:val="single" w:sz="4" w:space="0" w:color="auto"/>
              <w:left w:val="nil"/>
              <w:bottom w:val="single" w:sz="4" w:space="0" w:color="auto"/>
              <w:right w:val="nil"/>
            </w:tcBorders>
            <w:shd w:val="clear" w:color="auto" w:fill="auto"/>
            <w:vAlign w:val="bottom"/>
            <w:hideMark/>
          </w:tcPr>
          <w:p w14:paraId="4DF85440" w14:textId="77777777" w:rsidR="00B9311E" w:rsidRPr="00BD77D8" w:rsidRDefault="00B9311E" w:rsidP="00B9311E">
            <w:pPr>
              <w:spacing w:after="0" w:line="240" w:lineRule="auto"/>
              <w:jc w:val="right"/>
              <w:rPr>
                <w:b/>
                <w:bCs/>
                <w:sz w:val="16"/>
                <w:szCs w:val="16"/>
              </w:rPr>
            </w:pPr>
            <w:r w:rsidRPr="00BD77D8">
              <w:rPr>
                <w:b/>
                <w:bCs/>
                <w:sz w:val="16"/>
                <w:szCs w:val="16"/>
              </w:rPr>
              <w:t xml:space="preserve">            16,361 </w:t>
            </w:r>
          </w:p>
        </w:tc>
        <w:tc>
          <w:tcPr>
            <w:tcW w:w="1134" w:type="dxa"/>
            <w:tcBorders>
              <w:top w:val="single" w:sz="4" w:space="0" w:color="auto"/>
              <w:left w:val="nil"/>
              <w:bottom w:val="single" w:sz="4" w:space="0" w:color="auto"/>
              <w:right w:val="nil"/>
            </w:tcBorders>
            <w:shd w:val="clear" w:color="auto" w:fill="auto"/>
            <w:vAlign w:val="bottom"/>
            <w:hideMark/>
          </w:tcPr>
          <w:p w14:paraId="4AC4F623" w14:textId="77777777" w:rsidR="00B9311E" w:rsidRPr="00BD77D8" w:rsidRDefault="00B9311E" w:rsidP="00B9311E">
            <w:pPr>
              <w:spacing w:after="0" w:line="240" w:lineRule="auto"/>
              <w:jc w:val="right"/>
              <w:rPr>
                <w:b/>
                <w:bCs/>
                <w:sz w:val="16"/>
                <w:szCs w:val="16"/>
              </w:rPr>
            </w:pPr>
            <w:r w:rsidRPr="00BD77D8">
              <w:rPr>
                <w:b/>
                <w:bCs/>
                <w:sz w:val="16"/>
                <w:szCs w:val="16"/>
              </w:rPr>
              <w:t xml:space="preserve">           38,128 </w:t>
            </w:r>
          </w:p>
        </w:tc>
        <w:tc>
          <w:tcPr>
            <w:tcW w:w="1135" w:type="dxa"/>
            <w:tcBorders>
              <w:top w:val="single" w:sz="4" w:space="0" w:color="auto"/>
              <w:left w:val="nil"/>
              <w:bottom w:val="single" w:sz="4" w:space="0" w:color="auto"/>
              <w:right w:val="nil"/>
            </w:tcBorders>
            <w:shd w:val="clear" w:color="auto" w:fill="auto"/>
            <w:vAlign w:val="bottom"/>
            <w:hideMark/>
          </w:tcPr>
          <w:p w14:paraId="01238339" w14:textId="77777777" w:rsidR="00B9311E" w:rsidRPr="00BD77D8" w:rsidRDefault="00B9311E" w:rsidP="00B9311E">
            <w:pPr>
              <w:spacing w:after="0" w:line="240" w:lineRule="auto"/>
              <w:jc w:val="right"/>
              <w:rPr>
                <w:b/>
                <w:bCs/>
                <w:sz w:val="16"/>
                <w:szCs w:val="16"/>
              </w:rPr>
            </w:pPr>
            <w:r w:rsidRPr="00BD77D8">
              <w:rPr>
                <w:b/>
                <w:bCs/>
                <w:sz w:val="16"/>
                <w:szCs w:val="16"/>
              </w:rPr>
              <w:t xml:space="preserve">            17,956 </w:t>
            </w:r>
          </w:p>
        </w:tc>
        <w:tc>
          <w:tcPr>
            <w:tcW w:w="1015" w:type="dxa"/>
            <w:tcBorders>
              <w:top w:val="single" w:sz="4" w:space="0" w:color="auto"/>
              <w:left w:val="nil"/>
              <w:bottom w:val="single" w:sz="4" w:space="0" w:color="auto"/>
              <w:right w:val="nil"/>
            </w:tcBorders>
            <w:shd w:val="clear" w:color="auto" w:fill="auto"/>
            <w:vAlign w:val="bottom"/>
            <w:hideMark/>
          </w:tcPr>
          <w:p w14:paraId="4A6DC167" w14:textId="77777777" w:rsidR="00B9311E" w:rsidRPr="00BD77D8" w:rsidRDefault="00B9311E" w:rsidP="00B9311E">
            <w:pPr>
              <w:spacing w:after="0" w:line="240" w:lineRule="auto"/>
              <w:jc w:val="right"/>
              <w:rPr>
                <w:b/>
                <w:bCs/>
                <w:sz w:val="16"/>
                <w:szCs w:val="16"/>
              </w:rPr>
            </w:pPr>
            <w:r w:rsidRPr="00BD77D8">
              <w:rPr>
                <w:b/>
                <w:bCs/>
                <w:sz w:val="16"/>
                <w:szCs w:val="16"/>
              </w:rPr>
              <w:t xml:space="preserve">      336,127 </w:t>
            </w:r>
          </w:p>
        </w:tc>
        <w:tc>
          <w:tcPr>
            <w:tcW w:w="1070" w:type="dxa"/>
            <w:tcBorders>
              <w:top w:val="single" w:sz="4" w:space="0" w:color="auto"/>
              <w:left w:val="nil"/>
              <w:bottom w:val="single" w:sz="4" w:space="0" w:color="auto"/>
              <w:right w:val="nil"/>
            </w:tcBorders>
            <w:shd w:val="clear" w:color="auto" w:fill="auto"/>
            <w:vAlign w:val="bottom"/>
            <w:hideMark/>
          </w:tcPr>
          <w:p w14:paraId="6FA15FE3" w14:textId="77777777" w:rsidR="00B9311E" w:rsidRPr="00BD77D8" w:rsidRDefault="00B9311E" w:rsidP="00B9311E">
            <w:pPr>
              <w:spacing w:after="0" w:line="240" w:lineRule="auto"/>
              <w:jc w:val="right"/>
              <w:rPr>
                <w:b/>
                <w:bCs/>
                <w:sz w:val="16"/>
                <w:szCs w:val="16"/>
              </w:rPr>
            </w:pPr>
            <w:r w:rsidRPr="00BD77D8">
              <w:rPr>
                <w:b/>
                <w:bCs/>
                <w:sz w:val="16"/>
                <w:szCs w:val="16"/>
              </w:rPr>
              <w:t xml:space="preserve">      349,823 </w:t>
            </w:r>
          </w:p>
        </w:tc>
      </w:tr>
      <w:tr w:rsidR="00BD77D8" w:rsidRPr="00BD77D8" w14:paraId="2DCDF6C3" w14:textId="77777777" w:rsidTr="003057FB">
        <w:trPr>
          <w:trHeight w:val="285"/>
        </w:trPr>
        <w:tc>
          <w:tcPr>
            <w:tcW w:w="3655" w:type="dxa"/>
            <w:tcBorders>
              <w:top w:val="nil"/>
              <w:left w:val="nil"/>
              <w:bottom w:val="nil"/>
              <w:right w:val="nil"/>
            </w:tcBorders>
            <w:shd w:val="clear" w:color="auto" w:fill="auto"/>
            <w:noWrap/>
            <w:vAlign w:val="bottom"/>
            <w:hideMark/>
          </w:tcPr>
          <w:p w14:paraId="1DA1345A" w14:textId="77777777" w:rsidR="00B9311E" w:rsidRPr="00BD77D8" w:rsidRDefault="00B9311E" w:rsidP="00B9311E">
            <w:pPr>
              <w:spacing w:after="0" w:line="240" w:lineRule="auto"/>
              <w:rPr>
                <w:b/>
                <w:bCs/>
                <w:sz w:val="16"/>
                <w:szCs w:val="16"/>
              </w:rPr>
            </w:pPr>
            <w:r w:rsidRPr="00BD77D8">
              <w:rPr>
                <w:b/>
                <w:bCs/>
                <w:sz w:val="16"/>
                <w:szCs w:val="16"/>
              </w:rPr>
              <w:t xml:space="preserve"> Expenses from Continuing Operations </w:t>
            </w:r>
          </w:p>
        </w:tc>
        <w:tc>
          <w:tcPr>
            <w:tcW w:w="994" w:type="dxa"/>
            <w:tcBorders>
              <w:top w:val="nil"/>
              <w:left w:val="nil"/>
              <w:bottom w:val="nil"/>
              <w:right w:val="nil"/>
            </w:tcBorders>
            <w:shd w:val="clear" w:color="auto" w:fill="auto"/>
            <w:vAlign w:val="bottom"/>
            <w:hideMark/>
          </w:tcPr>
          <w:p w14:paraId="4C6232AB" w14:textId="77777777" w:rsidR="00B9311E" w:rsidRPr="00BD77D8" w:rsidRDefault="00B9311E" w:rsidP="00B9311E">
            <w:pPr>
              <w:spacing w:after="0" w:line="240" w:lineRule="auto"/>
              <w:rPr>
                <w:b/>
                <w:bCs/>
                <w:sz w:val="16"/>
                <w:szCs w:val="16"/>
              </w:rPr>
            </w:pPr>
          </w:p>
        </w:tc>
        <w:tc>
          <w:tcPr>
            <w:tcW w:w="991" w:type="dxa"/>
            <w:tcBorders>
              <w:top w:val="nil"/>
              <w:left w:val="nil"/>
              <w:bottom w:val="nil"/>
              <w:right w:val="nil"/>
            </w:tcBorders>
            <w:shd w:val="clear" w:color="auto" w:fill="auto"/>
            <w:vAlign w:val="bottom"/>
            <w:hideMark/>
          </w:tcPr>
          <w:p w14:paraId="6E3E9905"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854" w:type="dxa"/>
            <w:tcBorders>
              <w:top w:val="nil"/>
              <w:left w:val="nil"/>
              <w:bottom w:val="nil"/>
              <w:right w:val="nil"/>
            </w:tcBorders>
            <w:shd w:val="clear" w:color="auto" w:fill="auto"/>
            <w:vAlign w:val="bottom"/>
            <w:hideMark/>
          </w:tcPr>
          <w:p w14:paraId="728138E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994" w:type="dxa"/>
            <w:tcBorders>
              <w:top w:val="nil"/>
              <w:left w:val="nil"/>
              <w:bottom w:val="nil"/>
              <w:right w:val="nil"/>
            </w:tcBorders>
            <w:shd w:val="clear" w:color="auto" w:fill="auto"/>
            <w:vAlign w:val="bottom"/>
            <w:hideMark/>
          </w:tcPr>
          <w:p w14:paraId="627182FC"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29" w:type="dxa"/>
            <w:tcBorders>
              <w:top w:val="nil"/>
              <w:left w:val="nil"/>
              <w:bottom w:val="nil"/>
              <w:right w:val="nil"/>
            </w:tcBorders>
            <w:shd w:val="clear" w:color="auto" w:fill="auto"/>
            <w:vAlign w:val="bottom"/>
            <w:hideMark/>
          </w:tcPr>
          <w:p w14:paraId="37BAE1E0"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30" w:type="dxa"/>
            <w:tcBorders>
              <w:top w:val="nil"/>
              <w:left w:val="nil"/>
              <w:bottom w:val="nil"/>
              <w:right w:val="nil"/>
            </w:tcBorders>
            <w:shd w:val="clear" w:color="auto" w:fill="auto"/>
            <w:vAlign w:val="bottom"/>
            <w:hideMark/>
          </w:tcPr>
          <w:p w14:paraId="17783089"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263" w:type="dxa"/>
            <w:tcBorders>
              <w:top w:val="nil"/>
              <w:left w:val="nil"/>
              <w:bottom w:val="nil"/>
              <w:right w:val="nil"/>
            </w:tcBorders>
            <w:shd w:val="clear" w:color="auto" w:fill="auto"/>
            <w:vAlign w:val="bottom"/>
            <w:hideMark/>
          </w:tcPr>
          <w:p w14:paraId="78EAA94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34" w:type="dxa"/>
            <w:tcBorders>
              <w:top w:val="nil"/>
              <w:left w:val="nil"/>
              <w:bottom w:val="nil"/>
              <w:right w:val="nil"/>
            </w:tcBorders>
            <w:shd w:val="clear" w:color="auto" w:fill="auto"/>
            <w:vAlign w:val="bottom"/>
            <w:hideMark/>
          </w:tcPr>
          <w:p w14:paraId="5D6DA4E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35" w:type="dxa"/>
            <w:tcBorders>
              <w:top w:val="nil"/>
              <w:left w:val="nil"/>
              <w:bottom w:val="nil"/>
              <w:right w:val="nil"/>
            </w:tcBorders>
            <w:shd w:val="clear" w:color="auto" w:fill="auto"/>
            <w:vAlign w:val="bottom"/>
            <w:hideMark/>
          </w:tcPr>
          <w:p w14:paraId="525CC32E"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5" w:type="dxa"/>
            <w:tcBorders>
              <w:top w:val="nil"/>
              <w:left w:val="nil"/>
              <w:bottom w:val="nil"/>
              <w:right w:val="nil"/>
            </w:tcBorders>
            <w:shd w:val="clear" w:color="auto" w:fill="auto"/>
            <w:vAlign w:val="bottom"/>
            <w:hideMark/>
          </w:tcPr>
          <w:p w14:paraId="4BB8A68F"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70" w:type="dxa"/>
            <w:tcBorders>
              <w:top w:val="nil"/>
              <w:left w:val="nil"/>
              <w:bottom w:val="nil"/>
              <w:right w:val="nil"/>
            </w:tcBorders>
            <w:shd w:val="clear" w:color="auto" w:fill="auto"/>
            <w:vAlign w:val="bottom"/>
            <w:hideMark/>
          </w:tcPr>
          <w:p w14:paraId="05DA968B"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8DC53E2" w14:textId="77777777" w:rsidTr="003057FB">
        <w:trPr>
          <w:trHeight w:val="285"/>
        </w:trPr>
        <w:tc>
          <w:tcPr>
            <w:tcW w:w="3655" w:type="dxa"/>
            <w:tcBorders>
              <w:top w:val="nil"/>
              <w:left w:val="nil"/>
              <w:bottom w:val="nil"/>
              <w:right w:val="nil"/>
            </w:tcBorders>
            <w:shd w:val="clear" w:color="auto" w:fill="auto"/>
            <w:noWrap/>
            <w:vAlign w:val="bottom"/>
            <w:hideMark/>
          </w:tcPr>
          <w:p w14:paraId="51806D62"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Employee expenses </w:t>
            </w:r>
          </w:p>
        </w:tc>
        <w:tc>
          <w:tcPr>
            <w:tcW w:w="994" w:type="dxa"/>
            <w:tcBorders>
              <w:top w:val="nil"/>
              <w:left w:val="nil"/>
              <w:bottom w:val="nil"/>
              <w:right w:val="nil"/>
            </w:tcBorders>
            <w:shd w:val="clear" w:color="auto" w:fill="auto"/>
            <w:vAlign w:val="bottom"/>
            <w:hideMark/>
          </w:tcPr>
          <w:p w14:paraId="46F11A93" w14:textId="77777777" w:rsidR="00B9311E" w:rsidRPr="00BD77D8" w:rsidRDefault="00B9311E" w:rsidP="00B9311E">
            <w:pPr>
              <w:spacing w:after="0" w:line="240" w:lineRule="auto"/>
              <w:jc w:val="right"/>
              <w:rPr>
                <w:b/>
                <w:bCs/>
                <w:sz w:val="16"/>
                <w:szCs w:val="16"/>
              </w:rPr>
            </w:pPr>
            <w:r w:rsidRPr="00BD77D8">
              <w:rPr>
                <w:b/>
                <w:bCs/>
                <w:sz w:val="16"/>
                <w:szCs w:val="16"/>
              </w:rPr>
              <w:t xml:space="preserve">     176,439 </w:t>
            </w:r>
          </w:p>
        </w:tc>
        <w:tc>
          <w:tcPr>
            <w:tcW w:w="991" w:type="dxa"/>
            <w:tcBorders>
              <w:top w:val="nil"/>
              <w:left w:val="nil"/>
              <w:bottom w:val="nil"/>
              <w:right w:val="nil"/>
            </w:tcBorders>
            <w:shd w:val="clear" w:color="auto" w:fill="auto"/>
            <w:vAlign w:val="bottom"/>
            <w:hideMark/>
          </w:tcPr>
          <w:p w14:paraId="2A95484E" w14:textId="77777777" w:rsidR="00B9311E" w:rsidRPr="00BD77D8" w:rsidRDefault="00B9311E" w:rsidP="00B9311E">
            <w:pPr>
              <w:spacing w:after="0" w:line="240" w:lineRule="auto"/>
              <w:jc w:val="right"/>
              <w:rPr>
                <w:sz w:val="16"/>
                <w:szCs w:val="16"/>
              </w:rPr>
            </w:pPr>
            <w:r w:rsidRPr="00BD77D8">
              <w:rPr>
                <w:sz w:val="16"/>
                <w:szCs w:val="16"/>
              </w:rPr>
              <w:t xml:space="preserve">      177,589 </w:t>
            </w:r>
          </w:p>
        </w:tc>
        <w:tc>
          <w:tcPr>
            <w:tcW w:w="854" w:type="dxa"/>
            <w:tcBorders>
              <w:top w:val="nil"/>
              <w:left w:val="nil"/>
              <w:bottom w:val="nil"/>
              <w:right w:val="nil"/>
            </w:tcBorders>
            <w:shd w:val="clear" w:color="auto" w:fill="auto"/>
            <w:vAlign w:val="bottom"/>
            <w:hideMark/>
          </w:tcPr>
          <w:p w14:paraId="3C039614" w14:textId="77777777" w:rsidR="00B9311E" w:rsidRPr="00BD77D8" w:rsidRDefault="00B9311E" w:rsidP="00B9311E">
            <w:pPr>
              <w:spacing w:after="0" w:line="240" w:lineRule="auto"/>
              <w:jc w:val="right"/>
              <w:rPr>
                <w:b/>
                <w:bCs/>
                <w:sz w:val="16"/>
                <w:szCs w:val="16"/>
              </w:rPr>
            </w:pPr>
            <w:r w:rsidRPr="00BD77D8">
              <w:rPr>
                <w:b/>
                <w:bCs/>
                <w:sz w:val="16"/>
                <w:szCs w:val="16"/>
              </w:rPr>
              <w:t xml:space="preserve">         1,024 </w:t>
            </w:r>
          </w:p>
        </w:tc>
        <w:tc>
          <w:tcPr>
            <w:tcW w:w="994" w:type="dxa"/>
            <w:tcBorders>
              <w:top w:val="nil"/>
              <w:left w:val="nil"/>
              <w:bottom w:val="nil"/>
              <w:right w:val="nil"/>
            </w:tcBorders>
            <w:shd w:val="clear" w:color="auto" w:fill="auto"/>
            <w:vAlign w:val="bottom"/>
            <w:hideMark/>
          </w:tcPr>
          <w:p w14:paraId="70A14A84" w14:textId="77777777" w:rsidR="00B9311E" w:rsidRPr="00BD77D8" w:rsidRDefault="00B9311E" w:rsidP="00B9311E">
            <w:pPr>
              <w:spacing w:after="0" w:line="240" w:lineRule="auto"/>
              <w:jc w:val="right"/>
              <w:rPr>
                <w:sz w:val="16"/>
                <w:szCs w:val="16"/>
              </w:rPr>
            </w:pPr>
            <w:r w:rsidRPr="00BD77D8">
              <w:rPr>
                <w:sz w:val="16"/>
                <w:szCs w:val="16"/>
              </w:rPr>
              <w:t xml:space="preserve">              739 </w:t>
            </w:r>
          </w:p>
        </w:tc>
        <w:tc>
          <w:tcPr>
            <w:tcW w:w="1129" w:type="dxa"/>
            <w:tcBorders>
              <w:top w:val="nil"/>
              <w:left w:val="nil"/>
              <w:bottom w:val="nil"/>
              <w:right w:val="nil"/>
            </w:tcBorders>
            <w:shd w:val="clear" w:color="auto" w:fill="auto"/>
            <w:vAlign w:val="bottom"/>
            <w:hideMark/>
          </w:tcPr>
          <w:p w14:paraId="76B48E34" w14:textId="77777777" w:rsidR="00B9311E" w:rsidRPr="00BD77D8" w:rsidRDefault="00B9311E" w:rsidP="00B9311E">
            <w:pPr>
              <w:spacing w:after="0" w:line="240" w:lineRule="auto"/>
              <w:jc w:val="right"/>
              <w:rPr>
                <w:sz w:val="16"/>
                <w:szCs w:val="16"/>
              </w:rPr>
            </w:pPr>
            <w:r w:rsidRPr="00BD77D8">
              <w:rPr>
                <w:sz w:val="16"/>
                <w:szCs w:val="16"/>
              </w:rPr>
              <w:t xml:space="preserve">            5,743 </w:t>
            </w:r>
          </w:p>
        </w:tc>
        <w:tc>
          <w:tcPr>
            <w:tcW w:w="1130" w:type="dxa"/>
            <w:tcBorders>
              <w:top w:val="nil"/>
              <w:left w:val="nil"/>
              <w:bottom w:val="nil"/>
              <w:right w:val="nil"/>
            </w:tcBorders>
            <w:shd w:val="clear" w:color="auto" w:fill="auto"/>
            <w:vAlign w:val="bottom"/>
            <w:hideMark/>
          </w:tcPr>
          <w:p w14:paraId="07C06298" w14:textId="77777777" w:rsidR="00B9311E" w:rsidRPr="00BD77D8" w:rsidRDefault="00B9311E" w:rsidP="00B9311E">
            <w:pPr>
              <w:spacing w:after="0" w:line="240" w:lineRule="auto"/>
              <w:jc w:val="right"/>
              <w:rPr>
                <w:b/>
                <w:bCs/>
                <w:sz w:val="16"/>
                <w:szCs w:val="16"/>
              </w:rPr>
            </w:pPr>
            <w:r w:rsidRPr="00BD77D8">
              <w:rPr>
                <w:b/>
                <w:bCs/>
                <w:sz w:val="16"/>
                <w:szCs w:val="16"/>
              </w:rPr>
              <w:t xml:space="preserve">           17,271 </w:t>
            </w:r>
          </w:p>
        </w:tc>
        <w:tc>
          <w:tcPr>
            <w:tcW w:w="1263" w:type="dxa"/>
            <w:tcBorders>
              <w:top w:val="nil"/>
              <w:left w:val="nil"/>
              <w:bottom w:val="nil"/>
              <w:right w:val="nil"/>
            </w:tcBorders>
            <w:shd w:val="clear" w:color="auto" w:fill="auto"/>
            <w:vAlign w:val="bottom"/>
            <w:hideMark/>
          </w:tcPr>
          <w:p w14:paraId="7A9324E0" w14:textId="77777777" w:rsidR="00B9311E" w:rsidRPr="00BD77D8" w:rsidRDefault="00B9311E" w:rsidP="00B9311E">
            <w:pPr>
              <w:spacing w:after="0" w:line="240" w:lineRule="auto"/>
              <w:jc w:val="right"/>
              <w:rPr>
                <w:sz w:val="16"/>
                <w:szCs w:val="16"/>
              </w:rPr>
            </w:pPr>
            <w:r w:rsidRPr="00BD77D8">
              <w:rPr>
                <w:sz w:val="16"/>
                <w:szCs w:val="16"/>
              </w:rPr>
              <w:t xml:space="preserve">            10,473 </w:t>
            </w:r>
          </w:p>
        </w:tc>
        <w:tc>
          <w:tcPr>
            <w:tcW w:w="1134" w:type="dxa"/>
            <w:tcBorders>
              <w:top w:val="nil"/>
              <w:left w:val="nil"/>
              <w:bottom w:val="nil"/>
              <w:right w:val="nil"/>
            </w:tcBorders>
            <w:shd w:val="clear" w:color="auto" w:fill="auto"/>
            <w:vAlign w:val="bottom"/>
            <w:hideMark/>
          </w:tcPr>
          <w:p w14:paraId="79FAA666" w14:textId="77777777" w:rsidR="00B9311E" w:rsidRPr="00BD77D8" w:rsidRDefault="00B9311E" w:rsidP="00B9311E">
            <w:pPr>
              <w:spacing w:after="0" w:line="240" w:lineRule="auto"/>
              <w:jc w:val="right"/>
              <w:rPr>
                <w:b/>
                <w:bCs/>
                <w:sz w:val="16"/>
                <w:szCs w:val="16"/>
              </w:rPr>
            </w:pPr>
            <w:r w:rsidRPr="00BD77D8">
              <w:rPr>
                <w:b/>
                <w:bCs/>
                <w:sz w:val="16"/>
                <w:szCs w:val="16"/>
              </w:rPr>
              <w:t xml:space="preserve">           20,174 </w:t>
            </w:r>
          </w:p>
        </w:tc>
        <w:tc>
          <w:tcPr>
            <w:tcW w:w="1135" w:type="dxa"/>
            <w:tcBorders>
              <w:top w:val="nil"/>
              <w:left w:val="nil"/>
              <w:bottom w:val="nil"/>
              <w:right w:val="nil"/>
            </w:tcBorders>
            <w:shd w:val="clear" w:color="auto" w:fill="auto"/>
            <w:vAlign w:val="bottom"/>
            <w:hideMark/>
          </w:tcPr>
          <w:p w14:paraId="1FCE8F2B" w14:textId="77777777" w:rsidR="00B9311E" w:rsidRPr="00BD77D8" w:rsidRDefault="00B9311E" w:rsidP="00B9311E">
            <w:pPr>
              <w:spacing w:after="0" w:line="240" w:lineRule="auto"/>
              <w:jc w:val="right"/>
              <w:rPr>
                <w:sz w:val="16"/>
                <w:szCs w:val="16"/>
              </w:rPr>
            </w:pPr>
            <w:r w:rsidRPr="00BD77D8">
              <w:rPr>
                <w:sz w:val="16"/>
                <w:szCs w:val="16"/>
              </w:rPr>
              <w:t xml:space="preserve">            11,414 </w:t>
            </w:r>
          </w:p>
        </w:tc>
        <w:tc>
          <w:tcPr>
            <w:tcW w:w="1015" w:type="dxa"/>
            <w:tcBorders>
              <w:top w:val="nil"/>
              <w:left w:val="nil"/>
              <w:bottom w:val="nil"/>
              <w:right w:val="nil"/>
            </w:tcBorders>
            <w:shd w:val="clear" w:color="auto" w:fill="auto"/>
            <w:vAlign w:val="bottom"/>
            <w:hideMark/>
          </w:tcPr>
          <w:p w14:paraId="52571EB1" w14:textId="77777777" w:rsidR="00B9311E" w:rsidRPr="00BD77D8" w:rsidRDefault="00B9311E" w:rsidP="00B9311E">
            <w:pPr>
              <w:spacing w:after="0" w:line="240" w:lineRule="auto"/>
              <w:jc w:val="right"/>
              <w:rPr>
                <w:b/>
                <w:bCs/>
                <w:sz w:val="16"/>
                <w:szCs w:val="16"/>
              </w:rPr>
            </w:pPr>
            <w:r w:rsidRPr="00BD77D8">
              <w:rPr>
                <w:b/>
                <w:bCs/>
                <w:sz w:val="16"/>
                <w:szCs w:val="16"/>
              </w:rPr>
              <w:t xml:space="preserve">      214,908 </w:t>
            </w:r>
          </w:p>
        </w:tc>
        <w:tc>
          <w:tcPr>
            <w:tcW w:w="1070" w:type="dxa"/>
            <w:tcBorders>
              <w:top w:val="nil"/>
              <w:left w:val="nil"/>
              <w:bottom w:val="nil"/>
              <w:right w:val="nil"/>
            </w:tcBorders>
            <w:shd w:val="clear" w:color="auto" w:fill="auto"/>
            <w:vAlign w:val="bottom"/>
            <w:hideMark/>
          </w:tcPr>
          <w:p w14:paraId="73413D5F" w14:textId="77777777" w:rsidR="00B9311E" w:rsidRPr="00BD77D8" w:rsidRDefault="00B9311E" w:rsidP="00B9311E">
            <w:pPr>
              <w:spacing w:after="0" w:line="240" w:lineRule="auto"/>
              <w:jc w:val="right"/>
              <w:rPr>
                <w:sz w:val="16"/>
                <w:szCs w:val="16"/>
              </w:rPr>
            </w:pPr>
            <w:r w:rsidRPr="00BD77D8">
              <w:rPr>
                <w:sz w:val="16"/>
                <w:szCs w:val="16"/>
              </w:rPr>
              <w:t xml:space="preserve">      205,688 </w:t>
            </w:r>
          </w:p>
        </w:tc>
      </w:tr>
      <w:tr w:rsidR="00BD77D8" w:rsidRPr="00BD77D8" w14:paraId="547065A0" w14:textId="77777777" w:rsidTr="003057FB">
        <w:trPr>
          <w:trHeight w:val="285"/>
        </w:trPr>
        <w:tc>
          <w:tcPr>
            <w:tcW w:w="3655" w:type="dxa"/>
            <w:tcBorders>
              <w:top w:val="nil"/>
              <w:left w:val="nil"/>
              <w:bottom w:val="nil"/>
              <w:right w:val="nil"/>
            </w:tcBorders>
            <w:shd w:val="clear" w:color="auto" w:fill="auto"/>
            <w:noWrap/>
            <w:vAlign w:val="bottom"/>
            <w:hideMark/>
          </w:tcPr>
          <w:p w14:paraId="278ACE02"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Supplies and services </w:t>
            </w:r>
          </w:p>
        </w:tc>
        <w:tc>
          <w:tcPr>
            <w:tcW w:w="994" w:type="dxa"/>
            <w:tcBorders>
              <w:top w:val="nil"/>
              <w:left w:val="nil"/>
              <w:bottom w:val="nil"/>
              <w:right w:val="nil"/>
            </w:tcBorders>
            <w:shd w:val="clear" w:color="auto" w:fill="auto"/>
            <w:vAlign w:val="bottom"/>
            <w:hideMark/>
          </w:tcPr>
          <w:p w14:paraId="130DF274" w14:textId="77777777" w:rsidR="00B9311E" w:rsidRPr="00BD77D8" w:rsidRDefault="00B9311E" w:rsidP="00B9311E">
            <w:pPr>
              <w:spacing w:after="0" w:line="240" w:lineRule="auto"/>
              <w:jc w:val="right"/>
              <w:rPr>
                <w:b/>
                <w:bCs/>
                <w:sz w:val="16"/>
                <w:szCs w:val="16"/>
              </w:rPr>
            </w:pPr>
            <w:r w:rsidRPr="00BD77D8">
              <w:rPr>
                <w:b/>
                <w:bCs/>
                <w:sz w:val="16"/>
                <w:szCs w:val="16"/>
              </w:rPr>
              <w:t xml:space="preserve">       42,908 </w:t>
            </w:r>
          </w:p>
        </w:tc>
        <w:tc>
          <w:tcPr>
            <w:tcW w:w="991" w:type="dxa"/>
            <w:tcBorders>
              <w:top w:val="nil"/>
              <w:left w:val="nil"/>
              <w:bottom w:val="nil"/>
              <w:right w:val="nil"/>
            </w:tcBorders>
            <w:shd w:val="clear" w:color="auto" w:fill="auto"/>
            <w:vAlign w:val="bottom"/>
            <w:hideMark/>
          </w:tcPr>
          <w:p w14:paraId="191B09CF" w14:textId="77777777" w:rsidR="00B9311E" w:rsidRPr="00BD77D8" w:rsidRDefault="00B9311E" w:rsidP="00B9311E">
            <w:pPr>
              <w:spacing w:after="0" w:line="240" w:lineRule="auto"/>
              <w:jc w:val="right"/>
              <w:rPr>
                <w:sz w:val="16"/>
                <w:szCs w:val="16"/>
              </w:rPr>
            </w:pPr>
            <w:r w:rsidRPr="00BD77D8">
              <w:rPr>
                <w:sz w:val="16"/>
                <w:szCs w:val="16"/>
              </w:rPr>
              <w:t xml:space="preserve">        45,983 </w:t>
            </w:r>
          </w:p>
        </w:tc>
        <w:tc>
          <w:tcPr>
            <w:tcW w:w="854" w:type="dxa"/>
            <w:tcBorders>
              <w:top w:val="nil"/>
              <w:left w:val="nil"/>
              <w:bottom w:val="nil"/>
              <w:right w:val="nil"/>
            </w:tcBorders>
            <w:shd w:val="clear" w:color="auto" w:fill="auto"/>
            <w:vAlign w:val="bottom"/>
            <w:hideMark/>
          </w:tcPr>
          <w:p w14:paraId="3D54107C" w14:textId="77777777" w:rsidR="00B9311E" w:rsidRPr="00BD77D8" w:rsidRDefault="00B9311E" w:rsidP="00B9311E">
            <w:pPr>
              <w:spacing w:after="0" w:line="240" w:lineRule="auto"/>
              <w:jc w:val="right"/>
              <w:rPr>
                <w:b/>
                <w:bCs/>
                <w:sz w:val="16"/>
                <w:szCs w:val="16"/>
              </w:rPr>
            </w:pPr>
            <w:r w:rsidRPr="00BD77D8">
              <w:rPr>
                <w:b/>
                <w:bCs/>
                <w:sz w:val="16"/>
                <w:szCs w:val="16"/>
              </w:rPr>
              <w:t xml:space="preserve">       10,387 </w:t>
            </w:r>
          </w:p>
        </w:tc>
        <w:tc>
          <w:tcPr>
            <w:tcW w:w="994" w:type="dxa"/>
            <w:tcBorders>
              <w:top w:val="nil"/>
              <w:left w:val="nil"/>
              <w:bottom w:val="nil"/>
              <w:right w:val="nil"/>
            </w:tcBorders>
            <w:shd w:val="clear" w:color="auto" w:fill="auto"/>
            <w:vAlign w:val="bottom"/>
            <w:hideMark/>
          </w:tcPr>
          <w:p w14:paraId="5D09270F" w14:textId="77777777" w:rsidR="00B9311E" w:rsidRPr="00BD77D8" w:rsidRDefault="00B9311E" w:rsidP="00B9311E">
            <w:pPr>
              <w:spacing w:after="0" w:line="240" w:lineRule="auto"/>
              <w:jc w:val="right"/>
              <w:rPr>
                <w:sz w:val="16"/>
                <w:szCs w:val="16"/>
              </w:rPr>
            </w:pPr>
            <w:r w:rsidRPr="00BD77D8">
              <w:rPr>
                <w:sz w:val="16"/>
                <w:szCs w:val="16"/>
              </w:rPr>
              <w:t xml:space="preserve">         10,402 </w:t>
            </w:r>
          </w:p>
        </w:tc>
        <w:tc>
          <w:tcPr>
            <w:tcW w:w="1129" w:type="dxa"/>
            <w:tcBorders>
              <w:top w:val="nil"/>
              <w:left w:val="nil"/>
              <w:bottom w:val="nil"/>
              <w:right w:val="nil"/>
            </w:tcBorders>
            <w:shd w:val="clear" w:color="auto" w:fill="auto"/>
            <w:vAlign w:val="bottom"/>
            <w:hideMark/>
          </w:tcPr>
          <w:p w14:paraId="432C4543" w14:textId="77777777" w:rsidR="00B9311E" w:rsidRPr="00BD77D8" w:rsidRDefault="00B9311E" w:rsidP="00B9311E">
            <w:pPr>
              <w:spacing w:after="0" w:line="240" w:lineRule="auto"/>
              <w:jc w:val="right"/>
              <w:rPr>
                <w:sz w:val="16"/>
                <w:szCs w:val="16"/>
              </w:rPr>
            </w:pPr>
            <w:r w:rsidRPr="00BD77D8">
              <w:rPr>
                <w:sz w:val="16"/>
                <w:szCs w:val="16"/>
              </w:rPr>
              <w:t xml:space="preserve">          51,827 </w:t>
            </w:r>
          </w:p>
        </w:tc>
        <w:tc>
          <w:tcPr>
            <w:tcW w:w="1130" w:type="dxa"/>
            <w:tcBorders>
              <w:top w:val="nil"/>
              <w:left w:val="nil"/>
              <w:bottom w:val="nil"/>
              <w:right w:val="nil"/>
            </w:tcBorders>
            <w:shd w:val="clear" w:color="auto" w:fill="auto"/>
            <w:vAlign w:val="bottom"/>
            <w:hideMark/>
          </w:tcPr>
          <w:p w14:paraId="1469FAE0" w14:textId="77777777" w:rsidR="00B9311E" w:rsidRPr="00BD77D8" w:rsidRDefault="00B9311E" w:rsidP="00B9311E">
            <w:pPr>
              <w:spacing w:after="0" w:line="240" w:lineRule="auto"/>
              <w:jc w:val="right"/>
              <w:rPr>
                <w:b/>
                <w:bCs/>
                <w:sz w:val="16"/>
                <w:szCs w:val="16"/>
              </w:rPr>
            </w:pPr>
            <w:r w:rsidRPr="00BD77D8">
              <w:rPr>
                <w:b/>
                <w:bCs/>
                <w:sz w:val="16"/>
                <w:szCs w:val="16"/>
              </w:rPr>
              <w:t xml:space="preserve">             6,804 </w:t>
            </w:r>
          </w:p>
        </w:tc>
        <w:tc>
          <w:tcPr>
            <w:tcW w:w="1263" w:type="dxa"/>
            <w:tcBorders>
              <w:top w:val="nil"/>
              <w:left w:val="nil"/>
              <w:bottom w:val="nil"/>
              <w:right w:val="nil"/>
            </w:tcBorders>
            <w:shd w:val="clear" w:color="auto" w:fill="auto"/>
            <w:vAlign w:val="bottom"/>
            <w:hideMark/>
          </w:tcPr>
          <w:p w14:paraId="40CA2D8E" w14:textId="77777777" w:rsidR="00B9311E" w:rsidRPr="00BD77D8" w:rsidRDefault="00B9311E" w:rsidP="00B9311E">
            <w:pPr>
              <w:spacing w:after="0" w:line="240" w:lineRule="auto"/>
              <w:jc w:val="right"/>
              <w:rPr>
                <w:sz w:val="16"/>
                <w:szCs w:val="16"/>
              </w:rPr>
            </w:pPr>
            <w:r w:rsidRPr="00BD77D8">
              <w:rPr>
                <w:sz w:val="16"/>
                <w:szCs w:val="16"/>
              </w:rPr>
              <w:t xml:space="preserve">              4,419 </w:t>
            </w:r>
          </w:p>
        </w:tc>
        <w:tc>
          <w:tcPr>
            <w:tcW w:w="1134" w:type="dxa"/>
            <w:tcBorders>
              <w:top w:val="nil"/>
              <w:left w:val="nil"/>
              <w:bottom w:val="nil"/>
              <w:right w:val="nil"/>
            </w:tcBorders>
            <w:shd w:val="clear" w:color="auto" w:fill="auto"/>
            <w:vAlign w:val="bottom"/>
            <w:hideMark/>
          </w:tcPr>
          <w:p w14:paraId="274273AF" w14:textId="77777777" w:rsidR="00B9311E" w:rsidRPr="00BD77D8" w:rsidRDefault="00B9311E" w:rsidP="00B9311E">
            <w:pPr>
              <w:spacing w:after="0" w:line="240" w:lineRule="auto"/>
              <w:jc w:val="right"/>
              <w:rPr>
                <w:b/>
                <w:bCs/>
                <w:sz w:val="16"/>
                <w:szCs w:val="16"/>
              </w:rPr>
            </w:pPr>
            <w:r w:rsidRPr="00BD77D8">
              <w:rPr>
                <w:b/>
                <w:bCs/>
                <w:sz w:val="16"/>
                <w:szCs w:val="16"/>
              </w:rPr>
              <w:t xml:space="preserve">             7,537 </w:t>
            </w:r>
          </w:p>
        </w:tc>
        <w:tc>
          <w:tcPr>
            <w:tcW w:w="1135" w:type="dxa"/>
            <w:tcBorders>
              <w:top w:val="nil"/>
              <w:left w:val="nil"/>
              <w:bottom w:val="nil"/>
              <w:right w:val="nil"/>
            </w:tcBorders>
            <w:shd w:val="clear" w:color="auto" w:fill="auto"/>
            <w:vAlign w:val="bottom"/>
            <w:hideMark/>
          </w:tcPr>
          <w:p w14:paraId="3B5CC4E9" w14:textId="77777777" w:rsidR="00B9311E" w:rsidRPr="00BD77D8" w:rsidRDefault="00B9311E" w:rsidP="00B9311E">
            <w:pPr>
              <w:spacing w:after="0" w:line="240" w:lineRule="auto"/>
              <w:jc w:val="right"/>
              <w:rPr>
                <w:sz w:val="16"/>
                <w:szCs w:val="16"/>
              </w:rPr>
            </w:pPr>
            <w:r w:rsidRPr="00BD77D8">
              <w:rPr>
                <w:sz w:val="16"/>
                <w:szCs w:val="16"/>
              </w:rPr>
              <w:t xml:space="preserve">              3,908 </w:t>
            </w:r>
          </w:p>
        </w:tc>
        <w:tc>
          <w:tcPr>
            <w:tcW w:w="1015" w:type="dxa"/>
            <w:tcBorders>
              <w:top w:val="nil"/>
              <w:left w:val="nil"/>
              <w:bottom w:val="nil"/>
              <w:right w:val="nil"/>
            </w:tcBorders>
            <w:shd w:val="clear" w:color="auto" w:fill="auto"/>
            <w:vAlign w:val="bottom"/>
            <w:hideMark/>
          </w:tcPr>
          <w:p w14:paraId="70FAEB4B" w14:textId="77777777" w:rsidR="00B9311E" w:rsidRPr="00BD77D8" w:rsidRDefault="00B9311E" w:rsidP="00B9311E">
            <w:pPr>
              <w:spacing w:after="0" w:line="240" w:lineRule="auto"/>
              <w:jc w:val="right"/>
              <w:rPr>
                <w:b/>
                <w:bCs/>
                <w:sz w:val="16"/>
                <w:szCs w:val="16"/>
              </w:rPr>
            </w:pPr>
            <w:r w:rsidRPr="00BD77D8">
              <w:rPr>
                <w:b/>
                <w:bCs/>
                <w:sz w:val="16"/>
                <w:szCs w:val="16"/>
              </w:rPr>
              <w:t xml:space="preserve">        67,636 </w:t>
            </w:r>
          </w:p>
        </w:tc>
        <w:tc>
          <w:tcPr>
            <w:tcW w:w="1070" w:type="dxa"/>
            <w:tcBorders>
              <w:top w:val="nil"/>
              <w:left w:val="nil"/>
              <w:bottom w:val="nil"/>
              <w:right w:val="nil"/>
            </w:tcBorders>
            <w:shd w:val="clear" w:color="auto" w:fill="auto"/>
            <w:vAlign w:val="bottom"/>
            <w:hideMark/>
          </w:tcPr>
          <w:p w14:paraId="6521957A" w14:textId="77777777" w:rsidR="00B9311E" w:rsidRPr="00BD77D8" w:rsidRDefault="00B9311E" w:rsidP="00B9311E">
            <w:pPr>
              <w:spacing w:after="0" w:line="240" w:lineRule="auto"/>
              <w:jc w:val="right"/>
              <w:rPr>
                <w:sz w:val="16"/>
                <w:szCs w:val="16"/>
              </w:rPr>
            </w:pPr>
            <w:r w:rsidRPr="00BD77D8">
              <w:rPr>
                <w:sz w:val="16"/>
                <w:szCs w:val="16"/>
              </w:rPr>
              <w:t xml:space="preserve">      116,539 </w:t>
            </w:r>
          </w:p>
        </w:tc>
      </w:tr>
      <w:tr w:rsidR="00BD77D8" w:rsidRPr="00BD77D8" w14:paraId="44FAF542" w14:textId="77777777" w:rsidTr="003057FB">
        <w:trPr>
          <w:trHeight w:val="285"/>
        </w:trPr>
        <w:tc>
          <w:tcPr>
            <w:tcW w:w="3655" w:type="dxa"/>
            <w:tcBorders>
              <w:top w:val="nil"/>
              <w:left w:val="nil"/>
              <w:bottom w:val="nil"/>
              <w:right w:val="nil"/>
            </w:tcBorders>
            <w:shd w:val="clear" w:color="auto" w:fill="auto"/>
            <w:noWrap/>
            <w:vAlign w:val="bottom"/>
            <w:hideMark/>
          </w:tcPr>
          <w:p w14:paraId="76F79213"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Grants and Subsidies </w:t>
            </w:r>
          </w:p>
        </w:tc>
        <w:tc>
          <w:tcPr>
            <w:tcW w:w="994" w:type="dxa"/>
            <w:tcBorders>
              <w:top w:val="nil"/>
              <w:left w:val="nil"/>
              <w:bottom w:val="nil"/>
              <w:right w:val="nil"/>
            </w:tcBorders>
            <w:shd w:val="clear" w:color="auto" w:fill="auto"/>
            <w:vAlign w:val="bottom"/>
            <w:hideMark/>
          </w:tcPr>
          <w:p w14:paraId="12ABD2C6" w14:textId="77777777" w:rsidR="00B9311E" w:rsidRPr="00BD77D8" w:rsidRDefault="00B9311E" w:rsidP="00B9311E">
            <w:pPr>
              <w:spacing w:after="0" w:line="240" w:lineRule="auto"/>
              <w:jc w:val="right"/>
              <w:rPr>
                <w:b/>
                <w:bCs/>
                <w:sz w:val="16"/>
                <w:szCs w:val="16"/>
              </w:rPr>
            </w:pPr>
            <w:r w:rsidRPr="00BD77D8">
              <w:rPr>
                <w:b/>
                <w:bCs/>
                <w:sz w:val="16"/>
                <w:szCs w:val="16"/>
              </w:rPr>
              <w:t xml:space="preserve">         4,541 </w:t>
            </w:r>
          </w:p>
        </w:tc>
        <w:tc>
          <w:tcPr>
            <w:tcW w:w="991" w:type="dxa"/>
            <w:tcBorders>
              <w:top w:val="nil"/>
              <w:left w:val="nil"/>
              <w:bottom w:val="nil"/>
              <w:right w:val="nil"/>
            </w:tcBorders>
            <w:shd w:val="clear" w:color="auto" w:fill="auto"/>
            <w:vAlign w:val="bottom"/>
            <w:hideMark/>
          </w:tcPr>
          <w:p w14:paraId="64C1B0BF" w14:textId="77777777" w:rsidR="00B9311E" w:rsidRPr="00BD77D8" w:rsidRDefault="00B9311E" w:rsidP="00B9311E">
            <w:pPr>
              <w:spacing w:after="0" w:line="240" w:lineRule="auto"/>
              <w:jc w:val="right"/>
              <w:rPr>
                <w:sz w:val="16"/>
                <w:szCs w:val="16"/>
              </w:rPr>
            </w:pPr>
            <w:r w:rsidRPr="00BD77D8">
              <w:rPr>
                <w:sz w:val="16"/>
                <w:szCs w:val="16"/>
              </w:rPr>
              <w:t xml:space="preserve">          4,099 </w:t>
            </w:r>
          </w:p>
        </w:tc>
        <w:tc>
          <w:tcPr>
            <w:tcW w:w="854" w:type="dxa"/>
            <w:tcBorders>
              <w:top w:val="nil"/>
              <w:left w:val="nil"/>
              <w:bottom w:val="nil"/>
              <w:right w:val="nil"/>
            </w:tcBorders>
            <w:shd w:val="clear" w:color="auto" w:fill="auto"/>
            <w:vAlign w:val="bottom"/>
            <w:hideMark/>
          </w:tcPr>
          <w:p w14:paraId="75A67FC7" w14:textId="77777777" w:rsidR="00B9311E" w:rsidRPr="00BD77D8" w:rsidRDefault="00B9311E" w:rsidP="00B9311E">
            <w:pPr>
              <w:spacing w:after="0" w:line="240" w:lineRule="auto"/>
              <w:jc w:val="right"/>
              <w:rPr>
                <w:b/>
                <w:bCs/>
                <w:sz w:val="16"/>
                <w:szCs w:val="16"/>
              </w:rPr>
            </w:pPr>
            <w:r w:rsidRPr="00BD77D8">
              <w:rPr>
                <w:b/>
                <w:bCs/>
                <w:sz w:val="16"/>
                <w:szCs w:val="16"/>
              </w:rPr>
              <w:t xml:space="preserve">            223 </w:t>
            </w:r>
          </w:p>
        </w:tc>
        <w:tc>
          <w:tcPr>
            <w:tcW w:w="994" w:type="dxa"/>
            <w:tcBorders>
              <w:top w:val="nil"/>
              <w:left w:val="nil"/>
              <w:bottom w:val="nil"/>
              <w:right w:val="nil"/>
            </w:tcBorders>
            <w:shd w:val="clear" w:color="auto" w:fill="auto"/>
            <w:vAlign w:val="bottom"/>
            <w:hideMark/>
          </w:tcPr>
          <w:p w14:paraId="0F80E0D1" w14:textId="77777777" w:rsidR="00B9311E" w:rsidRPr="00BD77D8" w:rsidRDefault="00B9311E" w:rsidP="00B9311E">
            <w:pPr>
              <w:spacing w:after="0" w:line="240" w:lineRule="auto"/>
              <w:jc w:val="right"/>
              <w:rPr>
                <w:sz w:val="16"/>
                <w:szCs w:val="16"/>
              </w:rPr>
            </w:pPr>
            <w:r w:rsidRPr="00BD77D8">
              <w:rPr>
                <w:sz w:val="16"/>
                <w:szCs w:val="16"/>
              </w:rPr>
              <w:t xml:space="preserve">              520 </w:t>
            </w:r>
          </w:p>
        </w:tc>
        <w:tc>
          <w:tcPr>
            <w:tcW w:w="1129" w:type="dxa"/>
            <w:tcBorders>
              <w:top w:val="nil"/>
              <w:left w:val="nil"/>
              <w:bottom w:val="nil"/>
              <w:right w:val="nil"/>
            </w:tcBorders>
            <w:shd w:val="clear" w:color="auto" w:fill="auto"/>
            <w:vAlign w:val="bottom"/>
            <w:hideMark/>
          </w:tcPr>
          <w:p w14:paraId="5E3D7E93" w14:textId="77777777" w:rsidR="00B9311E" w:rsidRPr="00BD77D8" w:rsidRDefault="00B9311E" w:rsidP="00B9311E">
            <w:pPr>
              <w:spacing w:after="0" w:line="240" w:lineRule="auto"/>
              <w:jc w:val="right"/>
              <w:rPr>
                <w:sz w:val="16"/>
                <w:szCs w:val="16"/>
              </w:rPr>
            </w:pPr>
            <w:r w:rsidRPr="00BD77D8">
              <w:rPr>
                <w:sz w:val="16"/>
                <w:szCs w:val="16"/>
              </w:rPr>
              <w:t xml:space="preserve">            9,221 </w:t>
            </w:r>
          </w:p>
        </w:tc>
        <w:tc>
          <w:tcPr>
            <w:tcW w:w="1130" w:type="dxa"/>
            <w:tcBorders>
              <w:top w:val="nil"/>
              <w:left w:val="nil"/>
              <w:bottom w:val="nil"/>
              <w:right w:val="nil"/>
            </w:tcBorders>
            <w:shd w:val="clear" w:color="auto" w:fill="auto"/>
            <w:vAlign w:val="bottom"/>
            <w:hideMark/>
          </w:tcPr>
          <w:p w14:paraId="782DC6A2" w14:textId="77777777" w:rsidR="00B9311E" w:rsidRPr="00BD77D8" w:rsidRDefault="00B9311E" w:rsidP="00B9311E">
            <w:pPr>
              <w:spacing w:after="0" w:line="240" w:lineRule="auto"/>
              <w:jc w:val="right"/>
              <w:rPr>
                <w:b/>
                <w:bCs/>
                <w:sz w:val="16"/>
                <w:szCs w:val="16"/>
              </w:rPr>
            </w:pPr>
            <w:r w:rsidRPr="00BD77D8">
              <w:rPr>
                <w:b/>
                <w:bCs/>
                <w:sz w:val="16"/>
                <w:szCs w:val="16"/>
              </w:rPr>
              <w:t xml:space="preserve">             4,070 </w:t>
            </w:r>
          </w:p>
        </w:tc>
        <w:tc>
          <w:tcPr>
            <w:tcW w:w="1263" w:type="dxa"/>
            <w:tcBorders>
              <w:top w:val="nil"/>
              <w:left w:val="nil"/>
              <w:bottom w:val="nil"/>
              <w:right w:val="nil"/>
            </w:tcBorders>
            <w:shd w:val="clear" w:color="auto" w:fill="auto"/>
            <w:vAlign w:val="bottom"/>
            <w:hideMark/>
          </w:tcPr>
          <w:p w14:paraId="0F2A3103" w14:textId="77777777" w:rsidR="00B9311E" w:rsidRPr="00BD77D8" w:rsidRDefault="00B9311E" w:rsidP="00B9311E">
            <w:pPr>
              <w:spacing w:after="0" w:line="240" w:lineRule="auto"/>
              <w:jc w:val="right"/>
              <w:rPr>
                <w:sz w:val="16"/>
                <w:szCs w:val="16"/>
              </w:rPr>
            </w:pPr>
            <w:r w:rsidRPr="00BD77D8">
              <w:rPr>
                <w:sz w:val="16"/>
                <w:szCs w:val="16"/>
              </w:rPr>
              <w:t xml:space="preserve">              1,202 </w:t>
            </w:r>
          </w:p>
        </w:tc>
        <w:tc>
          <w:tcPr>
            <w:tcW w:w="1134" w:type="dxa"/>
            <w:tcBorders>
              <w:top w:val="nil"/>
              <w:left w:val="nil"/>
              <w:bottom w:val="nil"/>
              <w:right w:val="nil"/>
            </w:tcBorders>
            <w:shd w:val="clear" w:color="auto" w:fill="auto"/>
            <w:vAlign w:val="bottom"/>
            <w:hideMark/>
          </w:tcPr>
          <w:p w14:paraId="60A6F2D1" w14:textId="77777777" w:rsidR="00B9311E" w:rsidRPr="00BD77D8" w:rsidRDefault="00B9311E" w:rsidP="00B9311E">
            <w:pPr>
              <w:spacing w:after="0" w:line="240" w:lineRule="auto"/>
              <w:jc w:val="right"/>
              <w:rPr>
                <w:b/>
                <w:bCs/>
                <w:sz w:val="16"/>
                <w:szCs w:val="16"/>
              </w:rPr>
            </w:pPr>
            <w:r w:rsidRPr="00BD77D8">
              <w:rPr>
                <w:b/>
                <w:bCs/>
                <w:sz w:val="16"/>
                <w:szCs w:val="16"/>
              </w:rPr>
              <w:t xml:space="preserve">             7,029 </w:t>
            </w:r>
          </w:p>
        </w:tc>
        <w:tc>
          <w:tcPr>
            <w:tcW w:w="1135" w:type="dxa"/>
            <w:tcBorders>
              <w:top w:val="nil"/>
              <w:left w:val="nil"/>
              <w:bottom w:val="nil"/>
              <w:right w:val="nil"/>
            </w:tcBorders>
            <w:shd w:val="clear" w:color="auto" w:fill="auto"/>
            <w:vAlign w:val="bottom"/>
            <w:hideMark/>
          </w:tcPr>
          <w:p w14:paraId="7FBE14A3" w14:textId="77777777" w:rsidR="00B9311E" w:rsidRPr="00BD77D8" w:rsidRDefault="00B9311E" w:rsidP="00B9311E">
            <w:pPr>
              <w:spacing w:after="0" w:line="240" w:lineRule="auto"/>
              <w:jc w:val="right"/>
              <w:rPr>
                <w:sz w:val="16"/>
                <w:szCs w:val="16"/>
              </w:rPr>
            </w:pPr>
            <w:r w:rsidRPr="00BD77D8">
              <w:rPr>
                <w:sz w:val="16"/>
                <w:szCs w:val="16"/>
              </w:rPr>
              <w:t xml:space="preserve">              1,721 </w:t>
            </w:r>
          </w:p>
        </w:tc>
        <w:tc>
          <w:tcPr>
            <w:tcW w:w="1015" w:type="dxa"/>
            <w:tcBorders>
              <w:top w:val="nil"/>
              <w:left w:val="nil"/>
              <w:bottom w:val="nil"/>
              <w:right w:val="nil"/>
            </w:tcBorders>
            <w:shd w:val="clear" w:color="auto" w:fill="auto"/>
            <w:vAlign w:val="bottom"/>
            <w:hideMark/>
          </w:tcPr>
          <w:p w14:paraId="3A2AB3D1" w14:textId="77777777" w:rsidR="00B9311E" w:rsidRPr="00BD77D8" w:rsidRDefault="00B9311E" w:rsidP="00B9311E">
            <w:pPr>
              <w:spacing w:after="0" w:line="240" w:lineRule="auto"/>
              <w:jc w:val="right"/>
              <w:rPr>
                <w:b/>
                <w:bCs/>
                <w:sz w:val="16"/>
                <w:szCs w:val="16"/>
              </w:rPr>
            </w:pPr>
            <w:r w:rsidRPr="00BD77D8">
              <w:rPr>
                <w:b/>
                <w:bCs/>
                <w:sz w:val="16"/>
                <w:szCs w:val="16"/>
              </w:rPr>
              <w:t xml:space="preserve">        15,863 </w:t>
            </w:r>
          </w:p>
        </w:tc>
        <w:tc>
          <w:tcPr>
            <w:tcW w:w="1070" w:type="dxa"/>
            <w:tcBorders>
              <w:top w:val="nil"/>
              <w:left w:val="nil"/>
              <w:bottom w:val="nil"/>
              <w:right w:val="nil"/>
            </w:tcBorders>
            <w:shd w:val="clear" w:color="auto" w:fill="auto"/>
            <w:vAlign w:val="bottom"/>
            <w:hideMark/>
          </w:tcPr>
          <w:p w14:paraId="1341237C" w14:textId="77777777" w:rsidR="00B9311E" w:rsidRPr="00BD77D8" w:rsidRDefault="00B9311E" w:rsidP="00B9311E">
            <w:pPr>
              <w:spacing w:after="0" w:line="240" w:lineRule="auto"/>
              <w:jc w:val="right"/>
              <w:rPr>
                <w:sz w:val="16"/>
                <w:szCs w:val="16"/>
              </w:rPr>
            </w:pPr>
            <w:r w:rsidRPr="00BD77D8">
              <w:rPr>
                <w:sz w:val="16"/>
                <w:szCs w:val="16"/>
              </w:rPr>
              <w:t xml:space="preserve">        16,763 </w:t>
            </w:r>
          </w:p>
        </w:tc>
      </w:tr>
      <w:tr w:rsidR="00BD77D8" w:rsidRPr="00BD77D8" w14:paraId="7348B19B" w14:textId="77777777" w:rsidTr="003057FB">
        <w:trPr>
          <w:trHeight w:val="285"/>
        </w:trPr>
        <w:tc>
          <w:tcPr>
            <w:tcW w:w="3655" w:type="dxa"/>
            <w:tcBorders>
              <w:top w:val="nil"/>
              <w:left w:val="nil"/>
              <w:bottom w:val="nil"/>
              <w:right w:val="nil"/>
            </w:tcBorders>
            <w:shd w:val="clear" w:color="auto" w:fill="auto"/>
            <w:noWrap/>
            <w:vAlign w:val="bottom"/>
            <w:hideMark/>
          </w:tcPr>
          <w:p w14:paraId="6A9FBB11"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Depreciation and amortisation </w:t>
            </w:r>
          </w:p>
        </w:tc>
        <w:tc>
          <w:tcPr>
            <w:tcW w:w="994" w:type="dxa"/>
            <w:tcBorders>
              <w:top w:val="nil"/>
              <w:left w:val="nil"/>
              <w:bottom w:val="nil"/>
              <w:right w:val="nil"/>
            </w:tcBorders>
            <w:shd w:val="clear" w:color="auto" w:fill="auto"/>
            <w:vAlign w:val="bottom"/>
            <w:hideMark/>
          </w:tcPr>
          <w:p w14:paraId="0CD87011" w14:textId="77777777" w:rsidR="00B9311E" w:rsidRPr="00BD77D8" w:rsidRDefault="00B9311E" w:rsidP="00B9311E">
            <w:pPr>
              <w:spacing w:after="0" w:line="240" w:lineRule="auto"/>
              <w:jc w:val="right"/>
              <w:rPr>
                <w:b/>
                <w:bCs/>
                <w:sz w:val="16"/>
                <w:szCs w:val="16"/>
              </w:rPr>
            </w:pPr>
            <w:r w:rsidRPr="00BD77D8">
              <w:rPr>
                <w:b/>
                <w:bCs/>
                <w:sz w:val="16"/>
                <w:szCs w:val="16"/>
              </w:rPr>
              <w:t xml:space="preserve">         2,852 </w:t>
            </w:r>
          </w:p>
        </w:tc>
        <w:tc>
          <w:tcPr>
            <w:tcW w:w="991" w:type="dxa"/>
            <w:tcBorders>
              <w:top w:val="nil"/>
              <w:left w:val="nil"/>
              <w:bottom w:val="nil"/>
              <w:right w:val="nil"/>
            </w:tcBorders>
            <w:shd w:val="clear" w:color="auto" w:fill="auto"/>
            <w:vAlign w:val="bottom"/>
            <w:hideMark/>
          </w:tcPr>
          <w:p w14:paraId="664FFD70" w14:textId="77777777" w:rsidR="00B9311E" w:rsidRPr="00BD77D8" w:rsidRDefault="00B9311E" w:rsidP="00B9311E">
            <w:pPr>
              <w:spacing w:after="0" w:line="240" w:lineRule="auto"/>
              <w:jc w:val="right"/>
              <w:rPr>
                <w:sz w:val="16"/>
                <w:szCs w:val="16"/>
              </w:rPr>
            </w:pPr>
            <w:r w:rsidRPr="00BD77D8">
              <w:rPr>
                <w:sz w:val="16"/>
                <w:szCs w:val="16"/>
              </w:rPr>
              <w:t xml:space="preserve">          3,368 </w:t>
            </w:r>
          </w:p>
        </w:tc>
        <w:tc>
          <w:tcPr>
            <w:tcW w:w="854" w:type="dxa"/>
            <w:tcBorders>
              <w:top w:val="nil"/>
              <w:left w:val="nil"/>
              <w:bottom w:val="nil"/>
              <w:right w:val="nil"/>
            </w:tcBorders>
            <w:shd w:val="clear" w:color="auto" w:fill="auto"/>
            <w:vAlign w:val="bottom"/>
            <w:hideMark/>
          </w:tcPr>
          <w:p w14:paraId="25BA938C" w14:textId="77777777" w:rsidR="00B9311E" w:rsidRPr="00BD77D8" w:rsidRDefault="00B9311E" w:rsidP="00B9311E">
            <w:pPr>
              <w:spacing w:after="0" w:line="240" w:lineRule="auto"/>
              <w:jc w:val="right"/>
              <w:rPr>
                <w:b/>
                <w:bCs/>
                <w:sz w:val="16"/>
                <w:szCs w:val="16"/>
              </w:rPr>
            </w:pPr>
            <w:r w:rsidRPr="00BD77D8">
              <w:rPr>
                <w:b/>
                <w:bCs/>
                <w:sz w:val="16"/>
                <w:szCs w:val="16"/>
              </w:rPr>
              <w:t xml:space="preserve">              28 </w:t>
            </w:r>
          </w:p>
        </w:tc>
        <w:tc>
          <w:tcPr>
            <w:tcW w:w="994" w:type="dxa"/>
            <w:tcBorders>
              <w:top w:val="nil"/>
              <w:left w:val="nil"/>
              <w:bottom w:val="nil"/>
              <w:right w:val="nil"/>
            </w:tcBorders>
            <w:shd w:val="clear" w:color="auto" w:fill="auto"/>
            <w:vAlign w:val="bottom"/>
            <w:hideMark/>
          </w:tcPr>
          <w:p w14:paraId="01BB1DE2"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0276072D" w14:textId="77777777" w:rsidR="00B9311E" w:rsidRPr="00BD77D8" w:rsidRDefault="00B9311E" w:rsidP="00B9311E">
            <w:pPr>
              <w:spacing w:after="0" w:line="240" w:lineRule="auto"/>
              <w:jc w:val="right"/>
              <w:rPr>
                <w:sz w:val="16"/>
                <w:szCs w:val="16"/>
              </w:rPr>
            </w:pPr>
            <w:r w:rsidRPr="00BD77D8">
              <w:rPr>
                <w:sz w:val="16"/>
                <w:szCs w:val="16"/>
              </w:rPr>
              <w:t xml:space="preserve">               980 </w:t>
            </w:r>
          </w:p>
        </w:tc>
        <w:tc>
          <w:tcPr>
            <w:tcW w:w="1130" w:type="dxa"/>
            <w:tcBorders>
              <w:top w:val="nil"/>
              <w:left w:val="nil"/>
              <w:bottom w:val="nil"/>
              <w:right w:val="nil"/>
            </w:tcBorders>
            <w:shd w:val="clear" w:color="auto" w:fill="auto"/>
            <w:vAlign w:val="bottom"/>
            <w:hideMark/>
          </w:tcPr>
          <w:p w14:paraId="04FDF2F0" w14:textId="77777777" w:rsidR="00B9311E" w:rsidRPr="00BD77D8" w:rsidRDefault="00B9311E" w:rsidP="00B9311E">
            <w:pPr>
              <w:spacing w:after="0" w:line="240" w:lineRule="auto"/>
              <w:jc w:val="right"/>
              <w:rPr>
                <w:b/>
                <w:bCs/>
                <w:sz w:val="16"/>
                <w:szCs w:val="16"/>
              </w:rPr>
            </w:pPr>
            <w:r w:rsidRPr="00BD77D8">
              <w:rPr>
                <w:b/>
                <w:bCs/>
                <w:sz w:val="16"/>
                <w:szCs w:val="16"/>
              </w:rPr>
              <w:t xml:space="preserve">                  55 </w:t>
            </w:r>
          </w:p>
        </w:tc>
        <w:tc>
          <w:tcPr>
            <w:tcW w:w="1263" w:type="dxa"/>
            <w:tcBorders>
              <w:top w:val="nil"/>
              <w:left w:val="nil"/>
              <w:bottom w:val="nil"/>
              <w:right w:val="nil"/>
            </w:tcBorders>
            <w:shd w:val="clear" w:color="auto" w:fill="auto"/>
            <w:vAlign w:val="bottom"/>
            <w:hideMark/>
          </w:tcPr>
          <w:p w14:paraId="1D5DA465" w14:textId="77777777" w:rsidR="00B9311E" w:rsidRPr="00BD77D8" w:rsidRDefault="00B9311E" w:rsidP="00B9311E">
            <w:pPr>
              <w:spacing w:after="0" w:line="240" w:lineRule="auto"/>
              <w:jc w:val="right"/>
              <w:rPr>
                <w:sz w:val="16"/>
                <w:szCs w:val="16"/>
              </w:rPr>
            </w:pPr>
            <w:r w:rsidRPr="00BD77D8">
              <w:rPr>
                <w:sz w:val="16"/>
                <w:szCs w:val="16"/>
              </w:rPr>
              <w:t xml:space="preserve">                   39 </w:t>
            </w:r>
          </w:p>
        </w:tc>
        <w:tc>
          <w:tcPr>
            <w:tcW w:w="1134" w:type="dxa"/>
            <w:tcBorders>
              <w:top w:val="nil"/>
              <w:left w:val="nil"/>
              <w:bottom w:val="nil"/>
              <w:right w:val="nil"/>
            </w:tcBorders>
            <w:shd w:val="clear" w:color="auto" w:fill="auto"/>
            <w:vAlign w:val="bottom"/>
            <w:hideMark/>
          </w:tcPr>
          <w:p w14:paraId="2C788648" w14:textId="77777777" w:rsidR="00B9311E" w:rsidRPr="00BD77D8" w:rsidRDefault="00B9311E" w:rsidP="00B9311E">
            <w:pPr>
              <w:spacing w:after="0" w:line="240" w:lineRule="auto"/>
              <w:jc w:val="right"/>
              <w:rPr>
                <w:b/>
                <w:bCs/>
                <w:sz w:val="16"/>
                <w:szCs w:val="16"/>
              </w:rPr>
            </w:pPr>
            <w:r w:rsidRPr="00BD77D8">
              <w:rPr>
                <w:b/>
                <w:bCs/>
                <w:sz w:val="16"/>
                <w:szCs w:val="16"/>
              </w:rPr>
              <w:t xml:space="preserve">                849 </w:t>
            </w:r>
          </w:p>
        </w:tc>
        <w:tc>
          <w:tcPr>
            <w:tcW w:w="1135" w:type="dxa"/>
            <w:tcBorders>
              <w:top w:val="nil"/>
              <w:left w:val="nil"/>
              <w:bottom w:val="nil"/>
              <w:right w:val="nil"/>
            </w:tcBorders>
            <w:shd w:val="clear" w:color="auto" w:fill="auto"/>
            <w:vAlign w:val="bottom"/>
            <w:hideMark/>
          </w:tcPr>
          <w:p w14:paraId="26C43EC7" w14:textId="77777777" w:rsidR="00B9311E" w:rsidRPr="00BD77D8" w:rsidRDefault="00B9311E" w:rsidP="00B9311E">
            <w:pPr>
              <w:spacing w:after="0" w:line="240" w:lineRule="auto"/>
              <w:jc w:val="right"/>
              <w:rPr>
                <w:sz w:val="16"/>
                <w:szCs w:val="16"/>
              </w:rPr>
            </w:pPr>
            <w:r w:rsidRPr="00BD77D8">
              <w:rPr>
                <w:sz w:val="16"/>
                <w:szCs w:val="16"/>
              </w:rPr>
              <w:t xml:space="preserve">                 664 </w:t>
            </w:r>
          </w:p>
        </w:tc>
        <w:tc>
          <w:tcPr>
            <w:tcW w:w="1015" w:type="dxa"/>
            <w:tcBorders>
              <w:top w:val="nil"/>
              <w:left w:val="nil"/>
              <w:bottom w:val="nil"/>
              <w:right w:val="nil"/>
            </w:tcBorders>
            <w:shd w:val="clear" w:color="auto" w:fill="auto"/>
            <w:vAlign w:val="bottom"/>
            <w:hideMark/>
          </w:tcPr>
          <w:p w14:paraId="51A9267B" w14:textId="77777777" w:rsidR="00B9311E" w:rsidRPr="00BD77D8" w:rsidRDefault="00B9311E" w:rsidP="00B9311E">
            <w:pPr>
              <w:spacing w:after="0" w:line="240" w:lineRule="auto"/>
              <w:jc w:val="right"/>
              <w:rPr>
                <w:b/>
                <w:bCs/>
                <w:sz w:val="16"/>
                <w:szCs w:val="16"/>
              </w:rPr>
            </w:pPr>
            <w:r w:rsidRPr="00BD77D8">
              <w:rPr>
                <w:b/>
                <w:bCs/>
                <w:sz w:val="16"/>
                <w:szCs w:val="16"/>
              </w:rPr>
              <w:t xml:space="preserve">          3,784 </w:t>
            </w:r>
          </w:p>
        </w:tc>
        <w:tc>
          <w:tcPr>
            <w:tcW w:w="1070" w:type="dxa"/>
            <w:tcBorders>
              <w:top w:val="nil"/>
              <w:left w:val="nil"/>
              <w:bottom w:val="nil"/>
              <w:right w:val="nil"/>
            </w:tcBorders>
            <w:shd w:val="clear" w:color="auto" w:fill="auto"/>
            <w:vAlign w:val="bottom"/>
            <w:hideMark/>
          </w:tcPr>
          <w:p w14:paraId="61361822" w14:textId="77777777" w:rsidR="00B9311E" w:rsidRPr="00BD77D8" w:rsidRDefault="00B9311E" w:rsidP="00B9311E">
            <w:pPr>
              <w:spacing w:after="0" w:line="240" w:lineRule="auto"/>
              <w:jc w:val="right"/>
              <w:rPr>
                <w:sz w:val="16"/>
                <w:szCs w:val="16"/>
              </w:rPr>
            </w:pPr>
            <w:r w:rsidRPr="00BD77D8">
              <w:rPr>
                <w:sz w:val="16"/>
                <w:szCs w:val="16"/>
              </w:rPr>
              <w:t xml:space="preserve">          5,051 </w:t>
            </w:r>
          </w:p>
        </w:tc>
      </w:tr>
      <w:tr w:rsidR="00BD77D8" w:rsidRPr="00BD77D8" w14:paraId="056F8068" w14:textId="77777777" w:rsidTr="003057FB">
        <w:trPr>
          <w:trHeight w:val="285"/>
        </w:trPr>
        <w:tc>
          <w:tcPr>
            <w:tcW w:w="3655" w:type="dxa"/>
            <w:tcBorders>
              <w:top w:val="nil"/>
              <w:left w:val="nil"/>
              <w:bottom w:val="nil"/>
              <w:right w:val="nil"/>
            </w:tcBorders>
            <w:shd w:val="clear" w:color="auto" w:fill="auto"/>
            <w:noWrap/>
            <w:vAlign w:val="bottom"/>
            <w:hideMark/>
          </w:tcPr>
          <w:p w14:paraId="46D27EAB"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Impairment losses on financial assets </w:t>
            </w:r>
          </w:p>
        </w:tc>
        <w:tc>
          <w:tcPr>
            <w:tcW w:w="994" w:type="dxa"/>
            <w:tcBorders>
              <w:top w:val="nil"/>
              <w:left w:val="nil"/>
              <w:bottom w:val="nil"/>
              <w:right w:val="nil"/>
            </w:tcBorders>
            <w:shd w:val="clear" w:color="auto" w:fill="auto"/>
            <w:vAlign w:val="bottom"/>
            <w:hideMark/>
          </w:tcPr>
          <w:p w14:paraId="14524D9A" w14:textId="77777777" w:rsidR="00B9311E" w:rsidRPr="00BD77D8" w:rsidRDefault="00B9311E" w:rsidP="00B9311E">
            <w:pPr>
              <w:spacing w:after="0" w:line="240" w:lineRule="auto"/>
              <w:jc w:val="right"/>
              <w:rPr>
                <w:b/>
                <w:bCs/>
                <w:sz w:val="16"/>
                <w:szCs w:val="16"/>
              </w:rPr>
            </w:pPr>
            <w:r w:rsidRPr="00BD77D8">
              <w:rPr>
                <w:b/>
                <w:bCs/>
                <w:sz w:val="16"/>
                <w:szCs w:val="16"/>
              </w:rPr>
              <w:t xml:space="preserve">          (227)</w:t>
            </w:r>
          </w:p>
        </w:tc>
        <w:tc>
          <w:tcPr>
            <w:tcW w:w="991" w:type="dxa"/>
            <w:tcBorders>
              <w:top w:val="nil"/>
              <w:left w:val="nil"/>
              <w:bottom w:val="nil"/>
              <w:right w:val="nil"/>
            </w:tcBorders>
            <w:shd w:val="clear" w:color="auto" w:fill="auto"/>
            <w:vAlign w:val="bottom"/>
            <w:hideMark/>
          </w:tcPr>
          <w:p w14:paraId="3477BA81" w14:textId="77777777" w:rsidR="00B9311E" w:rsidRPr="00BD77D8" w:rsidRDefault="00B9311E" w:rsidP="00B9311E">
            <w:pPr>
              <w:spacing w:after="0" w:line="240" w:lineRule="auto"/>
              <w:jc w:val="right"/>
              <w:rPr>
                <w:sz w:val="16"/>
                <w:szCs w:val="16"/>
              </w:rPr>
            </w:pPr>
            <w:r w:rsidRPr="00BD77D8">
              <w:rPr>
                <w:sz w:val="16"/>
                <w:szCs w:val="16"/>
              </w:rPr>
              <w:t xml:space="preserve">             (57)</w:t>
            </w:r>
          </w:p>
        </w:tc>
        <w:tc>
          <w:tcPr>
            <w:tcW w:w="854" w:type="dxa"/>
            <w:tcBorders>
              <w:top w:val="nil"/>
              <w:left w:val="nil"/>
              <w:bottom w:val="nil"/>
              <w:right w:val="nil"/>
            </w:tcBorders>
            <w:shd w:val="clear" w:color="auto" w:fill="auto"/>
            <w:vAlign w:val="bottom"/>
            <w:hideMark/>
          </w:tcPr>
          <w:p w14:paraId="703AAB1F" w14:textId="77777777" w:rsidR="00B9311E" w:rsidRPr="00BD77D8" w:rsidRDefault="00B9311E" w:rsidP="00B9311E">
            <w:pPr>
              <w:spacing w:after="0" w:line="240" w:lineRule="auto"/>
              <w:jc w:val="right"/>
              <w:rPr>
                <w:b/>
                <w:bCs/>
                <w:sz w:val="16"/>
                <w:szCs w:val="16"/>
              </w:rPr>
            </w:pPr>
            <w:r w:rsidRPr="00BD77D8">
              <w:rPr>
                <w:b/>
                <w:bCs/>
                <w:sz w:val="16"/>
                <w:szCs w:val="16"/>
              </w:rPr>
              <w:t xml:space="preserve">            755 </w:t>
            </w:r>
          </w:p>
        </w:tc>
        <w:tc>
          <w:tcPr>
            <w:tcW w:w="994" w:type="dxa"/>
            <w:tcBorders>
              <w:top w:val="nil"/>
              <w:left w:val="nil"/>
              <w:bottom w:val="nil"/>
              <w:right w:val="nil"/>
            </w:tcBorders>
            <w:shd w:val="clear" w:color="auto" w:fill="auto"/>
            <w:vAlign w:val="bottom"/>
            <w:hideMark/>
          </w:tcPr>
          <w:p w14:paraId="15C3B050"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0F4F9DD8"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nil"/>
              <w:left w:val="nil"/>
              <w:bottom w:val="nil"/>
              <w:right w:val="nil"/>
            </w:tcBorders>
            <w:shd w:val="clear" w:color="auto" w:fill="auto"/>
            <w:vAlign w:val="bottom"/>
            <w:hideMark/>
          </w:tcPr>
          <w:p w14:paraId="7C672475" w14:textId="77777777" w:rsidR="00B9311E" w:rsidRPr="00BD77D8" w:rsidRDefault="00B9311E" w:rsidP="00B9311E">
            <w:pPr>
              <w:spacing w:after="0" w:line="240" w:lineRule="auto"/>
              <w:jc w:val="right"/>
              <w:rPr>
                <w:b/>
                <w:bCs/>
                <w:sz w:val="16"/>
                <w:szCs w:val="16"/>
              </w:rPr>
            </w:pPr>
            <w:r w:rsidRPr="00BD77D8">
              <w:rPr>
                <w:b/>
                <w:bCs/>
                <w:sz w:val="16"/>
                <w:szCs w:val="16"/>
              </w:rPr>
              <w:t xml:space="preserve">                    2 </w:t>
            </w:r>
          </w:p>
        </w:tc>
        <w:tc>
          <w:tcPr>
            <w:tcW w:w="1263" w:type="dxa"/>
            <w:tcBorders>
              <w:top w:val="nil"/>
              <w:left w:val="nil"/>
              <w:bottom w:val="nil"/>
              <w:right w:val="nil"/>
            </w:tcBorders>
            <w:shd w:val="clear" w:color="auto" w:fill="auto"/>
            <w:vAlign w:val="bottom"/>
            <w:hideMark/>
          </w:tcPr>
          <w:p w14:paraId="1BEE972A"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4" w:type="dxa"/>
            <w:tcBorders>
              <w:top w:val="nil"/>
              <w:left w:val="nil"/>
              <w:bottom w:val="nil"/>
              <w:right w:val="nil"/>
            </w:tcBorders>
            <w:shd w:val="clear" w:color="auto" w:fill="auto"/>
            <w:vAlign w:val="bottom"/>
            <w:hideMark/>
          </w:tcPr>
          <w:p w14:paraId="2B29E713" w14:textId="77777777" w:rsidR="00B9311E" w:rsidRPr="00BD77D8" w:rsidRDefault="00B9311E" w:rsidP="00B9311E">
            <w:pPr>
              <w:spacing w:after="0" w:line="240" w:lineRule="auto"/>
              <w:jc w:val="right"/>
              <w:rPr>
                <w:b/>
                <w:bCs/>
                <w:sz w:val="16"/>
                <w:szCs w:val="16"/>
              </w:rPr>
            </w:pPr>
            <w:r w:rsidRPr="00BD77D8">
              <w:rPr>
                <w:b/>
                <w:bCs/>
                <w:sz w:val="16"/>
                <w:szCs w:val="16"/>
              </w:rPr>
              <w:t xml:space="preserve">                    1 </w:t>
            </w:r>
          </w:p>
        </w:tc>
        <w:tc>
          <w:tcPr>
            <w:tcW w:w="1135" w:type="dxa"/>
            <w:tcBorders>
              <w:top w:val="nil"/>
              <w:left w:val="nil"/>
              <w:bottom w:val="nil"/>
              <w:right w:val="nil"/>
            </w:tcBorders>
            <w:shd w:val="clear" w:color="auto" w:fill="auto"/>
            <w:vAlign w:val="bottom"/>
            <w:hideMark/>
          </w:tcPr>
          <w:p w14:paraId="01927BF4"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015" w:type="dxa"/>
            <w:tcBorders>
              <w:top w:val="nil"/>
              <w:left w:val="nil"/>
              <w:bottom w:val="nil"/>
              <w:right w:val="nil"/>
            </w:tcBorders>
            <w:shd w:val="clear" w:color="auto" w:fill="auto"/>
            <w:vAlign w:val="bottom"/>
            <w:hideMark/>
          </w:tcPr>
          <w:p w14:paraId="6BA9EE05" w14:textId="77777777" w:rsidR="00B9311E" w:rsidRPr="00BD77D8" w:rsidRDefault="00B9311E" w:rsidP="00B9311E">
            <w:pPr>
              <w:spacing w:after="0" w:line="240" w:lineRule="auto"/>
              <w:jc w:val="right"/>
              <w:rPr>
                <w:b/>
                <w:bCs/>
                <w:sz w:val="16"/>
                <w:szCs w:val="16"/>
              </w:rPr>
            </w:pPr>
            <w:r w:rsidRPr="00BD77D8">
              <w:rPr>
                <w:b/>
                <w:bCs/>
                <w:sz w:val="16"/>
                <w:szCs w:val="16"/>
              </w:rPr>
              <w:t xml:space="preserve">             531 </w:t>
            </w:r>
          </w:p>
        </w:tc>
        <w:tc>
          <w:tcPr>
            <w:tcW w:w="1070" w:type="dxa"/>
            <w:tcBorders>
              <w:top w:val="nil"/>
              <w:left w:val="nil"/>
              <w:bottom w:val="nil"/>
              <w:right w:val="nil"/>
            </w:tcBorders>
            <w:shd w:val="clear" w:color="auto" w:fill="auto"/>
            <w:vAlign w:val="bottom"/>
            <w:hideMark/>
          </w:tcPr>
          <w:p w14:paraId="711D205D" w14:textId="77777777" w:rsidR="00B9311E" w:rsidRPr="00BD77D8" w:rsidRDefault="00B9311E" w:rsidP="00B9311E">
            <w:pPr>
              <w:spacing w:after="0" w:line="240" w:lineRule="auto"/>
              <w:jc w:val="right"/>
              <w:rPr>
                <w:sz w:val="16"/>
                <w:szCs w:val="16"/>
              </w:rPr>
            </w:pPr>
            <w:r w:rsidRPr="00BD77D8">
              <w:rPr>
                <w:sz w:val="16"/>
                <w:szCs w:val="16"/>
              </w:rPr>
              <w:t xml:space="preserve">             (57)</w:t>
            </w:r>
          </w:p>
        </w:tc>
      </w:tr>
      <w:tr w:rsidR="00BD77D8" w:rsidRPr="00BD77D8" w14:paraId="470FF28C" w14:textId="77777777" w:rsidTr="003057FB">
        <w:trPr>
          <w:trHeight w:val="285"/>
        </w:trPr>
        <w:tc>
          <w:tcPr>
            <w:tcW w:w="3655" w:type="dxa"/>
            <w:tcBorders>
              <w:top w:val="nil"/>
              <w:left w:val="nil"/>
              <w:bottom w:val="nil"/>
              <w:right w:val="nil"/>
            </w:tcBorders>
            <w:shd w:val="clear" w:color="auto" w:fill="auto"/>
            <w:noWrap/>
            <w:vAlign w:val="bottom"/>
            <w:hideMark/>
          </w:tcPr>
          <w:p w14:paraId="219DC98F"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Other Expenses </w:t>
            </w:r>
          </w:p>
        </w:tc>
        <w:tc>
          <w:tcPr>
            <w:tcW w:w="994" w:type="dxa"/>
            <w:tcBorders>
              <w:top w:val="nil"/>
              <w:left w:val="nil"/>
              <w:bottom w:val="nil"/>
              <w:right w:val="nil"/>
            </w:tcBorders>
            <w:shd w:val="clear" w:color="auto" w:fill="auto"/>
            <w:vAlign w:val="bottom"/>
            <w:hideMark/>
          </w:tcPr>
          <w:p w14:paraId="3D4A3A22" w14:textId="77777777" w:rsidR="00B9311E" w:rsidRPr="00BD77D8" w:rsidRDefault="00B9311E" w:rsidP="00B9311E">
            <w:pPr>
              <w:spacing w:after="0" w:line="240" w:lineRule="auto"/>
              <w:jc w:val="right"/>
              <w:rPr>
                <w:b/>
                <w:bCs/>
                <w:sz w:val="16"/>
                <w:szCs w:val="16"/>
              </w:rPr>
            </w:pPr>
            <w:r w:rsidRPr="00BD77D8">
              <w:rPr>
                <w:b/>
                <w:bCs/>
                <w:sz w:val="16"/>
                <w:szCs w:val="16"/>
              </w:rPr>
              <w:t xml:space="preserve">         1,636 </w:t>
            </w:r>
          </w:p>
        </w:tc>
        <w:tc>
          <w:tcPr>
            <w:tcW w:w="991" w:type="dxa"/>
            <w:tcBorders>
              <w:top w:val="nil"/>
              <w:left w:val="nil"/>
              <w:bottom w:val="nil"/>
              <w:right w:val="nil"/>
            </w:tcBorders>
            <w:shd w:val="clear" w:color="auto" w:fill="auto"/>
            <w:vAlign w:val="bottom"/>
            <w:hideMark/>
          </w:tcPr>
          <w:p w14:paraId="63A4F341" w14:textId="77777777" w:rsidR="00B9311E" w:rsidRPr="00BD77D8" w:rsidRDefault="00B9311E" w:rsidP="00B9311E">
            <w:pPr>
              <w:spacing w:after="0" w:line="240" w:lineRule="auto"/>
              <w:jc w:val="right"/>
              <w:rPr>
                <w:sz w:val="16"/>
                <w:szCs w:val="16"/>
              </w:rPr>
            </w:pPr>
            <w:r w:rsidRPr="00BD77D8">
              <w:rPr>
                <w:sz w:val="16"/>
                <w:szCs w:val="16"/>
              </w:rPr>
              <w:t xml:space="preserve">             716 </w:t>
            </w:r>
          </w:p>
        </w:tc>
        <w:tc>
          <w:tcPr>
            <w:tcW w:w="854" w:type="dxa"/>
            <w:tcBorders>
              <w:top w:val="nil"/>
              <w:left w:val="nil"/>
              <w:bottom w:val="nil"/>
              <w:right w:val="nil"/>
            </w:tcBorders>
            <w:shd w:val="clear" w:color="auto" w:fill="auto"/>
            <w:vAlign w:val="bottom"/>
            <w:hideMark/>
          </w:tcPr>
          <w:p w14:paraId="4A14FAB3" w14:textId="77777777" w:rsidR="00B9311E" w:rsidRPr="00BD77D8" w:rsidRDefault="00B9311E" w:rsidP="00B9311E">
            <w:pPr>
              <w:spacing w:after="0" w:line="240" w:lineRule="auto"/>
              <w:jc w:val="right"/>
              <w:rPr>
                <w:b/>
                <w:bCs/>
                <w:sz w:val="16"/>
                <w:szCs w:val="16"/>
              </w:rPr>
            </w:pPr>
            <w:r w:rsidRPr="00BD77D8">
              <w:rPr>
                <w:b/>
                <w:bCs/>
                <w:sz w:val="16"/>
                <w:szCs w:val="16"/>
              </w:rPr>
              <w:t xml:space="preserve">                1 </w:t>
            </w:r>
          </w:p>
        </w:tc>
        <w:tc>
          <w:tcPr>
            <w:tcW w:w="994" w:type="dxa"/>
            <w:tcBorders>
              <w:top w:val="nil"/>
              <w:left w:val="nil"/>
              <w:bottom w:val="nil"/>
              <w:right w:val="nil"/>
            </w:tcBorders>
            <w:shd w:val="clear" w:color="auto" w:fill="auto"/>
            <w:vAlign w:val="bottom"/>
            <w:hideMark/>
          </w:tcPr>
          <w:p w14:paraId="21E2890F" w14:textId="77777777" w:rsidR="00B9311E" w:rsidRPr="00BD77D8" w:rsidRDefault="00B9311E" w:rsidP="00B9311E">
            <w:pPr>
              <w:spacing w:after="0" w:line="240" w:lineRule="auto"/>
              <w:jc w:val="right"/>
              <w:rPr>
                <w:sz w:val="16"/>
                <w:szCs w:val="16"/>
              </w:rPr>
            </w:pPr>
            <w:r w:rsidRPr="00BD77D8">
              <w:rPr>
                <w:sz w:val="16"/>
                <w:szCs w:val="16"/>
              </w:rPr>
              <w:t xml:space="preserve">                36 </w:t>
            </w:r>
          </w:p>
        </w:tc>
        <w:tc>
          <w:tcPr>
            <w:tcW w:w="1129" w:type="dxa"/>
            <w:tcBorders>
              <w:top w:val="nil"/>
              <w:left w:val="nil"/>
              <w:bottom w:val="nil"/>
              <w:right w:val="nil"/>
            </w:tcBorders>
            <w:shd w:val="clear" w:color="auto" w:fill="auto"/>
            <w:vAlign w:val="bottom"/>
            <w:hideMark/>
          </w:tcPr>
          <w:p w14:paraId="0AB0CABC" w14:textId="77777777" w:rsidR="00B9311E" w:rsidRPr="00BD77D8" w:rsidRDefault="00B9311E" w:rsidP="00B9311E">
            <w:pPr>
              <w:spacing w:after="0" w:line="240" w:lineRule="auto"/>
              <w:jc w:val="right"/>
              <w:rPr>
                <w:sz w:val="16"/>
                <w:szCs w:val="16"/>
              </w:rPr>
            </w:pPr>
            <w:r w:rsidRPr="00BD77D8">
              <w:rPr>
                <w:sz w:val="16"/>
                <w:szCs w:val="16"/>
              </w:rPr>
              <w:t xml:space="preserve">            1,874 </w:t>
            </w:r>
          </w:p>
        </w:tc>
        <w:tc>
          <w:tcPr>
            <w:tcW w:w="1130" w:type="dxa"/>
            <w:tcBorders>
              <w:top w:val="nil"/>
              <w:left w:val="nil"/>
              <w:bottom w:val="nil"/>
              <w:right w:val="nil"/>
            </w:tcBorders>
            <w:shd w:val="clear" w:color="auto" w:fill="auto"/>
            <w:vAlign w:val="bottom"/>
            <w:hideMark/>
          </w:tcPr>
          <w:p w14:paraId="3B5E504F" w14:textId="77777777" w:rsidR="00B9311E" w:rsidRPr="00BD77D8" w:rsidRDefault="00B9311E" w:rsidP="00B9311E">
            <w:pPr>
              <w:spacing w:after="0" w:line="240" w:lineRule="auto"/>
              <w:jc w:val="right"/>
              <w:rPr>
                <w:b/>
                <w:bCs/>
                <w:sz w:val="16"/>
                <w:szCs w:val="16"/>
              </w:rPr>
            </w:pPr>
            <w:r w:rsidRPr="00BD77D8">
              <w:rPr>
                <w:b/>
                <w:bCs/>
                <w:sz w:val="16"/>
                <w:szCs w:val="16"/>
              </w:rPr>
              <w:t xml:space="preserve">                266 </w:t>
            </w:r>
          </w:p>
        </w:tc>
        <w:tc>
          <w:tcPr>
            <w:tcW w:w="1263" w:type="dxa"/>
            <w:tcBorders>
              <w:top w:val="nil"/>
              <w:left w:val="nil"/>
              <w:bottom w:val="nil"/>
              <w:right w:val="nil"/>
            </w:tcBorders>
            <w:shd w:val="clear" w:color="auto" w:fill="auto"/>
            <w:vAlign w:val="bottom"/>
            <w:hideMark/>
          </w:tcPr>
          <w:p w14:paraId="2C3BC184" w14:textId="77777777" w:rsidR="00B9311E" w:rsidRPr="00BD77D8" w:rsidRDefault="00B9311E" w:rsidP="00B9311E">
            <w:pPr>
              <w:spacing w:after="0" w:line="240" w:lineRule="auto"/>
              <w:jc w:val="right"/>
              <w:rPr>
                <w:sz w:val="16"/>
                <w:szCs w:val="16"/>
              </w:rPr>
            </w:pPr>
            <w:r w:rsidRPr="00BD77D8">
              <w:rPr>
                <w:sz w:val="16"/>
                <w:szCs w:val="16"/>
              </w:rPr>
              <w:t xml:space="preserve">                 146 </w:t>
            </w:r>
          </w:p>
        </w:tc>
        <w:tc>
          <w:tcPr>
            <w:tcW w:w="1134" w:type="dxa"/>
            <w:tcBorders>
              <w:top w:val="nil"/>
              <w:left w:val="nil"/>
              <w:bottom w:val="nil"/>
              <w:right w:val="nil"/>
            </w:tcBorders>
            <w:shd w:val="clear" w:color="auto" w:fill="auto"/>
            <w:vAlign w:val="bottom"/>
            <w:hideMark/>
          </w:tcPr>
          <w:p w14:paraId="0B7B9E20" w14:textId="77777777" w:rsidR="00B9311E" w:rsidRPr="00BD77D8" w:rsidRDefault="00B9311E" w:rsidP="00B9311E">
            <w:pPr>
              <w:spacing w:after="0" w:line="240" w:lineRule="auto"/>
              <w:jc w:val="right"/>
              <w:rPr>
                <w:b/>
                <w:bCs/>
                <w:sz w:val="16"/>
                <w:szCs w:val="16"/>
              </w:rPr>
            </w:pPr>
            <w:r w:rsidRPr="00BD77D8">
              <w:rPr>
                <w:b/>
                <w:bCs/>
                <w:sz w:val="16"/>
                <w:szCs w:val="16"/>
              </w:rPr>
              <w:t xml:space="preserve">                311 </w:t>
            </w:r>
          </w:p>
        </w:tc>
        <w:tc>
          <w:tcPr>
            <w:tcW w:w="1135" w:type="dxa"/>
            <w:tcBorders>
              <w:top w:val="nil"/>
              <w:left w:val="nil"/>
              <w:bottom w:val="nil"/>
              <w:right w:val="nil"/>
            </w:tcBorders>
            <w:shd w:val="clear" w:color="auto" w:fill="auto"/>
            <w:vAlign w:val="bottom"/>
            <w:hideMark/>
          </w:tcPr>
          <w:p w14:paraId="206DFBCE" w14:textId="77777777" w:rsidR="00B9311E" w:rsidRPr="00BD77D8" w:rsidRDefault="00B9311E" w:rsidP="00B9311E">
            <w:pPr>
              <w:spacing w:after="0" w:line="240" w:lineRule="auto"/>
              <w:jc w:val="right"/>
              <w:rPr>
                <w:sz w:val="16"/>
                <w:szCs w:val="16"/>
              </w:rPr>
            </w:pPr>
            <w:r w:rsidRPr="00BD77D8">
              <w:rPr>
                <w:sz w:val="16"/>
                <w:szCs w:val="16"/>
              </w:rPr>
              <w:t xml:space="preserve">                 172 </w:t>
            </w:r>
          </w:p>
        </w:tc>
        <w:tc>
          <w:tcPr>
            <w:tcW w:w="1015" w:type="dxa"/>
            <w:tcBorders>
              <w:top w:val="nil"/>
              <w:left w:val="nil"/>
              <w:bottom w:val="nil"/>
              <w:right w:val="nil"/>
            </w:tcBorders>
            <w:shd w:val="clear" w:color="auto" w:fill="auto"/>
            <w:vAlign w:val="bottom"/>
            <w:hideMark/>
          </w:tcPr>
          <w:p w14:paraId="3661E0EF" w14:textId="77777777" w:rsidR="00B9311E" w:rsidRPr="00BD77D8" w:rsidRDefault="00B9311E" w:rsidP="00B9311E">
            <w:pPr>
              <w:spacing w:after="0" w:line="240" w:lineRule="auto"/>
              <w:jc w:val="right"/>
              <w:rPr>
                <w:b/>
                <w:bCs/>
                <w:sz w:val="16"/>
                <w:szCs w:val="16"/>
              </w:rPr>
            </w:pPr>
            <w:r w:rsidRPr="00BD77D8">
              <w:rPr>
                <w:b/>
                <w:bCs/>
                <w:sz w:val="16"/>
                <w:szCs w:val="16"/>
              </w:rPr>
              <w:t xml:space="preserve">          2,214 </w:t>
            </w:r>
          </w:p>
        </w:tc>
        <w:tc>
          <w:tcPr>
            <w:tcW w:w="1070" w:type="dxa"/>
            <w:tcBorders>
              <w:top w:val="nil"/>
              <w:left w:val="nil"/>
              <w:bottom w:val="nil"/>
              <w:right w:val="nil"/>
            </w:tcBorders>
            <w:shd w:val="clear" w:color="auto" w:fill="auto"/>
            <w:vAlign w:val="bottom"/>
            <w:hideMark/>
          </w:tcPr>
          <w:p w14:paraId="63FEF528" w14:textId="77777777" w:rsidR="00B9311E" w:rsidRPr="00BD77D8" w:rsidRDefault="00B9311E" w:rsidP="00B9311E">
            <w:pPr>
              <w:spacing w:after="0" w:line="240" w:lineRule="auto"/>
              <w:jc w:val="right"/>
              <w:rPr>
                <w:sz w:val="16"/>
                <w:szCs w:val="16"/>
              </w:rPr>
            </w:pPr>
            <w:r w:rsidRPr="00BD77D8">
              <w:rPr>
                <w:sz w:val="16"/>
                <w:szCs w:val="16"/>
              </w:rPr>
              <w:t xml:space="preserve">          2,944 </w:t>
            </w:r>
          </w:p>
        </w:tc>
      </w:tr>
      <w:tr w:rsidR="00BD77D8" w:rsidRPr="00BD77D8" w14:paraId="7328CE0C" w14:textId="77777777" w:rsidTr="003057FB">
        <w:trPr>
          <w:trHeight w:val="285"/>
        </w:trPr>
        <w:tc>
          <w:tcPr>
            <w:tcW w:w="3655" w:type="dxa"/>
            <w:tcBorders>
              <w:top w:val="nil"/>
              <w:left w:val="nil"/>
              <w:bottom w:val="nil"/>
              <w:right w:val="nil"/>
            </w:tcBorders>
            <w:shd w:val="clear" w:color="auto" w:fill="auto"/>
            <w:noWrap/>
            <w:vAlign w:val="bottom"/>
            <w:hideMark/>
          </w:tcPr>
          <w:p w14:paraId="49D8B7BB" w14:textId="77777777" w:rsidR="00B9311E" w:rsidRPr="00BD77D8" w:rsidRDefault="00B9311E" w:rsidP="00B9311E">
            <w:pPr>
              <w:spacing w:after="0" w:line="240" w:lineRule="auto"/>
              <w:ind w:firstLineChars="100" w:firstLine="160"/>
              <w:rPr>
                <w:sz w:val="16"/>
                <w:szCs w:val="16"/>
              </w:rPr>
            </w:pPr>
            <w:r w:rsidRPr="00BD77D8">
              <w:rPr>
                <w:sz w:val="16"/>
                <w:szCs w:val="16"/>
              </w:rPr>
              <w:t xml:space="preserve"> Revaluation Decrement    </w:t>
            </w:r>
          </w:p>
        </w:tc>
        <w:tc>
          <w:tcPr>
            <w:tcW w:w="994" w:type="dxa"/>
            <w:tcBorders>
              <w:top w:val="nil"/>
              <w:left w:val="nil"/>
              <w:bottom w:val="nil"/>
              <w:right w:val="nil"/>
            </w:tcBorders>
            <w:shd w:val="clear" w:color="auto" w:fill="auto"/>
            <w:vAlign w:val="bottom"/>
            <w:hideMark/>
          </w:tcPr>
          <w:p w14:paraId="1A0D56BB"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1" w:type="dxa"/>
            <w:tcBorders>
              <w:top w:val="nil"/>
              <w:left w:val="nil"/>
              <w:bottom w:val="nil"/>
              <w:right w:val="nil"/>
            </w:tcBorders>
            <w:shd w:val="clear" w:color="auto" w:fill="auto"/>
            <w:vAlign w:val="bottom"/>
            <w:hideMark/>
          </w:tcPr>
          <w:p w14:paraId="0CC4F697" w14:textId="77777777" w:rsidR="00B9311E" w:rsidRPr="00BD77D8" w:rsidRDefault="00B9311E" w:rsidP="00B9311E">
            <w:pPr>
              <w:spacing w:after="0" w:line="240" w:lineRule="auto"/>
              <w:jc w:val="right"/>
              <w:rPr>
                <w:sz w:val="16"/>
                <w:szCs w:val="16"/>
              </w:rPr>
            </w:pPr>
            <w:r w:rsidRPr="00BD77D8">
              <w:rPr>
                <w:sz w:val="16"/>
                <w:szCs w:val="16"/>
              </w:rPr>
              <w:t xml:space="preserve">             112 </w:t>
            </w:r>
          </w:p>
        </w:tc>
        <w:tc>
          <w:tcPr>
            <w:tcW w:w="854" w:type="dxa"/>
            <w:tcBorders>
              <w:top w:val="nil"/>
              <w:left w:val="nil"/>
              <w:bottom w:val="nil"/>
              <w:right w:val="nil"/>
            </w:tcBorders>
            <w:shd w:val="clear" w:color="auto" w:fill="auto"/>
            <w:vAlign w:val="bottom"/>
            <w:hideMark/>
          </w:tcPr>
          <w:p w14:paraId="7B34AA3C"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994" w:type="dxa"/>
            <w:tcBorders>
              <w:top w:val="nil"/>
              <w:left w:val="nil"/>
              <w:bottom w:val="nil"/>
              <w:right w:val="nil"/>
            </w:tcBorders>
            <w:shd w:val="clear" w:color="auto" w:fill="auto"/>
            <w:vAlign w:val="bottom"/>
            <w:hideMark/>
          </w:tcPr>
          <w:p w14:paraId="2E73C685"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29" w:type="dxa"/>
            <w:tcBorders>
              <w:top w:val="nil"/>
              <w:left w:val="nil"/>
              <w:bottom w:val="nil"/>
              <w:right w:val="nil"/>
            </w:tcBorders>
            <w:shd w:val="clear" w:color="auto" w:fill="auto"/>
            <w:vAlign w:val="bottom"/>
            <w:hideMark/>
          </w:tcPr>
          <w:p w14:paraId="2A93A692"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nil"/>
              <w:left w:val="nil"/>
              <w:bottom w:val="nil"/>
              <w:right w:val="nil"/>
            </w:tcBorders>
            <w:shd w:val="clear" w:color="auto" w:fill="auto"/>
            <w:vAlign w:val="bottom"/>
            <w:hideMark/>
          </w:tcPr>
          <w:p w14:paraId="7D6A0919"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263" w:type="dxa"/>
            <w:tcBorders>
              <w:top w:val="nil"/>
              <w:left w:val="nil"/>
              <w:bottom w:val="nil"/>
              <w:right w:val="nil"/>
            </w:tcBorders>
            <w:shd w:val="clear" w:color="auto" w:fill="auto"/>
            <w:vAlign w:val="bottom"/>
            <w:hideMark/>
          </w:tcPr>
          <w:p w14:paraId="67EC1105"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4" w:type="dxa"/>
            <w:tcBorders>
              <w:top w:val="nil"/>
              <w:left w:val="nil"/>
              <w:bottom w:val="nil"/>
              <w:right w:val="nil"/>
            </w:tcBorders>
            <w:shd w:val="clear" w:color="auto" w:fill="auto"/>
            <w:vAlign w:val="bottom"/>
            <w:hideMark/>
          </w:tcPr>
          <w:p w14:paraId="6655E047"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135" w:type="dxa"/>
            <w:tcBorders>
              <w:top w:val="nil"/>
              <w:left w:val="nil"/>
              <w:bottom w:val="nil"/>
              <w:right w:val="nil"/>
            </w:tcBorders>
            <w:shd w:val="clear" w:color="auto" w:fill="auto"/>
            <w:vAlign w:val="bottom"/>
            <w:hideMark/>
          </w:tcPr>
          <w:p w14:paraId="078A007A"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015" w:type="dxa"/>
            <w:tcBorders>
              <w:top w:val="nil"/>
              <w:left w:val="nil"/>
              <w:bottom w:val="nil"/>
              <w:right w:val="nil"/>
            </w:tcBorders>
            <w:shd w:val="clear" w:color="auto" w:fill="auto"/>
            <w:vAlign w:val="bottom"/>
            <w:hideMark/>
          </w:tcPr>
          <w:p w14:paraId="54410563"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070" w:type="dxa"/>
            <w:tcBorders>
              <w:top w:val="nil"/>
              <w:left w:val="nil"/>
              <w:bottom w:val="nil"/>
              <w:right w:val="nil"/>
            </w:tcBorders>
            <w:shd w:val="clear" w:color="auto" w:fill="auto"/>
            <w:vAlign w:val="bottom"/>
            <w:hideMark/>
          </w:tcPr>
          <w:p w14:paraId="5D78823A" w14:textId="77777777" w:rsidR="00B9311E" w:rsidRPr="00BD77D8" w:rsidRDefault="00B9311E" w:rsidP="00B9311E">
            <w:pPr>
              <w:spacing w:after="0" w:line="240" w:lineRule="auto"/>
              <w:jc w:val="right"/>
              <w:rPr>
                <w:sz w:val="16"/>
                <w:szCs w:val="16"/>
              </w:rPr>
            </w:pPr>
            <w:r w:rsidRPr="00BD77D8">
              <w:rPr>
                <w:sz w:val="16"/>
                <w:szCs w:val="16"/>
              </w:rPr>
              <w:t xml:space="preserve">             112 </w:t>
            </w:r>
          </w:p>
        </w:tc>
      </w:tr>
      <w:tr w:rsidR="00BD77D8" w:rsidRPr="00BD77D8" w14:paraId="73BFFE0B" w14:textId="77777777" w:rsidTr="003057FB">
        <w:trPr>
          <w:trHeight w:val="300"/>
        </w:trPr>
        <w:tc>
          <w:tcPr>
            <w:tcW w:w="3655" w:type="dxa"/>
            <w:tcBorders>
              <w:top w:val="nil"/>
              <w:left w:val="nil"/>
              <w:bottom w:val="nil"/>
              <w:right w:val="nil"/>
            </w:tcBorders>
            <w:shd w:val="clear" w:color="auto" w:fill="auto"/>
            <w:noWrap/>
            <w:vAlign w:val="bottom"/>
            <w:hideMark/>
          </w:tcPr>
          <w:p w14:paraId="7F75A089" w14:textId="77777777" w:rsidR="00B9311E" w:rsidRPr="00BD77D8" w:rsidRDefault="00B9311E" w:rsidP="00B9311E">
            <w:pPr>
              <w:spacing w:after="0" w:line="240" w:lineRule="auto"/>
              <w:rPr>
                <w:b/>
                <w:bCs/>
                <w:sz w:val="16"/>
                <w:szCs w:val="16"/>
              </w:rPr>
            </w:pPr>
            <w:r w:rsidRPr="00BD77D8">
              <w:rPr>
                <w:b/>
                <w:bCs/>
                <w:sz w:val="16"/>
                <w:szCs w:val="16"/>
              </w:rPr>
              <w:t xml:space="preserve"> Total Expenses from Continuing Operations  </w:t>
            </w:r>
          </w:p>
        </w:tc>
        <w:tc>
          <w:tcPr>
            <w:tcW w:w="994" w:type="dxa"/>
            <w:tcBorders>
              <w:top w:val="single" w:sz="4" w:space="0" w:color="auto"/>
              <w:left w:val="nil"/>
              <w:bottom w:val="nil"/>
              <w:right w:val="nil"/>
            </w:tcBorders>
            <w:shd w:val="clear" w:color="auto" w:fill="auto"/>
            <w:vAlign w:val="bottom"/>
            <w:hideMark/>
          </w:tcPr>
          <w:p w14:paraId="5E9CA379" w14:textId="77777777" w:rsidR="00B9311E" w:rsidRPr="00BD77D8" w:rsidRDefault="00B9311E" w:rsidP="00B9311E">
            <w:pPr>
              <w:spacing w:after="0" w:line="240" w:lineRule="auto"/>
              <w:jc w:val="right"/>
              <w:rPr>
                <w:b/>
                <w:bCs/>
                <w:sz w:val="16"/>
                <w:szCs w:val="16"/>
              </w:rPr>
            </w:pPr>
            <w:r w:rsidRPr="00BD77D8">
              <w:rPr>
                <w:b/>
                <w:bCs/>
                <w:sz w:val="16"/>
                <w:szCs w:val="16"/>
              </w:rPr>
              <w:t xml:space="preserve">     228,149 </w:t>
            </w:r>
          </w:p>
        </w:tc>
        <w:tc>
          <w:tcPr>
            <w:tcW w:w="991" w:type="dxa"/>
            <w:tcBorders>
              <w:top w:val="single" w:sz="4" w:space="0" w:color="auto"/>
              <w:left w:val="nil"/>
              <w:bottom w:val="nil"/>
              <w:right w:val="nil"/>
            </w:tcBorders>
            <w:shd w:val="clear" w:color="auto" w:fill="auto"/>
            <w:vAlign w:val="bottom"/>
            <w:hideMark/>
          </w:tcPr>
          <w:p w14:paraId="3A3854F7" w14:textId="77777777" w:rsidR="00B9311E" w:rsidRPr="00BD77D8" w:rsidRDefault="00B9311E" w:rsidP="00B9311E">
            <w:pPr>
              <w:spacing w:after="0" w:line="240" w:lineRule="auto"/>
              <w:jc w:val="right"/>
              <w:rPr>
                <w:b/>
                <w:bCs/>
                <w:sz w:val="16"/>
                <w:szCs w:val="16"/>
              </w:rPr>
            </w:pPr>
            <w:r w:rsidRPr="00BD77D8">
              <w:rPr>
                <w:b/>
                <w:bCs/>
                <w:sz w:val="16"/>
                <w:szCs w:val="16"/>
              </w:rPr>
              <w:t xml:space="preserve">      231,810 </w:t>
            </w:r>
          </w:p>
        </w:tc>
        <w:tc>
          <w:tcPr>
            <w:tcW w:w="854" w:type="dxa"/>
            <w:tcBorders>
              <w:top w:val="single" w:sz="4" w:space="0" w:color="auto"/>
              <w:left w:val="nil"/>
              <w:bottom w:val="nil"/>
              <w:right w:val="nil"/>
            </w:tcBorders>
            <w:shd w:val="clear" w:color="auto" w:fill="auto"/>
            <w:vAlign w:val="bottom"/>
            <w:hideMark/>
          </w:tcPr>
          <w:p w14:paraId="1E2052D0" w14:textId="77777777" w:rsidR="00B9311E" w:rsidRPr="00BD77D8" w:rsidRDefault="00B9311E" w:rsidP="00B9311E">
            <w:pPr>
              <w:spacing w:after="0" w:line="240" w:lineRule="auto"/>
              <w:jc w:val="right"/>
              <w:rPr>
                <w:b/>
                <w:bCs/>
                <w:sz w:val="16"/>
                <w:szCs w:val="16"/>
              </w:rPr>
            </w:pPr>
            <w:r w:rsidRPr="00BD77D8">
              <w:rPr>
                <w:b/>
                <w:bCs/>
                <w:sz w:val="16"/>
                <w:szCs w:val="16"/>
              </w:rPr>
              <w:t xml:space="preserve">       12,418 </w:t>
            </w:r>
          </w:p>
        </w:tc>
        <w:tc>
          <w:tcPr>
            <w:tcW w:w="994" w:type="dxa"/>
            <w:tcBorders>
              <w:top w:val="single" w:sz="4" w:space="0" w:color="auto"/>
              <w:left w:val="nil"/>
              <w:bottom w:val="nil"/>
              <w:right w:val="nil"/>
            </w:tcBorders>
            <w:shd w:val="clear" w:color="auto" w:fill="auto"/>
            <w:vAlign w:val="bottom"/>
            <w:hideMark/>
          </w:tcPr>
          <w:p w14:paraId="5915A930" w14:textId="77777777" w:rsidR="00B9311E" w:rsidRPr="00BD77D8" w:rsidRDefault="00B9311E" w:rsidP="00B9311E">
            <w:pPr>
              <w:spacing w:after="0" w:line="240" w:lineRule="auto"/>
              <w:jc w:val="right"/>
              <w:rPr>
                <w:b/>
                <w:bCs/>
                <w:sz w:val="16"/>
                <w:szCs w:val="16"/>
              </w:rPr>
            </w:pPr>
            <w:r w:rsidRPr="00BD77D8">
              <w:rPr>
                <w:b/>
                <w:bCs/>
                <w:sz w:val="16"/>
                <w:szCs w:val="16"/>
              </w:rPr>
              <w:t xml:space="preserve">         11,697 </w:t>
            </w:r>
          </w:p>
        </w:tc>
        <w:tc>
          <w:tcPr>
            <w:tcW w:w="1129" w:type="dxa"/>
            <w:tcBorders>
              <w:top w:val="single" w:sz="4" w:space="0" w:color="auto"/>
              <w:left w:val="nil"/>
              <w:bottom w:val="nil"/>
              <w:right w:val="nil"/>
            </w:tcBorders>
            <w:shd w:val="clear" w:color="auto" w:fill="auto"/>
            <w:vAlign w:val="bottom"/>
            <w:hideMark/>
          </w:tcPr>
          <w:p w14:paraId="2F08760C" w14:textId="77777777" w:rsidR="00B9311E" w:rsidRPr="00BD77D8" w:rsidRDefault="00B9311E" w:rsidP="00B9311E">
            <w:pPr>
              <w:spacing w:after="0" w:line="240" w:lineRule="auto"/>
              <w:jc w:val="right"/>
              <w:rPr>
                <w:b/>
                <w:bCs/>
                <w:sz w:val="16"/>
                <w:szCs w:val="16"/>
              </w:rPr>
            </w:pPr>
            <w:r w:rsidRPr="00BD77D8">
              <w:rPr>
                <w:b/>
                <w:bCs/>
                <w:sz w:val="16"/>
                <w:szCs w:val="16"/>
              </w:rPr>
              <w:t xml:space="preserve">          69,375 </w:t>
            </w:r>
          </w:p>
        </w:tc>
        <w:tc>
          <w:tcPr>
            <w:tcW w:w="1130" w:type="dxa"/>
            <w:tcBorders>
              <w:top w:val="single" w:sz="4" w:space="0" w:color="auto"/>
              <w:left w:val="nil"/>
              <w:bottom w:val="nil"/>
              <w:right w:val="nil"/>
            </w:tcBorders>
            <w:shd w:val="clear" w:color="auto" w:fill="auto"/>
            <w:vAlign w:val="bottom"/>
            <w:hideMark/>
          </w:tcPr>
          <w:p w14:paraId="72A57B81" w14:textId="77777777" w:rsidR="00B9311E" w:rsidRPr="00BD77D8" w:rsidRDefault="00B9311E" w:rsidP="00B9311E">
            <w:pPr>
              <w:spacing w:after="0" w:line="240" w:lineRule="auto"/>
              <w:jc w:val="right"/>
              <w:rPr>
                <w:b/>
                <w:bCs/>
                <w:sz w:val="16"/>
                <w:szCs w:val="16"/>
              </w:rPr>
            </w:pPr>
            <w:r w:rsidRPr="00BD77D8">
              <w:rPr>
                <w:b/>
                <w:bCs/>
                <w:sz w:val="16"/>
                <w:szCs w:val="16"/>
              </w:rPr>
              <w:t xml:space="preserve">           28,468 </w:t>
            </w:r>
          </w:p>
        </w:tc>
        <w:tc>
          <w:tcPr>
            <w:tcW w:w="1263" w:type="dxa"/>
            <w:tcBorders>
              <w:top w:val="single" w:sz="4" w:space="0" w:color="auto"/>
              <w:left w:val="nil"/>
              <w:bottom w:val="nil"/>
              <w:right w:val="nil"/>
            </w:tcBorders>
            <w:shd w:val="clear" w:color="auto" w:fill="auto"/>
            <w:vAlign w:val="bottom"/>
            <w:hideMark/>
          </w:tcPr>
          <w:p w14:paraId="517FF933" w14:textId="77777777" w:rsidR="00B9311E" w:rsidRPr="00BD77D8" w:rsidRDefault="00B9311E" w:rsidP="00B9311E">
            <w:pPr>
              <w:spacing w:after="0" w:line="240" w:lineRule="auto"/>
              <w:jc w:val="right"/>
              <w:rPr>
                <w:b/>
                <w:bCs/>
                <w:sz w:val="16"/>
                <w:szCs w:val="16"/>
              </w:rPr>
            </w:pPr>
            <w:r w:rsidRPr="00BD77D8">
              <w:rPr>
                <w:b/>
                <w:bCs/>
                <w:sz w:val="16"/>
                <w:szCs w:val="16"/>
              </w:rPr>
              <w:t xml:space="preserve">            16,279 </w:t>
            </w:r>
          </w:p>
        </w:tc>
        <w:tc>
          <w:tcPr>
            <w:tcW w:w="1134" w:type="dxa"/>
            <w:tcBorders>
              <w:top w:val="single" w:sz="4" w:space="0" w:color="auto"/>
              <w:left w:val="nil"/>
              <w:bottom w:val="nil"/>
              <w:right w:val="nil"/>
            </w:tcBorders>
            <w:shd w:val="clear" w:color="auto" w:fill="auto"/>
            <w:vAlign w:val="bottom"/>
            <w:hideMark/>
          </w:tcPr>
          <w:p w14:paraId="358804C0" w14:textId="77777777" w:rsidR="00B9311E" w:rsidRPr="00BD77D8" w:rsidRDefault="00B9311E" w:rsidP="00B9311E">
            <w:pPr>
              <w:spacing w:after="0" w:line="240" w:lineRule="auto"/>
              <w:jc w:val="right"/>
              <w:rPr>
                <w:b/>
                <w:bCs/>
                <w:sz w:val="16"/>
                <w:szCs w:val="16"/>
              </w:rPr>
            </w:pPr>
            <w:r w:rsidRPr="00BD77D8">
              <w:rPr>
                <w:b/>
                <w:bCs/>
                <w:sz w:val="16"/>
                <w:szCs w:val="16"/>
              </w:rPr>
              <w:t xml:space="preserve">           35,901 </w:t>
            </w:r>
          </w:p>
        </w:tc>
        <w:tc>
          <w:tcPr>
            <w:tcW w:w="1135" w:type="dxa"/>
            <w:tcBorders>
              <w:top w:val="single" w:sz="4" w:space="0" w:color="auto"/>
              <w:left w:val="nil"/>
              <w:bottom w:val="nil"/>
              <w:right w:val="nil"/>
            </w:tcBorders>
            <w:shd w:val="clear" w:color="auto" w:fill="auto"/>
            <w:vAlign w:val="bottom"/>
            <w:hideMark/>
          </w:tcPr>
          <w:p w14:paraId="3E2B10D1" w14:textId="77777777" w:rsidR="00B9311E" w:rsidRPr="00BD77D8" w:rsidRDefault="00B9311E" w:rsidP="00B9311E">
            <w:pPr>
              <w:spacing w:after="0" w:line="240" w:lineRule="auto"/>
              <w:jc w:val="right"/>
              <w:rPr>
                <w:b/>
                <w:bCs/>
                <w:sz w:val="16"/>
                <w:szCs w:val="16"/>
              </w:rPr>
            </w:pPr>
            <w:r w:rsidRPr="00BD77D8">
              <w:rPr>
                <w:b/>
                <w:bCs/>
                <w:sz w:val="16"/>
                <w:szCs w:val="16"/>
              </w:rPr>
              <w:t xml:space="preserve">            17,879 </w:t>
            </w:r>
          </w:p>
        </w:tc>
        <w:tc>
          <w:tcPr>
            <w:tcW w:w="1015" w:type="dxa"/>
            <w:tcBorders>
              <w:top w:val="single" w:sz="4" w:space="0" w:color="auto"/>
              <w:left w:val="nil"/>
              <w:bottom w:val="nil"/>
              <w:right w:val="nil"/>
            </w:tcBorders>
            <w:shd w:val="clear" w:color="auto" w:fill="auto"/>
            <w:vAlign w:val="bottom"/>
            <w:hideMark/>
          </w:tcPr>
          <w:p w14:paraId="1530FE51" w14:textId="77777777" w:rsidR="00B9311E" w:rsidRPr="00BD77D8" w:rsidRDefault="00B9311E" w:rsidP="00B9311E">
            <w:pPr>
              <w:spacing w:after="0" w:line="240" w:lineRule="auto"/>
              <w:jc w:val="right"/>
              <w:rPr>
                <w:b/>
                <w:bCs/>
                <w:sz w:val="16"/>
                <w:szCs w:val="16"/>
              </w:rPr>
            </w:pPr>
            <w:r w:rsidRPr="00BD77D8">
              <w:rPr>
                <w:b/>
                <w:bCs/>
                <w:sz w:val="16"/>
                <w:szCs w:val="16"/>
              </w:rPr>
              <w:t xml:space="preserve">      304,936 </w:t>
            </w:r>
          </w:p>
        </w:tc>
        <w:tc>
          <w:tcPr>
            <w:tcW w:w="1070" w:type="dxa"/>
            <w:tcBorders>
              <w:top w:val="single" w:sz="4" w:space="0" w:color="auto"/>
              <w:left w:val="nil"/>
              <w:bottom w:val="nil"/>
              <w:right w:val="nil"/>
            </w:tcBorders>
            <w:shd w:val="clear" w:color="auto" w:fill="auto"/>
            <w:vAlign w:val="bottom"/>
            <w:hideMark/>
          </w:tcPr>
          <w:p w14:paraId="13991B7B" w14:textId="77777777" w:rsidR="00B9311E" w:rsidRPr="00BD77D8" w:rsidRDefault="00B9311E" w:rsidP="00B9311E">
            <w:pPr>
              <w:spacing w:after="0" w:line="240" w:lineRule="auto"/>
              <w:jc w:val="right"/>
              <w:rPr>
                <w:b/>
                <w:bCs/>
                <w:sz w:val="16"/>
                <w:szCs w:val="16"/>
              </w:rPr>
            </w:pPr>
            <w:r w:rsidRPr="00BD77D8">
              <w:rPr>
                <w:b/>
                <w:bCs/>
                <w:sz w:val="16"/>
                <w:szCs w:val="16"/>
              </w:rPr>
              <w:t xml:space="preserve">      347,040 </w:t>
            </w:r>
          </w:p>
        </w:tc>
      </w:tr>
      <w:tr w:rsidR="00BD77D8" w:rsidRPr="00BD77D8" w14:paraId="20A83B2E" w14:textId="77777777" w:rsidTr="003057FB">
        <w:trPr>
          <w:trHeight w:val="285"/>
        </w:trPr>
        <w:tc>
          <w:tcPr>
            <w:tcW w:w="3655" w:type="dxa"/>
            <w:tcBorders>
              <w:top w:val="nil"/>
              <w:left w:val="nil"/>
              <w:bottom w:val="nil"/>
              <w:right w:val="nil"/>
            </w:tcBorders>
            <w:shd w:val="clear" w:color="auto" w:fill="auto"/>
            <w:noWrap/>
            <w:vAlign w:val="bottom"/>
            <w:hideMark/>
          </w:tcPr>
          <w:p w14:paraId="2781ED53" w14:textId="77777777" w:rsidR="00B9311E" w:rsidRPr="00BD77D8" w:rsidRDefault="00B9311E" w:rsidP="00B9311E">
            <w:pPr>
              <w:spacing w:after="0" w:line="240" w:lineRule="auto"/>
              <w:rPr>
                <w:sz w:val="16"/>
                <w:szCs w:val="16"/>
              </w:rPr>
            </w:pPr>
            <w:r w:rsidRPr="00BD77D8">
              <w:rPr>
                <w:sz w:val="16"/>
                <w:szCs w:val="16"/>
              </w:rPr>
              <w:t xml:space="preserve"> Operating Result from Continuing Operations  </w:t>
            </w:r>
          </w:p>
        </w:tc>
        <w:tc>
          <w:tcPr>
            <w:tcW w:w="994" w:type="dxa"/>
            <w:tcBorders>
              <w:top w:val="single" w:sz="4" w:space="0" w:color="auto"/>
              <w:left w:val="nil"/>
              <w:bottom w:val="single" w:sz="4" w:space="0" w:color="auto"/>
              <w:right w:val="nil"/>
            </w:tcBorders>
            <w:shd w:val="clear" w:color="auto" w:fill="auto"/>
            <w:vAlign w:val="bottom"/>
            <w:hideMark/>
          </w:tcPr>
          <w:p w14:paraId="3E7A5069" w14:textId="77777777" w:rsidR="00B9311E" w:rsidRPr="00BD77D8" w:rsidRDefault="00B9311E" w:rsidP="00B9311E">
            <w:pPr>
              <w:spacing w:after="0" w:line="240" w:lineRule="auto"/>
              <w:jc w:val="right"/>
              <w:rPr>
                <w:b/>
                <w:bCs/>
                <w:sz w:val="16"/>
                <w:szCs w:val="16"/>
              </w:rPr>
            </w:pPr>
            <w:r w:rsidRPr="00BD77D8">
              <w:rPr>
                <w:b/>
                <w:bCs/>
                <w:sz w:val="16"/>
                <w:szCs w:val="16"/>
              </w:rPr>
              <w:t xml:space="preserve">       28,474 </w:t>
            </w:r>
          </w:p>
        </w:tc>
        <w:tc>
          <w:tcPr>
            <w:tcW w:w="991" w:type="dxa"/>
            <w:tcBorders>
              <w:top w:val="single" w:sz="4" w:space="0" w:color="auto"/>
              <w:left w:val="nil"/>
              <w:bottom w:val="single" w:sz="4" w:space="0" w:color="auto"/>
              <w:right w:val="nil"/>
            </w:tcBorders>
            <w:shd w:val="clear" w:color="auto" w:fill="auto"/>
            <w:vAlign w:val="bottom"/>
            <w:hideMark/>
          </w:tcPr>
          <w:p w14:paraId="756B9C04" w14:textId="77777777" w:rsidR="00B9311E" w:rsidRPr="00BD77D8" w:rsidRDefault="00B9311E" w:rsidP="00B9311E">
            <w:pPr>
              <w:spacing w:after="0" w:line="240" w:lineRule="auto"/>
              <w:jc w:val="right"/>
              <w:rPr>
                <w:sz w:val="16"/>
                <w:szCs w:val="16"/>
              </w:rPr>
            </w:pPr>
            <w:r w:rsidRPr="00BD77D8">
              <w:rPr>
                <w:sz w:val="16"/>
                <w:szCs w:val="16"/>
              </w:rPr>
              <w:t xml:space="preserve">          2,614 </w:t>
            </w:r>
          </w:p>
        </w:tc>
        <w:tc>
          <w:tcPr>
            <w:tcW w:w="854" w:type="dxa"/>
            <w:tcBorders>
              <w:top w:val="single" w:sz="4" w:space="0" w:color="auto"/>
              <w:left w:val="nil"/>
              <w:bottom w:val="single" w:sz="4" w:space="0" w:color="auto"/>
              <w:right w:val="nil"/>
            </w:tcBorders>
            <w:shd w:val="clear" w:color="auto" w:fill="auto"/>
            <w:vAlign w:val="bottom"/>
            <w:hideMark/>
          </w:tcPr>
          <w:p w14:paraId="3C4D376B" w14:textId="77777777" w:rsidR="00B9311E" w:rsidRPr="00BD77D8" w:rsidRDefault="00B9311E" w:rsidP="00B9311E">
            <w:pPr>
              <w:spacing w:after="0" w:line="240" w:lineRule="auto"/>
              <w:jc w:val="right"/>
              <w:rPr>
                <w:b/>
                <w:bCs/>
                <w:sz w:val="16"/>
                <w:szCs w:val="16"/>
              </w:rPr>
            </w:pPr>
            <w:r w:rsidRPr="00BD77D8">
              <w:rPr>
                <w:b/>
                <w:bCs/>
                <w:sz w:val="16"/>
                <w:szCs w:val="16"/>
              </w:rPr>
              <w:t xml:space="preserve">            248 </w:t>
            </w:r>
          </w:p>
        </w:tc>
        <w:tc>
          <w:tcPr>
            <w:tcW w:w="994" w:type="dxa"/>
            <w:tcBorders>
              <w:top w:val="single" w:sz="4" w:space="0" w:color="auto"/>
              <w:left w:val="nil"/>
              <w:bottom w:val="single" w:sz="4" w:space="0" w:color="auto"/>
              <w:right w:val="nil"/>
            </w:tcBorders>
            <w:shd w:val="clear" w:color="auto" w:fill="auto"/>
            <w:vAlign w:val="bottom"/>
            <w:hideMark/>
          </w:tcPr>
          <w:p w14:paraId="7953E859" w14:textId="77777777" w:rsidR="00B9311E" w:rsidRPr="00BD77D8" w:rsidRDefault="00B9311E" w:rsidP="00B9311E">
            <w:pPr>
              <w:spacing w:after="0" w:line="240" w:lineRule="auto"/>
              <w:jc w:val="right"/>
              <w:rPr>
                <w:sz w:val="16"/>
                <w:szCs w:val="16"/>
              </w:rPr>
            </w:pPr>
            <w:r w:rsidRPr="00BD77D8">
              <w:rPr>
                <w:sz w:val="16"/>
                <w:szCs w:val="16"/>
              </w:rPr>
              <w:t xml:space="preserve">                10 </w:t>
            </w:r>
          </w:p>
        </w:tc>
        <w:tc>
          <w:tcPr>
            <w:tcW w:w="1129" w:type="dxa"/>
            <w:tcBorders>
              <w:top w:val="single" w:sz="4" w:space="0" w:color="auto"/>
              <w:left w:val="nil"/>
              <w:bottom w:val="single" w:sz="4" w:space="0" w:color="auto"/>
              <w:right w:val="nil"/>
            </w:tcBorders>
            <w:shd w:val="clear" w:color="auto" w:fill="auto"/>
            <w:vAlign w:val="bottom"/>
            <w:hideMark/>
          </w:tcPr>
          <w:p w14:paraId="23058E6D" w14:textId="77777777" w:rsidR="00B9311E" w:rsidRPr="00BD77D8" w:rsidRDefault="00B9311E" w:rsidP="00B9311E">
            <w:pPr>
              <w:spacing w:after="0" w:line="240" w:lineRule="auto"/>
              <w:jc w:val="right"/>
              <w:rPr>
                <w:sz w:val="16"/>
                <w:szCs w:val="16"/>
              </w:rPr>
            </w:pPr>
            <w:r w:rsidRPr="00BD77D8">
              <w:rPr>
                <w:sz w:val="16"/>
                <w:szCs w:val="16"/>
              </w:rPr>
              <w:t xml:space="preserve">                    - </w:t>
            </w:r>
          </w:p>
        </w:tc>
        <w:tc>
          <w:tcPr>
            <w:tcW w:w="1130" w:type="dxa"/>
            <w:tcBorders>
              <w:top w:val="single" w:sz="4" w:space="0" w:color="auto"/>
              <w:left w:val="nil"/>
              <w:bottom w:val="single" w:sz="4" w:space="0" w:color="auto"/>
              <w:right w:val="nil"/>
            </w:tcBorders>
            <w:shd w:val="clear" w:color="auto" w:fill="auto"/>
            <w:vAlign w:val="bottom"/>
            <w:hideMark/>
          </w:tcPr>
          <w:p w14:paraId="2735BB40" w14:textId="77777777" w:rsidR="00B9311E" w:rsidRPr="00BD77D8" w:rsidRDefault="00B9311E" w:rsidP="00B9311E">
            <w:pPr>
              <w:spacing w:after="0" w:line="240" w:lineRule="auto"/>
              <w:jc w:val="right"/>
              <w:rPr>
                <w:b/>
                <w:bCs/>
                <w:sz w:val="16"/>
                <w:szCs w:val="16"/>
              </w:rPr>
            </w:pPr>
            <w:r w:rsidRPr="00BD77D8">
              <w:rPr>
                <w:b/>
                <w:bCs/>
                <w:sz w:val="16"/>
                <w:szCs w:val="16"/>
              </w:rPr>
              <w:t xml:space="preserve">                242 </w:t>
            </w:r>
          </w:p>
        </w:tc>
        <w:tc>
          <w:tcPr>
            <w:tcW w:w="1263" w:type="dxa"/>
            <w:tcBorders>
              <w:top w:val="single" w:sz="4" w:space="0" w:color="auto"/>
              <w:left w:val="nil"/>
              <w:bottom w:val="single" w:sz="4" w:space="0" w:color="auto"/>
              <w:right w:val="nil"/>
            </w:tcBorders>
            <w:shd w:val="clear" w:color="auto" w:fill="auto"/>
            <w:vAlign w:val="bottom"/>
            <w:hideMark/>
          </w:tcPr>
          <w:p w14:paraId="535D3CF2" w14:textId="77777777" w:rsidR="00B9311E" w:rsidRPr="00BD77D8" w:rsidRDefault="00B9311E" w:rsidP="00B9311E">
            <w:pPr>
              <w:spacing w:after="0" w:line="240" w:lineRule="auto"/>
              <w:jc w:val="right"/>
              <w:rPr>
                <w:sz w:val="16"/>
                <w:szCs w:val="16"/>
              </w:rPr>
            </w:pPr>
            <w:r w:rsidRPr="00BD77D8">
              <w:rPr>
                <w:sz w:val="16"/>
                <w:szCs w:val="16"/>
              </w:rPr>
              <w:t xml:space="preserve">                   82 </w:t>
            </w:r>
          </w:p>
        </w:tc>
        <w:tc>
          <w:tcPr>
            <w:tcW w:w="1134" w:type="dxa"/>
            <w:tcBorders>
              <w:top w:val="single" w:sz="4" w:space="0" w:color="auto"/>
              <w:left w:val="nil"/>
              <w:bottom w:val="single" w:sz="4" w:space="0" w:color="auto"/>
              <w:right w:val="nil"/>
            </w:tcBorders>
            <w:shd w:val="clear" w:color="auto" w:fill="auto"/>
            <w:vAlign w:val="bottom"/>
            <w:hideMark/>
          </w:tcPr>
          <w:p w14:paraId="3AF800AF" w14:textId="77777777" w:rsidR="00B9311E" w:rsidRPr="00BD77D8" w:rsidRDefault="00B9311E" w:rsidP="00B9311E">
            <w:pPr>
              <w:spacing w:after="0" w:line="240" w:lineRule="auto"/>
              <w:jc w:val="right"/>
              <w:rPr>
                <w:b/>
                <w:bCs/>
                <w:sz w:val="16"/>
                <w:szCs w:val="16"/>
              </w:rPr>
            </w:pPr>
            <w:r w:rsidRPr="00BD77D8">
              <w:rPr>
                <w:b/>
                <w:bCs/>
                <w:sz w:val="16"/>
                <w:szCs w:val="16"/>
              </w:rPr>
              <w:t xml:space="preserve">             2,227 </w:t>
            </w:r>
          </w:p>
        </w:tc>
        <w:tc>
          <w:tcPr>
            <w:tcW w:w="1135" w:type="dxa"/>
            <w:tcBorders>
              <w:top w:val="single" w:sz="4" w:space="0" w:color="auto"/>
              <w:left w:val="nil"/>
              <w:bottom w:val="single" w:sz="4" w:space="0" w:color="auto"/>
              <w:right w:val="nil"/>
            </w:tcBorders>
            <w:shd w:val="clear" w:color="auto" w:fill="auto"/>
            <w:vAlign w:val="bottom"/>
            <w:hideMark/>
          </w:tcPr>
          <w:p w14:paraId="573EFB36" w14:textId="77777777" w:rsidR="00B9311E" w:rsidRPr="00BD77D8" w:rsidRDefault="00B9311E" w:rsidP="00B9311E">
            <w:pPr>
              <w:spacing w:after="0" w:line="240" w:lineRule="auto"/>
              <w:jc w:val="right"/>
              <w:rPr>
                <w:sz w:val="16"/>
                <w:szCs w:val="16"/>
              </w:rPr>
            </w:pPr>
            <w:r w:rsidRPr="00BD77D8">
              <w:rPr>
                <w:sz w:val="16"/>
                <w:szCs w:val="16"/>
              </w:rPr>
              <w:t xml:space="preserve">                   77 </w:t>
            </w:r>
          </w:p>
        </w:tc>
        <w:tc>
          <w:tcPr>
            <w:tcW w:w="1015" w:type="dxa"/>
            <w:tcBorders>
              <w:top w:val="single" w:sz="4" w:space="0" w:color="auto"/>
              <w:left w:val="nil"/>
              <w:bottom w:val="single" w:sz="4" w:space="0" w:color="auto"/>
              <w:right w:val="nil"/>
            </w:tcBorders>
            <w:shd w:val="clear" w:color="auto" w:fill="auto"/>
            <w:vAlign w:val="bottom"/>
            <w:hideMark/>
          </w:tcPr>
          <w:p w14:paraId="263824F4" w14:textId="77777777" w:rsidR="00B9311E" w:rsidRPr="00BD77D8" w:rsidRDefault="00B9311E" w:rsidP="00B9311E">
            <w:pPr>
              <w:spacing w:after="0" w:line="240" w:lineRule="auto"/>
              <w:jc w:val="right"/>
              <w:rPr>
                <w:b/>
                <w:bCs/>
                <w:sz w:val="16"/>
                <w:szCs w:val="16"/>
              </w:rPr>
            </w:pPr>
            <w:r w:rsidRPr="00BD77D8">
              <w:rPr>
                <w:b/>
                <w:bCs/>
                <w:sz w:val="16"/>
                <w:szCs w:val="16"/>
              </w:rPr>
              <w:t xml:space="preserve">        31,191 </w:t>
            </w:r>
          </w:p>
        </w:tc>
        <w:tc>
          <w:tcPr>
            <w:tcW w:w="1070" w:type="dxa"/>
            <w:tcBorders>
              <w:top w:val="single" w:sz="4" w:space="0" w:color="auto"/>
              <w:left w:val="nil"/>
              <w:bottom w:val="single" w:sz="4" w:space="0" w:color="auto"/>
              <w:right w:val="nil"/>
            </w:tcBorders>
            <w:shd w:val="clear" w:color="auto" w:fill="auto"/>
            <w:vAlign w:val="bottom"/>
            <w:hideMark/>
          </w:tcPr>
          <w:p w14:paraId="52EE726A" w14:textId="77777777" w:rsidR="00B9311E" w:rsidRPr="00BD77D8" w:rsidRDefault="00B9311E" w:rsidP="00B9311E">
            <w:pPr>
              <w:spacing w:after="0" w:line="240" w:lineRule="auto"/>
              <w:jc w:val="right"/>
              <w:rPr>
                <w:sz w:val="16"/>
                <w:szCs w:val="16"/>
              </w:rPr>
            </w:pPr>
            <w:r w:rsidRPr="00BD77D8">
              <w:rPr>
                <w:sz w:val="16"/>
                <w:szCs w:val="16"/>
              </w:rPr>
              <w:t xml:space="preserve">          2,783 </w:t>
            </w:r>
          </w:p>
        </w:tc>
      </w:tr>
      <w:tr w:rsidR="00BD77D8" w:rsidRPr="00BD77D8" w14:paraId="6B7A6065" w14:textId="77777777" w:rsidTr="003057FB">
        <w:trPr>
          <w:trHeight w:val="285"/>
        </w:trPr>
        <w:tc>
          <w:tcPr>
            <w:tcW w:w="3655" w:type="dxa"/>
            <w:tcBorders>
              <w:top w:val="nil"/>
              <w:left w:val="nil"/>
              <w:bottom w:val="nil"/>
              <w:right w:val="nil"/>
            </w:tcBorders>
            <w:shd w:val="clear" w:color="auto" w:fill="auto"/>
            <w:noWrap/>
            <w:vAlign w:val="bottom"/>
            <w:hideMark/>
          </w:tcPr>
          <w:p w14:paraId="70F3120C" w14:textId="77777777" w:rsidR="00B9311E" w:rsidRPr="00BD77D8" w:rsidRDefault="00B9311E" w:rsidP="00B9311E">
            <w:pPr>
              <w:spacing w:after="0" w:line="240" w:lineRule="auto"/>
              <w:rPr>
                <w:b/>
                <w:bCs/>
                <w:sz w:val="16"/>
                <w:szCs w:val="16"/>
              </w:rPr>
            </w:pPr>
            <w:r w:rsidRPr="00BD77D8">
              <w:rPr>
                <w:b/>
                <w:bCs/>
                <w:sz w:val="16"/>
                <w:szCs w:val="16"/>
              </w:rPr>
              <w:t xml:space="preserve"> Operating Result for the Year </w:t>
            </w:r>
          </w:p>
        </w:tc>
        <w:tc>
          <w:tcPr>
            <w:tcW w:w="994" w:type="dxa"/>
            <w:tcBorders>
              <w:top w:val="nil"/>
              <w:left w:val="nil"/>
              <w:bottom w:val="single" w:sz="4" w:space="0" w:color="auto"/>
              <w:right w:val="nil"/>
            </w:tcBorders>
            <w:shd w:val="clear" w:color="auto" w:fill="auto"/>
            <w:vAlign w:val="bottom"/>
            <w:hideMark/>
          </w:tcPr>
          <w:p w14:paraId="38085B5C" w14:textId="77777777" w:rsidR="00B9311E" w:rsidRPr="00BD77D8" w:rsidRDefault="00B9311E" w:rsidP="00B9311E">
            <w:pPr>
              <w:spacing w:after="0" w:line="240" w:lineRule="auto"/>
              <w:jc w:val="right"/>
              <w:rPr>
                <w:b/>
                <w:bCs/>
                <w:sz w:val="16"/>
                <w:szCs w:val="16"/>
              </w:rPr>
            </w:pPr>
            <w:r w:rsidRPr="00BD77D8">
              <w:rPr>
                <w:b/>
                <w:bCs/>
                <w:sz w:val="16"/>
                <w:szCs w:val="16"/>
              </w:rPr>
              <w:t xml:space="preserve">       28,474 </w:t>
            </w:r>
          </w:p>
        </w:tc>
        <w:tc>
          <w:tcPr>
            <w:tcW w:w="991" w:type="dxa"/>
            <w:tcBorders>
              <w:top w:val="nil"/>
              <w:left w:val="nil"/>
              <w:bottom w:val="single" w:sz="4" w:space="0" w:color="auto"/>
              <w:right w:val="nil"/>
            </w:tcBorders>
            <w:shd w:val="clear" w:color="auto" w:fill="auto"/>
            <w:vAlign w:val="bottom"/>
            <w:hideMark/>
          </w:tcPr>
          <w:p w14:paraId="33A59BC9" w14:textId="77777777" w:rsidR="00B9311E" w:rsidRPr="00BD77D8" w:rsidRDefault="00B9311E" w:rsidP="00B9311E">
            <w:pPr>
              <w:spacing w:after="0" w:line="240" w:lineRule="auto"/>
              <w:jc w:val="right"/>
              <w:rPr>
                <w:b/>
                <w:bCs/>
                <w:sz w:val="16"/>
                <w:szCs w:val="16"/>
              </w:rPr>
            </w:pPr>
            <w:r w:rsidRPr="00BD77D8">
              <w:rPr>
                <w:b/>
                <w:bCs/>
                <w:sz w:val="16"/>
                <w:szCs w:val="16"/>
              </w:rPr>
              <w:t xml:space="preserve">          2,614 </w:t>
            </w:r>
          </w:p>
        </w:tc>
        <w:tc>
          <w:tcPr>
            <w:tcW w:w="854" w:type="dxa"/>
            <w:tcBorders>
              <w:top w:val="nil"/>
              <w:left w:val="nil"/>
              <w:bottom w:val="single" w:sz="4" w:space="0" w:color="auto"/>
              <w:right w:val="nil"/>
            </w:tcBorders>
            <w:shd w:val="clear" w:color="auto" w:fill="auto"/>
            <w:vAlign w:val="bottom"/>
            <w:hideMark/>
          </w:tcPr>
          <w:p w14:paraId="73562CCE" w14:textId="77777777" w:rsidR="00B9311E" w:rsidRPr="00BD77D8" w:rsidRDefault="00B9311E" w:rsidP="00B9311E">
            <w:pPr>
              <w:spacing w:after="0" w:line="240" w:lineRule="auto"/>
              <w:jc w:val="right"/>
              <w:rPr>
                <w:b/>
                <w:bCs/>
                <w:sz w:val="16"/>
                <w:szCs w:val="16"/>
              </w:rPr>
            </w:pPr>
            <w:r w:rsidRPr="00BD77D8">
              <w:rPr>
                <w:b/>
                <w:bCs/>
                <w:sz w:val="16"/>
                <w:szCs w:val="16"/>
              </w:rPr>
              <w:t xml:space="preserve">            248 </w:t>
            </w:r>
          </w:p>
        </w:tc>
        <w:tc>
          <w:tcPr>
            <w:tcW w:w="994" w:type="dxa"/>
            <w:tcBorders>
              <w:top w:val="nil"/>
              <w:left w:val="nil"/>
              <w:bottom w:val="single" w:sz="4" w:space="0" w:color="auto"/>
              <w:right w:val="nil"/>
            </w:tcBorders>
            <w:shd w:val="clear" w:color="auto" w:fill="auto"/>
            <w:vAlign w:val="bottom"/>
            <w:hideMark/>
          </w:tcPr>
          <w:p w14:paraId="4C01E348" w14:textId="77777777" w:rsidR="00B9311E" w:rsidRPr="00BD77D8" w:rsidRDefault="00B9311E" w:rsidP="00B9311E">
            <w:pPr>
              <w:spacing w:after="0" w:line="240" w:lineRule="auto"/>
              <w:jc w:val="right"/>
              <w:rPr>
                <w:b/>
                <w:bCs/>
                <w:sz w:val="16"/>
                <w:szCs w:val="16"/>
              </w:rPr>
            </w:pPr>
            <w:r w:rsidRPr="00BD77D8">
              <w:rPr>
                <w:b/>
                <w:bCs/>
                <w:sz w:val="16"/>
                <w:szCs w:val="16"/>
              </w:rPr>
              <w:t xml:space="preserve">                10 </w:t>
            </w:r>
          </w:p>
        </w:tc>
        <w:tc>
          <w:tcPr>
            <w:tcW w:w="1129" w:type="dxa"/>
            <w:tcBorders>
              <w:top w:val="nil"/>
              <w:left w:val="nil"/>
              <w:bottom w:val="single" w:sz="4" w:space="0" w:color="auto"/>
              <w:right w:val="nil"/>
            </w:tcBorders>
            <w:shd w:val="clear" w:color="auto" w:fill="auto"/>
            <w:vAlign w:val="bottom"/>
            <w:hideMark/>
          </w:tcPr>
          <w:p w14:paraId="7F791226"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130" w:type="dxa"/>
            <w:tcBorders>
              <w:top w:val="nil"/>
              <w:left w:val="nil"/>
              <w:bottom w:val="single" w:sz="4" w:space="0" w:color="auto"/>
              <w:right w:val="nil"/>
            </w:tcBorders>
            <w:shd w:val="clear" w:color="auto" w:fill="auto"/>
            <w:vAlign w:val="bottom"/>
            <w:hideMark/>
          </w:tcPr>
          <w:p w14:paraId="62BA4991" w14:textId="77777777" w:rsidR="00B9311E" w:rsidRPr="00BD77D8" w:rsidRDefault="00B9311E" w:rsidP="00B9311E">
            <w:pPr>
              <w:spacing w:after="0" w:line="240" w:lineRule="auto"/>
              <w:jc w:val="right"/>
              <w:rPr>
                <w:b/>
                <w:bCs/>
                <w:sz w:val="16"/>
                <w:szCs w:val="16"/>
              </w:rPr>
            </w:pPr>
            <w:r w:rsidRPr="00BD77D8">
              <w:rPr>
                <w:b/>
                <w:bCs/>
                <w:sz w:val="16"/>
                <w:szCs w:val="16"/>
              </w:rPr>
              <w:t xml:space="preserve">                242 </w:t>
            </w:r>
          </w:p>
        </w:tc>
        <w:tc>
          <w:tcPr>
            <w:tcW w:w="1263" w:type="dxa"/>
            <w:tcBorders>
              <w:top w:val="nil"/>
              <w:left w:val="nil"/>
              <w:bottom w:val="single" w:sz="4" w:space="0" w:color="auto"/>
              <w:right w:val="nil"/>
            </w:tcBorders>
            <w:shd w:val="clear" w:color="auto" w:fill="auto"/>
            <w:vAlign w:val="bottom"/>
            <w:hideMark/>
          </w:tcPr>
          <w:p w14:paraId="1FA532FE" w14:textId="77777777" w:rsidR="00B9311E" w:rsidRPr="00BD77D8" w:rsidRDefault="00B9311E" w:rsidP="00B9311E">
            <w:pPr>
              <w:spacing w:after="0" w:line="240" w:lineRule="auto"/>
              <w:jc w:val="right"/>
              <w:rPr>
                <w:b/>
                <w:bCs/>
                <w:sz w:val="16"/>
                <w:szCs w:val="16"/>
              </w:rPr>
            </w:pPr>
            <w:r w:rsidRPr="00BD77D8">
              <w:rPr>
                <w:b/>
                <w:bCs/>
                <w:sz w:val="16"/>
                <w:szCs w:val="16"/>
              </w:rPr>
              <w:t xml:space="preserve">                   82 </w:t>
            </w:r>
          </w:p>
        </w:tc>
        <w:tc>
          <w:tcPr>
            <w:tcW w:w="1134" w:type="dxa"/>
            <w:tcBorders>
              <w:top w:val="nil"/>
              <w:left w:val="nil"/>
              <w:bottom w:val="single" w:sz="4" w:space="0" w:color="auto"/>
              <w:right w:val="nil"/>
            </w:tcBorders>
            <w:shd w:val="clear" w:color="auto" w:fill="auto"/>
            <w:vAlign w:val="bottom"/>
            <w:hideMark/>
          </w:tcPr>
          <w:p w14:paraId="1FA202A8" w14:textId="77777777" w:rsidR="00B9311E" w:rsidRPr="00BD77D8" w:rsidRDefault="00B9311E" w:rsidP="00B9311E">
            <w:pPr>
              <w:spacing w:after="0" w:line="240" w:lineRule="auto"/>
              <w:jc w:val="right"/>
              <w:rPr>
                <w:b/>
                <w:bCs/>
                <w:sz w:val="16"/>
                <w:szCs w:val="16"/>
              </w:rPr>
            </w:pPr>
            <w:r w:rsidRPr="00BD77D8">
              <w:rPr>
                <w:b/>
                <w:bCs/>
                <w:sz w:val="16"/>
                <w:szCs w:val="16"/>
              </w:rPr>
              <w:t xml:space="preserve">             2,227 </w:t>
            </w:r>
          </w:p>
        </w:tc>
        <w:tc>
          <w:tcPr>
            <w:tcW w:w="1135" w:type="dxa"/>
            <w:tcBorders>
              <w:top w:val="nil"/>
              <w:left w:val="nil"/>
              <w:bottom w:val="single" w:sz="4" w:space="0" w:color="auto"/>
              <w:right w:val="nil"/>
            </w:tcBorders>
            <w:shd w:val="clear" w:color="auto" w:fill="auto"/>
            <w:vAlign w:val="bottom"/>
            <w:hideMark/>
          </w:tcPr>
          <w:p w14:paraId="254CAC58" w14:textId="77777777" w:rsidR="00B9311E" w:rsidRPr="00BD77D8" w:rsidRDefault="00B9311E" w:rsidP="00B9311E">
            <w:pPr>
              <w:spacing w:after="0" w:line="240" w:lineRule="auto"/>
              <w:jc w:val="right"/>
              <w:rPr>
                <w:b/>
                <w:bCs/>
                <w:sz w:val="16"/>
                <w:szCs w:val="16"/>
              </w:rPr>
            </w:pPr>
            <w:r w:rsidRPr="00BD77D8">
              <w:rPr>
                <w:b/>
                <w:bCs/>
                <w:sz w:val="16"/>
                <w:szCs w:val="16"/>
              </w:rPr>
              <w:t xml:space="preserve">                   77 </w:t>
            </w:r>
          </w:p>
        </w:tc>
        <w:tc>
          <w:tcPr>
            <w:tcW w:w="1015" w:type="dxa"/>
            <w:tcBorders>
              <w:top w:val="nil"/>
              <w:left w:val="nil"/>
              <w:bottom w:val="single" w:sz="4" w:space="0" w:color="auto"/>
              <w:right w:val="nil"/>
            </w:tcBorders>
            <w:shd w:val="clear" w:color="auto" w:fill="auto"/>
            <w:vAlign w:val="bottom"/>
            <w:hideMark/>
          </w:tcPr>
          <w:p w14:paraId="097C601F" w14:textId="77777777" w:rsidR="00B9311E" w:rsidRPr="00BD77D8" w:rsidRDefault="00B9311E" w:rsidP="00B9311E">
            <w:pPr>
              <w:spacing w:after="0" w:line="240" w:lineRule="auto"/>
              <w:jc w:val="right"/>
              <w:rPr>
                <w:b/>
                <w:bCs/>
                <w:sz w:val="16"/>
                <w:szCs w:val="16"/>
              </w:rPr>
            </w:pPr>
            <w:r w:rsidRPr="00BD77D8">
              <w:rPr>
                <w:b/>
                <w:bCs/>
                <w:sz w:val="16"/>
                <w:szCs w:val="16"/>
              </w:rPr>
              <w:t xml:space="preserve">        31,191 </w:t>
            </w:r>
          </w:p>
        </w:tc>
        <w:tc>
          <w:tcPr>
            <w:tcW w:w="1070" w:type="dxa"/>
            <w:tcBorders>
              <w:top w:val="nil"/>
              <w:left w:val="nil"/>
              <w:bottom w:val="single" w:sz="4" w:space="0" w:color="auto"/>
              <w:right w:val="nil"/>
            </w:tcBorders>
            <w:shd w:val="clear" w:color="auto" w:fill="auto"/>
            <w:vAlign w:val="bottom"/>
            <w:hideMark/>
          </w:tcPr>
          <w:p w14:paraId="038048ED" w14:textId="77777777" w:rsidR="00B9311E" w:rsidRPr="00BD77D8" w:rsidRDefault="00B9311E" w:rsidP="00B9311E">
            <w:pPr>
              <w:spacing w:after="0" w:line="240" w:lineRule="auto"/>
              <w:jc w:val="right"/>
              <w:rPr>
                <w:b/>
                <w:bCs/>
                <w:sz w:val="16"/>
                <w:szCs w:val="16"/>
              </w:rPr>
            </w:pPr>
            <w:r w:rsidRPr="00BD77D8">
              <w:rPr>
                <w:b/>
                <w:bCs/>
                <w:sz w:val="16"/>
                <w:szCs w:val="16"/>
              </w:rPr>
              <w:t xml:space="preserve">          2,783 </w:t>
            </w:r>
          </w:p>
        </w:tc>
      </w:tr>
      <w:tr w:rsidR="00BD77D8" w:rsidRPr="00BD77D8" w14:paraId="559A850C" w14:textId="77777777" w:rsidTr="003057FB">
        <w:trPr>
          <w:trHeight w:val="300"/>
        </w:trPr>
        <w:tc>
          <w:tcPr>
            <w:tcW w:w="3655" w:type="dxa"/>
            <w:tcBorders>
              <w:top w:val="nil"/>
              <w:left w:val="nil"/>
              <w:bottom w:val="nil"/>
              <w:right w:val="nil"/>
            </w:tcBorders>
            <w:shd w:val="clear" w:color="auto" w:fill="auto"/>
            <w:noWrap/>
            <w:vAlign w:val="bottom"/>
            <w:hideMark/>
          </w:tcPr>
          <w:p w14:paraId="50D0FAA7" w14:textId="77777777" w:rsidR="00B9311E" w:rsidRPr="00BD77D8" w:rsidRDefault="00B9311E" w:rsidP="00B9311E">
            <w:pPr>
              <w:spacing w:after="0" w:line="240" w:lineRule="auto"/>
              <w:rPr>
                <w:b/>
                <w:bCs/>
                <w:sz w:val="16"/>
                <w:szCs w:val="16"/>
              </w:rPr>
            </w:pPr>
            <w:r w:rsidRPr="00BD77D8">
              <w:rPr>
                <w:b/>
                <w:bCs/>
                <w:sz w:val="16"/>
                <w:szCs w:val="16"/>
              </w:rPr>
              <w:t xml:space="preserve"> Total Comprehensive Income </w:t>
            </w:r>
          </w:p>
        </w:tc>
        <w:tc>
          <w:tcPr>
            <w:tcW w:w="994" w:type="dxa"/>
            <w:tcBorders>
              <w:top w:val="nil"/>
              <w:left w:val="nil"/>
              <w:bottom w:val="single" w:sz="4" w:space="0" w:color="auto"/>
              <w:right w:val="nil"/>
            </w:tcBorders>
            <w:shd w:val="clear" w:color="auto" w:fill="auto"/>
            <w:vAlign w:val="bottom"/>
            <w:hideMark/>
          </w:tcPr>
          <w:p w14:paraId="7C2CAB29" w14:textId="77777777" w:rsidR="00B9311E" w:rsidRPr="00BD77D8" w:rsidRDefault="00B9311E" w:rsidP="00B9311E">
            <w:pPr>
              <w:spacing w:after="0" w:line="240" w:lineRule="auto"/>
              <w:jc w:val="right"/>
              <w:rPr>
                <w:b/>
                <w:bCs/>
                <w:sz w:val="16"/>
                <w:szCs w:val="16"/>
              </w:rPr>
            </w:pPr>
            <w:r w:rsidRPr="00BD77D8">
              <w:rPr>
                <w:b/>
                <w:bCs/>
                <w:sz w:val="16"/>
                <w:szCs w:val="16"/>
              </w:rPr>
              <w:t xml:space="preserve">       28,474 </w:t>
            </w:r>
          </w:p>
        </w:tc>
        <w:tc>
          <w:tcPr>
            <w:tcW w:w="991" w:type="dxa"/>
            <w:tcBorders>
              <w:top w:val="nil"/>
              <w:left w:val="nil"/>
              <w:bottom w:val="single" w:sz="4" w:space="0" w:color="auto"/>
              <w:right w:val="nil"/>
            </w:tcBorders>
            <w:shd w:val="clear" w:color="auto" w:fill="auto"/>
            <w:vAlign w:val="bottom"/>
            <w:hideMark/>
          </w:tcPr>
          <w:p w14:paraId="58AF4392" w14:textId="77777777" w:rsidR="00B9311E" w:rsidRPr="00BD77D8" w:rsidRDefault="00B9311E" w:rsidP="00B9311E">
            <w:pPr>
              <w:spacing w:after="0" w:line="240" w:lineRule="auto"/>
              <w:jc w:val="right"/>
              <w:rPr>
                <w:b/>
                <w:bCs/>
                <w:sz w:val="16"/>
                <w:szCs w:val="16"/>
              </w:rPr>
            </w:pPr>
            <w:r w:rsidRPr="00BD77D8">
              <w:rPr>
                <w:b/>
                <w:bCs/>
                <w:sz w:val="16"/>
                <w:szCs w:val="16"/>
              </w:rPr>
              <w:t xml:space="preserve">          2,614 </w:t>
            </w:r>
          </w:p>
        </w:tc>
        <w:tc>
          <w:tcPr>
            <w:tcW w:w="854" w:type="dxa"/>
            <w:tcBorders>
              <w:top w:val="nil"/>
              <w:left w:val="nil"/>
              <w:bottom w:val="single" w:sz="4" w:space="0" w:color="auto"/>
              <w:right w:val="nil"/>
            </w:tcBorders>
            <w:shd w:val="clear" w:color="auto" w:fill="auto"/>
            <w:vAlign w:val="bottom"/>
            <w:hideMark/>
          </w:tcPr>
          <w:p w14:paraId="56C025A8" w14:textId="77777777" w:rsidR="00B9311E" w:rsidRPr="00BD77D8" w:rsidRDefault="00B9311E" w:rsidP="00B9311E">
            <w:pPr>
              <w:spacing w:after="0" w:line="240" w:lineRule="auto"/>
              <w:jc w:val="right"/>
              <w:rPr>
                <w:b/>
                <w:bCs/>
                <w:sz w:val="16"/>
                <w:szCs w:val="16"/>
              </w:rPr>
            </w:pPr>
            <w:r w:rsidRPr="00BD77D8">
              <w:rPr>
                <w:b/>
                <w:bCs/>
                <w:sz w:val="16"/>
                <w:szCs w:val="16"/>
              </w:rPr>
              <w:t xml:space="preserve">            248 </w:t>
            </w:r>
          </w:p>
        </w:tc>
        <w:tc>
          <w:tcPr>
            <w:tcW w:w="994" w:type="dxa"/>
            <w:tcBorders>
              <w:top w:val="nil"/>
              <w:left w:val="nil"/>
              <w:bottom w:val="single" w:sz="4" w:space="0" w:color="auto"/>
              <w:right w:val="nil"/>
            </w:tcBorders>
            <w:shd w:val="clear" w:color="auto" w:fill="auto"/>
            <w:vAlign w:val="bottom"/>
            <w:hideMark/>
          </w:tcPr>
          <w:p w14:paraId="24719445" w14:textId="77777777" w:rsidR="00B9311E" w:rsidRPr="00BD77D8" w:rsidRDefault="00B9311E" w:rsidP="00B9311E">
            <w:pPr>
              <w:spacing w:after="0" w:line="240" w:lineRule="auto"/>
              <w:jc w:val="right"/>
              <w:rPr>
                <w:b/>
                <w:bCs/>
                <w:sz w:val="16"/>
                <w:szCs w:val="16"/>
              </w:rPr>
            </w:pPr>
            <w:r w:rsidRPr="00BD77D8">
              <w:rPr>
                <w:b/>
                <w:bCs/>
                <w:sz w:val="16"/>
                <w:szCs w:val="16"/>
              </w:rPr>
              <w:t xml:space="preserve">                10 </w:t>
            </w:r>
          </w:p>
        </w:tc>
        <w:tc>
          <w:tcPr>
            <w:tcW w:w="1129" w:type="dxa"/>
            <w:tcBorders>
              <w:top w:val="nil"/>
              <w:left w:val="nil"/>
              <w:bottom w:val="single" w:sz="4" w:space="0" w:color="auto"/>
              <w:right w:val="nil"/>
            </w:tcBorders>
            <w:shd w:val="clear" w:color="auto" w:fill="auto"/>
            <w:vAlign w:val="bottom"/>
            <w:hideMark/>
          </w:tcPr>
          <w:p w14:paraId="3451E6AC" w14:textId="77777777" w:rsidR="00B9311E" w:rsidRPr="00BD77D8" w:rsidRDefault="00B9311E" w:rsidP="00B9311E">
            <w:pPr>
              <w:spacing w:after="0" w:line="240" w:lineRule="auto"/>
              <w:jc w:val="right"/>
              <w:rPr>
                <w:b/>
                <w:bCs/>
                <w:sz w:val="16"/>
                <w:szCs w:val="16"/>
              </w:rPr>
            </w:pPr>
            <w:r w:rsidRPr="00BD77D8">
              <w:rPr>
                <w:b/>
                <w:bCs/>
                <w:sz w:val="16"/>
                <w:szCs w:val="16"/>
              </w:rPr>
              <w:t xml:space="preserve">                    - </w:t>
            </w:r>
          </w:p>
        </w:tc>
        <w:tc>
          <w:tcPr>
            <w:tcW w:w="1130" w:type="dxa"/>
            <w:tcBorders>
              <w:top w:val="nil"/>
              <w:left w:val="nil"/>
              <w:bottom w:val="single" w:sz="4" w:space="0" w:color="auto"/>
              <w:right w:val="nil"/>
            </w:tcBorders>
            <w:shd w:val="clear" w:color="auto" w:fill="auto"/>
            <w:vAlign w:val="bottom"/>
            <w:hideMark/>
          </w:tcPr>
          <w:p w14:paraId="450B1286" w14:textId="77777777" w:rsidR="00B9311E" w:rsidRPr="00BD77D8" w:rsidRDefault="00B9311E" w:rsidP="00B9311E">
            <w:pPr>
              <w:spacing w:after="0" w:line="240" w:lineRule="auto"/>
              <w:jc w:val="right"/>
              <w:rPr>
                <w:b/>
                <w:bCs/>
                <w:sz w:val="16"/>
                <w:szCs w:val="16"/>
              </w:rPr>
            </w:pPr>
            <w:r w:rsidRPr="00BD77D8">
              <w:rPr>
                <w:b/>
                <w:bCs/>
                <w:sz w:val="16"/>
                <w:szCs w:val="16"/>
              </w:rPr>
              <w:t xml:space="preserve">                242 </w:t>
            </w:r>
          </w:p>
        </w:tc>
        <w:tc>
          <w:tcPr>
            <w:tcW w:w="1263" w:type="dxa"/>
            <w:tcBorders>
              <w:top w:val="nil"/>
              <w:left w:val="nil"/>
              <w:bottom w:val="single" w:sz="4" w:space="0" w:color="auto"/>
              <w:right w:val="nil"/>
            </w:tcBorders>
            <w:shd w:val="clear" w:color="auto" w:fill="auto"/>
            <w:vAlign w:val="bottom"/>
            <w:hideMark/>
          </w:tcPr>
          <w:p w14:paraId="54D287CE" w14:textId="77777777" w:rsidR="00B9311E" w:rsidRPr="00BD77D8" w:rsidRDefault="00B9311E" w:rsidP="00B9311E">
            <w:pPr>
              <w:spacing w:after="0" w:line="240" w:lineRule="auto"/>
              <w:jc w:val="right"/>
              <w:rPr>
                <w:b/>
                <w:bCs/>
                <w:sz w:val="16"/>
                <w:szCs w:val="16"/>
              </w:rPr>
            </w:pPr>
            <w:r w:rsidRPr="00BD77D8">
              <w:rPr>
                <w:b/>
                <w:bCs/>
                <w:sz w:val="16"/>
                <w:szCs w:val="16"/>
              </w:rPr>
              <w:t xml:space="preserve">                   82 </w:t>
            </w:r>
          </w:p>
        </w:tc>
        <w:tc>
          <w:tcPr>
            <w:tcW w:w="1134" w:type="dxa"/>
            <w:tcBorders>
              <w:top w:val="nil"/>
              <w:left w:val="nil"/>
              <w:bottom w:val="single" w:sz="4" w:space="0" w:color="auto"/>
              <w:right w:val="nil"/>
            </w:tcBorders>
            <w:shd w:val="clear" w:color="auto" w:fill="auto"/>
            <w:vAlign w:val="bottom"/>
            <w:hideMark/>
          </w:tcPr>
          <w:p w14:paraId="2BB0BD9B" w14:textId="77777777" w:rsidR="00B9311E" w:rsidRPr="00BD77D8" w:rsidRDefault="00B9311E" w:rsidP="00B9311E">
            <w:pPr>
              <w:spacing w:after="0" w:line="240" w:lineRule="auto"/>
              <w:jc w:val="right"/>
              <w:rPr>
                <w:b/>
                <w:bCs/>
                <w:sz w:val="16"/>
                <w:szCs w:val="16"/>
              </w:rPr>
            </w:pPr>
            <w:r w:rsidRPr="00BD77D8">
              <w:rPr>
                <w:b/>
                <w:bCs/>
                <w:sz w:val="16"/>
                <w:szCs w:val="16"/>
              </w:rPr>
              <w:t xml:space="preserve">             2,227 </w:t>
            </w:r>
          </w:p>
        </w:tc>
        <w:tc>
          <w:tcPr>
            <w:tcW w:w="1135" w:type="dxa"/>
            <w:tcBorders>
              <w:top w:val="nil"/>
              <w:left w:val="nil"/>
              <w:bottom w:val="single" w:sz="4" w:space="0" w:color="auto"/>
              <w:right w:val="nil"/>
            </w:tcBorders>
            <w:shd w:val="clear" w:color="auto" w:fill="auto"/>
            <w:vAlign w:val="bottom"/>
            <w:hideMark/>
          </w:tcPr>
          <w:p w14:paraId="3666BFFF" w14:textId="77777777" w:rsidR="00B9311E" w:rsidRPr="00BD77D8" w:rsidRDefault="00B9311E" w:rsidP="00B9311E">
            <w:pPr>
              <w:spacing w:after="0" w:line="240" w:lineRule="auto"/>
              <w:jc w:val="right"/>
              <w:rPr>
                <w:b/>
                <w:bCs/>
                <w:sz w:val="16"/>
                <w:szCs w:val="16"/>
              </w:rPr>
            </w:pPr>
            <w:r w:rsidRPr="00BD77D8">
              <w:rPr>
                <w:b/>
                <w:bCs/>
                <w:sz w:val="16"/>
                <w:szCs w:val="16"/>
              </w:rPr>
              <w:t xml:space="preserve">                   77 </w:t>
            </w:r>
          </w:p>
        </w:tc>
        <w:tc>
          <w:tcPr>
            <w:tcW w:w="1015" w:type="dxa"/>
            <w:tcBorders>
              <w:top w:val="nil"/>
              <w:left w:val="nil"/>
              <w:bottom w:val="single" w:sz="4" w:space="0" w:color="auto"/>
              <w:right w:val="nil"/>
            </w:tcBorders>
            <w:shd w:val="clear" w:color="auto" w:fill="auto"/>
            <w:vAlign w:val="bottom"/>
            <w:hideMark/>
          </w:tcPr>
          <w:p w14:paraId="1EE06791" w14:textId="77777777" w:rsidR="00B9311E" w:rsidRPr="00BD77D8" w:rsidRDefault="00B9311E" w:rsidP="00B9311E">
            <w:pPr>
              <w:spacing w:after="0" w:line="240" w:lineRule="auto"/>
              <w:jc w:val="right"/>
              <w:rPr>
                <w:b/>
                <w:bCs/>
                <w:sz w:val="16"/>
                <w:szCs w:val="16"/>
              </w:rPr>
            </w:pPr>
            <w:r w:rsidRPr="00BD77D8">
              <w:rPr>
                <w:b/>
                <w:bCs/>
                <w:sz w:val="16"/>
                <w:szCs w:val="16"/>
              </w:rPr>
              <w:t xml:space="preserve">        31,191 </w:t>
            </w:r>
          </w:p>
        </w:tc>
        <w:tc>
          <w:tcPr>
            <w:tcW w:w="1070" w:type="dxa"/>
            <w:tcBorders>
              <w:top w:val="nil"/>
              <w:left w:val="nil"/>
              <w:bottom w:val="single" w:sz="4" w:space="0" w:color="auto"/>
              <w:right w:val="nil"/>
            </w:tcBorders>
            <w:shd w:val="clear" w:color="auto" w:fill="auto"/>
            <w:vAlign w:val="bottom"/>
            <w:hideMark/>
          </w:tcPr>
          <w:p w14:paraId="21F1D58F" w14:textId="77777777" w:rsidR="00B9311E" w:rsidRPr="00BD77D8" w:rsidRDefault="00B9311E" w:rsidP="00B9311E">
            <w:pPr>
              <w:spacing w:after="0" w:line="240" w:lineRule="auto"/>
              <w:jc w:val="right"/>
              <w:rPr>
                <w:b/>
                <w:bCs/>
                <w:sz w:val="16"/>
                <w:szCs w:val="16"/>
              </w:rPr>
            </w:pPr>
            <w:r w:rsidRPr="00BD77D8">
              <w:rPr>
                <w:b/>
                <w:bCs/>
                <w:sz w:val="16"/>
                <w:szCs w:val="16"/>
              </w:rPr>
              <w:t xml:space="preserve">          2,783 </w:t>
            </w:r>
          </w:p>
        </w:tc>
      </w:tr>
    </w:tbl>
    <w:p w14:paraId="2262E7A2" w14:textId="77777777" w:rsidR="00B9311E" w:rsidRPr="00BD77D8" w:rsidRDefault="00B9311E" w:rsidP="00587E62">
      <w:pPr>
        <w:spacing w:before="240" w:after="0" w:line="205" w:lineRule="exact"/>
        <w:textAlignment w:val="baseline"/>
        <w:rPr>
          <w:rFonts w:eastAsia="Arial"/>
          <w:b/>
          <w:bCs/>
          <w:sz w:val="16"/>
          <w:szCs w:val="16"/>
          <w:lang w:eastAsia="en-US"/>
        </w:rPr>
      </w:pPr>
      <w:r w:rsidRPr="00BD77D8">
        <w:rPr>
          <w:rFonts w:eastAsia="Arial"/>
          <w:sz w:val="16"/>
          <w:szCs w:val="16"/>
          <w:lang w:eastAsia="en-US"/>
        </w:rPr>
        <w:t>* Economic and Community Participation Services comparative amounts are from 13 November 2020 to 30 June 2021 due to the 2020 Machinery-of-Government changes.</w:t>
      </w:r>
    </w:p>
    <w:p w14:paraId="2664DD85" w14:textId="77777777" w:rsidR="00B9311E" w:rsidRPr="00BD77D8" w:rsidRDefault="00B9311E" w:rsidP="00B9311E">
      <w:pPr>
        <w:tabs>
          <w:tab w:val="left" w:pos="288"/>
        </w:tabs>
        <w:spacing w:after="0" w:line="209" w:lineRule="exact"/>
        <w:textAlignment w:val="baseline"/>
        <w:rPr>
          <w:rFonts w:eastAsia="Arial"/>
          <w:sz w:val="16"/>
          <w:szCs w:val="16"/>
          <w:lang w:eastAsia="en-US"/>
        </w:rPr>
      </w:pPr>
      <w:r w:rsidRPr="00BD77D8">
        <w:rPr>
          <w:rFonts w:eastAsia="Arial"/>
          <w:sz w:val="16"/>
          <w:szCs w:val="16"/>
          <w:lang w:eastAsia="en-US"/>
        </w:rPr>
        <w:t xml:space="preserve">^ Comparative amounts for Community Services are from 1 July 2020 to 30 November 2020. Community Services were transferred to Department of Communities, Housing and Digital Economy due to the 2020 Machinery-of-Government changes. </w:t>
      </w:r>
    </w:p>
    <w:p w14:paraId="475CE6D3" w14:textId="70D981EC" w:rsidR="00702AE3" w:rsidRPr="00BD77D8" w:rsidRDefault="00702AE3" w:rsidP="00B9311E">
      <w:pPr>
        <w:tabs>
          <w:tab w:val="left" w:pos="288"/>
        </w:tabs>
        <w:spacing w:after="0" w:line="209" w:lineRule="exact"/>
        <w:textAlignment w:val="baseline"/>
        <w:rPr>
          <w:rFonts w:eastAsia="PMingLiU"/>
          <w:sz w:val="16"/>
          <w:szCs w:val="16"/>
          <w:lang w:eastAsia="en-US"/>
        </w:rPr>
        <w:sectPr w:rsidR="00702AE3" w:rsidRPr="00BD77D8" w:rsidSect="009D3530">
          <w:pgSz w:w="16838" w:h="11909" w:orient="landscape"/>
          <w:pgMar w:top="680" w:right="794" w:bottom="794" w:left="680" w:header="720" w:footer="720" w:gutter="0"/>
          <w:cols w:space="720"/>
          <w:docGrid w:linePitch="245"/>
        </w:sectPr>
      </w:pP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t>Page 5 of 45</w:t>
      </w:r>
    </w:p>
    <w:p w14:paraId="5210169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E3FE5A4" w14:textId="77777777" w:rsidR="00B9311E" w:rsidRPr="00BD77D8" w:rsidRDefault="00B9311E" w:rsidP="00F70507">
      <w:pPr>
        <w:spacing w:after="0" w:line="199" w:lineRule="exact"/>
        <w:textAlignment w:val="baseline"/>
        <w:rPr>
          <w:rFonts w:eastAsia="Arial"/>
          <w:b/>
          <w:bCs/>
          <w:sz w:val="18"/>
          <w:szCs w:val="18"/>
          <w:lang w:eastAsia="en-US"/>
        </w:rPr>
      </w:pPr>
      <w:bookmarkStart w:id="363" w:name="_Toc111494794"/>
      <w:bookmarkStart w:id="364" w:name="_Toc111540666"/>
      <w:bookmarkStart w:id="365" w:name="_Toc111559229"/>
      <w:bookmarkStart w:id="366" w:name="_Toc113196501"/>
      <w:bookmarkStart w:id="367" w:name="_Toc113196849"/>
      <w:bookmarkStart w:id="368" w:name="_Toc113261979"/>
      <w:r w:rsidRPr="00BD77D8">
        <w:rPr>
          <w:rFonts w:eastAsia="Arial"/>
          <w:b/>
          <w:bCs/>
          <w:sz w:val="18"/>
          <w:szCs w:val="18"/>
          <w:lang w:eastAsia="en-US"/>
        </w:rPr>
        <w:t>Statement of Financial Position - Controlled</w:t>
      </w:r>
      <w:bookmarkEnd w:id="363"/>
      <w:bookmarkEnd w:id="364"/>
      <w:bookmarkEnd w:id="365"/>
      <w:bookmarkEnd w:id="366"/>
      <w:bookmarkEnd w:id="367"/>
      <w:bookmarkEnd w:id="368"/>
    </w:p>
    <w:p w14:paraId="04599A4D" w14:textId="77777777" w:rsidR="00B9311E" w:rsidRPr="00BD77D8" w:rsidRDefault="00B9311E" w:rsidP="00B9311E">
      <w:pPr>
        <w:pBdr>
          <w:bottom w:val="single" w:sz="4" w:space="1" w:color="auto"/>
        </w:pBd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C8127A7" w14:textId="77777777" w:rsidR="00B9311E" w:rsidRPr="00BD77D8" w:rsidRDefault="00B9311E" w:rsidP="00B9311E">
      <w:pPr>
        <w:pBdr>
          <w:bottom w:val="single" w:sz="4" w:space="1" w:color="auto"/>
        </w:pBdr>
        <w:spacing w:after="0" w:line="205" w:lineRule="exact"/>
        <w:textAlignment w:val="baseline"/>
        <w:rPr>
          <w:rFonts w:eastAsia="Arial"/>
          <w:bCs/>
          <w:sz w:val="18"/>
          <w:szCs w:val="18"/>
          <w:lang w:eastAsia="en-US"/>
        </w:rPr>
      </w:pPr>
    </w:p>
    <w:p w14:paraId="01DB2DE7" w14:textId="77777777" w:rsidR="00B9311E" w:rsidRPr="00BD77D8" w:rsidRDefault="00B9311E" w:rsidP="00B9311E">
      <w:pPr>
        <w:tabs>
          <w:tab w:val="left" w:pos="360"/>
        </w:tabs>
        <w:spacing w:after="0" w:line="195" w:lineRule="exact"/>
        <w:textAlignment w:val="baseline"/>
        <w:rPr>
          <w:rFonts w:eastAsia="PMingLiU"/>
          <w:sz w:val="18"/>
          <w:szCs w:val="22"/>
          <w:lang w:val="en-US" w:eastAsia="en-US"/>
        </w:rPr>
      </w:pPr>
      <w:bookmarkStart w:id="369" w:name="RANGE!A4:D28"/>
      <w:bookmarkStart w:id="370" w:name="RANGE!A4:F28"/>
      <w:bookmarkStart w:id="371" w:name="RANGE!A1:F28"/>
      <w:bookmarkEnd w:id="369"/>
      <w:bookmarkEnd w:id="370"/>
    </w:p>
    <w:tbl>
      <w:tblPr>
        <w:tblW w:w="10425" w:type="dxa"/>
        <w:tblCellMar>
          <w:left w:w="0" w:type="dxa"/>
          <w:right w:w="0" w:type="dxa"/>
        </w:tblCellMar>
        <w:tblLook w:val="04A0" w:firstRow="1" w:lastRow="0" w:firstColumn="1" w:lastColumn="0" w:noHBand="0" w:noVBand="1"/>
      </w:tblPr>
      <w:tblGrid>
        <w:gridCol w:w="4461"/>
        <w:gridCol w:w="1117"/>
        <w:gridCol w:w="1381"/>
        <w:gridCol w:w="1297"/>
        <w:gridCol w:w="1178"/>
        <w:gridCol w:w="1035"/>
      </w:tblGrid>
      <w:tr w:rsidR="00BD77D8" w:rsidRPr="00BD77D8" w14:paraId="2A9C0F5E" w14:textId="77777777" w:rsidTr="003057FB">
        <w:trPr>
          <w:trHeight w:val="736"/>
        </w:trPr>
        <w:tc>
          <w:tcPr>
            <w:tcW w:w="4467" w:type="dxa"/>
            <w:tcBorders>
              <w:top w:val="nil"/>
              <w:left w:val="nil"/>
              <w:bottom w:val="nil"/>
              <w:right w:val="nil"/>
            </w:tcBorders>
            <w:shd w:val="clear" w:color="auto" w:fill="auto"/>
            <w:noWrap/>
            <w:vAlign w:val="bottom"/>
            <w:hideMark/>
          </w:tcPr>
          <w:p w14:paraId="507CB0B0" w14:textId="77777777" w:rsidR="00B9311E" w:rsidRPr="00BD77D8" w:rsidRDefault="00B9311E" w:rsidP="00B9311E">
            <w:pPr>
              <w:spacing w:after="0" w:line="240" w:lineRule="auto"/>
              <w:rPr>
                <w:rFonts w:ascii="Times New Roman" w:hAnsi="Times New Roman" w:cs="Times New Roman"/>
                <w:sz w:val="24"/>
                <w:szCs w:val="24"/>
              </w:rPr>
            </w:pPr>
          </w:p>
        </w:tc>
        <w:tc>
          <w:tcPr>
            <w:tcW w:w="1107" w:type="dxa"/>
            <w:tcBorders>
              <w:top w:val="nil"/>
              <w:left w:val="nil"/>
              <w:bottom w:val="nil"/>
              <w:right w:val="nil"/>
            </w:tcBorders>
            <w:shd w:val="clear" w:color="auto" w:fill="auto"/>
            <w:noWrap/>
            <w:vAlign w:val="bottom"/>
            <w:hideMark/>
          </w:tcPr>
          <w:p w14:paraId="5A932B80"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Notes </w:t>
            </w:r>
          </w:p>
        </w:tc>
        <w:tc>
          <w:tcPr>
            <w:tcW w:w="1372" w:type="dxa"/>
            <w:tcBorders>
              <w:top w:val="nil"/>
              <w:left w:val="nil"/>
              <w:bottom w:val="nil"/>
              <w:right w:val="nil"/>
            </w:tcBorders>
            <w:shd w:val="clear" w:color="auto" w:fill="auto"/>
            <w:vAlign w:val="bottom"/>
            <w:hideMark/>
          </w:tcPr>
          <w:p w14:paraId="5AF8BCFE" w14:textId="77777777" w:rsidR="00B9311E" w:rsidRPr="00BD77D8" w:rsidRDefault="00B9311E" w:rsidP="00B9311E">
            <w:pPr>
              <w:spacing w:after="0" w:line="240" w:lineRule="auto"/>
              <w:jc w:val="right"/>
              <w:rPr>
                <w:b/>
                <w:bCs/>
                <w:sz w:val="18"/>
                <w:szCs w:val="18"/>
              </w:rPr>
            </w:pPr>
            <w:r w:rsidRPr="00BD77D8">
              <w:rPr>
                <w:b/>
                <w:bCs/>
                <w:sz w:val="18"/>
                <w:szCs w:val="18"/>
              </w:rPr>
              <w:t>Actual</w:t>
            </w:r>
            <w:r w:rsidRPr="00BD77D8">
              <w:rPr>
                <w:b/>
                <w:bCs/>
                <w:sz w:val="18"/>
                <w:szCs w:val="18"/>
              </w:rPr>
              <w:br/>
              <w:t xml:space="preserve">2022 </w:t>
            </w:r>
          </w:p>
        </w:tc>
        <w:tc>
          <w:tcPr>
            <w:tcW w:w="1287" w:type="dxa"/>
            <w:tcBorders>
              <w:top w:val="nil"/>
              <w:left w:val="nil"/>
              <w:bottom w:val="nil"/>
              <w:right w:val="nil"/>
            </w:tcBorders>
            <w:shd w:val="clear" w:color="auto" w:fill="auto"/>
            <w:vAlign w:val="bottom"/>
            <w:hideMark/>
          </w:tcPr>
          <w:p w14:paraId="137740E8" w14:textId="77777777" w:rsidR="00B9311E" w:rsidRPr="00BD77D8" w:rsidRDefault="00B9311E" w:rsidP="00B9311E">
            <w:pPr>
              <w:spacing w:after="0" w:line="240" w:lineRule="auto"/>
              <w:jc w:val="right"/>
              <w:rPr>
                <w:b/>
                <w:bCs/>
                <w:sz w:val="18"/>
                <w:szCs w:val="18"/>
              </w:rPr>
            </w:pPr>
            <w:r w:rsidRPr="00BD77D8">
              <w:rPr>
                <w:b/>
                <w:bCs/>
                <w:sz w:val="18"/>
                <w:szCs w:val="18"/>
              </w:rPr>
              <w:t xml:space="preserve"> Original Budget^</w:t>
            </w:r>
            <w:r w:rsidRPr="00BD77D8">
              <w:rPr>
                <w:b/>
                <w:bCs/>
                <w:sz w:val="18"/>
                <w:szCs w:val="18"/>
              </w:rPr>
              <w:br/>
              <w:t xml:space="preserve">2022  </w:t>
            </w:r>
          </w:p>
        </w:tc>
        <w:tc>
          <w:tcPr>
            <w:tcW w:w="1168" w:type="dxa"/>
            <w:tcBorders>
              <w:top w:val="nil"/>
              <w:left w:val="nil"/>
              <w:bottom w:val="nil"/>
              <w:right w:val="nil"/>
            </w:tcBorders>
            <w:shd w:val="clear" w:color="auto" w:fill="auto"/>
            <w:vAlign w:val="bottom"/>
            <w:hideMark/>
          </w:tcPr>
          <w:p w14:paraId="6101B595" w14:textId="77777777" w:rsidR="00B9311E" w:rsidRPr="00BD77D8" w:rsidRDefault="00B9311E" w:rsidP="00B9311E">
            <w:pPr>
              <w:spacing w:after="0" w:line="240" w:lineRule="auto"/>
              <w:jc w:val="right"/>
              <w:rPr>
                <w:b/>
                <w:bCs/>
                <w:sz w:val="18"/>
                <w:szCs w:val="18"/>
              </w:rPr>
            </w:pPr>
            <w:r w:rsidRPr="00BD77D8">
              <w:rPr>
                <w:b/>
                <w:bCs/>
                <w:sz w:val="18"/>
                <w:szCs w:val="18"/>
              </w:rPr>
              <w:t xml:space="preserve"> Budget Variance*</w:t>
            </w:r>
            <w:r w:rsidRPr="00BD77D8">
              <w:rPr>
                <w:b/>
                <w:bCs/>
                <w:sz w:val="18"/>
                <w:szCs w:val="18"/>
              </w:rPr>
              <w:br/>
              <w:t xml:space="preserve">2022  </w:t>
            </w:r>
          </w:p>
        </w:tc>
        <w:tc>
          <w:tcPr>
            <w:tcW w:w="1024" w:type="dxa"/>
            <w:tcBorders>
              <w:top w:val="nil"/>
              <w:left w:val="nil"/>
              <w:bottom w:val="nil"/>
              <w:right w:val="nil"/>
            </w:tcBorders>
            <w:shd w:val="clear" w:color="auto" w:fill="auto"/>
            <w:vAlign w:val="bottom"/>
            <w:hideMark/>
          </w:tcPr>
          <w:p w14:paraId="19A002E7" w14:textId="77777777" w:rsidR="00B9311E" w:rsidRPr="00BD77D8" w:rsidRDefault="00B9311E" w:rsidP="00B9311E">
            <w:pPr>
              <w:spacing w:after="0" w:line="240" w:lineRule="auto"/>
              <w:jc w:val="right"/>
              <w:rPr>
                <w:b/>
                <w:bCs/>
                <w:sz w:val="18"/>
                <w:szCs w:val="18"/>
              </w:rPr>
            </w:pPr>
            <w:r w:rsidRPr="00BD77D8">
              <w:rPr>
                <w:b/>
                <w:bCs/>
                <w:sz w:val="18"/>
                <w:szCs w:val="18"/>
              </w:rPr>
              <w:t xml:space="preserve"> Actual</w:t>
            </w:r>
            <w:r w:rsidRPr="00BD77D8">
              <w:rPr>
                <w:b/>
                <w:bCs/>
                <w:sz w:val="18"/>
                <w:szCs w:val="18"/>
              </w:rPr>
              <w:br/>
              <w:t xml:space="preserve">2021 </w:t>
            </w:r>
          </w:p>
        </w:tc>
      </w:tr>
      <w:tr w:rsidR="00BD77D8" w:rsidRPr="00BD77D8" w14:paraId="6A00149D" w14:textId="77777777" w:rsidTr="003057FB">
        <w:trPr>
          <w:trHeight w:val="291"/>
        </w:trPr>
        <w:tc>
          <w:tcPr>
            <w:tcW w:w="4467" w:type="dxa"/>
            <w:tcBorders>
              <w:top w:val="nil"/>
              <w:left w:val="nil"/>
              <w:bottom w:val="single" w:sz="4" w:space="0" w:color="auto"/>
              <w:right w:val="nil"/>
            </w:tcBorders>
            <w:shd w:val="clear" w:color="auto" w:fill="auto"/>
            <w:noWrap/>
            <w:vAlign w:val="bottom"/>
            <w:hideMark/>
          </w:tcPr>
          <w:p w14:paraId="40064C82" w14:textId="77777777" w:rsidR="00B9311E" w:rsidRPr="00BD77D8" w:rsidRDefault="00B9311E" w:rsidP="00B9311E">
            <w:pPr>
              <w:spacing w:after="0" w:line="240" w:lineRule="auto"/>
              <w:rPr>
                <w:sz w:val="18"/>
                <w:szCs w:val="18"/>
              </w:rPr>
            </w:pPr>
            <w:r w:rsidRPr="00BD77D8">
              <w:rPr>
                <w:sz w:val="18"/>
                <w:szCs w:val="18"/>
              </w:rPr>
              <w:t> </w:t>
            </w:r>
          </w:p>
        </w:tc>
        <w:tc>
          <w:tcPr>
            <w:tcW w:w="1107" w:type="dxa"/>
            <w:tcBorders>
              <w:top w:val="nil"/>
              <w:left w:val="nil"/>
              <w:bottom w:val="single" w:sz="4" w:space="0" w:color="auto"/>
              <w:right w:val="nil"/>
            </w:tcBorders>
            <w:shd w:val="clear" w:color="auto" w:fill="auto"/>
            <w:noWrap/>
            <w:vAlign w:val="bottom"/>
            <w:hideMark/>
          </w:tcPr>
          <w:p w14:paraId="4CB1FC61"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1372" w:type="dxa"/>
            <w:tcBorders>
              <w:top w:val="nil"/>
              <w:left w:val="nil"/>
              <w:bottom w:val="single" w:sz="4" w:space="0" w:color="auto"/>
              <w:right w:val="nil"/>
            </w:tcBorders>
            <w:shd w:val="clear" w:color="auto" w:fill="auto"/>
            <w:vAlign w:val="bottom"/>
            <w:hideMark/>
          </w:tcPr>
          <w:p w14:paraId="632BF75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87" w:type="dxa"/>
            <w:tcBorders>
              <w:top w:val="nil"/>
              <w:left w:val="nil"/>
              <w:bottom w:val="single" w:sz="4" w:space="0" w:color="auto"/>
              <w:right w:val="nil"/>
            </w:tcBorders>
            <w:shd w:val="clear" w:color="auto" w:fill="auto"/>
            <w:vAlign w:val="bottom"/>
            <w:hideMark/>
          </w:tcPr>
          <w:p w14:paraId="28BBD5B7"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68" w:type="dxa"/>
            <w:tcBorders>
              <w:top w:val="nil"/>
              <w:left w:val="nil"/>
              <w:bottom w:val="single" w:sz="4" w:space="0" w:color="auto"/>
              <w:right w:val="nil"/>
            </w:tcBorders>
            <w:shd w:val="clear" w:color="auto" w:fill="auto"/>
            <w:vAlign w:val="bottom"/>
            <w:hideMark/>
          </w:tcPr>
          <w:p w14:paraId="4902878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24" w:type="dxa"/>
            <w:tcBorders>
              <w:top w:val="nil"/>
              <w:left w:val="nil"/>
              <w:bottom w:val="single" w:sz="4" w:space="0" w:color="auto"/>
              <w:right w:val="nil"/>
            </w:tcBorders>
            <w:shd w:val="clear" w:color="auto" w:fill="auto"/>
            <w:vAlign w:val="bottom"/>
            <w:hideMark/>
          </w:tcPr>
          <w:p w14:paraId="0116FD4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38DC0AD4" w14:textId="77777777" w:rsidTr="003057FB">
        <w:trPr>
          <w:trHeight w:val="291"/>
        </w:trPr>
        <w:tc>
          <w:tcPr>
            <w:tcW w:w="4467" w:type="dxa"/>
            <w:tcBorders>
              <w:top w:val="nil"/>
              <w:left w:val="nil"/>
              <w:bottom w:val="nil"/>
              <w:right w:val="nil"/>
            </w:tcBorders>
            <w:shd w:val="clear" w:color="auto" w:fill="auto"/>
            <w:noWrap/>
            <w:vAlign w:val="bottom"/>
            <w:hideMark/>
          </w:tcPr>
          <w:p w14:paraId="2023BA3B" w14:textId="77777777" w:rsidR="00B9311E" w:rsidRPr="00BD77D8" w:rsidRDefault="00B9311E" w:rsidP="00B9311E">
            <w:pPr>
              <w:spacing w:after="0" w:line="240" w:lineRule="auto"/>
              <w:rPr>
                <w:b/>
                <w:bCs/>
                <w:sz w:val="18"/>
                <w:szCs w:val="18"/>
              </w:rPr>
            </w:pPr>
            <w:r w:rsidRPr="00BD77D8">
              <w:rPr>
                <w:b/>
                <w:bCs/>
                <w:sz w:val="18"/>
                <w:szCs w:val="18"/>
              </w:rPr>
              <w:t xml:space="preserve"> Current Assets </w:t>
            </w:r>
          </w:p>
        </w:tc>
        <w:tc>
          <w:tcPr>
            <w:tcW w:w="1107" w:type="dxa"/>
            <w:tcBorders>
              <w:top w:val="nil"/>
              <w:left w:val="nil"/>
              <w:bottom w:val="nil"/>
              <w:right w:val="nil"/>
            </w:tcBorders>
            <w:shd w:val="clear" w:color="auto" w:fill="auto"/>
            <w:noWrap/>
            <w:vAlign w:val="bottom"/>
            <w:hideMark/>
          </w:tcPr>
          <w:p w14:paraId="15AC3DA8" w14:textId="77777777" w:rsidR="00B9311E" w:rsidRPr="00BD77D8" w:rsidRDefault="00B9311E" w:rsidP="00B9311E">
            <w:pPr>
              <w:spacing w:after="0" w:line="240" w:lineRule="auto"/>
              <w:rPr>
                <w:sz w:val="18"/>
                <w:szCs w:val="18"/>
              </w:rPr>
            </w:pPr>
          </w:p>
        </w:tc>
        <w:tc>
          <w:tcPr>
            <w:tcW w:w="1372" w:type="dxa"/>
            <w:tcBorders>
              <w:top w:val="nil"/>
              <w:left w:val="nil"/>
              <w:bottom w:val="nil"/>
              <w:right w:val="nil"/>
            </w:tcBorders>
            <w:shd w:val="clear" w:color="auto" w:fill="auto"/>
            <w:noWrap/>
            <w:vAlign w:val="bottom"/>
            <w:hideMark/>
          </w:tcPr>
          <w:p w14:paraId="0BC60FCE"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287" w:type="dxa"/>
            <w:tcBorders>
              <w:top w:val="nil"/>
              <w:left w:val="nil"/>
              <w:bottom w:val="nil"/>
              <w:right w:val="nil"/>
            </w:tcBorders>
            <w:shd w:val="clear" w:color="auto" w:fill="auto"/>
            <w:noWrap/>
            <w:vAlign w:val="bottom"/>
            <w:hideMark/>
          </w:tcPr>
          <w:p w14:paraId="48590709"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168" w:type="dxa"/>
            <w:tcBorders>
              <w:top w:val="nil"/>
              <w:left w:val="nil"/>
              <w:bottom w:val="nil"/>
              <w:right w:val="nil"/>
            </w:tcBorders>
            <w:shd w:val="clear" w:color="auto" w:fill="auto"/>
            <w:noWrap/>
            <w:vAlign w:val="bottom"/>
            <w:hideMark/>
          </w:tcPr>
          <w:p w14:paraId="1A6FBCC3" w14:textId="77777777" w:rsidR="00B9311E" w:rsidRPr="00BD77D8" w:rsidRDefault="00B9311E" w:rsidP="00B9311E">
            <w:pPr>
              <w:spacing w:after="0" w:line="240" w:lineRule="auto"/>
              <w:rPr>
                <w:rFonts w:ascii="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4BA94C2C" w14:textId="77777777" w:rsidR="00B9311E" w:rsidRPr="00BD77D8" w:rsidRDefault="00B9311E" w:rsidP="00B9311E">
            <w:pPr>
              <w:spacing w:after="0" w:line="240" w:lineRule="auto"/>
              <w:rPr>
                <w:rFonts w:ascii="Times New Roman" w:hAnsi="Times New Roman" w:cs="Times New Roman"/>
                <w:sz w:val="20"/>
                <w:szCs w:val="20"/>
              </w:rPr>
            </w:pPr>
          </w:p>
        </w:tc>
      </w:tr>
      <w:tr w:rsidR="00BD77D8" w:rsidRPr="00BD77D8" w14:paraId="6CF21F07" w14:textId="77777777" w:rsidTr="003057FB">
        <w:trPr>
          <w:trHeight w:val="291"/>
        </w:trPr>
        <w:tc>
          <w:tcPr>
            <w:tcW w:w="4467" w:type="dxa"/>
            <w:tcBorders>
              <w:top w:val="nil"/>
              <w:left w:val="nil"/>
              <w:bottom w:val="nil"/>
              <w:right w:val="nil"/>
            </w:tcBorders>
            <w:shd w:val="clear" w:color="auto" w:fill="auto"/>
            <w:noWrap/>
            <w:vAlign w:val="bottom"/>
            <w:hideMark/>
          </w:tcPr>
          <w:p w14:paraId="6C982E7F"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Cash and cash equivalents </w:t>
            </w:r>
          </w:p>
        </w:tc>
        <w:bookmarkStart w:id="372" w:name="RANGE!B7"/>
        <w:tc>
          <w:tcPr>
            <w:tcW w:w="1107" w:type="dxa"/>
            <w:tcBorders>
              <w:top w:val="nil"/>
              <w:left w:val="nil"/>
              <w:bottom w:val="nil"/>
              <w:right w:val="nil"/>
            </w:tcBorders>
            <w:shd w:val="clear" w:color="auto" w:fill="auto"/>
            <w:noWrap/>
            <w:vAlign w:val="bottom"/>
            <w:hideMark/>
          </w:tcPr>
          <w:p w14:paraId="253CA2EB"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C1'!A5" </w:instrText>
            </w:r>
            <w:r w:rsidRPr="00BD77D8">
              <w:rPr>
                <w:rFonts w:eastAsia="PMingLiU"/>
                <w:b/>
                <w:bCs/>
                <w:sz w:val="18"/>
                <w:szCs w:val="22"/>
                <w:lang w:eastAsia="en-US"/>
              </w:rPr>
              <w:fldChar w:fldCharType="separate"/>
            </w:r>
            <w:r w:rsidRPr="00BD77D8">
              <w:rPr>
                <w:rFonts w:eastAsia="PMingLiU"/>
                <w:b/>
                <w:bCs/>
                <w:sz w:val="18"/>
                <w:szCs w:val="22"/>
                <w:lang w:eastAsia="en-US"/>
              </w:rPr>
              <w:t>C1</w:t>
            </w:r>
            <w:r w:rsidRPr="00BD77D8">
              <w:rPr>
                <w:rFonts w:eastAsia="PMingLiU"/>
                <w:b/>
                <w:bCs/>
                <w:sz w:val="18"/>
                <w:szCs w:val="22"/>
                <w:lang w:eastAsia="en-US"/>
              </w:rPr>
              <w:fldChar w:fldCharType="end"/>
            </w:r>
            <w:bookmarkEnd w:id="372"/>
          </w:p>
        </w:tc>
        <w:tc>
          <w:tcPr>
            <w:tcW w:w="1372" w:type="dxa"/>
            <w:tcBorders>
              <w:top w:val="nil"/>
              <w:left w:val="nil"/>
              <w:bottom w:val="nil"/>
              <w:right w:val="nil"/>
            </w:tcBorders>
            <w:shd w:val="clear" w:color="auto" w:fill="auto"/>
            <w:vAlign w:val="bottom"/>
            <w:hideMark/>
          </w:tcPr>
          <w:p w14:paraId="2242D0B0" w14:textId="77777777" w:rsidR="00B9311E" w:rsidRPr="00BD77D8" w:rsidRDefault="00B9311E" w:rsidP="00B9311E">
            <w:pPr>
              <w:spacing w:after="0" w:line="240" w:lineRule="auto"/>
              <w:jc w:val="right"/>
              <w:rPr>
                <w:b/>
                <w:bCs/>
                <w:sz w:val="18"/>
                <w:szCs w:val="18"/>
              </w:rPr>
            </w:pPr>
            <w:r w:rsidRPr="00BD77D8">
              <w:rPr>
                <w:b/>
                <w:bCs/>
                <w:sz w:val="18"/>
                <w:szCs w:val="18"/>
              </w:rPr>
              <w:t xml:space="preserve">        51,005 </w:t>
            </w:r>
          </w:p>
        </w:tc>
        <w:tc>
          <w:tcPr>
            <w:tcW w:w="1287" w:type="dxa"/>
            <w:tcBorders>
              <w:top w:val="nil"/>
              <w:left w:val="nil"/>
              <w:bottom w:val="nil"/>
              <w:right w:val="nil"/>
            </w:tcBorders>
            <w:shd w:val="clear" w:color="auto" w:fill="auto"/>
            <w:vAlign w:val="bottom"/>
            <w:hideMark/>
          </w:tcPr>
          <w:p w14:paraId="784CB611" w14:textId="77777777" w:rsidR="00B9311E" w:rsidRPr="00BD77D8" w:rsidRDefault="00B9311E" w:rsidP="00B9311E">
            <w:pPr>
              <w:spacing w:after="0" w:line="240" w:lineRule="auto"/>
              <w:jc w:val="right"/>
              <w:rPr>
                <w:sz w:val="18"/>
                <w:szCs w:val="18"/>
              </w:rPr>
            </w:pPr>
            <w:r w:rsidRPr="00BD77D8">
              <w:rPr>
                <w:sz w:val="18"/>
                <w:szCs w:val="18"/>
              </w:rPr>
              <w:t xml:space="preserve">        24,251 </w:t>
            </w:r>
          </w:p>
        </w:tc>
        <w:tc>
          <w:tcPr>
            <w:tcW w:w="1168" w:type="dxa"/>
            <w:tcBorders>
              <w:top w:val="nil"/>
              <w:left w:val="nil"/>
              <w:bottom w:val="nil"/>
              <w:right w:val="nil"/>
            </w:tcBorders>
            <w:shd w:val="clear" w:color="auto" w:fill="auto"/>
            <w:vAlign w:val="bottom"/>
            <w:hideMark/>
          </w:tcPr>
          <w:p w14:paraId="31F1AAFB" w14:textId="77777777" w:rsidR="00B9311E" w:rsidRPr="00BD77D8" w:rsidRDefault="00B9311E" w:rsidP="00B9311E">
            <w:pPr>
              <w:spacing w:after="0" w:line="240" w:lineRule="auto"/>
              <w:jc w:val="right"/>
              <w:rPr>
                <w:sz w:val="18"/>
                <w:szCs w:val="18"/>
              </w:rPr>
            </w:pPr>
            <w:r w:rsidRPr="00BD77D8">
              <w:rPr>
                <w:sz w:val="18"/>
                <w:szCs w:val="18"/>
              </w:rPr>
              <w:t xml:space="preserve">        26,754 </w:t>
            </w:r>
          </w:p>
        </w:tc>
        <w:tc>
          <w:tcPr>
            <w:tcW w:w="1024" w:type="dxa"/>
            <w:tcBorders>
              <w:top w:val="nil"/>
              <w:left w:val="nil"/>
              <w:bottom w:val="nil"/>
              <w:right w:val="nil"/>
            </w:tcBorders>
            <w:shd w:val="clear" w:color="auto" w:fill="auto"/>
            <w:vAlign w:val="bottom"/>
            <w:hideMark/>
          </w:tcPr>
          <w:p w14:paraId="1F391BF4" w14:textId="77777777" w:rsidR="00B9311E" w:rsidRPr="00BD77D8" w:rsidRDefault="00B9311E" w:rsidP="00B9311E">
            <w:pPr>
              <w:spacing w:after="0" w:line="240" w:lineRule="auto"/>
              <w:jc w:val="right"/>
              <w:rPr>
                <w:sz w:val="18"/>
                <w:szCs w:val="18"/>
              </w:rPr>
            </w:pPr>
            <w:r w:rsidRPr="00BD77D8">
              <w:rPr>
                <w:sz w:val="18"/>
                <w:szCs w:val="18"/>
              </w:rPr>
              <w:t xml:space="preserve">        54,840 </w:t>
            </w:r>
          </w:p>
        </w:tc>
      </w:tr>
      <w:tr w:rsidR="00BD77D8" w:rsidRPr="00BD77D8" w14:paraId="41D4AA8C" w14:textId="77777777" w:rsidTr="003057FB">
        <w:trPr>
          <w:trHeight w:val="291"/>
        </w:trPr>
        <w:tc>
          <w:tcPr>
            <w:tcW w:w="4467" w:type="dxa"/>
            <w:tcBorders>
              <w:top w:val="nil"/>
              <w:left w:val="nil"/>
              <w:bottom w:val="nil"/>
              <w:right w:val="nil"/>
            </w:tcBorders>
            <w:shd w:val="clear" w:color="auto" w:fill="auto"/>
            <w:noWrap/>
            <w:vAlign w:val="bottom"/>
            <w:hideMark/>
          </w:tcPr>
          <w:p w14:paraId="1F9D4303"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Receivables </w:t>
            </w:r>
          </w:p>
        </w:tc>
        <w:tc>
          <w:tcPr>
            <w:tcW w:w="1107" w:type="dxa"/>
            <w:tcBorders>
              <w:top w:val="nil"/>
              <w:left w:val="nil"/>
              <w:bottom w:val="nil"/>
              <w:right w:val="nil"/>
            </w:tcBorders>
            <w:shd w:val="clear" w:color="auto" w:fill="auto"/>
            <w:noWrap/>
            <w:vAlign w:val="bottom"/>
            <w:hideMark/>
          </w:tcPr>
          <w:p w14:paraId="6F207A1E" w14:textId="77777777" w:rsidR="00B9311E" w:rsidRPr="00BD77D8" w:rsidRDefault="00F56A31" w:rsidP="00B9311E">
            <w:pPr>
              <w:spacing w:after="0" w:line="240" w:lineRule="auto"/>
              <w:jc w:val="center"/>
              <w:rPr>
                <w:rFonts w:eastAsia="PMingLiU"/>
                <w:b/>
                <w:bCs/>
                <w:sz w:val="18"/>
                <w:szCs w:val="22"/>
                <w:lang w:eastAsia="en-US"/>
              </w:rPr>
            </w:pPr>
            <w:hyperlink r:id="rId38" w:anchor="'Note C2'!A5" w:history="1">
              <w:r w:rsidR="00B9311E" w:rsidRPr="00BD77D8">
                <w:rPr>
                  <w:rFonts w:eastAsia="PMingLiU"/>
                  <w:b/>
                  <w:bCs/>
                  <w:sz w:val="18"/>
                  <w:szCs w:val="22"/>
                  <w:lang w:eastAsia="en-US"/>
                </w:rPr>
                <w:t>C2</w:t>
              </w:r>
            </w:hyperlink>
          </w:p>
        </w:tc>
        <w:tc>
          <w:tcPr>
            <w:tcW w:w="1372" w:type="dxa"/>
            <w:tcBorders>
              <w:top w:val="nil"/>
              <w:left w:val="nil"/>
              <w:bottom w:val="nil"/>
              <w:right w:val="nil"/>
            </w:tcBorders>
            <w:shd w:val="clear" w:color="auto" w:fill="auto"/>
            <w:vAlign w:val="bottom"/>
            <w:hideMark/>
          </w:tcPr>
          <w:p w14:paraId="4BF9BB4C" w14:textId="77777777" w:rsidR="00B9311E" w:rsidRPr="00BD77D8" w:rsidRDefault="00B9311E" w:rsidP="00B9311E">
            <w:pPr>
              <w:spacing w:after="0" w:line="240" w:lineRule="auto"/>
              <w:jc w:val="right"/>
              <w:rPr>
                <w:b/>
                <w:bCs/>
                <w:sz w:val="18"/>
                <w:szCs w:val="18"/>
              </w:rPr>
            </w:pPr>
            <w:r w:rsidRPr="00BD77D8">
              <w:rPr>
                <w:b/>
                <w:bCs/>
                <w:sz w:val="18"/>
                <w:szCs w:val="18"/>
              </w:rPr>
              <w:t xml:space="preserve">          7,510 </w:t>
            </w:r>
          </w:p>
        </w:tc>
        <w:tc>
          <w:tcPr>
            <w:tcW w:w="1287" w:type="dxa"/>
            <w:tcBorders>
              <w:top w:val="nil"/>
              <w:left w:val="nil"/>
              <w:bottom w:val="nil"/>
              <w:right w:val="nil"/>
            </w:tcBorders>
            <w:shd w:val="clear" w:color="auto" w:fill="auto"/>
            <w:vAlign w:val="bottom"/>
            <w:hideMark/>
          </w:tcPr>
          <w:p w14:paraId="469329C0" w14:textId="77777777" w:rsidR="00B9311E" w:rsidRPr="00BD77D8" w:rsidRDefault="00B9311E" w:rsidP="00B9311E">
            <w:pPr>
              <w:spacing w:after="0" w:line="240" w:lineRule="auto"/>
              <w:jc w:val="right"/>
              <w:rPr>
                <w:sz w:val="18"/>
                <w:szCs w:val="18"/>
              </w:rPr>
            </w:pPr>
            <w:r w:rsidRPr="00BD77D8">
              <w:rPr>
                <w:sz w:val="18"/>
                <w:szCs w:val="18"/>
              </w:rPr>
              <w:t xml:space="preserve">          4,544 </w:t>
            </w:r>
          </w:p>
        </w:tc>
        <w:tc>
          <w:tcPr>
            <w:tcW w:w="1168" w:type="dxa"/>
            <w:tcBorders>
              <w:top w:val="nil"/>
              <w:left w:val="nil"/>
              <w:bottom w:val="nil"/>
              <w:right w:val="nil"/>
            </w:tcBorders>
            <w:shd w:val="clear" w:color="auto" w:fill="auto"/>
            <w:vAlign w:val="bottom"/>
            <w:hideMark/>
          </w:tcPr>
          <w:p w14:paraId="16B58E1C" w14:textId="77777777" w:rsidR="00B9311E" w:rsidRPr="00BD77D8" w:rsidRDefault="00B9311E" w:rsidP="00B9311E">
            <w:pPr>
              <w:spacing w:after="0" w:line="240" w:lineRule="auto"/>
              <w:jc w:val="right"/>
              <w:rPr>
                <w:sz w:val="18"/>
                <w:szCs w:val="18"/>
              </w:rPr>
            </w:pPr>
            <w:r w:rsidRPr="00BD77D8">
              <w:rPr>
                <w:sz w:val="18"/>
                <w:szCs w:val="18"/>
              </w:rPr>
              <w:t xml:space="preserve">          2,966 </w:t>
            </w:r>
          </w:p>
        </w:tc>
        <w:tc>
          <w:tcPr>
            <w:tcW w:w="1024" w:type="dxa"/>
            <w:tcBorders>
              <w:top w:val="nil"/>
              <w:left w:val="nil"/>
              <w:bottom w:val="nil"/>
              <w:right w:val="nil"/>
            </w:tcBorders>
            <w:shd w:val="clear" w:color="auto" w:fill="auto"/>
            <w:vAlign w:val="bottom"/>
            <w:hideMark/>
          </w:tcPr>
          <w:p w14:paraId="4E19761A" w14:textId="77777777" w:rsidR="00B9311E" w:rsidRPr="00BD77D8" w:rsidRDefault="00B9311E" w:rsidP="00B9311E">
            <w:pPr>
              <w:spacing w:after="0" w:line="240" w:lineRule="auto"/>
              <w:jc w:val="right"/>
              <w:rPr>
                <w:sz w:val="18"/>
                <w:szCs w:val="18"/>
              </w:rPr>
            </w:pPr>
            <w:r w:rsidRPr="00BD77D8">
              <w:rPr>
                <w:sz w:val="18"/>
                <w:szCs w:val="18"/>
              </w:rPr>
              <w:t xml:space="preserve">          6,009 </w:t>
            </w:r>
          </w:p>
        </w:tc>
      </w:tr>
      <w:tr w:rsidR="00BD77D8" w:rsidRPr="00BD77D8" w14:paraId="56B2274A" w14:textId="77777777" w:rsidTr="003057FB">
        <w:trPr>
          <w:trHeight w:val="291"/>
        </w:trPr>
        <w:tc>
          <w:tcPr>
            <w:tcW w:w="4467" w:type="dxa"/>
            <w:tcBorders>
              <w:top w:val="nil"/>
              <w:left w:val="nil"/>
              <w:bottom w:val="nil"/>
              <w:right w:val="nil"/>
            </w:tcBorders>
            <w:shd w:val="clear" w:color="auto" w:fill="auto"/>
            <w:noWrap/>
            <w:vAlign w:val="bottom"/>
            <w:hideMark/>
          </w:tcPr>
          <w:p w14:paraId="169F944E"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current assets   </w:t>
            </w:r>
          </w:p>
        </w:tc>
        <w:tc>
          <w:tcPr>
            <w:tcW w:w="1107" w:type="dxa"/>
            <w:tcBorders>
              <w:top w:val="nil"/>
              <w:left w:val="nil"/>
              <w:bottom w:val="nil"/>
              <w:right w:val="nil"/>
            </w:tcBorders>
            <w:shd w:val="clear" w:color="auto" w:fill="auto"/>
            <w:noWrap/>
            <w:vAlign w:val="bottom"/>
            <w:hideMark/>
          </w:tcPr>
          <w:p w14:paraId="030926D7" w14:textId="77777777" w:rsidR="00B9311E" w:rsidRPr="00BD77D8" w:rsidRDefault="00B9311E" w:rsidP="00B9311E">
            <w:pPr>
              <w:spacing w:after="0" w:line="240" w:lineRule="auto"/>
              <w:ind w:firstLineChars="100" w:firstLine="181"/>
              <w:rPr>
                <w:b/>
                <w:bCs/>
                <w:sz w:val="18"/>
                <w:szCs w:val="18"/>
              </w:rPr>
            </w:pPr>
          </w:p>
        </w:tc>
        <w:tc>
          <w:tcPr>
            <w:tcW w:w="1372" w:type="dxa"/>
            <w:tcBorders>
              <w:top w:val="nil"/>
              <w:left w:val="nil"/>
              <w:bottom w:val="single" w:sz="4" w:space="0" w:color="auto"/>
              <w:right w:val="nil"/>
            </w:tcBorders>
            <w:shd w:val="clear" w:color="auto" w:fill="auto"/>
            <w:vAlign w:val="bottom"/>
            <w:hideMark/>
          </w:tcPr>
          <w:p w14:paraId="1123C9EB" w14:textId="77777777" w:rsidR="00B9311E" w:rsidRPr="00BD77D8" w:rsidRDefault="00B9311E" w:rsidP="00B9311E">
            <w:pPr>
              <w:spacing w:after="0" w:line="240" w:lineRule="auto"/>
              <w:jc w:val="right"/>
              <w:rPr>
                <w:b/>
                <w:bCs/>
                <w:sz w:val="18"/>
                <w:szCs w:val="18"/>
              </w:rPr>
            </w:pPr>
            <w:r w:rsidRPr="00BD77D8">
              <w:rPr>
                <w:b/>
                <w:bCs/>
                <w:sz w:val="18"/>
                <w:szCs w:val="18"/>
              </w:rPr>
              <w:t xml:space="preserve">              982 </w:t>
            </w:r>
          </w:p>
        </w:tc>
        <w:tc>
          <w:tcPr>
            <w:tcW w:w="1287" w:type="dxa"/>
            <w:tcBorders>
              <w:top w:val="nil"/>
              <w:left w:val="nil"/>
              <w:bottom w:val="single" w:sz="4" w:space="0" w:color="auto"/>
              <w:right w:val="nil"/>
            </w:tcBorders>
            <w:shd w:val="clear" w:color="auto" w:fill="auto"/>
            <w:vAlign w:val="bottom"/>
            <w:hideMark/>
          </w:tcPr>
          <w:p w14:paraId="2505FE9D" w14:textId="77777777" w:rsidR="00B9311E" w:rsidRPr="00BD77D8" w:rsidRDefault="00B9311E" w:rsidP="00B9311E">
            <w:pPr>
              <w:spacing w:after="0" w:line="240" w:lineRule="auto"/>
              <w:jc w:val="right"/>
              <w:rPr>
                <w:sz w:val="18"/>
                <w:szCs w:val="18"/>
              </w:rPr>
            </w:pPr>
            <w:r w:rsidRPr="00BD77D8">
              <w:rPr>
                <w:sz w:val="18"/>
                <w:szCs w:val="18"/>
              </w:rPr>
              <w:t xml:space="preserve">          2,452 </w:t>
            </w:r>
          </w:p>
        </w:tc>
        <w:tc>
          <w:tcPr>
            <w:tcW w:w="1168" w:type="dxa"/>
            <w:tcBorders>
              <w:top w:val="nil"/>
              <w:left w:val="nil"/>
              <w:bottom w:val="single" w:sz="4" w:space="0" w:color="auto"/>
              <w:right w:val="nil"/>
            </w:tcBorders>
            <w:shd w:val="clear" w:color="auto" w:fill="auto"/>
            <w:vAlign w:val="bottom"/>
            <w:hideMark/>
          </w:tcPr>
          <w:p w14:paraId="72058707" w14:textId="77777777" w:rsidR="00B9311E" w:rsidRPr="00BD77D8" w:rsidRDefault="00B9311E" w:rsidP="00B9311E">
            <w:pPr>
              <w:spacing w:after="0" w:line="240" w:lineRule="auto"/>
              <w:jc w:val="right"/>
              <w:rPr>
                <w:sz w:val="18"/>
                <w:szCs w:val="18"/>
              </w:rPr>
            </w:pPr>
            <w:r w:rsidRPr="00BD77D8">
              <w:rPr>
                <w:sz w:val="18"/>
                <w:szCs w:val="18"/>
              </w:rPr>
              <w:t xml:space="preserve">         (1,470)</w:t>
            </w:r>
          </w:p>
        </w:tc>
        <w:tc>
          <w:tcPr>
            <w:tcW w:w="1024" w:type="dxa"/>
            <w:tcBorders>
              <w:top w:val="nil"/>
              <w:left w:val="nil"/>
              <w:bottom w:val="single" w:sz="4" w:space="0" w:color="auto"/>
              <w:right w:val="nil"/>
            </w:tcBorders>
            <w:shd w:val="clear" w:color="auto" w:fill="auto"/>
            <w:vAlign w:val="bottom"/>
            <w:hideMark/>
          </w:tcPr>
          <w:p w14:paraId="591A0802" w14:textId="77777777" w:rsidR="00B9311E" w:rsidRPr="00BD77D8" w:rsidRDefault="00B9311E" w:rsidP="00B9311E">
            <w:pPr>
              <w:spacing w:after="0" w:line="240" w:lineRule="auto"/>
              <w:jc w:val="right"/>
              <w:rPr>
                <w:sz w:val="18"/>
                <w:szCs w:val="18"/>
              </w:rPr>
            </w:pPr>
            <w:r w:rsidRPr="00BD77D8">
              <w:rPr>
                <w:sz w:val="18"/>
                <w:szCs w:val="18"/>
              </w:rPr>
              <w:t xml:space="preserve">          1,774 </w:t>
            </w:r>
          </w:p>
        </w:tc>
      </w:tr>
      <w:tr w:rsidR="00BD77D8" w:rsidRPr="00BD77D8" w14:paraId="2CBF0700" w14:textId="77777777" w:rsidTr="003057FB">
        <w:trPr>
          <w:trHeight w:val="291"/>
        </w:trPr>
        <w:tc>
          <w:tcPr>
            <w:tcW w:w="4467" w:type="dxa"/>
            <w:tcBorders>
              <w:top w:val="nil"/>
              <w:left w:val="nil"/>
              <w:bottom w:val="nil"/>
              <w:right w:val="nil"/>
            </w:tcBorders>
            <w:shd w:val="clear" w:color="auto" w:fill="auto"/>
            <w:noWrap/>
            <w:vAlign w:val="bottom"/>
            <w:hideMark/>
          </w:tcPr>
          <w:p w14:paraId="0B9A37AC" w14:textId="77777777" w:rsidR="00B9311E" w:rsidRPr="00BD77D8" w:rsidRDefault="00B9311E" w:rsidP="00B9311E">
            <w:pPr>
              <w:spacing w:after="0" w:line="240" w:lineRule="auto"/>
              <w:jc w:val="right"/>
              <w:rPr>
                <w:sz w:val="18"/>
                <w:szCs w:val="18"/>
              </w:rPr>
            </w:pPr>
          </w:p>
        </w:tc>
        <w:tc>
          <w:tcPr>
            <w:tcW w:w="1107" w:type="dxa"/>
            <w:tcBorders>
              <w:top w:val="nil"/>
              <w:left w:val="nil"/>
              <w:bottom w:val="nil"/>
              <w:right w:val="nil"/>
            </w:tcBorders>
            <w:shd w:val="clear" w:color="auto" w:fill="auto"/>
            <w:noWrap/>
            <w:vAlign w:val="bottom"/>
            <w:hideMark/>
          </w:tcPr>
          <w:p w14:paraId="365689A4" w14:textId="77777777" w:rsidR="00B9311E" w:rsidRPr="00BD77D8" w:rsidRDefault="00B9311E" w:rsidP="00B9311E">
            <w:pPr>
              <w:spacing w:after="0" w:line="240" w:lineRule="auto"/>
              <w:rPr>
                <w:rFonts w:ascii="Times New Roman" w:hAnsi="Times New Roman" w:cs="Times New Roman"/>
                <w:b/>
                <w:bCs/>
                <w:sz w:val="20"/>
                <w:szCs w:val="20"/>
              </w:rPr>
            </w:pPr>
          </w:p>
        </w:tc>
        <w:tc>
          <w:tcPr>
            <w:tcW w:w="1372" w:type="dxa"/>
            <w:tcBorders>
              <w:top w:val="nil"/>
              <w:left w:val="nil"/>
              <w:bottom w:val="nil"/>
              <w:right w:val="nil"/>
            </w:tcBorders>
            <w:shd w:val="clear" w:color="auto" w:fill="auto"/>
            <w:vAlign w:val="bottom"/>
            <w:hideMark/>
          </w:tcPr>
          <w:p w14:paraId="30EB2F59" w14:textId="77777777" w:rsidR="00B9311E" w:rsidRPr="00BD77D8" w:rsidRDefault="00B9311E" w:rsidP="00B9311E">
            <w:pPr>
              <w:spacing w:after="0" w:line="240" w:lineRule="auto"/>
              <w:jc w:val="right"/>
              <w:rPr>
                <w:b/>
                <w:bCs/>
                <w:sz w:val="18"/>
                <w:szCs w:val="18"/>
              </w:rPr>
            </w:pPr>
            <w:r w:rsidRPr="00BD77D8">
              <w:rPr>
                <w:b/>
                <w:bCs/>
                <w:sz w:val="18"/>
                <w:szCs w:val="18"/>
              </w:rPr>
              <w:t xml:space="preserve">        59,497 </w:t>
            </w:r>
          </w:p>
        </w:tc>
        <w:tc>
          <w:tcPr>
            <w:tcW w:w="1287" w:type="dxa"/>
            <w:tcBorders>
              <w:top w:val="nil"/>
              <w:left w:val="nil"/>
              <w:bottom w:val="nil"/>
              <w:right w:val="nil"/>
            </w:tcBorders>
            <w:shd w:val="clear" w:color="auto" w:fill="auto"/>
            <w:vAlign w:val="bottom"/>
            <w:hideMark/>
          </w:tcPr>
          <w:p w14:paraId="498429D8" w14:textId="77777777" w:rsidR="00B9311E" w:rsidRPr="00BD77D8" w:rsidRDefault="00B9311E" w:rsidP="00B9311E">
            <w:pPr>
              <w:spacing w:after="0" w:line="240" w:lineRule="auto"/>
              <w:jc w:val="right"/>
              <w:rPr>
                <w:sz w:val="18"/>
                <w:szCs w:val="18"/>
              </w:rPr>
            </w:pPr>
            <w:r w:rsidRPr="00BD77D8">
              <w:rPr>
                <w:sz w:val="18"/>
                <w:szCs w:val="18"/>
              </w:rPr>
              <w:t xml:space="preserve">        31,247 </w:t>
            </w:r>
          </w:p>
        </w:tc>
        <w:tc>
          <w:tcPr>
            <w:tcW w:w="1168" w:type="dxa"/>
            <w:tcBorders>
              <w:top w:val="nil"/>
              <w:left w:val="nil"/>
              <w:bottom w:val="nil"/>
              <w:right w:val="nil"/>
            </w:tcBorders>
            <w:shd w:val="clear" w:color="auto" w:fill="auto"/>
            <w:vAlign w:val="bottom"/>
            <w:hideMark/>
          </w:tcPr>
          <w:p w14:paraId="6E462C5E" w14:textId="77777777" w:rsidR="00B9311E" w:rsidRPr="00BD77D8" w:rsidRDefault="00B9311E" w:rsidP="00B9311E">
            <w:pPr>
              <w:spacing w:after="0" w:line="240" w:lineRule="auto"/>
              <w:jc w:val="right"/>
              <w:rPr>
                <w:sz w:val="18"/>
                <w:szCs w:val="18"/>
              </w:rPr>
            </w:pPr>
            <w:r w:rsidRPr="00BD77D8">
              <w:rPr>
                <w:sz w:val="18"/>
                <w:szCs w:val="18"/>
              </w:rPr>
              <w:t xml:space="preserve">        28,250 </w:t>
            </w:r>
          </w:p>
        </w:tc>
        <w:tc>
          <w:tcPr>
            <w:tcW w:w="1024" w:type="dxa"/>
            <w:tcBorders>
              <w:top w:val="nil"/>
              <w:left w:val="nil"/>
              <w:bottom w:val="nil"/>
              <w:right w:val="nil"/>
            </w:tcBorders>
            <w:shd w:val="clear" w:color="auto" w:fill="auto"/>
            <w:vAlign w:val="bottom"/>
            <w:hideMark/>
          </w:tcPr>
          <w:p w14:paraId="1520F761" w14:textId="77777777" w:rsidR="00B9311E" w:rsidRPr="00BD77D8" w:rsidRDefault="00B9311E" w:rsidP="00B9311E">
            <w:pPr>
              <w:spacing w:after="0" w:line="240" w:lineRule="auto"/>
              <w:jc w:val="right"/>
              <w:rPr>
                <w:sz w:val="18"/>
                <w:szCs w:val="18"/>
              </w:rPr>
            </w:pPr>
            <w:r w:rsidRPr="00BD77D8">
              <w:rPr>
                <w:sz w:val="18"/>
                <w:szCs w:val="18"/>
              </w:rPr>
              <w:t xml:space="preserve">        62,623 </w:t>
            </w:r>
          </w:p>
        </w:tc>
      </w:tr>
      <w:tr w:rsidR="00BD77D8" w:rsidRPr="00BD77D8" w14:paraId="6F09C4BA" w14:textId="77777777" w:rsidTr="003057FB">
        <w:trPr>
          <w:trHeight w:val="291"/>
        </w:trPr>
        <w:tc>
          <w:tcPr>
            <w:tcW w:w="4467" w:type="dxa"/>
            <w:tcBorders>
              <w:top w:val="nil"/>
              <w:left w:val="nil"/>
              <w:bottom w:val="nil"/>
              <w:right w:val="nil"/>
            </w:tcBorders>
            <w:shd w:val="clear" w:color="auto" w:fill="auto"/>
            <w:noWrap/>
            <w:vAlign w:val="bottom"/>
            <w:hideMark/>
          </w:tcPr>
          <w:p w14:paraId="377C5EC5"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Non-current assets classified as held for sale </w:t>
            </w:r>
          </w:p>
        </w:tc>
        <w:tc>
          <w:tcPr>
            <w:tcW w:w="1107" w:type="dxa"/>
            <w:tcBorders>
              <w:top w:val="nil"/>
              <w:left w:val="nil"/>
              <w:bottom w:val="nil"/>
              <w:right w:val="nil"/>
            </w:tcBorders>
            <w:shd w:val="clear" w:color="auto" w:fill="auto"/>
            <w:noWrap/>
            <w:vAlign w:val="bottom"/>
            <w:hideMark/>
          </w:tcPr>
          <w:p w14:paraId="394C8841" w14:textId="77777777" w:rsidR="00B9311E" w:rsidRPr="00BD77D8" w:rsidRDefault="00B9311E" w:rsidP="00B9311E">
            <w:pPr>
              <w:spacing w:after="0" w:line="240" w:lineRule="auto"/>
              <w:jc w:val="center"/>
              <w:rPr>
                <w:b/>
                <w:bCs/>
                <w:sz w:val="18"/>
                <w:szCs w:val="18"/>
              </w:rPr>
            </w:pPr>
            <w:r w:rsidRPr="00BD77D8">
              <w:rPr>
                <w:b/>
                <w:bCs/>
                <w:sz w:val="18"/>
                <w:szCs w:val="18"/>
              </w:rPr>
              <w:t>C3</w:t>
            </w:r>
          </w:p>
        </w:tc>
        <w:tc>
          <w:tcPr>
            <w:tcW w:w="1372" w:type="dxa"/>
            <w:tcBorders>
              <w:top w:val="nil"/>
              <w:left w:val="nil"/>
              <w:bottom w:val="nil"/>
              <w:right w:val="nil"/>
            </w:tcBorders>
            <w:shd w:val="clear" w:color="auto" w:fill="auto"/>
            <w:vAlign w:val="bottom"/>
            <w:hideMark/>
          </w:tcPr>
          <w:p w14:paraId="4813F38A" w14:textId="77777777" w:rsidR="00B9311E" w:rsidRPr="00BD77D8" w:rsidRDefault="00B9311E" w:rsidP="00B9311E">
            <w:pPr>
              <w:spacing w:after="0" w:line="240" w:lineRule="auto"/>
              <w:jc w:val="right"/>
              <w:rPr>
                <w:b/>
                <w:bCs/>
                <w:sz w:val="18"/>
                <w:szCs w:val="18"/>
              </w:rPr>
            </w:pPr>
            <w:r w:rsidRPr="00BD77D8">
              <w:rPr>
                <w:b/>
                <w:bCs/>
                <w:sz w:val="18"/>
                <w:szCs w:val="18"/>
              </w:rPr>
              <w:t xml:space="preserve">              880 </w:t>
            </w:r>
          </w:p>
        </w:tc>
        <w:tc>
          <w:tcPr>
            <w:tcW w:w="1287" w:type="dxa"/>
            <w:tcBorders>
              <w:top w:val="nil"/>
              <w:left w:val="nil"/>
              <w:bottom w:val="nil"/>
              <w:right w:val="nil"/>
            </w:tcBorders>
            <w:shd w:val="clear" w:color="auto" w:fill="auto"/>
            <w:vAlign w:val="bottom"/>
            <w:hideMark/>
          </w:tcPr>
          <w:p w14:paraId="4072CB60"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68" w:type="dxa"/>
            <w:tcBorders>
              <w:top w:val="nil"/>
              <w:left w:val="nil"/>
              <w:bottom w:val="nil"/>
              <w:right w:val="nil"/>
            </w:tcBorders>
            <w:shd w:val="clear" w:color="auto" w:fill="auto"/>
            <w:vAlign w:val="bottom"/>
            <w:hideMark/>
          </w:tcPr>
          <w:p w14:paraId="0EF0FE57" w14:textId="77777777" w:rsidR="00B9311E" w:rsidRPr="00BD77D8" w:rsidRDefault="00B9311E" w:rsidP="00B9311E">
            <w:pPr>
              <w:spacing w:after="0" w:line="240" w:lineRule="auto"/>
              <w:jc w:val="right"/>
              <w:rPr>
                <w:sz w:val="18"/>
                <w:szCs w:val="18"/>
              </w:rPr>
            </w:pPr>
            <w:r w:rsidRPr="00BD77D8">
              <w:rPr>
                <w:sz w:val="18"/>
                <w:szCs w:val="18"/>
              </w:rPr>
              <w:t xml:space="preserve">              880 </w:t>
            </w:r>
          </w:p>
        </w:tc>
        <w:tc>
          <w:tcPr>
            <w:tcW w:w="1024" w:type="dxa"/>
            <w:tcBorders>
              <w:top w:val="nil"/>
              <w:left w:val="nil"/>
              <w:bottom w:val="nil"/>
              <w:right w:val="nil"/>
            </w:tcBorders>
            <w:shd w:val="clear" w:color="auto" w:fill="auto"/>
            <w:vAlign w:val="bottom"/>
            <w:hideMark/>
          </w:tcPr>
          <w:p w14:paraId="4E5A08A0"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7CE1C94" w14:textId="77777777" w:rsidTr="003057FB">
        <w:trPr>
          <w:trHeight w:val="291"/>
        </w:trPr>
        <w:tc>
          <w:tcPr>
            <w:tcW w:w="4467" w:type="dxa"/>
            <w:tcBorders>
              <w:top w:val="nil"/>
              <w:left w:val="nil"/>
              <w:bottom w:val="nil"/>
              <w:right w:val="nil"/>
            </w:tcBorders>
            <w:shd w:val="clear" w:color="auto" w:fill="auto"/>
            <w:noWrap/>
            <w:vAlign w:val="bottom"/>
            <w:hideMark/>
          </w:tcPr>
          <w:p w14:paraId="64CD1545" w14:textId="77777777" w:rsidR="00B9311E" w:rsidRPr="00BD77D8" w:rsidRDefault="00B9311E" w:rsidP="00B9311E">
            <w:pPr>
              <w:spacing w:after="0" w:line="240" w:lineRule="auto"/>
              <w:rPr>
                <w:b/>
                <w:bCs/>
                <w:sz w:val="18"/>
                <w:szCs w:val="18"/>
              </w:rPr>
            </w:pPr>
            <w:r w:rsidRPr="00BD77D8">
              <w:rPr>
                <w:b/>
                <w:bCs/>
                <w:sz w:val="18"/>
                <w:szCs w:val="18"/>
              </w:rPr>
              <w:t xml:space="preserve"> Total Current Assets </w:t>
            </w:r>
          </w:p>
        </w:tc>
        <w:tc>
          <w:tcPr>
            <w:tcW w:w="1107" w:type="dxa"/>
            <w:tcBorders>
              <w:top w:val="nil"/>
              <w:left w:val="nil"/>
              <w:bottom w:val="nil"/>
              <w:right w:val="nil"/>
            </w:tcBorders>
            <w:shd w:val="clear" w:color="auto" w:fill="auto"/>
            <w:noWrap/>
            <w:vAlign w:val="bottom"/>
            <w:hideMark/>
          </w:tcPr>
          <w:p w14:paraId="2AB5E217"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1EAF6705" w14:textId="77777777" w:rsidR="00B9311E" w:rsidRPr="00BD77D8" w:rsidRDefault="00B9311E" w:rsidP="00B9311E">
            <w:pPr>
              <w:spacing w:after="0" w:line="240" w:lineRule="auto"/>
              <w:jc w:val="right"/>
              <w:rPr>
                <w:b/>
                <w:bCs/>
                <w:sz w:val="18"/>
                <w:szCs w:val="18"/>
              </w:rPr>
            </w:pPr>
            <w:r w:rsidRPr="00BD77D8">
              <w:rPr>
                <w:b/>
                <w:bCs/>
                <w:sz w:val="18"/>
                <w:szCs w:val="18"/>
              </w:rPr>
              <w:t xml:space="preserve">        60,377 </w:t>
            </w:r>
          </w:p>
        </w:tc>
        <w:tc>
          <w:tcPr>
            <w:tcW w:w="1287" w:type="dxa"/>
            <w:tcBorders>
              <w:top w:val="single" w:sz="4" w:space="0" w:color="auto"/>
              <w:left w:val="nil"/>
              <w:bottom w:val="single" w:sz="4" w:space="0" w:color="auto"/>
              <w:right w:val="nil"/>
            </w:tcBorders>
            <w:shd w:val="clear" w:color="auto" w:fill="auto"/>
            <w:vAlign w:val="bottom"/>
            <w:hideMark/>
          </w:tcPr>
          <w:p w14:paraId="4A0FFC6A" w14:textId="77777777" w:rsidR="00B9311E" w:rsidRPr="00BD77D8" w:rsidRDefault="00B9311E" w:rsidP="00B9311E">
            <w:pPr>
              <w:spacing w:after="0" w:line="240" w:lineRule="auto"/>
              <w:jc w:val="right"/>
              <w:rPr>
                <w:b/>
                <w:bCs/>
                <w:sz w:val="18"/>
                <w:szCs w:val="18"/>
              </w:rPr>
            </w:pPr>
            <w:r w:rsidRPr="00BD77D8">
              <w:rPr>
                <w:b/>
                <w:bCs/>
                <w:sz w:val="18"/>
                <w:szCs w:val="18"/>
              </w:rPr>
              <w:t xml:space="preserve">        31,247 </w:t>
            </w:r>
          </w:p>
        </w:tc>
        <w:tc>
          <w:tcPr>
            <w:tcW w:w="1168" w:type="dxa"/>
            <w:tcBorders>
              <w:top w:val="single" w:sz="4" w:space="0" w:color="auto"/>
              <w:left w:val="nil"/>
              <w:bottom w:val="single" w:sz="4" w:space="0" w:color="auto"/>
              <w:right w:val="nil"/>
            </w:tcBorders>
            <w:shd w:val="clear" w:color="auto" w:fill="auto"/>
            <w:vAlign w:val="bottom"/>
            <w:hideMark/>
          </w:tcPr>
          <w:p w14:paraId="625340ED" w14:textId="77777777" w:rsidR="00B9311E" w:rsidRPr="00BD77D8" w:rsidRDefault="00B9311E" w:rsidP="00B9311E">
            <w:pPr>
              <w:spacing w:after="0" w:line="240" w:lineRule="auto"/>
              <w:jc w:val="right"/>
              <w:rPr>
                <w:b/>
                <w:bCs/>
                <w:sz w:val="18"/>
                <w:szCs w:val="18"/>
              </w:rPr>
            </w:pPr>
            <w:r w:rsidRPr="00BD77D8">
              <w:rPr>
                <w:b/>
                <w:bCs/>
                <w:sz w:val="18"/>
                <w:szCs w:val="18"/>
              </w:rPr>
              <w:t xml:space="preserve">        29,130 </w:t>
            </w:r>
          </w:p>
        </w:tc>
        <w:tc>
          <w:tcPr>
            <w:tcW w:w="1024" w:type="dxa"/>
            <w:tcBorders>
              <w:top w:val="single" w:sz="4" w:space="0" w:color="auto"/>
              <w:left w:val="nil"/>
              <w:bottom w:val="single" w:sz="4" w:space="0" w:color="auto"/>
              <w:right w:val="nil"/>
            </w:tcBorders>
            <w:shd w:val="clear" w:color="auto" w:fill="auto"/>
            <w:vAlign w:val="bottom"/>
            <w:hideMark/>
          </w:tcPr>
          <w:p w14:paraId="2EEEBCCF" w14:textId="77777777" w:rsidR="00B9311E" w:rsidRPr="00BD77D8" w:rsidRDefault="00B9311E" w:rsidP="00B9311E">
            <w:pPr>
              <w:spacing w:after="0" w:line="240" w:lineRule="auto"/>
              <w:jc w:val="right"/>
              <w:rPr>
                <w:b/>
                <w:bCs/>
                <w:sz w:val="18"/>
                <w:szCs w:val="18"/>
              </w:rPr>
            </w:pPr>
            <w:r w:rsidRPr="00BD77D8">
              <w:rPr>
                <w:b/>
                <w:bCs/>
                <w:sz w:val="18"/>
                <w:szCs w:val="18"/>
              </w:rPr>
              <w:t xml:space="preserve">        62,623 </w:t>
            </w:r>
          </w:p>
        </w:tc>
      </w:tr>
      <w:tr w:rsidR="00BD77D8" w:rsidRPr="00BD77D8" w14:paraId="75506D10" w14:textId="77777777" w:rsidTr="003057FB">
        <w:trPr>
          <w:trHeight w:val="291"/>
        </w:trPr>
        <w:tc>
          <w:tcPr>
            <w:tcW w:w="4467" w:type="dxa"/>
            <w:tcBorders>
              <w:top w:val="nil"/>
              <w:left w:val="nil"/>
              <w:bottom w:val="nil"/>
              <w:right w:val="nil"/>
            </w:tcBorders>
            <w:shd w:val="clear" w:color="auto" w:fill="auto"/>
            <w:noWrap/>
            <w:vAlign w:val="bottom"/>
            <w:hideMark/>
          </w:tcPr>
          <w:p w14:paraId="592B2943" w14:textId="77777777" w:rsidR="00B9311E" w:rsidRPr="00BD77D8" w:rsidRDefault="00B9311E" w:rsidP="00B9311E">
            <w:pPr>
              <w:spacing w:after="0" w:line="240" w:lineRule="auto"/>
              <w:rPr>
                <w:b/>
                <w:bCs/>
                <w:sz w:val="18"/>
                <w:szCs w:val="18"/>
              </w:rPr>
            </w:pPr>
            <w:r w:rsidRPr="00BD77D8">
              <w:rPr>
                <w:b/>
                <w:bCs/>
                <w:sz w:val="18"/>
                <w:szCs w:val="18"/>
              </w:rPr>
              <w:t xml:space="preserve"> Non-Current Asset </w:t>
            </w:r>
          </w:p>
        </w:tc>
        <w:tc>
          <w:tcPr>
            <w:tcW w:w="1107" w:type="dxa"/>
            <w:tcBorders>
              <w:top w:val="nil"/>
              <w:left w:val="nil"/>
              <w:bottom w:val="nil"/>
              <w:right w:val="nil"/>
            </w:tcBorders>
            <w:shd w:val="clear" w:color="auto" w:fill="auto"/>
            <w:noWrap/>
            <w:vAlign w:val="bottom"/>
            <w:hideMark/>
          </w:tcPr>
          <w:p w14:paraId="67DAE4D3" w14:textId="77777777" w:rsidR="00B9311E" w:rsidRPr="00BD77D8" w:rsidRDefault="00B9311E" w:rsidP="00B9311E">
            <w:pPr>
              <w:spacing w:after="0" w:line="240" w:lineRule="auto"/>
              <w:rPr>
                <w:b/>
                <w:bCs/>
                <w:sz w:val="18"/>
                <w:szCs w:val="18"/>
              </w:rPr>
            </w:pPr>
          </w:p>
        </w:tc>
        <w:tc>
          <w:tcPr>
            <w:tcW w:w="1372" w:type="dxa"/>
            <w:tcBorders>
              <w:top w:val="nil"/>
              <w:left w:val="nil"/>
              <w:bottom w:val="nil"/>
              <w:right w:val="nil"/>
            </w:tcBorders>
            <w:shd w:val="clear" w:color="auto" w:fill="auto"/>
            <w:vAlign w:val="bottom"/>
            <w:hideMark/>
          </w:tcPr>
          <w:p w14:paraId="53896BA9"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7" w:type="dxa"/>
            <w:tcBorders>
              <w:top w:val="nil"/>
              <w:left w:val="nil"/>
              <w:bottom w:val="nil"/>
              <w:right w:val="nil"/>
            </w:tcBorders>
            <w:shd w:val="clear" w:color="auto" w:fill="auto"/>
            <w:vAlign w:val="bottom"/>
            <w:hideMark/>
          </w:tcPr>
          <w:p w14:paraId="59F419A5"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68" w:type="dxa"/>
            <w:tcBorders>
              <w:top w:val="nil"/>
              <w:left w:val="nil"/>
              <w:bottom w:val="nil"/>
              <w:right w:val="nil"/>
            </w:tcBorders>
            <w:shd w:val="clear" w:color="auto" w:fill="auto"/>
            <w:vAlign w:val="bottom"/>
            <w:hideMark/>
          </w:tcPr>
          <w:p w14:paraId="0488B453" w14:textId="77777777" w:rsidR="00B9311E" w:rsidRPr="00BD77D8" w:rsidRDefault="00B9311E" w:rsidP="00B9311E">
            <w:pPr>
              <w:spacing w:after="0" w:line="240" w:lineRule="auto"/>
              <w:jc w:val="right"/>
              <w:rPr>
                <w:sz w:val="18"/>
                <w:szCs w:val="18"/>
              </w:rPr>
            </w:pPr>
            <w:r w:rsidRPr="00BD77D8">
              <w:rPr>
                <w:rFonts w:ascii="Times New Roman" w:hAnsi="Times New Roman" w:cs="Times New Roman"/>
                <w:b/>
                <w:bCs/>
                <w:sz w:val="20"/>
                <w:szCs w:val="20"/>
              </w:rPr>
              <w:t xml:space="preserve">                   </w:t>
            </w:r>
            <w:r w:rsidRPr="00BD77D8">
              <w:rPr>
                <w:sz w:val="18"/>
                <w:szCs w:val="18"/>
              </w:rPr>
              <w:t xml:space="preserve">- </w:t>
            </w:r>
          </w:p>
        </w:tc>
        <w:tc>
          <w:tcPr>
            <w:tcW w:w="1024" w:type="dxa"/>
            <w:tcBorders>
              <w:top w:val="nil"/>
              <w:left w:val="nil"/>
              <w:bottom w:val="nil"/>
              <w:right w:val="nil"/>
            </w:tcBorders>
            <w:shd w:val="clear" w:color="auto" w:fill="auto"/>
            <w:vAlign w:val="bottom"/>
            <w:hideMark/>
          </w:tcPr>
          <w:p w14:paraId="0B7A7E6A"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8F36F3F" w14:textId="77777777" w:rsidTr="003057FB">
        <w:trPr>
          <w:trHeight w:val="291"/>
        </w:trPr>
        <w:tc>
          <w:tcPr>
            <w:tcW w:w="4467" w:type="dxa"/>
            <w:tcBorders>
              <w:top w:val="nil"/>
              <w:left w:val="nil"/>
              <w:bottom w:val="nil"/>
              <w:right w:val="nil"/>
            </w:tcBorders>
            <w:shd w:val="clear" w:color="auto" w:fill="auto"/>
            <w:noWrap/>
            <w:vAlign w:val="bottom"/>
            <w:hideMark/>
          </w:tcPr>
          <w:p w14:paraId="297506BC"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Property, plant and equipment </w:t>
            </w:r>
          </w:p>
        </w:tc>
        <w:bookmarkStart w:id="373" w:name="RANGE!B14"/>
        <w:tc>
          <w:tcPr>
            <w:tcW w:w="1107" w:type="dxa"/>
            <w:tcBorders>
              <w:top w:val="nil"/>
              <w:left w:val="nil"/>
              <w:bottom w:val="nil"/>
              <w:right w:val="nil"/>
            </w:tcBorders>
            <w:shd w:val="clear" w:color="auto" w:fill="auto"/>
            <w:noWrap/>
            <w:vAlign w:val="bottom"/>
            <w:hideMark/>
          </w:tcPr>
          <w:p w14:paraId="099020F5"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C4-1'!A4" </w:instrText>
            </w:r>
            <w:r w:rsidRPr="00BD77D8">
              <w:rPr>
                <w:rFonts w:eastAsia="PMingLiU"/>
                <w:b/>
                <w:bCs/>
                <w:sz w:val="18"/>
                <w:szCs w:val="22"/>
                <w:lang w:eastAsia="en-US"/>
              </w:rPr>
              <w:fldChar w:fldCharType="separate"/>
            </w:r>
            <w:r w:rsidRPr="00BD77D8">
              <w:rPr>
                <w:rFonts w:eastAsia="PMingLiU"/>
                <w:b/>
                <w:bCs/>
                <w:sz w:val="18"/>
                <w:szCs w:val="22"/>
                <w:lang w:eastAsia="en-US"/>
              </w:rPr>
              <w:t>C4</w:t>
            </w:r>
            <w:r w:rsidRPr="00BD77D8">
              <w:rPr>
                <w:rFonts w:eastAsia="PMingLiU"/>
                <w:b/>
                <w:bCs/>
                <w:sz w:val="18"/>
                <w:szCs w:val="22"/>
                <w:lang w:eastAsia="en-US"/>
              </w:rPr>
              <w:fldChar w:fldCharType="end"/>
            </w:r>
            <w:bookmarkEnd w:id="373"/>
          </w:p>
        </w:tc>
        <w:tc>
          <w:tcPr>
            <w:tcW w:w="1372" w:type="dxa"/>
            <w:tcBorders>
              <w:top w:val="nil"/>
              <w:left w:val="nil"/>
              <w:bottom w:val="nil"/>
              <w:right w:val="nil"/>
            </w:tcBorders>
            <w:shd w:val="clear" w:color="auto" w:fill="auto"/>
            <w:vAlign w:val="bottom"/>
            <w:hideMark/>
          </w:tcPr>
          <w:p w14:paraId="794D157E" w14:textId="77777777" w:rsidR="00B9311E" w:rsidRPr="00BD77D8" w:rsidRDefault="00B9311E" w:rsidP="00B9311E">
            <w:pPr>
              <w:spacing w:after="0" w:line="240" w:lineRule="auto"/>
              <w:jc w:val="right"/>
              <w:rPr>
                <w:b/>
                <w:bCs/>
                <w:sz w:val="18"/>
                <w:szCs w:val="18"/>
              </w:rPr>
            </w:pPr>
            <w:r w:rsidRPr="00BD77D8">
              <w:rPr>
                <w:b/>
                <w:bCs/>
                <w:sz w:val="18"/>
                <w:szCs w:val="18"/>
              </w:rPr>
              <w:t xml:space="preserve">      205,173 </w:t>
            </w:r>
          </w:p>
        </w:tc>
        <w:tc>
          <w:tcPr>
            <w:tcW w:w="1287" w:type="dxa"/>
            <w:tcBorders>
              <w:top w:val="nil"/>
              <w:left w:val="nil"/>
              <w:bottom w:val="nil"/>
              <w:right w:val="nil"/>
            </w:tcBorders>
            <w:shd w:val="clear" w:color="auto" w:fill="auto"/>
            <w:vAlign w:val="bottom"/>
            <w:hideMark/>
          </w:tcPr>
          <w:p w14:paraId="1D3E6F59" w14:textId="77777777" w:rsidR="00B9311E" w:rsidRPr="00BD77D8" w:rsidRDefault="00B9311E" w:rsidP="00B9311E">
            <w:pPr>
              <w:spacing w:after="0" w:line="240" w:lineRule="auto"/>
              <w:jc w:val="right"/>
              <w:rPr>
                <w:sz w:val="18"/>
                <w:szCs w:val="18"/>
              </w:rPr>
            </w:pPr>
            <w:r w:rsidRPr="00BD77D8">
              <w:rPr>
                <w:sz w:val="18"/>
                <w:szCs w:val="18"/>
              </w:rPr>
              <w:t xml:space="preserve">      183,788 </w:t>
            </w:r>
          </w:p>
        </w:tc>
        <w:tc>
          <w:tcPr>
            <w:tcW w:w="1168" w:type="dxa"/>
            <w:tcBorders>
              <w:top w:val="nil"/>
              <w:left w:val="nil"/>
              <w:bottom w:val="nil"/>
              <w:right w:val="nil"/>
            </w:tcBorders>
            <w:shd w:val="clear" w:color="auto" w:fill="auto"/>
            <w:vAlign w:val="bottom"/>
            <w:hideMark/>
          </w:tcPr>
          <w:p w14:paraId="7F426472" w14:textId="77777777" w:rsidR="00B9311E" w:rsidRPr="00BD77D8" w:rsidRDefault="00B9311E" w:rsidP="00B9311E">
            <w:pPr>
              <w:spacing w:after="0" w:line="240" w:lineRule="auto"/>
              <w:jc w:val="right"/>
              <w:rPr>
                <w:sz w:val="18"/>
                <w:szCs w:val="18"/>
              </w:rPr>
            </w:pPr>
            <w:r w:rsidRPr="00BD77D8">
              <w:rPr>
                <w:sz w:val="18"/>
                <w:szCs w:val="18"/>
              </w:rPr>
              <w:t xml:space="preserve">        21,385 </w:t>
            </w:r>
          </w:p>
        </w:tc>
        <w:tc>
          <w:tcPr>
            <w:tcW w:w="1024" w:type="dxa"/>
            <w:tcBorders>
              <w:top w:val="nil"/>
              <w:left w:val="nil"/>
              <w:bottom w:val="nil"/>
              <w:right w:val="nil"/>
            </w:tcBorders>
            <w:shd w:val="clear" w:color="auto" w:fill="auto"/>
            <w:vAlign w:val="bottom"/>
            <w:hideMark/>
          </w:tcPr>
          <w:p w14:paraId="311475AE" w14:textId="77777777" w:rsidR="00B9311E" w:rsidRPr="00BD77D8" w:rsidRDefault="00B9311E" w:rsidP="00B9311E">
            <w:pPr>
              <w:spacing w:after="0" w:line="240" w:lineRule="auto"/>
              <w:jc w:val="right"/>
              <w:rPr>
                <w:sz w:val="18"/>
                <w:szCs w:val="18"/>
              </w:rPr>
            </w:pPr>
            <w:r w:rsidRPr="00BD77D8">
              <w:rPr>
                <w:sz w:val="18"/>
                <w:szCs w:val="18"/>
              </w:rPr>
              <w:t xml:space="preserve">      181,296 </w:t>
            </w:r>
          </w:p>
        </w:tc>
      </w:tr>
      <w:tr w:rsidR="00BD77D8" w:rsidRPr="00BD77D8" w14:paraId="42258C0E" w14:textId="77777777" w:rsidTr="003057FB">
        <w:trPr>
          <w:trHeight w:val="291"/>
        </w:trPr>
        <w:tc>
          <w:tcPr>
            <w:tcW w:w="4467" w:type="dxa"/>
            <w:tcBorders>
              <w:top w:val="nil"/>
              <w:left w:val="nil"/>
              <w:bottom w:val="nil"/>
              <w:right w:val="nil"/>
            </w:tcBorders>
            <w:shd w:val="clear" w:color="auto" w:fill="auto"/>
            <w:noWrap/>
            <w:vAlign w:val="bottom"/>
            <w:hideMark/>
          </w:tcPr>
          <w:p w14:paraId="2DFFB854"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Intangible assets </w:t>
            </w:r>
          </w:p>
        </w:tc>
        <w:tc>
          <w:tcPr>
            <w:tcW w:w="1107" w:type="dxa"/>
            <w:tcBorders>
              <w:top w:val="nil"/>
              <w:left w:val="nil"/>
              <w:bottom w:val="nil"/>
              <w:right w:val="nil"/>
            </w:tcBorders>
            <w:shd w:val="clear" w:color="auto" w:fill="auto"/>
            <w:noWrap/>
            <w:vAlign w:val="bottom"/>
            <w:hideMark/>
          </w:tcPr>
          <w:p w14:paraId="464F2C7B" w14:textId="77777777" w:rsidR="00B9311E" w:rsidRPr="00BD77D8" w:rsidRDefault="00F56A31" w:rsidP="00B9311E">
            <w:pPr>
              <w:spacing w:after="0" w:line="240" w:lineRule="auto"/>
              <w:jc w:val="center"/>
              <w:rPr>
                <w:rFonts w:eastAsia="PMingLiU"/>
                <w:b/>
                <w:bCs/>
                <w:sz w:val="18"/>
                <w:szCs w:val="22"/>
                <w:lang w:eastAsia="en-US"/>
              </w:rPr>
            </w:pPr>
            <w:hyperlink r:id="rId39" w:anchor="'Note C5-1'!A5" w:history="1">
              <w:r w:rsidR="00B9311E" w:rsidRPr="00BD77D8">
                <w:rPr>
                  <w:rFonts w:eastAsia="PMingLiU"/>
                  <w:b/>
                  <w:bCs/>
                  <w:sz w:val="18"/>
                  <w:szCs w:val="22"/>
                  <w:lang w:eastAsia="en-US"/>
                </w:rPr>
                <w:t>C5</w:t>
              </w:r>
            </w:hyperlink>
          </w:p>
        </w:tc>
        <w:tc>
          <w:tcPr>
            <w:tcW w:w="1372" w:type="dxa"/>
            <w:tcBorders>
              <w:top w:val="nil"/>
              <w:left w:val="nil"/>
              <w:bottom w:val="nil"/>
              <w:right w:val="nil"/>
            </w:tcBorders>
            <w:shd w:val="clear" w:color="auto" w:fill="auto"/>
            <w:vAlign w:val="bottom"/>
            <w:hideMark/>
          </w:tcPr>
          <w:p w14:paraId="666A4CD6" w14:textId="77777777" w:rsidR="00B9311E" w:rsidRPr="00BD77D8" w:rsidRDefault="00B9311E" w:rsidP="00B9311E">
            <w:pPr>
              <w:spacing w:after="0" w:line="240" w:lineRule="auto"/>
              <w:jc w:val="right"/>
              <w:rPr>
                <w:b/>
                <w:bCs/>
                <w:sz w:val="18"/>
                <w:szCs w:val="18"/>
              </w:rPr>
            </w:pPr>
            <w:r w:rsidRPr="00BD77D8">
              <w:rPr>
                <w:b/>
                <w:bCs/>
                <w:sz w:val="18"/>
                <w:szCs w:val="18"/>
              </w:rPr>
              <w:t xml:space="preserve">              438 </w:t>
            </w:r>
          </w:p>
        </w:tc>
        <w:tc>
          <w:tcPr>
            <w:tcW w:w="1287" w:type="dxa"/>
            <w:tcBorders>
              <w:top w:val="nil"/>
              <w:left w:val="nil"/>
              <w:bottom w:val="nil"/>
              <w:right w:val="nil"/>
            </w:tcBorders>
            <w:shd w:val="clear" w:color="auto" w:fill="auto"/>
            <w:vAlign w:val="bottom"/>
            <w:hideMark/>
          </w:tcPr>
          <w:p w14:paraId="1712AC00" w14:textId="77777777" w:rsidR="00B9311E" w:rsidRPr="00BD77D8" w:rsidRDefault="00B9311E" w:rsidP="00B9311E">
            <w:pPr>
              <w:spacing w:after="0" w:line="240" w:lineRule="auto"/>
              <w:jc w:val="right"/>
              <w:rPr>
                <w:sz w:val="18"/>
                <w:szCs w:val="18"/>
              </w:rPr>
            </w:pPr>
            <w:r w:rsidRPr="00BD77D8">
              <w:rPr>
                <w:sz w:val="18"/>
                <w:szCs w:val="18"/>
              </w:rPr>
              <w:t xml:space="preserve">          1,261 </w:t>
            </w:r>
          </w:p>
        </w:tc>
        <w:tc>
          <w:tcPr>
            <w:tcW w:w="1168" w:type="dxa"/>
            <w:tcBorders>
              <w:top w:val="nil"/>
              <w:left w:val="nil"/>
              <w:bottom w:val="nil"/>
              <w:right w:val="nil"/>
            </w:tcBorders>
            <w:shd w:val="clear" w:color="auto" w:fill="auto"/>
            <w:vAlign w:val="bottom"/>
            <w:hideMark/>
          </w:tcPr>
          <w:p w14:paraId="425D31F3" w14:textId="77777777" w:rsidR="00B9311E" w:rsidRPr="00BD77D8" w:rsidRDefault="00B9311E" w:rsidP="00B9311E">
            <w:pPr>
              <w:spacing w:after="0" w:line="240" w:lineRule="auto"/>
              <w:jc w:val="right"/>
              <w:rPr>
                <w:sz w:val="18"/>
                <w:szCs w:val="18"/>
              </w:rPr>
            </w:pPr>
            <w:r w:rsidRPr="00BD77D8">
              <w:rPr>
                <w:sz w:val="18"/>
                <w:szCs w:val="18"/>
              </w:rPr>
              <w:t xml:space="preserve">            (823)</w:t>
            </w:r>
          </w:p>
        </w:tc>
        <w:tc>
          <w:tcPr>
            <w:tcW w:w="1024" w:type="dxa"/>
            <w:tcBorders>
              <w:top w:val="nil"/>
              <w:left w:val="nil"/>
              <w:bottom w:val="nil"/>
              <w:right w:val="nil"/>
            </w:tcBorders>
            <w:shd w:val="clear" w:color="auto" w:fill="auto"/>
            <w:vAlign w:val="bottom"/>
            <w:hideMark/>
          </w:tcPr>
          <w:p w14:paraId="0C5208BA" w14:textId="77777777" w:rsidR="00B9311E" w:rsidRPr="00BD77D8" w:rsidRDefault="00B9311E" w:rsidP="00B9311E">
            <w:pPr>
              <w:spacing w:after="0" w:line="240" w:lineRule="auto"/>
              <w:jc w:val="right"/>
              <w:rPr>
                <w:sz w:val="18"/>
                <w:szCs w:val="18"/>
              </w:rPr>
            </w:pPr>
            <w:r w:rsidRPr="00BD77D8">
              <w:rPr>
                <w:sz w:val="18"/>
                <w:szCs w:val="18"/>
              </w:rPr>
              <w:t xml:space="preserve">              609 </w:t>
            </w:r>
          </w:p>
        </w:tc>
      </w:tr>
      <w:tr w:rsidR="00BD77D8" w:rsidRPr="00BD77D8" w14:paraId="58E24EEF" w14:textId="77777777" w:rsidTr="003057FB">
        <w:trPr>
          <w:trHeight w:val="307"/>
        </w:trPr>
        <w:tc>
          <w:tcPr>
            <w:tcW w:w="4467" w:type="dxa"/>
            <w:tcBorders>
              <w:top w:val="nil"/>
              <w:left w:val="nil"/>
              <w:bottom w:val="nil"/>
              <w:right w:val="nil"/>
            </w:tcBorders>
            <w:shd w:val="clear" w:color="auto" w:fill="auto"/>
            <w:noWrap/>
            <w:vAlign w:val="bottom"/>
            <w:hideMark/>
          </w:tcPr>
          <w:p w14:paraId="357ACFAD" w14:textId="77777777" w:rsidR="00B9311E" w:rsidRPr="00BD77D8" w:rsidRDefault="00B9311E" w:rsidP="00B9311E">
            <w:pPr>
              <w:spacing w:after="0" w:line="240" w:lineRule="auto"/>
              <w:rPr>
                <w:b/>
                <w:bCs/>
                <w:sz w:val="18"/>
                <w:szCs w:val="18"/>
              </w:rPr>
            </w:pPr>
            <w:r w:rsidRPr="00BD77D8">
              <w:rPr>
                <w:b/>
                <w:bCs/>
                <w:sz w:val="18"/>
                <w:szCs w:val="18"/>
              </w:rPr>
              <w:t xml:space="preserve"> Total Non-Current Assets </w:t>
            </w:r>
          </w:p>
        </w:tc>
        <w:tc>
          <w:tcPr>
            <w:tcW w:w="1107" w:type="dxa"/>
            <w:tcBorders>
              <w:top w:val="nil"/>
              <w:left w:val="nil"/>
              <w:bottom w:val="nil"/>
              <w:right w:val="nil"/>
            </w:tcBorders>
            <w:shd w:val="clear" w:color="auto" w:fill="auto"/>
            <w:noWrap/>
            <w:vAlign w:val="bottom"/>
            <w:hideMark/>
          </w:tcPr>
          <w:p w14:paraId="437DEA7A"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509920DD" w14:textId="77777777" w:rsidR="00B9311E" w:rsidRPr="00BD77D8" w:rsidRDefault="00B9311E" w:rsidP="00B9311E">
            <w:pPr>
              <w:spacing w:after="0" w:line="240" w:lineRule="auto"/>
              <w:jc w:val="right"/>
              <w:rPr>
                <w:b/>
                <w:bCs/>
                <w:sz w:val="18"/>
                <w:szCs w:val="18"/>
              </w:rPr>
            </w:pPr>
            <w:r w:rsidRPr="00BD77D8">
              <w:rPr>
                <w:b/>
                <w:bCs/>
                <w:sz w:val="18"/>
                <w:szCs w:val="18"/>
              </w:rPr>
              <w:t xml:space="preserve">      205,611 </w:t>
            </w:r>
          </w:p>
        </w:tc>
        <w:tc>
          <w:tcPr>
            <w:tcW w:w="1287" w:type="dxa"/>
            <w:tcBorders>
              <w:top w:val="single" w:sz="4" w:space="0" w:color="auto"/>
              <w:left w:val="nil"/>
              <w:bottom w:val="single" w:sz="4" w:space="0" w:color="auto"/>
              <w:right w:val="nil"/>
            </w:tcBorders>
            <w:shd w:val="clear" w:color="auto" w:fill="auto"/>
            <w:vAlign w:val="bottom"/>
            <w:hideMark/>
          </w:tcPr>
          <w:p w14:paraId="1D8E9042" w14:textId="77777777" w:rsidR="00B9311E" w:rsidRPr="00BD77D8" w:rsidRDefault="00B9311E" w:rsidP="00B9311E">
            <w:pPr>
              <w:spacing w:after="0" w:line="240" w:lineRule="auto"/>
              <w:jc w:val="right"/>
              <w:rPr>
                <w:b/>
                <w:bCs/>
                <w:sz w:val="18"/>
                <w:szCs w:val="18"/>
              </w:rPr>
            </w:pPr>
            <w:r w:rsidRPr="00BD77D8">
              <w:rPr>
                <w:b/>
                <w:bCs/>
                <w:sz w:val="18"/>
                <w:szCs w:val="18"/>
              </w:rPr>
              <w:t xml:space="preserve">      185,049 </w:t>
            </w:r>
          </w:p>
        </w:tc>
        <w:tc>
          <w:tcPr>
            <w:tcW w:w="1168" w:type="dxa"/>
            <w:tcBorders>
              <w:top w:val="single" w:sz="4" w:space="0" w:color="auto"/>
              <w:left w:val="nil"/>
              <w:bottom w:val="single" w:sz="4" w:space="0" w:color="auto"/>
              <w:right w:val="nil"/>
            </w:tcBorders>
            <w:shd w:val="clear" w:color="auto" w:fill="auto"/>
            <w:vAlign w:val="bottom"/>
            <w:hideMark/>
          </w:tcPr>
          <w:p w14:paraId="014102E1" w14:textId="77777777" w:rsidR="00B9311E" w:rsidRPr="00BD77D8" w:rsidRDefault="00B9311E" w:rsidP="00B9311E">
            <w:pPr>
              <w:spacing w:after="0" w:line="240" w:lineRule="auto"/>
              <w:jc w:val="right"/>
              <w:rPr>
                <w:b/>
                <w:bCs/>
                <w:sz w:val="18"/>
                <w:szCs w:val="18"/>
              </w:rPr>
            </w:pPr>
            <w:r w:rsidRPr="00BD77D8">
              <w:rPr>
                <w:b/>
                <w:bCs/>
                <w:sz w:val="18"/>
                <w:szCs w:val="18"/>
              </w:rPr>
              <w:t xml:space="preserve">        20,562 </w:t>
            </w:r>
          </w:p>
        </w:tc>
        <w:tc>
          <w:tcPr>
            <w:tcW w:w="1024" w:type="dxa"/>
            <w:tcBorders>
              <w:top w:val="single" w:sz="4" w:space="0" w:color="auto"/>
              <w:left w:val="nil"/>
              <w:bottom w:val="single" w:sz="4" w:space="0" w:color="auto"/>
              <w:right w:val="nil"/>
            </w:tcBorders>
            <w:shd w:val="clear" w:color="auto" w:fill="auto"/>
            <w:vAlign w:val="bottom"/>
            <w:hideMark/>
          </w:tcPr>
          <w:p w14:paraId="36182F7B" w14:textId="77777777" w:rsidR="00B9311E" w:rsidRPr="00BD77D8" w:rsidRDefault="00B9311E" w:rsidP="00B9311E">
            <w:pPr>
              <w:spacing w:after="0" w:line="240" w:lineRule="auto"/>
              <w:jc w:val="right"/>
              <w:rPr>
                <w:b/>
                <w:bCs/>
                <w:sz w:val="18"/>
                <w:szCs w:val="18"/>
              </w:rPr>
            </w:pPr>
            <w:r w:rsidRPr="00BD77D8">
              <w:rPr>
                <w:b/>
                <w:bCs/>
                <w:sz w:val="18"/>
                <w:szCs w:val="18"/>
              </w:rPr>
              <w:t xml:space="preserve">      181,905 </w:t>
            </w:r>
          </w:p>
        </w:tc>
      </w:tr>
      <w:tr w:rsidR="00BD77D8" w:rsidRPr="00BD77D8" w14:paraId="121F14B1" w14:textId="77777777" w:rsidTr="003057FB">
        <w:trPr>
          <w:trHeight w:val="291"/>
        </w:trPr>
        <w:tc>
          <w:tcPr>
            <w:tcW w:w="4467" w:type="dxa"/>
            <w:tcBorders>
              <w:top w:val="nil"/>
              <w:left w:val="nil"/>
              <w:bottom w:val="nil"/>
              <w:right w:val="nil"/>
            </w:tcBorders>
            <w:shd w:val="clear" w:color="auto" w:fill="auto"/>
            <w:noWrap/>
            <w:vAlign w:val="bottom"/>
            <w:hideMark/>
          </w:tcPr>
          <w:p w14:paraId="7CFB168A" w14:textId="77777777" w:rsidR="00B9311E" w:rsidRPr="00BD77D8" w:rsidRDefault="00B9311E" w:rsidP="00B9311E">
            <w:pPr>
              <w:spacing w:after="0" w:line="240" w:lineRule="auto"/>
              <w:rPr>
                <w:b/>
                <w:bCs/>
                <w:sz w:val="18"/>
                <w:szCs w:val="18"/>
              </w:rPr>
            </w:pPr>
            <w:r w:rsidRPr="00BD77D8">
              <w:rPr>
                <w:b/>
                <w:bCs/>
                <w:sz w:val="18"/>
                <w:szCs w:val="18"/>
              </w:rPr>
              <w:t xml:space="preserve"> Total Assets </w:t>
            </w:r>
          </w:p>
        </w:tc>
        <w:tc>
          <w:tcPr>
            <w:tcW w:w="1107" w:type="dxa"/>
            <w:tcBorders>
              <w:top w:val="nil"/>
              <w:left w:val="nil"/>
              <w:bottom w:val="nil"/>
              <w:right w:val="nil"/>
            </w:tcBorders>
            <w:shd w:val="clear" w:color="auto" w:fill="auto"/>
            <w:noWrap/>
            <w:vAlign w:val="bottom"/>
            <w:hideMark/>
          </w:tcPr>
          <w:p w14:paraId="479CA5AB" w14:textId="77777777" w:rsidR="00B9311E" w:rsidRPr="00BD77D8" w:rsidRDefault="00B9311E" w:rsidP="00B9311E">
            <w:pPr>
              <w:spacing w:after="0" w:line="240" w:lineRule="auto"/>
              <w:rPr>
                <w:b/>
                <w:bCs/>
                <w:sz w:val="18"/>
                <w:szCs w:val="18"/>
              </w:rPr>
            </w:pPr>
          </w:p>
        </w:tc>
        <w:tc>
          <w:tcPr>
            <w:tcW w:w="1372" w:type="dxa"/>
            <w:tcBorders>
              <w:top w:val="nil"/>
              <w:left w:val="nil"/>
              <w:bottom w:val="single" w:sz="4" w:space="0" w:color="auto"/>
              <w:right w:val="nil"/>
            </w:tcBorders>
            <w:shd w:val="clear" w:color="auto" w:fill="auto"/>
            <w:vAlign w:val="bottom"/>
            <w:hideMark/>
          </w:tcPr>
          <w:p w14:paraId="5F8C5C93" w14:textId="77777777" w:rsidR="00B9311E" w:rsidRPr="00BD77D8" w:rsidRDefault="00B9311E" w:rsidP="00B9311E">
            <w:pPr>
              <w:spacing w:after="0" w:line="240" w:lineRule="auto"/>
              <w:jc w:val="right"/>
              <w:rPr>
                <w:b/>
                <w:bCs/>
                <w:sz w:val="18"/>
                <w:szCs w:val="18"/>
              </w:rPr>
            </w:pPr>
            <w:r w:rsidRPr="00BD77D8">
              <w:rPr>
                <w:b/>
                <w:bCs/>
                <w:sz w:val="18"/>
                <w:szCs w:val="18"/>
              </w:rPr>
              <w:t xml:space="preserve">      265,988 </w:t>
            </w:r>
          </w:p>
        </w:tc>
        <w:tc>
          <w:tcPr>
            <w:tcW w:w="1287" w:type="dxa"/>
            <w:tcBorders>
              <w:top w:val="nil"/>
              <w:left w:val="nil"/>
              <w:bottom w:val="single" w:sz="4" w:space="0" w:color="auto"/>
              <w:right w:val="nil"/>
            </w:tcBorders>
            <w:shd w:val="clear" w:color="auto" w:fill="auto"/>
            <w:vAlign w:val="bottom"/>
            <w:hideMark/>
          </w:tcPr>
          <w:p w14:paraId="26C849DF" w14:textId="77777777" w:rsidR="00B9311E" w:rsidRPr="00BD77D8" w:rsidRDefault="00B9311E" w:rsidP="00B9311E">
            <w:pPr>
              <w:spacing w:after="0" w:line="240" w:lineRule="auto"/>
              <w:jc w:val="right"/>
              <w:rPr>
                <w:b/>
                <w:bCs/>
                <w:sz w:val="18"/>
                <w:szCs w:val="18"/>
              </w:rPr>
            </w:pPr>
            <w:r w:rsidRPr="00BD77D8">
              <w:rPr>
                <w:b/>
                <w:bCs/>
                <w:sz w:val="18"/>
                <w:szCs w:val="18"/>
              </w:rPr>
              <w:t xml:space="preserve">      216,296 </w:t>
            </w:r>
          </w:p>
        </w:tc>
        <w:tc>
          <w:tcPr>
            <w:tcW w:w="1168" w:type="dxa"/>
            <w:tcBorders>
              <w:top w:val="nil"/>
              <w:left w:val="nil"/>
              <w:bottom w:val="single" w:sz="4" w:space="0" w:color="auto"/>
              <w:right w:val="nil"/>
            </w:tcBorders>
            <w:shd w:val="clear" w:color="auto" w:fill="auto"/>
            <w:vAlign w:val="bottom"/>
            <w:hideMark/>
          </w:tcPr>
          <w:p w14:paraId="6CC6BB03" w14:textId="77777777" w:rsidR="00B9311E" w:rsidRPr="00BD77D8" w:rsidRDefault="00B9311E" w:rsidP="00B9311E">
            <w:pPr>
              <w:spacing w:after="0" w:line="240" w:lineRule="auto"/>
              <w:jc w:val="right"/>
              <w:rPr>
                <w:b/>
                <w:bCs/>
                <w:sz w:val="18"/>
                <w:szCs w:val="18"/>
              </w:rPr>
            </w:pPr>
            <w:r w:rsidRPr="00BD77D8">
              <w:rPr>
                <w:b/>
                <w:bCs/>
                <w:sz w:val="18"/>
                <w:szCs w:val="18"/>
              </w:rPr>
              <w:t xml:space="preserve">        49,692 </w:t>
            </w:r>
          </w:p>
        </w:tc>
        <w:tc>
          <w:tcPr>
            <w:tcW w:w="1024" w:type="dxa"/>
            <w:tcBorders>
              <w:top w:val="nil"/>
              <w:left w:val="nil"/>
              <w:bottom w:val="single" w:sz="4" w:space="0" w:color="auto"/>
              <w:right w:val="nil"/>
            </w:tcBorders>
            <w:shd w:val="clear" w:color="auto" w:fill="auto"/>
            <w:vAlign w:val="bottom"/>
            <w:hideMark/>
          </w:tcPr>
          <w:p w14:paraId="1F015B7A" w14:textId="77777777" w:rsidR="00B9311E" w:rsidRPr="00BD77D8" w:rsidRDefault="00B9311E" w:rsidP="00B9311E">
            <w:pPr>
              <w:spacing w:after="0" w:line="240" w:lineRule="auto"/>
              <w:jc w:val="right"/>
              <w:rPr>
                <w:b/>
                <w:bCs/>
                <w:sz w:val="18"/>
                <w:szCs w:val="18"/>
              </w:rPr>
            </w:pPr>
            <w:r w:rsidRPr="00BD77D8">
              <w:rPr>
                <w:b/>
                <w:bCs/>
                <w:sz w:val="18"/>
                <w:szCs w:val="18"/>
              </w:rPr>
              <w:t xml:space="preserve">      244,528 </w:t>
            </w:r>
          </w:p>
        </w:tc>
      </w:tr>
      <w:tr w:rsidR="00BD77D8" w:rsidRPr="00BD77D8" w14:paraId="30E62DFE" w14:textId="77777777" w:rsidTr="003057FB">
        <w:trPr>
          <w:trHeight w:val="291"/>
        </w:trPr>
        <w:tc>
          <w:tcPr>
            <w:tcW w:w="4467" w:type="dxa"/>
            <w:tcBorders>
              <w:top w:val="nil"/>
              <w:left w:val="nil"/>
              <w:bottom w:val="nil"/>
              <w:right w:val="nil"/>
            </w:tcBorders>
            <w:shd w:val="clear" w:color="auto" w:fill="auto"/>
            <w:noWrap/>
            <w:vAlign w:val="bottom"/>
            <w:hideMark/>
          </w:tcPr>
          <w:p w14:paraId="4D6974B6" w14:textId="77777777" w:rsidR="00B9311E" w:rsidRPr="00BD77D8" w:rsidRDefault="00B9311E" w:rsidP="00B9311E">
            <w:pPr>
              <w:spacing w:after="0" w:line="240" w:lineRule="auto"/>
              <w:rPr>
                <w:b/>
                <w:bCs/>
                <w:sz w:val="18"/>
                <w:szCs w:val="18"/>
              </w:rPr>
            </w:pPr>
            <w:r w:rsidRPr="00BD77D8">
              <w:rPr>
                <w:b/>
                <w:bCs/>
                <w:sz w:val="18"/>
                <w:szCs w:val="18"/>
              </w:rPr>
              <w:t xml:space="preserve"> Current Liabilities </w:t>
            </w:r>
          </w:p>
        </w:tc>
        <w:tc>
          <w:tcPr>
            <w:tcW w:w="1107" w:type="dxa"/>
            <w:tcBorders>
              <w:top w:val="nil"/>
              <w:left w:val="nil"/>
              <w:bottom w:val="nil"/>
              <w:right w:val="nil"/>
            </w:tcBorders>
            <w:shd w:val="clear" w:color="auto" w:fill="auto"/>
            <w:noWrap/>
            <w:vAlign w:val="bottom"/>
            <w:hideMark/>
          </w:tcPr>
          <w:p w14:paraId="61AF3C9D" w14:textId="77777777" w:rsidR="00B9311E" w:rsidRPr="00BD77D8" w:rsidRDefault="00B9311E" w:rsidP="00B9311E">
            <w:pPr>
              <w:spacing w:after="0" w:line="240" w:lineRule="auto"/>
              <w:rPr>
                <w:b/>
                <w:bCs/>
                <w:sz w:val="18"/>
                <w:szCs w:val="18"/>
              </w:rPr>
            </w:pPr>
          </w:p>
        </w:tc>
        <w:tc>
          <w:tcPr>
            <w:tcW w:w="1372" w:type="dxa"/>
            <w:tcBorders>
              <w:top w:val="nil"/>
              <w:left w:val="nil"/>
              <w:bottom w:val="nil"/>
              <w:right w:val="nil"/>
            </w:tcBorders>
            <w:shd w:val="clear" w:color="auto" w:fill="auto"/>
            <w:vAlign w:val="bottom"/>
            <w:hideMark/>
          </w:tcPr>
          <w:p w14:paraId="1AB52C5A"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7" w:type="dxa"/>
            <w:tcBorders>
              <w:top w:val="nil"/>
              <w:left w:val="nil"/>
              <w:bottom w:val="nil"/>
              <w:right w:val="nil"/>
            </w:tcBorders>
            <w:shd w:val="clear" w:color="auto" w:fill="auto"/>
            <w:vAlign w:val="bottom"/>
            <w:hideMark/>
          </w:tcPr>
          <w:p w14:paraId="33733FF4"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68" w:type="dxa"/>
            <w:tcBorders>
              <w:top w:val="nil"/>
              <w:left w:val="nil"/>
              <w:bottom w:val="nil"/>
              <w:right w:val="nil"/>
            </w:tcBorders>
            <w:shd w:val="clear" w:color="auto" w:fill="auto"/>
            <w:vAlign w:val="bottom"/>
            <w:hideMark/>
          </w:tcPr>
          <w:p w14:paraId="67694383"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24" w:type="dxa"/>
            <w:tcBorders>
              <w:top w:val="nil"/>
              <w:left w:val="nil"/>
              <w:bottom w:val="nil"/>
              <w:right w:val="nil"/>
            </w:tcBorders>
            <w:shd w:val="clear" w:color="auto" w:fill="auto"/>
            <w:vAlign w:val="bottom"/>
            <w:hideMark/>
          </w:tcPr>
          <w:p w14:paraId="4C4FEA8E"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682E46B5" w14:textId="77777777" w:rsidTr="003057FB">
        <w:trPr>
          <w:trHeight w:val="291"/>
        </w:trPr>
        <w:tc>
          <w:tcPr>
            <w:tcW w:w="4467" w:type="dxa"/>
            <w:tcBorders>
              <w:top w:val="nil"/>
              <w:left w:val="nil"/>
              <w:bottom w:val="nil"/>
              <w:right w:val="nil"/>
            </w:tcBorders>
            <w:shd w:val="clear" w:color="auto" w:fill="auto"/>
            <w:noWrap/>
            <w:vAlign w:val="bottom"/>
            <w:hideMark/>
          </w:tcPr>
          <w:p w14:paraId="097F2C0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Payables </w:t>
            </w:r>
          </w:p>
        </w:tc>
        <w:tc>
          <w:tcPr>
            <w:tcW w:w="1107" w:type="dxa"/>
            <w:tcBorders>
              <w:top w:val="nil"/>
              <w:left w:val="nil"/>
              <w:bottom w:val="nil"/>
              <w:right w:val="nil"/>
            </w:tcBorders>
            <w:shd w:val="clear" w:color="auto" w:fill="auto"/>
            <w:noWrap/>
            <w:vAlign w:val="bottom"/>
            <w:hideMark/>
          </w:tcPr>
          <w:p w14:paraId="6EC92909" w14:textId="77777777" w:rsidR="00B9311E" w:rsidRPr="00BD77D8" w:rsidRDefault="00F56A31" w:rsidP="00B9311E">
            <w:pPr>
              <w:spacing w:after="0" w:line="240" w:lineRule="auto"/>
              <w:jc w:val="center"/>
              <w:rPr>
                <w:rFonts w:eastAsia="PMingLiU"/>
                <w:b/>
                <w:bCs/>
                <w:sz w:val="18"/>
                <w:szCs w:val="22"/>
                <w:lang w:eastAsia="en-US"/>
              </w:rPr>
            </w:pPr>
            <w:hyperlink r:id="rId40" w:anchor="'Note C6'!A5" w:history="1">
              <w:r w:rsidR="00B9311E" w:rsidRPr="00BD77D8">
                <w:rPr>
                  <w:rFonts w:eastAsia="PMingLiU"/>
                  <w:b/>
                  <w:bCs/>
                  <w:sz w:val="18"/>
                  <w:szCs w:val="22"/>
                  <w:lang w:eastAsia="en-US"/>
                </w:rPr>
                <w:t>C6</w:t>
              </w:r>
            </w:hyperlink>
          </w:p>
        </w:tc>
        <w:tc>
          <w:tcPr>
            <w:tcW w:w="1372" w:type="dxa"/>
            <w:tcBorders>
              <w:top w:val="nil"/>
              <w:left w:val="nil"/>
              <w:bottom w:val="nil"/>
              <w:right w:val="nil"/>
            </w:tcBorders>
            <w:shd w:val="clear" w:color="auto" w:fill="auto"/>
            <w:vAlign w:val="bottom"/>
            <w:hideMark/>
          </w:tcPr>
          <w:p w14:paraId="36384152" w14:textId="77777777" w:rsidR="00B9311E" w:rsidRPr="00BD77D8" w:rsidRDefault="00B9311E" w:rsidP="00B9311E">
            <w:pPr>
              <w:spacing w:after="0" w:line="240" w:lineRule="auto"/>
              <w:jc w:val="right"/>
              <w:rPr>
                <w:b/>
                <w:bCs/>
                <w:sz w:val="18"/>
                <w:szCs w:val="18"/>
              </w:rPr>
            </w:pPr>
            <w:r w:rsidRPr="00BD77D8">
              <w:rPr>
                <w:b/>
                <w:bCs/>
                <w:sz w:val="18"/>
                <w:szCs w:val="18"/>
              </w:rPr>
              <w:t xml:space="preserve">        26,482 </w:t>
            </w:r>
          </w:p>
        </w:tc>
        <w:tc>
          <w:tcPr>
            <w:tcW w:w="1287" w:type="dxa"/>
            <w:tcBorders>
              <w:top w:val="nil"/>
              <w:left w:val="nil"/>
              <w:bottom w:val="nil"/>
              <w:right w:val="nil"/>
            </w:tcBorders>
            <w:shd w:val="clear" w:color="auto" w:fill="auto"/>
            <w:vAlign w:val="bottom"/>
            <w:hideMark/>
          </w:tcPr>
          <w:p w14:paraId="272EB4CB" w14:textId="77777777" w:rsidR="00B9311E" w:rsidRPr="00BD77D8" w:rsidRDefault="00B9311E" w:rsidP="00B9311E">
            <w:pPr>
              <w:spacing w:after="0" w:line="240" w:lineRule="auto"/>
              <w:jc w:val="right"/>
              <w:rPr>
                <w:sz w:val="18"/>
                <w:szCs w:val="18"/>
              </w:rPr>
            </w:pPr>
            <w:r w:rsidRPr="00BD77D8">
              <w:rPr>
                <w:sz w:val="18"/>
                <w:szCs w:val="18"/>
              </w:rPr>
              <w:t xml:space="preserve">          4,390 </w:t>
            </w:r>
          </w:p>
        </w:tc>
        <w:tc>
          <w:tcPr>
            <w:tcW w:w="1168" w:type="dxa"/>
            <w:tcBorders>
              <w:top w:val="nil"/>
              <w:left w:val="nil"/>
              <w:bottom w:val="nil"/>
              <w:right w:val="nil"/>
            </w:tcBorders>
            <w:shd w:val="clear" w:color="auto" w:fill="auto"/>
            <w:vAlign w:val="bottom"/>
            <w:hideMark/>
          </w:tcPr>
          <w:p w14:paraId="45DA8698" w14:textId="77777777" w:rsidR="00B9311E" w:rsidRPr="00BD77D8" w:rsidRDefault="00B9311E" w:rsidP="00B9311E">
            <w:pPr>
              <w:spacing w:after="0" w:line="240" w:lineRule="auto"/>
              <w:jc w:val="right"/>
              <w:rPr>
                <w:sz w:val="18"/>
                <w:szCs w:val="18"/>
              </w:rPr>
            </w:pPr>
            <w:r w:rsidRPr="00BD77D8">
              <w:rPr>
                <w:sz w:val="18"/>
                <w:szCs w:val="18"/>
              </w:rPr>
              <w:t xml:space="preserve">      (22,092)</w:t>
            </w:r>
          </w:p>
        </w:tc>
        <w:tc>
          <w:tcPr>
            <w:tcW w:w="1024" w:type="dxa"/>
            <w:tcBorders>
              <w:top w:val="nil"/>
              <w:left w:val="nil"/>
              <w:bottom w:val="nil"/>
              <w:right w:val="nil"/>
            </w:tcBorders>
            <w:shd w:val="clear" w:color="auto" w:fill="auto"/>
            <w:vAlign w:val="bottom"/>
            <w:hideMark/>
          </w:tcPr>
          <w:p w14:paraId="6B6A4D8F" w14:textId="77777777" w:rsidR="00B9311E" w:rsidRPr="00BD77D8" w:rsidRDefault="00B9311E" w:rsidP="00B9311E">
            <w:pPr>
              <w:spacing w:after="0" w:line="240" w:lineRule="auto"/>
              <w:jc w:val="right"/>
              <w:rPr>
                <w:sz w:val="18"/>
                <w:szCs w:val="18"/>
              </w:rPr>
            </w:pPr>
            <w:r w:rsidRPr="00BD77D8">
              <w:rPr>
                <w:sz w:val="18"/>
                <w:szCs w:val="18"/>
              </w:rPr>
              <w:t xml:space="preserve">        37,926 </w:t>
            </w:r>
          </w:p>
        </w:tc>
      </w:tr>
      <w:tr w:rsidR="00BD77D8" w:rsidRPr="00BD77D8" w14:paraId="0AB9B15D" w14:textId="77777777" w:rsidTr="003057FB">
        <w:trPr>
          <w:trHeight w:val="291"/>
        </w:trPr>
        <w:tc>
          <w:tcPr>
            <w:tcW w:w="4467" w:type="dxa"/>
            <w:tcBorders>
              <w:top w:val="nil"/>
              <w:left w:val="nil"/>
              <w:bottom w:val="nil"/>
              <w:right w:val="nil"/>
            </w:tcBorders>
            <w:shd w:val="clear" w:color="auto" w:fill="auto"/>
            <w:noWrap/>
            <w:vAlign w:val="bottom"/>
            <w:hideMark/>
          </w:tcPr>
          <w:p w14:paraId="525B6CFD"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Accrued employee benefits </w:t>
            </w:r>
          </w:p>
        </w:tc>
        <w:tc>
          <w:tcPr>
            <w:tcW w:w="1107" w:type="dxa"/>
            <w:tcBorders>
              <w:top w:val="nil"/>
              <w:left w:val="nil"/>
              <w:bottom w:val="nil"/>
              <w:right w:val="nil"/>
            </w:tcBorders>
            <w:shd w:val="clear" w:color="auto" w:fill="auto"/>
            <w:noWrap/>
            <w:vAlign w:val="bottom"/>
            <w:hideMark/>
          </w:tcPr>
          <w:p w14:paraId="1870FA95" w14:textId="77777777" w:rsidR="00B9311E" w:rsidRPr="00BD77D8" w:rsidRDefault="00F56A31" w:rsidP="00B9311E">
            <w:pPr>
              <w:spacing w:after="0" w:line="240" w:lineRule="auto"/>
              <w:jc w:val="center"/>
              <w:rPr>
                <w:rFonts w:eastAsia="PMingLiU"/>
                <w:b/>
                <w:bCs/>
                <w:sz w:val="18"/>
                <w:szCs w:val="22"/>
                <w:lang w:eastAsia="en-US"/>
              </w:rPr>
            </w:pPr>
            <w:hyperlink r:id="rId41" w:anchor="'Note C7'!A5" w:history="1">
              <w:r w:rsidR="00B9311E" w:rsidRPr="00BD77D8">
                <w:rPr>
                  <w:rFonts w:eastAsia="PMingLiU"/>
                  <w:b/>
                  <w:bCs/>
                  <w:sz w:val="18"/>
                  <w:szCs w:val="22"/>
                  <w:lang w:eastAsia="en-US"/>
                </w:rPr>
                <w:t>C7</w:t>
              </w:r>
            </w:hyperlink>
          </w:p>
        </w:tc>
        <w:tc>
          <w:tcPr>
            <w:tcW w:w="1372" w:type="dxa"/>
            <w:tcBorders>
              <w:top w:val="nil"/>
              <w:left w:val="nil"/>
              <w:bottom w:val="nil"/>
              <w:right w:val="nil"/>
            </w:tcBorders>
            <w:shd w:val="clear" w:color="auto" w:fill="auto"/>
            <w:vAlign w:val="bottom"/>
            <w:hideMark/>
          </w:tcPr>
          <w:p w14:paraId="4149E358" w14:textId="77777777" w:rsidR="00B9311E" w:rsidRPr="00BD77D8" w:rsidRDefault="00B9311E" w:rsidP="00B9311E">
            <w:pPr>
              <w:spacing w:after="0" w:line="240" w:lineRule="auto"/>
              <w:jc w:val="right"/>
              <w:rPr>
                <w:b/>
                <w:bCs/>
                <w:sz w:val="18"/>
                <w:szCs w:val="18"/>
              </w:rPr>
            </w:pPr>
            <w:r w:rsidRPr="00BD77D8">
              <w:rPr>
                <w:b/>
                <w:bCs/>
                <w:sz w:val="18"/>
                <w:szCs w:val="18"/>
              </w:rPr>
              <w:t xml:space="preserve">          9,261 </w:t>
            </w:r>
          </w:p>
        </w:tc>
        <w:tc>
          <w:tcPr>
            <w:tcW w:w="1287" w:type="dxa"/>
            <w:tcBorders>
              <w:top w:val="nil"/>
              <w:left w:val="nil"/>
              <w:bottom w:val="nil"/>
              <w:right w:val="nil"/>
            </w:tcBorders>
            <w:shd w:val="clear" w:color="auto" w:fill="auto"/>
            <w:vAlign w:val="bottom"/>
            <w:hideMark/>
          </w:tcPr>
          <w:p w14:paraId="4AA3902B" w14:textId="77777777" w:rsidR="00B9311E" w:rsidRPr="00BD77D8" w:rsidRDefault="00B9311E" w:rsidP="00B9311E">
            <w:pPr>
              <w:spacing w:after="0" w:line="240" w:lineRule="auto"/>
              <w:jc w:val="right"/>
              <w:rPr>
                <w:sz w:val="18"/>
                <w:szCs w:val="18"/>
              </w:rPr>
            </w:pPr>
            <w:r w:rsidRPr="00BD77D8">
              <w:rPr>
                <w:sz w:val="18"/>
                <w:szCs w:val="18"/>
              </w:rPr>
              <w:t xml:space="preserve">          8,875 </w:t>
            </w:r>
          </w:p>
        </w:tc>
        <w:tc>
          <w:tcPr>
            <w:tcW w:w="1168" w:type="dxa"/>
            <w:tcBorders>
              <w:top w:val="nil"/>
              <w:left w:val="nil"/>
              <w:bottom w:val="nil"/>
              <w:right w:val="nil"/>
            </w:tcBorders>
            <w:shd w:val="clear" w:color="auto" w:fill="auto"/>
            <w:vAlign w:val="bottom"/>
            <w:hideMark/>
          </w:tcPr>
          <w:p w14:paraId="7FDE9C5B" w14:textId="77777777" w:rsidR="00B9311E" w:rsidRPr="00BD77D8" w:rsidRDefault="00B9311E" w:rsidP="00B9311E">
            <w:pPr>
              <w:spacing w:after="0" w:line="240" w:lineRule="auto"/>
              <w:jc w:val="right"/>
              <w:rPr>
                <w:sz w:val="18"/>
                <w:szCs w:val="18"/>
              </w:rPr>
            </w:pPr>
            <w:r w:rsidRPr="00BD77D8">
              <w:rPr>
                <w:sz w:val="18"/>
                <w:szCs w:val="18"/>
              </w:rPr>
              <w:t xml:space="preserve">            (386)</w:t>
            </w:r>
          </w:p>
        </w:tc>
        <w:tc>
          <w:tcPr>
            <w:tcW w:w="1024" w:type="dxa"/>
            <w:tcBorders>
              <w:top w:val="nil"/>
              <w:left w:val="nil"/>
              <w:bottom w:val="nil"/>
              <w:right w:val="nil"/>
            </w:tcBorders>
            <w:shd w:val="clear" w:color="auto" w:fill="auto"/>
            <w:vAlign w:val="bottom"/>
            <w:hideMark/>
          </w:tcPr>
          <w:p w14:paraId="1A214DFD" w14:textId="77777777" w:rsidR="00B9311E" w:rsidRPr="00BD77D8" w:rsidRDefault="00B9311E" w:rsidP="00B9311E">
            <w:pPr>
              <w:spacing w:after="0" w:line="240" w:lineRule="auto"/>
              <w:jc w:val="right"/>
              <w:rPr>
                <w:sz w:val="18"/>
                <w:szCs w:val="18"/>
              </w:rPr>
            </w:pPr>
            <w:r w:rsidRPr="00BD77D8">
              <w:rPr>
                <w:sz w:val="18"/>
                <w:szCs w:val="18"/>
              </w:rPr>
              <w:t xml:space="preserve">          8,811 </w:t>
            </w:r>
          </w:p>
        </w:tc>
      </w:tr>
      <w:tr w:rsidR="00BD77D8" w:rsidRPr="00BD77D8" w14:paraId="1B1D3CD9" w14:textId="77777777" w:rsidTr="003057FB">
        <w:trPr>
          <w:trHeight w:val="291"/>
        </w:trPr>
        <w:tc>
          <w:tcPr>
            <w:tcW w:w="4467" w:type="dxa"/>
            <w:tcBorders>
              <w:top w:val="nil"/>
              <w:left w:val="nil"/>
              <w:bottom w:val="nil"/>
              <w:right w:val="nil"/>
            </w:tcBorders>
            <w:shd w:val="clear" w:color="auto" w:fill="auto"/>
            <w:noWrap/>
            <w:vAlign w:val="bottom"/>
            <w:hideMark/>
          </w:tcPr>
          <w:p w14:paraId="10D5F715"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Interest bearing liabilities </w:t>
            </w:r>
          </w:p>
        </w:tc>
        <w:tc>
          <w:tcPr>
            <w:tcW w:w="1107" w:type="dxa"/>
            <w:tcBorders>
              <w:top w:val="nil"/>
              <w:left w:val="nil"/>
              <w:bottom w:val="nil"/>
              <w:right w:val="nil"/>
            </w:tcBorders>
            <w:shd w:val="clear" w:color="auto" w:fill="auto"/>
            <w:noWrap/>
            <w:vAlign w:val="bottom"/>
            <w:hideMark/>
          </w:tcPr>
          <w:p w14:paraId="7B74A03D" w14:textId="77777777" w:rsidR="00B9311E" w:rsidRPr="00BD77D8" w:rsidRDefault="00B9311E" w:rsidP="00B9311E">
            <w:pPr>
              <w:spacing w:after="0" w:line="240" w:lineRule="auto"/>
              <w:ind w:firstLineChars="100" w:firstLine="181"/>
              <w:rPr>
                <w:b/>
                <w:bCs/>
                <w:sz w:val="18"/>
                <w:szCs w:val="18"/>
              </w:rPr>
            </w:pPr>
          </w:p>
        </w:tc>
        <w:tc>
          <w:tcPr>
            <w:tcW w:w="1372" w:type="dxa"/>
            <w:tcBorders>
              <w:top w:val="nil"/>
              <w:left w:val="nil"/>
              <w:bottom w:val="nil"/>
              <w:right w:val="nil"/>
            </w:tcBorders>
            <w:shd w:val="clear" w:color="auto" w:fill="auto"/>
            <w:vAlign w:val="bottom"/>
            <w:hideMark/>
          </w:tcPr>
          <w:p w14:paraId="44344C88"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7" w:type="dxa"/>
            <w:tcBorders>
              <w:top w:val="nil"/>
              <w:left w:val="nil"/>
              <w:bottom w:val="nil"/>
              <w:right w:val="nil"/>
            </w:tcBorders>
            <w:shd w:val="clear" w:color="auto" w:fill="auto"/>
            <w:vAlign w:val="bottom"/>
            <w:hideMark/>
          </w:tcPr>
          <w:p w14:paraId="2568C75D" w14:textId="77777777" w:rsidR="00B9311E" w:rsidRPr="00BD77D8" w:rsidRDefault="00B9311E" w:rsidP="00B9311E">
            <w:pPr>
              <w:spacing w:after="0" w:line="240" w:lineRule="auto"/>
              <w:jc w:val="right"/>
              <w:rPr>
                <w:sz w:val="18"/>
                <w:szCs w:val="18"/>
              </w:rPr>
            </w:pPr>
            <w:r w:rsidRPr="00BD77D8">
              <w:rPr>
                <w:sz w:val="18"/>
                <w:szCs w:val="18"/>
              </w:rPr>
              <w:t xml:space="preserve">                51 </w:t>
            </w:r>
          </w:p>
        </w:tc>
        <w:tc>
          <w:tcPr>
            <w:tcW w:w="1168" w:type="dxa"/>
            <w:tcBorders>
              <w:top w:val="nil"/>
              <w:left w:val="nil"/>
              <w:bottom w:val="nil"/>
              <w:right w:val="nil"/>
            </w:tcBorders>
            <w:shd w:val="clear" w:color="auto" w:fill="auto"/>
            <w:vAlign w:val="bottom"/>
            <w:hideMark/>
          </w:tcPr>
          <w:p w14:paraId="3FB4F8FA" w14:textId="77777777" w:rsidR="00B9311E" w:rsidRPr="00BD77D8" w:rsidRDefault="00B9311E" w:rsidP="00B9311E">
            <w:pPr>
              <w:spacing w:after="0" w:line="240" w:lineRule="auto"/>
              <w:jc w:val="right"/>
              <w:rPr>
                <w:sz w:val="18"/>
                <w:szCs w:val="18"/>
              </w:rPr>
            </w:pPr>
            <w:r w:rsidRPr="00BD77D8">
              <w:rPr>
                <w:sz w:val="18"/>
                <w:szCs w:val="18"/>
              </w:rPr>
              <w:t xml:space="preserve">                51 </w:t>
            </w:r>
          </w:p>
        </w:tc>
        <w:tc>
          <w:tcPr>
            <w:tcW w:w="1024" w:type="dxa"/>
            <w:tcBorders>
              <w:top w:val="nil"/>
              <w:left w:val="nil"/>
              <w:bottom w:val="nil"/>
              <w:right w:val="nil"/>
            </w:tcBorders>
            <w:shd w:val="clear" w:color="auto" w:fill="auto"/>
            <w:vAlign w:val="bottom"/>
            <w:hideMark/>
          </w:tcPr>
          <w:p w14:paraId="1CC05F85"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8D6AB61" w14:textId="77777777" w:rsidTr="003057FB">
        <w:trPr>
          <w:trHeight w:val="291"/>
        </w:trPr>
        <w:tc>
          <w:tcPr>
            <w:tcW w:w="4467" w:type="dxa"/>
            <w:tcBorders>
              <w:top w:val="nil"/>
              <w:left w:val="nil"/>
              <w:bottom w:val="nil"/>
              <w:right w:val="nil"/>
            </w:tcBorders>
            <w:shd w:val="clear" w:color="auto" w:fill="auto"/>
            <w:noWrap/>
            <w:vAlign w:val="bottom"/>
            <w:hideMark/>
          </w:tcPr>
          <w:p w14:paraId="4BB407E7"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Provisions </w:t>
            </w:r>
          </w:p>
        </w:tc>
        <w:tc>
          <w:tcPr>
            <w:tcW w:w="1107" w:type="dxa"/>
            <w:tcBorders>
              <w:top w:val="nil"/>
              <w:left w:val="nil"/>
              <w:bottom w:val="nil"/>
              <w:right w:val="nil"/>
            </w:tcBorders>
            <w:shd w:val="clear" w:color="auto" w:fill="auto"/>
            <w:noWrap/>
            <w:vAlign w:val="bottom"/>
            <w:hideMark/>
          </w:tcPr>
          <w:p w14:paraId="54A0162A"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1C7F1CA8"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7" w:type="dxa"/>
            <w:tcBorders>
              <w:top w:val="nil"/>
              <w:left w:val="nil"/>
              <w:bottom w:val="nil"/>
              <w:right w:val="nil"/>
            </w:tcBorders>
            <w:shd w:val="clear" w:color="auto" w:fill="auto"/>
            <w:vAlign w:val="bottom"/>
            <w:hideMark/>
          </w:tcPr>
          <w:p w14:paraId="537B12E0" w14:textId="77777777" w:rsidR="00B9311E" w:rsidRPr="00BD77D8" w:rsidRDefault="00B9311E" w:rsidP="00B9311E">
            <w:pPr>
              <w:spacing w:after="0" w:line="240" w:lineRule="auto"/>
              <w:jc w:val="right"/>
              <w:rPr>
                <w:sz w:val="18"/>
                <w:szCs w:val="18"/>
              </w:rPr>
            </w:pPr>
            <w:r w:rsidRPr="00BD77D8">
              <w:rPr>
                <w:sz w:val="18"/>
                <w:szCs w:val="18"/>
              </w:rPr>
              <w:t xml:space="preserve">          2,356 </w:t>
            </w:r>
          </w:p>
        </w:tc>
        <w:tc>
          <w:tcPr>
            <w:tcW w:w="1168" w:type="dxa"/>
            <w:tcBorders>
              <w:top w:val="nil"/>
              <w:left w:val="nil"/>
              <w:bottom w:val="nil"/>
              <w:right w:val="nil"/>
            </w:tcBorders>
            <w:shd w:val="clear" w:color="auto" w:fill="auto"/>
            <w:vAlign w:val="bottom"/>
            <w:hideMark/>
          </w:tcPr>
          <w:p w14:paraId="338FFDE8" w14:textId="77777777" w:rsidR="00B9311E" w:rsidRPr="00BD77D8" w:rsidRDefault="00B9311E" w:rsidP="00B9311E">
            <w:pPr>
              <w:spacing w:after="0" w:line="240" w:lineRule="auto"/>
              <w:jc w:val="right"/>
              <w:rPr>
                <w:sz w:val="18"/>
                <w:szCs w:val="18"/>
              </w:rPr>
            </w:pPr>
            <w:r w:rsidRPr="00BD77D8">
              <w:rPr>
                <w:sz w:val="18"/>
                <w:szCs w:val="18"/>
              </w:rPr>
              <w:t xml:space="preserve">          2,356 </w:t>
            </w:r>
          </w:p>
        </w:tc>
        <w:tc>
          <w:tcPr>
            <w:tcW w:w="1024" w:type="dxa"/>
            <w:tcBorders>
              <w:top w:val="nil"/>
              <w:left w:val="nil"/>
              <w:bottom w:val="nil"/>
              <w:right w:val="nil"/>
            </w:tcBorders>
            <w:shd w:val="clear" w:color="auto" w:fill="auto"/>
            <w:vAlign w:val="bottom"/>
            <w:hideMark/>
          </w:tcPr>
          <w:p w14:paraId="360C81A7" w14:textId="77777777" w:rsidR="00B9311E" w:rsidRPr="00BD77D8" w:rsidRDefault="00B9311E" w:rsidP="00B9311E">
            <w:pPr>
              <w:spacing w:after="0" w:line="240" w:lineRule="auto"/>
              <w:jc w:val="right"/>
              <w:rPr>
                <w:sz w:val="18"/>
                <w:szCs w:val="18"/>
              </w:rPr>
            </w:pPr>
            <w:r w:rsidRPr="00BD77D8">
              <w:rPr>
                <w:sz w:val="18"/>
                <w:szCs w:val="18"/>
              </w:rPr>
              <w:t xml:space="preserve">              119 </w:t>
            </w:r>
          </w:p>
        </w:tc>
      </w:tr>
      <w:tr w:rsidR="00BD77D8" w:rsidRPr="00BD77D8" w14:paraId="4CD8370C" w14:textId="77777777" w:rsidTr="003057FB">
        <w:trPr>
          <w:trHeight w:val="291"/>
        </w:trPr>
        <w:tc>
          <w:tcPr>
            <w:tcW w:w="4467" w:type="dxa"/>
            <w:tcBorders>
              <w:top w:val="nil"/>
              <w:left w:val="nil"/>
              <w:bottom w:val="nil"/>
              <w:right w:val="nil"/>
            </w:tcBorders>
            <w:shd w:val="clear" w:color="auto" w:fill="auto"/>
            <w:noWrap/>
            <w:vAlign w:val="bottom"/>
            <w:hideMark/>
          </w:tcPr>
          <w:p w14:paraId="7E795531"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current liabilities </w:t>
            </w:r>
          </w:p>
        </w:tc>
        <w:tc>
          <w:tcPr>
            <w:tcW w:w="1107" w:type="dxa"/>
            <w:tcBorders>
              <w:top w:val="nil"/>
              <w:left w:val="nil"/>
              <w:bottom w:val="nil"/>
              <w:right w:val="nil"/>
            </w:tcBorders>
            <w:shd w:val="clear" w:color="auto" w:fill="auto"/>
            <w:noWrap/>
            <w:vAlign w:val="bottom"/>
            <w:hideMark/>
          </w:tcPr>
          <w:p w14:paraId="0FC63868"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426EAE25" w14:textId="77777777" w:rsidR="00B9311E" w:rsidRPr="00BD77D8" w:rsidRDefault="00B9311E" w:rsidP="00B9311E">
            <w:pPr>
              <w:spacing w:after="0" w:line="240" w:lineRule="auto"/>
              <w:jc w:val="right"/>
              <w:rPr>
                <w:b/>
                <w:bCs/>
                <w:sz w:val="18"/>
                <w:szCs w:val="18"/>
              </w:rPr>
            </w:pPr>
            <w:r w:rsidRPr="00BD77D8">
              <w:rPr>
                <w:b/>
                <w:bCs/>
                <w:sz w:val="18"/>
                <w:szCs w:val="18"/>
              </w:rPr>
              <w:t xml:space="preserve">          1,062 </w:t>
            </w:r>
          </w:p>
        </w:tc>
        <w:tc>
          <w:tcPr>
            <w:tcW w:w="1287" w:type="dxa"/>
            <w:tcBorders>
              <w:top w:val="nil"/>
              <w:left w:val="nil"/>
              <w:bottom w:val="nil"/>
              <w:right w:val="nil"/>
            </w:tcBorders>
            <w:shd w:val="clear" w:color="auto" w:fill="auto"/>
            <w:vAlign w:val="bottom"/>
            <w:hideMark/>
          </w:tcPr>
          <w:p w14:paraId="2B1B9C68" w14:textId="77777777" w:rsidR="00B9311E" w:rsidRPr="00BD77D8" w:rsidRDefault="00B9311E" w:rsidP="00B9311E">
            <w:pPr>
              <w:spacing w:after="0" w:line="240" w:lineRule="auto"/>
              <w:jc w:val="right"/>
              <w:rPr>
                <w:sz w:val="18"/>
                <w:szCs w:val="18"/>
              </w:rPr>
            </w:pPr>
            <w:r w:rsidRPr="00BD77D8">
              <w:rPr>
                <w:sz w:val="18"/>
                <w:szCs w:val="18"/>
              </w:rPr>
              <w:t xml:space="preserve">              344 </w:t>
            </w:r>
          </w:p>
        </w:tc>
        <w:tc>
          <w:tcPr>
            <w:tcW w:w="1168" w:type="dxa"/>
            <w:tcBorders>
              <w:top w:val="nil"/>
              <w:left w:val="nil"/>
              <w:bottom w:val="nil"/>
              <w:right w:val="nil"/>
            </w:tcBorders>
            <w:shd w:val="clear" w:color="auto" w:fill="auto"/>
            <w:vAlign w:val="bottom"/>
            <w:hideMark/>
          </w:tcPr>
          <w:p w14:paraId="5D4C08E3" w14:textId="77777777" w:rsidR="00B9311E" w:rsidRPr="00BD77D8" w:rsidRDefault="00B9311E" w:rsidP="00B9311E">
            <w:pPr>
              <w:spacing w:after="0" w:line="240" w:lineRule="auto"/>
              <w:jc w:val="right"/>
              <w:rPr>
                <w:sz w:val="18"/>
                <w:szCs w:val="18"/>
              </w:rPr>
            </w:pPr>
            <w:r w:rsidRPr="00BD77D8">
              <w:rPr>
                <w:sz w:val="18"/>
                <w:szCs w:val="18"/>
              </w:rPr>
              <w:t xml:space="preserve">            (718)</w:t>
            </w:r>
          </w:p>
        </w:tc>
        <w:tc>
          <w:tcPr>
            <w:tcW w:w="1024" w:type="dxa"/>
            <w:tcBorders>
              <w:top w:val="nil"/>
              <w:left w:val="nil"/>
              <w:bottom w:val="nil"/>
              <w:right w:val="nil"/>
            </w:tcBorders>
            <w:shd w:val="clear" w:color="auto" w:fill="auto"/>
            <w:vAlign w:val="bottom"/>
            <w:hideMark/>
          </w:tcPr>
          <w:p w14:paraId="48FDD4C4" w14:textId="77777777" w:rsidR="00B9311E" w:rsidRPr="00BD77D8" w:rsidRDefault="00B9311E" w:rsidP="00B9311E">
            <w:pPr>
              <w:spacing w:after="0" w:line="240" w:lineRule="auto"/>
              <w:jc w:val="right"/>
              <w:rPr>
                <w:sz w:val="18"/>
                <w:szCs w:val="18"/>
              </w:rPr>
            </w:pPr>
            <w:r w:rsidRPr="00BD77D8">
              <w:rPr>
                <w:sz w:val="18"/>
                <w:szCs w:val="18"/>
              </w:rPr>
              <w:t xml:space="preserve">              571 </w:t>
            </w:r>
          </w:p>
        </w:tc>
      </w:tr>
      <w:tr w:rsidR="00BD77D8" w:rsidRPr="00BD77D8" w14:paraId="36234A47" w14:textId="77777777" w:rsidTr="003057FB">
        <w:trPr>
          <w:trHeight w:val="291"/>
        </w:trPr>
        <w:tc>
          <w:tcPr>
            <w:tcW w:w="4467" w:type="dxa"/>
            <w:tcBorders>
              <w:top w:val="nil"/>
              <w:left w:val="nil"/>
              <w:bottom w:val="nil"/>
              <w:right w:val="nil"/>
            </w:tcBorders>
            <w:shd w:val="clear" w:color="auto" w:fill="auto"/>
            <w:noWrap/>
            <w:vAlign w:val="bottom"/>
            <w:hideMark/>
          </w:tcPr>
          <w:p w14:paraId="1DC4AB04" w14:textId="77777777" w:rsidR="00B9311E" w:rsidRPr="00BD77D8" w:rsidRDefault="00B9311E" w:rsidP="00B9311E">
            <w:pPr>
              <w:spacing w:after="0" w:line="240" w:lineRule="auto"/>
              <w:rPr>
                <w:b/>
                <w:bCs/>
                <w:sz w:val="18"/>
                <w:szCs w:val="18"/>
              </w:rPr>
            </w:pPr>
            <w:r w:rsidRPr="00BD77D8">
              <w:rPr>
                <w:b/>
                <w:bCs/>
                <w:sz w:val="18"/>
                <w:szCs w:val="18"/>
              </w:rPr>
              <w:t xml:space="preserve"> Total Current Liabilities </w:t>
            </w:r>
          </w:p>
        </w:tc>
        <w:tc>
          <w:tcPr>
            <w:tcW w:w="1107" w:type="dxa"/>
            <w:tcBorders>
              <w:top w:val="nil"/>
              <w:left w:val="nil"/>
              <w:bottom w:val="nil"/>
              <w:right w:val="nil"/>
            </w:tcBorders>
            <w:shd w:val="clear" w:color="auto" w:fill="auto"/>
            <w:noWrap/>
            <w:vAlign w:val="bottom"/>
            <w:hideMark/>
          </w:tcPr>
          <w:p w14:paraId="1CE18243"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124EF499" w14:textId="77777777" w:rsidR="00B9311E" w:rsidRPr="00BD77D8" w:rsidRDefault="00B9311E" w:rsidP="00B9311E">
            <w:pPr>
              <w:spacing w:after="0" w:line="240" w:lineRule="auto"/>
              <w:jc w:val="right"/>
              <w:rPr>
                <w:b/>
                <w:bCs/>
                <w:sz w:val="18"/>
                <w:szCs w:val="18"/>
              </w:rPr>
            </w:pPr>
            <w:r w:rsidRPr="00BD77D8">
              <w:rPr>
                <w:b/>
                <w:bCs/>
                <w:sz w:val="18"/>
                <w:szCs w:val="18"/>
              </w:rPr>
              <w:t xml:space="preserve">        36,805 </w:t>
            </w:r>
          </w:p>
        </w:tc>
        <w:tc>
          <w:tcPr>
            <w:tcW w:w="1287" w:type="dxa"/>
            <w:tcBorders>
              <w:top w:val="single" w:sz="4" w:space="0" w:color="auto"/>
              <w:left w:val="nil"/>
              <w:bottom w:val="single" w:sz="4" w:space="0" w:color="auto"/>
              <w:right w:val="nil"/>
            </w:tcBorders>
            <w:shd w:val="clear" w:color="auto" w:fill="auto"/>
            <w:vAlign w:val="bottom"/>
            <w:hideMark/>
          </w:tcPr>
          <w:p w14:paraId="7A0A4428" w14:textId="77777777" w:rsidR="00B9311E" w:rsidRPr="00BD77D8" w:rsidRDefault="00B9311E" w:rsidP="00B9311E">
            <w:pPr>
              <w:spacing w:after="0" w:line="240" w:lineRule="auto"/>
              <w:jc w:val="right"/>
              <w:rPr>
                <w:b/>
                <w:bCs/>
                <w:sz w:val="18"/>
                <w:szCs w:val="18"/>
              </w:rPr>
            </w:pPr>
            <w:r w:rsidRPr="00BD77D8">
              <w:rPr>
                <w:b/>
                <w:bCs/>
                <w:sz w:val="18"/>
                <w:szCs w:val="18"/>
              </w:rPr>
              <w:t xml:space="preserve">        16,016 </w:t>
            </w:r>
          </w:p>
        </w:tc>
        <w:tc>
          <w:tcPr>
            <w:tcW w:w="1168" w:type="dxa"/>
            <w:tcBorders>
              <w:top w:val="single" w:sz="4" w:space="0" w:color="auto"/>
              <w:left w:val="nil"/>
              <w:bottom w:val="single" w:sz="4" w:space="0" w:color="auto"/>
              <w:right w:val="nil"/>
            </w:tcBorders>
            <w:shd w:val="clear" w:color="auto" w:fill="auto"/>
            <w:vAlign w:val="bottom"/>
            <w:hideMark/>
          </w:tcPr>
          <w:p w14:paraId="76E5A3AC" w14:textId="77777777" w:rsidR="00B9311E" w:rsidRPr="00BD77D8" w:rsidRDefault="00B9311E" w:rsidP="00B9311E">
            <w:pPr>
              <w:spacing w:after="0" w:line="240" w:lineRule="auto"/>
              <w:jc w:val="right"/>
              <w:rPr>
                <w:b/>
                <w:bCs/>
                <w:sz w:val="18"/>
                <w:szCs w:val="18"/>
              </w:rPr>
            </w:pPr>
            <w:r w:rsidRPr="00BD77D8">
              <w:rPr>
                <w:b/>
                <w:bCs/>
                <w:sz w:val="18"/>
                <w:szCs w:val="18"/>
              </w:rPr>
              <w:t xml:space="preserve">      (20,789)</w:t>
            </w:r>
          </w:p>
        </w:tc>
        <w:tc>
          <w:tcPr>
            <w:tcW w:w="1024" w:type="dxa"/>
            <w:tcBorders>
              <w:top w:val="single" w:sz="4" w:space="0" w:color="auto"/>
              <w:left w:val="nil"/>
              <w:bottom w:val="single" w:sz="4" w:space="0" w:color="auto"/>
              <w:right w:val="nil"/>
            </w:tcBorders>
            <w:shd w:val="clear" w:color="auto" w:fill="auto"/>
            <w:vAlign w:val="bottom"/>
            <w:hideMark/>
          </w:tcPr>
          <w:p w14:paraId="62C4E21C" w14:textId="77777777" w:rsidR="00B9311E" w:rsidRPr="00BD77D8" w:rsidRDefault="00B9311E" w:rsidP="00B9311E">
            <w:pPr>
              <w:spacing w:after="0" w:line="240" w:lineRule="auto"/>
              <w:jc w:val="right"/>
              <w:rPr>
                <w:b/>
                <w:bCs/>
                <w:sz w:val="18"/>
                <w:szCs w:val="18"/>
              </w:rPr>
            </w:pPr>
            <w:r w:rsidRPr="00BD77D8">
              <w:rPr>
                <w:b/>
                <w:bCs/>
                <w:sz w:val="18"/>
                <w:szCs w:val="18"/>
              </w:rPr>
              <w:t xml:space="preserve">        47,427 </w:t>
            </w:r>
          </w:p>
        </w:tc>
      </w:tr>
      <w:tr w:rsidR="00BD77D8" w:rsidRPr="00BD77D8" w14:paraId="7E3455AE" w14:textId="77777777" w:rsidTr="003057FB">
        <w:trPr>
          <w:trHeight w:val="291"/>
        </w:trPr>
        <w:tc>
          <w:tcPr>
            <w:tcW w:w="4467" w:type="dxa"/>
            <w:tcBorders>
              <w:top w:val="nil"/>
              <w:left w:val="nil"/>
              <w:bottom w:val="nil"/>
              <w:right w:val="nil"/>
            </w:tcBorders>
            <w:shd w:val="clear" w:color="auto" w:fill="auto"/>
            <w:noWrap/>
            <w:vAlign w:val="bottom"/>
            <w:hideMark/>
          </w:tcPr>
          <w:p w14:paraId="02E5542C" w14:textId="77777777" w:rsidR="00B9311E" w:rsidRPr="00BD77D8" w:rsidRDefault="00B9311E" w:rsidP="00B9311E">
            <w:pPr>
              <w:spacing w:after="0" w:line="240" w:lineRule="auto"/>
              <w:rPr>
                <w:b/>
                <w:bCs/>
                <w:sz w:val="18"/>
                <w:szCs w:val="18"/>
              </w:rPr>
            </w:pPr>
            <w:r w:rsidRPr="00BD77D8">
              <w:rPr>
                <w:b/>
                <w:bCs/>
                <w:sz w:val="18"/>
                <w:szCs w:val="18"/>
              </w:rPr>
              <w:t xml:space="preserve"> Net Assets  </w:t>
            </w:r>
          </w:p>
        </w:tc>
        <w:tc>
          <w:tcPr>
            <w:tcW w:w="1107" w:type="dxa"/>
            <w:tcBorders>
              <w:top w:val="nil"/>
              <w:left w:val="nil"/>
              <w:bottom w:val="nil"/>
              <w:right w:val="nil"/>
            </w:tcBorders>
            <w:shd w:val="clear" w:color="auto" w:fill="auto"/>
            <w:noWrap/>
            <w:vAlign w:val="bottom"/>
            <w:hideMark/>
          </w:tcPr>
          <w:p w14:paraId="32DACF50"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0F4FF3CE" w14:textId="77777777" w:rsidR="00B9311E" w:rsidRPr="00BD77D8" w:rsidRDefault="00B9311E" w:rsidP="00B9311E">
            <w:pPr>
              <w:spacing w:after="0" w:line="240" w:lineRule="auto"/>
              <w:jc w:val="right"/>
              <w:rPr>
                <w:b/>
                <w:bCs/>
                <w:sz w:val="18"/>
                <w:szCs w:val="18"/>
              </w:rPr>
            </w:pPr>
            <w:r w:rsidRPr="00BD77D8">
              <w:rPr>
                <w:b/>
                <w:bCs/>
                <w:sz w:val="18"/>
                <w:szCs w:val="18"/>
              </w:rPr>
              <w:t xml:space="preserve">      229,183 </w:t>
            </w:r>
          </w:p>
        </w:tc>
        <w:tc>
          <w:tcPr>
            <w:tcW w:w="1287" w:type="dxa"/>
            <w:tcBorders>
              <w:top w:val="single" w:sz="4" w:space="0" w:color="auto"/>
              <w:left w:val="nil"/>
              <w:bottom w:val="single" w:sz="4" w:space="0" w:color="auto"/>
              <w:right w:val="nil"/>
            </w:tcBorders>
            <w:shd w:val="clear" w:color="auto" w:fill="auto"/>
            <w:vAlign w:val="bottom"/>
            <w:hideMark/>
          </w:tcPr>
          <w:p w14:paraId="0948D1BF" w14:textId="77777777" w:rsidR="00B9311E" w:rsidRPr="00BD77D8" w:rsidRDefault="00B9311E" w:rsidP="00B9311E">
            <w:pPr>
              <w:spacing w:after="0" w:line="240" w:lineRule="auto"/>
              <w:jc w:val="right"/>
              <w:rPr>
                <w:b/>
                <w:bCs/>
                <w:sz w:val="18"/>
                <w:szCs w:val="18"/>
              </w:rPr>
            </w:pPr>
            <w:r w:rsidRPr="00BD77D8">
              <w:rPr>
                <w:b/>
                <w:bCs/>
                <w:sz w:val="18"/>
                <w:szCs w:val="18"/>
              </w:rPr>
              <w:t xml:space="preserve">      200,280 </w:t>
            </w:r>
          </w:p>
        </w:tc>
        <w:tc>
          <w:tcPr>
            <w:tcW w:w="1168" w:type="dxa"/>
            <w:tcBorders>
              <w:top w:val="single" w:sz="4" w:space="0" w:color="auto"/>
              <w:left w:val="nil"/>
              <w:bottom w:val="single" w:sz="4" w:space="0" w:color="auto"/>
              <w:right w:val="nil"/>
            </w:tcBorders>
            <w:shd w:val="clear" w:color="auto" w:fill="auto"/>
            <w:vAlign w:val="bottom"/>
            <w:hideMark/>
          </w:tcPr>
          <w:p w14:paraId="49A350CC" w14:textId="77777777" w:rsidR="00B9311E" w:rsidRPr="00BD77D8" w:rsidRDefault="00B9311E" w:rsidP="00B9311E">
            <w:pPr>
              <w:spacing w:after="0" w:line="240" w:lineRule="auto"/>
              <w:jc w:val="right"/>
              <w:rPr>
                <w:b/>
                <w:bCs/>
                <w:sz w:val="18"/>
                <w:szCs w:val="18"/>
              </w:rPr>
            </w:pPr>
            <w:r w:rsidRPr="00BD77D8">
              <w:rPr>
                <w:b/>
                <w:bCs/>
                <w:sz w:val="18"/>
                <w:szCs w:val="18"/>
              </w:rPr>
              <w:t xml:space="preserve">        28,903 </w:t>
            </w:r>
          </w:p>
        </w:tc>
        <w:tc>
          <w:tcPr>
            <w:tcW w:w="1024" w:type="dxa"/>
            <w:tcBorders>
              <w:top w:val="single" w:sz="4" w:space="0" w:color="auto"/>
              <w:left w:val="nil"/>
              <w:bottom w:val="single" w:sz="4" w:space="0" w:color="auto"/>
              <w:right w:val="nil"/>
            </w:tcBorders>
            <w:shd w:val="clear" w:color="auto" w:fill="auto"/>
            <w:vAlign w:val="bottom"/>
            <w:hideMark/>
          </w:tcPr>
          <w:p w14:paraId="195F75BB" w14:textId="77777777" w:rsidR="00B9311E" w:rsidRPr="00BD77D8" w:rsidRDefault="00B9311E" w:rsidP="00B9311E">
            <w:pPr>
              <w:spacing w:after="0" w:line="240" w:lineRule="auto"/>
              <w:jc w:val="right"/>
              <w:rPr>
                <w:b/>
                <w:bCs/>
                <w:sz w:val="18"/>
                <w:szCs w:val="18"/>
              </w:rPr>
            </w:pPr>
            <w:r w:rsidRPr="00BD77D8">
              <w:rPr>
                <w:b/>
                <w:bCs/>
                <w:sz w:val="18"/>
                <w:szCs w:val="18"/>
              </w:rPr>
              <w:t xml:space="preserve">      197,101 </w:t>
            </w:r>
          </w:p>
        </w:tc>
      </w:tr>
      <w:tr w:rsidR="00BD77D8" w:rsidRPr="00BD77D8" w14:paraId="22D5C4D8" w14:textId="77777777" w:rsidTr="003057FB">
        <w:trPr>
          <w:trHeight w:val="291"/>
        </w:trPr>
        <w:tc>
          <w:tcPr>
            <w:tcW w:w="4467" w:type="dxa"/>
            <w:tcBorders>
              <w:top w:val="nil"/>
              <w:left w:val="nil"/>
              <w:bottom w:val="nil"/>
              <w:right w:val="nil"/>
            </w:tcBorders>
            <w:shd w:val="clear" w:color="auto" w:fill="auto"/>
            <w:noWrap/>
            <w:vAlign w:val="bottom"/>
            <w:hideMark/>
          </w:tcPr>
          <w:p w14:paraId="38C7F0BE" w14:textId="77777777" w:rsidR="00B9311E" w:rsidRPr="00BD77D8" w:rsidRDefault="00B9311E" w:rsidP="00B9311E">
            <w:pPr>
              <w:spacing w:after="0" w:line="240" w:lineRule="auto"/>
              <w:rPr>
                <w:b/>
                <w:bCs/>
                <w:sz w:val="18"/>
                <w:szCs w:val="18"/>
              </w:rPr>
            </w:pPr>
            <w:r w:rsidRPr="00BD77D8">
              <w:rPr>
                <w:b/>
                <w:bCs/>
                <w:sz w:val="18"/>
                <w:szCs w:val="18"/>
              </w:rPr>
              <w:t xml:space="preserve"> Equity </w:t>
            </w:r>
          </w:p>
        </w:tc>
        <w:tc>
          <w:tcPr>
            <w:tcW w:w="1107" w:type="dxa"/>
            <w:tcBorders>
              <w:top w:val="nil"/>
              <w:left w:val="nil"/>
              <w:bottom w:val="nil"/>
              <w:right w:val="nil"/>
            </w:tcBorders>
            <w:shd w:val="clear" w:color="auto" w:fill="auto"/>
            <w:noWrap/>
            <w:vAlign w:val="bottom"/>
            <w:hideMark/>
          </w:tcPr>
          <w:p w14:paraId="696B7EAA" w14:textId="77777777" w:rsidR="00B9311E" w:rsidRPr="00BD77D8" w:rsidRDefault="00B9311E" w:rsidP="00B9311E">
            <w:pPr>
              <w:spacing w:after="0" w:line="240" w:lineRule="auto"/>
              <w:rPr>
                <w:b/>
                <w:bCs/>
                <w:sz w:val="18"/>
                <w:szCs w:val="18"/>
              </w:rPr>
            </w:pPr>
          </w:p>
        </w:tc>
        <w:tc>
          <w:tcPr>
            <w:tcW w:w="1372" w:type="dxa"/>
            <w:tcBorders>
              <w:top w:val="nil"/>
              <w:left w:val="nil"/>
              <w:bottom w:val="nil"/>
              <w:right w:val="nil"/>
            </w:tcBorders>
            <w:shd w:val="clear" w:color="auto" w:fill="auto"/>
            <w:vAlign w:val="bottom"/>
            <w:hideMark/>
          </w:tcPr>
          <w:p w14:paraId="5BE7313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7" w:type="dxa"/>
            <w:tcBorders>
              <w:top w:val="nil"/>
              <w:left w:val="nil"/>
              <w:bottom w:val="nil"/>
              <w:right w:val="nil"/>
            </w:tcBorders>
            <w:shd w:val="clear" w:color="auto" w:fill="auto"/>
            <w:vAlign w:val="bottom"/>
            <w:hideMark/>
          </w:tcPr>
          <w:p w14:paraId="4F574B84"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168" w:type="dxa"/>
            <w:tcBorders>
              <w:top w:val="nil"/>
              <w:left w:val="nil"/>
              <w:bottom w:val="nil"/>
              <w:right w:val="nil"/>
            </w:tcBorders>
            <w:shd w:val="clear" w:color="auto" w:fill="auto"/>
            <w:vAlign w:val="bottom"/>
            <w:hideMark/>
          </w:tcPr>
          <w:p w14:paraId="62F8E68F"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24" w:type="dxa"/>
            <w:tcBorders>
              <w:top w:val="nil"/>
              <w:left w:val="nil"/>
              <w:bottom w:val="nil"/>
              <w:right w:val="nil"/>
            </w:tcBorders>
            <w:shd w:val="clear" w:color="auto" w:fill="auto"/>
            <w:vAlign w:val="bottom"/>
            <w:hideMark/>
          </w:tcPr>
          <w:p w14:paraId="01B1F37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5D75340C" w14:textId="77777777" w:rsidTr="003057FB">
        <w:trPr>
          <w:trHeight w:val="291"/>
        </w:trPr>
        <w:tc>
          <w:tcPr>
            <w:tcW w:w="4467" w:type="dxa"/>
            <w:tcBorders>
              <w:top w:val="nil"/>
              <w:left w:val="nil"/>
              <w:bottom w:val="nil"/>
              <w:right w:val="nil"/>
            </w:tcBorders>
            <w:shd w:val="clear" w:color="auto" w:fill="auto"/>
            <w:noWrap/>
            <w:vAlign w:val="bottom"/>
            <w:hideMark/>
          </w:tcPr>
          <w:p w14:paraId="7DED572D"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Contributed equity </w:t>
            </w:r>
          </w:p>
        </w:tc>
        <w:tc>
          <w:tcPr>
            <w:tcW w:w="1107" w:type="dxa"/>
            <w:tcBorders>
              <w:top w:val="nil"/>
              <w:left w:val="nil"/>
              <w:bottom w:val="nil"/>
              <w:right w:val="nil"/>
            </w:tcBorders>
            <w:shd w:val="clear" w:color="auto" w:fill="auto"/>
            <w:noWrap/>
            <w:vAlign w:val="bottom"/>
            <w:hideMark/>
          </w:tcPr>
          <w:p w14:paraId="15365FD9"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6207BD1B" w14:textId="77777777" w:rsidR="00B9311E" w:rsidRPr="00BD77D8" w:rsidRDefault="00B9311E" w:rsidP="00B9311E">
            <w:pPr>
              <w:spacing w:after="0" w:line="240" w:lineRule="auto"/>
              <w:jc w:val="right"/>
              <w:rPr>
                <w:b/>
                <w:bCs/>
                <w:sz w:val="18"/>
                <w:szCs w:val="18"/>
              </w:rPr>
            </w:pPr>
            <w:r w:rsidRPr="00BD77D8">
              <w:rPr>
                <w:b/>
                <w:bCs/>
                <w:sz w:val="18"/>
                <w:szCs w:val="18"/>
              </w:rPr>
              <w:t xml:space="preserve">      174,972 </w:t>
            </w:r>
          </w:p>
        </w:tc>
        <w:tc>
          <w:tcPr>
            <w:tcW w:w="1287" w:type="dxa"/>
            <w:tcBorders>
              <w:top w:val="nil"/>
              <w:left w:val="nil"/>
              <w:bottom w:val="nil"/>
              <w:right w:val="nil"/>
            </w:tcBorders>
            <w:shd w:val="clear" w:color="auto" w:fill="auto"/>
            <w:vAlign w:val="bottom"/>
            <w:hideMark/>
          </w:tcPr>
          <w:p w14:paraId="5DEE944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68" w:type="dxa"/>
            <w:tcBorders>
              <w:top w:val="nil"/>
              <w:left w:val="nil"/>
              <w:bottom w:val="nil"/>
              <w:right w:val="nil"/>
            </w:tcBorders>
            <w:shd w:val="clear" w:color="auto" w:fill="auto"/>
            <w:vAlign w:val="bottom"/>
            <w:hideMark/>
          </w:tcPr>
          <w:p w14:paraId="24BADE4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4" w:type="dxa"/>
            <w:tcBorders>
              <w:top w:val="nil"/>
              <w:left w:val="nil"/>
              <w:bottom w:val="nil"/>
              <w:right w:val="nil"/>
            </w:tcBorders>
            <w:shd w:val="clear" w:color="auto" w:fill="auto"/>
            <w:vAlign w:val="bottom"/>
            <w:hideMark/>
          </w:tcPr>
          <w:p w14:paraId="2FEE2103" w14:textId="77777777" w:rsidR="00B9311E" w:rsidRPr="00BD77D8" w:rsidRDefault="00B9311E" w:rsidP="00B9311E">
            <w:pPr>
              <w:spacing w:after="0" w:line="240" w:lineRule="auto"/>
              <w:jc w:val="right"/>
              <w:rPr>
                <w:sz w:val="18"/>
                <w:szCs w:val="18"/>
              </w:rPr>
            </w:pPr>
            <w:r w:rsidRPr="00BD77D8">
              <w:rPr>
                <w:sz w:val="18"/>
                <w:szCs w:val="18"/>
              </w:rPr>
              <w:t xml:space="preserve">      174,080 </w:t>
            </w:r>
          </w:p>
        </w:tc>
      </w:tr>
      <w:tr w:rsidR="00BD77D8" w:rsidRPr="00BD77D8" w14:paraId="341F49C1" w14:textId="77777777" w:rsidTr="003057FB">
        <w:trPr>
          <w:trHeight w:val="291"/>
        </w:trPr>
        <w:tc>
          <w:tcPr>
            <w:tcW w:w="4467" w:type="dxa"/>
            <w:tcBorders>
              <w:top w:val="nil"/>
              <w:left w:val="nil"/>
              <w:bottom w:val="nil"/>
              <w:right w:val="nil"/>
            </w:tcBorders>
            <w:shd w:val="clear" w:color="auto" w:fill="auto"/>
            <w:noWrap/>
            <w:vAlign w:val="bottom"/>
            <w:hideMark/>
          </w:tcPr>
          <w:p w14:paraId="745AA6E5"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Asset revaluation surplus </w:t>
            </w:r>
          </w:p>
        </w:tc>
        <w:tc>
          <w:tcPr>
            <w:tcW w:w="1107" w:type="dxa"/>
            <w:tcBorders>
              <w:top w:val="nil"/>
              <w:left w:val="nil"/>
              <w:bottom w:val="nil"/>
              <w:right w:val="nil"/>
            </w:tcBorders>
            <w:shd w:val="clear" w:color="auto" w:fill="auto"/>
            <w:noWrap/>
            <w:vAlign w:val="bottom"/>
            <w:hideMark/>
          </w:tcPr>
          <w:p w14:paraId="54C186AB"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1F58221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7" w:type="dxa"/>
            <w:tcBorders>
              <w:top w:val="nil"/>
              <w:left w:val="nil"/>
              <w:bottom w:val="nil"/>
              <w:right w:val="nil"/>
            </w:tcBorders>
            <w:shd w:val="clear" w:color="auto" w:fill="auto"/>
            <w:vAlign w:val="bottom"/>
            <w:hideMark/>
          </w:tcPr>
          <w:p w14:paraId="1321A42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68" w:type="dxa"/>
            <w:tcBorders>
              <w:top w:val="nil"/>
              <w:left w:val="nil"/>
              <w:bottom w:val="nil"/>
              <w:right w:val="nil"/>
            </w:tcBorders>
            <w:shd w:val="clear" w:color="auto" w:fill="auto"/>
            <w:vAlign w:val="bottom"/>
            <w:hideMark/>
          </w:tcPr>
          <w:p w14:paraId="0CA2478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4" w:type="dxa"/>
            <w:tcBorders>
              <w:top w:val="nil"/>
              <w:left w:val="nil"/>
              <w:bottom w:val="nil"/>
              <w:right w:val="nil"/>
            </w:tcBorders>
            <w:shd w:val="clear" w:color="auto" w:fill="auto"/>
            <w:vAlign w:val="bottom"/>
            <w:hideMark/>
          </w:tcPr>
          <w:p w14:paraId="489FC397"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13A3529" w14:textId="77777777" w:rsidTr="003057FB">
        <w:trPr>
          <w:trHeight w:val="291"/>
        </w:trPr>
        <w:tc>
          <w:tcPr>
            <w:tcW w:w="4467" w:type="dxa"/>
            <w:tcBorders>
              <w:top w:val="nil"/>
              <w:left w:val="nil"/>
              <w:bottom w:val="nil"/>
              <w:right w:val="nil"/>
            </w:tcBorders>
            <w:shd w:val="clear" w:color="auto" w:fill="auto"/>
            <w:noWrap/>
            <w:vAlign w:val="bottom"/>
            <w:hideMark/>
          </w:tcPr>
          <w:p w14:paraId="2F5D390C"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Accumulated surplus (deficit) </w:t>
            </w:r>
          </w:p>
        </w:tc>
        <w:tc>
          <w:tcPr>
            <w:tcW w:w="1107" w:type="dxa"/>
            <w:tcBorders>
              <w:top w:val="nil"/>
              <w:left w:val="nil"/>
              <w:bottom w:val="nil"/>
              <w:right w:val="nil"/>
            </w:tcBorders>
            <w:shd w:val="clear" w:color="auto" w:fill="auto"/>
            <w:noWrap/>
            <w:vAlign w:val="bottom"/>
            <w:hideMark/>
          </w:tcPr>
          <w:p w14:paraId="26624339" w14:textId="77777777" w:rsidR="00B9311E" w:rsidRPr="00BD77D8" w:rsidRDefault="00B9311E" w:rsidP="00B9311E">
            <w:pPr>
              <w:spacing w:after="0" w:line="240" w:lineRule="auto"/>
              <w:ind w:firstLineChars="100" w:firstLine="180"/>
              <w:rPr>
                <w:sz w:val="18"/>
                <w:szCs w:val="18"/>
              </w:rPr>
            </w:pPr>
          </w:p>
        </w:tc>
        <w:tc>
          <w:tcPr>
            <w:tcW w:w="1372" w:type="dxa"/>
            <w:tcBorders>
              <w:top w:val="nil"/>
              <w:left w:val="nil"/>
              <w:bottom w:val="nil"/>
              <w:right w:val="nil"/>
            </w:tcBorders>
            <w:shd w:val="clear" w:color="auto" w:fill="auto"/>
            <w:vAlign w:val="bottom"/>
            <w:hideMark/>
          </w:tcPr>
          <w:p w14:paraId="22B9AE96" w14:textId="77777777" w:rsidR="00B9311E" w:rsidRPr="00BD77D8" w:rsidRDefault="00B9311E" w:rsidP="00B9311E">
            <w:pPr>
              <w:spacing w:after="0" w:line="240" w:lineRule="auto"/>
              <w:jc w:val="right"/>
              <w:rPr>
                <w:b/>
                <w:bCs/>
                <w:sz w:val="18"/>
                <w:szCs w:val="18"/>
              </w:rPr>
            </w:pPr>
            <w:r w:rsidRPr="00BD77D8">
              <w:rPr>
                <w:b/>
                <w:bCs/>
                <w:sz w:val="18"/>
                <w:szCs w:val="18"/>
              </w:rPr>
              <w:t xml:space="preserve">        54,211 </w:t>
            </w:r>
          </w:p>
        </w:tc>
        <w:tc>
          <w:tcPr>
            <w:tcW w:w="1287" w:type="dxa"/>
            <w:tcBorders>
              <w:top w:val="nil"/>
              <w:left w:val="nil"/>
              <w:bottom w:val="nil"/>
              <w:right w:val="nil"/>
            </w:tcBorders>
            <w:shd w:val="clear" w:color="auto" w:fill="auto"/>
            <w:vAlign w:val="bottom"/>
            <w:hideMark/>
          </w:tcPr>
          <w:p w14:paraId="486B71E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68" w:type="dxa"/>
            <w:tcBorders>
              <w:top w:val="nil"/>
              <w:left w:val="nil"/>
              <w:bottom w:val="nil"/>
              <w:right w:val="nil"/>
            </w:tcBorders>
            <w:shd w:val="clear" w:color="auto" w:fill="auto"/>
            <w:vAlign w:val="bottom"/>
            <w:hideMark/>
          </w:tcPr>
          <w:p w14:paraId="5CFD9AB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4" w:type="dxa"/>
            <w:tcBorders>
              <w:top w:val="nil"/>
              <w:left w:val="nil"/>
              <w:bottom w:val="nil"/>
              <w:right w:val="nil"/>
            </w:tcBorders>
            <w:shd w:val="clear" w:color="auto" w:fill="auto"/>
            <w:vAlign w:val="bottom"/>
            <w:hideMark/>
          </w:tcPr>
          <w:p w14:paraId="08251242" w14:textId="77777777" w:rsidR="00B9311E" w:rsidRPr="00BD77D8" w:rsidRDefault="00B9311E" w:rsidP="00B9311E">
            <w:pPr>
              <w:spacing w:after="0" w:line="240" w:lineRule="auto"/>
              <w:jc w:val="right"/>
              <w:rPr>
                <w:sz w:val="18"/>
                <w:szCs w:val="18"/>
              </w:rPr>
            </w:pPr>
            <w:r w:rsidRPr="00BD77D8">
              <w:rPr>
                <w:sz w:val="18"/>
                <w:szCs w:val="18"/>
              </w:rPr>
              <w:t xml:space="preserve">        23,021 </w:t>
            </w:r>
          </w:p>
        </w:tc>
      </w:tr>
      <w:tr w:rsidR="00BD77D8" w:rsidRPr="00BD77D8" w14:paraId="0604B79E" w14:textId="77777777" w:rsidTr="003057FB">
        <w:trPr>
          <w:trHeight w:val="307"/>
        </w:trPr>
        <w:tc>
          <w:tcPr>
            <w:tcW w:w="4467" w:type="dxa"/>
            <w:tcBorders>
              <w:top w:val="nil"/>
              <w:left w:val="nil"/>
              <w:bottom w:val="nil"/>
              <w:right w:val="nil"/>
            </w:tcBorders>
            <w:shd w:val="clear" w:color="auto" w:fill="auto"/>
            <w:noWrap/>
            <w:vAlign w:val="bottom"/>
            <w:hideMark/>
          </w:tcPr>
          <w:p w14:paraId="01162ECE" w14:textId="77777777" w:rsidR="00B9311E" w:rsidRPr="00BD77D8" w:rsidRDefault="00B9311E" w:rsidP="00B9311E">
            <w:pPr>
              <w:spacing w:after="0" w:line="240" w:lineRule="auto"/>
              <w:rPr>
                <w:b/>
                <w:bCs/>
                <w:sz w:val="18"/>
                <w:szCs w:val="18"/>
              </w:rPr>
            </w:pPr>
            <w:r w:rsidRPr="00BD77D8">
              <w:rPr>
                <w:b/>
                <w:bCs/>
                <w:sz w:val="18"/>
                <w:szCs w:val="18"/>
              </w:rPr>
              <w:t xml:space="preserve"> Total Equity </w:t>
            </w:r>
          </w:p>
        </w:tc>
        <w:tc>
          <w:tcPr>
            <w:tcW w:w="1107" w:type="dxa"/>
            <w:tcBorders>
              <w:top w:val="nil"/>
              <w:left w:val="nil"/>
              <w:bottom w:val="nil"/>
              <w:right w:val="nil"/>
            </w:tcBorders>
            <w:shd w:val="clear" w:color="auto" w:fill="auto"/>
            <w:noWrap/>
            <w:vAlign w:val="bottom"/>
            <w:hideMark/>
          </w:tcPr>
          <w:p w14:paraId="4B0E3E32" w14:textId="77777777" w:rsidR="00B9311E" w:rsidRPr="00BD77D8" w:rsidRDefault="00B9311E" w:rsidP="00B9311E">
            <w:pPr>
              <w:spacing w:after="0" w:line="240" w:lineRule="auto"/>
              <w:rPr>
                <w:b/>
                <w:bCs/>
                <w:sz w:val="18"/>
                <w:szCs w:val="18"/>
              </w:rPr>
            </w:pPr>
          </w:p>
        </w:tc>
        <w:tc>
          <w:tcPr>
            <w:tcW w:w="1372" w:type="dxa"/>
            <w:tcBorders>
              <w:top w:val="single" w:sz="4" w:space="0" w:color="auto"/>
              <w:left w:val="nil"/>
              <w:bottom w:val="single" w:sz="4" w:space="0" w:color="auto"/>
              <w:right w:val="nil"/>
            </w:tcBorders>
            <w:shd w:val="clear" w:color="auto" w:fill="auto"/>
            <w:vAlign w:val="bottom"/>
            <w:hideMark/>
          </w:tcPr>
          <w:p w14:paraId="7C74E831" w14:textId="77777777" w:rsidR="00B9311E" w:rsidRPr="00BD77D8" w:rsidRDefault="00B9311E" w:rsidP="00B9311E">
            <w:pPr>
              <w:spacing w:after="0" w:line="240" w:lineRule="auto"/>
              <w:jc w:val="right"/>
              <w:rPr>
                <w:b/>
                <w:bCs/>
                <w:sz w:val="18"/>
                <w:szCs w:val="18"/>
              </w:rPr>
            </w:pPr>
            <w:r w:rsidRPr="00BD77D8">
              <w:rPr>
                <w:b/>
                <w:bCs/>
                <w:sz w:val="18"/>
                <w:szCs w:val="18"/>
              </w:rPr>
              <w:t xml:space="preserve">      229,183 </w:t>
            </w:r>
          </w:p>
        </w:tc>
        <w:tc>
          <w:tcPr>
            <w:tcW w:w="1287" w:type="dxa"/>
            <w:tcBorders>
              <w:top w:val="single" w:sz="4" w:space="0" w:color="auto"/>
              <w:left w:val="nil"/>
              <w:bottom w:val="single" w:sz="4" w:space="0" w:color="auto"/>
              <w:right w:val="nil"/>
            </w:tcBorders>
            <w:shd w:val="clear" w:color="auto" w:fill="auto"/>
            <w:vAlign w:val="bottom"/>
            <w:hideMark/>
          </w:tcPr>
          <w:p w14:paraId="2BFC97EA"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168" w:type="dxa"/>
            <w:tcBorders>
              <w:top w:val="single" w:sz="4" w:space="0" w:color="auto"/>
              <w:left w:val="nil"/>
              <w:bottom w:val="single" w:sz="4" w:space="0" w:color="auto"/>
              <w:right w:val="nil"/>
            </w:tcBorders>
            <w:shd w:val="clear" w:color="auto" w:fill="auto"/>
            <w:vAlign w:val="bottom"/>
            <w:hideMark/>
          </w:tcPr>
          <w:p w14:paraId="145CA615"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024" w:type="dxa"/>
            <w:tcBorders>
              <w:top w:val="single" w:sz="4" w:space="0" w:color="auto"/>
              <w:left w:val="nil"/>
              <w:bottom w:val="single" w:sz="4" w:space="0" w:color="auto"/>
              <w:right w:val="nil"/>
            </w:tcBorders>
            <w:shd w:val="clear" w:color="auto" w:fill="auto"/>
            <w:vAlign w:val="bottom"/>
            <w:hideMark/>
          </w:tcPr>
          <w:p w14:paraId="415C1E57" w14:textId="77777777" w:rsidR="00B9311E" w:rsidRPr="00BD77D8" w:rsidRDefault="00B9311E" w:rsidP="00B9311E">
            <w:pPr>
              <w:spacing w:after="0" w:line="240" w:lineRule="auto"/>
              <w:jc w:val="right"/>
              <w:rPr>
                <w:b/>
                <w:bCs/>
                <w:sz w:val="18"/>
                <w:szCs w:val="18"/>
              </w:rPr>
            </w:pPr>
            <w:r w:rsidRPr="00BD77D8">
              <w:rPr>
                <w:b/>
                <w:bCs/>
                <w:sz w:val="18"/>
                <w:szCs w:val="18"/>
              </w:rPr>
              <w:t xml:space="preserve">      197,101 </w:t>
            </w:r>
          </w:p>
        </w:tc>
      </w:tr>
    </w:tbl>
    <w:bookmarkEnd w:id="371"/>
    <w:p w14:paraId="18E76F68" w14:textId="77777777" w:rsidR="00B9311E" w:rsidRPr="00BD77D8" w:rsidRDefault="00B9311E" w:rsidP="00587E62">
      <w:pPr>
        <w:tabs>
          <w:tab w:val="left" w:pos="360"/>
        </w:tabs>
        <w:spacing w:before="240" w:after="0" w:line="195" w:lineRule="exact"/>
        <w:textAlignment w:val="baseline"/>
        <w:rPr>
          <w:rFonts w:eastAsia="Arial"/>
          <w:b/>
          <w:bCs/>
          <w:sz w:val="16"/>
          <w:szCs w:val="16"/>
          <w:lang w:eastAsia="en-US"/>
        </w:rPr>
      </w:pPr>
      <w:r w:rsidRPr="00BD77D8">
        <w:rPr>
          <w:rFonts w:eastAsia="Arial"/>
          <w:sz w:val="16"/>
          <w:szCs w:val="16"/>
          <w:lang w:eastAsia="en-US"/>
        </w:rPr>
        <w:t>*An explanation of major variances is included at Note E1-1.</w:t>
      </w:r>
    </w:p>
    <w:p w14:paraId="650448D1" w14:textId="674025AA" w:rsidR="00B9311E" w:rsidRPr="00BD77D8" w:rsidRDefault="00B9311E" w:rsidP="00B9311E">
      <w:pPr>
        <w:tabs>
          <w:tab w:val="left" w:pos="360"/>
        </w:tabs>
        <w:spacing w:after="0" w:line="195" w:lineRule="exact"/>
        <w:textAlignment w:val="baseline"/>
        <w:rPr>
          <w:rFonts w:eastAsia="Arial"/>
          <w:b/>
          <w:bCs/>
          <w:sz w:val="18"/>
          <w:szCs w:val="18"/>
          <w:lang w:eastAsia="en-US"/>
        </w:rPr>
      </w:pPr>
      <w:r w:rsidRPr="00BD77D8">
        <w:rPr>
          <w:rFonts w:eastAsia="Arial"/>
          <w:sz w:val="16"/>
          <w:szCs w:val="16"/>
          <w:lang w:eastAsia="en-US"/>
        </w:rPr>
        <w:t>^These figures represent budgeted figures as published in the 2021-22 Service Delivery Statement tabled in Parliament.</w:t>
      </w:r>
    </w:p>
    <w:p w14:paraId="170B0011" w14:textId="08C1AC50" w:rsidR="00B9311E" w:rsidRPr="00BD77D8" w:rsidRDefault="00B9311E" w:rsidP="00DF4756">
      <w:pPr>
        <w:tabs>
          <w:tab w:val="left" w:pos="360"/>
        </w:tabs>
        <w:spacing w:before="2640" w:after="0" w:line="195" w:lineRule="exact"/>
        <w:textAlignment w:val="baseline"/>
        <w:rPr>
          <w:rFonts w:eastAsia="Arial"/>
          <w:iCs/>
          <w:spacing w:val="-3"/>
          <w:sz w:val="16"/>
          <w:szCs w:val="16"/>
          <w:lang w:eastAsia="en-US"/>
        </w:rPr>
      </w:pPr>
      <w:r w:rsidRPr="00BD77D8">
        <w:rPr>
          <w:rFonts w:eastAsia="Arial"/>
          <w:iCs/>
          <w:spacing w:val="-3"/>
          <w:sz w:val="16"/>
          <w:szCs w:val="16"/>
          <w:lang w:eastAsia="en-US"/>
        </w:rPr>
        <w:t>The accompanying notes form part of these financial statements.</w:t>
      </w:r>
    </w:p>
    <w:p w14:paraId="4FF46CB6" w14:textId="7F6EA41B" w:rsidR="00702AE3" w:rsidRPr="00BD77D8" w:rsidRDefault="00702AE3" w:rsidP="00DF4756">
      <w:pPr>
        <w:tabs>
          <w:tab w:val="left" w:pos="360"/>
        </w:tabs>
        <w:spacing w:before="960" w:after="0" w:line="195" w:lineRule="exact"/>
        <w:textAlignment w:val="baseline"/>
        <w:rPr>
          <w:rFonts w:eastAsia="Arial"/>
          <w:b/>
          <w:bCs/>
          <w:iCs/>
          <w:spacing w:val="-3"/>
          <w:sz w:val="16"/>
          <w:szCs w:val="16"/>
          <w:lang w:eastAsia="en-US"/>
        </w:rPr>
      </w:pP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t>Page 6 of 45</w:t>
      </w:r>
    </w:p>
    <w:p w14:paraId="3476C08F" w14:textId="77777777" w:rsidR="00B9311E" w:rsidRPr="00BD77D8" w:rsidRDefault="00B9311E" w:rsidP="00B9311E">
      <w:pPr>
        <w:spacing w:after="0" w:line="205" w:lineRule="exact"/>
        <w:rPr>
          <w:rFonts w:eastAsia="PMingLiU"/>
          <w:b/>
          <w:bCs/>
          <w:iCs/>
          <w:sz w:val="16"/>
          <w:szCs w:val="16"/>
          <w:lang w:eastAsia="en-US"/>
        </w:rPr>
      </w:pPr>
    </w:p>
    <w:p w14:paraId="1C0E4832" w14:textId="10F14ED1" w:rsidR="00702AE3" w:rsidRPr="00BD77D8" w:rsidRDefault="00702AE3" w:rsidP="00B9311E">
      <w:pPr>
        <w:spacing w:after="0" w:line="205" w:lineRule="exact"/>
        <w:rPr>
          <w:rFonts w:eastAsia="PMingLiU"/>
          <w:b/>
          <w:bCs/>
          <w:iCs/>
          <w:sz w:val="16"/>
          <w:szCs w:val="16"/>
          <w:lang w:eastAsia="en-US"/>
        </w:rPr>
        <w:sectPr w:rsidR="00702AE3" w:rsidRPr="00BD77D8" w:rsidSect="00457437">
          <w:pgSz w:w="11909" w:h="16838"/>
          <w:pgMar w:top="720" w:right="720" w:bottom="720" w:left="720" w:header="720" w:footer="720" w:gutter="0"/>
          <w:cols w:space="720"/>
          <w:docGrid w:linePitch="245"/>
        </w:sectPr>
      </w:pPr>
    </w:p>
    <w:p w14:paraId="6AF46C98" w14:textId="77777777" w:rsidR="00B9311E" w:rsidRPr="00BD77D8" w:rsidRDefault="00B9311E" w:rsidP="00B9311E">
      <w:pPr>
        <w:tabs>
          <w:tab w:val="left" w:pos="0"/>
        </w:tabs>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3DF6F988" w14:textId="77777777" w:rsidR="00B9311E" w:rsidRPr="00BD77D8" w:rsidRDefault="00B9311E" w:rsidP="00F70507">
      <w:pPr>
        <w:tabs>
          <w:tab w:val="left" w:pos="0"/>
        </w:tabs>
        <w:spacing w:after="0" w:line="199" w:lineRule="exact"/>
        <w:textAlignment w:val="baseline"/>
        <w:rPr>
          <w:rFonts w:eastAsia="Arial"/>
          <w:b/>
          <w:bCs/>
          <w:sz w:val="18"/>
          <w:szCs w:val="18"/>
          <w:lang w:eastAsia="en-US"/>
        </w:rPr>
      </w:pPr>
      <w:bookmarkStart w:id="374" w:name="_Toc111494795"/>
      <w:bookmarkStart w:id="375" w:name="_Toc111540667"/>
      <w:bookmarkStart w:id="376" w:name="_Toc111559230"/>
      <w:bookmarkStart w:id="377" w:name="_Toc113196502"/>
      <w:bookmarkStart w:id="378" w:name="_Toc113196850"/>
      <w:bookmarkStart w:id="379" w:name="_Toc113261980"/>
      <w:r w:rsidRPr="00BD77D8">
        <w:rPr>
          <w:rFonts w:eastAsia="Arial"/>
          <w:b/>
          <w:bCs/>
          <w:sz w:val="18"/>
          <w:szCs w:val="18"/>
          <w:lang w:eastAsia="en-US"/>
        </w:rPr>
        <w:t>Statement of Assets and Liabilities by Major Departmental Services - Controlled</w:t>
      </w:r>
      <w:bookmarkEnd w:id="374"/>
      <w:bookmarkEnd w:id="375"/>
      <w:bookmarkEnd w:id="376"/>
      <w:bookmarkEnd w:id="377"/>
      <w:bookmarkEnd w:id="378"/>
      <w:bookmarkEnd w:id="379"/>
    </w:p>
    <w:p w14:paraId="46CFA90D" w14:textId="77777777" w:rsidR="00B9311E" w:rsidRPr="00BD77D8" w:rsidRDefault="00B9311E" w:rsidP="00B9311E">
      <w:pPr>
        <w:tabs>
          <w:tab w:val="left" w:pos="0"/>
        </w:tabs>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7953EFA" w14:textId="77777777" w:rsidR="00B9311E" w:rsidRPr="00BD77D8" w:rsidRDefault="00B9311E" w:rsidP="00B9311E">
      <w:pPr>
        <w:pBdr>
          <w:bottom w:val="single" w:sz="4" w:space="1" w:color="auto"/>
        </w:pBdr>
        <w:tabs>
          <w:tab w:val="left" w:pos="0"/>
        </w:tabs>
        <w:spacing w:after="0" w:line="205" w:lineRule="exact"/>
        <w:textAlignment w:val="baseline"/>
        <w:rPr>
          <w:rFonts w:eastAsia="Arial"/>
          <w:sz w:val="18"/>
          <w:szCs w:val="18"/>
          <w:lang w:eastAsia="en-US"/>
        </w:rPr>
      </w:pPr>
    </w:p>
    <w:p w14:paraId="239DBBD6" w14:textId="77777777" w:rsidR="00B9311E" w:rsidRPr="00BD77D8" w:rsidRDefault="00B9311E" w:rsidP="00B9311E">
      <w:pPr>
        <w:tabs>
          <w:tab w:val="left" w:pos="0"/>
          <w:tab w:val="left" w:pos="288"/>
        </w:tabs>
        <w:spacing w:after="0" w:line="192" w:lineRule="exact"/>
        <w:textAlignment w:val="baseline"/>
        <w:rPr>
          <w:rFonts w:eastAsia="PMingLiU"/>
          <w:sz w:val="18"/>
          <w:szCs w:val="22"/>
          <w:lang w:val="en-US" w:eastAsia="en-US"/>
        </w:rPr>
      </w:pPr>
    </w:p>
    <w:tbl>
      <w:tblPr>
        <w:tblW w:w="0" w:type="auto"/>
        <w:tblCellMar>
          <w:left w:w="0" w:type="dxa"/>
          <w:right w:w="0" w:type="dxa"/>
        </w:tblCellMar>
        <w:tblLook w:val="04A0" w:firstRow="1" w:lastRow="0" w:firstColumn="1" w:lastColumn="0" w:noHBand="0" w:noVBand="1"/>
      </w:tblPr>
      <w:tblGrid>
        <w:gridCol w:w="3625"/>
        <w:gridCol w:w="917"/>
        <w:gridCol w:w="985"/>
        <w:gridCol w:w="997"/>
        <w:gridCol w:w="1003"/>
        <w:gridCol w:w="1136"/>
        <w:gridCol w:w="1115"/>
        <w:gridCol w:w="1158"/>
        <w:gridCol w:w="1158"/>
        <w:gridCol w:w="1285"/>
        <w:gridCol w:w="1065"/>
        <w:gridCol w:w="920"/>
      </w:tblGrid>
      <w:tr w:rsidR="00BD77D8" w:rsidRPr="00BD77D8" w14:paraId="126635E5" w14:textId="77777777" w:rsidTr="003057FB">
        <w:trPr>
          <w:trHeight w:val="720"/>
        </w:trPr>
        <w:tc>
          <w:tcPr>
            <w:tcW w:w="3655" w:type="dxa"/>
            <w:tcBorders>
              <w:top w:val="nil"/>
              <w:left w:val="nil"/>
              <w:bottom w:val="nil"/>
              <w:right w:val="nil"/>
            </w:tcBorders>
            <w:shd w:val="clear" w:color="000000" w:fill="FFFFFF"/>
            <w:noWrap/>
            <w:vAlign w:val="bottom"/>
            <w:hideMark/>
          </w:tcPr>
          <w:p w14:paraId="753BD15D" w14:textId="77777777" w:rsidR="00B9311E" w:rsidRPr="00BD77D8" w:rsidRDefault="00B9311E" w:rsidP="00B9311E">
            <w:pPr>
              <w:spacing w:after="0" w:line="240" w:lineRule="auto"/>
              <w:rPr>
                <w:sz w:val="17"/>
                <w:szCs w:val="17"/>
              </w:rPr>
            </w:pPr>
            <w:r w:rsidRPr="00BD77D8">
              <w:rPr>
                <w:sz w:val="17"/>
                <w:szCs w:val="17"/>
              </w:rPr>
              <w:t> </w:t>
            </w:r>
          </w:p>
        </w:tc>
        <w:tc>
          <w:tcPr>
            <w:tcW w:w="913" w:type="dxa"/>
            <w:tcBorders>
              <w:top w:val="nil"/>
              <w:left w:val="nil"/>
              <w:bottom w:val="nil"/>
              <w:right w:val="nil"/>
            </w:tcBorders>
            <w:shd w:val="clear" w:color="auto" w:fill="auto"/>
            <w:vAlign w:val="center"/>
            <w:hideMark/>
          </w:tcPr>
          <w:p w14:paraId="12DBC7B6" w14:textId="77777777" w:rsidR="00B9311E" w:rsidRPr="00BD77D8" w:rsidRDefault="00B9311E" w:rsidP="00B9311E">
            <w:pPr>
              <w:spacing w:after="0" w:line="240" w:lineRule="auto"/>
              <w:jc w:val="right"/>
              <w:rPr>
                <w:b/>
                <w:bCs/>
                <w:sz w:val="17"/>
                <w:szCs w:val="17"/>
              </w:rPr>
            </w:pPr>
            <w:r w:rsidRPr="00BD77D8">
              <w:rPr>
                <w:b/>
                <w:bCs/>
                <w:sz w:val="17"/>
                <w:szCs w:val="17"/>
              </w:rPr>
              <w:t xml:space="preserve"> Disability Services </w:t>
            </w:r>
          </w:p>
        </w:tc>
        <w:tc>
          <w:tcPr>
            <w:tcW w:w="982" w:type="dxa"/>
            <w:tcBorders>
              <w:top w:val="nil"/>
              <w:left w:val="nil"/>
              <w:bottom w:val="nil"/>
              <w:right w:val="nil"/>
            </w:tcBorders>
            <w:shd w:val="clear" w:color="auto" w:fill="auto"/>
            <w:vAlign w:val="center"/>
            <w:hideMark/>
          </w:tcPr>
          <w:p w14:paraId="14894C63" w14:textId="77777777" w:rsidR="00B9311E" w:rsidRPr="00BD77D8" w:rsidRDefault="00B9311E" w:rsidP="00B9311E">
            <w:pPr>
              <w:spacing w:after="0" w:line="240" w:lineRule="auto"/>
              <w:jc w:val="right"/>
              <w:rPr>
                <w:b/>
                <w:bCs/>
                <w:sz w:val="17"/>
                <w:szCs w:val="17"/>
              </w:rPr>
            </w:pPr>
            <w:r w:rsidRPr="00BD77D8">
              <w:rPr>
                <w:b/>
                <w:bCs/>
                <w:sz w:val="17"/>
                <w:szCs w:val="17"/>
              </w:rPr>
              <w:t xml:space="preserve"> Disability Services </w:t>
            </w:r>
          </w:p>
        </w:tc>
        <w:tc>
          <w:tcPr>
            <w:tcW w:w="993" w:type="dxa"/>
            <w:tcBorders>
              <w:top w:val="nil"/>
              <w:left w:val="nil"/>
              <w:bottom w:val="nil"/>
              <w:right w:val="nil"/>
            </w:tcBorders>
            <w:shd w:val="clear" w:color="auto" w:fill="auto"/>
            <w:vAlign w:val="center"/>
            <w:hideMark/>
          </w:tcPr>
          <w:p w14:paraId="72443F70" w14:textId="77777777" w:rsidR="00B9311E" w:rsidRPr="00BD77D8" w:rsidRDefault="00B9311E" w:rsidP="00B9311E">
            <w:pPr>
              <w:spacing w:after="0" w:line="240" w:lineRule="auto"/>
              <w:jc w:val="right"/>
              <w:rPr>
                <w:b/>
                <w:bCs/>
                <w:sz w:val="17"/>
                <w:szCs w:val="17"/>
              </w:rPr>
            </w:pPr>
            <w:r w:rsidRPr="00BD77D8">
              <w:rPr>
                <w:b/>
                <w:bCs/>
                <w:sz w:val="17"/>
                <w:szCs w:val="17"/>
              </w:rPr>
              <w:t xml:space="preserve"> Seniors Services </w:t>
            </w:r>
          </w:p>
        </w:tc>
        <w:tc>
          <w:tcPr>
            <w:tcW w:w="1000" w:type="dxa"/>
            <w:tcBorders>
              <w:top w:val="nil"/>
              <w:left w:val="nil"/>
              <w:bottom w:val="nil"/>
              <w:right w:val="nil"/>
            </w:tcBorders>
            <w:shd w:val="clear" w:color="auto" w:fill="auto"/>
            <w:vAlign w:val="center"/>
            <w:hideMark/>
          </w:tcPr>
          <w:p w14:paraId="3F42A4D9" w14:textId="77777777" w:rsidR="00B9311E" w:rsidRPr="00BD77D8" w:rsidRDefault="00B9311E" w:rsidP="00B9311E">
            <w:pPr>
              <w:spacing w:after="0" w:line="240" w:lineRule="auto"/>
              <w:jc w:val="right"/>
              <w:rPr>
                <w:b/>
                <w:bCs/>
                <w:sz w:val="17"/>
                <w:szCs w:val="17"/>
              </w:rPr>
            </w:pPr>
            <w:r w:rsidRPr="00BD77D8">
              <w:rPr>
                <w:b/>
                <w:bCs/>
                <w:sz w:val="17"/>
                <w:szCs w:val="17"/>
              </w:rPr>
              <w:t xml:space="preserve"> Seniors Services </w:t>
            </w:r>
          </w:p>
        </w:tc>
        <w:tc>
          <w:tcPr>
            <w:tcW w:w="1134" w:type="dxa"/>
            <w:tcBorders>
              <w:top w:val="nil"/>
              <w:left w:val="nil"/>
              <w:bottom w:val="nil"/>
              <w:right w:val="nil"/>
            </w:tcBorders>
            <w:shd w:val="clear" w:color="auto" w:fill="auto"/>
            <w:vAlign w:val="center"/>
            <w:hideMark/>
          </w:tcPr>
          <w:p w14:paraId="7ABAE7BA" w14:textId="77777777" w:rsidR="00B9311E" w:rsidRPr="00BD77D8" w:rsidRDefault="00B9311E" w:rsidP="00B9311E">
            <w:pPr>
              <w:spacing w:after="0" w:line="240" w:lineRule="auto"/>
              <w:jc w:val="right"/>
              <w:rPr>
                <w:b/>
                <w:bCs/>
                <w:sz w:val="17"/>
                <w:szCs w:val="17"/>
              </w:rPr>
            </w:pPr>
            <w:r w:rsidRPr="00BD77D8">
              <w:rPr>
                <w:b/>
                <w:bCs/>
                <w:sz w:val="17"/>
                <w:szCs w:val="17"/>
              </w:rPr>
              <w:t xml:space="preserve"> Community Services^ </w:t>
            </w:r>
          </w:p>
        </w:tc>
        <w:tc>
          <w:tcPr>
            <w:tcW w:w="1113" w:type="dxa"/>
            <w:tcBorders>
              <w:top w:val="nil"/>
              <w:left w:val="nil"/>
              <w:bottom w:val="nil"/>
              <w:right w:val="nil"/>
            </w:tcBorders>
            <w:shd w:val="clear" w:color="auto" w:fill="auto"/>
            <w:vAlign w:val="center"/>
            <w:hideMark/>
          </w:tcPr>
          <w:p w14:paraId="6F58D509" w14:textId="77777777" w:rsidR="00B9311E" w:rsidRPr="00BD77D8" w:rsidRDefault="00B9311E" w:rsidP="00B9311E">
            <w:pPr>
              <w:spacing w:after="0" w:line="240" w:lineRule="auto"/>
              <w:jc w:val="right"/>
              <w:rPr>
                <w:b/>
                <w:bCs/>
                <w:sz w:val="17"/>
                <w:szCs w:val="17"/>
              </w:rPr>
            </w:pPr>
            <w:r w:rsidRPr="00BD77D8">
              <w:rPr>
                <w:b/>
                <w:bCs/>
                <w:sz w:val="17"/>
                <w:szCs w:val="17"/>
              </w:rPr>
              <w:t xml:space="preserve"> Economic Participation Services  </w:t>
            </w:r>
          </w:p>
        </w:tc>
        <w:tc>
          <w:tcPr>
            <w:tcW w:w="1156" w:type="dxa"/>
            <w:tcBorders>
              <w:top w:val="nil"/>
              <w:left w:val="nil"/>
              <w:bottom w:val="nil"/>
              <w:right w:val="nil"/>
            </w:tcBorders>
            <w:shd w:val="clear" w:color="auto" w:fill="auto"/>
            <w:vAlign w:val="center"/>
            <w:hideMark/>
          </w:tcPr>
          <w:p w14:paraId="3DF1ADE2" w14:textId="77777777" w:rsidR="00B9311E" w:rsidRPr="00BD77D8" w:rsidRDefault="00B9311E" w:rsidP="00B9311E">
            <w:pPr>
              <w:spacing w:after="0" w:line="240" w:lineRule="auto"/>
              <w:jc w:val="right"/>
              <w:rPr>
                <w:b/>
                <w:bCs/>
                <w:sz w:val="17"/>
                <w:szCs w:val="17"/>
              </w:rPr>
            </w:pPr>
            <w:r w:rsidRPr="00BD77D8">
              <w:rPr>
                <w:b/>
                <w:bCs/>
                <w:sz w:val="17"/>
                <w:szCs w:val="17"/>
              </w:rPr>
              <w:t xml:space="preserve"> Economic Participation Services * </w:t>
            </w:r>
          </w:p>
        </w:tc>
        <w:tc>
          <w:tcPr>
            <w:tcW w:w="1156" w:type="dxa"/>
            <w:tcBorders>
              <w:top w:val="nil"/>
              <w:left w:val="nil"/>
              <w:bottom w:val="nil"/>
              <w:right w:val="nil"/>
            </w:tcBorders>
            <w:shd w:val="clear" w:color="auto" w:fill="auto"/>
            <w:vAlign w:val="center"/>
            <w:hideMark/>
          </w:tcPr>
          <w:p w14:paraId="7BA89B6D" w14:textId="77777777" w:rsidR="00B9311E" w:rsidRPr="00BD77D8" w:rsidRDefault="00B9311E" w:rsidP="00B9311E">
            <w:pPr>
              <w:spacing w:after="0" w:line="240" w:lineRule="auto"/>
              <w:jc w:val="right"/>
              <w:rPr>
                <w:b/>
                <w:bCs/>
                <w:sz w:val="17"/>
                <w:szCs w:val="17"/>
              </w:rPr>
            </w:pPr>
            <w:r w:rsidRPr="00BD77D8">
              <w:rPr>
                <w:b/>
                <w:bCs/>
                <w:sz w:val="17"/>
                <w:szCs w:val="17"/>
              </w:rPr>
              <w:t xml:space="preserve"> Community Participation Services  </w:t>
            </w:r>
          </w:p>
        </w:tc>
        <w:tc>
          <w:tcPr>
            <w:tcW w:w="1285" w:type="dxa"/>
            <w:tcBorders>
              <w:top w:val="nil"/>
              <w:left w:val="nil"/>
              <w:bottom w:val="nil"/>
              <w:right w:val="nil"/>
            </w:tcBorders>
            <w:shd w:val="clear" w:color="auto" w:fill="auto"/>
            <w:vAlign w:val="center"/>
            <w:hideMark/>
          </w:tcPr>
          <w:p w14:paraId="0E5FAD1F" w14:textId="77777777" w:rsidR="00B9311E" w:rsidRPr="00BD77D8" w:rsidRDefault="00B9311E" w:rsidP="00B9311E">
            <w:pPr>
              <w:spacing w:after="0" w:line="240" w:lineRule="auto"/>
              <w:jc w:val="right"/>
              <w:rPr>
                <w:b/>
                <w:bCs/>
                <w:sz w:val="17"/>
                <w:szCs w:val="17"/>
              </w:rPr>
            </w:pPr>
            <w:r w:rsidRPr="00BD77D8">
              <w:rPr>
                <w:b/>
                <w:bCs/>
                <w:sz w:val="17"/>
                <w:szCs w:val="17"/>
              </w:rPr>
              <w:t xml:space="preserve"> Community Participation Services * </w:t>
            </w:r>
          </w:p>
        </w:tc>
        <w:tc>
          <w:tcPr>
            <w:tcW w:w="1062" w:type="dxa"/>
            <w:tcBorders>
              <w:top w:val="nil"/>
              <w:left w:val="nil"/>
              <w:bottom w:val="nil"/>
              <w:right w:val="nil"/>
            </w:tcBorders>
            <w:shd w:val="clear" w:color="auto" w:fill="auto"/>
            <w:noWrap/>
            <w:vAlign w:val="center"/>
            <w:hideMark/>
          </w:tcPr>
          <w:p w14:paraId="07812FF1" w14:textId="77777777" w:rsidR="00B9311E" w:rsidRPr="00BD77D8" w:rsidRDefault="00B9311E" w:rsidP="00B9311E">
            <w:pPr>
              <w:spacing w:after="0" w:line="240" w:lineRule="auto"/>
              <w:jc w:val="right"/>
              <w:rPr>
                <w:b/>
                <w:bCs/>
                <w:sz w:val="17"/>
                <w:szCs w:val="17"/>
              </w:rPr>
            </w:pPr>
            <w:r w:rsidRPr="00BD77D8">
              <w:rPr>
                <w:b/>
                <w:bCs/>
                <w:sz w:val="17"/>
                <w:szCs w:val="17"/>
              </w:rPr>
              <w:t xml:space="preserve"> Total </w:t>
            </w:r>
          </w:p>
        </w:tc>
        <w:tc>
          <w:tcPr>
            <w:tcW w:w="915" w:type="dxa"/>
            <w:tcBorders>
              <w:top w:val="nil"/>
              <w:left w:val="nil"/>
              <w:bottom w:val="nil"/>
              <w:right w:val="nil"/>
            </w:tcBorders>
            <w:shd w:val="clear" w:color="auto" w:fill="auto"/>
            <w:vAlign w:val="center"/>
            <w:hideMark/>
          </w:tcPr>
          <w:p w14:paraId="0218F471" w14:textId="77777777" w:rsidR="00B9311E" w:rsidRPr="00BD77D8" w:rsidRDefault="00B9311E" w:rsidP="00B9311E">
            <w:pPr>
              <w:spacing w:after="0" w:line="240" w:lineRule="auto"/>
              <w:jc w:val="right"/>
              <w:rPr>
                <w:b/>
                <w:bCs/>
                <w:sz w:val="17"/>
                <w:szCs w:val="17"/>
              </w:rPr>
            </w:pPr>
            <w:r w:rsidRPr="00BD77D8">
              <w:rPr>
                <w:b/>
                <w:bCs/>
                <w:sz w:val="17"/>
                <w:szCs w:val="17"/>
              </w:rPr>
              <w:t xml:space="preserve"> Total </w:t>
            </w:r>
          </w:p>
        </w:tc>
      </w:tr>
      <w:tr w:rsidR="00BD77D8" w:rsidRPr="00BD77D8" w14:paraId="40E779C7" w14:textId="77777777" w:rsidTr="003057FB">
        <w:trPr>
          <w:trHeight w:val="240"/>
        </w:trPr>
        <w:tc>
          <w:tcPr>
            <w:tcW w:w="3655" w:type="dxa"/>
            <w:tcBorders>
              <w:top w:val="nil"/>
              <w:left w:val="nil"/>
              <w:bottom w:val="nil"/>
              <w:right w:val="nil"/>
            </w:tcBorders>
            <w:shd w:val="clear" w:color="000000" w:fill="FFFFFF"/>
            <w:noWrap/>
            <w:vAlign w:val="bottom"/>
            <w:hideMark/>
          </w:tcPr>
          <w:p w14:paraId="762E576D" w14:textId="77777777" w:rsidR="00B9311E" w:rsidRPr="00BD77D8" w:rsidRDefault="00B9311E" w:rsidP="00B9311E">
            <w:pPr>
              <w:spacing w:after="0" w:line="240" w:lineRule="auto"/>
              <w:rPr>
                <w:sz w:val="17"/>
                <w:szCs w:val="17"/>
              </w:rPr>
            </w:pPr>
            <w:r w:rsidRPr="00BD77D8">
              <w:rPr>
                <w:sz w:val="17"/>
                <w:szCs w:val="17"/>
              </w:rPr>
              <w:t> </w:t>
            </w:r>
          </w:p>
        </w:tc>
        <w:tc>
          <w:tcPr>
            <w:tcW w:w="913" w:type="dxa"/>
            <w:tcBorders>
              <w:top w:val="nil"/>
              <w:left w:val="nil"/>
              <w:bottom w:val="nil"/>
              <w:right w:val="nil"/>
            </w:tcBorders>
            <w:shd w:val="clear" w:color="auto" w:fill="auto"/>
            <w:noWrap/>
            <w:vAlign w:val="bottom"/>
            <w:hideMark/>
          </w:tcPr>
          <w:p w14:paraId="6ADCDB25"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982" w:type="dxa"/>
            <w:tcBorders>
              <w:top w:val="nil"/>
              <w:left w:val="nil"/>
              <w:bottom w:val="nil"/>
              <w:right w:val="nil"/>
            </w:tcBorders>
            <w:shd w:val="clear" w:color="auto" w:fill="auto"/>
            <w:noWrap/>
            <w:vAlign w:val="bottom"/>
            <w:hideMark/>
          </w:tcPr>
          <w:p w14:paraId="35CFFFAC"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993" w:type="dxa"/>
            <w:tcBorders>
              <w:top w:val="nil"/>
              <w:left w:val="nil"/>
              <w:bottom w:val="nil"/>
              <w:right w:val="nil"/>
            </w:tcBorders>
            <w:shd w:val="clear" w:color="auto" w:fill="auto"/>
            <w:noWrap/>
            <w:vAlign w:val="bottom"/>
            <w:hideMark/>
          </w:tcPr>
          <w:p w14:paraId="07902C40"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1000" w:type="dxa"/>
            <w:tcBorders>
              <w:top w:val="nil"/>
              <w:left w:val="nil"/>
              <w:bottom w:val="nil"/>
              <w:right w:val="nil"/>
            </w:tcBorders>
            <w:shd w:val="clear" w:color="auto" w:fill="auto"/>
            <w:noWrap/>
            <w:vAlign w:val="bottom"/>
            <w:hideMark/>
          </w:tcPr>
          <w:p w14:paraId="40FE40A8"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1134" w:type="dxa"/>
            <w:tcBorders>
              <w:top w:val="nil"/>
              <w:left w:val="nil"/>
              <w:bottom w:val="nil"/>
              <w:right w:val="nil"/>
            </w:tcBorders>
            <w:shd w:val="clear" w:color="auto" w:fill="auto"/>
            <w:noWrap/>
            <w:vAlign w:val="bottom"/>
            <w:hideMark/>
          </w:tcPr>
          <w:p w14:paraId="750349B7"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1113" w:type="dxa"/>
            <w:tcBorders>
              <w:top w:val="nil"/>
              <w:left w:val="nil"/>
              <w:bottom w:val="nil"/>
              <w:right w:val="nil"/>
            </w:tcBorders>
            <w:shd w:val="clear" w:color="auto" w:fill="auto"/>
            <w:noWrap/>
            <w:vAlign w:val="bottom"/>
            <w:hideMark/>
          </w:tcPr>
          <w:p w14:paraId="1A2FE5C6"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1156" w:type="dxa"/>
            <w:tcBorders>
              <w:top w:val="nil"/>
              <w:left w:val="nil"/>
              <w:bottom w:val="nil"/>
              <w:right w:val="nil"/>
            </w:tcBorders>
            <w:shd w:val="clear" w:color="auto" w:fill="auto"/>
            <w:noWrap/>
            <w:vAlign w:val="bottom"/>
            <w:hideMark/>
          </w:tcPr>
          <w:p w14:paraId="3A8E8CCF"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1156" w:type="dxa"/>
            <w:tcBorders>
              <w:top w:val="nil"/>
              <w:left w:val="nil"/>
              <w:bottom w:val="nil"/>
              <w:right w:val="nil"/>
            </w:tcBorders>
            <w:shd w:val="clear" w:color="auto" w:fill="auto"/>
            <w:noWrap/>
            <w:vAlign w:val="bottom"/>
            <w:hideMark/>
          </w:tcPr>
          <w:p w14:paraId="09BCBDAA"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1285" w:type="dxa"/>
            <w:tcBorders>
              <w:top w:val="nil"/>
              <w:left w:val="nil"/>
              <w:bottom w:val="nil"/>
              <w:right w:val="nil"/>
            </w:tcBorders>
            <w:shd w:val="clear" w:color="auto" w:fill="auto"/>
            <w:noWrap/>
            <w:vAlign w:val="bottom"/>
            <w:hideMark/>
          </w:tcPr>
          <w:p w14:paraId="28C4DBC8" w14:textId="77777777" w:rsidR="00B9311E" w:rsidRPr="00BD77D8" w:rsidRDefault="00B9311E" w:rsidP="00B9311E">
            <w:pPr>
              <w:spacing w:after="0" w:line="240" w:lineRule="auto"/>
              <w:jc w:val="right"/>
              <w:rPr>
                <w:b/>
                <w:bCs/>
                <w:sz w:val="17"/>
                <w:szCs w:val="17"/>
              </w:rPr>
            </w:pPr>
            <w:r w:rsidRPr="00BD77D8">
              <w:rPr>
                <w:b/>
                <w:bCs/>
                <w:sz w:val="17"/>
                <w:szCs w:val="17"/>
              </w:rPr>
              <w:t>2021</w:t>
            </w:r>
          </w:p>
        </w:tc>
        <w:tc>
          <w:tcPr>
            <w:tcW w:w="1062" w:type="dxa"/>
            <w:tcBorders>
              <w:top w:val="nil"/>
              <w:left w:val="nil"/>
              <w:bottom w:val="nil"/>
              <w:right w:val="nil"/>
            </w:tcBorders>
            <w:shd w:val="clear" w:color="auto" w:fill="auto"/>
            <w:noWrap/>
            <w:vAlign w:val="bottom"/>
            <w:hideMark/>
          </w:tcPr>
          <w:p w14:paraId="233043E7" w14:textId="77777777" w:rsidR="00B9311E" w:rsidRPr="00BD77D8" w:rsidRDefault="00B9311E" w:rsidP="00B9311E">
            <w:pPr>
              <w:spacing w:after="0" w:line="240" w:lineRule="auto"/>
              <w:jc w:val="right"/>
              <w:rPr>
                <w:b/>
                <w:bCs/>
                <w:sz w:val="17"/>
                <w:szCs w:val="17"/>
              </w:rPr>
            </w:pPr>
            <w:r w:rsidRPr="00BD77D8">
              <w:rPr>
                <w:b/>
                <w:bCs/>
                <w:sz w:val="17"/>
                <w:szCs w:val="17"/>
              </w:rPr>
              <w:t>2022</w:t>
            </w:r>
          </w:p>
        </w:tc>
        <w:tc>
          <w:tcPr>
            <w:tcW w:w="915" w:type="dxa"/>
            <w:tcBorders>
              <w:top w:val="nil"/>
              <w:left w:val="nil"/>
              <w:bottom w:val="nil"/>
              <w:right w:val="nil"/>
            </w:tcBorders>
            <w:shd w:val="clear" w:color="auto" w:fill="auto"/>
            <w:noWrap/>
            <w:vAlign w:val="bottom"/>
            <w:hideMark/>
          </w:tcPr>
          <w:p w14:paraId="0DA9A9E5" w14:textId="77777777" w:rsidR="00B9311E" w:rsidRPr="00BD77D8" w:rsidRDefault="00B9311E" w:rsidP="00B9311E">
            <w:pPr>
              <w:spacing w:after="0" w:line="240" w:lineRule="auto"/>
              <w:jc w:val="right"/>
              <w:rPr>
                <w:b/>
                <w:bCs/>
                <w:sz w:val="17"/>
                <w:szCs w:val="17"/>
              </w:rPr>
            </w:pPr>
            <w:r w:rsidRPr="00BD77D8">
              <w:rPr>
                <w:b/>
                <w:bCs/>
                <w:sz w:val="17"/>
                <w:szCs w:val="17"/>
              </w:rPr>
              <w:t>2021</w:t>
            </w:r>
          </w:p>
        </w:tc>
      </w:tr>
      <w:tr w:rsidR="00BD77D8" w:rsidRPr="00BD77D8" w14:paraId="1AA138F4" w14:textId="77777777" w:rsidTr="003057FB">
        <w:trPr>
          <w:trHeight w:val="240"/>
        </w:trPr>
        <w:tc>
          <w:tcPr>
            <w:tcW w:w="3655" w:type="dxa"/>
            <w:tcBorders>
              <w:top w:val="nil"/>
              <w:left w:val="nil"/>
              <w:bottom w:val="single" w:sz="4" w:space="0" w:color="auto"/>
              <w:right w:val="nil"/>
            </w:tcBorders>
            <w:shd w:val="clear" w:color="000000" w:fill="FFFFFF"/>
            <w:noWrap/>
            <w:vAlign w:val="bottom"/>
            <w:hideMark/>
          </w:tcPr>
          <w:p w14:paraId="0B379AFE" w14:textId="77777777" w:rsidR="00B9311E" w:rsidRPr="00BD77D8" w:rsidRDefault="00B9311E" w:rsidP="00B9311E">
            <w:pPr>
              <w:spacing w:after="0" w:line="240" w:lineRule="auto"/>
              <w:rPr>
                <w:sz w:val="17"/>
                <w:szCs w:val="17"/>
              </w:rPr>
            </w:pPr>
            <w:r w:rsidRPr="00BD77D8">
              <w:rPr>
                <w:sz w:val="17"/>
                <w:szCs w:val="17"/>
              </w:rPr>
              <w:t> </w:t>
            </w:r>
          </w:p>
        </w:tc>
        <w:tc>
          <w:tcPr>
            <w:tcW w:w="913" w:type="dxa"/>
            <w:tcBorders>
              <w:top w:val="nil"/>
              <w:left w:val="nil"/>
              <w:bottom w:val="single" w:sz="4" w:space="0" w:color="auto"/>
              <w:right w:val="nil"/>
            </w:tcBorders>
            <w:shd w:val="clear" w:color="auto" w:fill="auto"/>
            <w:noWrap/>
            <w:vAlign w:val="bottom"/>
            <w:hideMark/>
          </w:tcPr>
          <w:p w14:paraId="6F41B1A0"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982" w:type="dxa"/>
            <w:tcBorders>
              <w:top w:val="nil"/>
              <w:left w:val="nil"/>
              <w:bottom w:val="single" w:sz="4" w:space="0" w:color="auto"/>
              <w:right w:val="nil"/>
            </w:tcBorders>
            <w:shd w:val="clear" w:color="auto" w:fill="auto"/>
            <w:noWrap/>
            <w:vAlign w:val="bottom"/>
            <w:hideMark/>
          </w:tcPr>
          <w:p w14:paraId="46483F89"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993" w:type="dxa"/>
            <w:tcBorders>
              <w:top w:val="nil"/>
              <w:left w:val="nil"/>
              <w:bottom w:val="single" w:sz="4" w:space="0" w:color="auto"/>
              <w:right w:val="nil"/>
            </w:tcBorders>
            <w:shd w:val="clear" w:color="auto" w:fill="auto"/>
            <w:noWrap/>
            <w:vAlign w:val="bottom"/>
            <w:hideMark/>
          </w:tcPr>
          <w:p w14:paraId="5CBA40B6"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000" w:type="dxa"/>
            <w:tcBorders>
              <w:top w:val="nil"/>
              <w:left w:val="nil"/>
              <w:bottom w:val="single" w:sz="4" w:space="0" w:color="auto"/>
              <w:right w:val="nil"/>
            </w:tcBorders>
            <w:shd w:val="clear" w:color="auto" w:fill="auto"/>
            <w:noWrap/>
            <w:vAlign w:val="bottom"/>
            <w:hideMark/>
          </w:tcPr>
          <w:p w14:paraId="70516D11"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134" w:type="dxa"/>
            <w:tcBorders>
              <w:top w:val="nil"/>
              <w:left w:val="nil"/>
              <w:bottom w:val="single" w:sz="4" w:space="0" w:color="auto"/>
              <w:right w:val="nil"/>
            </w:tcBorders>
            <w:shd w:val="clear" w:color="auto" w:fill="auto"/>
            <w:noWrap/>
            <w:vAlign w:val="bottom"/>
            <w:hideMark/>
          </w:tcPr>
          <w:p w14:paraId="7ED2150A"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113" w:type="dxa"/>
            <w:tcBorders>
              <w:top w:val="nil"/>
              <w:left w:val="nil"/>
              <w:bottom w:val="single" w:sz="4" w:space="0" w:color="auto"/>
              <w:right w:val="nil"/>
            </w:tcBorders>
            <w:shd w:val="clear" w:color="auto" w:fill="auto"/>
            <w:noWrap/>
            <w:vAlign w:val="bottom"/>
            <w:hideMark/>
          </w:tcPr>
          <w:p w14:paraId="5C7E282D"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156" w:type="dxa"/>
            <w:tcBorders>
              <w:top w:val="nil"/>
              <w:left w:val="nil"/>
              <w:bottom w:val="single" w:sz="4" w:space="0" w:color="auto"/>
              <w:right w:val="nil"/>
            </w:tcBorders>
            <w:shd w:val="clear" w:color="auto" w:fill="auto"/>
            <w:noWrap/>
            <w:vAlign w:val="bottom"/>
            <w:hideMark/>
          </w:tcPr>
          <w:p w14:paraId="6ED836D0"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156" w:type="dxa"/>
            <w:tcBorders>
              <w:top w:val="nil"/>
              <w:left w:val="nil"/>
              <w:bottom w:val="single" w:sz="4" w:space="0" w:color="auto"/>
              <w:right w:val="nil"/>
            </w:tcBorders>
            <w:shd w:val="clear" w:color="auto" w:fill="auto"/>
            <w:noWrap/>
            <w:vAlign w:val="bottom"/>
            <w:hideMark/>
          </w:tcPr>
          <w:p w14:paraId="77BBBC0D"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285" w:type="dxa"/>
            <w:tcBorders>
              <w:top w:val="nil"/>
              <w:left w:val="nil"/>
              <w:bottom w:val="single" w:sz="4" w:space="0" w:color="auto"/>
              <w:right w:val="nil"/>
            </w:tcBorders>
            <w:shd w:val="clear" w:color="auto" w:fill="auto"/>
            <w:noWrap/>
            <w:vAlign w:val="bottom"/>
            <w:hideMark/>
          </w:tcPr>
          <w:p w14:paraId="782A2D8A"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1062" w:type="dxa"/>
            <w:tcBorders>
              <w:top w:val="nil"/>
              <w:left w:val="nil"/>
              <w:bottom w:val="single" w:sz="4" w:space="0" w:color="auto"/>
              <w:right w:val="nil"/>
            </w:tcBorders>
            <w:shd w:val="clear" w:color="auto" w:fill="auto"/>
            <w:noWrap/>
            <w:vAlign w:val="bottom"/>
            <w:hideMark/>
          </w:tcPr>
          <w:p w14:paraId="0521F9DA" w14:textId="77777777" w:rsidR="00B9311E" w:rsidRPr="00BD77D8" w:rsidRDefault="00B9311E" w:rsidP="00B9311E">
            <w:pPr>
              <w:spacing w:after="0" w:line="240" w:lineRule="auto"/>
              <w:jc w:val="right"/>
              <w:rPr>
                <w:b/>
                <w:bCs/>
                <w:sz w:val="17"/>
                <w:szCs w:val="17"/>
              </w:rPr>
            </w:pPr>
            <w:r w:rsidRPr="00BD77D8">
              <w:rPr>
                <w:b/>
                <w:bCs/>
                <w:sz w:val="17"/>
                <w:szCs w:val="17"/>
              </w:rPr>
              <w:t>$'000</w:t>
            </w:r>
          </w:p>
        </w:tc>
        <w:tc>
          <w:tcPr>
            <w:tcW w:w="915" w:type="dxa"/>
            <w:tcBorders>
              <w:top w:val="nil"/>
              <w:left w:val="nil"/>
              <w:bottom w:val="single" w:sz="4" w:space="0" w:color="auto"/>
              <w:right w:val="nil"/>
            </w:tcBorders>
            <w:shd w:val="clear" w:color="auto" w:fill="auto"/>
            <w:noWrap/>
            <w:vAlign w:val="bottom"/>
            <w:hideMark/>
          </w:tcPr>
          <w:p w14:paraId="037AD746" w14:textId="77777777" w:rsidR="00B9311E" w:rsidRPr="00BD77D8" w:rsidRDefault="00B9311E" w:rsidP="00B9311E">
            <w:pPr>
              <w:spacing w:after="0" w:line="240" w:lineRule="auto"/>
              <w:jc w:val="right"/>
              <w:rPr>
                <w:b/>
                <w:bCs/>
                <w:sz w:val="17"/>
                <w:szCs w:val="17"/>
              </w:rPr>
            </w:pPr>
            <w:r w:rsidRPr="00BD77D8">
              <w:rPr>
                <w:b/>
                <w:bCs/>
                <w:sz w:val="17"/>
                <w:szCs w:val="17"/>
              </w:rPr>
              <w:t>$'000</w:t>
            </w:r>
          </w:p>
        </w:tc>
      </w:tr>
      <w:tr w:rsidR="00BD77D8" w:rsidRPr="00BD77D8" w14:paraId="4883F17B" w14:textId="77777777" w:rsidTr="003057FB">
        <w:trPr>
          <w:trHeight w:val="240"/>
        </w:trPr>
        <w:tc>
          <w:tcPr>
            <w:tcW w:w="3655" w:type="dxa"/>
            <w:tcBorders>
              <w:top w:val="nil"/>
              <w:left w:val="nil"/>
              <w:bottom w:val="nil"/>
              <w:right w:val="nil"/>
            </w:tcBorders>
            <w:shd w:val="clear" w:color="000000" w:fill="FFFFFF"/>
            <w:noWrap/>
            <w:vAlign w:val="bottom"/>
            <w:hideMark/>
          </w:tcPr>
          <w:p w14:paraId="361295AC" w14:textId="77777777" w:rsidR="00B9311E" w:rsidRPr="00BD77D8" w:rsidRDefault="00B9311E" w:rsidP="00B9311E">
            <w:pPr>
              <w:spacing w:after="0" w:line="240" w:lineRule="auto"/>
              <w:rPr>
                <w:b/>
                <w:bCs/>
                <w:sz w:val="17"/>
                <w:szCs w:val="17"/>
              </w:rPr>
            </w:pPr>
            <w:r w:rsidRPr="00BD77D8">
              <w:rPr>
                <w:b/>
                <w:bCs/>
                <w:sz w:val="17"/>
                <w:szCs w:val="17"/>
              </w:rPr>
              <w:t xml:space="preserve"> Current Assets </w:t>
            </w:r>
          </w:p>
        </w:tc>
        <w:tc>
          <w:tcPr>
            <w:tcW w:w="913" w:type="dxa"/>
            <w:tcBorders>
              <w:top w:val="nil"/>
              <w:left w:val="nil"/>
              <w:bottom w:val="nil"/>
              <w:right w:val="nil"/>
            </w:tcBorders>
            <w:shd w:val="clear" w:color="auto" w:fill="auto"/>
            <w:noWrap/>
            <w:vAlign w:val="bottom"/>
            <w:hideMark/>
          </w:tcPr>
          <w:p w14:paraId="0204C7B2" w14:textId="77777777" w:rsidR="00B9311E" w:rsidRPr="00BD77D8" w:rsidRDefault="00B9311E" w:rsidP="00B9311E">
            <w:pPr>
              <w:spacing w:after="0" w:line="240" w:lineRule="auto"/>
              <w:rPr>
                <w:b/>
                <w:bCs/>
                <w:sz w:val="17"/>
                <w:szCs w:val="17"/>
              </w:rPr>
            </w:pPr>
          </w:p>
        </w:tc>
        <w:tc>
          <w:tcPr>
            <w:tcW w:w="982" w:type="dxa"/>
            <w:tcBorders>
              <w:top w:val="nil"/>
              <w:left w:val="nil"/>
              <w:bottom w:val="nil"/>
              <w:right w:val="nil"/>
            </w:tcBorders>
            <w:shd w:val="clear" w:color="auto" w:fill="auto"/>
            <w:noWrap/>
            <w:vAlign w:val="bottom"/>
            <w:hideMark/>
          </w:tcPr>
          <w:p w14:paraId="0C6DB3D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93" w:type="dxa"/>
            <w:tcBorders>
              <w:top w:val="nil"/>
              <w:left w:val="nil"/>
              <w:bottom w:val="nil"/>
              <w:right w:val="nil"/>
            </w:tcBorders>
            <w:shd w:val="clear" w:color="auto" w:fill="auto"/>
            <w:noWrap/>
            <w:vAlign w:val="bottom"/>
            <w:hideMark/>
          </w:tcPr>
          <w:p w14:paraId="6798C6C0"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00" w:type="dxa"/>
            <w:tcBorders>
              <w:top w:val="nil"/>
              <w:left w:val="nil"/>
              <w:bottom w:val="nil"/>
              <w:right w:val="nil"/>
            </w:tcBorders>
            <w:shd w:val="clear" w:color="auto" w:fill="auto"/>
            <w:noWrap/>
            <w:vAlign w:val="bottom"/>
            <w:hideMark/>
          </w:tcPr>
          <w:p w14:paraId="6B0D9273"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34" w:type="dxa"/>
            <w:tcBorders>
              <w:top w:val="nil"/>
              <w:left w:val="nil"/>
              <w:bottom w:val="nil"/>
              <w:right w:val="nil"/>
            </w:tcBorders>
            <w:shd w:val="clear" w:color="auto" w:fill="auto"/>
            <w:noWrap/>
            <w:vAlign w:val="bottom"/>
            <w:hideMark/>
          </w:tcPr>
          <w:p w14:paraId="02B8271D"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13" w:type="dxa"/>
            <w:tcBorders>
              <w:top w:val="nil"/>
              <w:left w:val="nil"/>
              <w:bottom w:val="nil"/>
              <w:right w:val="nil"/>
            </w:tcBorders>
            <w:shd w:val="clear" w:color="auto" w:fill="auto"/>
            <w:noWrap/>
            <w:vAlign w:val="bottom"/>
            <w:hideMark/>
          </w:tcPr>
          <w:p w14:paraId="6DC1353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noWrap/>
            <w:vAlign w:val="bottom"/>
            <w:hideMark/>
          </w:tcPr>
          <w:p w14:paraId="282342DF"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noWrap/>
            <w:vAlign w:val="bottom"/>
            <w:hideMark/>
          </w:tcPr>
          <w:p w14:paraId="6BC91EEE"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285" w:type="dxa"/>
            <w:tcBorders>
              <w:top w:val="nil"/>
              <w:left w:val="nil"/>
              <w:bottom w:val="nil"/>
              <w:right w:val="nil"/>
            </w:tcBorders>
            <w:shd w:val="clear" w:color="auto" w:fill="auto"/>
            <w:noWrap/>
            <w:vAlign w:val="bottom"/>
            <w:hideMark/>
          </w:tcPr>
          <w:p w14:paraId="1DB479F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62" w:type="dxa"/>
            <w:tcBorders>
              <w:top w:val="nil"/>
              <w:left w:val="nil"/>
              <w:bottom w:val="nil"/>
              <w:right w:val="nil"/>
            </w:tcBorders>
            <w:shd w:val="clear" w:color="auto" w:fill="auto"/>
            <w:noWrap/>
            <w:vAlign w:val="bottom"/>
            <w:hideMark/>
          </w:tcPr>
          <w:p w14:paraId="2FB7A29E"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15" w:type="dxa"/>
            <w:tcBorders>
              <w:top w:val="nil"/>
              <w:left w:val="nil"/>
              <w:bottom w:val="nil"/>
              <w:right w:val="nil"/>
            </w:tcBorders>
            <w:shd w:val="clear" w:color="auto" w:fill="auto"/>
            <w:noWrap/>
            <w:vAlign w:val="bottom"/>
            <w:hideMark/>
          </w:tcPr>
          <w:p w14:paraId="32E64F7B" w14:textId="77777777" w:rsidR="00B9311E" w:rsidRPr="00BD77D8" w:rsidRDefault="00B9311E" w:rsidP="00B9311E">
            <w:pPr>
              <w:spacing w:after="0" w:line="240" w:lineRule="auto"/>
              <w:jc w:val="right"/>
              <w:rPr>
                <w:rFonts w:ascii="Times New Roman" w:hAnsi="Times New Roman" w:cs="Times New Roman"/>
                <w:b/>
                <w:bCs/>
                <w:sz w:val="17"/>
                <w:szCs w:val="17"/>
              </w:rPr>
            </w:pPr>
          </w:p>
        </w:tc>
      </w:tr>
      <w:tr w:rsidR="00BD77D8" w:rsidRPr="00BD77D8" w14:paraId="18FED74E" w14:textId="77777777" w:rsidTr="003057FB">
        <w:trPr>
          <w:trHeight w:val="240"/>
        </w:trPr>
        <w:tc>
          <w:tcPr>
            <w:tcW w:w="3655" w:type="dxa"/>
            <w:tcBorders>
              <w:top w:val="nil"/>
              <w:left w:val="nil"/>
              <w:bottom w:val="nil"/>
              <w:right w:val="nil"/>
            </w:tcBorders>
            <w:shd w:val="clear" w:color="000000" w:fill="FFFFFF"/>
            <w:noWrap/>
            <w:vAlign w:val="bottom"/>
            <w:hideMark/>
          </w:tcPr>
          <w:p w14:paraId="08D3E6AF"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Cash and cash equivalents </w:t>
            </w:r>
          </w:p>
        </w:tc>
        <w:tc>
          <w:tcPr>
            <w:tcW w:w="913" w:type="dxa"/>
            <w:tcBorders>
              <w:top w:val="nil"/>
              <w:left w:val="nil"/>
              <w:bottom w:val="nil"/>
              <w:right w:val="nil"/>
            </w:tcBorders>
            <w:shd w:val="clear" w:color="auto" w:fill="auto"/>
            <w:vAlign w:val="center"/>
            <w:hideMark/>
          </w:tcPr>
          <w:p w14:paraId="444589BC" w14:textId="77777777" w:rsidR="00B9311E" w:rsidRPr="00BD77D8" w:rsidRDefault="00B9311E" w:rsidP="00B9311E">
            <w:pPr>
              <w:spacing w:after="0" w:line="240" w:lineRule="auto"/>
              <w:jc w:val="right"/>
              <w:rPr>
                <w:b/>
                <w:bCs/>
                <w:sz w:val="17"/>
                <w:szCs w:val="17"/>
              </w:rPr>
            </w:pPr>
            <w:r w:rsidRPr="00BD77D8">
              <w:rPr>
                <w:b/>
                <w:bCs/>
                <w:sz w:val="17"/>
                <w:szCs w:val="17"/>
              </w:rPr>
              <w:t xml:space="preserve">      29,767 </w:t>
            </w:r>
          </w:p>
        </w:tc>
        <w:tc>
          <w:tcPr>
            <w:tcW w:w="982" w:type="dxa"/>
            <w:tcBorders>
              <w:top w:val="nil"/>
              <w:left w:val="nil"/>
              <w:bottom w:val="nil"/>
              <w:right w:val="nil"/>
            </w:tcBorders>
            <w:shd w:val="clear" w:color="auto" w:fill="auto"/>
            <w:vAlign w:val="center"/>
            <w:hideMark/>
          </w:tcPr>
          <w:p w14:paraId="3AC1DA0C" w14:textId="77777777" w:rsidR="00B9311E" w:rsidRPr="00BD77D8" w:rsidRDefault="00B9311E" w:rsidP="00B9311E">
            <w:pPr>
              <w:spacing w:after="0" w:line="240" w:lineRule="auto"/>
              <w:jc w:val="right"/>
              <w:rPr>
                <w:sz w:val="17"/>
                <w:szCs w:val="17"/>
              </w:rPr>
            </w:pPr>
            <w:r w:rsidRPr="00BD77D8">
              <w:rPr>
                <w:sz w:val="17"/>
                <w:szCs w:val="17"/>
              </w:rPr>
              <w:t xml:space="preserve">      30,241 </w:t>
            </w:r>
          </w:p>
        </w:tc>
        <w:tc>
          <w:tcPr>
            <w:tcW w:w="993" w:type="dxa"/>
            <w:tcBorders>
              <w:top w:val="nil"/>
              <w:left w:val="nil"/>
              <w:bottom w:val="nil"/>
              <w:right w:val="nil"/>
            </w:tcBorders>
            <w:shd w:val="clear" w:color="auto" w:fill="auto"/>
            <w:vAlign w:val="center"/>
            <w:hideMark/>
          </w:tcPr>
          <w:p w14:paraId="39D6D5A7" w14:textId="77777777" w:rsidR="00B9311E" w:rsidRPr="00BD77D8" w:rsidRDefault="00B9311E" w:rsidP="00B9311E">
            <w:pPr>
              <w:spacing w:after="0" w:line="240" w:lineRule="auto"/>
              <w:jc w:val="right"/>
              <w:rPr>
                <w:b/>
                <w:bCs/>
                <w:sz w:val="17"/>
                <w:szCs w:val="17"/>
              </w:rPr>
            </w:pPr>
            <w:r w:rsidRPr="00BD77D8">
              <w:rPr>
                <w:b/>
                <w:bCs/>
                <w:sz w:val="17"/>
                <w:szCs w:val="17"/>
              </w:rPr>
              <w:t xml:space="preserve">            855 </w:t>
            </w:r>
          </w:p>
        </w:tc>
        <w:tc>
          <w:tcPr>
            <w:tcW w:w="1000" w:type="dxa"/>
            <w:tcBorders>
              <w:top w:val="nil"/>
              <w:left w:val="nil"/>
              <w:bottom w:val="nil"/>
              <w:right w:val="nil"/>
            </w:tcBorders>
            <w:shd w:val="clear" w:color="auto" w:fill="auto"/>
            <w:vAlign w:val="center"/>
            <w:hideMark/>
          </w:tcPr>
          <w:p w14:paraId="01CF329A" w14:textId="77777777" w:rsidR="00B9311E" w:rsidRPr="00BD77D8" w:rsidRDefault="00B9311E" w:rsidP="00B9311E">
            <w:pPr>
              <w:spacing w:after="0" w:line="240" w:lineRule="auto"/>
              <w:jc w:val="right"/>
              <w:rPr>
                <w:sz w:val="17"/>
                <w:szCs w:val="17"/>
              </w:rPr>
            </w:pPr>
            <w:r w:rsidRPr="00BD77D8">
              <w:rPr>
                <w:sz w:val="17"/>
                <w:szCs w:val="17"/>
              </w:rPr>
              <w:t xml:space="preserve">         2,374 </w:t>
            </w:r>
          </w:p>
        </w:tc>
        <w:tc>
          <w:tcPr>
            <w:tcW w:w="1134" w:type="dxa"/>
            <w:tcBorders>
              <w:top w:val="nil"/>
              <w:left w:val="nil"/>
              <w:bottom w:val="nil"/>
              <w:right w:val="nil"/>
            </w:tcBorders>
            <w:shd w:val="clear" w:color="auto" w:fill="auto"/>
            <w:vAlign w:val="center"/>
            <w:hideMark/>
          </w:tcPr>
          <w:p w14:paraId="04D4E3A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762DA5B4" w14:textId="77777777" w:rsidR="00B9311E" w:rsidRPr="00BD77D8" w:rsidRDefault="00B9311E" w:rsidP="00B9311E">
            <w:pPr>
              <w:spacing w:after="0" w:line="240" w:lineRule="auto"/>
              <w:jc w:val="right"/>
              <w:rPr>
                <w:b/>
                <w:bCs/>
                <w:sz w:val="17"/>
                <w:szCs w:val="17"/>
              </w:rPr>
            </w:pPr>
            <w:r w:rsidRPr="00BD77D8">
              <w:rPr>
                <w:b/>
                <w:bCs/>
                <w:sz w:val="17"/>
                <w:szCs w:val="17"/>
              </w:rPr>
              <w:t xml:space="preserve">             6,613 </w:t>
            </w:r>
          </w:p>
        </w:tc>
        <w:tc>
          <w:tcPr>
            <w:tcW w:w="1156" w:type="dxa"/>
            <w:tcBorders>
              <w:top w:val="nil"/>
              <w:left w:val="nil"/>
              <w:bottom w:val="nil"/>
              <w:right w:val="nil"/>
            </w:tcBorders>
            <w:shd w:val="clear" w:color="auto" w:fill="auto"/>
            <w:vAlign w:val="center"/>
            <w:hideMark/>
          </w:tcPr>
          <w:p w14:paraId="503AD1C8" w14:textId="77777777" w:rsidR="00B9311E" w:rsidRPr="00BD77D8" w:rsidRDefault="00B9311E" w:rsidP="00B9311E">
            <w:pPr>
              <w:spacing w:after="0" w:line="240" w:lineRule="auto"/>
              <w:jc w:val="right"/>
              <w:rPr>
                <w:sz w:val="17"/>
                <w:szCs w:val="17"/>
              </w:rPr>
            </w:pPr>
            <w:r w:rsidRPr="00BD77D8">
              <w:rPr>
                <w:sz w:val="17"/>
                <w:szCs w:val="17"/>
              </w:rPr>
              <w:t xml:space="preserve">             7,280 </w:t>
            </w:r>
          </w:p>
        </w:tc>
        <w:tc>
          <w:tcPr>
            <w:tcW w:w="1156" w:type="dxa"/>
            <w:tcBorders>
              <w:top w:val="nil"/>
              <w:left w:val="nil"/>
              <w:bottom w:val="nil"/>
              <w:right w:val="nil"/>
            </w:tcBorders>
            <w:shd w:val="clear" w:color="auto" w:fill="auto"/>
            <w:vAlign w:val="center"/>
            <w:hideMark/>
          </w:tcPr>
          <w:p w14:paraId="7B8EC9D5" w14:textId="77777777" w:rsidR="00B9311E" w:rsidRPr="00BD77D8" w:rsidRDefault="00B9311E" w:rsidP="00B9311E">
            <w:pPr>
              <w:spacing w:after="0" w:line="240" w:lineRule="auto"/>
              <w:jc w:val="right"/>
              <w:rPr>
                <w:b/>
                <w:bCs/>
                <w:sz w:val="17"/>
                <w:szCs w:val="17"/>
              </w:rPr>
            </w:pPr>
            <w:r w:rsidRPr="00BD77D8">
              <w:rPr>
                <w:b/>
                <w:bCs/>
                <w:sz w:val="17"/>
                <w:szCs w:val="17"/>
              </w:rPr>
              <w:t xml:space="preserve">           13,770 </w:t>
            </w:r>
          </w:p>
        </w:tc>
        <w:tc>
          <w:tcPr>
            <w:tcW w:w="1285" w:type="dxa"/>
            <w:tcBorders>
              <w:top w:val="nil"/>
              <w:left w:val="nil"/>
              <w:bottom w:val="nil"/>
              <w:right w:val="nil"/>
            </w:tcBorders>
            <w:shd w:val="clear" w:color="auto" w:fill="auto"/>
            <w:vAlign w:val="center"/>
            <w:hideMark/>
          </w:tcPr>
          <w:p w14:paraId="2FE1EAF7" w14:textId="77777777" w:rsidR="00B9311E" w:rsidRPr="00BD77D8" w:rsidRDefault="00B9311E" w:rsidP="00B9311E">
            <w:pPr>
              <w:spacing w:after="0" w:line="240" w:lineRule="auto"/>
              <w:jc w:val="right"/>
              <w:rPr>
                <w:sz w:val="17"/>
                <w:szCs w:val="17"/>
              </w:rPr>
            </w:pPr>
            <w:r w:rsidRPr="00BD77D8">
              <w:rPr>
                <w:sz w:val="17"/>
                <w:szCs w:val="17"/>
              </w:rPr>
              <w:t xml:space="preserve">           14,945 </w:t>
            </w:r>
          </w:p>
        </w:tc>
        <w:tc>
          <w:tcPr>
            <w:tcW w:w="1062" w:type="dxa"/>
            <w:tcBorders>
              <w:top w:val="nil"/>
              <w:left w:val="nil"/>
              <w:bottom w:val="nil"/>
              <w:right w:val="nil"/>
            </w:tcBorders>
            <w:shd w:val="clear" w:color="auto" w:fill="auto"/>
            <w:vAlign w:val="center"/>
            <w:hideMark/>
          </w:tcPr>
          <w:p w14:paraId="08FFBF81" w14:textId="77777777" w:rsidR="00B9311E" w:rsidRPr="00BD77D8" w:rsidRDefault="00B9311E" w:rsidP="00B9311E">
            <w:pPr>
              <w:spacing w:after="0" w:line="240" w:lineRule="auto"/>
              <w:jc w:val="right"/>
              <w:rPr>
                <w:b/>
                <w:bCs/>
                <w:sz w:val="17"/>
                <w:szCs w:val="17"/>
              </w:rPr>
            </w:pPr>
            <w:r w:rsidRPr="00BD77D8">
              <w:rPr>
                <w:b/>
                <w:bCs/>
                <w:sz w:val="17"/>
                <w:szCs w:val="17"/>
              </w:rPr>
              <w:t xml:space="preserve">    51,005 </w:t>
            </w:r>
          </w:p>
        </w:tc>
        <w:tc>
          <w:tcPr>
            <w:tcW w:w="915" w:type="dxa"/>
            <w:tcBorders>
              <w:top w:val="nil"/>
              <w:left w:val="nil"/>
              <w:bottom w:val="nil"/>
              <w:right w:val="nil"/>
            </w:tcBorders>
            <w:shd w:val="clear" w:color="auto" w:fill="auto"/>
            <w:vAlign w:val="center"/>
            <w:hideMark/>
          </w:tcPr>
          <w:p w14:paraId="56626D10" w14:textId="77777777" w:rsidR="00B9311E" w:rsidRPr="00BD77D8" w:rsidRDefault="00B9311E" w:rsidP="00B9311E">
            <w:pPr>
              <w:spacing w:after="0" w:line="240" w:lineRule="auto"/>
              <w:jc w:val="right"/>
              <w:rPr>
                <w:sz w:val="17"/>
                <w:szCs w:val="17"/>
              </w:rPr>
            </w:pPr>
            <w:r w:rsidRPr="00BD77D8">
              <w:rPr>
                <w:sz w:val="17"/>
                <w:szCs w:val="17"/>
              </w:rPr>
              <w:t xml:space="preserve">    54,840 </w:t>
            </w:r>
          </w:p>
        </w:tc>
      </w:tr>
      <w:tr w:rsidR="00BD77D8" w:rsidRPr="00BD77D8" w14:paraId="0EF72180" w14:textId="77777777" w:rsidTr="003057FB">
        <w:trPr>
          <w:trHeight w:val="240"/>
        </w:trPr>
        <w:tc>
          <w:tcPr>
            <w:tcW w:w="3655" w:type="dxa"/>
            <w:tcBorders>
              <w:top w:val="nil"/>
              <w:left w:val="nil"/>
              <w:bottom w:val="nil"/>
              <w:right w:val="nil"/>
            </w:tcBorders>
            <w:shd w:val="clear" w:color="000000" w:fill="FFFFFF"/>
            <w:noWrap/>
            <w:vAlign w:val="bottom"/>
            <w:hideMark/>
          </w:tcPr>
          <w:p w14:paraId="039692AC"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Receivables </w:t>
            </w:r>
          </w:p>
        </w:tc>
        <w:tc>
          <w:tcPr>
            <w:tcW w:w="913" w:type="dxa"/>
            <w:tcBorders>
              <w:top w:val="nil"/>
              <w:left w:val="nil"/>
              <w:bottom w:val="nil"/>
              <w:right w:val="nil"/>
            </w:tcBorders>
            <w:shd w:val="clear" w:color="auto" w:fill="auto"/>
            <w:vAlign w:val="center"/>
            <w:hideMark/>
          </w:tcPr>
          <w:p w14:paraId="428580F7" w14:textId="77777777" w:rsidR="00B9311E" w:rsidRPr="00BD77D8" w:rsidRDefault="00B9311E" w:rsidP="00B9311E">
            <w:pPr>
              <w:spacing w:after="0" w:line="240" w:lineRule="auto"/>
              <w:jc w:val="right"/>
              <w:rPr>
                <w:b/>
                <w:bCs/>
                <w:sz w:val="17"/>
                <w:szCs w:val="17"/>
              </w:rPr>
            </w:pPr>
            <w:r w:rsidRPr="00BD77D8">
              <w:rPr>
                <w:b/>
                <w:bCs/>
                <w:sz w:val="17"/>
                <w:szCs w:val="17"/>
              </w:rPr>
              <w:t xml:space="preserve">         5,654 </w:t>
            </w:r>
          </w:p>
        </w:tc>
        <w:tc>
          <w:tcPr>
            <w:tcW w:w="982" w:type="dxa"/>
            <w:tcBorders>
              <w:top w:val="nil"/>
              <w:left w:val="nil"/>
              <w:bottom w:val="nil"/>
              <w:right w:val="nil"/>
            </w:tcBorders>
            <w:shd w:val="clear" w:color="auto" w:fill="auto"/>
            <w:vAlign w:val="center"/>
            <w:hideMark/>
          </w:tcPr>
          <w:p w14:paraId="16B14B37" w14:textId="77777777" w:rsidR="00B9311E" w:rsidRPr="00BD77D8" w:rsidRDefault="00B9311E" w:rsidP="00B9311E">
            <w:pPr>
              <w:spacing w:after="0" w:line="240" w:lineRule="auto"/>
              <w:jc w:val="right"/>
              <w:rPr>
                <w:sz w:val="17"/>
                <w:szCs w:val="17"/>
              </w:rPr>
            </w:pPr>
            <w:r w:rsidRPr="00BD77D8">
              <w:rPr>
                <w:sz w:val="17"/>
                <w:szCs w:val="17"/>
              </w:rPr>
              <w:t xml:space="preserve">         4,765 </w:t>
            </w:r>
          </w:p>
        </w:tc>
        <w:tc>
          <w:tcPr>
            <w:tcW w:w="993" w:type="dxa"/>
            <w:tcBorders>
              <w:top w:val="nil"/>
              <w:left w:val="nil"/>
              <w:bottom w:val="nil"/>
              <w:right w:val="nil"/>
            </w:tcBorders>
            <w:shd w:val="clear" w:color="auto" w:fill="auto"/>
            <w:vAlign w:val="center"/>
            <w:hideMark/>
          </w:tcPr>
          <w:p w14:paraId="2A9F3B66" w14:textId="77777777" w:rsidR="00B9311E" w:rsidRPr="00BD77D8" w:rsidRDefault="00B9311E" w:rsidP="00B9311E">
            <w:pPr>
              <w:spacing w:after="0" w:line="240" w:lineRule="auto"/>
              <w:jc w:val="right"/>
              <w:rPr>
                <w:b/>
                <w:bCs/>
                <w:sz w:val="17"/>
                <w:szCs w:val="17"/>
              </w:rPr>
            </w:pPr>
            <w:r w:rsidRPr="00BD77D8">
              <w:rPr>
                <w:b/>
                <w:bCs/>
                <w:sz w:val="17"/>
                <w:szCs w:val="17"/>
              </w:rPr>
              <w:t xml:space="preserve">            155 </w:t>
            </w:r>
          </w:p>
        </w:tc>
        <w:tc>
          <w:tcPr>
            <w:tcW w:w="1000" w:type="dxa"/>
            <w:tcBorders>
              <w:top w:val="nil"/>
              <w:left w:val="nil"/>
              <w:bottom w:val="nil"/>
              <w:right w:val="nil"/>
            </w:tcBorders>
            <w:shd w:val="clear" w:color="auto" w:fill="auto"/>
            <w:vAlign w:val="center"/>
            <w:hideMark/>
          </w:tcPr>
          <w:p w14:paraId="39B6774B" w14:textId="77777777" w:rsidR="00B9311E" w:rsidRPr="00BD77D8" w:rsidRDefault="00B9311E" w:rsidP="00B9311E">
            <w:pPr>
              <w:spacing w:after="0" w:line="240" w:lineRule="auto"/>
              <w:jc w:val="right"/>
              <w:rPr>
                <w:sz w:val="17"/>
                <w:szCs w:val="17"/>
              </w:rPr>
            </w:pPr>
            <w:r w:rsidRPr="00BD77D8">
              <w:rPr>
                <w:sz w:val="17"/>
                <w:szCs w:val="17"/>
              </w:rPr>
              <w:t xml:space="preserve">              19 </w:t>
            </w:r>
          </w:p>
        </w:tc>
        <w:tc>
          <w:tcPr>
            <w:tcW w:w="1134" w:type="dxa"/>
            <w:tcBorders>
              <w:top w:val="nil"/>
              <w:left w:val="nil"/>
              <w:bottom w:val="nil"/>
              <w:right w:val="nil"/>
            </w:tcBorders>
            <w:shd w:val="clear" w:color="auto" w:fill="auto"/>
            <w:vAlign w:val="center"/>
            <w:hideMark/>
          </w:tcPr>
          <w:p w14:paraId="280B5DC7"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5719537D" w14:textId="77777777" w:rsidR="00B9311E" w:rsidRPr="00BD77D8" w:rsidRDefault="00B9311E" w:rsidP="00B9311E">
            <w:pPr>
              <w:spacing w:after="0" w:line="240" w:lineRule="auto"/>
              <w:jc w:val="right"/>
              <w:rPr>
                <w:b/>
                <w:bCs/>
                <w:sz w:val="17"/>
                <w:szCs w:val="17"/>
              </w:rPr>
            </w:pPr>
            <w:r w:rsidRPr="00BD77D8">
              <w:rPr>
                <w:b/>
                <w:bCs/>
                <w:sz w:val="17"/>
                <w:szCs w:val="17"/>
              </w:rPr>
              <w:t xml:space="preserve">                821 </w:t>
            </w:r>
          </w:p>
        </w:tc>
        <w:tc>
          <w:tcPr>
            <w:tcW w:w="1156" w:type="dxa"/>
            <w:tcBorders>
              <w:top w:val="nil"/>
              <w:left w:val="nil"/>
              <w:bottom w:val="nil"/>
              <w:right w:val="nil"/>
            </w:tcBorders>
            <w:shd w:val="clear" w:color="auto" w:fill="auto"/>
            <w:vAlign w:val="center"/>
            <w:hideMark/>
          </w:tcPr>
          <w:p w14:paraId="01A4C518" w14:textId="77777777" w:rsidR="00B9311E" w:rsidRPr="00BD77D8" w:rsidRDefault="00B9311E" w:rsidP="00B9311E">
            <w:pPr>
              <w:spacing w:after="0" w:line="240" w:lineRule="auto"/>
              <w:jc w:val="right"/>
              <w:rPr>
                <w:sz w:val="17"/>
                <w:szCs w:val="17"/>
              </w:rPr>
            </w:pPr>
            <w:r w:rsidRPr="00BD77D8">
              <w:rPr>
                <w:sz w:val="17"/>
                <w:szCs w:val="17"/>
              </w:rPr>
              <w:t xml:space="preserve">                590 </w:t>
            </w:r>
          </w:p>
        </w:tc>
        <w:tc>
          <w:tcPr>
            <w:tcW w:w="1156" w:type="dxa"/>
            <w:tcBorders>
              <w:top w:val="nil"/>
              <w:left w:val="nil"/>
              <w:bottom w:val="nil"/>
              <w:right w:val="nil"/>
            </w:tcBorders>
            <w:shd w:val="clear" w:color="auto" w:fill="auto"/>
            <w:vAlign w:val="center"/>
            <w:hideMark/>
          </w:tcPr>
          <w:p w14:paraId="2929E5AA" w14:textId="77777777" w:rsidR="00B9311E" w:rsidRPr="00BD77D8" w:rsidRDefault="00B9311E" w:rsidP="00B9311E">
            <w:pPr>
              <w:spacing w:after="0" w:line="240" w:lineRule="auto"/>
              <w:jc w:val="right"/>
              <w:rPr>
                <w:b/>
                <w:bCs/>
                <w:sz w:val="17"/>
                <w:szCs w:val="17"/>
              </w:rPr>
            </w:pPr>
            <w:r w:rsidRPr="00BD77D8">
              <w:rPr>
                <w:b/>
                <w:bCs/>
                <w:sz w:val="17"/>
                <w:szCs w:val="17"/>
              </w:rPr>
              <w:t xml:space="preserve">                880 </w:t>
            </w:r>
          </w:p>
        </w:tc>
        <w:tc>
          <w:tcPr>
            <w:tcW w:w="1285" w:type="dxa"/>
            <w:tcBorders>
              <w:top w:val="nil"/>
              <w:left w:val="nil"/>
              <w:bottom w:val="nil"/>
              <w:right w:val="nil"/>
            </w:tcBorders>
            <w:shd w:val="clear" w:color="auto" w:fill="auto"/>
            <w:vAlign w:val="center"/>
            <w:hideMark/>
          </w:tcPr>
          <w:p w14:paraId="475C6A39" w14:textId="77777777" w:rsidR="00B9311E" w:rsidRPr="00BD77D8" w:rsidRDefault="00B9311E" w:rsidP="00B9311E">
            <w:pPr>
              <w:spacing w:after="0" w:line="240" w:lineRule="auto"/>
              <w:jc w:val="right"/>
              <w:rPr>
                <w:sz w:val="17"/>
                <w:szCs w:val="17"/>
              </w:rPr>
            </w:pPr>
            <w:r w:rsidRPr="00BD77D8">
              <w:rPr>
                <w:sz w:val="17"/>
                <w:szCs w:val="17"/>
              </w:rPr>
              <w:t xml:space="preserve">                636 </w:t>
            </w:r>
          </w:p>
        </w:tc>
        <w:tc>
          <w:tcPr>
            <w:tcW w:w="1062" w:type="dxa"/>
            <w:tcBorders>
              <w:top w:val="nil"/>
              <w:left w:val="nil"/>
              <w:bottom w:val="nil"/>
              <w:right w:val="nil"/>
            </w:tcBorders>
            <w:shd w:val="clear" w:color="auto" w:fill="auto"/>
            <w:vAlign w:val="center"/>
            <w:hideMark/>
          </w:tcPr>
          <w:p w14:paraId="3F63EC47" w14:textId="77777777" w:rsidR="00B9311E" w:rsidRPr="00BD77D8" w:rsidRDefault="00B9311E" w:rsidP="00B9311E">
            <w:pPr>
              <w:spacing w:after="0" w:line="240" w:lineRule="auto"/>
              <w:jc w:val="right"/>
              <w:rPr>
                <w:b/>
                <w:bCs/>
                <w:sz w:val="17"/>
                <w:szCs w:val="17"/>
              </w:rPr>
            </w:pPr>
            <w:r w:rsidRPr="00BD77D8">
              <w:rPr>
                <w:b/>
                <w:bCs/>
                <w:sz w:val="17"/>
                <w:szCs w:val="17"/>
              </w:rPr>
              <w:t xml:space="preserve">       7,510 </w:t>
            </w:r>
          </w:p>
        </w:tc>
        <w:tc>
          <w:tcPr>
            <w:tcW w:w="915" w:type="dxa"/>
            <w:tcBorders>
              <w:top w:val="nil"/>
              <w:left w:val="nil"/>
              <w:bottom w:val="nil"/>
              <w:right w:val="nil"/>
            </w:tcBorders>
            <w:shd w:val="clear" w:color="auto" w:fill="auto"/>
            <w:vAlign w:val="center"/>
            <w:hideMark/>
          </w:tcPr>
          <w:p w14:paraId="776C4099" w14:textId="77777777" w:rsidR="00B9311E" w:rsidRPr="00BD77D8" w:rsidRDefault="00B9311E" w:rsidP="00B9311E">
            <w:pPr>
              <w:spacing w:after="0" w:line="240" w:lineRule="auto"/>
              <w:jc w:val="right"/>
              <w:rPr>
                <w:sz w:val="17"/>
                <w:szCs w:val="17"/>
              </w:rPr>
            </w:pPr>
            <w:r w:rsidRPr="00BD77D8">
              <w:rPr>
                <w:sz w:val="17"/>
                <w:szCs w:val="17"/>
              </w:rPr>
              <w:t xml:space="preserve">       6,009 </w:t>
            </w:r>
          </w:p>
        </w:tc>
      </w:tr>
      <w:tr w:rsidR="00BD77D8" w:rsidRPr="00BD77D8" w14:paraId="665468F9" w14:textId="77777777" w:rsidTr="003057FB">
        <w:trPr>
          <w:trHeight w:val="240"/>
        </w:trPr>
        <w:tc>
          <w:tcPr>
            <w:tcW w:w="3655" w:type="dxa"/>
            <w:tcBorders>
              <w:top w:val="nil"/>
              <w:left w:val="nil"/>
              <w:bottom w:val="nil"/>
              <w:right w:val="nil"/>
            </w:tcBorders>
            <w:shd w:val="clear" w:color="000000" w:fill="FFFFFF"/>
            <w:noWrap/>
            <w:vAlign w:val="bottom"/>
            <w:hideMark/>
          </w:tcPr>
          <w:p w14:paraId="39CCDEFA"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Other current assets   </w:t>
            </w:r>
          </w:p>
        </w:tc>
        <w:tc>
          <w:tcPr>
            <w:tcW w:w="913" w:type="dxa"/>
            <w:tcBorders>
              <w:top w:val="nil"/>
              <w:left w:val="nil"/>
              <w:bottom w:val="nil"/>
              <w:right w:val="nil"/>
            </w:tcBorders>
            <w:shd w:val="clear" w:color="auto" w:fill="auto"/>
            <w:vAlign w:val="center"/>
            <w:hideMark/>
          </w:tcPr>
          <w:p w14:paraId="0392EE7F" w14:textId="77777777" w:rsidR="00B9311E" w:rsidRPr="00BD77D8" w:rsidRDefault="00B9311E" w:rsidP="00B9311E">
            <w:pPr>
              <w:spacing w:after="0" w:line="240" w:lineRule="auto"/>
              <w:jc w:val="right"/>
              <w:rPr>
                <w:b/>
                <w:bCs/>
                <w:sz w:val="17"/>
                <w:szCs w:val="17"/>
              </w:rPr>
            </w:pPr>
            <w:r w:rsidRPr="00BD77D8">
              <w:rPr>
                <w:b/>
                <w:bCs/>
                <w:sz w:val="17"/>
                <w:szCs w:val="17"/>
              </w:rPr>
              <w:t xml:space="preserve">            689 </w:t>
            </w:r>
          </w:p>
        </w:tc>
        <w:tc>
          <w:tcPr>
            <w:tcW w:w="982" w:type="dxa"/>
            <w:tcBorders>
              <w:top w:val="nil"/>
              <w:left w:val="nil"/>
              <w:bottom w:val="nil"/>
              <w:right w:val="nil"/>
            </w:tcBorders>
            <w:shd w:val="clear" w:color="auto" w:fill="auto"/>
            <w:vAlign w:val="center"/>
            <w:hideMark/>
          </w:tcPr>
          <w:p w14:paraId="36D4312A" w14:textId="77777777" w:rsidR="00B9311E" w:rsidRPr="00BD77D8" w:rsidRDefault="00B9311E" w:rsidP="00B9311E">
            <w:pPr>
              <w:spacing w:after="0" w:line="240" w:lineRule="auto"/>
              <w:jc w:val="right"/>
              <w:rPr>
                <w:sz w:val="17"/>
                <w:szCs w:val="17"/>
              </w:rPr>
            </w:pPr>
            <w:r w:rsidRPr="00BD77D8">
              <w:rPr>
                <w:sz w:val="17"/>
                <w:szCs w:val="17"/>
              </w:rPr>
              <w:t xml:space="preserve">         1,173 </w:t>
            </w:r>
          </w:p>
        </w:tc>
        <w:tc>
          <w:tcPr>
            <w:tcW w:w="993" w:type="dxa"/>
            <w:tcBorders>
              <w:top w:val="nil"/>
              <w:left w:val="nil"/>
              <w:bottom w:val="nil"/>
              <w:right w:val="nil"/>
            </w:tcBorders>
            <w:shd w:val="clear" w:color="auto" w:fill="auto"/>
            <w:vAlign w:val="center"/>
            <w:hideMark/>
          </w:tcPr>
          <w:p w14:paraId="056EE67D" w14:textId="77777777" w:rsidR="00B9311E" w:rsidRPr="00BD77D8" w:rsidRDefault="00B9311E" w:rsidP="00B9311E">
            <w:pPr>
              <w:spacing w:after="0" w:line="240" w:lineRule="auto"/>
              <w:jc w:val="right"/>
              <w:rPr>
                <w:b/>
                <w:bCs/>
                <w:sz w:val="17"/>
                <w:szCs w:val="17"/>
              </w:rPr>
            </w:pPr>
            <w:r w:rsidRPr="00BD77D8">
              <w:rPr>
                <w:b/>
                <w:bCs/>
                <w:sz w:val="17"/>
                <w:szCs w:val="17"/>
              </w:rPr>
              <w:t xml:space="preserve">                 8 </w:t>
            </w:r>
          </w:p>
        </w:tc>
        <w:tc>
          <w:tcPr>
            <w:tcW w:w="1000" w:type="dxa"/>
            <w:tcBorders>
              <w:top w:val="nil"/>
              <w:left w:val="nil"/>
              <w:bottom w:val="nil"/>
              <w:right w:val="nil"/>
            </w:tcBorders>
            <w:shd w:val="clear" w:color="auto" w:fill="auto"/>
            <w:vAlign w:val="center"/>
            <w:hideMark/>
          </w:tcPr>
          <w:p w14:paraId="0A8CEECE" w14:textId="77777777" w:rsidR="00B9311E" w:rsidRPr="00BD77D8" w:rsidRDefault="00B9311E" w:rsidP="00B9311E">
            <w:pPr>
              <w:spacing w:after="0" w:line="240" w:lineRule="auto"/>
              <w:jc w:val="right"/>
              <w:rPr>
                <w:sz w:val="17"/>
                <w:szCs w:val="17"/>
              </w:rPr>
            </w:pPr>
            <w:r w:rsidRPr="00BD77D8">
              <w:rPr>
                <w:sz w:val="17"/>
                <w:szCs w:val="17"/>
              </w:rPr>
              <w:t xml:space="preserve">              10 </w:t>
            </w:r>
          </w:p>
        </w:tc>
        <w:tc>
          <w:tcPr>
            <w:tcW w:w="1134" w:type="dxa"/>
            <w:tcBorders>
              <w:top w:val="nil"/>
              <w:left w:val="nil"/>
              <w:bottom w:val="nil"/>
              <w:right w:val="nil"/>
            </w:tcBorders>
            <w:shd w:val="clear" w:color="auto" w:fill="auto"/>
            <w:vAlign w:val="center"/>
            <w:hideMark/>
          </w:tcPr>
          <w:p w14:paraId="5BB1FA7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55E1EEA9" w14:textId="77777777" w:rsidR="00B9311E" w:rsidRPr="00BD77D8" w:rsidRDefault="00B9311E" w:rsidP="00B9311E">
            <w:pPr>
              <w:spacing w:after="0" w:line="240" w:lineRule="auto"/>
              <w:jc w:val="right"/>
              <w:rPr>
                <w:b/>
                <w:bCs/>
                <w:sz w:val="17"/>
                <w:szCs w:val="17"/>
              </w:rPr>
            </w:pPr>
            <w:r w:rsidRPr="00BD77D8">
              <w:rPr>
                <w:b/>
                <w:bCs/>
                <w:sz w:val="17"/>
                <w:szCs w:val="17"/>
              </w:rPr>
              <w:t xml:space="preserve">                105 </w:t>
            </w:r>
          </w:p>
        </w:tc>
        <w:tc>
          <w:tcPr>
            <w:tcW w:w="1156" w:type="dxa"/>
            <w:tcBorders>
              <w:top w:val="nil"/>
              <w:left w:val="nil"/>
              <w:bottom w:val="nil"/>
              <w:right w:val="nil"/>
            </w:tcBorders>
            <w:shd w:val="clear" w:color="auto" w:fill="auto"/>
            <w:vAlign w:val="center"/>
            <w:hideMark/>
          </w:tcPr>
          <w:p w14:paraId="578D9DEA" w14:textId="77777777" w:rsidR="00B9311E" w:rsidRPr="00BD77D8" w:rsidRDefault="00B9311E" w:rsidP="00B9311E">
            <w:pPr>
              <w:spacing w:after="0" w:line="240" w:lineRule="auto"/>
              <w:jc w:val="right"/>
              <w:rPr>
                <w:sz w:val="17"/>
                <w:szCs w:val="17"/>
              </w:rPr>
            </w:pPr>
            <w:r w:rsidRPr="00BD77D8">
              <w:rPr>
                <w:sz w:val="17"/>
                <w:szCs w:val="17"/>
              </w:rPr>
              <w:t xml:space="preserve">                252 </w:t>
            </w:r>
          </w:p>
        </w:tc>
        <w:tc>
          <w:tcPr>
            <w:tcW w:w="1156" w:type="dxa"/>
            <w:tcBorders>
              <w:top w:val="nil"/>
              <w:left w:val="nil"/>
              <w:bottom w:val="nil"/>
              <w:right w:val="nil"/>
            </w:tcBorders>
            <w:shd w:val="clear" w:color="auto" w:fill="auto"/>
            <w:vAlign w:val="center"/>
            <w:hideMark/>
          </w:tcPr>
          <w:p w14:paraId="6EEFEFA6" w14:textId="77777777" w:rsidR="00B9311E" w:rsidRPr="00BD77D8" w:rsidRDefault="00B9311E" w:rsidP="00B9311E">
            <w:pPr>
              <w:spacing w:after="0" w:line="240" w:lineRule="auto"/>
              <w:jc w:val="right"/>
              <w:rPr>
                <w:b/>
                <w:bCs/>
                <w:sz w:val="17"/>
                <w:szCs w:val="17"/>
              </w:rPr>
            </w:pPr>
            <w:r w:rsidRPr="00BD77D8">
              <w:rPr>
                <w:b/>
                <w:bCs/>
                <w:sz w:val="17"/>
                <w:szCs w:val="17"/>
              </w:rPr>
              <w:t xml:space="preserve">                180 </w:t>
            </w:r>
          </w:p>
        </w:tc>
        <w:tc>
          <w:tcPr>
            <w:tcW w:w="1285" w:type="dxa"/>
            <w:tcBorders>
              <w:top w:val="nil"/>
              <w:left w:val="nil"/>
              <w:bottom w:val="nil"/>
              <w:right w:val="nil"/>
            </w:tcBorders>
            <w:shd w:val="clear" w:color="auto" w:fill="auto"/>
            <w:vAlign w:val="center"/>
            <w:hideMark/>
          </w:tcPr>
          <w:p w14:paraId="05C9A4C0" w14:textId="77777777" w:rsidR="00B9311E" w:rsidRPr="00BD77D8" w:rsidRDefault="00B9311E" w:rsidP="00B9311E">
            <w:pPr>
              <w:spacing w:after="0" w:line="240" w:lineRule="auto"/>
              <w:jc w:val="right"/>
              <w:rPr>
                <w:sz w:val="17"/>
                <w:szCs w:val="17"/>
              </w:rPr>
            </w:pPr>
            <w:r w:rsidRPr="00BD77D8">
              <w:rPr>
                <w:sz w:val="17"/>
                <w:szCs w:val="17"/>
              </w:rPr>
              <w:t xml:space="preserve">                339 </w:t>
            </w:r>
          </w:p>
        </w:tc>
        <w:tc>
          <w:tcPr>
            <w:tcW w:w="1062" w:type="dxa"/>
            <w:tcBorders>
              <w:top w:val="nil"/>
              <w:left w:val="nil"/>
              <w:bottom w:val="nil"/>
              <w:right w:val="nil"/>
            </w:tcBorders>
            <w:shd w:val="clear" w:color="auto" w:fill="auto"/>
            <w:vAlign w:val="center"/>
            <w:hideMark/>
          </w:tcPr>
          <w:p w14:paraId="23C20D87" w14:textId="77777777" w:rsidR="00B9311E" w:rsidRPr="00BD77D8" w:rsidRDefault="00B9311E" w:rsidP="00B9311E">
            <w:pPr>
              <w:spacing w:after="0" w:line="240" w:lineRule="auto"/>
              <w:jc w:val="right"/>
              <w:rPr>
                <w:b/>
                <w:bCs/>
                <w:sz w:val="17"/>
                <w:szCs w:val="17"/>
              </w:rPr>
            </w:pPr>
            <w:r w:rsidRPr="00BD77D8">
              <w:rPr>
                <w:b/>
                <w:bCs/>
                <w:sz w:val="17"/>
                <w:szCs w:val="17"/>
              </w:rPr>
              <w:t xml:space="preserve">          982 </w:t>
            </w:r>
          </w:p>
        </w:tc>
        <w:tc>
          <w:tcPr>
            <w:tcW w:w="915" w:type="dxa"/>
            <w:tcBorders>
              <w:top w:val="nil"/>
              <w:left w:val="nil"/>
              <w:bottom w:val="nil"/>
              <w:right w:val="nil"/>
            </w:tcBorders>
            <w:shd w:val="clear" w:color="auto" w:fill="auto"/>
            <w:vAlign w:val="center"/>
            <w:hideMark/>
          </w:tcPr>
          <w:p w14:paraId="668DBB39" w14:textId="77777777" w:rsidR="00B9311E" w:rsidRPr="00BD77D8" w:rsidRDefault="00B9311E" w:rsidP="00B9311E">
            <w:pPr>
              <w:spacing w:after="0" w:line="240" w:lineRule="auto"/>
              <w:jc w:val="right"/>
              <w:rPr>
                <w:sz w:val="17"/>
                <w:szCs w:val="17"/>
              </w:rPr>
            </w:pPr>
            <w:r w:rsidRPr="00BD77D8">
              <w:rPr>
                <w:sz w:val="17"/>
                <w:szCs w:val="17"/>
              </w:rPr>
              <w:t xml:space="preserve">       1,774 </w:t>
            </w:r>
          </w:p>
        </w:tc>
      </w:tr>
      <w:tr w:rsidR="00BD77D8" w:rsidRPr="00BD77D8" w14:paraId="1F5368EE" w14:textId="77777777" w:rsidTr="003057FB">
        <w:trPr>
          <w:trHeight w:val="240"/>
        </w:trPr>
        <w:tc>
          <w:tcPr>
            <w:tcW w:w="3655" w:type="dxa"/>
            <w:tcBorders>
              <w:top w:val="nil"/>
              <w:left w:val="nil"/>
              <w:bottom w:val="nil"/>
              <w:right w:val="nil"/>
            </w:tcBorders>
            <w:shd w:val="clear" w:color="auto" w:fill="auto"/>
            <w:noWrap/>
            <w:vAlign w:val="bottom"/>
            <w:hideMark/>
          </w:tcPr>
          <w:p w14:paraId="4F4C0E8B" w14:textId="77777777" w:rsidR="00B9311E" w:rsidRPr="00BD77D8" w:rsidRDefault="00B9311E" w:rsidP="00B9311E">
            <w:pPr>
              <w:spacing w:after="0" w:line="240" w:lineRule="auto"/>
              <w:ind w:firstLineChars="83" w:firstLine="141"/>
              <w:rPr>
                <w:sz w:val="17"/>
                <w:szCs w:val="17"/>
              </w:rPr>
            </w:pPr>
            <w:r w:rsidRPr="00BD77D8">
              <w:rPr>
                <w:sz w:val="17"/>
                <w:szCs w:val="17"/>
              </w:rPr>
              <w:t xml:space="preserve"> Non-current assets classified as held for sale </w:t>
            </w:r>
          </w:p>
        </w:tc>
        <w:tc>
          <w:tcPr>
            <w:tcW w:w="913" w:type="dxa"/>
            <w:tcBorders>
              <w:top w:val="nil"/>
              <w:left w:val="nil"/>
              <w:bottom w:val="nil"/>
              <w:right w:val="nil"/>
            </w:tcBorders>
            <w:shd w:val="clear" w:color="auto" w:fill="auto"/>
            <w:vAlign w:val="center"/>
            <w:hideMark/>
          </w:tcPr>
          <w:p w14:paraId="33D6CE87" w14:textId="77777777" w:rsidR="00B9311E" w:rsidRPr="00BD77D8" w:rsidRDefault="00B9311E" w:rsidP="00B9311E">
            <w:pPr>
              <w:spacing w:after="0" w:line="240" w:lineRule="auto"/>
              <w:jc w:val="right"/>
              <w:rPr>
                <w:b/>
                <w:bCs/>
                <w:sz w:val="17"/>
                <w:szCs w:val="17"/>
              </w:rPr>
            </w:pPr>
            <w:r w:rsidRPr="00BD77D8">
              <w:rPr>
                <w:b/>
                <w:bCs/>
                <w:sz w:val="17"/>
                <w:szCs w:val="17"/>
              </w:rPr>
              <w:t xml:space="preserve">            880 </w:t>
            </w:r>
          </w:p>
        </w:tc>
        <w:tc>
          <w:tcPr>
            <w:tcW w:w="982" w:type="dxa"/>
            <w:tcBorders>
              <w:top w:val="nil"/>
              <w:left w:val="nil"/>
              <w:bottom w:val="nil"/>
              <w:right w:val="nil"/>
            </w:tcBorders>
            <w:shd w:val="clear" w:color="auto" w:fill="auto"/>
            <w:vAlign w:val="center"/>
            <w:hideMark/>
          </w:tcPr>
          <w:p w14:paraId="52BDD75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993" w:type="dxa"/>
            <w:tcBorders>
              <w:top w:val="nil"/>
              <w:left w:val="nil"/>
              <w:bottom w:val="nil"/>
              <w:right w:val="nil"/>
            </w:tcBorders>
            <w:shd w:val="clear" w:color="auto" w:fill="auto"/>
            <w:vAlign w:val="center"/>
            <w:hideMark/>
          </w:tcPr>
          <w:p w14:paraId="57FA7387"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000" w:type="dxa"/>
            <w:tcBorders>
              <w:top w:val="nil"/>
              <w:left w:val="nil"/>
              <w:bottom w:val="nil"/>
              <w:right w:val="nil"/>
            </w:tcBorders>
            <w:shd w:val="clear" w:color="auto" w:fill="auto"/>
            <w:vAlign w:val="center"/>
            <w:hideMark/>
          </w:tcPr>
          <w:p w14:paraId="3E2EDCDB"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26DB9D18"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52266BE6"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56" w:type="dxa"/>
            <w:tcBorders>
              <w:top w:val="nil"/>
              <w:left w:val="nil"/>
              <w:bottom w:val="nil"/>
              <w:right w:val="nil"/>
            </w:tcBorders>
            <w:shd w:val="clear" w:color="auto" w:fill="auto"/>
            <w:vAlign w:val="center"/>
            <w:hideMark/>
          </w:tcPr>
          <w:p w14:paraId="270629A7"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56" w:type="dxa"/>
            <w:tcBorders>
              <w:top w:val="nil"/>
              <w:left w:val="nil"/>
              <w:bottom w:val="nil"/>
              <w:right w:val="nil"/>
            </w:tcBorders>
            <w:shd w:val="clear" w:color="auto" w:fill="auto"/>
            <w:vAlign w:val="center"/>
            <w:hideMark/>
          </w:tcPr>
          <w:p w14:paraId="3278B001"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285" w:type="dxa"/>
            <w:tcBorders>
              <w:top w:val="nil"/>
              <w:left w:val="nil"/>
              <w:bottom w:val="nil"/>
              <w:right w:val="nil"/>
            </w:tcBorders>
            <w:shd w:val="clear" w:color="auto" w:fill="auto"/>
            <w:vAlign w:val="center"/>
            <w:hideMark/>
          </w:tcPr>
          <w:p w14:paraId="5B04E30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062" w:type="dxa"/>
            <w:tcBorders>
              <w:top w:val="nil"/>
              <w:left w:val="nil"/>
              <w:bottom w:val="nil"/>
              <w:right w:val="nil"/>
            </w:tcBorders>
            <w:shd w:val="clear" w:color="auto" w:fill="auto"/>
            <w:vAlign w:val="center"/>
            <w:hideMark/>
          </w:tcPr>
          <w:p w14:paraId="6585E352" w14:textId="77777777" w:rsidR="00B9311E" w:rsidRPr="00BD77D8" w:rsidRDefault="00B9311E" w:rsidP="00B9311E">
            <w:pPr>
              <w:spacing w:after="0" w:line="240" w:lineRule="auto"/>
              <w:jc w:val="right"/>
              <w:rPr>
                <w:b/>
                <w:bCs/>
                <w:sz w:val="17"/>
                <w:szCs w:val="17"/>
              </w:rPr>
            </w:pPr>
            <w:r w:rsidRPr="00BD77D8">
              <w:rPr>
                <w:b/>
                <w:bCs/>
                <w:sz w:val="17"/>
                <w:szCs w:val="17"/>
              </w:rPr>
              <w:t xml:space="preserve">          880 </w:t>
            </w:r>
          </w:p>
        </w:tc>
        <w:tc>
          <w:tcPr>
            <w:tcW w:w="915" w:type="dxa"/>
            <w:tcBorders>
              <w:top w:val="nil"/>
              <w:left w:val="nil"/>
              <w:bottom w:val="nil"/>
              <w:right w:val="nil"/>
            </w:tcBorders>
            <w:shd w:val="clear" w:color="auto" w:fill="auto"/>
            <w:vAlign w:val="center"/>
            <w:hideMark/>
          </w:tcPr>
          <w:p w14:paraId="5C6EBCF2" w14:textId="77777777" w:rsidR="00B9311E" w:rsidRPr="00BD77D8" w:rsidRDefault="00B9311E" w:rsidP="00B9311E">
            <w:pPr>
              <w:spacing w:after="0" w:line="240" w:lineRule="auto"/>
              <w:jc w:val="right"/>
              <w:rPr>
                <w:sz w:val="17"/>
                <w:szCs w:val="17"/>
              </w:rPr>
            </w:pPr>
            <w:r w:rsidRPr="00BD77D8">
              <w:rPr>
                <w:sz w:val="17"/>
                <w:szCs w:val="17"/>
              </w:rPr>
              <w:t xml:space="preserve">                - </w:t>
            </w:r>
          </w:p>
        </w:tc>
      </w:tr>
      <w:tr w:rsidR="00BD77D8" w:rsidRPr="00BD77D8" w14:paraId="447E68A3" w14:textId="77777777" w:rsidTr="003057FB">
        <w:trPr>
          <w:trHeight w:val="240"/>
        </w:trPr>
        <w:tc>
          <w:tcPr>
            <w:tcW w:w="3655" w:type="dxa"/>
            <w:tcBorders>
              <w:top w:val="nil"/>
              <w:left w:val="nil"/>
              <w:bottom w:val="nil"/>
              <w:right w:val="nil"/>
            </w:tcBorders>
            <w:shd w:val="clear" w:color="auto" w:fill="auto"/>
            <w:noWrap/>
            <w:vAlign w:val="bottom"/>
            <w:hideMark/>
          </w:tcPr>
          <w:p w14:paraId="5DED4435" w14:textId="77777777" w:rsidR="00B9311E" w:rsidRPr="00BD77D8" w:rsidRDefault="00B9311E" w:rsidP="00B9311E">
            <w:pPr>
              <w:spacing w:after="0" w:line="240" w:lineRule="auto"/>
              <w:rPr>
                <w:b/>
                <w:bCs/>
                <w:sz w:val="17"/>
                <w:szCs w:val="17"/>
              </w:rPr>
            </w:pPr>
            <w:r w:rsidRPr="00BD77D8">
              <w:rPr>
                <w:b/>
                <w:bCs/>
                <w:sz w:val="17"/>
                <w:szCs w:val="17"/>
              </w:rPr>
              <w:t xml:space="preserve"> Total Current Assets </w:t>
            </w:r>
          </w:p>
        </w:tc>
        <w:tc>
          <w:tcPr>
            <w:tcW w:w="913" w:type="dxa"/>
            <w:tcBorders>
              <w:top w:val="single" w:sz="4" w:space="0" w:color="auto"/>
              <w:left w:val="nil"/>
              <w:bottom w:val="single" w:sz="4" w:space="0" w:color="auto"/>
              <w:right w:val="nil"/>
            </w:tcBorders>
            <w:shd w:val="clear" w:color="auto" w:fill="auto"/>
            <w:vAlign w:val="center"/>
            <w:hideMark/>
          </w:tcPr>
          <w:p w14:paraId="725E859C" w14:textId="77777777" w:rsidR="00B9311E" w:rsidRPr="00BD77D8" w:rsidRDefault="00B9311E" w:rsidP="00B9311E">
            <w:pPr>
              <w:spacing w:after="0" w:line="240" w:lineRule="auto"/>
              <w:jc w:val="right"/>
              <w:rPr>
                <w:b/>
                <w:bCs/>
                <w:sz w:val="17"/>
                <w:szCs w:val="17"/>
              </w:rPr>
            </w:pPr>
            <w:r w:rsidRPr="00BD77D8">
              <w:rPr>
                <w:b/>
                <w:bCs/>
                <w:sz w:val="17"/>
                <w:szCs w:val="17"/>
              </w:rPr>
              <w:t xml:space="preserve">      36,990 </w:t>
            </w:r>
          </w:p>
        </w:tc>
        <w:tc>
          <w:tcPr>
            <w:tcW w:w="982" w:type="dxa"/>
            <w:tcBorders>
              <w:top w:val="single" w:sz="4" w:space="0" w:color="auto"/>
              <w:left w:val="nil"/>
              <w:bottom w:val="single" w:sz="4" w:space="0" w:color="auto"/>
              <w:right w:val="nil"/>
            </w:tcBorders>
            <w:shd w:val="clear" w:color="auto" w:fill="auto"/>
            <w:vAlign w:val="center"/>
            <w:hideMark/>
          </w:tcPr>
          <w:p w14:paraId="2F38A224" w14:textId="77777777" w:rsidR="00B9311E" w:rsidRPr="00BD77D8" w:rsidRDefault="00B9311E" w:rsidP="00B9311E">
            <w:pPr>
              <w:spacing w:after="0" w:line="240" w:lineRule="auto"/>
              <w:jc w:val="right"/>
              <w:rPr>
                <w:b/>
                <w:bCs/>
                <w:sz w:val="17"/>
                <w:szCs w:val="17"/>
              </w:rPr>
            </w:pPr>
            <w:r w:rsidRPr="00BD77D8">
              <w:rPr>
                <w:b/>
                <w:bCs/>
                <w:sz w:val="17"/>
                <w:szCs w:val="17"/>
              </w:rPr>
              <w:t xml:space="preserve">      36,178 </w:t>
            </w:r>
          </w:p>
        </w:tc>
        <w:tc>
          <w:tcPr>
            <w:tcW w:w="993" w:type="dxa"/>
            <w:tcBorders>
              <w:top w:val="single" w:sz="4" w:space="0" w:color="auto"/>
              <w:left w:val="nil"/>
              <w:bottom w:val="single" w:sz="4" w:space="0" w:color="auto"/>
              <w:right w:val="nil"/>
            </w:tcBorders>
            <w:shd w:val="clear" w:color="auto" w:fill="auto"/>
            <w:vAlign w:val="center"/>
            <w:hideMark/>
          </w:tcPr>
          <w:p w14:paraId="2AB10B48" w14:textId="77777777" w:rsidR="00B9311E" w:rsidRPr="00BD77D8" w:rsidRDefault="00B9311E" w:rsidP="00B9311E">
            <w:pPr>
              <w:spacing w:after="0" w:line="240" w:lineRule="auto"/>
              <w:jc w:val="right"/>
              <w:rPr>
                <w:b/>
                <w:bCs/>
                <w:sz w:val="17"/>
                <w:szCs w:val="17"/>
              </w:rPr>
            </w:pPr>
            <w:r w:rsidRPr="00BD77D8">
              <w:rPr>
                <w:b/>
                <w:bCs/>
                <w:sz w:val="17"/>
                <w:szCs w:val="17"/>
              </w:rPr>
              <w:t xml:space="preserve">         1,018 </w:t>
            </w:r>
          </w:p>
        </w:tc>
        <w:tc>
          <w:tcPr>
            <w:tcW w:w="1000" w:type="dxa"/>
            <w:tcBorders>
              <w:top w:val="single" w:sz="4" w:space="0" w:color="auto"/>
              <w:left w:val="nil"/>
              <w:bottom w:val="single" w:sz="4" w:space="0" w:color="auto"/>
              <w:right w:val="nil"/>
            </w:tcBorders>
            <w:shd w:val="clear" w:color="auto" w:fill="auto"/>
            <w:vAlign w:val="center"/>
            <w:hideMark/>
          </w:tcPr>
          <w:p w14:paraId="650A9894" w14:textId="77777777" w:rsidR="00B9311E" w:rsidRPr="00BD77D8" w:rsidRDefault="00B9311E" w:rsidP="00B9311E">
            <w:pPr>
              <w:spacing w:after="0" w:line="240" w:lineRule="auto"/>
              <w:jc w:val="right"/>
              <w:rPr>
                <w:b/>
                <w:bCs/>
                <w:sz w:val="17"/>
                <w:szCs w:val="17"/>
              </w:rPr>
            </w:pPr>
            <w:r w:rsidRPr="00BD77D8">
              <w:rPr>
                <w:b/>
                <w:bCs/>
                <w:sz w:val="17"/>
                <w:szCs w:val="17"/>
              </w:rPr>
              <w:t xml:space="preserve">         2,403 </w:t>
            </w:r>
          </w:p>
        </w:tc>
        <w:tc>
          <w:tcPr>
            <w:tcW w:w="1134" w:type="dxa"/>
            <w:tcBorders>
              <w:top w:val="single" w:sz="4" w:space="0" w:color="auto"/>
              <w:left w:val="nil"/>
              <w:bottom w:val="single" w:sz="4" w:space="0" w:color="auto"/>
              <w:right w:val="nil"/>
            </w:tcBorders>
            <w:shd w:val="clear" w:color="auto" w:fill="auto"/>
            <w:vAlign w:val="center"/>
            <w:hideMark/>
          </w:tcPr>
          <w:p w14:paraId="628C5448"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single" w:sz="4" w:space="0" w:color="auto"/>
              <w:left w:val="nil"/>
              <w:bottom w:val="single" w:sz="4" w:space="0" w:color="auto"/>
              <w:right w:val="nil"/>
            </w:tcBorders>
            <w:shd w:val="clear" w:color="auto" w:fill="auto"/>
            <w:vAlign w:val="center"/>
            <w:hideMark/>
          </w:tcPr>
          <w:p w14:paraId="3C8A4B49" w14:textId="77777777" w:rsidR="00B9311E" w:rsidRPr="00BD77D8" w:rsidRDefault="00B9311E" w:rsidP="00B9311E">
            <w:pPr>
              <w:spacing w:after="0" w:line="240" w:lineRule="auto"/>
              <w:jc w:val="right"/>
              <w:rPr>
                <w:b/>
                <w:bCs/>
                <w:sz w:val="17"/>
                <w:szCs w:val="17"/>
              </w:rPr>
            </w:pPr>
            <w:r w:rsidRPr="00BD77D8">
              <w:rPr>
                <w:b/>
                <w:bCs/>
                <w:sz w:val="17"/>
                <w:szCs w:val="17"/>
              </w:rPr>
              <w:t xml:space="preserve">             7,539 </w:t>
            </w:r>
          </w:p>
        </w:tc>
        <w:tc>
          <w:tcPr>
            <w:tcW w:w="1156" w:type="dxa"/>
            <w:tcBorders>
              <w:top w:val="single" w:sz="4" w:space="0" w:color="auto"/>
              <w:left w:val="nil"/>
              <w:bottom w:val="single" w:sz="4" w:space="0" w:color="auto"/>
              <w:right w:val="nil"/>
            </w:tcBorders>
            <w:shd w:val="clear" w:color="auto" w:fill="auto"/>
            <w:vAlign w:val="center"/>
            <w:hideMark/>
          </w:tcPr>
          <w:p w14:paraId="20771666" w14:textId="77777777" w:rsidR="00B9311E" w:rsidRPr="00BD77D8" w:rsidRDefault="00B9311E" w:rsidP="00B9311E">
            <w:pPr>
              <w:spacing w:after="0" w:line="240" w:lineRule="auto"/>
              <w:jc w:val="right"/>
              <w:rPr>
                <w:b/>
                <w:bCs/>
                <w:sz w:val="17"/>
                <w:szCs w:val="17"/>
              </w:rPr>
            </w:pPr>
            <w:r w:rsidRPr="00BD77D8">
              <w:rPr>
                <w:b/>
                <w:bCs/>
                <w:sz w:val="17"/>
                <w:szCs w:val="17"/>
              </w:rPr>
              <w:t xml:space="preserve">             8,122 </w:t>
            </w:r>
          </w:p>
        </w:tc>
        <w:tc>
          <w:tcPr>
            <w:tcW w:w="1156" w:type="dxa"/>
            <w:tcBorders>
              <w:top w:val="single" w:sz="4" w:space="0" w:color="auto"/>
              <w:left w:val="nil"/>
              <w:bottom w:val="single" w:sz="4" w:space="0" w:color="auto"/>
              <w:right w:val="nil"/>
            </w:tcBorders>
            <w:shd w:val="clear" w:color="auto" w:fill="auto"/>
            <w:vAlign w:val="center"/>
            <w:hideMark/>
          </w:tcPr>
          <w:p w14:paraId="13A30998" w14:textId="77777777" w:rsidR="00B9311E" w:rsidRPr="00BD77D8" w:rsidRDefault="00B9311E" w:rsidP="00B9311E">
            <w:pPr>
              <w:spacing w:after="0" w:line="240" w:lineRule="auto"/>
              <w:jc w:val="right"/>
              <w:rPr>
                <w:b/>
                <w:bCs/>
                <w:sz w:val="17"/>
                <w:szCs w:val="17"/>
              </w:rPr>
            </w:pPr>
            <w:r w:rsidRPr="00BD77D8">
              <w:rPr>
                <w:b/>
                <w:bCs/>
                <w:sz w:val="17"/>
                <w:szCs w:val="17"/>
              </w:rPr>
              <w:t xml:space="preserve">           14,830 </w:t>
            </w:r>
          </w:p>
        </w:tc>
        <w:tc>
          <w:tcPr>
            <w:tcW w:w="1285" w:type="dxa"/>
            <w:tcBorders>
              <w:top w:val="single" w:sz="4" w:space="0" w:color="auto"/>
              <w:left w:val="nil"/>
              <w:bottom w:val="single" w:sz="4" w:space="0" w:color="auto"/>
              <w:right w:val="nil"/>
            </w:tcBorders>
            <w:shd w:val="clear" w:color="auto" w:fill="auto"/>
            <w:vAlign w:val="center"/>
            <w:hideMark/>
          </w:tcPr>
          <w:p w14:paraId="70B3CB15" w14:textId="77777777" w:rsidR="00B9311E" w:rsidRPr="00BD77D8" w:rsidRDefault="00B9311E" w:rsidP="00B9311E">
            <w:pPr>
              <w:spacing w:after="0" w:line="240" w:lineRule="auto"/>
              <w:jc w:val="right"/>
              <w:rPr>
                <w:b/>
                <w:bCs/>
                <w:sz w:val="17"/>
                <w:szCs w:val="17"/>
              </w:rPr>
            </w:pPr>
            <w:r w:rsidRPr="00BD77D8">
              <w:rPr>
                <w:b/>
                <w:bCs/>
                <w:sz w:val="17"/>
                <w:szCs w:val="17"/>
              </w:rPr>
              <w:t xml:space="preserve">           15,920 </w:t>
            </w:r>
          </w:p>
        </w:tc>
        <w:tc>
          <w:tcPr>
            <w:tcW w:w="1062" w:type="dxa"/>
            <w:tcBorders>
              <w:top w:val="single" w:sz="4" w:space="0" w:color="auto"/>
              <w:left w:val="nil"/>
              <w:bottom w:val="single" w:sz="4" w:space="0" w:color="auto"/>
              <w:right w:val="nil"/>
            </w:tcBorders>
            <w:shd w:val="clear" w:color="auto" w:fill="auto"/>
            <w:vAlign w:val="center"/>
            <w:hideMark/>
          </w:tcPr>
          <w:p w14:paraId="3C82CDAE" w14:textId="77777777" w:rsidR="00B9311E" w:rsidRPr="00BD77D8" w:rsidRDefault="00B9311E" w:rsidP="00B9311E">
            <w:pPr>
              <w:spacing w:after="0" w:line="240" w:lineRule="auto"/>
              <w:jc w:val="right"/>
              <w:rPr>
                <w:b/>
                <w:bCs/>
                <w:sz w:val="17"/>
                <w:szCs w:val="17"/>
              </w:rPr>
            </w:pPr>
            <w:r w:rsidRPr="00BD77D8">
              <w:rPr>
                <w:b/>
                <w:bCs/>
                <w:sz w:val="17"/>
                <w:szCs w:val="17"/>
              </w:rPr>
              <w:t xml:space="preserve">    60,377 </w:t>
            </w:r>
          </w:p>
        </w:tc>
        <w:tc>
          <w:tcPr>
            <w:tcW w:w="915" w:type="dxa"/>
            <w:tcBorders>
              <w:top w:val="single" w:sz="4" w:space="0" w:color="auto"/>
              <w:left w:val="nil"/>
              <w:bottom w:val="single" w:sz="4" w:space="0" w:color="auto"/>
              <w:right w:val="nil"/>
            </w:tcBorders>
            <w:shd w:val="clear" w:color="auto" w:fill="auto"/>
            <w:vAlign w:val="center"/>
            <w:hideMark/>
          </w:tcPr>
          <w:p w14:paraId="0119592B" w14:textId="77777777" w:rsidR="00B9311E" w:rsidRPr="00BD77D8" w:rsidRDefault="00B9311E" w:rsidP="00B9311E">
            <w:pPr>
              <w:spacing w:after="0" w:line="240" w:lineRule="auto"/>
              <w:jc w:val="right"/>
              <w:rPr>
                <w:b/>
                <w:bCs/>
                <w:sz w:val="17"/>
                <w:szCs w:val="17"/>
              </w:rPr>
            </w:pPr>
            <w:r w:rsidRPr="00BD77D8">
              <w:rPr>
                <w:b/>
                <w:bCs/>
                <w:sz w:val="17"/>
                <w:szCs w:val="17"/>
              </w:rPr>
              <w:t xml:space="preserve">    62,622 </w:t>
            </w:r>
          </w:p>
        </w:tc>
      </w:tr>
      <w:tr w:rsidR="00BD77D8" w:rsidRPr="00BD77D8" w14:paraId="65948D18" w14:textId="77777777" w:rsidTr="003057FB">
        <w:trPr>
          <w:trHeight w:val="240"/>
        </w:trPr>
        <w:tc>
          <w:tcPr>
            <w:tcW w:w="3655" w:type="dxa"/>
            <w:tcBorders>
              <w:top w:val="nil"/>
              <w:left w:val="nil"/>
              <w:bottom w:val="nil"/>
              <w:right w:val="nil"/>
            </w:tcBorders>
            <w:shd w:val="clear" w:color="000000" w:fill="FFFFFF"/>
            <w:noWrap/>
            <w:vAlign w:val="bottom"/>
            <w:hideMark/>
          </w:tcPr>
          <w:p w14:paraId="408120E3" w14:textId="77777777" w:rsidR="00B9311E" w:rsidRPr="00BD77D8" w:rsidRDefault="00B9311E" w:rsidP="00B9311E">
            <w:pPr>
              <w:spacing w:after="0" w:line="240" w:lineRule="auto"/>
              <w:rPr>
                <w:b/>
                <w:bCs/>
                <w:sz w:val="17"/>
                <w:szCs w:val="17"/>
              </w:rPr>
            </w:pPr>
            <w:r w:rsidRPr="00BD77D8">
              <w:rPr>
                <w:b/>
                <w:bCs/>
                <w:sz w:val="17"/>
                <w:szCs w:val="17"/>
              </w:rPr>
              <w:t xml:space="preserve"> Non-Current Assets </w:t>
            </w:r>
          </w:p>
        </w:tc>
        <w:tc>
          <w:tcPr>
            <w:tcW w:w="913" w:type="dxa"/>
            <w:tcBorders>
              <w:top w:val="nil"/>
              <w:left w:val="nil"/>
              <w:bottom w:val="nil"/>
              <w:right w:val="nil"/>
            </w:tcBorders>
            <w:shd w:val="clear" w:color="auto" w:fill="auto"/>
            <w:vAlign w:val="center"/>
            <w:hideMark/>
          </w:tcPr>
          <w:p w14:paraId="34D78A71" w14:textId="77777777" w:rsidR="00B9311E" w:rsidRPr="00BD77D8" w:rsidRDefault="00B9311E" w:rsidP="00B9311E">
            <w:pPr>
              <w:spacing w:after="0" w:line="240" w:lineRule="auto"/>
              <w:jc w:val="right"/>
              <w:rPr>
                <w:b/>
                <w:bCs/>
                <w:sz w:val="17"/>
                <w:szCs w:val="17"/>
              </w:rPr>
            </w:pPr>
          </w:p>
        </w:tc>
        <w:tc>
          <w:tcPr>
            <w:tcW w:w="982" w:type="dxa"/>
            <w:tcBorders>
              <w:top w:val="nil"/>
              <w:left w:val="nil"/>
              <w:bottom w:val="nil"/>
              <w:right w:val="nil"/>
            </w:tcBorders>
            <w:shd w:val="clear" w:color="auto" w:fill="auto"/>
            <w:vAlign w:val="center"/>
            <w:hideMark/>
          </w:tcPr>
          <w:p w14:paraId="4BE6F30E"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93" w:type="dxa"/>
            <w:tcBorders>
              <w:top w:val="nil"/>
              <w:left w:val="nil"/>
              <w:bottom w:val="nil"/>
              <w:right w:val="nil"/>
            </w:tcBorders>
            <w:shd w:val="clear" w:color="auto" w:fill="auto"/>
            <w:vAlign w:val="center"/>
            <w:hideMark/>
          </w:tcPr>
          <w:p w14:paraId="76075067"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00" w:type="dxa"/>
            <w:tcBorders>
              <w:top w:val="nil"/>
              <w:left w:val="nil"/>
              <w:bottom w:val="nil"/>
              <w:right w:val="nil"/>
            </w:tcBorders>
            <w:shd w:val="clear" w:color="auto" w:fill="auto"/>
            <w:vAlign w:val="center"/>
            <w:hideMark/>
          </w:tcPr>
          <w:p w14:paraId="11A463FA"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34" w:type="dxa"/>
            <w:tcBorders>
              <w:top w:val="nil"/>
              <w:left w:val="nil"/>
              <w:bottom w:val="nil"/>
              <w:right w:val="nil"/>
            </w:tcBorders>
            <w:shd w:val="clear" w:color="auto" w:fill="auto"/>
            <w:vAlign w:val="center"/>
            <w:hideMark/>
          </w:tcPr>
          <w:p w14:paraId="6A9C184D"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13" w:type="dxa"/>
            <w:tcBorders>
              <w:top w:val="nil"/>
              <w:left w:val="nil"/>
              <w:bottom w:val="nil"/>
              <w:right w:val="nil"/>
            </w:tcBorders>
            <w:shd w:val="clear" w:color="auto" w:fill="auto"/>
            <w:vAlign w:val="center"/>
            <w:hideMark/>
          </w:tcPr>
          <w:p w14:paraId="015D41CE"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vAlign w:val="center"/>
            <w:hideMark/>
          </w:tcPr>
          <w:p w14:paraId="71B22AAA"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vAlign w:val="center"/>
            <w:hideMark/>
          </w:tcPr>
          <w:p w14:paraId="5B1BA9C1"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285" w:type="dxa"/>
            <w:tcBorders>
              <w:top w:val="nil"/>
              <w:left w:val="nil"/>
              <w:bottom w:val="nil"/>
              <w:right w:val="nil"/>
            </w:tcBorders>
            <w:shd w:val="clear" w:color="auto" w:fill="auto"/>
            <w:vAlign w:val="center"/>
            <w:hideMark/>
          </w:tcPr>
          <w:p w14:paraId="4F4C2901"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62" w:type="dxa"/>
            <w:tcBorders>
              <w:top w:val="nil"/>
              <w:left w:val="nil"/>
              <w:bottom w:val="nil"/>
              <w:right w:val="nil"/>
            </w:tcBorders>
            <w:shd w:val="clear" w:color="auto" w:fill="auto"/>
            <w:vAlign w:val="center"/>
            <w:hideMark/>
          </w:tcPr>
          <w:p w14:paraId="37CDE7AD"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15" w:type="dxa"/>
            <w:tcBorders>
              <w:top w:val="nil"/>
              <w:left w:val="nil"/>
              <w:bottom w:val="nil"/>
              <w:right w:val="nil"/>
            </w:tcBorders>
            <w:shd w:val="clear" w:color="auto" w:fill="auto"/>
            <w:vAlign w:val="center"/>
            <w:hideMark/>
          </w:tcPr>
          <w:p w14:paraId="713DA94B" w14:textId="77777777" w:rsidR="00B9311E" w:rsidRPr="00BD77D8" w:rsidRDefault="00B9311E" w:rsidP="00B9311E">
            <w:pPr>
              <w:spacing w:after="0" w:line="240" w:lineRule="auto"/>
              <w:jc w:val="right"/>
              <w:rPr>
                <w:rFonts w:ascii="Times New Roman" w:hAnsi="Times New Roman" w:cs="Times New Roman"/>
                <w:b/>
                <w:bCs/>
                <w:sz w:val="17"/>
                <w:szCs w:val="17"/>
              </w:rPr>
            </w:pPr>
          </w:p>
        </w:tc>
      </w:tr>
      <w:tr w:rsidR="00BD77D8" w:rsidRPr="00BD77D8" w14:paraId="2D2FEB9C" w14:textId="77777777" w:rsidTr="003057FB">
        <w:trPr>
          <w:trHeight w:val="240"/>
        </w:trPr>
        <w:tc>
          <w:tcPr>
            <w:tcW w:w="3655" w:type="dxa"/>
            <w:tcBorders>
              <w:top w:val="nil"/>
              <w:left w:val="nil"/>
              <w:bottom w:val="nil"/>
              <w:right w:val="nil"/>
            </w:tcBorders>
            <w:shd w:val="clear" w:color="000000" w:fill="FFFFFF"/>
            <w:noWrap/>
            <w:vAlign w:val="bottom"/>
            <w:hideMark/>
          </w:tcPr>
          <w:p w14:paraId="0EF5AC76"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Property, plant and equipment </w:t>
            </w:r>
          </w:p>
        </w:tc>
        <w:tc>
          <w:tcPr>
            <w:tcW w:w="913" w:type="dxa"/>
            <w:tcBorders>
              <w:top w:val="nil"/>
              <w:left w:val="nil"/>
              <w:bottom w:val="nil"/>
              <w:right w:val="nil"/>
            </w:tcBorders>
            <w:shd w:val="clear" w:color="auto" w:fill="auto"/>
            <w:vAlign w:val="center"/>
            <w:hideMark/>
          </w:tcPr>
          <w:p w14:paraId="01E5DD13" w14:textId="77777777" w:rsidR="00B9311E" w:rsidRPr="00BD77D8" w:rsidRDefault="00B9311E" w:rsidP="00B9311E">
            <w:pPr>
              <w:spacing w:after="0" w:line="240" w:lineRule="auto"/>
              <w:jc w:val="right"/>
              <w:rPr>
                <w:b/>
                <w:bCs/>
                <w:sz w:val="17"/>
                <w:szCs w:val="17"/>
              </w:rPr>
            </w:pPr>
            <w:r w:rsidRPr="00BD77D8">
              <w:rPr>
                <w:b/>
                <w:bCs/>
                <w:sz w:val="17"/>
                <w:szCs w:val="17"/>
              </w:rPr>
              <w:t xml:space="preserve">    187,039 </w:t>
            </w:r>
          </w:p>
        </w:tc>
        <w:tc>
          <w:tcPr>
            <w:tcW w:w="982" w:type="dxa"/>
            <w:tcBorders>
              <w:top w:val="nil"/>
              <w:left w:val="nil"/>
              <w:bottom w:val="nil"/>
              <w:right w:val="nil"/>
            </w:tcBorders>
            <w:shd w:val="clear" w:color="auto" w:fill="auto"/>
            <w:vAlign w:val="center"/>
            <w:hideMark/>
          </w:tcPr>
          <w:p w14:paraId="6A5EC9D6" w14:textId="77777777" w:rsidR="00B9311E" w:rsidRPr="00BD77D8" w:rsidRDefault="00B9311E" w:rsidP="00B9311E">
            <w:pPr>
              <w:spacing w:after="0" w:line="240" w:lineRule="auto"/>
              <w:jc w:val="right"/>
              <w:rPr>
                <w:sz w:val="17"/>
                <w:szCs w:val="17"/>
              </w:rPr>
            </w:pPr>
            <w:r w:rsidRPr="00BD77D8">
              <w:rPr>
                <w:sz w:val="17"/>
                <w:szCs w:val="17"/>
              </w:rPr>
              <w:t xml:space="preserve">    165,545 </w:t>
            </w:r>
          </w:p>
        </w:tc>
        <w:tc>
          <w:tcPr>
            <w:tcW w:w="993" w:type="dxa"/>
            <w:tcBorders>
              <w:top w:val="nil"/>
              <w:left w:val="nil"/>
              <w:bottom w:val="nil"/>
              <w:right w:val="nil"/>
            </w:tcBorders>
            <w:shd w:val="clear" w:color="auto" w:fill="auto"/>
            <w:vAlign w:val="center"/>
            <w:hideMark/>
          </w:tcPr>
          <w:p w14:paraId="51720FD4" w14:textId="77777777" w:rsidR="00B9311E" w:rsidRPr="00BD77D8" w:rsidRDefault="00B9311E" w:rsidP="00B9311E">
            <w:pPr>
              <w:spacing w:after="0" w:line="240" w:lineRule="auto"/>
              <w:jc w:val="right"/>
              <w:rPr>
                <w:b/>
                <w:bCs/>
                <w:sz w:val="17"/>
                <w:szCs w:val="17"/>
              </w:rPr>
            </w:pPr>
            <w:r w:rsidRPr="00BD77D8">
              <w:rPr>
                <w:b/>
                <w:bCs/>
                <w:sz w:val="17"/>
                <w:szCs w:val="17"/>
              </w:rPr>
              <w:t xml:space="preserve">         2,208 </w:t>
            </w:r>
          </w:p>
        </w:tc>
        <w:tc>
          <w:tcPr>
            <w:tcW w:w="1000" w:type="dxa"/>
            <w:tcBorders>
              <w:top w:val="nil"/>
              <w:left w:val="nil"/>
              <w:bottom w:val="nil"/>
              <w:right w:val="nil"/>
            </w:tcBorders>
            <w:shd w:val="clear" w:color="auto" w:fill="auto"/>
            <w:vAlign w:val="center"/>
            <w:hideMark/>
          </w:tcPr>
          <w:p w14:paraId="1FD616E1"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73386790"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55E9F77F" w14:textId="77777777" w:rsidR="00B9311E" w:rsidRPr="00BD77D8" w:rsidRDefault="00B9311E" w:rsidP="00B9311E">
            <w:pPr>
              <w:spacing w:after="0" w:line="240" w:lineRule="auto"/>
              <w:jc w:val="right"/>
              <w:rPr>
                <w:b/>
                <w:bCs/>
                <w:sz w:val="17"/>
                <w:szCs w:val="17"/>
              </w:rPr>
            </w:pPr>
            <w:r w:rsidRPr="00BD77D8">
              <w:rPr>
                <w:b/>
                <w:bCs/>
                <w:sz w:val="17"/>
                <w:szCs w:val="17"/>
              </w:rPr>
              <w:t xml:space="preserve">             1,170 </w:t>
            </w:r>
          </w:p>
        </w:tc>
        <w:tc>
          <w:tcPr>
            <w:tcW w:w="1156" w:type="dxa"/>
            <w:tcBorders>
              <w:top w:val="nil"/>
              <w:left w:val="nil"/>
              <w:bottom w:val="nil"/>
              <w:right w:val="nil"/>
            </w:tcBorders>
            <w:shd w:val="clear" w:color="auto" w:fill="auto"/>
            <w:vAlign w:val="center"/>
            <w:hideMark/>
          </w:tcPr>
          <w:p w14:paraId="0BC8AA77" w14:textId="77777777" w:rsidR="00B9311E" w:rsidRPr="00BD77D8" w:rsidRDefault="00B9311E" w:rsidP="00B9311E">
            <w:pPr>
              <w:spacing w:after="0" w:line="240" w:lineRule="auto"/>
              <w:jc w:val="right"/>
              <w:rPr>
                <w:sz w:val="17"/>
                <w:szCs w:val="17"/>
              </w:rPr>
            </w:pPr>
            <w:r w:rsidRPr="00BD77D8">
              <w:rPr>
                <w:sz w:val="17"/>
                <w:szCs w:val="17"/>
              </w:rPr>
              <w:t xml:space="preserve">                708 </w:t>
            </w:r>
          </w:p>
        </w:tc>
        <w:tc>
          <w:tcPr>
            <w:tcW w:w="1156" w:type="dxa"/>
            <w:tcBorders>
              <w:top w:val="nil"/>
              <w:left w:val="nil"/>
              <w:bottom w:val="nil"/>
              <w:right w:val="nil"/>
            </w:tcBorders>
            <w:shd w:val="clear" w:color="auto" w:fill="auto"/>
            <w:vAlign w:val="center"/>
            <w:hideMark/>
          </w:tcPr>
          <w:p w14:paraId="2C405D37" w14:textId="77777777" w:rsidR="00B9311E" w:rsidRPr="00BD77D8" w:rsidRDefault="00B9311E" w:rsidP="00B9311E">
            <w:pPr>
              <w:spacing w:after="0" w:line="240" w:lineRule="auto"/>
              <w:jc w:val="right"/>
              <w:rPr>
                <w:b/>
                <w:bCs/>
                <w:sz w:val="17"/>
                <w:szCs w:val="17"/>
              </w:rPr>
            </w:pPr>
            <w:r w:rsidRPr="00BD77D8">
              <w:rPr>
                <w:b/>
                <w:bCs/>
                <w:sz w:val="17"/>
                <w:szCs w:val="17"/>
              </w:rPr>
              <w:t xml:space="preserve">           14,756 </w:t>
            </w:r>
          </w:p>
        </w:tc>
        <w:tc>
          <w:tcPr>
            <w:tcW w:w="1285" w:type="dxa"/>
            <w:tcBorders>
              <w:top w:val="nil"/>
              <w:left w:val="nil"/>
              <w:bottom w:val="nil"/>
              <w:right w:val="nil"/>
            </w:tcBorders>
            <w:shd w:val="clear" w:color="auto" w:fill="auto"/>
            <w:vAlign w:val="center"/>
            <w:hideMark/>
          </w:tcPr>
          <w:p w14:paraId="3C44D37C" w14:textId="77777777" w:rsidR="00B9311E" w:rsidRPr="00BD77D8" w:rsidRDefault="00B9311E" w:rsidP="00B9311E">
            <w:pPr>
              <w:spacing w:after="0" w:line="240" w:lineRule="auto"/>
              <w:jc w:val="right"/>
              <w:rPr>
                <w:sz w:val="17"/>
                <w:szCs w:val="17"/>
              </w:rPr>
            </w:pPr>
            <w:r w:rsidRPr="00BD77D8">
              <w:rPr>
                <w:sz w:val="17"/>
                <w:szCs w:val="17"/>
              </w:rPr>
              <w:t xml:space="preserve">           15,042 </w:t>
            </w:r>
          </w:p>
        </w:tc>
        <w:tc>
          <w:tcPr>
            <w:tcW w:w="1062" w:type="dxa"/>
            <w:tcBorders>
              <w:top w:val="nil"/>
              <w:left w:val="nil"/>
              <w:bottom w:val="nil"/>
              <w:right w:val="nil"/>
            </w:tcBorders>
            <w:shd w:val="clear" w:color="auto" w:fill="auto"/>
            <w:vAlign w:val="center"/>
            <w:hideMark/>
          </w:tcPr>
          <w:p w14:paraId="377200FB" w14:textId="77777777" w:rsidR="00B9311E" w:rsidRPr="00BD77D8" w:rsidRDefault="00B9311E" w:rsidP="00B9311E">
            <w:pPr>
              <w:spacing w:after="0" w:line="240" w:lineRule="auto"/>
              <w:jc w:val="right"/>
              <w:rPr>
                <w:b/>
                <w:bCs/>
                <w:sz w:val="17"/>
                <w:szCs w:val="17"/>
              </w:rPr>
            </w:pPr>
            <w:r w:rsidRPr="00BD77D8">
              <w:rPr>
                <w:b/>
                <w:bCs/>
                <w:sz w:val="17"/>
                <w:szCs w:val="17"/>
              </w:rPr>
              <w:t xml:space="preserve">  205,173 </w:t>
            </w:r>
          </w:p>
        </w:tc>
        <w:tc>
          <w:tcPr>
            <w:tcW w:w="915" w:type="dxa"/>
            <w:tcBorders>
              <w:top w:val="nil"/>
              <w:left w:val="nil"/>
              <w:bottom w:val="nil"/>
              <w:right w:val="nil"/>
            </w:tcBorders>
            <w:shd w:val="clear" w:color="auto" w:fill="auto"/>
            <w:vAlign w:val="center"/>
            <w:hideMark/>
          </w:tcPr>
          <w:p w14:paraId="2B9C7B38" w14:textId="77777777" w:rsidR="00B9311E" w:rsidRPr="00BD77D8" w:rsidRDefault="00B9311E" w:rsidP="00B9311E">
            <w:pPr>
              <w:spacing w:after="0" w:line="240" w:lineRule="auto"/>
              <w:jc w:val="right"/>
              <w:rPr>
                <w:sz w:val="17"/>
                <w:szCs w:val="17"/>
              </w:rPr>
            </w:pPr>
            <w:r w:rsidRPr="00BD77D8">
              <w:rPr>
                <w:sz w:val="17"/>
                <w:szCs w:val="17"/>
              </w:rPr>
              <w:t xml:space="preserve">  181,296 </w:t>
            </w:r>
          </w:p>
        </w:tc>
      </w:tr>
      <w:tr w:rsidR="00BD77D8" w:rsidRPr="00BD77D8" w14:paraId="2CD61160" w14:textId="77777777" w:rsidTr="003057FB">
        <w:trPr>
          <w:trHeight w:val="240"/>
        </w:trPr>
        <w:tc>
          <w:tcPr>
            <w:tcW w:w="3655" w:type="dxa"/>
            <w:tcBorders>
              <w:top w:val="nil"/>
              <w:left w:val="nil"/>
              <w:bottom w:val="nil"/>
              <w:right w:val="nil"/>
            </w:tcBorders>
            <w:shd w:val="clear" w:color="000000" w:fill="FFFFFF"/>
            <w:noWrap/>
            <w:vAlign w:val="bottom"/>
            <w:hideMark/>
          </w:tcPr>
          <w:p w14:paraId="226E9877"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Intangible assets </w:t>
            </w:r>
          </w:p>
        </w:tc>
        <w:tc>
          <w:tcPr>
            <w:tcW w:w="913" w:type="dxa"/>
            <w:tcBorders>
              <w:top w:val="nil"/>
              <w:left w:val="nil"/>
              <w:bottom w:val="nil"/>
              <w:right w:val="nil"/>
            </w:tcBorders>
            <w:shd w:val="clear" w:color="auto" w:fill="auto"/>
            <w:vAlign w:val="center"/>
            <w:hideMark/>
          </w:tcPr>
          <w:p w14:paraId="07DBCA13" w14:textId="77777777" w:rsidR="00B9311E" w:rsidRPr="00BD77D8" w:rsidRDefault="00B9311E" w:rsidP="00B9311E">
            <w:pPr>
              <w:spacing w:after="0" w:line="240" w:lineRule="auto"/>
              <w:jc w:val="right"/>
              <w:rPr>
                <w:b/>
                <w:bCs/>
                <w:sz w:val="17"/>
                <w:szCs w:val="17"/>
              </w:rPr>
            </w:pPr>
            <w:r w:rsidRPr="00BD77D8">
              <w:rPr>
                <w:b/>
                <w:bCs/>
                <w:sz w:val="17"/>
                <w:szCs w:val="17"/>
              </w:rPr>
              <w:t xml:space="preserve">            438 </w:t>
            </w:r>
          </w:p>
        </w:tc>
        <w:tc>
          <w:tcPr>
            <w:tcW w:w="982" w:type="dxa"/>
            <w:tcBorders>
              <w:top w:val="nil"/>
              <w:left w:val="nil"/>
              <w:bottom w:val="nil"/>
              <w:right w:val="nil"/>
            </w:tcBorders>
            <w:shd w:val="clear" w:color="auto" w:fill="auto"/>
            <w:vAlign w:val="center"/>
            <w:hideMark/>
          </w:tcPr>
          <w:p w14:paraId="15E40143" w14:textId="77777777" w:rsidR="00B9311E" w:rsidRPr="00BD77D8" w:rsidRDefault="00B9311E" w:rsidP="00B9311E">
            <w:pPr>
              <w:spacing w:after="0" w:line="240" w:lineRule="auto"/>
              <w:jc w:val="right"/>
              <w:rPr>
                <w:sz w:val="17"/>
                <w:szCs w:val="17"/>
              </w:rPr>
            </w:pPr>
            <w:r w:rsidRPr="00BD77D8">
              <w:rPr>
                <w:sz w:val="17"/>
                <w:szCs w:val="17"/>
              </w:rPr>
              <w:t xml:space="preserve">            521 </w:t>
            </w:r>
          </w:p>
        </w:tc>
        <w:tc>
          <w:tcPr>
            <w:tcW w:w="993" w:type="dxa"/>
            <w:tcBorders>
              <w:top w:val="nil"/>
              <w:left w:val="nil"/>
              <w:bottom w:val="nil"/>
              <w:right w:val="nil"/>
            </w:tcBorders>
            <w:shd w:val="clear" w:color="auto" w:fill="auto"/>
            <w:vAlign w:val="center"/>
            <w:hideMark/>
          </w:tcPr>
          <w:p w14:paraId="67113051"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000" w:type="dxa"/>
            <w:tcBorders>
              <w:top w:val="nil"/>
              <w:left w:val="nil"/>
              <w:bottom w:val="nil"/>
              <w:right w:val="nil"/>
            </w:tcBorders>
            <w:shd w:val="clear" w:color="auto" w:fill="auto"/>
            <w:vAlign w:val="center"/>
            <w:hideMark/>
          </w:tcPr>
          <w:p w14:paraId="1977907C"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1AEE9E98"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4F46F3E0"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56" w:type="dxa"/>
            <w:tcBorders>
              <w:top w:val="nil"/>
              <w:left w:val="nil"/>
              <w:bottom w:val="nil"/>
              <w:right w:val="nil"/>
            </w:tcBorders>
            <w:shd w:val="clear" w:color="auto" w:fill="auto"/>
            <w:vAlign w:val="center"/>
            <w:hideMark/>
          </w:tcPr>
          <w:p w14:paraId="7006BD3A"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56" w:type="dxa"/>
            <w:tcBorders>
              <w:top w:val="nil"/>
              <w:left w:val="nil"/>
              <w:bottom w:val="nil"/>
              <w:right w:val="nil"/>
            </w:tcBorders>
            <w:shd w:val="clear" w:color="auto" w:fill="auto"/>
            <w:vAlign w:val="center"/>
            <w:hideMark/>
          </w:tcPr>
          <w:p w14:paraId="4D9646A4"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285" w:type="dxa"/>
            <w:tcBorders>
              <w:top w:val="nil"/>
              <w:left w:val="nil"/>
              <w:bottom w:val="nil"/>
              <w:right w:val="nil"/>
            </w:tcBorders>
            <w:shd w:val="clear" w:color="auto" w:fill="auto"/>
            <w:vAlign w:val="center"/>
            <w:hideMark/>
          </w:tcPr>
          <w:p w14:paraId="1920E310" w14:textId="77777777" w:rsidR="00B9311E" w:rsidRPr="00BD77D8" w:rsidRDefault="00B9311E" w:rsidP="00B9311E">
            <w:pPr>
              <w:spacing w:after="0" w:line="240" w:lineRule="auto"/>
              <w:jc w:val="right"/>
              <w:rPr>
                <w:sz w:val="17"/>
                <w:szCs w:val="17"/>
              </w:rPr>
            </w:pPr>
            <w:r w:rsidRPr="00BD77D8">
              <w:rPr>
                <w:sz w:val="17"/>
                <w:szCs w:val="17"/>
              </w:rPr>
              <w:t xml:space="preserve">                   88 </w:t>
            </w:r>
          </w:p>
        </w:tc>
        <w:tc>
          <w:tcPr>
            <w:tcW w:w="1062" w:type="dxa"/>
            <w:tcBorders>
              <w:top w:val="nil"/>
              <w:left w:val="nil"/>
              <w:bottom w:val="nil"/>
              <w:right w:val="nil"/>
            </w:tcBorders>
            <w:shd w:val="clear" w:color="auto" w:fill="auto"/>
            <w:vAlign w:val="center"/>
            <w:hideMark/>
          </w:tcPr>
          <w:p w14:paraId="1DB39C5B" w14:textId="77777777" w:rsidR="00B9311E" w:rsidRPr="00BD77D8" w:rsidRDefault="00B9311E" w:rsidP="00B9311E">
            <w:pPr>
              <w:spacing w:after="0" w:line="240" w:lineRule="auto"/>
              <w:jc w:val="right"/>
              <w:rPr>
                <w:b/>
                <w:bCs/>
                <w:sz w:val="17"/>
                <w:szCs w:val="17"/>
              </w:rPr>
            </w:pPr>
            <w:r w:rsidRPr="00BD77D8">
              <w:rPr>
                <w:b/>
                <w:bCs/>
                <w:sz w:val="17"/>
                <w:szCs w:val="17"/>
              </w:rPr>
              <w:t xml:space="preserve">          438 </w:t>
            </w:r>
          </w:p>
        </w:tc>
        <w:tc>
          <w:tcPr>
            <w:tcW w:w="915" w:type="dxa"/>
            <w:tcBorders>
              <w:top w:val="nil"/>
              <w:left w:val="nil"/>
              <w:bottom w:val="nil"/>
              <w:right w:val="nil"/>
            </w:tcBorders>
            <w:shd w:val="clear" w:color="auto" w:fill="auto"/>
            <w:vAlign w:val="center"/>
            <w:hideMark/>
          </w:tcPr>
          <w:p w14:paraId="0E8203BD" w14:textId="77777777" w:rsidR="00B9311E" w:rsidRPr="00BD77D8" w:rsidRDefault="00B9311E" w:rsidP="00B9311E">
            <w:pPr>
              <w:spacing w:after="0" w:line="240" w:lineRule="auto"/>
              <w:jc w:val="right"/>
              <w:rPr>
                <w:sz w:val="17"/>
                <w:szCs w:val="17"/>
              </w:rPr>
            </w:pPr>
            <w:r w:rsidRPr="00BD77D8">
              <w:rPr>
                <w:sz w:val="17"/>
                <w:szCs w:val="17"/>
              </w:rPr>
              <w:t xml:space="preserve">          609 </w:t>
            </w:r>
          </w:p>
        </w:tc>
      </w:tr>
      <w:tr w:rsidR="00BD77D8" w:rsidRPr="00BD77D8" w14:paraId="5ADB8EC2" w14:textId="77777777" w:rsidTr="003057FB">
        <w:trPr>
          <w:trHeight w:val="240"/>
        </w:trPr>
        <w:tc>
          <w:tcPr>
            <w:tcW w:w="3655" w:type="dxa"/>
            <w:tcBorders>
              <w:top w:val="nil"/>
              <w:left w:val="nil"/>
              <w:bottom w:val="nil"/>
              <w:right w:val="nil"/>
            </w:tcBorders>
            <w:shd w:val="clear" w:color="000000" w:fill="FFFFFF"/>
            <w:noWrap/>
            <w:vAlign w:val="bottom"/>
            <w:hideMark/>
          </w:tcPr>
          <w:p w14:paraId="2B654DB1" w14:textId="77777777" w:rsidR="00B9311E" w:rsidRPr="00BD77D8" w:rsidRDefault="00B9311E" w:rsidP="00B9311E">
            <w:pPr>
              <w:spacing w:after="0" w:line="240" w:lineRule="auto"/>
              <w:rPr>
                <w:b/>
                <w:bCs/>
                <w:sz w:val="17"/>
                <w:szCs w:val="17"/>
              </w:rPr>
            </w:pPr>
            <w:r w:rsidRPr="00BD77D8">
              <w:rPr>
                <w:b/>
                <w:bCs/>
                <w:sz w:val="17"/>
                <w:szCs w:val="17"/>
              </w:rPr>
              <w:t xml:space="preserve"> Total Non-Current Assets </w:t>
            </w:r>
          </w:p>
        </w:tc>
        <w:tc>
          <w:tcPr>
            <w:tcW w:w="913" w:type="dxa"/>
            <w:tcBorders>
              <w:top w:val="single" w:sz="4" w:space="0" w:color="auto"/>
              <w:left w:val="nil"/>
              <w:bottom w:val="single" w:sz="4" w:space="0" w:color="auto"/>
              <w:right w:val="nil"/>
            </w:tcBorders>
            <w:shd w:val="clear" w:color="auto" w:fill="auto"/>
            <w:vAlign w:val="center"/>
            <w:hideMark/>
          </w:tcPr>
          <w:p w14:paraId="68625385" w14:textId="77777777" w:rsidR="00B9311E" w:rsidRPr="00BD77D8" w:rsidRDefault="00B9311E" w:rsidP="00B9311E">
            <w:pPr>
              <w:spacing w:after="0" w:line="240" w:lineRule="auto"/>
              <w:jc w:val="right"/>
              <w:rPr>
                <w:b/>
                <w:bCs/>
                <w:sz w:val="17"/>
                <w:szCs w:val="17"/>
              </w:rPr>
            </w:pPr>
            <w:r w:rsidRPr="00BD77D8">
              <w:rPr>
                <w:b/>
                <w:bCs/>
                <w:sz w:val="17"/>
                <w:szCs w:val="17"/>
              </w:rPr>
              <w:t xml:space="preserve">    187,477 </w:t>
            </w:r>
          </w:p>
        </w:tc>
        <w:tc>
          <w:tcPr>
            <w:tcW w:w="982" w:type="dxa"/>
            <w:tcBorders>
              <w:top w:val="single" w:sz="4" w:space="0" w:color="auto"/>
              <w:left w:val="nil"/>
              <w:bottom w:val="single" w:sz="4" w:space="0" w:color="auto"/>
              <w:right w:val="nil"/>
            </w:tcBorders>
            <w:shd w:val="clear" w:color="auto" w:fill="auto"/>
            <w:vAlign w:val="center"/>
            <w:hideMark/>
          </w:tcPr>
          <w:p w14:paraId="1F2AF574" w14:textId="77777777" w:rsidR="00B9311E" w:rsidRPr="00BD77D8" w:rsidRDefault="00B9311E" w:rsidP="00B9311E">
            <w:pPr>
              <w:spacing w:after="0" w:line="240" w:lineRule="auto"/>
              <w:jc w:val="right"/>
              <w:rPr>
                <w:b/>
                <w:bCs/>
                <w:sz w:val="17"/>
                <w:szCs w:val="17"/>
              </w:rPr>
            </w:pPr>
            <w:r w:rsidRPr="00BD77D8">
              <w:rPr>
                <w:b/>
                <w:bCs/>
                <w:sz w:val="17"/>
                <w:szCs w:val="17"/>
              </w:rPr>
              <w:t xml:space="preserve">    166,066 </w:t>
            </w:r>
          </w:p>
        </w:tc>
        <w:tc>
          <w:tcPr>
            <w:tcW w:w="993" w:type="dxa"/>
            <w:tcBorders>
              <w:top w:val="single" w:sz="4" w:space="0" w:color="auto"/>
              <w:left w:val="nil"/>
              <w:bottom w:val="single" w:sz="4" w:space="0" w:color="auto"/>
              <w:right w:val="nil"/>
            </w:tcBorders>
            <w:shd w:val="clear" w:color="auto" w:fill="auto"/>
            <w:vAlign w:val="center"/>
            <w:hideMark/>
          </w:tcPr>
          <w:p w14:paraId="4E171857" w14:textId="77777777" w:rsidR="00B9311E" w:rsidRPr="00BD77D8" w:rsidRDefault="00B9311E" w:rsidP="00B9311E">
            <w:pPr>
              <w:spacing w:after="0" w:line="240" w:lineRule="auto"/>
              <w:jc w:val="right"/>
              <w:rPr>
                <w:b/>
                <w:bCs/>
                <w:sz w:val="17"/>
                <w:szCs w:val="17"/>
              </w:rPr>
            </w:pPr>
            <w:r w:rsidRPr="00BD77D8">
              <w:rPr>
                <w:b/>
                <w:bCs/>
                <w:sz w:val="17"/>
                <w:szCs w:val="17"/>
              </w:rPr>
              <w:t xml:space="preserve">         2,208 </w:t>
            </w:r>
          </w:p>
        </w:tc>
        <w:tc>
          <w:tcPr>
            <w:tcW w:w="1000" w:type="dxa"/>
            <w:tcBorders>
              <w:top w:val="single" w:sz="4" w:space="0" w:color="auto"/>
              <w:left w:val="nil"/>
              <w:bottom w:val="single" w:sz="4" w:space="0" w:color="auto"/>
              <w:right w:val="nil"/>
            </w:tcBorders>
            <w:shd w:val="clear" w:color="auto" w:fill="auto"/>
            <w:vAlign w:val="center"/>
            <w:hideMark/>
          </w:tcPr>
          <w:p w14:paraId="670D9A18"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34" w:type="dxa"/>
            <w:tcBorders>
              <w:top w:val="single" w:sz="4" w:space="0" w:color="auto"/>
              <w:left w:val="nil"/>
              <w:bottom w:val="single" w:sz="4" w:space="0" w:color="auto"/>
              <w:right w:val="nil"/>
            </w:tcBorders>
            <w:shd w:val="clear" w:color="auto" w:fill="auto"/>
            <w:vAlign w:val="center"/>
            <w:hideMark/>
          </w:tcPr>
          <w:p w14:paraId="0FDD786B"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single" w:sz="4" w:space="0" w:color="auto"/>
              <w:left w:val="nil"/>
              <w:bottom w:val="single" w:sz="4" w:space="0" w:color="auto"/>
              <w:right w:val="nil"/>
            </w:tcBorders>
            <w:shd w:val="clear" w:color="auto" w:fill="auto"/>
            <w:vAlign w:val="center"/>
            <w:hideMark/>
          </w:tcPr>
          <w:p w14:paraId="3E61515A" w14:textId="77777777" w:rsidR="00B9311E" w:rsidRPr="00BD77D8" w:rsidRDefault="00B9311E" w:rsidP="00B9311E">
            <w:pPr>
              <w:spacing w:after="0" w:line="240" w:lineRule="auto"/>
              <w:jc w:val="right"/>
              <w:rPr>
                <w:b/>
                <w:bCs/>
                <w:sz w:val="17"/>
                <w:szCs w:val="17"/>
              </w:rPr>
            </w:pPr>
            <w:r w:rsidRPr="00BD77D8">
              <w:rPr>
                <w:b/>
                <w:bCs/>
                <w:sz w:val="17"/>
                <w:szCs w:val="17"/>
              </w:rPr>
              <w:t xml:space="preserve">             1,170 </w:t>
            </w:r>
          </w:p>
        </w:tc>
        <w:tc>
          <w:tcPr>
            <w:tcW w:w="1156" w:type="dxa"/>
            <w:tcBorders>
              <w:top w:val="single" w:sz="4" w:space="0" w:color="auto"/>
              <w:left w:val="nil"/>
              <w:bottom w:val="single" w:sz="4" w:space="0" w:color="auto"/>
              <w:right w:val="nil"/>
            </w:tcBorders>
            <w:shd w:val="clear" w:color="auto" w:fill="auto"/>
            <w:vAlign w:val="center"/>
            <w:hideMark/>
          </w:tcPr>
          <w:p w14:paraId="367AB12E" w14:textId="77777777" w:rsidR="00B9311E" w:rsidRPr="00BD77D8" w:rsidRDefault="00B9311E" w:rsidP="00B9311E">
            <w:pPr>
              <w:spacing w:after="0" w:line="240" w:lineRule="auto"/>
              <w:jc w:val="right"/>
              <w:rPr>
                <w:b/>
                <w:bCs/>
                <w:sz w:val="17"/>
                <w:szCs w:val="17"/>
              </w:rPr>
            </w:pPr>
            <w:r w:rsidRPr="00BD77D8">
              <w:rPr>
                <w:b/>
                <w:bCs/>
                <w:sz w:val="17"/>
                <w:szCs w:val="17"/>
              </w:rPr>
              <w:t xml:space="preserve">                708 </w:t>
            </w:r>
          </w:p>
        </w:tc>
        <w:tc>
          <w:tcPr>
            <w:tcW w:w="1156" w:type="dxa"/>
            <w:tcBorders>
              <w:top w:val="single" w:sz="4" w:space="0" w:color="auto"/>
              <w:left w:val="nil"/>
              <w:bottom w:val="single" w:sz="4" w:space="0" w:color="auto"/>
              <w:right w:val="nil"/>
            </w:tcBorders>
            <w:shd w:val="clear" w:color="auto" w:fill="auto"/>
            <w:vAlign w:val="center"/>
            <w:hideMark/>
          </w:tcPr>
          <w:p w14:paraId="1BEBF021" w14:textId="77777777" w:rsidR="00B9311E" w:rsidRPr="00BD77D8" w:rsidRDefault="00B9311E" w:rsidP="00B9311E">
            <w:pPr>
              <w:spacing w:after="0" w:line="240" w:lineRule="auto"/>
              <w:jc w:val="right"/>
              <w:rPr>
                <w:b/>
                <w:bCs/>
                <w:sz w:val="17"/>
                <w:szCs w:val="17"/>
              </w:rPr>
            </w:pPr>
            <w:r w:rsidRPr="00BD77D8">
              <w:rPr>
                <w:b/>
                <w:bCs/>
                <w:sz w:val="17"/>
                <w:szCs w:val="17"/>
              </w:rPr>
              <w:t xml:space="preserve">           14,756 </w:t>
            </w:r>
          </w:p>
        </w:tc>
        <w:tc>
          <w:tcPr>
            <w:tcW w:w="1285" w:type="dxa"/>
            <w:tcBorders>
              <w:top w:val="single" w:sz="4" w:space="0" w:color="auto"/>
              <w:left w:val="nil"/>
              <w:bottom w:val="single" w:sz="4" w:space="0" w:color="auto"/>
              <w:right w:val="nil"/>
            </w:tcBorders>
            <w:shd w:val="clear" w:color="auto" w:fill="auto"/>
            <w:vAlign w:val="center"/>
            <w:hideMark/>
          </w:tcPr>
          <w:p w14:paraId="4567E13A" w14:textId="77777777" w:rsidR="00B9311E" w:rsidRPr="00BD77D8" w:rsidRDefault="00B9311E" w:rsidP="00B9311E">
            <w:pPr>
              <w:spacing w:after="0" w:line="240" w:lineRule="auto"/>
              <w:jc w:val="right"/>
              <w:rPr>
                <w:b/>
                <w:bCs/>
                <w:sz w:val="17"/>
                <w:szCs w:val="17"/>
              </w:rPr>
            </w:pPr>
            <w:r w:rsidRPr="00BD77D8">
              <w:rPr>
                <w:b/>
                <w:bCs/>
                <w:sz w:val="17"/>
                <w:szCs w:val="17"/>
              </w:rPr>
              <w:t xml:space="preserve">           15,130 </w:t>
            </w:r>
          </w:p>
        </w:tc>
        <w:tc>
          <w:tcPr>
            <w:tcW w:w="1062" w:type="dxa"/>
            <w:tcBorders>
              <w:top w:val="single" w:sz="4" w:space="0" w:color="auto"/>
              <w:left w:val="nil"/>
              <w:bottom w:val="single" w:sz="4" w:space="0" w:color="auto"/>
              <w:right w:val="nil"/>
            </w:tcBorders>
            <w:shd w:val="clear" w:color="auto" w:fill="auto"/>
            <w:vAlign w:val="center"/>
            <w:hideMark/>
          </w:tcPr>
          <w:p w14:paraId="3D385399" w14:textId="77777777" w:rsidR="00B9311E" w:rsidRPr="00BD77D8" w:rsidRDefault="00B9311E" w:rsidP="00B9311E">
            <w:pPr>
              <w:spacing w:after="0" w:line="240" w:lineRule="auto"/>
              <w:jc w:val="right"/>
              <w:rPr>
                <w:b/>
                <w:bCs/>
                <w:sz w:val="17"/>
                <w:szCs w:val="17"/>
              </w:rPr>
            </w:pPr>
            <w:r w:rsidRPr="00BD77D8">
              <w:rPr>
                <w:b/>
                <w:bCs/>
                <w:sz w:val="17"/>
                <w:szCs w:val="17"/>
              </w:rPr>
              <w:t xml:space="preserve">  205,611 </w:t>
            </w:r>
          </w:p>
        </w:tc>
        <w:tc>
          <w:tcPr>
            <w:tcW w:w="915" w:type="dxa"/>
            <w:tcBorders>
              <w:top w:val="single" w:sz="4" w:space="0" w:color="auto"/>
              <w:left w:val="nil"/>
              <w:bottom w:val="single" w:sz="4" w:space="0" w:color="auto"/>
              <w:right w:val="nil"/>
            </w:tcBorders>
            <w:shd w:val="clear" w:color="auto" w:fill="auto"/>
            <w:vAlign w:val="center"/>
            <w:hideMark/>
          </w:tcPr>
          <w:p w14:paraId="34EBF324" w14:textId="77777777" w:rsidR="00B9311E" w:rsidRPr="00BD77D8" w:rsidRDefault="00B9311E" w:rsidP="00B9311E">
            <w:pPr>
              <w:spacing w:after="0" w:line="240" w:lineRule="auto"/>
              <w:jc w:val="right"/>
              <w:rPr>
                <w:b/>
                <w:bCs/>
                <w:sz w:val="17"/>
                <w:szCs w:val="17"/>
              </w:rPr>
            </w:pPr>
            <w:r w:rsidRPr="00BD77D8">
              <w:rPr>
                <w:b/>
                <w:bCs/>
                <w:sz w:val="17"/>
                <w:szCs w:val="17"/>
              </w:rPr>
              <w:t xml:space="preserve">  181,905 </w:t>
            </w:r>
          </w:p>
        </w:tc>
      </w:tr>
      <w:tr w:rsidR="00BD77D8" w:rsidRPr="00BD77D8" w14:paraId="0C92490C" w14:textId="77777777" w:rsidTr="003057FB">
        <w:trPr>
          <w:trHeight w:val="240"/>
        </w:trPr>
        <w:tc>
          <w:tcPr>
            <w:tcW w:w="3655" w:type="dxa"/>
            <w:tcBorders>
              <w:top w:val="nil"/>
              <w:left w:val="nil"/>
              <w:bottom w:val="nil"/>
              <w:right w:val="nil"/>
            </w:tcBorders>
            <w:shd w:val="clear" w:color="000000" w:fill="FFFFFF"/>
            <w:noWrap/>
            <w:vAlign w:val="bottom"/>
            <w:hideMark/>
          </w:tcPr>
          <w:p w14:paraId="34008AC9" w14:textId="77777777" w:rsidR="00B9311E" w:rsidRPr="00BD77D8" w:rsidRDefault="00B9311E" w:rsidP="00B9311E">
            <w:pPr>
              <w:spacing w:after="0" w:line="240" w:lineRule="auto"/>
              <w:rPr>
                <w:b/>
                <w:bCs/>
                <w:sz w:val="17"/>
                <w:szCs w:val="17"/>
              </w:rPr>
            </w:pPr>
            <w:r w:rsidRPr="00BD77D8">
              <w:rPr>
                <w:b/>
                <w:bCs/>
                <w:sz w:val="17"/>
                <w:szCs w:val="17"/>
              </w:rPr>
              <w:t xml:space="preserve"> Total Assets </w:t>
            </w:r>
          </w:p>
        </w:tc>
        <w:tc>
          <w:tcPr>
            <w:tcW w:w="913" w:type="dxa"/>
            <w:tcBorders>
              <w:top w:val="nil"/>
              <w:left w:val="nil"/>
              <w:bottom w:val="single" w:sz="4" w:space="0" w:color="auto"/>
              <w:right w:val="nil"/>
            </w:tcBorders>
            <w:shd w:val="clear" w:color="auto" w:fill="auto"/>
            <w:vAlign w:val="center"/>
            <w:hideMark/>
          </w:tcPr>
          <w:p w14:paraId="13D9007D" w14:textId="77777777" w:rsidR="00B9311E" w:rsidRPr="00BD77D8" w:rsidRDefault="00B9311E" w:rsidP="00B9311E">
            <w:pPr>
              <w:spacing w:after="0" w:line="240" w:lineRule="auto"/>
              <w:jc w:val="right"/>
              <w:rPr>
                <w:b/>
                <w:bCs/>
                <w:sz w:val="17"/>
                <w:szCs w:val="17"/>
              </w:rPr>
            </w:pPr>
            <w:r w:rsidRPr="00BD77D8">
              <w:rPr>
                <w:b/>
                <w:bCs/>
                <w:sz w:val="17"/>
                <w:szCs w:val="17"/>
              </w:rPr>
              <w:t xml:space="preserve">    224,467 </w:t>
            </w:r>
          </w:p>
        </w:tc>
        <w:tc>
          <w:tcPr>
            <w:tcW w:w="982" w:type="dxa"/>
            <w:tcBorders>
              <w:top w:val="nil"/>
              <w:left w:val="nil"/>
              <w:bottom w:val="single" w:sz="4" w:space="0" w:color="auto"/>
              <w:right w:val="nil"/>
            </w:tcBorders>
            <w:shd w:val="clear" w:color="auto" w:fill="auto"/>
            <w:vAlign w:val="center"/>
            <w:hideMark/>
          </w:tcPr>
          <w:p w14:paraId="06F4691F" w14:textId="77777777" w:rsidR="00B9311E" w:rsidRPr="00BD77D8" w:rsidRDefault="00B9311E" w:rsidP="00B9311E">
            <w:pPr>
              <w:spacing w:after="0" w:line="240" w:lineRule="auto"/>
              <w:jc w:val="right"/>
              <w:rPr>
                <w:b/>
                <w:bCs/>
                <w:sz w:val="17"/>
                <w:szCs w:val="17"/>
              </w:rPr>
            </w:pPr>
            <w:r w:rsidRPr="00BD77D8">
              <w:rPr>
                <w:b/>
                <w:bCs/>
                <w:sz w:val="17"/>
                <w:szCs w:val="17"/>
              </w:rPr>
              <w:t xml:space="preserve">    202,244 </w:t>
            </w:r>
          </w:p>
        </w:tc>
        <w:tc>
          <w:tcPr>
            <w:tcW w:w="993" w:type="dxa"/>
            <w:tcBorders>
              <w:top w:val="nil"/>
              <w:left w:val="nil"/>
              <w:bottom w:val="single" w:sz="4" w:space="0" w:color="auto"/>
              <w:right w:val="nil"/>
            </w:tcBorders>
            <w:shd w:val="clear" w:color="auto" w:fill="auto"/>
            <w:vAlign w:val="center"/>
            <w:hideMark/>
          </w:tcPr>
          <w:p w14:paraId="69717618" w14:textId="77777777" w:rsidR="00B9311E" w:rsidRPr="00BD77D8" w:rsidRDefault="00B9311E" w:rsidP="00B9311E">
            <w:pPr>
              <w:spacing w:after="0" w:line="240" w:lineRule="auto"/>
              <w:jc w:val="right"/>
              <w:rPr>
                <w:b/>
                <w:bCs/>
                <w:sz w:val="17"/>
                <w:szCs w:val="17"/>
              </w:rPr>
            </w:pPr>
            <w:r w:rsidRPr="00BD77D8">
              <w:rPr>
                <w:b/>
                <w:bCs/>
                <w:sz w:val="17"/>
                <w:szCs w:val="17"/>
              </w:rPr>
              <w:t xml:space="preserve">         3,226 </w:t>
            </w:r>
          </w:p>
        </w:tc>
        <w:tc>
          <w:tcPr>
            <w:tcW w:w="1000" w:type="dxa"/>
            <w:tcBorders>
              <w:top w:val="nil"/>
              <w:left w:val="nil"/>
              <w:bottom w:val="single" w:sz="4" w:space="0" w:color="auto"/>
              <w:right w:val="nil"/>
            </w:tcBorders>
            <w:shd w:val="clear" w:color="auto" w:fill="auto"/>
            <w:vAlign w:val="center"/>
            <w:hideMark/>
          </w:tcPr>
          <w:p w14:paraId="40CC5A86" w14:textId="77777777" w:rsidR="00B9311E" w:rsidRPr="00BD77D8" w:rsidRDefault="00B9311E" w:rsidP="00B9311E">
            <w:pPr>
              <w:spacing w:after="0" w:line="240" w:lineRule="auto"/>
              <w:jc w:val="right"/>
              <w:rPr>
                <w:b/>
                <w:bCs/>
                <w:sz w:val="17"/>
                <w:szCs w:val="17"/>
              </w:rPr>
            </w:pPr>
            <w:r w:rsidRPr="00BD77D8">
              <w:rPr>
                <w:b/>
                <w:bCs/>
                <w:sz w:val="17"/>
                <w:szCs w:val="17"/>
              </w:rPr>
              <w:t xml:space="preserve">         2,403 </w:t>
            </w:r>
          </w:p>
        </w:tc>
        <w:tc>
          <w:tcPr>
            <w:tcW w:w="1134" w:type="dxa"/>
            <w:tcBorders>
              <w:top w:val="nil"/>
              <w:left w:val="nil"/>
              <w:bottom w:val="single" w:sz="4" w:space="0" w:color="auto"/>
              <w:right w:val="nil"/>
            </w:tcBorders>
            <w:shd w:val="clear" w:color="auto" w:fill="auto"/>
            <w:vAlign w:val="center"/>
            <w:hideMark/>
          </w:tcPr>
          <w:p w14:paraId="7AB99E6B"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nil"/>
              <w:left w:val="nil"/>
              <w:bottom w:val="single" w:sz="4" w:space="0" w:color="auto"/>
              <w:right w:val="nil"/>
            </w:tcBorders>
            <w:shd w:val="clear" w:color="auto" w:fill="auto"/>
            <w:vAlign w:val="center"/>
            <w:hideMark/>
          </w:tcPr>
          <w:p w14:paraId="3DFF639C" w14:textId="77777777" w:rsidR="00B9311E" w:rsidRPr="00BD77D8" w:rsidRDefault="00B9311E" w:rsidP="00B9311E">
            <w:pPr>
              <w:spacing w:after="0" w:line="240" w:lineRule="auto"/>
              <w:jc w:val="right"/>
              <w:rPr>
                <w:b/>
                <w:bCs/>
                <w:sz w:val="17"/>
                <w:szCs w:val="17"/>
              </w:rPr>
            </w:pPr>
            <w:r w:rsidRPr="00BD77D8">
              <w:rPr>
                <w:b/>
                <w:bCs/>
                <w:sz w:val="17"/>
                <w:szCs w:val="17"/>
              </w:rPr>
              <w:t xml:space="preserve">             8,709 </w:t>
            </w:r>
          </w:p>
        </w:tc>
        <w:tc>
          <w:tcPr>
            <w:tcW w:w="1156" w:type="dxa"/>
            <w:tcBorders>
              <w:top w:val="nil"/>
              <w:left w:val="nil"/>
              <w:bottom w:val="single" w:sz="4" w:space="0" w:color="auto"/>
              <w:right w:val="nil"/>
            </w:tcBorders>
            <w:shd w:val="clear" w:color="auto" w:fill="auto"/>
            <w:vAlign w:val="center"/>
            <w:hideMark/>
          </w:tcPr>
          <w:p w14:paraId="099D3184" w14:textId="77777777" w:rsidR="00B9311E" w:rsidRPr="00BD77D8" w:rsidRDefault="00B9311E" w:rsidP="00B9311E">
            <w:pPr>
              <w:spacing w:after="0" w:line="240" w:lineRule="auto"/>
              <w:jc w:val="right"/>
              <w:rPr>
                <w:b/>
                <w:bCs/>
                <w:sz w:val="17"/>
                <w:szCs w:val="17"/>
              </w:rPr>
            </w:pPr>
            <w:r w:rsidRPr="00BD77D8">
              <w:rPr>
                <w:b/>
                <w:bCs/>
                <w:sz w:val="17"/>
                <w:szCs w:val="17"/>
              </w:rPr>
              <w:t xml:space="preserve">             8,830 </w:t>
            </w:r>
          </w:p>
        </w:tc>
        <w:tc>
          <w:tcPr>
            <w:tcW w:w="1156" w:type="dxa"/>
            <w:tcBorders>
              <w:top w:val="nil"/>
              <w:left w:val="nil"/>
              <w:bottom w:val="single" w:sz="4" w:space="0" w:color="auto"/>
              <w:right w:val="nil"/>
            </w:tcBorders>
            <w:shd w:val="clear" w:color="auto" w:fill="auto"/>
            <w:vAlign w:val="center"/>
            <w:hideMark/>
          </w:tcPr>
          <w:p w14:paraId="6E814042" w14:textId="77777777" w:rsidR="00B9311E" w:rsidRPr="00BD77D8" w:rsidRDefault="00B9311E" w:rsidP="00B9311E">
            <w:pPr>
              <w:spacing w:after="0" w:line="240" w:lineRule="auto"/>
              <w:jc w:val="right"/>
              <w:rPr>
                <w:b/>
                <w:bCs/>
                <w:sz w:val="17"/>
                <w:szCs w:val="17"/>
              </w:rPr>
            </w:pPr>
            <w:r w:rsidRPr="00BD77D8">
              <w:rPr>
                <w:b/>
                <w:bCs/>
                <w:sz w:val="17"/>
                <w:szCs w:val="17"/>
              </w:rPr>
              <w:t xml:space="preserve">           29,586 </w:t>
            </w:r>
          </w:p>
        </w:tc>
        <w:tc>
          <w:tcPr>
            <w:tcW w:w="1285" w:type="dxa"/>
            <w:tcBorders>
              <w:top w:val="nil"/>
              <w:left w:val="nil"/>
              <w:bottom w:val="single" w:sz="4" w:space="0" w:color="auto"/>
              <w:right w:val="nil"/>
            </w:tcBorders>
            <w:shd w:val="clear" w:color="auto" w:fill="auto"/>
            <w:vAlign w:val="center"/>
            <w:hideMark/>
          </w:tcPr>
          <w:p w14:paraId="6F8B23BA" w14:textId="77777777" w:rsidR="00B9311E" w:rsidRPr="00BD77D8" w:rsidRDefault="00B9311E" w:rsidP="00B9311E">
            <w:pPr>
              <w:spacing w:after="0" w:line="240" w:lineRule="auto"/>
              <w:jc w:val="right"/>
              <w:rPr>
                <w:b/>
                <w:bCs/>
                <w:sz w:val="17"/>
                <w:szCs w:val="17"/>
              </w:rPr>
            </w:pPr>
            <w:r w:rsidRPr="00BD77D8">
              <w:rPr>
                <w:b/>
                <w:bCs/>
                <w:sz w:val="17"/>
                <w:szCs w:val="17"/>
              </w:rPr>
              <w:t xml:space="preserve">           31,050 </w:t>
            </w:r>
          </w:p>
        </w:tc>
        <w:tc>
          <w:tcPr>
            <w:tcW w:w="1062" w:type="dxa"/>
            <w:tcBorders>
              <w:top w:val="nil"/>
              <w:left w:val="nil"/>
              <w:bottom w:val="single" w:sz="4" w:space="0" w:color="auto"/>
              <w:right w:val="nil"/>
            </w:tcBorders>
            <w:shd w:val="clear" w:color="auto" w:fill="auto"/>
            <w:vAlign w:val="center"/>
            <w:hideMark/>
          </w:tcPr>
          <w:p w14:paraId="47E68B3C" w14:textId="77777777" w:rsidR="00B9311E" w:rsidRPr="00BD77D8" w:rsidRDefault="00B9311E" w:rsidP="00B9311E">
            <w:pPr>
              <w:spacing w:after="0" w:line="240" w:lineRule="auto"/>
              <w:jc w:val="right"/>
              <w:rPr>
                <w:b/>
                <w:bCs/>
                <w:sz w:val="17"/>
                <w:szCs w:val="17"/>
              </w:rPr>
            </w:pPr>
            <w:r w:rsidRPr="00BD77D8">
              <w:rPr>
                <w:b/>
                <w:bCs/>
                <w:sz w:val="17"/>
                <w:szCs w:val="17"/>
              </w:rPr>
              <w:t xml:space="preserve">  265,988 </w:t>
            </w:r>
          </w:p>
        </w:tc>
        <w:tc>
          <w:tcPr>
            <w:tcW w:w="915" w:type="dxa"/>
            <w:tcBorders>
              <w:top w:val="nil"/>
              <w:left w:val="nil"/>
              <w:bottom w:val="single" w:sz="4" w:space="0" w:color="auto"/>
              <w:right w:val="nil"/>
            </w:tcBorders>
            <w:shd w:val="clear" w:color="auto" w:fill="auto"/>
            <w:vAlign w:val="center"/>
            <w:hideMark/>
          </w:tcPr>
          <w:p w14:paraId="72784F97" w14:textId="77777777" w:rsidR="00B9311E" w:rsidRPr="00BD77D8" w:rsidRDefault="00B9311E" w:rsidP="00B9311E">
            <w:pPr>
              <w:spacing w:after="0" w:line="240" w:lineRule="auto"/>
              <w:jc w:val="right"/>
              <w:rPr>
                <w:b/>
                <w:bCs/>
                <w:sz w:val="17"/>
                <w:szCs w:val="17"/>
              </w:rPr>
            </w:pPr>
            <w:r w:rsidRPr="00BD77D8">
              <w:rPr>
                <w:b/>
                <w:bCs/>
                <w:sz w:val="17"/>
                <w:szCs w:val="17"/>
              </w:rPr>
              <w:t xml:space="preserve">  244,527 </w:t>
            </w:r>
          </w:p>
        </w:tc>
      </w:tr>
      <w:tr w:rsidR="00BD77D8" w:rsidRPr="00BD77D8" w14:paraId="47737CDB" w14:textId="77777777" w:rsidTr="003057FB">
        <w:trPr>
          <w:trHeight w:val="240"/>
        </w:trPr>
        <w:tc>
          <w:tcPr>
            <w:tcW w:w="3655" w:type="dxa"/>
            <w:tcBorders>
              <w:top w:val="nil"/>
              <w:left w:val="nil"/>
              <w:bottom w:val="nil"/>
              <w:right w:val="nil"/>
            </w:tcBorders>
            <w:shd w:val="clear" w:color="000000" w:fill="FFFFFF"/>
            <w:noWrap/>
            <w:vAlign w:val="bottom"/>
            <w:hideMark/>
          </w:tcPr>
          <w:p w14:paraId="63090821" w14:textId="77777777" w:rsidR="00B9311E" w:rsidRPr="00BD77D8" w:rsidRDefault="00B9311E" w:rsidP="00B9311E">
            <w:pPr>
              <w:spacing w:after="0" w:line="240" w:lineRule="auto"/>
              <w:rPr>
                <w:b/>
                <w:bCs/>
                <w:sz w:val="17"/>
                <w:szCs w:val="17"/>
              </w:rPr>
            </w:pPr>
            <w:r w:rsidRPr="00BD77D8">
              <w:rPr>
                <w:b/>
                <w:bCs/>
                <w:sz w:val="17"/>
                <w:szCs w:val="17"/>
              </w:rPr>
              <w:t xml:space="preserve"> Current Liabilities </w:t>
            </w:r>
          </w:p>
        </w:tc>
        <w:tc>
          <w:tcPr>
            <w:tcW w:w="913" w:type="dxa"/>
            <w:tcBorders>
              <w:top w:val="nil"/>
              <w:left w:val="nil"/>
              <w:bottom w:val="nil"/>
              <w:right w:val="nil"/>
            </w:tcBorders>
            <w:shd w:val="clear" w:color="auto" w:fill="auto"/>
            <w:vAlign w:val="center"/>
            <w:hideMark/>
          </w:tcPr>
          <w:p w14:paraId="6C89D1B9" w14:textId="77777777" w:rsidR="00B9311E" w:rsidRPr="00BD77D8" w:rsidRDefault="00B9311E" w:rsidP="00B9311E">
            <w:pPr>
              <w:spacing w:after="0" w:line="240" w:lineRule="auto"/>
              <w:jc w:val="right"/>
              <w:rPr>
                <w:b/>
                <w:bCs/>
                <w:sz w:val="17"/>
                <w:szCs w:val="17"/>
              </w:rPr>
            </w:pPr>
          </w:p>
        </w:tc>
        <w:tc>
          <w:tcPr>
            <w:tcW w:w="982" w:type="dxa"/>
            <w:tcBorders>
              <w:top w:val="nil"/>
              <w:left w:val="nil"/>
              <w:bottom w:val="nil"/>
              <w:right w:val="nil"/>
            </w:tcBorders>
            <w:shd w:val="clear" w:color="auto" w:fill="auto"/>
            <w:vAlign w:val="center"/>
            <w:hideMark/>
          </w:tcPr>
          <w:p w14:paraId="7E3F8A15"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93" w:type="dxa"/>
            <w:tcBorders>
              <w:top w:val="nil"/>
              <w:left w:val="nil"/>
              <w:bottom w:val="nil"/>
              <w:right w:val="nil"/>
            </w:tcBorders>
            <w:shd w:val="clear" w:color="auto" w:fill="auto"/>
            <w:vAlign w:val="center"/>
            <w:hideMark/>
          </w:tcPr>
          <w:p w14:paraId="66A14CC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00" w:type="dxa"/>
            <w:tcBorders>
              <w:top w:val="nil"/>
              <w:left w:val="nil"/>
              <w:bottom w:val="nil"/>
              <w:right w:val="nil"/>
            </w:tcBorders>
            <w:shd w:val="clear" w:color="auto" w:fill="auto"/>
            <w:vAlign w:val="center"/>
            <w:hideMark/>
          </w:tcPr>
          <w:p w14:paraId="550B3F97"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34" w:type="dxa"/>
            <w:tcBorders>
              <w:top w:val="nil"/>
              <w:left w:val="nil"/>
              <w:bottom w:val="nil"/>
              <w:right w:val="nil"/>
            </w:tcBorders>
            <w:shd w:val="clear" w:color="auto" w:fill="auto"/>
            <w:vAlign w:val="center"/>
            <w:hideMark/>
          </w:tcPr>
          <w:p w14:paraId="2B9360C5"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13" w:type="dxa"/>
            <w:tcBorders>
              <w:top w:val="nil"/>
              <w:left w:val="nil"/>
              <w:bottom w:val="nil"/>
              <w:right w:val="nil"/>
            </w:tcBorders>
            <w:shd w:val="clear" w:color="auto" w:fill="auto"/>
            <w:vAlign w:val="center"/>
            <w:hideMark/>
          </w:tcPr>
          <w:p w14:paraId="4FF42208"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vAlign w:val="center"/>
            <w:hideMark/>
          </w:tcPr>
          <w:p w14:paraId="63CA7D26"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156" w:type="dxa"/>
            <w:tcBorders>
              <w:top w:val="nil"/>
              <w:left w:val="nil"/>
              <w:bottom w:val="nil"/>
              <w:right w:val="nil"/>
            </w:tcBorders>
            <w:shd w:val="clear" w:color="auto" w:fill="auto"/>
            <w:vAlign w:val="center"/>
            <w:hideMark/>
          </w:tcPr>
          <w:p w14:paraId="6A2FF863"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285" w:type="dxa"/>
            <w:tcBorders>
              <w:top w:val="nil"/>
              <w:left w:val="nil"/>
              <w:bottom w:val="nil"/>
              <w:right w:val="nil"/>
            </w:tcBorders>
            <w:shd w:val="clear" w:color="auto" w:fill="auto"/>
            <w:vAlign w:val="center"/>
            <w:hideMark/>
          </w:tcPr>
          <w:p w14:paraId="4D58E925"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1062" w:type="dxa"/>
            <w:tcBorders>
              <w:top w:val="nil"/>
              <w:left w:val="nil"/>
              <w:bottom w:val="nil"/>
              <w:right w:val="nil"/>
            </w:tcBorders>
            <w:shd w:val="clear" w:color="auto" w:fill="auto"/>
            <w:vAlign w:val="center"/>
            <w:hideMark/>
          </w:tcPr>
          <w:p w14:paraId="66F521F5" w14:textId="77777777" w:rsidR="00B9311E" w:rsidRPr="00BD77D8" w:rsidRDefault="00B9311E" w:rsidP="00B9311E">
            <w:pPr>
              <w:spacing w:after="0" w:line="240" w:lineRule="auto"/>
              <w:jc w:val="right"/>
              <w:rPr>
                <w:rFonts w:ascii="Times New Roman" w:hAnsi="Times New Roman" w:cs="Times New Roman"/>
                <w:b/>
                <w:bCs/>
                <w:sz w:val="17"/>
                <w:szCs w:val="17"/>
              </w:rPr>
            </w:pPr>
          </w:p>
        </w:tc>
        <w:tc>
          <w:tcPr>
            <w:tcW w:w="915" w:type="dxa"/>
            <w:tcBorders>
              <w:top w:val="nil"/>
              <w:left w:val="nil"/>
              <w:bottom w:val="nil"/>
              <w:right w:val="nil"/>
            </w:tcBorders>
            <w:shd w:val="clear" w:color="auto" w:fill="auto"/>
            <w:vAlign w:val="center"/>
            <w:hideMark/>
          </w:tcPr>
          <w:p w14:paraId="652494F6" w14:textId="77777777" w:rsidR="00B9311E" w:rsidRPr="00BD77D8" w:rsidRDefault="00B9311E" w:rsidP="00B9311E">
            <w:pPr>
              <w:spacing w:after="0" w:line="240" w:lineRule="auto"/>
              <w:jc w:val="right"/>
              <w:rPr>
                <w:rFonts w:ascii="Times New Roman" w:hAnsi="Times New Roman" w:cs="Times New Roman"/>
                <w:b/>
                <w:bCs/>
                <w:sz w:val="17"/>
                <w:szCs w:val="17"/>
              </w:rPr>
            </w:pPr>
          </w:p>
        </w:tc>
      </w:tr>
      <w:tr w:rsidR="00BD77D8" w:rsidRPr="00BD77D8" w14:paraId="739069DA" w14:textId="77777777" w:rsidTr="003057FB">
        <w:trPr>
          <w:trHeight w:val="240"/>
        </w:trPr>
        <w:tc>
          <w:tcPr>
            <w:tcW w:w="3655" w:type="dxa"/>
            <w:tcBorders>
              <w:top w:val="nil"/>
              <w:left w:val="nil"/>
              <w:bottom w:val="nil"/>
              <w:right w:val="nil"/>
            </w:tcBorders>
            <w:shd w:val="clear" w:color="000000" w:fill="FFFFFF"/>
            <w:noWrap/>
            <w:vAlign w:val="bottom"/>
            <w:hideMark/>
          </w:tcPr>
          <w:p w14:paraId="3489AF15"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Payables </w:t>
            </w:r>
          </w:p>
        </w:tc>
        <w:tc>
          <w:tcPr>
            <w:tcW w:w="913" w:type="dxa"/>
            <w:tcBorders>
              <w:top w:val="nil"/>
              <w:left w:val="nil"/>
              <w:bottom w:val="nil"/>
              <w:right w:val="nil"/>
            </w:tcBorders>
            <w:shd w:val="clear" w:color="auto" w:fill="auto"/>
            <w:vAlign w:val="center"/>
            <w:hideMark/>
          </w:tcPr>
          <w:p w14:paraId="210E8415" w14:textId="77777777" w:rsidR="00B9311E" w:rsidRPr="00BD77D8" w:rsidRDefault="00B9311E" w:rsidP="00B9311E">
            <w:pPr>
              <w:spacing w:after="0" w:line="240" w:lineRule="auto"/>
              <w:jc w:val="right"/>
              <w:rPr>
                <w:b/>
                <w:bCs/>
                <w:sz w:val="17"/>
                <w:szCs w:val="17"/>
              </w:rPr>
            </w:pPr>
            <w:r w:rsidRPr="00BD77D8">
              <w:rPr>
                <w:b/>
                <w:bCs/>
                <w:sz w:val="17"/>
                <w:szCs w:val="17"/>
              </w:rPr>
              <w:t xml:space="preserve">      13,337 </w:t>
            </w:r>
          </w:p>
        </w:tc>
        <w:tc>
          <w:tcPr>
            <w:tcW w:w="982" w:type="dxa"/>
            <w:tcBorders>
              <w:top w:val="nil"/>
              <w:left w:val="nil"/>
              <w:bottom w:val="nil"/>
              <w:right w:val="nil"/>
            </w:tcBorders>
            <w:shd w:val="clear" w:color="auto" w:fill="auto"/>
            <w:vAlign w:val="center"/>
            <w:hideMark/>
          </w:tcPr>
          <w:p w14:paraId="44EDF019" w14:textId="77777777" w:rsidR="00B9311E" w:rsidRPr="00BD77D8" w:rsidRDefault="00B9311E" w:rsidP="00B9311E">
            <w:pPr>
              <w:spacing w:after="0" w:line="240" w:lineRule="auto"/>
              <w:jc w:val="right"/>
              <w:rPr>
                <w:sz w:val="17"/>
                <w:szCs w:val="17"/>
              </w:rPr>
            </w:pPr>
            <w:r w:rsidRPr="00BD77D8">
              <w:rPr>
                <w:sz w:val="17"/>
                <w:szCs w:val="17"/>
              </w:rPr>
              <w:t>21,627</w:t>
            </w:r>
          </w:p>
        </w:tc>
        <w:tc>
          <w:tcPr>
            <w:tcW w:w="993" w:type="dxa"/>
            <w:tcBorders>
              <w:top w:val="nil"/>
              <w:left w:val="nil"/>
              <w:bottom w:val="nil"/>
              <w:right w:val="nil"/>
            </w:tcBorders>
            <w:shd w:val="clear" w:color="auto" w:fill="auto"/>
            <w:vAlign w:val="center"/>
            <w:hideMark/>
          </w:tcPr>
          <w:p w14:paraId="7720BA15" w14:textId="77777777" w:rsidR="00B9311E" w:rsidRPr="00BD77D8" w:rsidRDefault="00B9311E" w:rsidP="00B9311E">
            <w:pPr>
              <w:spacing w:after="0" w:line="240" w:lineRule="auto"/>
              <w:jc w:val="right"/>
              <w:rPr>
                <w:b/>
                <w:bCs/>
                <w:sz w:val="17"/>
                <w:szCs w:val="17"/>
              </w:rPr>
            </w:pPr>
            <w:r w:rsidRPr="00BD77D8">
              <w:rPr>
                <w:b/>
                <w:bCs/>
                <w:sz w:val="17"/>
                <w:szCs w:val="17"/>
              </w:rPr>
              <w:t xml:space="preserve">            990 </w:t>
            </w:r>
          </w:p>
        </w:tc>
        <w:tc>
          <w:tcPr>
            <w:tcW w:w="1000" w:type="dxa"/>
            <w:tcBorders>
              <w:top w:val="nil"/>
              <w:left w:val="nil"/>
              <w:bottom w:val="nil"/>
              <w:right w:val="nil"/>
            </w:tcBorders>
            <w:shd w:val="clear" w:color="auto" w:fill="auto"/>
            <w:vAlign w:val="center"/>
            <w:hideMark/>
          </w:tcPr>
          <w:p w14:paraId="3D8FB103" w14:textId="77777777" w:rsidR="00B9311E" w:rsidRPr="00BD77D8" w:rsidRDefault="00B9311E" w:rsidP="00B9311E">
            <w:pPr>
              <w:spacing w:after="0" w:line="240" w:lineRule="auto"/>
              <w:jc w:val="right"/>
              <w:rPr>
                <w:sz w:val="17"/>
                <w:szCs w:val="17"/>
              </w:rPr>
            </w:pPr>
            <w:r w:rsidRPr="00BD77D8">
              <w:rPr>
                <w:sz w:val="17"/>
                <w:szCs w:val="17"/>
              </w:rPr>
              <w:t xml:space="preserve">         2,344 </w:t>
            </w:r>
          </w:p>
        </w:tc>
        <w:tc>
          <w:tcPr>
            <w:tcW w:w="1134" w:type="dxa"/>
            <w:tcBorders>
              <w:top w:val="nil"/>
              <w:left w:val="nil"/>
              <w:bottom w:val="nil"/>
              <w:right w:val="nil"/>
            </w:tcBorders>
            <w:shd w:val="clear" w:color="auto" w:fill="auto"/>
            <w:vAlign w:val="center"/>
            <w:hideMark/>
          </w:tcPr>
          <w:p w14:paraId="4C86A3D2"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6447800F" w14:textId="77777777" w:rsidR="00B9311E" w:rsidRPr="00BD77D8" w:rsidRDefault="00B9311E" w:rsidP="00B9311E">
            <w:pPr>
              <w:spacing w:after="0" w:line="240" w:lineRule="auto"/>
              <w:jc w:val="right"/>
              <w:rPr>
                <w:b/>
                <w:bCs/>
                <w:sz w:val="17"/>
                <w:szCs w:val="17"/>
              </w:rPr>
            </w:pPr>
            <w:r w:rsidRPr="00BD77D8">
              <w:rPr>
                <w:b/>
                <w:bCs/>
                <w:sz w:val="17"/>
                <w:szCs w:val="17"/>
              </w:rPr>
              <w:t xml:space="preserve">             4,688 </w:t>
            </w:r>
          </w:p>
        </w:tc>
        <w:tc>
          <w:tcPr>
            <w:tcW w:w="1156" w:type="dxa"/>
            <w:tcBorders>
              <w:top w:val="nil"/>
              <w:left w:val="nil"/>
              <w:bottom w:val="nil"/>
              <w:right w:val="nil"/>
            </w:tcBorders>
            <w:shd w:val="clear" w:color="auto" w:fill="auto"/>
            <w:vAlign w:val="center"/>
            <w:hideMark/>
          </w:tcPr>
          <w:p w14:paraId="2608B84F" w14:textId="77777777" w:rsidR="00B9311E" w:rsidRPr="00BD77D8" w:rsidRDefault="00B9311E" w:rsidP="00B9311E">
            <w:pPr>
              <w:spacing w:after="0" w:line="240" w:lineRule="auto"/>
              <w:jc w:val="right"/>
              <w:rPr>
                <w:sz w:val="17"/>
                <w:szCs w:val="17"/>
              </w:rPr>
            </w:pPr>
            <w:r w:rsidRPr="00BD77D8">
              <w:rPr>
                <w:sz w:val="17"/>
                <w:szCs w:val="17"/>
              </w:rPr>
              <w:t xml:space="preserve">             5,226 </w:t>
            </w:r>
          </w:p>
        </w:tc>
        <w:tc>
          <w:tcPr>
            <w:tcW w:w="1156" w:type="dxa"/>
            <w:tcBorders>
              <w:top w:val="nil"/>
              <w:left w:val="nil"/>
              <w:bottom w:val="nil"/>
              <w:right w:val="nil"/>
            </w:tcBorders>
            <w:shd w:val="clear" w:color="auto" w:fill="auto"/>
            <w:vAlign w:val="center"/>
            <w:hideMark/>
          </w:tcPr>
          <w:p w14:paraId="37938804" w14:textId="77777777" w:rsidR="00B9311E" w:rsidRPr="00BD77D8" w:rsidRDefault="00B9311E" w:rsidP="00B9311E">
            <w:pPr>
              <w:spacing w:after="0" w:line="240" w:lineRule="auto"/>
              <w:jc w:val="right"/>
              <w:rPr>
                <w:b/>
                <w:bCs/>
                <w:sz w:val="17"/>
                <w:szCs w:val="17"/>
              </w:rPr>
            </w:pPr>
            <w:r w:rsidRPr="00BD77D8">
              <w:rPr>
                <w:b/>
                <w:bCs/>
                <w:sz w:val="17"/>
                <w:szCs w:val="17"/>
              </w:rPr>
              <w:t xml:space="preserve">             7,467 </w:t>
            </w:r>
          </w:p>
        </w:tc>
        <w:tc>
          <w:tcPr>
            <w:tcW w:w="1285" w:type="dxa"/>
            <w:tcBorders>
              <w:top w:val="nil"/>
              <w:left w:val="nil"/>
              <w:bottom w:val="nil"/>
              <w:right w:val="nil"/>
            </w:tcBorders>
            <w:shd w:val="clear" w:color="auto" w:fill="auto"/>
            <w:vAlign w:val="center"/>
            <w:hideMark/>
          </w:tcPr>
          <w:p w14:paraId="31D5C8B6" w14:textId="77777777" w:rsidR="00B9311E" w:rsidRPr="00BD77D8" w:rsidRDefault="00B9311E" w:rsidP="00B9311E">
            <w:pPr>
              <w:spacing w:after="0" w:line="240" w:lineRule="auto"/>
              <w:jc w:val="right"/>
              <w:rPr>
                <w:sz w:val="17"/>
                <w:szCs w:val="17"/>
              </w:rPr>
            </w:pPr>
            <w:r w:rsidRPr="00BD77D8">
              <w:rPr>
                <w:sz w:val="17"/>
                <w:szCs w:val="17"/>
              </w:rPr>
              <w:t xml:space="preserve">             8,729 </w:t>
            </w:r>
          </w:p>
        </w:tc>
        <w:tc>
          <w:tcPr>
            <w:tcW w:w="1062" w:type="dxa"/>
            <w:tcBorders>
              <w:top w:val="nil"/>
              <w:left w:val="nil"/>
              <w:bottom w:val="nil"/>
              <w:right w:val="nil"/>
            </w:tcBorders>
            <w:shd w:val="clear" w:color="auto" w:fill="auto"/>
            <w:vAlign w:val="center"/>
            <w:hideMark/>
          </w:tcPr>
          <w:p w14:paraId="7181BDFD" w14:textId="77777777" w:rsidR="00B9311E" w:rsidRPr="00BD77D8" w:rsidRDefault="00B9311E" w:rsidP="00B9311E">
            <w:pPr>
              <w:spacing w:after="0" w:line="240" w:lineRule="auto"/>
              <w:jc w:val="right"/>
              <w:rPr>
                <w:b/>
                <w:bCs/>
                <w:sz w:val="17"/>
                <w:szCs w:val="17"/>
              </w:rPr>
            </w:pPr>
            <w:r w:rsidRPr="00BD77D8">
              <w:rPr>
                <w:b/>
                <w:bCs/>
                <w:sz w:val="17"/>
                <w:szCs w:val="17"/>
              </w:rPr>
              <w:t xml:space="preserve">    26,482 </w:t>
            </w:r>
          </w:p>
        </w:tc>
        <w:tc>
          <w:tcPr>
            <w:tcW w:w="915" w:type="dxa"/>
            <w:tcBorders>
              <w:top w:val="nil"/>
              <w:left w:val="nil"/>
              <w:bottom w:val="nil"/>
              <w:right w:val="nil"/>
            </w:tcBorders>
            <w:shd w:val="clear" w:color="auto" w:fill="auto"/>
            <w:vAlign w:val="center"/>
            <w:hideMark/>
          </w:tcPr>
          <w:p w14:paraId="196284E1" w14:textId="77777777" w:rsidR="00B9311E" w:rsidRPr="00BD77D8" w:rsidRDefault="00B9311E" w:rsidP="00B9311E">
            <w:pPr>
              <w:spacing w:after="0" w:line="240" w:lineRule="auto"/>
              <w:jc w:val="right"/>
              <w:rPr>
                <w:sz w:val="17"/>
                <w:szCs w:val="17"/>
              </w:rPr>
            </w:pPr>
            <w:r w:rsidRPr="00BD77D8">
              <w:rPr>
                <w:sz w:val="17"/>
                <w:szCs w:val="17"/>
              </w:rPr>
              <w:t xml:space="preserve">    37,926 </w:t>
            </w:r>
          </w:p>
        </w:tc>
      </w:tr>
      <w:tr w:rsidR="00BD77D8" w:rsidRPr="00BD77D8" w14:paraId="0C05C644" w14:textId="77777777" w:rsidTr="003057FB">
        <w:trPr>
          <w:trHeight w:val="240"/>
        </w:trPr>
        <w:tc>
          <w:tcPr>
            <w:tcW w:w="3655" w:type="dxa"/>
            <w:tcBorders>
              <w:top w:val="nil"/>
              <w:left w:val="nil"/>
              <w:bottom w:val="nil"/>
              <w:right w:val="nil"/>
            </w:tcBorders>
            <w:shd w:val="clear" w:color="000000" w:fill="FFFFFF"/>
            <w:noWrap/>
            <w:vAlign w:val="bottom"/>
            <w:hideMark/>
          </w:tcPr>
          <w:p w14:paraId="0639C04B"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Accrued employee benefits </w:t>
            </w:r>
          </w:p>
        </w:tc>
        <w:tc>
          <w:tcPr>
            <w:tcW w:w="913" w:type="dxa"/>
            <w:tcBorders>
              <w:top w:val="nil"/>
              <w:left w:val="nil"/>
              <w:bottom w:val="nil"/>
              <w:right w:val="nil"/>
            </w:tcBorders>
            <w:shd w:val="clear" w:color="auto" w:fill="auto"/>
            <w:vAlign w:val="center"/>
            <w:hideMark/>
          </w:tcPr>
          <w:p w14:paraId="7092A687" w14:textId="77777777" w:rsidR="00B9311E" w:rsidRPr="00BD77D8" w:rsidRDefault="00B9311E" w:rsidP="00B9311E">
            <w:pPr>
              <w:spacing w:after="0" w:line="240" w:lineRule="auto"/>
              <w:jc w:val="right"/>
              <w:rPr>
                <w:b/>
                <w:bCs/>
                <w:sz w:val="17"/>
                <w:szCs w:val="17"/>
              </w:rPr>
            </w:pPr>
            <w:r w:rsidRPr="00BD77D8">
              <w:rPr>
                <w:b/>
                <w:bCs/>
                <w:sz w:val="17"/>
                <w:szCs w:val="17"/>
              </w:rPr>
              <w:t xml:space="preserve">         7,867 </w:t>
            </w:r>
          </w:p>
        </w:tc>
        <w:tc>
          <w:tcPr>
            <w:tcW w:w="982" w:type="dxa"/>
            <w:tcBorders>
              <w:top w:val="nil"/>
              <w:left w:val="nil"/>
              <w:bottom w:val="nil"/>
              <w:right w:val="nil"/>
            </w:tcBorders>
            <w:shd w:val="clear" w:color="auto" w:fill="auto"/>
            <w:vAlign w:val="center"/>
            <w:hideMark/>
          </w:tcPr>
          <w:p w14:paraId="450B8C78" w14:textId="77777777" w:rsidR="00B9311E" w:rsidRPr="00BD77D8" w:rsidRDefault="00B9311E" w:rsidP="00B9311E">
            <w:pPr>
              <w:spacing w:after="0" w:line="240" w:lineRule="auto"/>
              <w:jc w:val="right"/>
              <w:rPr>
                <w:sz w:val="17"/>
                <w:szCs w:val="17"/>
              </w:rPr>
            </w:pPr>
            <w:r w:rsidRPr="00BD77D8">
              <w:rPr>
                <w:sz w:val="17"/>
                <w:szCs w:val="17"/>
              </w:rPr>
              <w:t xml:space="preserve">         7,511 </w:t>
            </w:r>
          </w:p>
        </w:tc>
        <w:tc>
          <w:tcPr>
            <w:tcW w:w="993" w:type="dxa"/>
            <w:tcBorders>
              <w:top w:val="nil"/>
              <w:left w:val="nil"/>
              <w:bottom w:val="nil"/>
              <w:right w:val="nil"/>
            </w:tcBorders>
            <w:shd w:val="clear" w:color="auto" w:fill="auto"/>
            <w:vAlign w:val="center"/>
            <w:hideMark/>
          </w:tcPr>
          <w:p w14:paraId="6718A225" w14:textId="77777777" w:rsidR="00B9311E" w:rsidRPr="00BD77D8" w:rsidRDefault="00B9311E" w:rsidP="00B9311E">
            <w:pPr>
              <w:spacing w:after="0" w:line="240" w:lineRule="auto"/>
              <w:jc w:val="right"/>
              <w:rPr>
                <w:b/>
                <w:bCs/>
                <w:sz w:val="17"/>
                <w:szCs w:val="17"/>
              </w:rPr>
            </w:pPr>
            <w:r w:rsidRPr="00BD77D8">
              <w:rPr>
                <w:b/>
                <w:bCs/>
                <w:sz w:val="17"/>
                <w:szCs w:val="17"/>
              </w:rPr>
              <w:t xml:space="preserve">              28 </w:t>
            </w:r>
          </w:p>
        </w:tc>
        <w:tc>
          <w:tcPr>
            <w:tcW w:w="1000" w:type="dxa"/>
            <w:tcBorders>
              <w:top w:val="nil"/>
              <w:left w:val="nil"/>
              <w:bottom w:val="nil"/>
              <w:right w:val="nil"/>
            </w:tcBorders>
            <w:shd w:val="clear" w:color="auto" w:fill="auto"/>
            <w:vAlign w:val="center"/>
            <w:hideMark/>
          </w:tcPr>
          <w:p w14:paraId="37115B61" w14:textId="77777777" w:rsidR="00B9311E" w:rsidRPr="00BD77D8" w:rsidRDefault="00B9311E" w:rsidP="00B9311E">
            <w:pPr>
              <w:spacing w:after="0" w:line="240" w:lineRule="auto"/>
              <w:jc w:val="right"/>
              <w:rPr>
                <w:sz w:val="17"/>
                <w:szCs w:val="17"/>
              </w:rPr>
            </w:pPr>
            <w:r w:rsidRPr="00BD77D8">
              <w:rPr>
                <w:sz w:val="17"/>
                <w:szCs w:val="17"/>
              </w:rPr>
              <w:t xml:space="preserve">              59 </w:t>
            </w:r>
          </w:p>
        </w:tc>
        <w:tc>
          <w:tcPr>
            <w:tcW w:w="1134" w:type="dxa"/>
            <w:tcBorders>
              <w:top w:val="nil"/>
              <w:left w:val="nil"/>
              <w:bottom w:val="nil"/>
              <w:right w:val="nil"/>
            </w:tcBorders>
            <w:shd w:val="clear" w:color="auto" w:fill="auto"/>
            <w:vAlign w:val="center"/>
            <w:hideMark/>
          </w:tcPr>
          <w:p w14:paraId="2FEB6E55"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75F48167" w14:textId="77777777" w:rsidR="00B9311E" w:rsidRPr="00BD77D8" w:rsidRDefault="00B9311E" w:rsidP="00B9311E">
            <w:pPr>
              <w:spacing w:after="0" w:line="240" w:lineRule="auto"/>
              <w:jc w:val="right"/>
              <w:rPr>
                <w:b/>
                <w:bCs/>
                <w:sz w:val="17"/>
                <w:szCs w:val="17"/>
              </w:rPr>
            </w:pPr>
            <w:r w:rsidRPr="00BD77D8">
              <w:rPr>
                <w:b/>
                <w:bCs/>
                <w:sz w:val="17"/>
                <w:szCs w:val="17"/>
              </w:rPr>
              <w:t xml:space="preserve">                550 </w:t>
            </w:r>
          </w:p>
        </w:tc>
        <w:tc>
          <w:tcPr>
            <w:tcW w:w="1156" w:type="dxa"/>
            <w:tcBorders>
              <w:top w:val="nil"/>
              <w:left w:val="nil"/>
              <w:bottom w:val="nil"/>
              <w:right w:val="nil"/>
            </w:tcBorders>
            <w:shd w:val="clear" w:color="auto" w:fill="auto"/>
            <w:vAlign w:val="center"/>
            <w:hideMark/>
          </w:tcPr>
          <w:p w14:paraId="4015340B" w14:textId="77777777" w:rsidR="00B9311E" w:rsidRPr="00BD77D8" w:rsidRDefault="00B9311E" w:rsidP="00B9311E">
            <w:pPr>
              <w:spacing w:after="0" w:line="240" w:lineRule="auto"/>
              <w:jc w:val="right"/>
              <w:rPr>
                <w:sz w:val="17"/>
                <w:szCs w:val="17"/>
              </w:rPr>
            </w:pPr>
            <w:r w:rsidRPr="00BD77D8">
              <w:rPr>
                <w:sz w:val="17"/>
                <w:szCs w:val="17"/>
              </w:rPr>
              <w:t xml:space="preserve">                596 </w:t>
            </w:r>
          </w:p>
        </w:tc>
        <w:tc>
          <w:tcPr>
            <w:tcW w:w="1156" w:type="dxa"/>
            <w:tcBorders>
              <w:top w:val="nil"/>
              <w:left w:val="nil"/>
              <w:bottom w:val="nil"/>
              <w:right w:val="nil"/>
            </w:tcBorders>
            <w:shd w:val="clear" w:color="auto" w:fill="auto"/>
            <w:vAlign w:val="center"/>
            <w:hideMark/>
          </w:tcPr>
          <w:p w14:paraId="087A6BEE" w14:textId="77777777" w:rsidR="00B9311E" w:rsidRPr="00BD77D8" w:rsidRDefault="00B9311E" w:rsidP="00B9311E">
            <w:pPr>
              <w:spacing w:after="0" w:line="240" w:lineRule="auto"/>
              <w:jc w:val="right"/>
              <w:rPr>
                <w:b/>
                <w:bCs/>
                <w:sz w:val="17"/>
                <w:szCs w:val="17"/>
              </w:rPr>
            </w:pPr>
            <w:r w:rsidRPr="00BD77D8">
              <w:rPr>
                <w:b/>
                <w:bCs/>
                <w:sz w:val="17"/>
                <w:szCs w:val="17"/>
              </w:rPr>
              <w:t xml:space="preserve">                816 </w:t>
            </w:r>
          </w:p>
        </w:tc>
        <w:tc>
          <w:tcPr>
            <w:tcW w:w="1285" w:type="dxa"/>
            <w:tcBorders>
              <w:top w:val="nil"/>
              <w:left w:val="nil"/>
              <w:bottom w:val="nil"/>
              <w:right w:val="nil"/>
            </w:tcBorders>
            <w:shd w:val="clear" w:color="auto" w:fill="auto"/>
            <w:vAlign w:val="center"/>
            <w:hideMark/>
          </w:tcPr>
          <w:p w14:paraId="5B8B4C72" w14:textId="77777777" w:rsidR="00B9311E" w:rsidRPr="00BD77D8" w:rsidRDefault="00B9311E" w:rsidP="00B9311E">
            <w:pPr>
              <w:spacing w:after="0" w:line="240" w:lineRule="auto"/>
              <w:jc w:val="right"/>
              <w:rPr>
                <w:sz w:val="17"/>
                <w:szCs w:val="17"/>
              </w:rPr>
            </w:pPr>
            <w:r w:rsidRPr="00BD77D8">
              <w:rPr>
                <w:sz w:val="17"/>
                <w:szCs w:val="17"/>
              </w:rPr>
              <w:t xml:space="preserve">                645 </w:t>
            </w:r>
          </w:p>
        </w:tc>
        <w:tc>
          <w:tcPr>
            <w:tcW w:w="1062" w:type="dxa"/>
            <w:tcBorders>
              <w:top w:val="nil"/>
              <w:left w:val="nil"/>
              <w:bottom w:val="nil"/>
              <w:right w:val="nil"/>
            </w:tcBorders>
            <w:shd w:val="clear" w:color="auto" w:fill="auto"/>
            <w:vAlign w:val="center"/>
            <w:hideMark/>
          </w:tcPr>
          <w:p w14:paraId="0A009A18" w14:textId="77777777" w:rsidR="00B9311E" w:rsidRPr="00BD77D8" w:rsidRDefault="00B9311E" w:rsidP="00B9311E">
            <w:pPr>
              <w:spacing w:after="0" w:line="240" w:lineRule="auto"/>
              <w:jc w:val="right"/>
              <w:rPr>
                <w:b/>
                <w:bCs/>
                <w:sz w:val="17"/>
                <w:szCs w:val="17"/>
              </w:rPr>
            </w:pPr>
            <w:r w:rsidRPr="00BD77D8">
              <w:rPr>
                <w:b/>
                <w:bCs/>
                <w:sz w:val="17"/>
                <w:szCs w:val="17"/>
              </w:rPr>
              <w:t xml:space="preserve">       9,261 </w:t>
            </w:r>
          </w:p>
        </w:tc>
        <w:tc>
          <w:tcPr>
            <w:tcW w:w="915" w:type="dxa"/>
            <w:tcBorders>
              <w:top w:val="nil"/>
              <w:left w:val="nil"/>
              <w:bottom w:val="nil"/>
              <w:right w:val="nil"/>
            </w:tcBorders>
            <w:shd w:val="clear" w:color="auto" w:fill="auto"/>
            <w:vAlign w:val="center"/>
            <w:hideMark/>
          </w:tcPr>
          <w:p w14:paraId="542434AD" w14:textId="77777777" w:rsidR="00B9311E" w:rsidRPr="00BD77D8" w:rsidRDefault="00B9311E" w:rsidP="00B9311E">
            <w:pPr>
              <w:spacing w:after="0" w:line="240" w:lineRule="auto"/>
              <w:jc w:val="right"/>
              <w:rPr>
                <w:sz w:val="17"/>
                <w:szCs w:val="17"/>
              </w:rPr>
            </w:pPr>
            <w:r w:rsidRPr="00BD77D8">
              <w:rPr>
                <w:sz w:val="17"/>
                <w:szCs w:val="17"/>
              </w:rPr>
              <w:t xml:space="preserve">       8,811 </w:t>
            </w:r>
          </w:p>
        </w:tc>
      </w:tr>
      <w:tr w:rsidR="00BD77D8" w:rsidRPr="00BD77D8" w14:paraId="6FE8D06E" w14:textId="77777777" w:rsidTr="003057FB">
        <w:trPr>
          <w:trHeight w:val="240"/>
        </w:trPr>
        <w:tc>
          <w:tcPr>
            <w:tcW w:w="3655" w:type="dxa"/>
            <w:tcBorders>
              <w:top w:val="nil"/>
              <w:left w:val="nil"/>
              <w:bottom w:val="nil"/>
              <w:right w:val="nil"/>
            </w:tcBorders>
            <w:shd w:val="clear" w:color="000000" w:fill="FFFFFF"/>
            <w:noWrap/>
            <w:vAlign w:val="bottom"/>
            <w:hideMark/>
          </w:tcPr>
          <w:p w14:paraId="5493C404"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Provisions </w:t>
            </w:r>
          </w:p>
        </w:tc>
        <w:tc>
          <w:tcPr>
            <w:tcW w:w="913" w:type="dxa"/>
            <w:tcBorders>
              <w:top w:val="nil"/>
              <w:left w:val="nil"/>
              <w:bottom w:val="nil"/>
              <w:right w:val="nil"/>
            </w:tcBorders>
            <w:shd w:val="clear" w:color="auto" w:fill="auto"/>
            <w:vAlign w:val="center"/>
            <w:hideMark/>
          </w:tcPr>
          <w:p w14:paraId="43D3B8D3"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982" w:type="dxa"/>
            <w:tcBorders>
              <w:top w:val="nil"/>
              <w:left w:val="nil"/>
              <w:bottom w:val="nil"/>
              <w:right w:val="nil"/>
            </w:tcBorders>
            <w:shd w:val="clear" w:color="auto" w:fill="auto"/>
            <w:vAlign w:val="center"/>
            <w:hideMark/>
          </w:tcPr>
          <w:p w14:paraId="2C665BA8" w14:textId="77777777" w:rsidR="00B9311E" w:rsidRPr="00BD77D8" w:rsidRDefault="00B9311E" w:rsidP="00B9311E">
            <w:pPr>
              <w:spacing w:after="0" w:line="240" w:lineRule="auto"/>
              <w:jc w:val="right"/>
              <w:rPr>
                <w:sz w:val="17"/>
                <w:szCs w:val="17"/>
              </w:rPr>
            </w:pPr>
            <w:r w:rsidRPr="00BD77D8">
              <w:rPr>
                <w:sz w:val="17"/>
                <w:szCs w:val="17"/>
              </w:rPr>
              <w:t xml:space="preserve">            104 </w:t>
            </w:r>
          </w:p>
        </w:tc>
        <w:tc>
          <w:tcPr>
            <w:tcW w:w="993" w:type="dxa"/>
            <w:tcBorders>
              <w:top w:val="nil"/>
              <w:left w:val="nil"/>
              <w:bottom w:val="nil"/>
              <w:right w:val="nil"/>
            </w:tcBorders>
            <w:shd w:val="clear" w:color="auto" w:fill="auto"/>
            <w:vAlign w:val="center"/>
            <w:hideMark/>
          </w:tcPr>
          <w:p w14:paraId="6DD7102C"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000" w:type="dxa"/>
            <w:tcBorders>
              <w:top w:val="nil"/>
              <w:left w:val="nil"/>
              <w:bottom w:val="nil"/>
              <w:right w:val="nil"/>
            </w:tcBorders>
            <w:shd w:val="clear" w:color="auto" w:fill="auto"/>
            <w:vAlign w:val="center"/>
            <w:hideMark/>
          </w:tcPr>
          <w:p w14:paraId="6E946783"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4E53EC6C"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04A1D15E"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56" w:type="dxa"/>
            <w:tcBorders>
              <w:top w:val="nil"/>
              <w:left w:val="nil"/>
              <w:bottom w:val="nil"/>
              <w:right w:val="nil"/>
            </w:tcBorders>
            <w:shd w:val="clear" w:color="auto" w:fill="auto"/>
            <w:vAlign w:val="center"/>
            <w:hideMark/>
          </w:tcPr>
          <w:p w14:paraId="4EE9A65D" w14:textId="77777777" w:rsidR="00B9311E" w:rsidRPr="00BD77D8" w:rsidRDefault="00B9311E" w:rsidP="00B9311E">
            <w:pPr>
              <w:spacing w:after="0" w:line="240" w:lineRule="auto"/>
              <w:jc w:val="right"/>
              <w:rPr>
                <w:sz w:val="17"/>
                <w:szCs w:val="17"/>
              </w:rPr>
            </w:pPr>
            <w:r w:rsidRPr="00BD77D8">
              <w:rPr>
                <w:sz w:val="17"/>
                <w:szCs w:val="17"/>
              </w:rPr>
              <w:t xml:space="preserve">                     7 </w:t>
            </w:r>
          </w:p>
        </w:tc>
        <w:tc>
          <w:tcPr>
            <w:tcW w:w="1156" w:type="dxa"/>
            <w:tcBorders>
              <w:top w:val="nil"/>
              <w:left w:val="nil"/>
              <w:bottom w:val="nil"/>
              <w:right w:val="nil"/>
            </w:tcBorders>
            <w:shd w:val="clear" w:color="auto" w:fill="auto"/>
            <w:vAlign w:val="center"/>
            <w:hideMark/>
          </w:tcPr>
          <w:p w14:paraId="74A025DC"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285" w:type="dxa"/>
            <w:tcBorders>
              <w:top w:val="nil"/>
              <w:left w:val="nil"/>
              <w:bottom w:val="nil"/>
              <w:right w:val="nil"/>
            </w:tcBorders>
            <w:shd w:val="clear" w:color="auto" w:fill="auto"/>
            <w:vAlign w:val="center"/>
            <w:hideMark/>
          </w:tcPr>
          <w:p w14:paraId="3ED94E3A" w14:textId="77777777" w:rsidR="00B9311E" w:rsidRPr="00BD77D8" w:rsidRDefault="00B9311E" w:rsidP="00B9311E">
            <w:pPr>
              <w:spacing w:after="0" w:line="240" w:lineRule="auto"/>
              <w:jc w:val="right"/>
              <w:rPr>
                <w:sz w:val="17"/>
                <w:szCs w:val="17"/>
              </w:rPr>
            </w:pPr>
            <w:r w:rsidRPr="00BD77D8">
              <w:rPr>
                <w:sz w:val="17"/>
                <w:szCs w:val="17"/>
              </w:rPr>
              <w:t xml:space="preserve">                     7 </w:t>
            </w:r>
          </w:p>
        </w:tc>
        <w:tc>
          <w:tcPr>
            <w:tcW w:w="1062" w:type="dxa"/>
            <w:tcBorders>
              <w:top w:val="nil"/>
              <w:left w:val="nil"/>
              <w:bottom w:val="nil"/>
              <w:right w:val="nil"/>
            </w:tcBorders>
            <w:shd w:val="clear" w:color="auto" w:fill="auto"/>
            <w:vAlign w:val="center"/>
            <w:hideMark/>
          </w:tcPr>
          <w:p w14:paraId="319AD0BA"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915" w:type="dxa"/>
            <w:tcBorders>
              <w:top w:val="nil"/>
              <w:left w:val="nil"/>
              <w:bottom w:val="nil"/>
              <w:right w:val="nil"/>
            </w:tcBorders>
            <w:shd w:val="clear" w:color="auto" w:fill="auto"/>
            <w:vAlign w:val="center"/>
            <w:hideMark/>
          </w:tcPr>
          <w:p w14:paraId="1B463841" w14:textId="77777777" w:rsidR="00B9311E" w:rsidRPr="00BD77D8" w:rsidRDefault="00B9311E" w:rsidP="00B9311E">
            <w:pPr>
              <w:spacing w:after="0" w:line="240" w:lineRule="auto"/>
              <w:jc w:val="right"/>
              <w:rPr>
                <w:sz w:val="17"/>
                <w:szCs w:val="17"/>
              </w:rPr>
            </w:pPr>
            <w:r w:rsidRPr="00BD77D8">
              <w:rPr>
                <w:sz w:val="17"/>
                <w:szCs w:val="17"/>
              </w:rPr>
              <w:t xml:space="preserve">          119 </w:t>
            </w:r>
          </w:p>
        </w:tc>
      </w:tr>
      <w:tr w:rsidR="00BD77D8" w:rsidRPr="00BD77D8" w14:paraId="67A508D3" w14:textId="77777777" w:rsidTr="003057FB">
        <w:trPr>
          <w:trHeight w:val="240"/>
        </w:trPr>
        <w:tc>
          <w:tcPr>
            <w:tcW w:w="3655" w:type="dxa"/>
            <w:tcBorders>
              <w:top w:val="nil"/>
              <w:left w:val="nil"/>
              <w:bottom w:val="nil"/>
              <w:right w:val="nil"/>
            </w:tcBorders>
            <w:shd w:val="clear" w:color="000000" w:fill="FFFFFF"/>
            <w:noWrap/>
            <w:vAlign w:val="bottom"/>
            <w:hideMark/>
          </w:tcPr>
          <w:p w14:paraId="5190FC5A" w14:textId="77777777" w:rsidR="00B9311E" w:rsidRPr="00BD77D8" w:rsidRDefault="00B9311E" w:rsidP="00B9311E">
            <w:pPr>
              <w:spacing w:after="0" w:line="240" w:lineRule="auto"/>
              <w:ind w:firstLineChars="100" w:firstLine="170"/>
              <w:rPr>
                <w:sz w:val="17"/>
                <w:szCs w:val="17"/>
              </w:rPr>
            </w:pPr>
            <w:r w:rsidRPr="00BD77D8">
              <w:rPr>
                <w:sz w:val="17"/>
                <w:szCs w:val="17"/>
              </w:rPr>
              <w:t xml:space="preserve"> Other current liabilities </w:t>
            </w:r>
          </w:p>
        </w:tc>
        <w:tc>
          <w:tcPr>
            <w:tcW w:w="913" w:type="dxa"/>
            <w:tcBorders>
              <w:top w:val="nil"/>
              <w:left w:val="nil"/>
              <w:bottom w:val="nil"/>
              <w:right w:val="nil"/>
            </w:tcBorders>
            <w:shd w:val="clear" w:color="auto" w:fill="auto"/>
            <w:vAlign w:val="center"/>
            <w:hideMark/>
          </w:tcPr>
          <w:p w14:paraId="422DF438" w14:textId="77777777" w:rsidR="00B9311E" w:rsidRPr="00BD77D8" w:rsidRDefault="00B9311E" w:rsidP="00B9311E">
            <w:pPr>
              <w:spacing w:after="0" w:line="240" w:lineRule="auto"/>
              <w:jc w:val="right"/>
              <w:rPr>
                <w:b/>
                <w:bCs/>
                <w:sz w:val="17"/>
                <w:szCs w:val="17"/>
              </w:rPr>
            </w:pPr>
            <w:r w:rsidRPr="00BD77D8">
              <w:rPr>
                <w:b/>
                <w:bCs/>
                <w:sz w:val="17"/>
                <w:szCs w:val="17"/>
              </w:rPr>
              <w:t xml:space="preserve">         1,062 </w:t>
            </w:r>
          </w:p>
        </w:tc>
        <w:tc>
          <w:tcPr>
            <w:tcW w:w="982" w:type="dxa"/>
            <w:tcBorders>
              <w:top w:val="nil"/>
              <w:left w:val="nil"/>
              <w:bottom w:val="nil"/>
              <w:right w:val="nil"/>
            </w:tcBorders>
            <w:shd w:val="clear" w:color="auto" w:fill="auto"/>
            <w:vAlign w:val="center"/>
            <w:hideMark/>
          </w:tcPr>
          <w:p w14:paraId="77FED4EB" w14:textId="77777777" w:rsidR="00B9311E" w:rsidRPr="00BD77D8" w:rsidRDefault="00B9311E" w:rsidP="00B9311E">
            <w:pPr>
              <w:spacing w:after="0" w:line="240" w:lineRule="auto"/>
              <w:jc w:val="right"/>
              <w:rPr>
                <w:sz w:val="17"/>
                <w:szCs w:val="17"/>
              </w:rPr>
            </w:pPr>
            <w:r w:rsidRPr="00BD77D8">
              <w:rPr>
                <w:sz w:val="17"/>
                <w:szCs w:val="17"/>
              </w:rPr>
              <w:t xml:space="preserve">            571 </w:t>
            </w:r>
          </w:p>
        </w:tc>
        <w:tc>
          <w:tcPr>
            <w:tcW w:w="993" w:type="dxa"/>
            <w:tcBorders>
              <w:top w:val="nil"/>
              <w:left w:val="nil"/>
              <w:bottom w:val="nil"/>
              <w:right w:val="nil"/>
            </w:tcBorders>
            <w:shd w:val="clear" w:color="auto" w:fill="auto"/>
            <w:vAlign w:val="center"/>
            <w:hideMark/>
          </w:tcPr>
          <w:p w14:paraId="063B2DA4"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000" w:type="dxa"/>
            <w:tcBorders>
              <w:top w:val="nil"/>
              <w:left w:val="nil"/>
              <w:bottom w:val="nil"/>
              <w:right w:val="nil"/>
            </w:tcBorders>
            <w:shd w:val="clear" w:color="auto" w:fill="auto"/>
            <w:vAlign w:val="center"/>
            <w:hideMark/>
          </w:tcPr>
          <w:p w14:paraId="2752A035"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34" w:type="dxa"/>
            <w:tcBorders>
              <w:top w:val="nil"/>
              <w:left w:val="nil"/>
              <w:bottom w:val="nil"/>
              <w:right w:val="nil"/>
            </w:tcBorders>
            <w:shd w:val="clear" w:color="auto" w:fill="auto"/>
            <w:vAlign w:val="center"/>
            <w:hideMark/>
          </w:tcPr>
          <w:p w14:paraId="27D8CA80"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13" w:type="dxa"/>
            <w:tcBorders>
              <w:top w:val="nil"/>
              <w:left w:val="nil"/>
              <w:bottom w:val="nil"/>
              <w:right w:val="nil"/>
            </w:tcBorders>
            <w:shd w:val="clear" w:color="auto" w:fill="auto"/>
            <w:vAlign w:val="center"/>
            <w:hideMark/>
          </w:tcPr>
          <w:p w14:paraId="42DD61A6"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56" w:type="dxa"/>
            <w:tcBorders>
              <w:top w:val="nil"/>
              <w:left w:val="nil"/>
              <w:bottom w:val="nil"/>
              <w:right w:val="nil"/>
            </w:tcBorders>
            <w:shd w:val="clear" w:color="auto" w:fill="auto"/>
            <w:vAlign w:val="center"/>
            <w:hideMark/>
          </w:tcPr>
          <w:p w14:paraId="41F7EC48"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156" w:type="dxa"/>
            <w:tcBorders>
              <w:top w:val="nil"/>
              <w:left w:val="nil"/>
              <w:bottom w:val="nil"/>
              <w:right w:val="nil"/>
            </w:tcBorders>
            <w:shd w:val="clear" w:color="auto" w:fill="auto"/>
            <w:vAlign w:val="center"/>
            <w:hideMark/>
          </w:tcPr>
          <w:p w14:paraId="5F304ADD"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285" w:type="dxa"/>
            <w:tcBorders>
              <w:top w:val="nil"/>
              <w:left w:val="nil"/>
              <w:bottom w:val="nil"/>
              <w:right w:val="nil"/>
            </w:tcBorders>
            <w:shd w:val="clear" w:color="auto" w:fill="auto"/>
            <w:vAlign w:val="center"/>
            <w:hideMark/>
          </w:tcPr>
          <w:p w14:paraId="5AB4EFC7" w14:textId="77777777" w:rsidR="00B9311E" w:rsidRPr="00BD77D8" w:rsidRDefault="00B9311E" w:rsidP="00B9311E">
            <w:pPr>
              <w:spacing w:after="0" w:line="240" w:lineRule="auto"/>
              <w:jc w:val="right"/>
              <w:rPr>
                <w:sz w:val="17"/>
                <w:szCs w:val="17"/>
              </w:rPr>
            </w:pPr>
            <w:r w:rsidRPr="00BD77D8">
              <w:rPr>
                <w:sz w:val="17"/>
                <w:szCs w:val="17"/>
              </w:rPr>
              <w:t xml:space="preserve">                      - </w:t>
            </w:r>
          </w:p>
        </w:tc>
        <w:tc>
          <w:tcPr>
            <w:tcW w:w="1062" w:type="dxa"/>
            <w:tcBorders>
              <w:top w:val="nil"/>
              <w:left w:val="nil"/>
              <w:bottom w:val="nil"/>
              <w:right w:val="nil"/>
            </w:tcBorders>
            <w:shd w:val="clear" w:color="auto" w:fill="auto"/>
            <w:vAlign w:val="center"/>
            <w:hideMark/>
          </w:tcPr>
          <w:p w14:paraId="6A5F89EB" w14:textId="77777777" w:rsidR="00B9311E" w:rsidRPr="00BD77D8" w:rsidRDefault="00B9311E" w:rsidP="00B9311E">
            <w:pPr>
              <w:spacing w:after="0" w:line="240" w:lineRule="auto"/>
              <w:jc w:val="right"/>
              <w:rPr>
                <w:b/>
                <w:bCs/>
                <w:sz w:val="17"/>
                <w:szCs w:val="17"/>
              </w:rPr>
            </w:pPr>
            <w:r w:rsidRPr="00BD77D8">
              <w:rPr>
                <w:b/>
                <w:bCs/>
                <w:sz w:val="17"/>
                <w:szCs w:val="17"/>
              </w:rPr>
              <w:t xml:space="preserve">       1,062 </w:t>
            </w:r>
          </w:p>
        </w:tc>
        <w:tc>
          <w:tcPr>
            <w:tcW w:w="915" w:type="dxa"/>
            <w:tcBorders>
              <w:top w:val="nil"/>
              <w:left w:val="nil"/>
              <w:bottom w:val="nil"/>
              <w:right w:val="nil"/>
            </w:tcBorders>
            <w:shd w:val="clear" w:color="auto" w:fill="auto"/>
            <w:vAlign w:val="center"/>
            <w:hideMark/>
          </w:tcPr>
          <w:p w14:paraId="6E3AFA66" w14:textId="77777777" w:rsidR="00B9311E" w:rsidRPr="00BD77D8" w:rsidRDefault="00B9311E" w:rsidP="00B9311E">
            <w:pPr>
              <w:spacing w:after="0" w:line="240" w:lineRule="auto"/>
              <w:jc w:val="right"/>
              <w:rPr>
                <w:sz w:val="17"/>
                <w:szCs w:val="17"/>
              </w:rPr>
            </w:pPr>
            <w:r w:rsidRPr="00BD77D8">
              <w:rPr>
                <w:sz w:val="17"/>
                <w:szCs w:val="17"/>
              </w:rPr>
              <w:t xml:space="preserve">          571 </w:t>
            </w:r>
          </w:p>
        </w:tc>
      </w:tr>
      <w:tr w:rsidR="00BD77D8" w:rsidRPr="00BD77D8" w14:paraId="75ABE888" w14:textId="77777777" w:rsidTr="003057FB">
        <w:trPr>
          <w:trHeight w:val="240"/>
        </w:trPr>
        <w:tc>
          <w:tcPr>
            <w:tcW w:w="3655" w:type="dxa"/>
            <w:tcBorders>
              <w:top w:val="nil"/>
              <w:left w:val="nil"/>
              <w:bottom w:val="nil"/>
              <w:right w:val="nil"/>
            </w:tcBorders>
            <w:shd w:val="clear" w:color="000000" w:fill="FFFFFF"/>
            <w:noWrap/>
            <w:vAlign w:val="bottom"/>
            <w:hideMark/>
          </w:tcPr>
          <w:p w14:paraId="4150648A" w14:textId="77777777" w:rsidR="00B9311E" w:rsidRPr="00BD77D8" w:rsidRDefault="00B9311E" w:rsidP="00B9311E">
            <w:pPr>
              <w:spacing w:after="0" w:line="240" w:lineRule="auto"/>
              <w:rPr>
                <w:b/>
                <w:bCs/>
                <w:sz w:val="17"/>
                <w:szCs w:val="17"/>
              </w:rPr>
            </w:pPr>
            <w:r w:rsidRPr="00BD77D8">
              <w:rPr>
                <w:b/>
                <w:bCs/>
                <w:sz w:val="17"/>
                <w:szCs w:val="17"/>
              </w:rPr>
              <w:t xml:space="preserve"> Total Current Liabilities </w:t>
            </w:r>
          </w:p>
        </w:tc>
        <w:tc>
          <w:tcPr>
            <w:tcW w:w="913" w:type="dxa"/>
            <w:tcBorders>
              <w:top w:val="single" w:sz="4" w:space="0" w:color="auto"/>
              <w:left w:val="nil"/>
              <w:bottom w:val="single" w:sz="4" w:space="0" w:color="auto"/>
              <w:right w:val="nil"/>
            </w:tcBorders>
            <w:shd w:val="clear" w:color="auto" w:fill="auto"/>
            <w:vAlign w:val="center"/>
            <w:hideMark/>
          </w:tcPr>
          <w:p w14:paraId="442DCC76" w14:textId="77777777" w:rsidR="00B9311E" w:rsidRPr="00BD77D8" w:rsidRDefault="00B9311E" w:rsidP="00B9311E">
            <w:pPr>
              <w:spacing w:after="0" w:line="240" w:lineRule="auto"/>
              <w:jc w:val="right"/>
              <w:rPr>
                <w:b/>
                <w:bCs/>
                <w:sz w:val="17"/>
                <w:szCs w:val="17"/>
              </w:rPr>
            </w:pPr>
            <w:r w:rsidRPr="00BD77D8">
              <w:rPr>
                <w:b/>
                <w:bCs/>
                <w:sz w:val="17"/>
                <w:szCs w:val="17"/>
              </w:rPr>
              <w:t xml:space="preserve">      22,266 </w:t>
            </w:r>
          </w:p>
        </w:tc>
        <w:tc>
          <w:tcPr>
            <w:tcW w:w="982" w:type="dxa"/>
            <w:tcBorders>
              <w:top w:val="single" w:sz="4" w:space="0" w:color="auto"/>
              <w:left w:val="nil"/>
              <w:bottom w:val="single" w:sz="4" w:space="0" w:color="auto"/>
              <w:right w:val="nil"/>
            </w:tcBorders>
            <w:shd w:val="clear" w:color="auto" w:fill="auto"/>
            <w:vAlign w:val="center"/>
            <w:hideMark/>
          </w:tcPr>
          <w:p w14:paraId="2C09ABE7" w14:textId="77777777" w:rsidR="00B9311E" w:rsidRPr="00BD77D8" w:rsidRDefault="00B9311E" w:rsidP="00B9311E">
            <w:pPr>
              <w:spacing w:after="0" w:line="240" w:lineRule="auto"/>
              <w:jc w:val="right"/>
              <w:rPr>
                <w:b/>
                <w:bCs/>
                <w:sz w:val="17"/>
                <w:szCs w:val="17"/>
              </w:rPr>
            </w:pPr>
            <w:r w:rsidRPr="00BD77D8">
              <w:rPr>
                <w:b/>
                <w:bCs/>
                <w:sz w:val="17"/>
                <w:szCs w:val="17"/>
              </w:rPr>
              <w:t xml:space="preserve">      29,814 </w:t>
            </w:r>
          </w:p>
        </w:tc>
        <w:tc>
          <w:tcPr>
            <w:tcW w:w="993" w:type="dxa"/>
            <w:tcBorders>
              <w:top w:val="single" w:sz="4" w:space="0" w:color="auto"/>
              <w:left w:val="nil"/>
              <w:bottom w:val="single" w:sz="4" w:space="0" w:color="auto"/>
              <w:right w:val="nil"/>
            </w:tcBorders>
            <w:shd w:val="clear" w:color="auto" w:fill="auto"/>
            <w:vAlign w:val="center"/>
            <w:hideMark/>
          </w:tcPr>
          <w:p w14:paraId="0A147904" w14:textId="77777777" w:rsidR="00B9311E" w:rsidRPr="00BD77D8" w:rsidRDefault="00B9311E" w:rsidP="00B9311E">
            <w:pPr>
              <w:spacing w:after="0" w:line="240" w:lineRule="auto"/>
              <w:jc w:val="right"/>
              <w:rPr>
                <w:b/>
                <w:bCs/>
                <w:sz w:val="17"/>
                <w:szCs w:val="17"/>
              </w:rPr>
            </w:pPr>
            <w:r w:rsidRPr="00BD77D8">
              <w:rPr>
                <w:b/>
                <w:bCs/>
                <w:sz w:val="17"/>
                <w:szCs w:val="17"/>
              </w:rPr>
              <w:t xml:space="preserve">         1,018 </w:t>
            </w:r>
          </w:p>
        </w:tc>
        <w:tc>
          <w:tcPr>
            <w:tcW w:w="1000" w:type="dxa"/>
            <w:tcBorders>
              <w:top w:val="single" w:sz="4" w:space="0" w:color="auto"/>
              <w:left w:val="nil"/>
              <w:bottom w:val="single" w:sz="4" w:space="0" w:color="auto"/>
              <w:right w:val="nil"/>
            </w:tcBorders>
            <w:shd w:val="clear" w:color="auto" w:fill="auto"/>
            <w:vAlign w:val="center"/>
            <w:hideMark/>
          </w:tcPr>
          <w:p w14:paraId="4E73357D" w14:textId="77777777" w:rsidR="00B9311E" w:rsidRPr="00BD77D8" w:rsidRDefault="00B9311E" w:rsidP="00B9311E">
            <w:pPr>
              <w:spacing w:after="0" w:line="240" w:lineRule="auto"/>
              <w:jc w:val="right"/>
              <w:rPr>
                <w:b/>
                <w:bCs/>
                <w:sz w:val="17"/>
                <w:szCs w:val="17"/>
              </w:rPr>
            </w:pPr>
            <w:r w:rsidRPr="00BD77D8">
              <w:rPr>
                <w:b/>
                <w:bCs/>
                <w:sz w:val="17"/>
                <w:szCs w:val="17"/>
              </w:rPr>
              <w:t xml:space="preserve">         2,403 </w:t>
            </w:r>
          </w:p>
        </w:tc>
        <w:tc>
          <w:tcPr>
            <w:tcW w:w="1134" w:type="dxa"/>
            <w:tcBorders>
              <w:top w:val="single" w:sz="4" w:space="0" w:color="auto"/>
              <w:left w:val="nil"/>
              <w:bottom w:val="single" w:sz="4" w:space="0" w:color="auto"/>
              <w:right w:val="nil"/>
            </w:tcBorders>
            <w:shd w:val="clear" w:color="auto" w:fill="auto"/>
            <w:vAlign w:val="center"/>
            <w:hideMark/>
          </w:tcPr>
          <w:p w14:paraId="34D7EE9A"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single" w:sz="4" w:space="0" w:color="auto"/>
              <w:left w:val="nil"/>
              <w:bottom w:val="single" w:sz="4" w:space="0" w:color="auto"/>
              <w:right w:val="nil"/>
            </w:tcBorders>
            <w:shd w:val="clear" w:color="auto" w:fill="auto"/>
            <w:vAlign w:val="center"/>
            <w:hideMark/>
          </w:tcPr>
          <w:p w14:paraId="5AE95CE4" w14:textId="77777777" w:rsidR="00B9311E" w:rsidRPr="00BD77D8" w:rsidRDefault="00B9311E" w:rsidP="00B9311E">
            <w:pPr>
              <w:spacing w:after="0" w:line="240" w:lineRule="auto"/>
              <w:jc w:val="right"/>
              <w:rPr>
                <w:b/>
                <w:bCs/>
                <w:sz w:val="17"/>
                <w:szCs w:val="17"/>
              </w:rPr>
            </w:pPr>
            <w:r w:rsidRPr="00BD77D8">
              <w:rPr>
                <w:b/>
                <w:bCs/>
                <w:sz w:val="17"/>
                <w:szCs w:val="17"/>
              </w:rPr>
              <w:t xml:space="preserve">             5,238 </w:t>
            </w:r>
          </w:p>
        </w:tc>
        <w:tc>
          <w:tcPr>
            <w:tcW w:w="1156" w:type="dxa"/>
            <w:tcBorders>
              <w:top w:val="single" w:sz="4" w:space="0" w:color="auto"/>
              <w:left w:val="nil"/>
              <w:bottom w:val="single" w:sz="4" w:space="0" w:color="auto"/>
              <w:right w:val="nil"/>
            </w:tcBorders>
            <w:shd w:val="clear" w:color="auto" w:fill="auto"/>
            <w:vAlign w:val="center"/>
            <w:hideMark/>
          </w:tcPr>
          <w:p w14:paraId="459D7397" w14:textId="77777777" w:rsidR="00B9311E" w:rsidRPr="00BD77D8" w:rsidRDefault="00B9311E" w:rsidP="00B9311E">
            <w:pPr>
              <w:spacing w:after="0" w:line="240" w:lineRule="auto"/>
              <w:jc w:val="right"/>
              <w:rPr>
                <w:b/>
                <w:bCs/>
                <w:sz w:val="17"/>
                <w:szCs w:val="17"/>
              </w:rPr>
            </w:pPr>
            <w:r w:rsidRPr="00BD77D8">
              <w:rPr>
                <w:b/>
                <w:bCs/>
                <w:sz w:val="17"/>
                <w:szCs w:val="17"/>
              </w:rPr>
              <w:t xml:space="preserve">             5,829 </w:t>
            </w:r>
          </w:p>
        </w:tc>
        <w:tc>
          <w:tcPr>
            <w:tcW w:w="1156" w:type="dxa"/>
            <w:tcBorders>
              <w:top w:val="single" w:sz="4" w:space="0" w:color="auto"/>
              <w:left w:val="nil"/>
              <w:bottom w:val="single" w:sz="4" w:space="0" w:color="auto"/>
              <w:right w:val="nil"/>
            </w:tcBorders>
            <w:shd w:val="clear" w:color="auto" w:fill="auto"/>
            <w:vAlign w:val="center"/>
            <w:hideMark/>
          </w:tcPr>
          <w:p w14:paraId="44683CC0" w14:textId="77777777" w:rsidR="00B9311E" w:rsidRPr="00BD77D8" w:rsidRDefault="00B9311E" w:rsidP="00B9311E">
            <w:pPr>
              <w:spacing w:after="0" w:line="240" w:lineRule="auto"/>
              <w:jc w:val="right"/>
              <w:rPr>
                <w:b/>
                <w:bCs/>
                <w:sz w:val="17"/>
                <w:szCs w:val="17"/>
              </w:rPr>
            </w:pPr>
            <w:r w:rsidRPr="00BD77D8">
              <w:rPr>
                <w:b/>
                <w:bCs/>
                <w:sz w:val="17"/>
                <w:szCs w:val="17"/>
              </w:rPr>
              <w:t xml:space="preserve">             8,283 </w:t>
            </w:r>
          </w:p>
        </w:tc>
        <w:tc>
          <w:tcPr>
            <w:tcW w:w="1285" w:type="dxa"/>
            <w:tcBorders>
              <w:top w:val="single" w:sz="4" w:space="0" w:color="auto"/>
              <w:left w:val="nil"/>
              <w:bottom w:val="single" w:sz="4" w:space="0" w:color="auto"/>
              <w:right w:val="nil"/>
            </w:tcBorders>
            <w:shd w:val="clear" w:color="auto" w:fill="auto"/>
            <w:vAlign w:val="center"/>
            <w:hideMark/>
          </w:tcPr>
          <w:p w14:paraId="6DEF63DE" w14:textId="77777777" w:rsidR="00B9311E" w:rsidRPr="00BD77D8" w:rsidRDefault="00B9311E" w:rsidP="00B9311E">
            <w:pPr>
              <w:spacing w:after="0" w:line="240" w:lineRule="auto"/>
              <w:jc w:val="right"/>
              <w:rPr>
                <w:b/>
                <w:bCs/>
                <w:sz w:val="17"/>
                <w:szCs w:val="17"/>
              </w:rPr>
            </w:pPr>
            <w:r w:rsidRPr="00BD77D8">
              <w:rPr>
                <w:b/>
                <w:bCs/>
                <w:sz w:val="17"/>
                <w:szCs w:val="17"/>
              </w:rPr>
              <w:t xml:space="preserve">             9,381 </w:t>
            </w:r>
          </w:p>
        </w:tc>
        <w:tc>
          <w:tcPr>
            <w:tcW w:w="1062" w:type="dxa"/>
            <w:tcBorders>
              <w:top w:val="single" w:sz="4" w:space="0" w:color="auto"/>
              <w:left w:val="nil"/>
              <w:bottom w:val="single" w:sz="4" w:space="0" w:color="auto"/>
              <w:right w:val="nil"/>
            </w:tcBorders>
            <w:shd w:val="clear" w:color="auto" w:fill="auto"/>
            <w:vAlign w:val="center"/>
            <w:hideMark/>
          </w:tcPr>
          <w:p w14:paraId="13D73EDA" w14:textId="77777777" w:rsidR="00B9311E" w:rsidRPr="00BD77D8" w:rsidRDefault="00B9311E" w:rsidP="00B9311E">
            <w:pPr>
              <w:spacing w:after="0" w:line="240" w:lineRule="auto"/>
              <w:jc w:val="right"/>
              <w:rPr>
                <w:b/>
                <w:bCs/>
                <w:sz w:val="17"/>
                <w:szCs w:val="17"/>
              </w:rPr>
            </w:pPr>
            <w:r w:rsidRPr="00BD77D8">
              <w:rPr>
                <w:b/>
                <w:bCs/>
                <w:sz w:val="17"/>
                <w:szCs w:val="17"/>
              </w:rPr>
              <w:t xml:space="preserve">    36,805 </w:t>
            </w:r>
          </w:p>
        </w:tc>
        <w:tc>
          <w:tcPr>
            <w:tcW w:w="915" w:type="dxa"/>
            <w:tcBorders>
              <w:top w:val="single" w:sz="4" w:space="0" w:color="auto"/>
              <w:left w:val="nil"/>
              <w:bottom w:val="single" w:sz="4" w:space="0" w:color="auto"/>
              <w:right w:val="nil"/>
            </w:tcBorders>
            <w:shd w:val="clear" w:color="auto" w:fill="auto"/>
            <w:vAlign w:val="center"/>
            <w:hideMark/>
          </w:tcPr>
          <w:p w14:paraId="4392E6C5" w14:textId="77777777" w:rsidR="00B9311E" w:rsidRPr="00BD77D8" w:rsidRDefault="00B9311E" w:rsidP="00B9311E">
            <w:pPr>
              <w:spacing w:after="0" w:line="240" w:lineRule="auto"/>
              <w:jc w:val="right"/>
              <w:rPr>
                <w:b/>
                <w:bCs/>
                <w:sz w:val="17"/>
                <w:szCs w:val="17"/>
              </w:rPr>
            </w:pPr>
            <w:r w:rsidRPr="00BD77D8">
              <w:rPr>
                <w:b/>
                <w:bCs/>
                <w:sz w:val="17"/>
                <w:szCs w:val="17"/>
              </w:rPr>
              <w:t xml:space="preserve">    47,428 </w:t>
            </w:r>
          </w:p>
        </w:tc>
      </w:tr>
      <w:tr w:rsidR="00BD77D8" w:rsidRPr="00BD77D8" w14:paraId="1FC6B374" w14:textId="77777777" w:rsidTr="003057FB">
        <w:trPr>
          <w:trHeight w:val="240"/>
        </w:trPr>
        <w:tc>
          <w:tcPr>
            <w:tcW w:w="3655" w:type="dxa"/>
            <w:tcBorders>
              <w:top w:val="nil"/>
              <w:left w:val="nil"/>
              <w:bottom w:val="nil"/>
              <w:right w:val="nil"/>
            </w:tcBorders>
            <w:shd w:val="clear" w:color="000000" w:fill="FFFFFF"/>
            <w:noWrap/>
            <w:vAlign w:val="bottom"/>
            <w:hideMark/>
          </w:tcPr>
          <w:p w14:paraId="5F04A8DC" w14:textId="77777777" w:rsidR="00B9311E" w:rsidRPr="00BD77D8" w:rsidRDefault="00B9311E" w:rsidP="00B9311E">
            <w:pPr>
              <w:spacing w:after="0" w:line="240" w:lineRule="auto"/>
              <w:rPr>
                <w:b/>
                <w:bCs/>
                <w:sz w:val="17"/>
                <w:szCs w:val="17"/>
              </w:rPr>
            </w:pPr>
            <w:r w:rsidRPr="00BD77D8">
              <w:rPr>
                <w:b/>
                <w:bCs/>
                <w:sz w:val="17"/>
                <w:szCs w:val="17"/>
              </w:rPr>
              <w:t xml:space="preserve"> Total Liabilities </w:t>
            </w:r>
          </w:p>
        </w:tc>
        <w:tc>
          <w:tcPr>
            <w:tcW w:w="913" w:type="dxa"/>
            <w:tcBorders>
              <w:top w:val="nil"/>
              <w:left w:val="nil"/>
              <w:bottom w:val="single" w:sz="4" w:space="0" w:color="auto"/>
              <w:right w:val="nil"/>
            </w:tcBorders>
            <w:shd w:val="clear" w:color="auto" w:fill="auto"/>
            <w:vAlign w:val="center"/>
            <w:hideMark/>
          </w:tcPr>
          <w:p w14:paraId="50CED8B6" w14:textId="77777777" w:rsidR="00B9311E" w:rsidRPr="00BD77D8" w:rsidRDefault="00B9311E" w:rsidP="00B9311E">
            <w:pPr>
              <w:spacing w:after="0" w:line="240" w:lineRule="auto"/>
              <w:jc w:val="right"/>
              <w:rPr>
                <w:b/>
                <w:bCs/>
                <w:sz w:val="17"/>
                <w:szCs w:val="17"/>
              </w:rPr>
            </w:pPr>
            <w:r w:rsidRPr="00BD77D8">
              <w:rPr>
                <w:b/>
                <w:bCs/>
                <w:sz w:val="17"/>
                <w:szCs w:val="17"/>
              </w:rPr>
              <w:t xml:space="preserve">      22,266 </w:t>
            </w:r>
          </w:p>
        </w:tc>
        <w:tc>
          <w:tcPr>
            <w:tcW w:w="982" w:type="dxa"/>
            <w:tcBorders>
              <w:top w:val="nil"/>
              <w:left w:val="nil"/>
              <w:bottom w:val="single" w:sz="4" w:space="0" w:color="auto"/>
              <w:right w:val="nil"/>
            </w:tcBorders>
            <w:shd w:val="clear" w:color="auto" w:fill="auto"/>
            <w:vAlign w:val="center"/>
            <w:hideMark/>
          </w:tcPr>
          <w:p w14:paraId="2A5CA153" w14:textId="77777777" w:rsidR="00B9311E" w:rsidRPr="00BD77D8" w:rsidRDefault="00B9311E" w:rsidP="00B9311E">
            <w:pPr>
              <w:spacing w:after="0" w:line="240" w:lineRule="auto"/>
              <w:jc w:val="right"/>
              <w:rPr>
                <w:b/>
                <w:bCs/>
                <w:sz w:val="17"/>
                <w:szCs w:val="17"/>
              </w:rPr>
            </w:pPr>
            <w:r w:rsidRPr="00BD77D8">
              <w:rPr>
                <w:b/>
                <w:bCs/>
                <w:sz w:val="17"/>
                <w:szCs w:val="17"/>
              </w:rPr>
              <w:t xml:space="preserve">      29,814 </w:t>
            </w:r>
          </w:p>
        </w:tc>
        <w:tc>
          <w:tcPr>
            <w:tcW w:w="993" w:type="dxa"/>
            <w:tcBorders>
              <w:top w:val="nil"/>
              <w:left w:val="nil"/>
              <w:bottom w:val="single" w:sz="4" w:space="0" w:color="auto"/>
              <w:right w:val="nil"/>
            </w:tcBorders>
            <w:shd w:val="clear" w:color="auto" w:fill="auto"/>
            <w:vAlign w:val="center"/>
            <w:hideMark/>
          </w:tcPr>
          <w:p w14:paraId="3EA5B383" w14:textId="77777777" w:rsidR="00B9311E" w:rsidRPr="00BD77D8" w:rsidRDefault="00B9311E" w:rsidP="00B9311E">
            <w:pPr>
              <w:spacing w:after="0" w:line="240" w:lineRule="auto"/>
              <w:jc w:val="right"/>
              <w:rPr>
                <w:b/>
                <w:bCs/>
                <w:sz w:val="17"/>
                <w:szCs w:val="17"/>
              </w:rPr>
            </w:pPr>
            <w:r w:rsidRPr="00BD77D8">
              <w:rPr>
                <w:b/>
                <w:bCs/>
                <w:sz w:val="17"/>
                <w:szCs w:val="17"/>
              </w:rPr>
              <w:t xml:space="preserve">         1,018 </w:t>
            </w:r>
          </w:p>
        </w:tc>
        <w:tc>
          <w:tcPr>
            <w:tcW w:w="1000" w:type="dxa"/>
            <w:tcBorders>
              <w:top w:val="nil"/>
              <w:left w:val="nil"/>
              <w:bottom w:val="single" w:sz="4" w:space="0" w:color="auto"/>
              <w:right w:val="nil"/>
            </w:tcBorders>
            <w:shd w:val="clear" w:color="auto" w:fill="auto"/>
            <w:vAlign w:val="center"/>
            <w:hideMark/>
          </w:tcPr>
          <w:p w14:paraId="75E47191" w14:textId="77777777" w:rsidR="00B9311E" w:rsidRPr="00BD77D8" w:rsidRDefault="00B9311E" w:rsidP="00B9311E">
            <w:pPr>
              <w:spacing w:after="0" w:line="240" w:lineRule="auto"/>
              <w:jc w:val="right"/>
              <w:rPr>
                <w:b/>
                <w:bCs/>
                <w:sz w:val="17"/>
                <w:szCs w:val="17"/>
              </w:rPr>
            </w:pPr>
            <w:r w:rsidRPr="00BD77D8">
              <w:rPr>
                <w:b/>
                <w:bCs/>
                <w:sz w:val="17"/>
                <w:szCs w:val="17"/>
              </w:rPr>
              <w:t xml:space="preserve">         2,403 </w:t>
            </w:r>
          </w:p>
        </w:tc>
        <w:tc>
          <w:tcPr>
            <w:tcW w:w="1134" w:type="dxa"/>
            <w:tcBorders>
              <w:top w:val="nil"/>
              <w:left w:val="nil"/>
              <w:bottom w:val="single" w:sz="4" w:space="0" w:color="auto"/>
              <w:right w:val="nil"/>
            </w:tcBorders>
            <w:shd w:val="clear" w:color="auto" w:fill="auto"/>
            <w:vAlign w:val="center"/>
            <w:hideMark/>
          </w:tcPr>
          <w:p w14:paraId="57E5C4BB" w14:textId="77777777" w:rsidR="00B9311E" w:rsidRPr="00BD77D8" w:rsidRDefault="00B9311E" w:rsidP="00B9311E">
            <w:pPr>
              <w:spacing w:after="0" w:line="240" w:lineRule="auto"/>
              <w:jc w:val="right"/>
              <w:rPr>
                <w:b/>
                <w:bCs/>
                <w:sz w:val="17"/>
                <w:szCs w:val="17"/>
              </w:rPr>
            </w:pPr>
            <w:r w:rsidRPr="00BD77D8">
              <w:rPr>
                <w:b/>
                <w:bCs/>
                <w:sz w:val="17"/>
                <w:szCs w:val="17"/>
              </w:rPr>
              <w:t xml:space="preserve">                    - </w:t>
            </w:r>
          </w:p>
        </w:tc>
        <w:tc>
          <w:tcPr>
            <w:tcW w:w="1113" w:type="dxa"/>
            <w:tcBorders>
              <w:top w:val="nil"/>
              <w:left w:val="nil"/>
              <w:bottom w:val="single" w:sz="4" w:space="0" w:color="auto"/>
              <w:right w:val="nil"/>
            </w:tcBorders>
            <w:shd w:val="clear" w:color="auto" w:fill="auto"/>
            <w:vAlign w:val="center"/>
            <w:hideMark/>
          </w:tcPr>
          <w:p w14:paraId="24B919EB" w14:textId="77777777" w:rsidR="00B9311E" w:rsidRPr="00BD77D8" w:rsidRDefault="00B9311E" w:rsidP="00B9311E">
            <w:pPr>
              <w:spacing w:after="0" w:line="240" w:lineRule="auto"/>
              <w:jc w:val="right"/>
              <w:rPr>
                <w:b/>
                <w:bCs/>
                <w:sz w:val="17"/>
                <w:szCs w:val="17"/>
              </w:rPr>
            </w:pPr>
            <w:r w:rsidRPr="00BD77D8">
              <w:rPr>
                <w:b/>
                <w:bCs/>
                <w:sz w:val="17"/>
                <w:szCs w:val="17"/>
              </w:rPr>
              <w:t xml:space="preserve">             5,238 </w:t>
            </w:r>
          </w:p>
        </w:tc>
        <w:tc>
          <w:tcPr>
            <w:tcW w:w="1156" w:type="dxa"/>
            <w:tcBorders>
              <w:top w:val="nil"/>
              <w:left w:val="nil"/>
              <w:bottom w:val="single" w:sz="4" w:space="0" w:color="auto"/>
              <w:right w:val="nil"/>
            </w:tcBorders>
            <w:shd w:val="clear" w:color="auto" w:fill="auto"/>
            <w:vAlign w:val="center"/>
            <w:hideMark/>
          </w:tcPr>
          <w:p w14:paraId="6C2419FF" w14:textId="77777777" w:rsidR="00B9311E" w:rsidRPr="00BD77D8" w:rsidRDefault="00B9311E" w:rsidP="00B9311E">
            <w:pPr>
              <w:spacing w:after="0" w:line="240" w:lineRule="auto"/>
              <w:jc w:val="right"/>
              <w:rPr>
                <w:b/>
                <w:bCs/>
                <w:sz w:val="17"/>
                <w:szCs w:val="17"/>
              </w:rPr>
            </w:pPr>
            <w:r w:rsidRPr="00BD77D8">
              <w:rPr>
                <w:b/>
                <w:bCs/>
                <w:sz w:val="17"/>
                <w:szCs w:val="17"/>
              </w:rPr>
              <w:t xml:space="preserve">             5,829 </w:t>
            </w:r>
          </w:p>
        </w:tc>
        <w:tc>
          <w:tcPr>
            <w:tcW w:w="1156" w:type="dxa"/>
            <w:tcBorders>
              <w:top w:val="nil"/>
              <w:left w:val="nil"/>
              <w:bottom w:val="single" w:sz="4" w:space="0" w:color="auto"/>
              <w:right w:val="nil"/>
            </w:tcBorders>
            <w:shd w:val="clear" w:color="auto" w:fill="auto"/>
            <w:vAlign w:val="center"/>
            <w:hideMark/>
          </w:tcPr>
          <w:p w14:paraId="40062C5F" w14:textId="77777777" w:rsidR="00B9311E" w:rsidRPr="00BD77D8" w:rsidRDefault="00B9311E" w:rsidP="00B9311E">
            <w:pPr>
              <w:spacing w:after="0" w:line="240" w:lineRule="auto"/>
              <w:jc w:val="right"/>
              <w:rPr>
                <w:b/>
                <w:bCs/>
                <w:sz w:val="17"/>
                <w:szCs w:val="17"/>
              </w:rPr>
            </w:pPr>
            <w:r w:rsidRPr="00BD77D8">
              <w:rPr>
                <w:b/>
                <w:bCs/>
                <w:sz w:val="17"/>
                <w:szCs w:val="17"/>
              </w:rPr>
              <w:t xml:space="preserve">             8,283 </w:t>
            </w:r>
          </w:p>
        </w:tc>
        <w:tc>
          <w:tcPr>
            <w:tcW w:w="1285" w:type="dxa"/>
            <w:tcBorders>
              <w:top w:val="nil"/>
              <w:left w:val="nil"/>
              <w:bottom w:val="single" w:sz="4" w:space="0" w:color="auto"/>
              <w:right w:val="nil"/>
            </w:tcBorders>
            <w:shd w:val="clear" w:color="auto" w:fill="auto"/>
            <w:vAlign w:val="center"/>
            <w:hideMark/>
          </w:tcPr>
          <w:p w14:paraId="47E0FF2B" w14:textId="77777777" w:rsidR="00B9311E" w:rsidRPr="00BD77D8" w:rsidRDefault="00B9311E" w:rsidP="00B9311E">
            <w:pPr>
              <w:spacing w:after="0" w:line="240" w:lineRule="auto"/>
              <w:jc w:val="right"/>
              <w:rPr>
                <w:b/>
                <w:bCs/>
                <w:sz w:val="17"/>
                <w:szCs w:val="17"/>
              </w:rPr>
            </w:pPr>
            <w:r w:rsidRPr="00BD77D8">
              <w:rPr>
                <w:b/>
                <w:bCs/>
                <w:sz w:val="17"/>
                <w:szCs w:val="17"/>
              </w:rPr>
              <w:t xml:space="preserve">             9,381 </w:t>
            </w:r>
          </w:p>
        </w:tc>
        <w:tc>
          <w:tcPr>
            <w:tcW w:w="1062" w:type="dxa"/>
            <w:tcBorders>
              <w:top w:val="nil"/>
              <w:left w:val="nil"/>
              <w:bottom w:val="single" w:sz="4" w:space="0" w:color="auto"/>
              <w:right w:val="nil"/>
            </w:tcBorders>
            <w:shd w:val="clear" w:color="auto" w:fill="auto"/>
            <w:vAlign w:val="center"/>
            <w:hideMark/>
          </w:tcPr>
          <w:p w14:paraId="1DA9F97A" w14:textId="77777777" w:rsidR="00B9311E" w:rsidRPr="00BD77D8" w:rsidRDefault="00B9311E" w:rsidP="00B9311E">
            <w:pPr>
              <w:spacing w:after="0" w:line="240" w:lineRule="auto"/>
              <w:jc w:val="right"/>
              <w:rPr>
                <w:b/>
                <w:bCs/>
                <w:sz w:val="17"/>
                <w:szCs w:val="17"/>
              </w:rPr>
            </w:pPr>
            <w:r w:rsidRPr="00BD77D8">
              <w:rPr>
                <w:b/>
                <w:bCs/>
                <w:sz w:val="17"/>
                <w:szCs w:val="17"/>
              </w:rPr>
              <w:t xml:space="preserve">    36,805 </w:t>
            </w:r>
          </w:p>
        </w:tc>
        <w:tc>
          <w:tcPr>
            <w:tcW w:w="915" w:type="dxa"/>
            <w:tcBorders>
              <w:top w:val="nil"/>
              <w:left w:val="nil"/>
              <w:bottom w:val="single" w:sz="4" w:space="0" w:color="auto"/>
              <w:right w:val="nil"/>
            </w:tcBorders>
            <w:shd w:val="clear" w:color="auto" w:fill="auto"/>
            <w:vAlign w:val="center"/>
            <w:hideMark/>
          </w:tcPr>
          <w:p w14:paraId="1CD48388" w14:textId="77777777" w:rsidR="00B9311E" w:rsidRPr="00BD77D8" w:rsidRDefault="00B9311E" w:rsidP="00B9311E">
            <w:pPr>
              <w:spacing w:after="0" w:line="240" w:lineRule="auto"/>
              <w:jc w:val="right"/>
              <w:rPr>
                <w:b/>
                <w:bCs/>
                <w:sz w:val="17"/>
                <w:szCs w:val="17"/>
              </w:rPr>
            </w:pPr>
            <w:r w:rsidRPr="00BD77D8">
              <w:rPr>
                <w:b/>
                <w:bCs/>
                <w:sz w:val="17"/>
                <w:szCs w:val="17"/>
              </w:rPr>
              <w:t xml:space="preserve">    47,428 </w:t>
            </w:r>
          </w:p>
        </w:tc>
      </w:tr>
    </w:tbl>
    <w:p w14:paraId="1F1D2247" w14:textId="77777777" w:rsidR="00B9311E" w:rsidRPr="00BD77D8" w:rsidRDefault="00B9311E" w:rsidP="009B462F">
      <w:pPr>
        <w:spacing w:before="360" w:after="0" w:line="205" w:lineRule="exact"/>
        <w:textAlignment w:val="baseline"/>
        <w:rPr>
          <w:rFonts w:eastAsia="Arial"/>
          <w:b/>
          <w:bCs/>
          <w:sz w:val="16"/>
          <w:szCs w:val="16"/>
          <w:lang w:eastAsia="en-US"/>
        </w:rPr>
      </w:pPr>
      <w:r w:rsidRPr="00BD77D8">
        <w:rPr>
          <w:rFonts w:eastAsia="Arial"/>
          <w:sz w:val="16"/>
          <w:szCs w:val="16"/>
          <w:lang w:eastAsia="en-US"/>
        </w:rPr>
        <w:t>* Economic and Community Participation Services comparative amounts are from 13 November 2020 to 30 June 2021 due to the 2020 Machinery-of-Government changes.</w:t>
      </w:r>
    </w:p>
    <w:p w14:paraId="3BB8CB7F" w14:textId="77777777" w:rsidR="00B9311E" w:rsidRPr="00BD77D8" w:rsidRDefault="00B9311E" w:rsidP="00B9311E">
      <w:pPr>
        <w:tabs>
          <w:tab w:val="left" w:pos="288"/>
        </w:tabs>
        <w:spacing w:after="0" w:line="209" w:lineRule="exact"/>
        <w:textAlignment w:val="baseline"/>
        <w:rPr>
          <w:rFonts w:eastAsia="Arial"/>
          <w:b/>
          <w:bCs/>
          <w:sz w:val="16"/>
          <w:szCs w:val="16"/>
          <w:lang w:eastAsia="en-US"/>
        </w:rPr>
      </w:pPr>
      <w:r w:rsidRPr="00BD77D8">
        <w:rPr>
          <w:rFonts w:eastAsia="Arial"/>
          <w:sz w:val="16"/>
          <w:szCs w:val="16"/>
          <w:lang w:eastAsia="en-US"/>
        </w:rPr>
        <w:t xml:space="preserve">^ Comparative amounts for Community Services are from 1 July 2020 to 30 November 2020. Community Services were transferred to Department of Communities, Housing and Digital Economy due to the 2020 Machinery-of-Government changes. </w:t>
      </w:r>
    </w:p>
    <w:p w14:paraId="3B63887A" w14:textId="552C75BD" w:rsidR="00702AE3" w:rsidRPr="00BD77D8" w:rsidRDefault="00702AE3" w:rsidP="009B462F">
      <w:pPr>
        <w:tabs>
          <w:tab w:val="left" w:pos="288"/>
        </w:tabs>
        <w:spacing w:before="1200" w:after="0" w:line="212" w:lineRule="exact"/>
        <w:textAlignment w:val="baseline"/>
        <w:rPr>
          <w:rFonts w:eastAsia="PMingLiU"/>
          <w:sz w:val="16"/>
          <w:szCs w:val="16"/>
          <w:lang w:eastAsia="en-US"/>
        </w:rPr>
        <w:sectPr w:rsidR="00702AE3" w:rsidRPr="00BD77D8" w:rsidSect="009D3530">
          <w:pgSz w:w="16838" w:h="11909" w:orient="landscape"/>
          <w:pgMar w:top="680" w:right="794" w:bottom="794" w:left="680" w:header="720" w:footer="720" w:gutter="0"/>
          <w:cols w:space="720"/>
          <w:docGrid w:linePitch="245"/>
        </w:sectPr>
      </w:pP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r>
      <w:r w:rsidRPr="00BD77D8">
        <w:rPr>
          <w:rFonts w:eastAsia="PMingLiU"/>
          <w:sz w:val="16"/>
          <w:szCs w:val="16"/>
          <w:lang w:eastAsia="en-US"/>
        </w:rPr>
        <w:tab/>
        <w:t>Page 7 of 45</w:t>
      </w:r>
    </w:p>
    <w:p w14:paraId="747772C7"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57B40EB" w14:textId="77777777" w:rsidR="00B9311E" w:rsidRPr="00BD77D8" w:rsidRDefault="00B9311E" w:rsidP="00F70507">
      <w:pPr>
        <w:spacing w:after="0" w:line="205" w:lineRule="exact"/>
        <w:textAlignment w:val="baseline"/>
        <w:rPr>
          <w:rFonts w:eastAsia="Arial"/>
          <w:b/>
          <w:bCs/>
          <w:sz w:val="18"/>
          <w:szCs w:val="18"/>
          <w:lang w:eastAsia="en-US"/>
        </w:rPr>
      </w:pPr>
      <w:bookmarkStart w:id="380" w:name="_Toc111494796"/>
      <w:bookmarkStart w:id="381" w:name="_Toc111540668"/>
      <w:bookmarkStart w:id="382" w:name="_Toc111559231"/>
      <w:bookmarkStart w:id="383" w:name="_Toc113196503"/>
      <w:bookmarkStart w:id="384" w:name="_Toc113196851"/>
      <w:bookmarkStart w:id="385" w:name="_Toc113261981"/>
      <w:r w:rsidRPr="00BD77D8">
        <w:rPr>
          <w:rFonts w:eastAsia="Arial"/>
          <w:b/>
          <w:bCs/>
          <w:sz w:val="18"/>
          <w:szCs w:val="18"/>
          <w:lang w:eastAsia="en-US"/>
        </w:rPr>
        <w:t>Statement of Changes in Equity - Controlled</w:t>
      </w:r>
      <w:bookmarkEnd w:id="380"/>
      <w:bookmarkEnd w:id="381"/>
      <w:bookmarkEnd w:id="382"/>
      <w:bookmarkEnd w:id="383"/>
      <w:bookmarkEnd w:id="384"/>
      <w:bookmarkEnd w:id="385"/>
    </w:p>
    <w:p w14:paraId="04763E55"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741F6E1" w14:textId="77777777" w:rsidR="00B9311E" w:rsidRPr="00BD77D8" w:rsidRDefault="00B9311E" w:rsidP="00B9311E">
      <w:pPr>
        <w:pBdr>
          <w:bottom w:val="single" w:sz="4" w:space="1" w:color="auto"/>
        </w:pBdr>
        <w:spacing w:after="0" w:line="205" w:lineRule="exact"/>
        <w:textAlignment w:val="baseline"/>
        <w:rPr>
          <w:rFonts w:eastAsia="Arial"/>
          <w:bCs/>
          <w:sz w:val="18"/>
          <w:szCs w:val="18"/>
          <w:lang w:eastAsia="en-US"/>
        </w:rPr>
      </w:pPr>
    </w:p>
    <w:p w14:paraId="48A8F1D3" w14:textId="77777777" w:rsidR="00B9311E" w:rsidRPr="00BD77D8" w:rsidRDefault="00B9311E" w:rsidP="00B9311E">
      <w:pPr>
        <w:spacing w:after="0" w:line="205" w:lineRule="exact"/>
        <w:textAlignment w:val="baseline"/>
        <w:rPr>
          <w:rFonts w:eastAsia="PMingLiU"/>
          <w:sz w:val="18"/>
          <w:szCs w:val="22"/>
          <w:lang w:val="en-US" w:eastAsia="en-US"/>
        </w:rPr>
      </w:pPr>
    </w:p>
    <w:tbl>
      <w:tblPr>
        <w:tblW w:w="0" w:type="auto"/>
        <w:tblCellMar>
          <w:left w:w="0" w:type="dxa"/>
          <w:right w:w="0" w:type="dxa"/>
        </w:tblCellMar>
        <w:tblLook w:val="04A0" w:firstRow="1" w:lastRow="0" w:firstColumn="1" w:lastColumn="0" w:noHBand="0" w:noVBand="1"/>
      </w:tblPr>
      <w:tblGrid>
        <w:gridCol w:w="5838"/>
        <w:gridCol w:w="1003"/>
        <w:gridCol w:w="1155"/>
        <w:gridCol w:w="1304"/>
        <w:gridCol w:w="1021"/>
      </w:tblGrid>
      <w:tr w:rsidR="00BD77D8" w:rsidRPr="00BD77D8" w14:paraId="5B4D3255" w14:textId="77777777" w:rsidTr="003057FB">
        <w:trPr>
          <w:trHeight w:val="480"/>
        </w:trPr>
        <w:tc>
          <w:tcPr>
            <w:tcW w:w="5867" w:type="dxa"/>
            <w:tcBorders>
              <w:top w:val="nil"/>
              <w:left w:val="nil"/>
              <w:bottom w:val="nil"/>
              <w:right w:val="nil"/>
            </w:tcBorders>
            <w:shd w:val="clear" w:color="auto" w:fill="auto"/>
            <w:noWrap/>
            <w:vAlign w:val="bottom"/>
            <w:hideMark/>
          </w:tcPr>
          <w:p w14:paraId="14520E90" w14:textId="77777777" w:rsidR="00B9311E" w:rsidRPr="00BD77D8" w:rsidRDefault="00B9311E" w:rsidP="00B9311E">
            <w:pPr>
              <w:spacing w:after="0" w:line="240" w:lineRule="auto"/>
              <w:rPr>
                <w:rFonts w:ascii="Times New Roman" w:hAnsi="Times New Roman" w:cs="Times New Roman"/>
                <w:sz w:val="24"/>
                <w:szCs w:val="24"/>
              </w:rPr>
            </w:pPr>
          </w:p>
        </w:tc>
        <w:tc>
          <w:tcPr>
            <w:tcW w:w="995" w:type="dxa"/>
            <w:tcBorders>
              <w:top w:val="nil"/>
              <w:left w:val="nil"/>
              <w:bottom w:val="nil"/>
              <w:right w:val="nil"/>
            </w:tcBorders>
            <w:shd w:val="clear" w:color="auto" w:fill="auto"/>
            <w:noWrap/>
            <w:vAlign w:val="bottom"/>
            <w:hideMark/>
          </w:tcPr>
          <w:p w14:paraId="2B0554CC" w14:textId="77777777" w:rsidR="00B9311E" w:rsidRPr="00BD77D8" w:rsidRDefault="00B9311E" w:rsidP="00B9311E">
            <w:pPr>
              <w:spacing w:after="0" w:line="240" w:lineRule="auto"/>
              <w:rPr>
                <w:rFonts w:ascii="Times New Roman" w:hAnsi="Times New Roman" w:cs="Times New Roman"/>
                <w:b/>
                <w:bCs/>
                <w:sz w:val="20"/>
                <w:szCs w:val="20"/>
              </w:rPr>
            </w:pPr>
          </w:p>
        </w:tc>
        <w:tc>
          <w:tcPr>
            <w:tcW w:w="1148" w:type="dxa"/>
            <w:tcBorders>
              <w:top w:val="nil"/>
              <w:left w:val="nil"/>
              <w:bottom w:val="nil"/>
              <w:right w:val="nil"/>
            </w:tcBorders>
            <w:shd w:val="clear" w:color="auto" w:fill="auto"/>
            <w:vAlign w:val="center"/>
            <w:hideMark/>
          </w:tcPr>
          <w:p w14:paraId="0692EF94" w14:textId="77777777" w:rsidR="00B9311E" w:rsidRPr="00BD77D8" w:rsidRDefault="00B9311E" w:rsidP="00B9311E">
            <w:pPr>
              <w:spacing w:after="0" w:line="240" w:lineRule="auto"/>
              <w:jc w:val="right"/>
              <w:rPr>
                <w:b/>
                <w:bCs/>
                <w:sz w:val="18"/>
                <w:szCs w:val="18"/>
              </w:rPr>
            </w:pPr>
            <w:r w:rsidRPr="00BD77D8">
              <w:rPr>
                <w:b/>
                <w:bCs/>
                <w:sz w:val="18"/>
                <w:szCs w:val="18"/>
              </w:rPr>
              <w:t xml:space="preserve"> Contributed Equity </w:t>
            </w:r>
          </w:p>
        </w:tc>
        <w:tc>
          <w:tcPr>
            <w:tcW w:w="1298" w:type="dxa"/>
            <w:tcBorders>
              <w:top w:val="nil"/>
              <w:left w:val="nil"/>
              <w:bottom w:val="nil"/>
              <w:right w:val="nil"/>
            </w:tcBorders>
            <w:shd w:val="clear" w:color="auto" w:fill="auto"/>
            <w:vAlign w:val="center"/>
            <w:hideMark/>
          </w:tcPr>
          <w:p w14:paraId="4DFDAF98" w14:textId="77777777" w:rsidR="00B9311E" w:rsidRPr="00BD77D8" w:rsidRDefault="00B9311E" w:rsidP="00B9311E">
            <w:pPr>
              <w:spacing w:after="0" w:line="240" w:lineRule="auto"/>
              <w:jc w:val="right"/>
              <w:rPr>
                <w:b/>
                <w:bCs/>
                <w:sz w:val="18"/>
                <w:szCs w:val="18"/>
              </w:rPr>
            </w:pPr>
            <w:r w:rsidRPr="00BD77D8">
              <w:rPr>
                <w:b/>
                <w:bCs/>
                <w:sz w:val="18"/>
                <w:szCs w:val="18"/>
              </w:rPr>
              <w:t xml:space="preserve"> Accumulated Surplus </w:t>
            </w:r>
          </w:p>
        </w:tc>
        <w:tc>
          <w:tcPr>
            <w:tcW w:w="1013" w:type="dxa"/>
            <w:tcBorders>
              <w:top w:val="nil"/>
              <w:left w:val="nil"/>
              <w:bottom w:val="nil"/>
              <w:right w:val="nil"/>
            </w:tcBorders>
            <w:shd w:val="clear" w:color="auto" w:fill="auto"/>
            <w:vAlign w:val="center"/>
            <w:hideMark/>
          </w:tcPr>
          <w:p w14:paraId="18464837" w14:textId="77777777" w:rsidR="00B9311E" w:rsidRPr="00BD77D8" w:rsidRDefault="00B9311E" w:rsidP="00B9311E">
            <w:pPr>
              <w:spacing w:after="0" w:line="240" w:lineRule="auto"/>
              <w:jc w:val="right"/>
              <w:rPr>
                <w:b/>
                <w:bCs/>
                <w:sz w:val="18"/>
                <w:szCs w:val="18"/>
              </w:rPr>
            </w:pPr>
            <w:r w:rsidRPr="00BD77D8">
              <w:rPr>
                <w:b/>
                <w:bCs/>
                <w:sz w:val="18"/>
                <w:szCs w:val="18"/>
              </w:rPr>
              <w:t xml:space="preserve"> Total </w:t>
            </w:r>
          </w:p>
        </w:tc>
      </w:tr>
      <w:tr w:rsidR="00BD77D8" w:rsidRPr="00BD77D8" w14:paraId="4FBBC7F3" w14:textId="77777777" w:rsidTr="003057FB">
        <w:trPr>
          <w:trHeight w:val="285"/>
        </w:trPr>
        <w:tc>
          <w:tcPr>
            <w:tcW w:w="5867" w:type="dxa"/>
            <w:tcBorders>
              <w:top w:val="nil"/>
              <w:left w:val="nil"/>
              <w:bottom w:val="single" w:sz="4" w:space="0" w:color="auto"/>
              <w:right w:val="nil"/>
            </w:tcBorders>
            <w:shd w:val="clear" w:color="auto" w:fill="auto"/>
            <w:noWrap/>
            <w:vAlign w:val="bottom"/>
            <w:hideMark/>
          </w:tcPr>
          <w:p w14:paraId="3B90C43D" w14:textId="77777777" w:rsidR="00B9311E" w:rsidRPr="00BD77D8" w:rsidRDefault="00B9311E" w:rsidP="00B9311E">
            <w:pPr>
              <w:spacing w:after="0" w:line="240" w:lineRule="auto"/>
              <w:rPr>
                <w:sz w:val="18"/>
                <w:szCs w:val="18"/>
              </w:rPr>
            </w:pPr>
            <w:r w:rsidRPr="00BD77D8">
              <w:rPr>
                <w:sz w:val="18"/>
                <w:szCs w:val="18"/>
              </w:rPr>
              <w:t> </w:t>
            </w:r>
          </w:p>
        </w:tc>
        <w:tc>
          <w:tcPr>
            <w:tcW w:w="995" w:type="dxa"/>
            <w:tcBorders>
              <w:top w:val="nil"/>
              <w:left w:val="nil"/>
              <w:bottom w:val="single" w:sz="4" w:space="0" w:color="auto"/>
              <w:right w:val="nil"/>
            </w:tcBorders>
            <w:shd w:val="clear" w:color="auto" w:fill="auto"/>
            <w:noWrap/>
            <w:vAlign w:val="bottom"/>
            <w:hideMark/>
          </w:tcPr>
          <w:p w14:paraId="3BC53E70"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148" w:type="dxa"/>
            <w:tcBorders>
              <w:top w:val="nil"/>
              <w:left w:val="nil"/>
              <w:bottom w:val="single" w:sz="4" w:space="0" w:color="auto"/>
              <w:right w:val="nil"/>
            </w:tcBorders>
            <w:shd w:val="clear" w:color="auto" w:fill="auto"/>
            <w:noWrap/>
            <w:vAlign w:val="bottom"/>
            <w:hideMark/>
          </w:tcPr>
          <w:p w14:paraId="18F9263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98" w:type="dxa"/>
            <w:tcBorders>
              <w:top w:val="nil"/>
              <w:left w:val="nil"/>
              <w:bottom w:val="single" w:sz="4" w:space="0" w:color="auto"/>
              <w:right w:val="nil"/>
            </w:tcBorders>
            <w:shd w:val="clear" w:color="auto" w:fill="auto"/>
            <w:noWrap/>
            <w:vAlign w:val="bottom"/>
            <w:hideMark/>
          </w:tcPr>
          <w:p w14:paraId="293B78B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13" w:type="dxa"/>
            <w:tcBorders>
              <w:top w:val="nil"/>
              <w:left w:val="nil"/>
              <w:bottom w:val="single" w:sz="4" w:space="0" w:color="auto"/>
              <w:right w:val="nil"/>
            </w:tcBorders>
            <w:shd w:val="clear" w:color="auto" w:fill="auto"/>
            <w:noWrap/>
            <w:vAlign w:val="bottom"/>
            <w:hideMark/>
          </w:tcPr>
          <w:p w14:paraId="6993374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2D92D40F" w14:textId="77777777" w:rsidTr="003057FB">
        <w:trPr>
          <w:trHeight w:val="285"/>
        </w:trPr>
        <w:tc>
          <w:tcPr>
            <w:tcW w:w="5867" w:type="dxa"/>
            <w:tcBorders>
              <w:top w:val="nil"/>
              <w:left w:val="nil"/>
              <w:bottom w:val="nil"/>
              <w:right w:val="nil"/>
            </w:tcBorders>
            <w:shd w:val="clear" w:color="auto" w:fill="auto"/>
            <w:noWrap/>
            <w:vAlign w:val="bottom"/>
            <w:hideMark/>
          </w:tcPr>
          <w:p w14:paraId="71F2A179" w14:textId="77777777" w:rsidR="00B9311E" w:rsidRPr="00BD77D8" w:rsidRDefault="00B9311E" w:rsidP="00B9311E">
            <w:pPr>
              <w:spacing w:after="0" w:line="240" w:lineRule="auto"/>
              <w:rPr>
                <w:b/>
                <w:bCs/>
                <w:sz w:val="18"/>
                <w:szCs w:val="18"/>
              </w:rPr>
            </w:pPr>
            <w:r w:rsidRPr="00BD77D8">
              <w:rPr>
                <w:b/>
                <w:bCs/>
                <w:sz w:val="18"/>
                <w:szCs w:val="18"/>
              </w:rPr>
              <w:t xml:space="preserve"> Balance as at 1 July 2020 </w:t>
            </w:r>
          </w:p>
        </w:tc>
        <w:tc>
          <w:tcPr>
            <w:tcW w:w="995" w:type="dxa"/>
            <w:tcBorders>
              <w:top w:val="nil"/>
              <w:left w:val="nil"/>
              <w:bottom w:val="nil"/>
              <w:right w:val="nil"/>
            </w:tcBorders>
            <w:shd w:val="clear" w:color="auto" w:fill="auto"/>
            <w:noWrap/>
            <w:vAlign w:val="bottom"/>
            <w:hideMark/>
          </w:tcPr>
          <w:p w14:paraId="042983E4" w14:textId="77777777" w:rsidR="00B9311E" w:rsidRPr="00BD77D8" w:rsidRDefault="00B9311E" w:rsidP="00B9311E">
            <w:pPr>
              <w:spacing w:after="0" w:line="240" w:lineRule="auto"/>
              <w:rPr>
                <w:b/>
                <w:bCs/>
                <w:sz w:val="18"/>
                <w:szCs w:val="18"/>
              </w:rPr>
            </w:pPr>
          </w:p>
        </w:tc>
        <w:tc>
          <w:tcPr>
            <w:tcW w:w="1148" w:type="dxa"/>
            <w:tcBorders>
              <w:top w:val="nil"/>
              <w:left w:val="nil"/>
              <w:bottom w:val="single" w:sz="4" w:space="0" w:color="auto"/>
              <w:right w:val="nil"/>
            </w:tcBorders>
            <w:shd w:val="clear" w:color="auto" w:fill="auto"/>
            <w:vAlign w:val="bottom"/>
            <w:hideMark/>
          </w:tcPr>
          <w:p w14:paraId="47B568B7" w14:textId="77777777" w:rsidR="00B9311E" w:rsidRPr="00BD77D8" w:rsidRDefault="00B9311E" w:rsidP="00B9311E">
            <w:pPr>
              <w:spacing w:after="0" w:line="240" w:lineRule="auto"/>
              <w:jc w:val="right"/>
              <w:rPr>
                <w:b/>
                <w:bCs/>
                <w:sz w:val="18"/>
                <w:szCs w:val="18"/>
              </w:rPr>
            </w:pPr>
            <w:r w:rsidRPr="00BD77D8">
              <w:rPr>
                <w:b/>
                <w:bCs/>
                <w:sz w:val="18"/>
                <w:szCs w:val="18"/>
              </w:rPr>
              <w:t xml:space="preserve">       303,051 </w:t>
            </w:r>
          </w:p>
        </w:tc>
        <w:tc>
          <w:tcPr>
            <w:tcW w:w="1298" w:type="dxa"/>
            <w:tcBorders>
              <w:top w:val="nil"/>
              <w:left w:val="nil"/>
              <w:bottom w:val="single" w:sz="4" w:space="0" w:color="auto"/>
              <w:right w:val="nil"/>
            </w:tcBorders>
            <w:shd w:val="clear" w:color="auto" w:fill="auto"/>
            <w:vAlign w:val="bottom"/>
            <w:hideMark/>
          </w:tcPr>
          <w:p w14:paraId="157F18BD" w14:textId="77777777" w:rsidR="00B9311E" w:rsidRPr="00BD77D8" w:rsidRDefault="00B9311E" w:rsidP="00B9311E">
            <w:pPr>
              <w:spacing w:after="0" w:line="240" w:lineRule="auto"/>
              <w:jc w:val="right"/>
              <w:rPr>
                <w:b/>
                <w:bCs/>
                <w:sz w:val="18"/>
                <w:szCs w:val="18"/>
              </w:rPr>
            </w:pPr>
            <w:r w:rsidRPr="00BD77D8">
              <w:rPr>
                <w:b/>
                <w:bCs/>
                <w:sz w:val="18"/>
                <w:szCs w:val="18"/>
              </w:rPr>
              <w:t xml:space="preserve">             20,133 </w:t>
            </w:r>
          </w:p>
        </w:tc>
        <w:tc>
          <w:tcPr>
            <w:tcW w:w="1013" w:type="dxa"/>
            <w:tcBorders>
              <w:top w:val="nil"/>
              <w:left w:val="nil"/>
              <w:bottom w:val="single" w:sz="4" w:space="0" w:color="auto"/>
              <w:right w:val="nil"/>
            </w:tcBorders>
            <w:shd w:val="clear" w:color="auto" w:fill="auto"/>
            <w:vAlign w:val="bottom"/>
            <w:hideMark/>
          </w:tcPr>
          <w:p w14:paraId="47E4BF7C" w14:textId="77777777" w:rsidR="00B9311E" w:rsidRPr="00BD77D8" w:rsidRDefault="00B9311E" w:rsidP="00B9311E">
            <w:pPr>
              <w:spacing w:after="0" w:line="240" w:lineRule="auto"/>
              <w:jc w:val="right"/>
              <w:rPr>
                <w:b/>
                <w:bCs/>
                <w:sz w:val="18"/>
                <w:szCs w:val="18"/>
              </w:rPr>
            </w:pPr>
            <w:r w:rsidRPr="00BD77D8">
              <w:rPr>
                <w:b/>
                <w:bCs/>
                <w:sz w:val="18"/>
                <w:szCs w:val="18"/>
              </w:rPr>
              <w:t xml:space="preserve">   323,184 </w:t>
            </w:r>
          </w:p>
        </w:tc>
      </w:tr>
      <w:tr w:rsidR="00BD77D8" w:rsidRPr="00BD77D8" w14:paraId="50991C0A" w14:textId="77777777" w:rsidTr="003057FB">
        <w:trPr>
          <w:trHeight w:val="285"/>
        </w:trPr>
        <w:tc>
          <w:tcPr>
            <w:tcW w:w="5867" w:type="dxa"/>
            <w:tcBorders>
              <w:top w:val="nil"/>
              <w:left w:val="nil"/>
              <w:bottom w:val="nil"/>
              <w:right w:val="nil"/>
            </w:tcBorders>
            <w:shd w:val="clear" w:color="auto" w:fill="auto"/>
            <w:noWrap/>
            <w:vAlign w:val="bottom"/>
            <w:hideMark/>
          </w:tcPr>
          <w:p w14:paraId="74DE1F62" w14:textId="77777777" w:rsidR="00B9311E" w:rsidRPr="00BD77D8" w:rsidRDefault="00B9311E" w:rsidP="00B9311E">
            <w:pPr>
              <w:spacing w:after="0" w:line="240" w:lineRule="auto"/>
              <w:rPr>
                <w:b/>
                <w:bCs/>
                <w:sz w:val="18"/>
                <w:szCs w:val="18"/>
              </w:rPr>
            </w:pPr>
            <w:r w:rsidRPr="00BD77D8">
              <w:rPr>
                <w:b/>
                <w:bCs/>
                <w:sz w:val="18"/>
                <w:szCs w:val="18"/>
              </w:rPr>
              <w:t xml:space="preserve"> Operating Result </w:t>
            </w:r>
          </w:p>
        </w:tc>
        <w:tc>
          <w:tcPr>
            <w:tcW w:w="995" w:type="dxa"/>
            <w:tcBorders>
              <w:top w:val="nil"/>
              <w:left w:val="nil"/>
              <w:bottom w:val="nil"/>
              <w:right w:val="nil"/>
            </w:tcBorders>
            <w:shd w:val="clear" w:color="auto" w:fill="auto"/>
            <w:noWrap/>
            <w:vAlign w:val="bottom"/>
            <w:hideMark/>
          </w:tcPr>
          <w:p w14:paraId="0866EDF0"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6FC2C310"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8" w:type="dxa"/>
            <w:tcBorders>
              <w:top w:val="nil"/>
              <w:left w:val="nil"/>
              <w:bottom w:val="nil"/>
              <w:right w:val="nil"/>
            </w:tcBorders>
            <w:shd w:val="clear" w:color="auto" w:fill="auto"/>
            <w:vAlign w:val="bottom"/>
            <w:hideMark/>
          </w:tcPr>
          <w:p w14:paraId="1DC22377"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3" w:type="dxa"/>
            <w:tcBorders>
              <w:top w:val="nil"/>
              <w:left w:val="nil"/>
              <w:bottom w:val="nil"/>
              <w:right w:val="nil"/>
            </w:tcBorders>
            <w:shd w:val="clear" w:color="auto" w:fill="auto"/>
            <w:vAlign w:val="bottom"/>
            <w:hideMark/>
          </w:tcPr>
          <w:p w14:paraId="3BD76060"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5D73C4BA" w14:textId="77777777" w:rsidTr="003057FB">
        <w:trPr>
          <w:trHeight w:val="285"/>
        </w:trPr>
        <w:tc>
          <w:tcPr>
            <w:tcW w:w="5867" w:type="dxa"/>
            <w:tcBorders>
              <w:top w:val="nil"/>
              <w:left w:val="nil"/>
              <w:bottom w:val="nil"/>
              <w:right w:val="nil"/>
            </w:tcBorders>
            <w:shd w:val="clear" w:color="auto" w:fill="auto"/>
            <w:noWrap/>
            <w:vAlign w:val="bottom"/>
            <w:hideMark/>
          </w:tcPr>
          <w:p w14:paraId="1CD58B52" w14:textId="77777777" w:rsidR="00B9311E" w:rsidRPr="00BD77D8" w:rsidRDefault="00B9311E" w:rsidP="00B9311E">
            <w:pPr>
              <w:spacing w:after="0" w:line="240" w:lineRule="auto"/>
              <w:rPr>
                <w:sz w:val="18"/>
                <w:szCs w:val="18"/>
              </w:rPr>
            </w:pPr>
            <w:r w:rsidRPr="00BD77D8">
              <w:rPr>
                <w:sz w:val="18"/>
                <w:szCs w:val="18"/>
              </w:rPr>
              <w:t xml:space="preserve"> Operating result from continuing operations </w:t>
            </w:r>
          </w:p>
        </w:tc>
        <w:tc>
          <w:tcPr>
            <w:tcW w:w="995" w:type="dxa"/>
            <w:tcBorders>
              <w:top w:val="nil"/>
              <w:left w:val="nil"/>
              <w:bottom w:val="nil"/>
              <w:right w:val="nil"/>
            </w:tcBorders>
            <w:shd w:val="clear" w:color="auto" w:fill="auto"/>
            <w:noWrap/>
            <w:vAlign w:val="bottom"/>
            <w:hideMark/>
          </w:tcPr>
          <w:p w14:paraId="474E7A8B" w14:textId="77777777" w:rsidR="00B9311E" w:rsidRPr="00BD77D8" w:rsidRDefault="00B9311E" w:rsidP="00B9311E">
            <w:pPr>
              <w:spacing w:after="0" w:line="240" w:lineRule="auto"/>
              <w:rPr>
                <w:sz w:val="18"/>
                <w:szCs w:val="18"/>
              </w:rPr>
            </w:pPr>
          </w:p>
        </w:tc>
        <w:tc>
          <w:tcPr>
            <w:tcW w:w="1148" w:type="dxa"/>
            <w:tcBorders>
              <w:top w:val="nil"/>
              <w:left w:val="nil"/>
              <w:bottom w:val="nil"/>
              <w:right w:val="nil"/>
            </w:tcBorders>
            <w:shd w:val="clear" w:color="auto" w:fill="auto"/>
            <w:vAlign w:val="bottom"/>
            <w:hideMark/>
          </w:tcPr>
          <w:p w14:paraId="28BFF15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298" w:type="dxa"/>
            <w:tcBorders>
              <w:top w:val="nil"/>
              <w:left w:val="nil"/>
              <w:bottom w:val="nil"/>
              <w:right w:val="nil"/>
            </w:tcBorders>
            <w:shd w:val="clear" w:color="auto" w:fill="auto"/>
            <w:vAlign w:val="bottom"/>
            <w:hideMark/>
          </w:tcPr>
          <w:p w14:paraId="669ACEC7" w14:textId="77777777" w:rsidR="00B9311E" w:rsidRPr="00BD77D8" w:rsidRDefault="00B9311E" w:rsidP="00B9311E">
            <w:pPr>
              <w:spacing w:after="0" w:line="240" w:lineRule="auto"/>
              <w:jc w:val="right"/>
              <w:rPr>
                <w:sz w:val="18"/>
                <w:szCs w:val="18"/>
              </w:rPr>
            </w:pPr>
            <w:r w:rsidRPr="00BD77D8">
              <w:rPr>
                <w:sz w:val="18"/>
                <w:szCs w:val="18"/>
              </w:rPr>
              <w:t xml:space="preserve">               2,783 </w:t>
            </w:r>
          </w:p>
        </w:tc>
        <w:tc>
          <w:tcPr>
            <w:tcW w:w="1013" w:type="dxa"/>
            <w:tcBorders>
              <w:top w:val="nil"/>
              <w:left w:val="nil"/>
              <w:bottom w:val="nil"/>
              <w:right w:val="nil"/>
            </w:tcBorders>
            <w:shd w:val="clear" w:color="auto" w:fill="auto"/>
            <w:vAlign w:val="bottom"/>
            <w:hideMark/>
          </w:tcPr>
          <w:p w14:paraId="5BFB9443" w14:textId="77777777" w:rsidR="00B9311E" w:rsidRPr="00BD77D8" w:rsidRDefault="00B9311E" w:rsidP="00B9311E">
            <w:pPr>
              <w:spacing w:after="0" w:line="240" w:lineRule="auto"/>
              <w:jc w:val="right"/>
              <w:rPr>
                <w:sz w:val="18"/>
                <w:szCs w:val="18"/>
              </w:rPr>
            </w:pPr>
            <w:r w:rsidRPr="00BD77D8">
              <w:rPr>
                <w:sz w:val="18"/>
                <w:szCs w:val="18"/>
              </w:rPr>
              <w:t xml:space="preserve">        2,783 </w:t>
            </w:r>
          </w:p>
        </w:tc>
      </w:tr>
      <w:tr w:rsidR="00BD77D8" w:rsidRPr="00BD77D8" w14:paraId="7A8BCF95" w14:textId="77777777" w:rsidTr="003057FB">
        <w:trPr>
          <w:trHeight w:val="285"/>
        </w:trPr>
        <w:tc>
          <w:tcPr>
            <w:tcW w:w="5867" w:type="dxa"/>
            <w:tcBorders>
              <w:top w:val="nil"/>
              <w:left w:val="nil"/>
              <w:bottom w:val="nil"/>
              <w:right w:val="nil"/>
            </w:tcBorders>
            <w:shd w:val="clear" w:color="auto" w:fill="auto"/>
            <w:noWrap/>
            <w:vAlign w:val="bottom"/>
            <w:hideMark/>
          </w:tcPr>
          <w:p w14:paraId="3D4EED1C" w14:textId="77777777" w:rsidR="00B9311E" w:rsidRPr="00BD77D8" w:rsidRDefault="00B9311E" w:rsidP="00B9311E">
            <w:pPr>
              <w:spacing w:after="0" w:line="240" w:lineRule="auto"/>
              <w:rPr>
                <w:b/>
                <w:bCs/>
                <w:sz w:val="18"/>
                <w:szCs w:val="18"/>
              </w:rPr>
            </w:pPr>
            <w:r w:rsidRPr="00BD77D8">
              <w:rPr>
                <w:b/>
                <w:bCs/>
                <w:sz w:val="18"/>
                <w:szCs w:val="18"/>
              </w:rPr>
              <w:t xml:space="preserve"> Total Comprehensive Income for the Year </w:t>
            </w:r>
          </w:p>
        </w:tc>
        <w:tc>
          <w:tcPr>
            <w:tcW w:w="995" w:type="dxa"/>
            <w:tcBorders>
              <w:top w:val="nil"/>
              <w:left w:val="nil"/>
              <w:bottom w:val="nil"/>
              <w:right w:val="nil"/>
            </w:tcBorders>
            <w:shd w:val="clear" w:color="auto" w:fill="auto"/>
            <w:noWrap/>
            <w:vAlign w:val="bottom"/>
            <w:hideMark/>
          </w:tcPr>
          <w:p w14:paraId="17EB2756"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3350D1C1"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8" w:type="dxa"/>
            <w:tcBorders>
              <w:top w:val="single" w:sz="4" w:space="0" w:color="auto"/>
              <w:left w:val="nil"/>
              <w:bottom w:val="single" w:sz="4" w:space="0" w:color="auto"/>
              <w:right w:val="nil"/>
            </w:tcBorders>
            <w:shd w:val="clear" w:color="auto" w:fill="auto"/>
            <w:vAlign w:val="bottom"/>
            <w:hideMark/>
          </w:tcPr>
          <w:p w14:paraId="3E8BA5D7"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c>
          <w:tcPr>
            <w:tcW w:w="1013" w:type="dxa"/>
            <w:tcBorders>
              <w:top w:val="single" w:sz="4" w:space="0" w:color="auto"/>
              <w:left w:val="nil"/>
              <w:bottom w:val="single" w:sz="4" w:space="0" w:color="auto"/>
              <w:right w:val="nil"/>
            </w:tcBorders>
            <w:shd w:val="clear" w:color="auto" w:fill="auto"/>
            <w:vAlign w:val="bottom"/>
            <w:hideMark/>
          </w:tcPr>
          <w:p w14:paraId="0E6602F3"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r>
      <w:tr w:rsidR="00BD77D8" w:rsidRPr="00BD77D8" w14:paraId="44DAD092" w14:textId="77777777" w:rsidTr="003057FB">
        <w:trPr>
          <w:trHeight w:val="285"/>
        </w:trPr>
        <w:tc>
          <w:tcPr>
            <w:tcW w:w="5867" w:type="dxa"/>
            <w:tcBorders>
              <w:top w:val="nil"/>
              <w:left w:val="nil"/>
              <w:bottom w:val="nil"/>
              <w:right w:val="nil"/>
            </w:tcBorders>
            <w:shd w:val="clear" w:color="auto" w:fill="auto"/>
            <w:noWrap/>
            <w:vAlign w:val="bottom"/>
            <w:hideMark/>
          </w:tcPr>
          <w:p w14:paraId="60A786E1" w14:textId="77777777" w:rsidR="00B9311E" w:rsidRPr="00BD77D8" w:rsidRDefault="00B9311E" w:rsidP="00B9311E">
            <w:pPr>
              <w:spacing w:after="0" w:line="240" w:lineRule="auto"/>
              <w:rPr>
                <w:b/>
                <w:bCs/>
                <w:sz w:val="18"/>
                <w:szCs w:val="18"/>
              </w:rPr>
            </w:pPr>
            <w:r w:rsidRPr="00BD77D8">
              <w:rPr>
                <w:b/>
                <w:bCs/>
                <w:sz w:val="18"/>
                <w:szCs w:val="18"/>
              </w:rPr>
              <w:t xml:space="preserve"> Transactions with Owners as Owners </w:t>
            </w:r>
          </w:p>
        </w:tc>
        <w:tc>
          <w:tcPr>
            <w:tcW w:w="995" w:type="dxa"/>
            <w:tcBorders>
              <w:top w:val="nil"/>
              <w:left w:val="nil"/>
              <w:bottom w:val="nil"/>
              <w:right w:val="nil"/>
            </w:tcBorders>
            <w:shd w:val="clear" w:color="auto" w:fill="auto"/>
            <w:noWrap/>
            <w:vAlign w:val="bottom"/>
            <w:hideMark/>
          </w:tcPr>
          <w:p w14:paraId="15EE5A68"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740EF42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8" w:type="dxa"/>
            <w:tcBorders>
              <w:top w:val="nil"/>
              <w:left w:val="nil"/>
              <w:bottom w:val="nil"/>
              <w:right w:val="nil"/>
            </w:tcBorders>
            <w:shd w:val="clear" w:color="auto" w:fill="auto"/>
            <w:vAlign w:val="bottom"/>
            <w:hideMark/>
          </w:tcPr>
          <w:p w14:paraId="7CB8D0EE"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3" w:type="dxa"/>
            <w:tcBorders>
              <w:top w:val="nil"/>
              <w:left w:val="nil"/>
              <w:bottom w:val="nil"/>
              <w:right w:val="nil"/>
            </w:tcBorders>
            <w:shd w:val="clear" w:color="auto" w:fill="auto"/>
            <w:vAlign w:val="bottom"/>
            <w:hideMark/>
          </w:tcPr>
          <w:p w14:paraId="5934422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587BFD1" w14:textId="77777777" w:rsidTr="003057FB">
        <w:trPr>
          <w:trHeight w:val="285"/>
        </w:trPr>
        <w:tc>
          <w:tcPr>
            <w:tcW w:w="5867" w:type="dxa"/>
            <w:tcBorders>
              <w:top w:val="nil"/>
              <w:left w:val="nil"/>
              <w:bottom w:val="nil"/>
              <w:right w:val="nil"/>
            </w:tcBorders>
            <w:shd w:val="clear" w:color="auto" w:fill="auto"/>
            <w:noWrap/>
            <w:vAlign w:val="bottom"/>
            <w:hideMark/>
          </w:tcPr>
          <w:p w14:paraId="19805B4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equity adjustments </w:t>
            </w:r>
          </w:p>
        </w:tc>
        <w:tc>
          <w:tcPr>
            <w:tcW w:w="995" w:type="dxa"/>
            <w:tcBorders>
              <w:top w:val="nil"/>
              <w:left w:val="nil"/>
              <w:bottom w:val="nil"/>
              <w:right w:val="nil"/>
            </w:tcBorders>
            <w:shd w:val="clear" w:color="auto" w:fill="auto"/>
            <w:noWrap/>
            <w:vAlign w:val="bottom"/>
            <w:hideMark/>
          </w:tcPr>
          <w:p w14:paraId="6C3AEF16" w14:textId="77777777" w:rsidR="00B9311E" w:rsidRPr="00BD77D8" w:rsidRDefault="00B9311E" w:rsidP="00B9311E">
            <w:pPr>
              <w:spacing w:after="0" w:line="240" w:lineRule="auto"/>
              <w:jc w:val="center"/>
              <w:rPr>
                <w:b/>
                <w:bCs/>
                <w:sz w:val="18"/>
                <w:szCs w:val="18"/>
              </w:rPr>
            </w:pPr>
            <w:r w:rsidRPr="00BD77D8">
              <w:rPr>
                <w:b/>
                <w:bCs/>
                <w:sz w:val="18"/>
                <w:szCs w:val="18"/>
              </w:rPr>
              <w:t xml:space="preserve"> C8 </w:t>
            </w:r>
          </w:p>
        </w:tc>
        <w:tc>
          <w:tcPr>
            <w:tcW w:w="1148" w:type="dxa"/>
            <w:tcBorders>
              <w:top w:val="nil"/>
              <w:left w:val="nil"/>
              <w:bottom w:val="nil"/>
              <w:right w:val="nil"/>
            </w:tcBorders>
            <w:shd w:val="clear" w:color="auto" w:fill="auto"/>
            <w:vAlign w:val="bottom"/>
            <w:hideMark/>
          </w:tcPr>
          <w:p w14:paraId="2BF30A97" w14:textId="77777777" w:rsidR="00B9311E" w:rsidRPr="00BD77D8" w:rsidRDefault="00B9311E" w:rsidP="00B9311E">
            <w:pPr>
              <w:spacing w:after="0" w:line="240" w:lineRule="auto"/>
              <w:jc w:val="right"/>
              <w:rPr>
                <w:sz w:val="18"/>
                <w:szCs w:val="18"/>
              </w:rPr>
            </w:pPr>
            <w:r w:rsidRPr="00BD77D8">
              <w:rPr>
                <w:sz w:val="18"/>
                <w:szCs w:val="18"/>
              </w:rPr>
              <w:t xml:space="preserve">            4,501 </w:t>
            </w:r>
          </w:p>
        </w:tc>
        <w:tc>
          <w:tcPr>
            <w:tcW w:w="1298" w:type="dxa"/>
            <w:tcBorders>
              <w:top w:val="nil"/>
              <w:left w:val="nil"/>
              <w:bottom w:val="nil"/>
              <w:right w:val="nil"/>
            </w:tcBorders>
            <w:shd w:val="clear" w:color="auto" w:fill="auto"/>
            <w:vAlign w:val="bottom"/>
            <w:hideMark/>
          </w:tcPr>
          <w:p w14:paraId="25EA166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13" w:type="dxa"/>
            <w:tcBorders>
              <w:top w:val="nil"/>
              <w:left w:val="nil"/>
              <w:bottom w:val="nil"/>
              <w:right w:val="nil"/>
            </w:tcBorders>
            <w:shd w:val="clear" w:color="auto" w:fill="auto"/>
            <w:vAlign w:val="bottom"/>
            <w:hideMark/>
          </w:tcPr>
          <w:p w14:paraId="206A3534" w14:textId="77777777" w:rsidR="00B9311E" w:rsidRPr="00BD77D8" w:rsidRDefault="00B9311E" w:rsidP="00B9311E">
            <w:pPr>
              <w:spacing w:after="0" w:line="240" w:lineRule="auto"/>
              <w:jc w:val="right"/>
              <w:rPr>
                <w:sz w:val="18"/>
                <w:szCs w:val="18"/>
              </w:rPr>
            </w:pPr>
            <w:r w:rsidRPr="00BD77D8">
              <w:rPr>
                <w:sz w:val="18"/>
                <w:szCs w:val="18"/>
              </w:rPr>
              <w:t xml:space="preserve">        4,501 </w:t>
            </w:r>
          </w:p>
        </w:tc>
      </w:tr>
      <w:tr w:rsidR="00BD77D8" w:rsidRPr="00BD77D8" w14:paraId="57E3995A" w14:textId="77777777" w:rsidTr="003057FB">
        <w:trPr>
          <w:trHeight w:val="285"/>
        </w:trPr>
        <w:tc>
          <w:tcPr>
            <w:tcW w:w="5867" w:type="dxa"/>
            <w:tcBorders>
              <w:top w:val="nil"/>
              <w:left w:val="nil"/>
              <w:bottom w:val="nil"/>
              <w:right w:val="nil"/>
            </w:tcBorders>
            <w:shd w:val="clear" w:color="auto" w:fill="auto"/>
            <w:noWrap/>
            <w:vAlign w:val="bottom"/>
            <w:hideMark/>
          </w:tcPr>
          <w:p w14:paraId="63D68A0B"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transfers in/(out) - Queensland Government entities - </w:t>
            </w:r>
            <w:proofErr w:type="spellStart"/>
            <w:r w:rsidRPr="00BD77D8">
              <w:rPr>
                <w:sz w:val="18"/>
                <w:szCs w:val="18"/>
              </w:rPr>
              <w:t>MoG</w:t>
            </w:r>
            <w:proofErr w:type="spellEnd"/>
            <w:r w:rsidRPr="00BD77D8">
              <w:rPr>
                <w:sz w:val="18"/>
                <w:szCs w:val="18"/>
              </w:rPr>
              <w:t xml:space="preserve"> </w:t>
            </w:r>
          </w:p>
        </w:tc>
        <w:tc>
          <w:tcPr>
            <w:tcW w:w="995" w:type="dxa"/>
            <w:tcBorders>
              <w:top w:val="nil"/>
              <w:left w:val="nil"/>
              <w:bottom w:val="nil"/>
              <w:right w:val="nil"/>
            </w:tcBorders>
            <w:shd w:val="clear" w:color="auto" w:fill="auto"/>
            <w:noWrap/>
            <w:vAlign w:val="bottom"/>
            <w:hideMark/>
          </w:tcPr>
          <w:p w14:paraId="387AAF06" w14:textId="77777777" w:rsidR="00B9311E" w:rsidRPr="00BD77D8" w:rsidRDefault="00B9311E" w:rsidP="00B9311E">
            <w:pPr>
              <w:spacing w:after="0" w:line="240" w:lineRule="auto"/>
              <w:ind w:firstLineChars="100" w:firstLine="181"/>
              <w:rPr>
                <w:b/>
                <w:bCs/>
                <w:sz w:val="18"/>
                <w:szCs w:val="18"/>
              </w:rPr>
            </w:pPr>
          </w:p>
        </w:tc>
        <w:tc>
          <w:tcPr>
            <w:tcW w:w="1148" w:type="dxa"/>
            <w:tcBorders>
              <w:top w:val="nil"/>
              <w:left w:val="nil"/>
              <w:bottom w:val="nil"/>
              <w:right w:val="nil"/>
            </w:tcBorders>
            <w:shd w:val="clear" w:color="auto" w:fill="auto"/>
            <w:vAlign w:val="bottom"/>
            <w:hideMark/>
          </w:tcPr>
          <w:p w14:paraId="559949A7" w14:textId="77777777" w:rsidR="00B9311E" w:rsidRPr="00BD77D8" w:rsidRDefault="00B9311E" w:rsidP="00B9311E">
            <w:pPr>
              <w:spacing w:after="0" w:line="240" w:lineRule="auto"/>
              <w:jc w:val="right"/>
              <w:rPr>
                <w:sz w:val="18"/>
                <w:szCs w:val="18"/>
              </w:rPr>
            </w:pPr>
            <w:r w:rsidRPr="00BD77D8">
              <w:rPr>
                <w:sz w:val="18"/>
                <w:szCs w:val="18"/>
              </w:rPr>
              <w:t xml:space="preserve">      (133,472)</w:t>
            </w:r>
          </w:p>
        </w:tc>
        <w:tc>
          <w:tcPr>
            <w:tcW w:w="1298" w:type="dxa"/>
            <w:tcBorders>
              <w:top w:val="nil"/>
              <w:left w:val="nil"/>
              <w:bottom w:val="nil"/>
              <w:right w:val="nil"/>
            </w:tcBorders>
            <w:shd w:val="clear" w:color="auto" w:fill="auto"/>
            <w:vAlign w:val="bottom"/>
            <w:hideMark/>
          </w:tcPr>
          <w:p w14:paraId="74AB68A7" w14:textId="77777777" w:rsidR="00B9311E" w:rsidRPr="00BD77D8" w:rsidRDefault="00B9311E" w:rsidP="00B9311E">
            <w:pPr>
              <w:spacing w:after="0" w:line="240" w:lineRule="auto"/>
              <w:jc w:val="right"/>
              <w:rPr>
                <w:sz w:val="18"/>
                <w:szCs w:val="18"/>
              </w:rPr>
            </w:pPr>
            <w:r w:rsidRPr="00BD77D8">
              <w:rPr>
                <w:sz w:val="18"/>
                <w:szCs w:val="18"/>
              </w:rPr>
              <w:t xml:space="preserve">                  105 </w:t>
            </w:r>
          </w:p>
        </w:tc>
        <w:tc>
          <w:tcPr>
            <w:tcW w:w="1013" w:type="dxa"/>
            <w:tcBorders>
              <w:top w:val="nil"/>
              <w:left w:val="nil"/>
              <w:bottom w:val="nil"/>
              <w:right w:val="nil"/>
            </w:tcBorders>
            <w:shd w:val="clear" w:color="auto" w:fill="auto"/>
            <w:vAlign w:val="bottom"/>
            <w:hideMark/>
          </w:tcPr>
          <w:p w14:paraId="6EDAB877" w14:textId="77777777" w:rsidR="00B9311E" w:rsidRPr="00BD77D8" w:rsidRDefault="00B9311E" w:rsidP="00B9311E">
            <w:pPr>
              <w:spacing w:after="0" w:line="240" w:lineRule="auto"/>
              <w:jc w:val="right"/>
              <w:rPr>
                <w:sz w:val="18"/>
                <w:szCs w:val="18"/>
              </w:rPr>
            </w:pPr>
            <w:r w:rsidRPr="00BD77D8">
              <w:rPr>
                <w:sz w:val="18"/>
                <w:szCs w:val="18"/>
              </w:rPr>
              <w:t xml:space="preserve">  (133,367)</w:t>
            </w:r>
          </w:p>
        </w:tc>
      </w:tr>
      <w:tr w:rsidR="00BD77D8" w:rsidRPr="00BD77D8" w14:paraId="3B514199" w14:textId="77777777" w:rsidTr="003057FB">
        <w:trPr>
          <w:trHeight w:val="285"/>
        </w:trPr>
        <w:tc>
          <w:tcPr>
            <w:tcW w:w="5867" w:type="dxa"/>
            <w:tcBorders>
              <w:top w:val="nil"/>
              <w:left w:val="nil"/>
              <w:bottom w:val="nil"/>
              <w:right w:val="nil"/>
            </w:tcBorders>
            <w:shd w:val="clear" w:color="auto" w:fill="auto"/>
            <w:noWrap/>
            <w:vAlign w:val="bottom"/>
            <w:hideMark/>
          </w:tcPr>
          <w:p w14:paraId="517EEFBB" w14:textId="77777777" w:rsidR="00B9311E" w:rsidRPr="00BD77D8" w:rsidRDefault="00B9311E" w:rsidP="00B9311E">
            <w:pPr>
              <w:spacing w:after="0" w:line="240" w:lineRule="auto"/>
              <w:rPr>
                <w:b/>
                <w:bCs/>
                <w:sz w:val="18"/>
                <w:szCs w:val="18"/>
              </w:rPr>
            </w:pPr>
            <w:r w:rsidRPr="00BD77D8">
              <w:rPr>
                <w:b/>
                <w:bCs/>
                <w:sz w:val="18"/>
                <w:szCs w:val="18"/>
              </w:rPr>
              <w:t xml:space="preserve"> Net Transactions with Owners as Owners </w:t>
            </w:r>
          </w:p>
        </w:tc>
        <w:tc>
          <w:tcPr>
            <w:tcW w:w="995" w:type="dxa"/>
            <w:tcBorders>
              <w:top w:val="nil"/>
              <w:left w:val="nil"/>
              <w:bottom w:val="nil"/>
              <w:right w:val="nil"/>
            </w:tcBorders>
            <w:shd w:val="clear" w:color="auto" w:fill="auto"/>
            <w:noWrap/>
            <w:vAlign w:val="bottom"/>
            <w:hideMark/>
          </w:tcPr>
          <w:p w14:paraId="0DBFB134"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0DFDCA52" w14:textId="77777777" w:rsidR="00B9311E" w:rsidRPr="00BD77D8" w:rsidRDefault="00B9311E" w:rsidP="00B9311E">
            <w:pPr>
              <w:spacing w:after="0" w:line="240" w:lineRule="auto"/>
              <w:jc w:val="right"/>
              <w:rPr>
                <w:b/>
                <w:bCs/>
                <w:sz w:val="18"/>
                <w:szCs w:val="18"/>
              </w:rPr>
            </w:pPr>
            <w:r w:rsidRPr="00BD77D8">
              <w:rPr>
                <w:b/>
                <w:bCs/>
                <w:sz w:val="18"/>
                <w:szCs w:val="18"/>
              </w:rPr>
              <w:t xml:space="preserve">      (128,971)</w:t>
            </w:r>
          </w:p>
        </w:tc>
        <w:tc>
          <w:tcPr>
            <w:tcW w:w="1298" w:type="dxa"/>
            <w:tcBorders>
              <w:top w:val="single" w:sz="4" w:space="0" w:color="auto"/>
              <w:left w:val="nil"/>
              <w:bottom w:val="single" w:sz="4" w:space="0" w:color="auto"/>
              <w:right w:val="nil"/>
            </w:tcBorders>
            <w:shd w:val="clear" w:color="auto" w:fill="auto"/>
            <w:vAlign w:val="bottom"/>
            <w:hideMark/>
          </w:tcPr>
          <w:p w14:paraId="5C4768A1" w14:textId="77777777" w:rsidR="00B9311E" w:rsidRPr="00BD77D8" w:rsidRDefault="00B9311E" w:rsidP="00B9311E">
            <w:pPr>
              <w:spacing w:after="0" w:line="240" w:lineRule="auto"/>
              <w:jc w:val="right"/>
              <w:rPr>
                <w:b/>
                <w:bCs/>
                <w:sz w:val="18"/>
                <w:szCs w:val="18"/>
              </w:rPr>
            </w:pPr>
            <w:r w:rsidRPr="00BD77D8">
              <w:rPr>
                <w:b/>
                <w:bCs/>
                <w:sz w:val="18"/>
                <w:szCs w:val="18"/>
              </w:rPr>
              <w:t xml:space="preserve">                  105 </w:t>
            </w:r>
          </w:p>
        </w:tc>
        <w:tc>
          <w:tcPr>
            <w:tcW w:w="1013" w:type="dxa"/>
            <w:tcBorders>
              <w:top w:val="single" w:sz="4" w:space="0" w:color="auto"/>
              <w:left w:val="nil"/>
              <w:bottom w:val="single" w:sz="4" w:space="0" w:color="auto"/>
              <w:right w:val="nil"/>
            </w:tcBorders>
            <w:shd w:val="clear" w:color="auto" w:fill="auto"/>
            <w:vAlign w:val="bottom"/>
            <w:hideMark/>
          </w:tcPr>
          <w:p w14:paraId="3A85D536" w14:textId="77777777" w:rsidR="00B9311E" w:rsidRPr="00BD77D8" w:rsidRDefault="00B9311E" w:rsidP="00B9311E">
            <w:pPr>
              <w:spacing w:after="0" w:line="240" w:lineRule="auto"/>
              <w:jc w:val="right"/>
              <w:rPr>
                <w:b/>
                <w:bCs/>
                <w:sz w:val="18"/>
                <w:szCs w:val="18"/>
              </w:rPr>
            </w:pPr>
            <w:r w:rsidRPr="00BD77D8">
              <w:rPr>
                <w:b/>
                <w:bCs/>
                <w:sz w:val="18"/>
                <w:szCs w:val="18"/>
              </w:rPr>
              <w:t xml:space="preserve">  (128,866)</w:t>
            </w:r>
          </w:p>
        </w:tc>
      </w:tr>
      <w:tr w:rsidR="00BD77D8" w:rsidRPr="00BD77D8" w14:paraId="6F4F42FE" w14:textId="77777777" w:rsidTr="003057FB">
        <w:trPr>
          <w:trHeight w:val="300"/>
        </w:trPr>
        <w:tc>
          <w:tcPr>
            <w:tcW w:w="5867" w:type="dxa"/>
            <w:tcBorders>
              <w:top w:val="nil"/>
              <w:left w:val="nil"/>
              <w:bottom w:val="nil"/>
              <w:right w:val="nil"/>
            </w:tcBorders>
            <w:shd w:val="clear" w:color="auto" w:fill="auto"/>
            <w:noWrap/>
            <w:vAlign w:val="bottom"/>
            <w:hideMark/>
          </w:tcPr>
          <w:p w14:paraId="374E6146" w14:textId="77777777" w:rsidR="00B9311E" w:rsidRPr="00BD77D8" w:rsidRDefault="00B9311E" w:rsidP="00B9311E">
            <w:pPr>
              <w:spacing w:after="0" w:line="240" w:lineRule="auto"/>
              <w:rPr>
                <w:b/>
                <w:bCs/>
                <w:sz w:val="18"/>
                <w:szCs w:val="18"/>
              </w:rPr>
            </w:pPr>
            <w:r w:rsidRPr="00BD77D8">
              <w:rPr>
                <w:b/>
                <w:bCs/>
                <w:sz w:val="18"/>
                <w:szCs w:val="18"/>
              </w:rPr>
              <w:t xml:space="preserve"> Balance as at 30 June 2021 </w:t>
            </w:r>
          </w:p>
        </w:tc>
        <w:tc>
          <w:tcPr>
            <w:tcW w:w="995" w:type="dxa"/>
            <w:tcBorders>
              <w:top w:val="nil"/>
              <w:left w:val="nil"/>
              <w:bottom w:val="nil"/>
              <w:right w:val="nil"/>
            </w:tcBorders>
            <w:shd w:val="clear" w:color="auto" w:fill="auto"/>
            <w:noWrap/>
            <w:vAlign w:val="bottom"/>
            <w:hideMark/>
          </w:tcPr>
          <w:p w14:paraId="54F69A56"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138BC244" w14:textId="77777777" w:rsidR="00B9311E" w:rsidRPr="00BD77D8" w:rsidRDefault="00B9311E" w:rsidP="00B9311E">
            <w:pPr>
              <w:spacing w:after="0" w:line="240" w:lineRule="auto"/>
              <w:jc w:val="right"/>
              <w:rPr>
                <w:b/>
                <w:bCs/>
                <w:sz w:val="18"/>
                <w:szCs w:val="18"/>
              </w:rPr>
            </w:pPr>
            <w:r w:rsidRPr="00BD77D8">
              <w:rPr>
                <w:b/>
                <w:bCs/>
                <w:sz w:val="18"/>
                <w:szCs w:val="18"/>
              </w:rPr>
              <w:t xml:space="preserve">       174,080 </w:t>
            </w:r>
          </w:p>
        </w:tc>
        <w:tc>
          <w:tcPr>
            <w:tcW w:w="1298" w:type="dxa"/>
            <w:tcBorders>
              <w:top w:val="single" w:sz="4" w:space="0" w:color="auto"/>
              <w:left w:val="nil"/>
              <w:bottom w:val="single" w:sz="4" w:space="0" w:color="auto"/>
              <w:right w:val="nil"/>
            </w:tcBorders>
            <w:shd w:val="clear" w:color="auto" w:fill="auto"/>
            <w:vAlign w:val="bottom"/>
            <w:hideMark/>
          </w:tcPr>
          <w:p w14:paraId="73A86931" w14:textId="77777777" w:rsidR="00B9311E" w:rsidRPr="00BD77D8" w:rsidRDefault="00B9311E" w:rsidP="00B9311E">
            <w:pPr>
              <w:spacing w:after="0" w:line="240" w:lineRule="auto"/>
              <w:jc w:val="right"/>
              <w:rPr>
                <w:b/>
                <w:bCs/>
                <w:sz w:val="18"/>
                <w:szCs w:val="18"/>
              </w:rPr>
            </w:pPr>
            <w:r w:rsidRPr="00BD77D8">
              <w:rPr>
                <w:b/>
                <w:bCs/>
                <w:sz w:val="18"/>
                <w:szCs w:val="18"/>
              </w:rPr>
              <w:t xml:space="preserve">             23,021 </w:t>
            </w:r>
          </w:p>
        </w:tc>
        <w:tc>
          <w:tcPr>
            <w:tcW w:w="1013" w:type="dxa"/>
            <w:tcBorders>
              <w:top w:val="single" w:sz="4" w:space="0" w:color="auto"/>
              <w:left w:val="nil"/>
              <w:bottom w:val="single" w:sz="4" w:space="0" w:color="auto"/>
              <w:right w:val="nil"/>
            </w:tcBorders>
            <w:shd w:val="clear" w:color="auto" w:fill="auto"/>
            <w:vAlign w:val="bottom"/>
            <w:hideMark/>
          </w:tcPr>
          <w:p w14:paraId="1ED86960" w14:textId="77777777" w:rsidR="00B9311E" w:rsidRPr="00BD77D8" w:rsidRDefault="00B9311E" w:rsidP="00B9311E">
            <w:pPr>
              <w:spacing w:after="0" w:line="240" w:lineRule="auto"/>
              <w:jc w:val="right"/>
              <w:rPr>
                <w:b/>
                <w:bCs/>
                <w:sz w:val="18"/>
                <w:szCs w:val="18"/>
              </w:rPr>
            </w:pPr>
            <w:r w:rsidRPr="00BD77D8">
              <w:rPr>
                <w:b/>
                <w:bCs/>
                <w:sz w:val="18"/>
                <w:szCs w:val="18"/>
              </w:rPr>
              <w:t xml:space="preserve">   197,101 </w:t>
            </w:r>
          </w:p>
        </w:tc>
      </w:tr>
      <w:tr w:rsidR="00BD77D8" w:rsidRPr="00BD77D8" w14:paraId="02CF83CB" w14:textId="77777777" w:rsidTr="003057FB">
        <w:trPr>
          <w:trHeight w:val="285"/>
        </w:trPr>
        <w:tc>
          <w:tcPr>
            <w:tcW w:w="5867" w:type="dxa"/>
            <w:tcBorders>
              <w:top w:val="nil"/>
              <w:left w:val="nil"/>
              <w:bottom w:val="nil"/>
              <w:right w:val="nil"/>
            </w:tcBorders>
            <w:shd w:val="clear" w:color="auto" w:fill="auto"/>
            <w:noWrap/>
            <w:vAlign w:val="bottom"/>
            <w:hideMark/>
          </w:tcPr>
          <w:p w14:paraId="4EC9F02D" w14:textId="77777777" w:rsidR="00B9311E" w:rsidRPr="00BD77D8" w:rsidRDefault="00B9311E" w:rsidP="00B9311E">
            <w:pPr>
              <w:spacing w:after="0" w:line="240" w:lineRule="auto"/>
              <w:rPr>
                <w:b/>
                <w:bCs/>
                <w:sz w:val="18"/>
                <w:szCs w:val="18"/>
              </w:rPr>
            </w:pPr>
            <w:r w:rsidRPr="00BD77D8">
              <w:rPr>
                <w:b/>
                <w:bCs/>
                <w:sz w:val="18"/>
                <w:szCs w:val="18"/>
              </w:rPr>
              <w:t xml:space="preserve"> Operating Result </w:t>
            </w:r>
          </w:p>
        </w:tc>
        <w:tc>
          <w:tcPr>
            <w:tcW w:w="995" w:type="dxa"/>
            <w:tcBorders>
              <w:top w:val="nil"/>
              <w:left w:val="nil"/>
              <w:bottom w:val="nil"/>
              <w:right w:val="nil"/>
            </w:tcBorders>
            <w:shd w:val="clear" w:color="auto" w:fill="auto"/>
            <w:noWrap/>
            <w:vAlign w:val="bottom"/>
            <w:hideMark/>
          </w:tcPr>
          <w:p w14:paraId="340FC963"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5CADA90A"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8" w:type="dxa"/>
            <w:tcBorders>
              <w:top w:val="nil"/>
              <w:left w:val="nil"/>
              <w:bottom w:val="nil"/>
              <w:right w:val="nil"/>
            </w:tcBorders>
            <w:shd w:val="clear" w:color="auto" w:fill="auto"/>
            <w:vAlign w:val="bottom"/>
            <w:hideMark/>
          </w:tcPr>
          <w:p w14:paraId="0D3AC8D1"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3" w:type="dxa"/>
            <w:tcBorders>
              <w:top w:val="nil"/>
              <w:left w:val="nil"/>
              <w:bottom w:val="nil"/>
              <w:right w:val="nil"/>
            </w:tcBorders>
            <w:shd w:val="clear" w:color="auto" w:fill="auto"/>
            <w:vAlign w:val="bottom"/>
            <w:hideMark/>
          </w:tcPr>
          <w:p w14:paraId="2336A7C9"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466174B0" w14:textId="77777777" w:rsidTr="003057FB">
        <w:trPr>
          <w:trHeight w:val="285"/>
        </w:trPr>
        <w:tc>
          <w:tcPr>
            <w:tcW w:w="5867" w:type="dxa"/>
            <w:tcBorders>
              <w:top w:val="nil"/>
              <w:left w:val="nil"/>
              <w:bottom w:val="nil"/>
              <w:right w:val="nil"/>
            </w:tcBorders>
            <w:shd w:val="clear" w:color="auto" w:fill="auto"/>
            <w:noWrap/>
            <w:vAlign w:val="bottom"/>
            <w:hideMark/>
          </w:tcPr>
          <w:p w14:paraId="6DFFB7F1" w14:textId="77777777" w:rsidR="00B9311E" w:rsidRPr="00BD77D8" w:rsidRDefault="00B9311E" w:rsidP="00B9311E">
            <w:pPr>
              <w:spacing w:after="0" w:line="240" w:lineRule="auto"/>
              <w:rPr>
                <w:sz w:val="18"/>
                <w:szCs w:val="18"/>
              </w:rPr>
            </w:pPr>
            <w:r w:rsidRPr="00BD77D8">
              <w:rPr>
                <w:sz w:val="18"/>
                <w:szCs w:val="18"/>
              </w:rPr>
              <w:t xml:space="preserve"> Operating result from continuing operations </w:t>
            </w:r>
          </w:p>
        </w:tc>
        <w:tc>
          <w:tcPr>
            <w:tcW w:w="995" w:type="dxa"/>
            <w:tcBorders>
              <w:top w:val="nil"/>
              <w:left w:val="nil"/>
              <w:bottom w:val="nil"/>
              <w:right w:val="nil"/>
            </w:tcBorders>
            <w:shd w:val="clear" w:color="auto" w:fill="auto"/>
            <w:noWrap/>
            <w:vAlign w:val="bottom"/>
            <w:hideMark/>
          </w:tcPr>
          <w:p w14:paraId="06409769"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76FD4F1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298" w:type="dxa"/>
            <w:tcBorders>
              <w:top w:val="nil"/>
              <w:left w:val="nil"/>
              <w:bottom w:val="nil"/>
              <w:right w:val="nil"/>
            </w:tcBorders>
            <w:shd w:val="clear" w:color="auto" w:fill="auto"/>
            <w:vAlign w:val="bottom"/>
            <w:hideMark/>
          </w:tcPr>
          <w:p w14:paraId="6ED0FFAC" w14:textId="77777777" w:rsidR="00B9311E" w:rsidRPr="00BD77D8" w:rsidRDefault="00B9311E" w:rsidP="00B9311E">
            <w:pPr>
              <w:spacing w:after="0" w:line="240" w:lineRule="auto"/>
              <w:jc w:val="right"/>
              <w:rPr>
                <w:sz w:val="18"/>
                <w:szCs w:val="18"/>
              </w:rPr>
            </w:pPr>
            <w:r w:rsidRPr="00BD77D8">
              <w:rPr>
                <w:sz w:val="18"/>
                <w:szCs w:val="18"/>
              </w:rPr>
              <w:t xml:space="preserve">             31,191 </w:t>
            </w:r>
          </w:p>
        </w:tc>
        <w:tc>
          <w:tcPr>
            <w:tcW w:w="1013" w:type="dxa"/>
            <w:tcBorders>
              <w:top w:val="nil"/>
              <w:left w:val="nil"/>
              <w:bottom w:val="nil"/>
              <w:right w:val="nil"/>
            </w:tcBorders>
            <w:shd w:val="clear" w:color="auto" w:fill="auto"/>
            <w:vAlign w:val="bottom"/>
            <w:hideMark/>
          </w:tcPr>
          <w:p w14:paraId="62ED584D" w14:textId="77777777" w:rsidR="00B9311E" w:rsidRPr="00BD77D8" w:rsidRDefault="00B9311E" w:rsidP="00B9311E">
            <w:pPr>
              <w:spacing w:after="0" w:line="240" w:lineRule="auto"/>
              <w:jc w:val="right"/>
              <w:rPr>
                <w:sz w:val="18"/>
                <w:szCs w:val="18"/>
              </w:rPr>
            </w:pPr>
            <w:r w:rsidRPr="00BD77D8">
              <w:rPr>
                <w:sz w:val="18"/>
                <w:szCs w:val="18"/>
              </w:rPr>
              <w:t xml:space="preserve">      31,191 </w:t>
            </w:r>
          </w:p>
        </w:tc>
      </w:tr>
      <w:tr w:rsidR="00BD77D8" w:rsidRPr="00BD77D8" w14:paraId="37EA12B6" w14:textId="77777777" w:rsidTr="003057FB">
        <w:trPr>
          <w:trHeight w:val="285"/>
        </w:trPr>
        <w:tc>
          <w:tcPr>
            <w:tcW w:w="5867" w:type="dxa"/>
            <w:tcBorders>
              <w:top w:val="nil"/>
              <w:left w:val="nil"/>
              <w:bottom w:val="nil"/>
              <w:right w:val="nil"/>
            </w:tcBorders>
            <w:shd w:val="clear" w:color="auto" w:fill="auto"/>
            <w:noWrap/>
            <w:vAlign w:val="bottom"/>
            <w:hideMark/>
          </w:tcPr>
          <w:p w14:paraId="23C6614D" w14:textId="77777777" w:rsidR="00B9311E" w:rsidRPr="00BD77D8" w:rsidRDefault="00B9311E" w:rsidP="00B9311E">
            <w:pPr>
              <w:spacing w:after="0" w:line="240" w:lineRule="auto"/>
              <w:rPr>
                <w:b/>
                <w:bCs/>
                <w:sz w:val="18"/>
                <w:szCs w:val="18"/>
              </w:rPr>
            </w:pPr>
            <w:r w:rsidRPr="00BD77D8">
              <w:rPr>
                <w:b/>
                <w:bCs/>
                <w:sz w:val="18"/>
                <w:szCs w:val="18"/>
              </w:rPr>
              <w:t xml:space="preserve"> Total Comprehensive Income for the Year </w:t>
            </w:r>
          </w:p>
        </w:tc>
        <w:tc>
          <w:tcPr>
            <w:tcW w:w="995" w:type="dxa"/>
            <w:tcBorders>
              <w:top w:val="nil"/>
              <w:left w:val="nil"/>
              <w:bottom w:val="nil"/>
              <w:right w:val="nil"/>
            </w:tcBorders>
            <w:shd w:val="clear" w:color="auto" w:fill="auto"/>
            <w:noWrap/>
            <w:vAlign w:val="bottom"/>
            <w:hideMark/>
          </w:tcPr>
          <w:p w14:paraId="0C8F86E4"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793689FA"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8" w:type="dxa"/>
            <w:tcBorders>
              <w:top w:val="single" w:sz="4" w:space="0" w:color="auto"/>
              <w:left w:val="nil"/>
              <w:bottom w:val="single" w:sz="4" w:space="0" w:color="auto"/>
              <w:right w:val="nil"/>
            </w:tcBorders>
            <w:shd w:val="clear" w:color="auto" w:fill="auto"/>
            <w:vAlign w:val="bottom"/>
            <w:hideMark/>
          </w:tcPr>
          <w:p w14:paraId="3C584204"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1013" w:type="dxa"/>
            <w:tcBorders>
              <w:top w:val="single" w:sz="4" w:space="0" w:color="auto"/>
              <w:left w:val="nil"/>
              <w:bottom w:val="single" w:sz="4" w:space="0" w:color="auto"/>
              <w:right w:val="nil"/>
            </w:tcBorders>
            <w:shd w:val="clear" w:color="auto" w:fill="auto"/>
            <w:vAlign w:val="bottom"/>
            <w:hideMark/>
          </w:tcPr>
          <w:p w14:paraId="20E97995"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r>
      <w:tr w:rsidR="00BD77D8" w:rsidRPr="00BD77D8" w14:paraId="5460D0C3" w14:textId="77777777" w:rsidTr="003057FB">
        <w:trPr>
          <w:trHeight w:val="285"/>
        </w:trPr>
        <w:tc>
          <w:tcPr>
            <w:tcW w:w="5867" w:type="dxa"/>
            <w:tcBorders>
              <w:top w:val="nil"/>
              <w:left w:val="nil"/>
              <w:bottom w:val="nil"/>
              <w:right w:val="nil"/>
            </w:tcBorders>
            <w:shd w:val="clear" w:color="auto" w:fill="auto"/>
            <w:noWrap/>
            <w:vAlign w:val="bottom"/>
            <w:hideMark/>
          </w:tcPr>
          <w:p w14:paraId="29DC91D5" w14:textId="77777777" w:rsidR="00B9311E" w:rsidRPr="00BD77D8" w:rsidRDefault="00B9311E" w:rsidP="00B9311E">
            <w:pPr>
              <w:spacing w:after="0" w:line="240" w:lineRule="auto"/>
              <w:rPr>
                <w:b/>
                <w:bCs/>
                <w:sz w:val="18"/>
                <w:szCs w:val="18"/>
              </w:rPr>
            </w:pPr>
            <w:r w:rsidRPr="00BD77D8">
              <w:rPr>
                <w:b/>
                <w:bCs/>
                <w:sz w:val="18"/>
                <w:szCs w:val="18"/>
              </w:rPr>
              <w:t xml:space="preserve"> Transactions with Owners as Owners </w:t>
            </w:r>
          </w:p>
        </w:tc>
        <w:tc>
          <w:tcPr>
            <w:tcW w:w="995" w:type="dxa"/>
            <w:tcBorders>
              <w:top w:val="nil"/>
              <w:left w:val="nil"/>
              <w:bottom w:val="nil"/>
              <w:right w:val="nil"/>
            </w:tcBorders>
            <w:shd w:val="clear" w:color="auto" w:fill="auto"/>
            <w:noWrap/>
            <w:vAlign w:val="bottom"/>
            <w:hideMark/>
          </w:tcPr>
          <w:p w14:paraId="0DD35752" w14:textId="77777777" w:rsidR="00B9311E" w:rsidRPr="00BD77D8" w:rsidRDefault="00B9311E" w:rsidP="00B9311E">
            <w:pPr>
              <w:spacing w:after="0" w:line="240" w:lineRule="auto"/>
              <w:rPr>
                <w:b/>
                <w:bCs/>
                <w:sz w:val="18"/>
                <w:szCs w:val="18"/>
              </w:rPr>
            </w:pPr>
          </w:p>
        </w:tc>
        <w:tc>
          <w:tcPr>
            <w:tcW w:w="1148" w:type="dxa"/>
            <w:tcBorders>
              <w:top w:val="nil"/>
              <w:left w:val="nil"/>
              <w:bottom w:val="nil"/>
              <w:right w:val="nil"/>
            </w:tcBorders>
            <w:shd w:val="clear" w:color="auto" w:fill="auto"/>
            <w:vAlign w:val="bottom"/>
            <w:hideMark/>
          </w:tcPr>
          <w:p w14:paraId="7FC9AE71"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8" w:type="dxa"/>
            <w:tcBorders>
              <w:top w:val="nil"/>
              <w:left w:val="nil"/>
              <w:bottom w:val="nil"/>
              <w:right w:val="nil"/>
            </w:tcBorders>
            <w:shd w:val="clear" w:color="auto" w:fill="auto"/>
            <w:vAlign w:val="bottom"/>
            <w:hideMark/>
          </w:tcPr>
          <w:p w14:paraId="77361417"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013" w:type="dxa"/>
            <w:tcBorders>
              <w:top w:val="nil"/>
              <w:left w:val="nil"/>
              <w:bottom w:val="nil"/>
              <w:right w:val="nil"/>
            </w:tcBorders>
            <w:shd w:val="clear" w:color="auto" w:fill="auto"/>
            <w:vAlign w:val="bottom"/>
            <w:hideMark/>
          </w:tcPr>
          <w:p w14:paraId="70ADBE0C"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7A0D794" w14:textId="77777777" w:rsidTr="003057FB">
        <w:trPr>
          <w:trHeight w:val="285"/>
        </w:trPr>
        <w:tc>
          <w:tcPr>
            <w:tcW w:w="5867" w:type="dxa"/>
            <w:tcBorders>
              <w:top w:val="nil"/>
              <w:left w:val="nil"/>
              <w:bottom w:val="nil"/>
              <w:right w:val="nil"/>
            </w:tcBorders>
            <w:shd w:val="clear" w:color="auto" w:fill="auto"/>
            <w:noWrap/>
            <w:vAlign w:val="bottom"/>
            <w:hideMark/>
          </w:tcPr>
          <w:p w14:paraId="2135B32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equity adjustments </w:t>
            </w:r>
          </w:p>
        </w:tc>
        <w:tc>
          <w:tcPr>
            <w:tcW w:w="995" w:type="dxa"/>
            <w:tcBorders>
              <w:top w:val="nil"/>
              <w:left w:val="nil"/>
              <w:bottom w:val="nil"/>
              <w:right w:val="nil"/>
            </w:tcBorders>
            <w:shd w:val="clear" w:color="auto" w:fill="auto"/>
            <w:noWrap/>
            <w:vAlign w:val="bottom"/>
            <w:hideMark/>
          </w:tcPr>
          <w:p w14:paraId="2427226F" w14:textId="77777777" w:rsidR="00B9311E" w:rsidRPr="00BD77D8" w:rsidRDefault="00B9311E" w:rsidP="00B9311E">
            <w:pPr>
              <w:spacing w:after="0" w:line="240" w:lineRule="auto"/>
              <w:jc w:val="center"/>
              <w:rPr>
                <w:b/>
                <w:bCs/>
                <w:sz w:val="18"/>
                <w:szCs w:val="18"/>
              </w:rPr>
            </w:pPr>
            <w:r w:rsidRPr="00BD77D8">
              <w:rPr>
                <w:b/>
                <w:bCs/>
                <w:sz w:val="18"/>
                <w:szCs w:val="18"/>
              </w:rPr>
              <w:t xml:space="preserve"> C8 </w:t>
            </w:r>
          </w:p>
        </w:tc>
        <w:tc>
          <w:tcPr>
            <w:tcW w:w="1148" w:type="dxa"/>
            <w:tcBorders>
              <w:top w:val="nil"/>
              <w:left w:val="nil"/>
              <w:bottom w:val="nil"/>
              <w:right w:val="nil"/>
            </w:tcBorders>
            <w:shd w:val="clear" w:color="auto" w:fill="auto"/>
            <w:vAlign w:val="bottom"/>
            <w:hideMark/>
          </w:tcPr>
          <w:p w14:paraId="0C60BD71" w14:textId="77777777" w:rsidR="00B9311E" w:rsidRPr="00BD77D8" w:rsidRDefault="00B9311E" w:rsidP="00B9311E">
            <w:pPr>
              <w:spacing w:after="0" w:line="240" w:lineRule="auto"/>
              <w:jc w:val="right"/>
              <w:rPr>
                <w:sz w:val="18"/>
                <w:szCs w:val="18"/>
              </w:rPr>
            </w:pPr>
            <w:r w:rsidRPr="00BD77D8">
              <w:rPr>
                <w:sz w:val="18"/>
                <w:szCs w:val="18"/>
              </w:rPr>
              <w:t xml:space="preserve">            2,510 </w:t>
            </w:r>
          </w:p>
        </w:tc>
        <w:tc>
          <w:tcPr>
            <w:tcW w:w="1298" w:type="dxa"/>
            <w:tcBorders>
              <w:top w:val="nil"/>
              <w:left w:val="nil"/>
              <w:bottom w:val="nil"/>
              <w:right w:val="nil"/>
            </w:tcBorders>
            <w:shd w:val="clear" w:color="auto" w:fill="auto"/>
            <w:vAlign w:val="bottom"/>
            <w:hideMark/>
          </w:tcPr>
          <w:p w14:paraId="7650459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13" w:type="dxa"/>
            <w:tcBorders>
              <w:top w:val="nil"/>
              <w:left w:val="nil"/>
              <w:bottom w:val="nil"/>
              <w:right w:val="nil"/>
            </w:tcBorders>
            <w:shd w:val="clear" w:color="auto" w:fill="auto"/>
            <w:vAlign w:val="bottom"/>
            <w:hideMark/>
          </w:tcPr>
          <w:p w14:paraId="008B35F0" w14:textId="77777777" w:rsidR="00B9311E" w:rsidRPr="00BD77D8" w:rsidRDefault="00B9311E" w:rsidP="00B9311E">
            <w:pPr>
              <w:spacing w:after="0" w:line="240" w:lineRule="auto"/>
              <w:jc w:val="right"/>
              <w:rPr>
                <w:sz w:val="18"/>
                <w:szCs w:val="18"/>
              </w:rPr>
            </w:pPr>
            <w:r w:rsidRPr="00BD77D8">
              <w:rPr>
                <w:sz w:val="18"/>
                <w:szCs w:val="18"/>
              </w:rPr>
              <w:t xml:space="preserve">        2,510 </w:t>
            </w:r>
          </w:p>
        </w:tc>
      </w:tr>
      <w:tr w:rsidR="00BD77D8" w:rsidRPr="00BD77D8" w14:paraId="27AAE17C" w14:textId="77777777" w:rsidTr="003057FB">
        <w:trPr>
          <w:trHeight w:val="285"/>
        </w:trPr>
        <w:tc>
          <w:tcPr>
            <w:tcW w:w="5867" w:type="dxa"/>
            <w:tcBorders>
              <w:top w:val="nil"/>
              <w:left w:val="nil"/>
              <w:bottom w:val="nil"/>
              <w:right w:val="nil"/>
            </w:tcBorders>
            <w:shd w:val="clear" w:color="auto" w:fill="auto"/>
            <w:noWrap/>
            <w:vAlign w:val="bottom"/>
            <w:hideMark/>
          </w:tcPr>
          <w:p w14:paraId="707B4D16"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transfers in/(out) - Queensland Government entities - </w:t>
            </w:r>
            <w:proofErr w:type="spellStart"/>
            <w:r w:rsidRPr="00BD77D8">
              <w:rPr>
                <w:sz w:val="18"/>
                <w:szCs w:val="18"/>
              </w:rPr>
              <w:t>MoG</w:t>
            </w:r>
            <w:proofErr w:type="spellEnd"/>
            <w:r w:rsidRPr="00BD77D8">
              <w:rPr>
                <w:sz w:val="18"/>
                <w:szCs w:val="18"/>
              </w:rPr>
              <w:t xml:space="preserve"> ^ </w:t>
            </w:r>
          </w:p>
        </w:tc>
        <w:tc>
          <w:tcPr>
            <w:tcW w:w="995" w:type="dxa"/>
            <w:tcBorders>
              <w:top w:val="nil"/>
              <w:left w:val="nil"/>
              <w:bottom w:val="nil"/>
              <w:right w:val="nil"/>
            </w:tcBorders>
            <w:shd w:val="clear" w:color="auto" w:fill="auto"/>
            <w:noWrap/>
            <w:vAlign w:val="bottom"/>
            <w:hideMark/>
          </w:tcPr>
          <w:p w14:paraId="45494831" w14:textId="77777777" w:rsidR="00B9311E" w:rsidRPr="00BD77D8" w:rsidRDefault="00B9311E" w:rsidP="00B9311E">
            <w:pPr>
              <w:spacing w:after="0" w:line="240" w:lineRule="auto"/>
              <w:jc w:val="center"/>
              <w:rPr>
                <w:b/>
                <w:bCs/>
                <w:sz w:val="18"/>
                <w:szCs w:val="18"/>
              </w:rPr>
            </w:pPr>
            <w:r w:rsidRPr="00BD77D8">
              <w:rPr>
                <w:b/>
                <w:bCs/>
                <w:sz w:val="18"/>
                <w:szCs w:val="18"/>
              </w:rPr>
              <w:t xml:space="preserve"> A4 </w:t>
            </w:r>
          </w:p>
        </w:tc>
        <w:tc>
          <w:tcPr>
            <w:tcW w:w="1148" w:type="dxa"/>
            <w:tcBorders>
              <w:top w:val="nil"/>
              <w:left w:val="nil"/>
              <w:bottom w:val="nil"/>
              <w:right w:val="nil"/>
            </w:tcBorders>
            <w:shd w:val="clear" w:color="auto" w:fill="auto"/>
            <w:vAlign w:val="bottom"/>
            <w:hideMark/>
          </w:tcPr>
          <w:p w14:paraId="27635BBD" w14:textId="77777777" w:rsidR="00B9311E" w:rsidRPr="00BD77D8" w:rsidRDefault="00B9311E" w:rsidP="00B9311E">
            <w:pPr>
              <w:spacing w:after="0" w:line="240" w:lineRule="auto"/>
              <w:jc w:val="right"/>
              <w:rPr>
                <w:sz w:val="18"/>
                <w:szCs w:val="18"/>
              </w:rPr>
            </w:pPr>
            <w:r w:rsidRPr="00BD77D8">
              <w:rPr>
                <w:sz w:val="18"/>
                <w:szCs w:val="18"/>
              </w:rPr>
              <w:t xml:space="preserve">                (13)</w:t>
            </w:r>
          </w:p>
        </w:tc>
        <w:tc>
          <w:tcPr>
            <w:tcW w:w="1298" w:type="dxa"/>
            <w:tcBorders>
              <w:top w:val="nil"/>
              <w:left w:val="nil"/>
              <w:bottom w:val="nil"/>
              <w:right w:val="nil"/>
            </w:tcBorders>
            <w:shd w:val="clear" w:color="auto" w:fill="auto"/>
            <w:vAlign w:val="bottom"/>
            <w:hideMark/>
          </w:tcPr>
          <w:p w14:paraId="29C336A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13" w:type="dxa"/>
            <w:tcBorders>
              <w:top w:val="nil"/>
              <w:left w:val="nil"/>
              <w:bottom w:val="nil"/>
              <w:right w:val="nil"/>
            </w:tcBorders>
            <w:shd w:val="clear" w:color="auto" w:fill="auto"/>
            <w:vAlign w:val="bottom"/>
            <w:hideMark/>
          </w:tcPr>
          <w:p w14:paraId="41139794" w14:textId="77777777" w:rsidR="00B9311E" w:rsidRPr="00BD77D8" w:rsidRDefault="00B9311E" w:rsidP="00B9311E">
            <w:pPr>
              <w:spacing w:after="0" w:line="240" w:lineRule="auto"/>
              <w:jc w:val="right"/>
              <w:rPr>
                <w:sz w:val="18"/>
                <w:szCs w:val="18"/>
              </w:rPr>
            </w:pPr>
            <w:r w:rsidRPr="00BD77D8">
              <w:rPr>
                <w:sz w:val="18"/>
                <w:szCs w:val="18"/>
              </w:rPr>
              <w:t xml:space="preserve">            (13)</w:t>
            </w:r>
          </w:p>
        </w:tc>
      </w:tr>
      <w:tr w:rsidR="00BD77D8" w:rsidRPr="00BD77D8" w14:paraId="6BF0D710" w14:textId="77777777" w:rsidTr="003057FB">
        <w:trPr>
          <w:trHeight w:val="285"/>
        </w:trPr>
        <w:tc>
          <w:tcPr>
            <w:tcW w:w="5867" w:type="dxa"/>
            <w:tcBorders>
              <w:top w:val="nil"/>
              <w:left w:val="nil"/>
              <w:bottom w:val="nil"/>
              <w:right w:val="nil"/>
            </w:tcBorders>
            <w:shd w:val="clear" w:color="auto" w:fill="auto"/>
            <w:noWrap/>
            <w:vAlign w:val="bottom"/>
            <w:hideMark/>
          </w:tcPr>
          <w:p w14:paraId="619907EB"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Net transfer out to Administered * </w:t>
            </w:r>
          </w:p>
        </w:tc>
        <w:tc>
          <w:tcPr>
            <w:tcW w:w="995" w:type="dxa"/>
            <w:tcBorders>
              <w:top w:val="nil"/>
              <w:left w:val="nil"/>
              <w:bottom w:val="nil"/>
              <w:right w:val="nil"/>
            </w:tcBorders>
            <w:shd w:val="clear" w:color="auto" w:fill="auto"/>
            <w:noWrap/>
            <w:vAlign w:val="bottom"/>
            <w:hideMark/>
          </w:tcPr>
          <w:p w14:paraId="46D1B337" w14:textId="77777777" w:rsidR="00B9311E" w:rsidRPr="00BD77D8" w:rsidRDefault="00B9311E" w:rsidP="00B9311E">
            <w:pPr>
              <w:spacing w:after="0" w:line="240" w:lineRule="auto"/>
              <w:ind w:firstLineChars="100" w:firstLine="181"/>
              <w:rPr>
                <w:b/>
                <w:bCs/>
                <w:sz w:val="18"/>
                <w:szCs w:val="18"/>
              </w:rPr>
            </w:pPr>
          </w:p>
        </w:tc>
        <w:tc>
          <w:tcPr>
            <w:tcW w:w="1148" w:type="dxa"/>
            <w:tcBorders>
              <w:top w:val="nil"/>
              <w:left w:val="nil"/>
              <w:bottom w:val="nil"/>
              <w:right w:val="nil"/>
            </w:tcBorders>
            <w:shd w:val="clear" w:color="auto" w:fill="auto"/>
            <w:vAlign w:val="bottom"/>
            <w:hideMark/>
          </w:tcPr>
          <w:p w14:paraId="75D50D95" w14:textId="77777777" w:rsidR="00B9311E" w:rsidRPr="00BD77D8" w:rsidRDefault="00B9311E" w:rsidP="00B9311E">
            <w:pPr>
              <w:spacing w:after="0" w:line="240" w:lineRule="auto"/>
              <w:jc w:val="right"/>
              <w:rPr>
                <w:sz w:val="18"/>
                <w:szCs w:val="18"/>
              </w:rPr>
            </w:pPr>
            <w:r w:rsidRPr="00BD77D8">
              <w:rPr>
                <w:sz w:val="18"/>
                <w:szCs w:val="18"/>
              </w:rPr>
              <w:t xml:space="preserve">          (1,605)</w:t>
            </w:r>
          </w:p>
        </w:tc>
        <w:tc>
          <w:tcPr>
            <w:tcW w:w="1298" w:type="dxa"/>
            <w:tcBorders>
              <w:top w:val="nil"/>
              <w:left w:val="nil"/>
              <w:bottom w:val="nil"/>
              <w:right w:val="nil"/>
            </w:tcBorders>
            <w:shd w:val="clear" w:color="auto" w:fill="auto"/>
            <w:vAlign w:val="bottom"/>
            <w:hideMark/>
          </w:tcPr>
          <w:p w14:paraId="09770DB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13" w:type="dxa"/>
            <w:tcBorders>
              <w:top w:val="nil"/>
              <w:left w:val="nil"/>
              <w:bottom w:val="nil"/>
              <w:right w:val="nil"/>
            </w:tcBorders>
            <w:shd w:val="clear" w:color="auto" w:fill="auto"/>
            <w:vAlign w:val="bottom"/>
            <w:hideMark/>
          </w:tcPr>
          <w:p w14:paraId="3755A6E8" w14:textId="77777777" w:rsidR="00B9311E" w:rsidRPr="00BD77D8" w:rsidRDefault="00B9311E" w:rsidP="00B9311E">
            <w:pPr>
              <w:spacing w:after="0" w:line="240" w:lineRule="auto"/>
              <w:jc w:val="right"/>
              <w:rPr>
                <w:sz w:val="18"/>
                <w:szCs w:val="18"/>
              </w:rPr>
            </w:pPr>
            <w:r w:rsidRPr="00BD77D8">
              <w:rPr>
                <w:sz w:val="18"/>
                <w:szCs w:val="18"/>
              </w:rPr>
              <w:t xml:space="preserve">      (1,605)</w:t>
            </w:r>
          </w:p>
        </w:tc>
      </w:tr>
      <w:tr w:rsidR="00BD77D8" w:rsidRPr="00BD77D8" w14:paraId="4328333D" w14:textId="77777777" w:rsidTr="003057FB">
        <w:trPr>
          <w:trHeight w:val="285"/>
        </w:trPr>
        <w:tc>
          <w:tcPr>
            <w:tcW w:w="5867" w:type="dxa"/>
            <w:tcBorders>
              <w:top w:val="nil"/>
              <w:left w:val="nil"/>
              <w:bottom w:val="nil"/>
              <w:right w:val="nil"/>
            </w:tcBorders>
            <w:shd w:val="clear" w:color="auto" w:fill="auto"/>
            <w:noWrap/>
            <w:vAlign w:val="bottom"/>
            <w:hideMark/>
          </w:tcPr>
          <w:p w14:paraId="11777747" w14:textId="77777777" w:rsidR="00B9311E" w:rsidRPr="00BD77D8" w:rsidRDefault="00B9311E" w:rsidP="00B9311E">
            <w:pPr>
              <w:spacing w:after="0" w:line="240" w:lineRule="auto"/>
              <w:rPr>
                <w:b/>
                <w:bCs/>
                <w:sz w:val="18"/>
                <w:szCs w:val="18"/>
              </w:rPr>
            </w:pPr>
            <w:r w:rsidRPr="00BD77D8">
              <w:rPr>
                <w:b/>
                <w:bCs/>
                <w:sz w:val="18"/>
                <w:szCs w:val="18"/>
              </w:rPr>
              <w:t xml:space="preserve"> Net Transactions with Owners as Owners </w:t>
            </w:r>
          </w:p>
        </w:tc>
        <w:tc>
          <w:tcPr>
            <w:tcW w:w="995" w:type="dxa"/>
            <w:tcBorders>
              <w:top w:val="nil"/>
              <w:left w:val="nil"/>
              <w:bottom w:val="nil"/>
              <w:right w:val="nil"/>
            </w:tcBorders>
            <w:shd w:val="clear" w:color="auto" w:fill="auto"/>
            <w:noWrap/>
            <w:vAlign w:val="bottom"/>
            <w:hideMark/>
          </w:tcPr>
          <w:p w14:paraId="2F279903"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1D25E71A" w14:textId="77777777" w:rsidR="00B9311E" w:rsidRPr="00BD77D8" w:rsidRDefault="00B9311E" w:rsidP="00B9311E">
            <w:pPr>
              <w:spacing w:after="0" w:line="240" w:lineRule="auto"/>
              <w:jc w:val="right"/>
              <w:rPr>
                <w:b/>
                <w:bCs/>
                <w:sz w:val="18"/>
                <w:szCs w:val="18"/>
              </w:rPr>
            </w:pPr>
            <w:r w:rsidRPr="00BD77D8">
              <w:rPr>
                <w:b/>
                <w:bCs/>
                <w:sz w:val="18"/>
                <w:szCs w:val="18"/>
              </w:rPr>
              <w:t xml:space="preserve">               892 </w:t>
            </w:r>
          </w:p>
        </w:tc>
        <w:tc>
          <w:tcPr>
            <w:tcW w:w="1298" w:type="dxa"/>
            <w:tcBorders>
              <w:top w:val="single" w:sz="4" w:space="0" w:color="auto"/>
              <w:left w:val="nil"/>
              <w:bottom w:val="single" w:sz="4" w:space="0" w:color="auto"/>
              <w:right w:val="nil"/>
            </w:tcBorders>
            <w:shd w:val="clear" w:color="auto" w:fill="auto"/>
            <w:vAlign w:val="bottom"/>
            <w:hideMark/>
          </w:tcPr>
          <w:p w14:paraId="521F9035"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013" w:type="dxa"/>
            <w:tcBorders>
              <w:top w:val="single" w:sz="4" w:space="0" w:color="auto"/>
              <w:left w:val="nil"/>
              <w:bottom w:val="single" w:sz="4" w:space="0" w:color="auto"/>
              <w:right w:val="nil"/>
            </w:tcBorders>
            <w:shd w:val="clear" w:color="auto" w:fill="auto"/>
            <w:vAlign w:val="bottom"/>
            <w:hideMark/>
          </w:tcPr>
          <w:p w14:paraId="1FEC3133" w14:textId="77777777" w:rsidR="00B9311E" w:rsidRPr="00BD77D8" w:rsidRDefault="00B9311E" w:rsidP="00B9311E">
            <w:pPr>
              <w:spacing w:after="0" w:line="240" w:lineRule="auto"/>
              <w:jc w:val="right"/>
              <w:rPr>
                <w:b/>
                <w:bCs/>
                <w:sz w:val="18"/>
                <w:szCs w:val="18"/>
              </w:rPr>
            </w:pPr>
            <w:r w:rsidRPr="00BD77D8">
              <w:rPr>
                <w:b/>
                <w:bCs/>
                <w:sz w:val="18"/>
                <w:szCs w:val="18"/>
              </w:rPr>
              <w:t xml:space="preserve">           892 </w:t>
            </w:r>
          </w:p>
        </w:tc>
      </w:tr>
      <w:tr w:rsidR="00BD77D8" w:rsidRPr="00BD77D8" w14:paraId="3B076E5C" w14:textId="77777777" w:rsidTr="003057FB">
        <w:trPr>
          <w:trHeight w:val="300"/>
        </w:trPr>
        <w:tc>
          <w:tcPr>
            <w:tcW w:w="5867" w:type="dxa"/>
            <w:tcBorders>
              <w:top w:val="nil"/>
              <w:left w:val="nil"/>
              <w:bottom w:val="nil"/>
              <w:right w:val="nil"/>
            </w:tcBorders>
            <w:shd w:val="clear" w:color="auto" w:fill="auto"/>
            <w:noWrap/>
            <w:vAlign w:val="bottom"/>
            <w:hideMark/>
          </w:tcPr>
          <w:p w14:paraId="78429076" w14:textId="77777777" w:rsidR="00B9311E" w:rsidRPr="00BD77D8" w:rsidRDefault="00B9311E" w:rsidP="00B9311E">
            <w:pPr>
              <w:spacing w:after="0" w:line="240" w:lineRule="auto"/>
              <w:rPr>
                <w:b/>
                <w:bCs/>
                <w:sz w:val="18"/>
                <w:szCs w:val="18"/>
              </w:rPr>
            </w:pPr>
            <w:r w:rsidRPr="00BD77D8">
              <w:rPr>
                <w:b/>
                <w:bCs/>
                <w:sz w:val="18"/>
                <w:szCs w:val="18"/>
              </w:rPr>
              <w:t xml:space="preserve"> Balance as at 30 June 2022 </w:t>
            </w:r>
          </w:p>
        </w:tc>
        <w:tc>
          <w:tcPr>
            <w:tcW w:w="995" w:type="dxa"/>
            <w:tcBorders>
              <w:top w:val="nil"/>
              <w:left w:val="nil"/>
              <w:bottom w:val="nil"/>
              <w:right w:val="nil"/>
            </w:tcBorders>
            <w:shd w:val="clear" w:color="auto" w:fill="auto"/>
            <w:noWrap/>
            <w:vAlign w:val="bottom"/>
            <w:hideMark/>
          </w:tcPr>
          <w:p w14:paraId="2CACEEE3" w14:textId="77777777" w:rsidR="00B9311E" w:rsidRPr="00BD77D8" w:rsidRDefault="00B9311E" w:rsidP="00B9311E">
            <w:pPr>
              <w:spacing w:after="0" w:line="240" w:lineRule="auto"/>
              <w:rPr>
                <w:b/>
                <w:bCs/>
                <w:sz w:val="18"/>
                <w:szCs w:val="18"/>
              </w:rPr>
            </w:pPr>
          </w:p>
        </w:tc>
        <w:tc>
          <w:tcPr>
            <w:tcW w:w="1148" w:type="dxa"/>
            <w:tcBorders>
              <w:top w:val="single" w:sz="4" w:space="0" w:color="auto"/>
              <w:left w:val="nil"/>
              <w:bottom w:val="single" w:sz="4" w:space="0" w:color="auto"/>
              <w:right w:val="nil"/>
            </w:tcBorders>
            <w:shd w:val="clear" w:color="auto" w:fill="auto"/>
            <w:vAlign w:val="bottom"/>
            <w:hideMark/>
          </w:tcPr>
          <w:p w14:paraId="01554339" w14:textId="77777777" w:rsidR="00B9311E" w:rsidRPr="00BD77D8" w:rsidRDefault="00B9311E" w:rsidP="00B9311E">
            <w:pPr>
              <w:spacing w:after="0" w:line="240" w:lineRule="auto"/>
              <w:jc w:val="right"/>
              <w:rPr>
                <w:b/>
                <w:bCs/>
                <w:sz w:val="18"/>
                <w:szCs w:val="18"/>
              </w:rPr>
            </w:pPr>
            <w:r w:rsidRPr="00BD77D8">
              <w:rPr>
                <w:b/>
                <w:bCs/>
                <w:sz w:val="18"/>
                <w:szCs w:val="18"/>
              </w:rPr>
              <w:t xml:space="preserve">       174,972 </w:t>
            </w:r>
          </w:p>
        </w:tc>
        <w:tc>
          <w:tcPr>
            <w:tcW w:w="1298" w:type="dxa"/>
            <w:tcBorders>
              <w:top w:val="single" w:sz="4" w:space="0" w:color="auto"/>
              <w:left w:val="nil"/>
              <w:bottom w:val="single" w:sz="4" w:space="0" w:color="auto"/>
              <w:right w:val="nil"/>
            </w:tcBorders>
            <w:shd w:val="clear" w:color="auto" w:fill="auto"/>
            <w:vAlign w:val="bottom"/>
            <w:hideMark/>
          </w:tcPr>
          <w:p w14:paraId="3F00A37F" w14:textId="77777777" w:rsidR="00B9311E" w:rsidRPr="00BD77D8" w:rsidRDefault="00B9311E" w:rsidP="00B9311E">
            <w:pPr>
              <w:spacing w:after="0" w:line="240" w:lineRule="auto"/>
              <w:jc w:val="right"/>
              <w:rPr>
                <w:b/>
                <w:bCs/>
                <w:sz w:val="18"/>
                <w:szCs w:val="18"/>
              </w:rPr>
            </w:pPr>
            <w:r w:rsidRPr="00BD77D8">
              <w:rPr>
                <w:b/>
                <w:bCs/>
                <w:sz w:val="18"/>
                <w:szCs w:val="18"/>
              </w:rPr>
              <w:t xml:space="preserve">             54,211 </w:t>
            </w:r>
          </w:p>
        </w:tc>
        <w:tc>
          <w:tcPr>
            <w:tcW w:w="1013" w:type="dxa"/>
            <w:tcBorders>
              <w:top w:val="single" w:sz="4" w:space="0" w:color="auto"/>
              <w:left w:val="nil"/>
              <w:bottom w:val="single" w:sz="4" w:space="0" w:color="auto"/>
              <w:right w:val="nil"/>
            </w:tcBorders>
            <w:shd w:val="clear" w:color="auto" w:fill="auto"/>
            <w:vAlign w:val="bottom"/>
            <w:hideMark/>
          </w:tcPr>
          <w:p w14:paraId="168D050D" w14:textId="77777777" w:rsidR="00B9311E" w:rsidRPr="00BD77D8" w:rsidRDefault="00B9311E" w:rsidP="00B9311E">
            <w:pPr>
              <w:spacing w:after="0" w:line="240" w:lineRule="auto"/>
              <w:jc w:val="right"/>
              <w:rPr>
                <w:b/>
                <w:bCs/>
                <w:sz w:val="18"/>
                <w:szCs w:val="18"/>
              </w:rPr>
            </w:pPr>
            <w:r w:rsidRPr="00BD77D8">
              <w:rPr>
                <w:b/>
                <w:bCs/>
                <w:sz w:val="18"/>
                <w:szCs w:val="18"/>
              </w:rPr>
              <w:t xml:space="preserve">   229,183 </w:t>
            </w:r>
          </w:p>
        </w:tc>
      </w:tr>
    </w:tbl>
    <w:p w14:paraId="4B49FBD1" w14:textId="77777777" w:rsidR="00B9311E" w:rsidRPr="00BD77D8" w:rsidRDefault="00B9311E" w:rsidP="00587E62">
      <w:pPr>
        <w:spacing w:before="240" w:after="240" w:line="205" w:lineRule="exact"/>
        <w:textAlignment w:val="baseline"/>
        <w:rPr>
          <w:rFonts w:eastAsia="Arial"/>
          <w:b/>
          <w:bCs/>
          <w:iCs/>
          <w:spacing w:val="-3"/>
          <w:sz w:val="16"/>
          <w:szCs w:val="16"/>
          <w:lang w:eastAsia="en-US"/>
        </w:rPr>
      </w:pPr>
      <w:r w:rsidRPr="00BD77D8">
        <w:rPr>
          <w:rFonts w:eastAsia="Arial"/>
          <w:iCs/>
          <w:spacing w:val="-3"/>
          <w:sz w:val="16"/>
          <w:szCs w:val="16"/>
          <w:lang w:eastAsia="en-US"/>
        </w:rPr>
        <w:t>^ Final transfer of assets to the Department of Communities, Housing and Digital Economy. Refer to note A4 Machinery-of-Government (</w:t>
      </w:r>
      <w:proofErr w:type="spellStart"/>
      <w:r w:rsidRPr="00BD77D8">
        <w:rPr>
          <w:rFonts w:eastAsia="Arial"/>
          <w:iCs/>
          <w:spacing w:val="-3"/>
          <w:sz w:val="16"/>
          <w:szCs w:val="16"/>
          <w:lang w:eastAsia="en-US"/>
        </w:rPr>
        <w:t>MoG</w:t>
      </w:r>
      <w:proofErr w:type="spellEnd"/>
      <w:r w:rsidRPr="00BD77D8">
        <w:rPr>
          <w:rFonts w:eastAsia="Arial"/>
          <w:iCs/>
          <w:spacing w:val="-3"/>
          <w:sz w:val="16"/>
          <w:szCs w:val="16"/>
          <w:lang w:eastAsia="en-US"/>
        </w:rPr>
        <w:t>) Changes.</w:t>
      </w:r>
    </w:p>
    <w:p w14:paraId="0C1EDECC" w14:textId="77777777" w:rsidR="00B9311E" w:rsidRPr="00BD77D8" w:rsidRDefault="00B9311E" w:rsidP="00B9311E">
      <w:pPr>
        <w:spacing w:after="0" w:line="205" w:lineRule="exact"/>
        <w:textAlignment w:val="baseline"/>
        <w:rPr>
          <w:rFonts w:eastAsia="Arial"/>
          <w:b/>
          <w:bCs/>
          <w:iCs/>
          <w:spacing w:val="-3"/>
          <w:sz w:val="16"/>
          <w:szCs w:val="16"/>
          <w:lang w:eastAsia="en-US"/>
        </w:rPr>
      </w:pPr>
      <w:r w:rsidRPr="00BD77D8">
        <w:rPr>
          <w:rFonts w:eastAsia="Arial"/>
          <w:iCs/>
          <w:spacing w:val="-3"/>
          <w:sz w:val="16"/>
          <w:szCs w:val="16"/>
          <w:lang w:eastAsia="en-US"/>
        </w:rPr>
        <w:t xml:space="preserve">*On 6 September 2021, the Minister approved the transfer of </w:t>
      </w:r>
      <w:proofErr w:type="spellStart"/>
      <w:r w:rsidRPr="00BD77D8">
        <w:rPr>
          <w:rFonts w:eastAsia="Arial"/>
          <w:iCs/>
          <w:spacing w:val="-3"/>
          <w:sz w:val="16"/>
          <w:szCs w:val="16"/>
          <w:lang w:eastAsia="en-US"/>
        </w:rPr>
        <w:t>Olandi</w:t>
      </w:r>
      <w:proofErr w:type="spellEnd"/>
      <w:r w:rsidRPr="00BD77D8">
        <w:rPr>
          <w:rFonts w:eastAsia="Arial"/>
          <w:iCs/>
          <w:spacing w:val="-3"/>
          <w:sz w:val="16"/>
          <w:szCs w:val="16"/>
          <w:lang w:eastAsia="en-US"/>
        </w:rPr>
        <w:t xml:space="preserve"> Hall (land net book value of $0.495 million and building net book value of $1.109 million) </w:t>
      </w:r>
      <w:r w:rsidRPr="00BD77D8">
        <w:rPr>
          <w:rFonts w:eastAsia="PMingLiU"/>
          <w:sz w:val="16"/>
          <w:szCs w:val="20"/>
          <w:lang w:eastAsia="en-US"/>
        </w:rPr>
        <w:t>to the Torres Shire Council for nil consideration. The transfer of this asset to Council Trusteeship is consistent with Queensland Government policy. The land title transferred on 1 October 2021. As per Section 4F.5 of the Treasury Financial Reporting Requirements for Government Agencies 2021-2022, the transaction has been recognised as a reduction in Controlled Equity and recognition of the asset transfer as an Administered Grant.</w:t>
      </w:r>
    </w:p>
    <w:p w14:paraId="3DF7EF53" w14:textId="77777777" w:rsidR="00B9311E" w:rsidRPr="00BD77D8" w:rsidRDefault="00B9311E" w:rsidP="009B462F">
      <w:pPr>
        <w:spacing w:before="3360" w:after="0" w:line="205" w:lineRule="exact"/>
        <w:textAlignment w:val="baseline"/>
        <w:rPr>
          <w:rFonts w:eastAsia="Arial"/>
          <w:b/>
          <w:bCs/>
          <w:iCs/>
          <w:spacing w:val="-3"/>
          <w:sz w:val="16"/>
          <w:szCs w:val="16"/>
          <w:lang w:eastAsia="en-US"/>
        </w:rPr>
      </w:pPr>
      <w:r w:rsidRPr="00BD77D8">
        <w:rPr>
          <w:rFonts w:eastAsia="Arial"/>
          <w:iCs/>
          <w:spacing w:val="-3"/>
          <w:sz w:val="16"/>
          <w:szCs w:val="16"/>
          <w:lang w:eastAsia="en-US"/>
        </w:rPr>
        <w:t>The accompanying notes form part of these financial statements.</w:t>
      </w:r>
    </w:p>
    <w:p w14:paraId="6BA51EB6" w14:textId="7F2BB658" w:rsidR="00702AE3" w:rsidRPr="00BD77D8" w:rsidRDefault="00702AE3" w:rsidP="009B462F">
      <w:pPr>
        <w:spacing w:before="840" w:after="0" w:line="240" w:lineRule="auto"/>
        <w:rPr>
          <w:rFonts w:eastAsia="PMingLiU"/>
          <w:sz w:val="18"/>
          <w:szCs w:val="18"/>
          <w:lang w:eastAsia="en-US"/>
        </w:rPr>
        <w:sectPr w:rsidR="00702AE3" w:rsidRPr="00BD77D8" w:rsidSect="00A124D8">
          <w:pgSz w:w="11909" w:h="16838"/>
          <w:pgMar w:top="794" w:right="794" w:bottom="794" w:left="794" w:header="720" w:footer="720" w:gutter="0"/>
          <w:cols w:space="720"/>
          <w:docGrid w:linePitch="245"/>
        </w:sectPr>
      </w:pP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t>Page 8 of 45</w:t>
      </w:r>
    </w:p>
    <w:p w14:paraId="38982AF9" w14:textId="77777777" w:rsidR="00B9311E" w:rsidRPr="00BD77D8" w:rsidRDefault="00B9311E" w:rsidP="00B9311E">
      <w:pPr>
        <w:spacing w:after="0" w:line="200"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0B559DD" w14:textId="77777777" w:rsidR="00B9311E" w:rsidRPr="00BD77D8" w:rsidRDefault="00B9311E" w:rsidP="00F70507">
      <w:pPr>
        <w:spacing w:after="0" w:line="200" w:lineRule="exact"/>
        <w:textAlignment w:val="baseline"/>
        <w:rPr>
          <w:rFonts w:eastAsia="Arial"/>
          <w:b/>
          <w:bCs/>
          <w:sz w:val="18"/>
          <w:szCs w:val="18"/>
          <w:lang w:eastAsia="en-US"/>
        </w:rPr>
      </w:pPr>
      <w:bookmarkStart w:id="386" w:name="_Toc111494797"/>
      <w:bookmarkStart w:id="387" w:name="_Toc111540669"/>
      <w:bookmarkStart w:id="388" w:name="_Toc111559232"/>
      <w:bookmarkStart w:id="389" w:name="_Toc113196504"/>
      <w:bookmarkStart w:id="390" w:name="_Toc113196852"/>
      <w:bookmarkStart w:id="391" w:name="_Toc113261982"/>
      <w:r w:rsidRPr="00BD77D8">
        <w:rPr>
          <w:rFonts w:eastAsia="Arial"/>
          <w:b/>
          <w:bCs/>
          <w:sz w:val="18"/>
          <w:szCs w:val="18"/>
          <w:lang w:eastAsia="en-US"/>
        </w:rPr>
        <w:t>Statement of Cash Flows - Controlled</w:t>
      </w:r>
      <w:bookmarkEnd w:id="386"/>
      <w:bookmarkEnd w:id="387"/>
      <w:bookmarkEnd w:id="388"/>
      <w:bookmarkEnd w:id="389"/>
      <w:bookmarkEnd w:id="390"/>
      <w:bookmarkEnd w:id="391"/>
    </w:p>
    <w:p w14:paraId="08455119"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644EF71" w14:textId="77777777" w:rsidR="00B9311E" w:rsidRPr="00BD77D8" w:rsidRDefault="00B9311E" w:rsidP="00B9311E">
      <w:pPr>
        <w:pBdr>
          <w:bottom w:val="single" w:sz="4" w:space="1" w:color="auto"/>
        </w:pBdr>
        <w:spacing w:after="0" w:line="205" w:lineRule="exact"/>
        <w:textAlignment w:val="baseline"/>
        <w:rPr>
          <w:rFonts w:eastAsia="PMingLiU"/>
          <w:sz w:val="18"/>
          <w:szCs w:val="18"/>
          <w:lang w:eastAsia="en-US"/>
        </w:rPr>
      </w:pPr>
    </w:p>
    <w:p w14:paraId="7DA2A733" w14:textId="77777777" w:rsidR="00B9311E" w:rsidRPr="00BD77D8" w:rsidRDefault="00B9311E" w:rsidP="00B9311E">
      <w:pPr>
        <w:tabs>
          <w:tab w:val="left" w:pos="360"/>
        </w:tabs>
        <w:spacing w:after="0" w:line="191" w:lineRule="exact"/>
        <w:textAlignment w:val="baseline"/>
        <w:rPr>
          <w:rFonts w:eastAsia="PMingLiU"/>
          <w:sz w:val="18"/>
          <w:szCs w:val="22"/>
          <w:lang w:val="en-US" w:eastAsia="en-US"/>
        </w:rPr>
      </w:pPr>
    </w:p>
    <w:tbl>
      <w:tblPr>
        <w:tblW w:w="10308" w:type="dxa"/>
        <w:tblCellMar>
          <w:left w:w="0" w:type="dxa"/>
          <w:right w:w="0" w:type="dxa"/>
        </w:tblCellMar>
        <w:tblLook w:val="04A0" w:firstRow="1" w:lastRow="0" w:firstColumn="1" w:lastColumn="0" w:noHBand="0" w:noVBand="1"/>
      </w:tblPr>
      <w:tblGrid>
        <w:gridCol w:w="4427"/>
        <w:gridCol w:w="1066"/>
        <w:gridCol w:w="1106"/>
        <w:gridCol w:w="1312"/>
        <w:gridCol w:w="1360"/>
        <w:gridCol w:w="1037"/>
      </w:tblGrid>
      <w:tr w:rsidR="00BD77D8" w:rsidRPr="00BD77D8" w14:paraId="494DFF4B" w14:textId="77777777" w:rsidTr="003057FB">
        <w:trPr>
          <w:trHeight w:val="493"/>
        </w:trPr>
        <w:tc>
          <w:tcPr>
            <w:tcW w:w="0" w:type="auto"/>
            <w:tcBorders>
              <w:top w:val="nil"/>
              <w:left w:val="nil"/>
              <w:bottom w:val="nil"/>
              <w:right w:val="nil"/>
            </w:tcBorders>
            <w:shd w:val="clear" w:color="auto" w:fill="auto"/>
            <w:noWrap/>
            <w:vAlign w:val="bottom"/>
            <w:hideMark/>
          </w:tcPr>
          <w:p w14:paraId="63F557F8" w14:textId="77777777" w:rsidR="00B9311E" w:rsidRPr="00BD77D8" w:rsidRDefault="00B9311E" w:rsidP="00B9311E">
            <w:pPr>
              <w:spacing w:after="0" w:line="240" w:lineRule="auto"/>
              <w:rPr>
                <w:rFonts w:ascii="Times New Roman" w:hAnsi="Times New Roman" w:cs="Times New Roman"/>
                <w:sz w:val="24"/>
                <w:szCs w:val="24"/>
              </w:rPr>
            </w:pPr>
          </w:p>
        </w:tc>
        <w:tc>
          <w:tcPr>
            <w:tcW w:w="1050" w:type="dxa"/>
            <w:tcBorders>
              <w:top w:val="nil"/>
              <w:left w:val="nil"/>
              <w:bottom w:val="nil"/>
              <w:right w:val="nil"/>
            </w:tcBorders>
            <w:shd w:val="clear" w:color="auto" w:fill="auto"/>
            <w:noWrap/>
            <w:vAlign w:val="bottom"/>
            <w:hideMark/>
          </w:tcPr>
          <w:p w14:paraId="563CBC74" w14:textId="77777777" w:rsidR="00B9311E" w:rsidRPr="00BD77D8" w:rsidRDefault="00B9311E" w:rsidP="00B9311E">
            <w:pPr>
              <w:spacing w:after="0" w:line="240" w:lineRule="auto"/>
              <w:rPr>
                <w:rFonts w:ascii="Times New Roman" w:hAnsi="Times New Roman" w:cs="Times New Roman"/>
                <w:b/>
                <w:bCs/>
                <w:sz w:val="20"/>
                <w:szCs w:val="20"/>
              </w:rPr>
            </w:pPr>
          </w:p>
        </w:tc>
        <w:tc>
          <w:tcPr>
            <w:tcW w:w="1090" w:type="dxa"/>
            <w:tcBorders>
              <w:top w:val="nil"/>
              <w:left w:val="nil"/>
              <w:bottom w:val="nil"/>
              <w:right w:val="nil"/>
            </w:tcBorders>
            <w:shd w:val="clear" w:color="auto" w:fill="auto"/>
            <w:noWrap/>
            <w:vAlign w:val="bottom"/>
            <w:hideMark/>
          </w:tcPr>
          <w:p w14:paraId="7316958A" w14:textId="77777777" w:rsidR="00B9311E" w:rsidRPr="00BD77D8" w:rsidRDefault="00B9311E" w:rsidP="00B9311E">
            <w:pPr>
              <w:spacing w:after="0" w:line="240" w:lineRule="auto"/>
              <w:jc w:val="right"/>
              <w:rPr>
                <w:b/>
                <w:bCs/>
                <w:sz w:val="18"/>
                <w:szCs w:val="18"/>
              </w:rPr>
            </w:pPr>
            <w:r w:rsidRPr="00BD77D8">
              <w:rPr>
                <w:b/>
                <w:bCs/>
                <w:sz w:val="18"/>
                <w:szCs w:val="18"/>
              </w:rPr>
              <w:t>Actual</w:t>
            </w:r>
          </w:p>
        </w:tc>
        <w:tc>
          <w:tcPr>
            <w:tcW w:w="1296" w:type="dxa"/>
            <w:tcBorders>
              <w:top w:val="nil"/>
              <w:left w:val="nil"/>
              <w:bottom w:val="nil"/>
              <w:right w:val="nil"/>
            </w:tcBorders>
            <w:shd w:val="clear" w:color="auto" w:fill="auto"/>
            <w:vAlign w:val="bottom"/>
            <w:hideMark/>
          </w:tcPr>
          <w:p w14:paraId="4473C273" w14:textId="77777777" w:rsidR="00B9311E" w:rsidRPr="00BD77D8" w:rsidRDefault="00B9311E" w:rsidP="00B9311E">
            <w:pPr>
              <w:spacing w:after="0" w:line="240" w:lineRule="auto"/>
              <w:jc w:val="right"/>
              <w:rPr>
                <w:b/>
                <w:bCs/>
                <w:sz w:val="18"/>
                <w:szCs w:val="18"/>
              </w:rPr>
            </w:pPr>
            <w:r w:rsidRPr="00BD77D8">
              <w:rPr>
                <w:b/>
                <w:bCs/>
                <w:sz w:val="18"/>
                <w:szCs w:val="18"/>
              </w:rPr>
              <w:t>Original Budget^</w:t>
            </w:r>
          </w:p>
        </w:tc>
        <w:tc>
          <w:tcPr>
            <w:tcW w:w="1344" w:type="dxa"/>
            <w:tcBorders>
              <w:top w:val="nil"/>
              <w:left w:val="nil"/>
              <w:bottom w:val="nil"/>
              <w:right w:val="nil"/>
            </w:tcBorders>
            <w:shd w:val="clear" w:color="auto" w:fill="auto"/>
            <w:vAlign w:val="bottom"/>
            <w:hideMark/>
          </w:tcPr>
          <w:p w14:paraId="27F77E3C" w14:textId="77777777" w:rsidR="00B9311E" w:rsidRPr="00BD77D8" w:rsidRDefault="00B9311E" w:rsidP="00B9311E">
            <w:pPr>
              <w:spacing w:after="0" w:line="240" w:lineRule="auto"/>
              <w:jc w:val="right"/>
              <w:rPr>
                <w:b/>
                <w:bCs/>
                <w:sz w:val="18"/>
                <w:szCs w:val="18"/>
              </w:rPr>
            </w:pPr>
            <w:r w:rsidRPr="00BD77D8">
              <w:rPr>
                <w:b/>
                <w:bCs/>
                <w:sz w:val="18"/>
                <w:szCs w:val="18"/>
              </w:rPr>
              <w:t>Budget Variance*</w:t>
            </w:r>
          </w:p>
        </w:tc>
        <w:tc>
          <w:tcPr>
            <w:tcW w:w="0" w:type="auto"/>
            <w:tcBorders>
              <w:top w:val="nil"/>
              <w:left w:val="nil"/>
              <w:bottom w:val="nil"/>
              <w:right w:val="nil"/>
            </w:tcBorders>
            <w:shd w:val="clear" w:color="auto" w:fill="auto"/>
            <w:noWrap/>
            <w:vAlign w:val="bottom"/>
            <w:hideMark/>
          </w:tcPr>
          <w:p w14:paraId="5CB29013" w14:textId="77777777" w:rsidR="00B9311E" w:rsidRPr="00BD77D8" w:rsidRDefault="00B9311E" w:rsidP="00B9311E">
            <w:pPr>
              <w:spacing w:after="0" w:line="240" w:lineRule="auto"/>
              <w:jc w:val="right"/>
              <w:rPr>
                <w:b/>
                <w:bCs/>
                <w:sz w:val="18"/>
                <w:szCs w:val="18"/>
              </w:rPr>
            </w:pPr>
            <w:r w:rsidRPr="00BD77D8">
              <w:rPr>
                <w:b/>
                <w:bCs/>
                <w:sz w:val="18"/>
                <w:szCs w:val="18"/>
              </w:rPr>
              <w:t>Actual</w:t>
            </w:r>
          </w:p>
        </w:tc>
      </w:tr>
      <w:tr w:rsidR="00BD77D8" w:rsidRPr="00BD77D8" w14:paraId="46F696EF" w14:textId="77777777" w:rsidTr="003057FB">
        <w:trPr>
          <w:trHeight w:val="246"/>
        </w:trPr>
        <w:tc>
          <w:tcPr>
            <w:tcW w:w="0" w:type="auto"/>
            <w:tcBorders>
              <w:top w:val="nil"/>
              <w:left w:val="nil"/>
              <w:bottom w:val="nil"/>
              <w:right w:val="nil"/>
            </w:tcBorders>
            <w:shd w:val="clear" w:color="auto" w:fill="auto"/>
            <w:noWrap/>
            <w:vAlign w:val="bottom"/>
            <w:hideMark/>
          </w:tcPr>
          <w:p w14:paraId="5047CAA5" w14:textId="77777777" w:rsidR="00B9311E" w:rsidRPr="00BD77D8" w:rsidRDefault="00B9311E" w:rsidP="00B9311E">
            <w:pPr>
              <w:spacing w:after="0" w:line="240" w:lineRule="auto"/>
              <w:jc w:val="right"/>
              <w:rPr>
                <w:sz w:val="18"/>
                <w:szCs w:val="18"/>
              </w:rPr>
            </w:pPr>
          </w:p>
        </w:tc>
        <w:tc>
          <w:tcPr>
            <w:tcW w:w="1050" w:type="dxa"/>
            <w:tcBorders>
              <w:top w:val="nil"/>
              <w:left w:val="nil"/>
              <w:bottom w:val="nil"/>
              <w:right w:val="nil"/>
            </w:tcBorders>
            <w:shd w:val="clear" w:color="auto" w:fill="auto"/>
            <w:noWrap/>
            <w:vAlign w:val="bottom"/>
            <w:hideMark/>
          </w:tcPr>
          <w:p w14:paraId="6D35F315"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090" w:type="dxa"/>
            <w:tcBorders>
              <w:top w:val="nil"/>
              <w:left w:val="nil"/>
              <w:bottom w:val="nil"/>
              <w:right w:val="nil"/>
            </w:tcBorders>
            <w:shd w:val="clear" w:color="auto" w:fill="auto"/>
            <w:vAlign w:val="bottom"/>
            <w:hideMark/>
          </w:tcPr>
          <w:p w14:paraId="49BB4FFC"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1296" w:type="dxa"/>
            <w:tcBorders>
              <w:top w:val="nil"/>
              <w:left w:val="nil"/>
              <w:bottom w:val="nil"/>
              <w:right w:val="nil"/>
            </w:tcBorders>
            <w:shd w:val="clear" w:color="auto" w:fill="auto"/>
            <w:vAlign w:val="bottom"/>
            <w:hideMark/>
          </w:tcPr>
          <w:p w14:paraId="31F84AFE"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1344" w:type="dxa"/>
            <w:tcBorders>
              <w:top w:val="nil"/>
              <w:left w:val="nil"/>
              <w:bottom w:val="nil"/>
              <w:right w:val="nil"/>
            </w:tcBorders>
            <w:shd w:val="clear" w:color="auto" w:fill="auto"/>
            <w:vAlign w:val="bottom"/>
            <w:hideMark/>
          </w:tcPr>
          <w:p w14:paraId="1D61C0F3"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0" w:type="auto"/>
            <w:tcBorders>
              <w:top w:val="nil"/>
              <w:left w:val="nil"/>
              <w:bottom w:val="nil"/>
              <w:right w:val="nil"/>
            </w:tcBorders>
            <w:shd w:val="clear" w:color="auto" w:fill="auto"/>
            <w:vAlign w:val="bottom"/>
            <w:hideMark/>
          </w:tcPr>
          <w:p w14:paraId="4A33F97A"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1662E2BE" w14:textId="77777777" w:rsidTr="003057FB">
        <w:trPr>
          <w:trHeight w:val="246"/>
        </w:trPr>
        <w:tc>
          <w:tcPr>
            <w:tcW w:w="0" w:type="auto"/>
            <w:tcBorders>
              <w:top w:val="nil"/>
              <w:left w:val="nil"/>
              <w:bottom w:val="single" w:sz="4" w:space="0" w:color="auto"/>
              <w:right w:val="nil"/>
            </w:tcBorders>
            <w:shd w:val="clear" w:color="auto" w:fill="auto"/>
            <w:noWrap/>
            <w:vAlign w:val="bottom"/>
            <w:hideMark/>
          </w:tcPr>
          <w:p w14:paraId="7D0931F3" w14:textId="77777777" w:rsidR="00B9311E" w:rsidRPr="00BD77D8" w:rsidRDefault="00B9311E" w:rsidP="00B9311E">
            <w:pPr>
              <w:spacing w:after="0" w:line="240" w:lineRule="auto"/>
              <w:rPr>
                <w:sz w:val="18"/>
                <w:szCs w:val="18"/>
              </w:rPr>
            </w:pPr>
            <w:r w:rsidRPr="00BD77D8">
              <w:rPr>
                <w:sz w:val="18"/>
                <w:szCs w:val="18"/>
              </w:rPr>
              <w:t> </w:t>
            </w:r>
          </w:p>
        </w:tc>
        <w:tc>
          <w:tcPr>
            <w:tcW w:w="1050" w:type="dxa"/>
            <w:tcBorders>
              <w:top w:val="nil"/>
              <w:left w:val="nil"/>
              <w:bottom w:val="single" w:sz="4" w:space="0" w:color="auto"/>
              <w:right w:val="nil"/>
            </w:tcBorders>
            <w:shd w:val="clear" w:color="auto" w:fill="auto"/>
            <w:noWrap/>
            <w:vAlign w:val="bottom"/>
            <w:hideMark/>
          </w:tcPr>
          <w:p w14:paraId="64CE4364"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1090" w:type="dxa"/>
            <w:tcBorders>
              <w:top w:val="nil"/>
              <w:left w:val="nil"/>
              <w:bottom w:val="single" w:sz="4" w:space="0" w:color="auto"/>
              <w:right w:val="nil"/>
            </w:tcBorders>
            <w:shd w:val="clear" w:color="auto" w:fill="auto"/>
            <w:noWrap/>
            <w:vAlign w:val="bottom"/>
            <w:hideMark/>
          </w:tcPr>
          <w:p w14:paraId="57FC46F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96" w:type="dxa"/>
            <w:tcBorders>
              <w:top w:val="nil"/>
              <w:left w:val="nil"/>
              <w:bottom w:val="single" w:sz="4" w:space="0" w:color="auto"/>
              <w:right w:val="nil"/>
            </w:tcBorders>
            <w:shd w:val="clear" w:color="auto" w:fill="auto"/>
            <w:vAlign w:val="bottom"/>
            <w:hideMark/>
          </w:tcPr>
          <w:p w14:paraId="043A6FC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44" w:type="dxa"/>
            <w:tcBorders>
              <w:top w:val="nil"/>
              <w:left w:val="nil"/>
              <w:bottom w:val="single" w:sz="4" w:space="0" w:color="auto"/>
              <w:right w:val="nil"/>
            </w:tcBorders>
            <w:shd w:val="clear" w:color="auto" w:fill="auto"/>
            <w:vAlign w:val="bottom"/>
            <w:hideMark/>
          </w:tcPr>
          <w:p w14:paraId="50E00D0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bottom"/>
            <w:hideMark/>
          </w:tcPr>
          <w:p w14:paraId="3E607B3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7F1620C7" w14:textId="77777777" w:rsidTr="003057FB">
        <w:trPr>
          <w:trHeight w:val="262"/>
        </w:trPr>
        <w:tc>
          <w:tcPr>
            <w:tcW w:w="0" w:type="auto"/>
            <w:tcBorders>
              <w:top w:val="nil"/>
              <w:left w:val="nil"/>
              <w:bottom w:val="nil"/>
              <w:right w:val="nil"/>
            </w:tcBorders>
            <w:shd w:val="clear" w:color="auto" w:fill="auto"/>
            <w:noWrap/>
            <w:vAlign w:val="bottom"/>
            <w:hideMark/>
          </w:tcPr>
          <w:p w14:paraId="6AA141A0" w14:textId="77777777" w:rsidR="00B9311E" w:rsidRPr="00BD77D8" w:rsidRDefault="00B9311E" w:rsidP="00B9311E">
            <w:pPr>
              <w:spacing w:after="0" w:line="240" w:lineRule="auto"/>
              <w:rPr>
                <w:b/>
                <w:bCs/>
                <w:sz w:val="18"/>
                <w:szCs w:val="18"/>
              </w:rPr>
            </w:pPr>
            <w:r w:rsidRPr="00BD77D8">
              <w:rPr>
                <w:b/>
                <w:bCs/>
                <w:sz w:val="18"/>
                <w:szCs w:val="18"/>
              </w:rPr>
              <w:t xml:space="preserve"> Cash Flows from Operating Activities  </w:t>
            </w:r>
          </w:p>
        </w:tc>
        <w:tc>
          <w:tcPr>
            <w:tcW w:w="1050" w:type="dxa"/>
            <w:tcBorders>
              <w:top w:val="nil"/>
              <w:left w:val="nil"/>
              <w:bottom w:val="nil"/>
              <w:right w:val="nil"/>
            </w:tcBorders>
            <w:shd w:val="clear" w:color="auto" w:fill="auto"/>
            <w:noWrap/>
            <w:vAlign w:val="bottom"/>
            <w:hideMark/>
          </w:tcPr>
          <w:p w14:paraId="475F9694"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noWrap/>
            <w:vAlign w:val="bottom"/>
            <w:hideMark/>
          </w:tcPr>
          <w:p w14:paraId="3920847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noWrap/>
            <w:vAlign w:val="bottom"/>
            <w:hideMark/>
          </w:tcPr>
          <w:p w14:paraId="2F873EEC" w14:textId="77777777" w:rsidR="00B9311E" w:rsidRPr="00BD77D8" w:rsidRDefault="00B9311E" w:rsidP="00B9311E">
            <w:pPr>
              <w:spacing w:after="0" w:line="240" w:lineRule="auto"/>
              <w:rPr>
                <w:rFonts w:ascii="Times New Roman" w:hAnsi="Times New Roman" w:cs="Times New Roman"/>
                <w:b/>
                <w:bCs/>
                <w:sz w:val="20"/>
                <w:szCs w:val="20"/>
              </w:rPr>
            </w:pPr>
          </w:p>
        </w:tc>
        <w:tc>
          <w:tcPr>
            <w:tcW w:w="1344" w:type="dxa"/>
            <w:tcBorders>
              <w:top w:val="nil"/>
              <w:left w:val="nil"/>
              <w:bottom w:val="nil"/>
              <w:right w:val="nil"/>
            </w:tcBorders>
            <w:shd w:val="clear" w:color="auto" w:fill="auto"/>
            <w:noWrap/>
            <w:vAlign w:val="bottom"/>
            <w:hideMark/>
          </w:tcPr>
          <w:p w14:paraId="7285AE36" w14:textId="77777777" w:rsidR="00B9311E" w:rsidRPr="00BD77D8" w:rsidRDefault="00B9311E" w:rsidP="00B9311E">
            <w:pPr>
              <w:spacing w:after="0" w:line="240" w:lineRule="auto"/>
              <w:rPr>
                <w:rFonts w:ascii="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14:paraId="0D793C97" w14:textId="77777777" w:rsidR="00B9311E" w:rsidRPr="00BD77D8" w:rsidRDefault="00B9311E" w:rsidP="00B9311E">
            <w:pPr>
              <w:spacing w:after="0" w:line="240" w:lineRule="auto"/>
              <w:rPr>
                <w:rFonts w:ascii="Times New Roman" w:hAnsi="Times New Roman" w:cs="Times New Roman"/>
                <w:b/>
                <w:bCs/>
                <w:sz w:val="20"/>
                <w:szCs w:val="20"/>
              </w:rPr>
            </w:pPr>
          </w:p>
        </w:tc>
      </w:tr>
      <w:tr w:rsidR="00BD77D8" w:rsidRPr="00BD77D8" w14:paraId="24991CEB" w14:textId="77777777" w:rsidTr="003057FB">
        <w:trPr>
          <w:trHeight w:val="262"/>
        </w:trPr>
        <w:tc>
          <w:tcPr>
            <w:tcW w:w="0" w:type="auto"/>
            <w:tcBorders>
              <w:top w:val="nil"/>
              <w:left w:val="nil"/>
              <w:bottom w:val="nil"/>
              <w:right w:val="nil"/>
            </w:tcBorders>
            <w:shd w:val="clear" w:color="auto" w:fill="auto"/>
            <w:noWrap/>
            <w:vAlign w:val="bottom"/>
            <w:hideMark/>
          </w:tcPr>
          <w:p w14:paraId="0EF46DC7"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Inflows: </w:t>
            </w:r>
          </w:p>
        </w:tc>
        <w:tc>
          <w:tcPr>
            <w:tcW w:w="1050" w:type="dxa"/>
            <w:tcBorders>
              <w:top w:val="nil"/>
              <w:left w:val="nil"/>
              <w:bottom w:val="nil"/>
              <w:right w:val="nil"/>
            </w:tcBorders>
            <w:shd w:val="clear" w:color="auto" w:fill="auto"/>
            <w:noWrap/>
            <w:vAlign w:val="bottom"/>
            <w:hideMark/>
          </w:tcPr>
          <w:p w14:paraId="52242BF5"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noWrap/>
            <w:vAlign w:val="bottom"/>
            <w:hideMark/>
          </w:tcPr>
          <w:p w14:paraId="50B7267A"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noWrap/>
            <w:vAlign w:val="bottom"/>
            <w:hideMark/>
          </w:tcPr>
          <w:p w14:paraId="1D4BF34F" w14:textId="77777777" w:rsidR="00B9311E" w:rsidRPr="00BD77D8" w:rsidRDefault="00B9311E" w:rsidP="00B9311E">
            <w:pPr>
              <w:spacing w:after="0" w:line="240" w:lineRule="auto"/>
              <w:rPr>
                <w:rFonts w:ascii="Times New Roman" w:hAnsi="Times New Roman" w:cs="Times New Roman"/>
                <w:b/>
                <w:bCs/>
                <w:sz w:val="20"/>
                <w:szCs w:val="20"/>
              </w:rPr>
            </w:pPr>
          </w:p>
        </w:tc>
        <w:tc>
          <w:tcPr>
            <w:tcW w:w="1344" w:type="dxa"/>
            <w:tcBorders>
              <w:top w:val="nil"/>
              <w:left w:val="nil"/>
              <w:bottom w:val="nil"/>
              <w:right w:val="nil"/>
            </w:tcBorders>
            <w:shd w:val="clear" w:color="auto" w:fill="auto"/>
            <w:noWrap/>
            <w:vAlign w:val="bottom"/>
            <w:hideMark/>
          </w:tcPr>
          <w:p w14:paraId="05C1E123" w14:textId="77777777" w:rsidR="00B9311E" w:rsidRPr="00BD77D8" w:rsidRDefault="00B9311E" w:rsidP="00B9311E">
            <w:pPr>
              <w:spacing w:after="0" w:line="240" w:lineRule="auto"/>
              <w:rPr>
                <w:rFonts w:ascii="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14:paraId="79E6C178" w14:textId="77777777" w:rsidR="00B9311E" w:rsidRPr="00BD77D8" w:rsidRDefault="00B9311E" w:rsidP="00B9311E">
            <w:pPr>
              <w:spacing w:after="0" w:line="240" w:lineRule="auto"/>
              <w:rPr>
                <w:rFonts w:ascii="Times New Roman" w:hAnsi="Times New Roman" w:cs="Times New Roman"/>
                <w:b/>
                <w:bCs/>
                <w:sz w:val="20"/>
                <w:szCs w:val="20"/>
              </w:rPr>
            </w:pPr>
          </w:p>
        </w:tc>
      </w:tr>
      <w:tr w:rsidR="00BD77D8" w:rsidRPr="00BD77D8" w14:paraId="41ADD15F" w14:textId="77777777" w:rsidTr="003057FB">
        <w:trPr>
          <w:trHeight w:val="262"/>
        </w:trPr>
        <w:tc>
          <w:tcPr>
            <w:tcW w:w="0" w:type="auto"/>
            <w:tcBorders>
              <w:top w:val="nil"/>
              <w:left w:val="nil"/>
              <w:bottom w:val="nil"/>
              <w:right w:val="nil"/>
            </w:tcBorders>
            <w:shd w:val="clear" w:color="auto" w:fill="auto"/>
            <w:noWrap/>
            <w:vAlign w:val="bottom"/>
            <w:hideMark/>
          </w:tcPr>
          <w:p w14:paraId="20F734D2"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Service appropriation receipts </w:t>
            </w:r>
          </w:p>
        </w:tc>
        <w:tc>
          <w:tcPr>
            <w:tcW w:w="1050" w:type="dxa"/>
            <w:tcBorders>
              <w:top w:val="nil"/>
              <w:left w:val="nil"/>
              <w:bottom w:val="nil"/>
              <w:right w:val="nil"/>
            </w:tcBorders>
            <w:shd w:val="clear" w:color="auto" w:fill="auto"/>
            <w:noWrap/>
            <w:vAlign w:val="bottom"/>
            <w:hideMark/>
          </w:tcPr>
          <w:p w14:paraId="46B220C6"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3AA02685" w14:textId="77777777" w:rsidR="00B9311E" w:rsidRPr="00BD77D8" w:rsidRDefault="00B9311E" w:rsidP="00B9311E">
            <w:pPr>
              <w:spacing w:after="0" w:line="240" w:lineRule="auto"/>
              <w:jc w:val="right"/>
              <w:rPr>
                <w:b/>
                <w:bCs/>
                <w:sz w:val="18"/>
                <w:szCs w:val="18"/>
              </w:rPr>
            </w:pPr>
            <w:r w:rsidRPr="00BD77D8">
              <w:rPr>
                <w:b/>
                <w:bCs/>
                <w:sz w:val="18"/>
                <w:szCs w:val="18"/>
              </w:rPr>
              <w:t xml:space="preserve">     274,541 </w:t>
            </w:r>
          </w:p>
        </w:tc>
        <w:tc>
          <w:tcPr>
            <w:tcW w:w="1296" w:type="dxa"/>
            <w:tcBorders>
              <w:top w:val="nil"/>
              <w:left w:val="nil"/>
              <w:bottom w:val="nil"/>
              <w:right w:val="nil"/>
            </w:tcBorders>
            <w:shd w:val="clear" w:color="auto" w:fill="auto"/>
            <w:vAlign w:val="bottom"/>
            <w:hideMark/>
          </w:tcPr>
          <w:p w14:paraId="2CF286F2" w14:textId="77777777" w:rsidR="00B9311E" w:rsidRPr="00BD77D8" w:rsidRDefault="00B9311E" w:rsidP="00B9311E">
            <w:pPr>
              <w:spacing w:after="0" w:line="240" w:lineRule="auto"/>
              <w:jc w:val="right"/>
              <w:rPr>
                <w:sz w:val="18"/>
                <w:szCs w:val="18"/>
              </w:rPr>
            </w:pPr>
            <w:r w:rsidRPr="00BD77D8">
              <w:rPr>
                <w:sz w:val="18"/>
                <w:szCs w:val="18"/>
              </w:rPr>
              <w:t xml:space="preserve">     295,216 </w:t>
            </w:r>
          </w:p>
        </w:tc>
        <w:tc>
          <w:tcPr>
            <w:tcW w:w="1344" w:type="dxa"/>
            <w:tcBorders>
              <w:top w:val="nil"/>
              <w:left w:val="nil"/>
              <w:bottom w:val="nil"/>
              <w:right w:val="nil"/>
            </w:tcBorders>
            <w:shd w:val="clear" w:color="auto" w:fill="auto"/>
            <w:vAlign w:val="bottom"/>
            <w:hideMark/>
          </w:tcPr>
          <w:p w14:paraId="6F2FC874" w14:textId="77777777" w:rsidR="00B9311E" w:rsidRPr="00BD77D8" w:rsidRDefault="00B9311E" w:rsidP="00B9311E">
            <w:pPr>
              <w:spacing w:after="0" w:line="240" w:lineRule="auto"/>
              <w:jc w:val="right"/>
              <w:rPr>
                <w:sz w:val="18"/>
                <w:szCs w:val="18"/>
              </w:rPr>
            </w:pPr>
            <w:r w:rsidRPr="00BD77D8">
              <w:rPr>
                <w:sz w:val="18"/>
                <w:szCs w:val="18"/>
              </w:rPr>
              <w:t xml:space="preserve">      (20,675)</w:t>
            </w:r>
          </w:p>
        </w:tc>
        <w:tc>
          <w:tcPr>
            <w:tcW w:w="0" w:type="auto"/>
            <w:tcBorders>
              <w:top w:val="nil"/>
              <w:left w:val="nil"/>
              <w:bottom w:val="nil"/>
              <w:right w:val="nil"/>
            </w:tcBorders>
            <w:shd w:val="clear" w:color="auto" w:fill="auto"/>
            <w:vAlign w:val="bottom"/>
            <w:hideMark/>
          </w:tcPr>
          <w:p w14:paraId="172A027A" w14:textId="77777777" w:rsidR="00B9311E" w:rsidRPr="00BD77D8" w:rsidRDefault="00B9311E" w:rsidP="00B9311E">
            <w:pPr>
              <w:spacing w:after="0" w:line="240" w:lineRule="auto"/>
              <w:jc w:val="right"/>
              <w:rPr>
                <w:sz w:val="18"/>
                <w:szCs w:val="18"/>
              </w:rPr>
            </w:pPr>
            <w:r w:rsidRPr="00BD77D8">
              <w:rPr>
                <w:sz w:val="18"/>
                <w:szCs w:val="18"/>
              </w:rPr>
              <w:t xml:space="preserve">     316,892 </w:t>
            </w:r>
          </w:p>
        </w:tc>
      </w:tr>
      <w:tr w:rsidR="00BD77D8" w:rsidRPr="00BD77D8" w14:paraId="3F1908BC" w14:textId="77777777" w:rsidTr="003057FB">
        <w:trPr>
          <w:trHeight w:val="262"/>
        </w:trPr>
        <w:tc>
          <w:tcPr>
            <w:tcW w:w="0" w:type="auto"/>
            <w:tcBorders>
              <w:top w:val="nil"/>
              <w:left w:val="nil"/>
              <w:bottom w:val="nil"/>
              <w:right w:val="nil"/>
            </w:tcBorders>
            <w:shd w:val="clear" w:color="auto" w:fill="auto"/>
            <w:noWrap/>
            <w:vAlign w:val="bottom"/>
            <w:hideMark/>
          </w:tcPr>
          <w:p w14:paraId="4445F530"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User charges and fees </w:t>
            </w:r>
          </w:p>
        </w:tc>
        <w:tc>
          <w:tcPr>
            <w:tcW w:w="1050" w:type="dxa"/>
            <w:tcBorders>
              <w:top w:val="nil"/>
              <w:left w:val="nil"/>
              <w:bottom w:val="nil"/>
              <w:right w:val="nil"/>
            </w:tcBorders>
            <w:shd w:val="clear" w:color="auto" w:fill="auto"/>
            <w:noWrap/>
            <w:vAlign w:val="bottom"/>
            <w:hideMark/>
          </w:tcPr>
          <w:p w14:paraId="4ADC1DC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79707333" w14:textId="77777777" w:rsidR="00B9311E" w:rsidRPr="00BD77D8" w:rsidRDefault="00B9311E" w:rsidP="00B9311E">
            <w:pPr>
              <w:spacing w:after="0" w:line="240" w:lineRule="auto"/>
              <w:jc w:val="right"/>
              <w:rPr>
                <w:b/>
                <w:bCs/>
                <w:sz w:val="18"/>
                <w:szCs w:val="18"/>
              </w:rPr>
            </w:pPr>
            <w:r w:rsidRPr="00BD77D8">
              <w:rPr>
                <w:b/>
                <w:bCs/>
                <w:sz w:val="18"/>
                <w:szCs w:val="18"/>
              </w:rPr>
              <w:t xml:space="preserve">          9,949 </w:t>
            </w:r>
          </w:p>
        </w:tc>
        <w:tc>
          <w:tcPr>
            <w:tcW w:w="1296" w:type="dxa"/>
            <w:tcBorders>
              <w:top w:val="nil"/>
              <w:left w:val="nil"/>
              <w:bottom w:val="nil"/>
              <w:right w:val="nil"/>
            </w:tcBorders>
            <w:shd w:val="clear" w:color="auto" w:fill="auto"/>
            <w:vAlign w:val="bottom"/>
            <w:hideMark/>
          </w:tcPr>
          <w:p w14:paraId="6A006608" w14:textId="77777777" w:rsidR="00B9311E" w:rsidRPr="00BD77D8" w:rsidRDefault="00B9311E" w:rsidP="00B9311E">
            <w:pPr>
              <w:spacing w:after="0" w:line="240" w:lineRule="auto"/>
              <w:jc w:val="right"/>
              <w:rPr>
                <w:sz w:val="18"/>
                <w:szCs w:val="18"/>
              </w:rPr>
            </w:pPr>
            <w:r w:rsidRPr="00BD77D8">
              <w:rPr>
                <w:sz w:val="18"/>
                <w:szCs w:val="18"/>
              </w:rPr>
              <w:t xml:space="preserve">          1,149 </w:t>
            </w:r>
          </w:p>
        </w:tc>
        <w:tc>
          <w:tcPr>
            <w:tcW w:w="1344" w:type="dxa"/>
            <w:tcBorders>
              <w:top w:val="nil"/>
              <w:left w:val="nil"/>
              <w:bottom w:val="nil"/>
              <w:right w:val="nil"/>
            </w:tcBorders>
            <w:shd w:val="clear" w:color="auto" w:fill="auto"/>
            <w:vAlign w:val="bottom"/>
            <w:hideMark/>
          </w:tcPr>
          <w:p w14:paraId="2C574083" w14:textId="77777777" w:rsidR="00B9311E" w:rsidRPr="00BD77D8" w:rsidRDefault="00B9311E" w:rsidP="00B9311E">
            <w:pPr>
              <w:spacing w:after="0" w:line="240" w:lineRule="auto"/>
              <w:jc w:val="right"/>
              <w:rPr>
                <w:sz w:val="18"/>
                <w:szCs w:val="18"/>
              </w:rPr>
            </w:pPr>
            <w:r w:rsidRPr="00BD77D8">
              <w:rPr>
                <w:sz w:val="18"/>
                <w:szCs w:val="18"/>
              </w:rPr>
              <w:t xml:space="preserve">          8,800 </w:t>
            </w:r>
          </w:p>
        </w:tc>
        <w:tc>
          <w:tcPr>
            <w:tcW w:w="0" w:type="auto"/>
            <w:tcBorders>
              <w:top w:val="nil"/>
              <w:left w:val="nil"/>
              <w:bottom w:val="nil"/>
              <w:right w:val="nil"/>
            </w:tcBorders>
            <w:shd w:val="clear" w:color="auto" w:fill="auto"/>
            <w:vAlign w:val="bottom"/>
            <w:hideMark/>
          </w:tcPr>
          <w:p w14:paraId="2A52A1E1" w14:textId="77777777" w:rsidR="00B9311E" w:rsidRPr="00BD77D8" w:rsidRDefault="00B9311E" w:rsidP="00B9311E">
            <w:pPr>
              <w:spacing w:after="0" w:line="240" w:lineRule="auto"/>
              <w:jc w:val="right"/>
              <w:rPr>
                <w:sz w:val="18"/>
                <w:szCs w:val="18"/>
              </w:rPr>
            </w:pPr>
            <w:r w:rsidRPr="00BD77D8">
              <w:rPr>
                <w:sz w:val="18"/>
                <w:szCs w:val="18"/>
              </w:rPr>
              <w:t xml:space="preserve">        10,672 </w:t>
            </w:r>
          </w:p>
        </w:tc>
      </w:tr>
      <w:tr w:rsidR="00BD77D8" w:rsidRPr="00BD77D8" w14:paraId="61B75B8B" w14:textId="77777777" w:rsidTr="003057FB">
        <w:trPr>
          <w:trHeight w:val="262"/>
        </w:trPr>
        <w:tc>
          <w:tcPr>
            <w:tcW w:w="0" w:type="auto"/>
            <w:tcBorders>
              <w:top w:val="nil"/>
              <w:left w:val="nil"/>
              <w:bottom w:val="nil"/>
              <w:right w:val="nil"/>
            </w:tcBorders>
            <w:shd w:val="clear" w:color="auto" w:fill="auto"/>
            <w:noWrap/>
            <w:vAlign w:val="bottom"/>
            <w:hideMark/>
          </w:tcPr>
          <w:p w14:paraId="3E70DF86"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Grants and other contributions </w:t>
            </w:r>
          </w:p>
        </w:tc>
        <w:tc>
          <w:tcPr>
            <w:tcW w:w="1050" w:type="dxa"/>
            <w:tcBorders>
              <w:top w:val="nil"/>
              <w:left w:val="nil"/>
              <w:bottom w:val="nil"/>
              <w:right w:val="nil"/>
            </w:tcBorders>
            <w:shd w:val="clear" w:color="auto" w:fill="auto"/>
            <w:noWrap/>
            <w:vAlign w:val="bottom"/>
            <w:hideMark/>
          </w:tcPr>
          <w:p w14:paraId="0B3BFF9C"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17C9B4AE" w14:textId="77777777" w:rsidR="00B9311E" w:rsidRPr="00BD77D8" w:rsidRDefault="00B9311E" w:rsidP="00B9311E">
            <w:pPr>
              <w:spacing w:after="0" w:line="240" w:lineRule="auto"/>
              <w:jc w:val="right"/>
              <w:rPr>
                <w:b/>
                <w:bCs/>
                <w:sz w:val="18"/>
                <w:szCs w:val="18"/>
              </w:rPr>
            </w:pPr>
            <w:r w:rsidRPr="00BD77D8">
              <w:rPr>
                <w:b/>
                <w:bCs/>
                <w:sz w:val="18"/>
                <w:szCs w:val="18"/>
              </w:rPr>
              <w:t xml:space="preserve">        10,897 </w:t>
            </w:r>
          </w:p>
        </w:tc>
        <w:tc>
          <w:tcPr>
            <w:tcW w:w="1296" w:type="dxa"/>
            <w:tcBorders>
              <w:top w:val="nil"/>
              <w:left w:val="nil"/>
              <w:bottom w:val="nil"/>
              <w:right w:val="nil"/>
            </w:tcBorders>
            <w:shd w:val="clear" w:color="auto" w:fill="auto"/>
            <w:vAlign w:val="bottom"/>
            <w:hideMark/>
          </w:tcPr>
          <w:p w14:paraId="302522BF" w14:textId="77777777" w:rsidR="00B9311E" w:rsidRPr="00BD77D8" w:rsidRDefault="00B9311E" w:rsidP="00B9311E">
            <w:pPr>
              <w:spacing w:after="0" w:line="240" w:lineRule="auto"/>
              <w:jc w:val="right"/>
              <w:rPr>
                <w:sz w:val="18"/>
                <w:szCs w:val="18"/>
              </w:rPr>
            </w:pPr>
            <w:r w:rsidRPr="00BD77D8">
              <w:rPr>
                <w:sz w:val="18"/>
                <w:szCs w:val="18"/>
              </w:rPr>
              <w:t xml:space="preserve">        12,048 </w:t>
            </w:r>
          </w:p>
        </w:tc>
        <w:tc>
          <w:tcPr>
            <w:tcW w:w="1344" w:type="dxa"/>
            <w:tcBorders>
              <w:top w:val="nil"/>
              <w:left w:val="nil"/>
              <w:bottom w:val="nil"/>
              <w:right w:val="nil"/>
            </w:tcBorders>
            <w:shd w:val="clear" w:color="auto" w:fill="auto"/>
            <w:vAlign w:val="bottom"/>
            <w:hideMark/>
          </w:tcPr>
          <w:p w14:paraId="1BB2C152" w14:textId="77777777" w:rsidR="00B9311E" w:rsidRPr="00BD77D8" w:rsidRDefault="00B9311E" w:rsidP="00B9311E">
            <w:pPr>
              <w:spacing w:after="0" w:line="240" w:lineRule="auto"/>
              <w:jc w:val="right"/>
              <w:rPr>
                <w:sz w:val="18"/>
                <w:szCs w:val="18"/>
              </w:rPr>
            </w:pPr>
            <w:r w:rsidRPr="00BD77D8">
              <w:rPr>
                <w:sz w:val="18"/>
                <w:szCs w:val="18"/>
              </w:rPr>
              <w:t xml:space="preserve">        (1,151)</w:t>
            </w:r>
          </w:p>
        </w:tc>
        <w:tc>
          <w:tcPr>
            <w:tcW w:w="0" w:type="auto"/>
            <w:tcBorders>
              <w:top w:val="nil"/>
              <w:left w:val="nil"/>
              <w:bottom w:val="nil"/>
              <w:right w:val="nil"/>
            </w:tcBorders>
            <w:shd w:val="clear" w:color="auto" w:fill="auto"/>
            <w:vAlign w:val="bottom"/>
            <w:hideMark/>
          </w:tcPr>
          <w:p w14:paraId="33AF28A7" w14:textId="77777777" w:rsidR="00B9311E" w:rsidRPr="00BD77D8" w:rsidRDefault="00B9311E" w:rsidP="00B9311E">
            <w:pPr>
              <w:spacing w:after="0" w:line="240" w:lineRule="auto"/>
              <w:jc w:val="right"/>
              <w:rPr>
                <w:sz w:val="18"/>
                <w:szCs w:val="18"/>
              </w:rPr>
            </w:pPr>
            <w:r w:rsidRPr="00BD77D8">
              <w:rPr>
                <w:sz w:val="18"/>
                <w:szCs w:val="18"/>
              </w:rPr>
              <w:t xml:space="preserve">        11,748 </w:t>
            </w:r>
          </w:p>
        </w:tc>
      </w:tr>
      <w:tr w:rsidR="00BD77D8" w:rsidRPr="00BD77D8" w14:paraId="53F05293" w14:textId="77777777" w:rsidTr="003057FB">
        <w:trPr>
          <w:trHeight w:val="262"/>
        </w:trPr>
        <w:tc>
          <w:tcPr>
            <w:tcW w:w="0" w:type="auto"/>
            <w:tcBorders>
              <w:top w:val="nil"/>
              <w:left w:val="nil"/>
              <w:bottom w:val="nil"/>
              <w:right w:val="nil"/>
            </w:tcBorders>
            <w:shd w:val="clear" w:color="auto" w:fill="auto"/>
            <w:noWrap/>
            <w:vAlign w:val="bottom"/>
            <w:hideMark/>
          </w:tcPr>
          <w:p w14:paraId="523FCB45"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GST input tax credits received from ATO </w:t>
            </w:r>
          </w:p>
        </w:tc>
        <w:tc>
          <w:tcPr>
            <w:tcW w:w="1050" w:type="dxa"/>
            <w:tcBorders>
              <w:top w:val="nil"/>
              <w:left w:val="nil"/>
              <w:bottom w:val="nil"/>
              <w:right w:val="nil"/>
            </w:tcBorders>
            <w:shd w:val="clear" w:color="auto" w:fill="auto"/>
            <w:noWrap/>
            <w:vAlign w:val="bottom"/>
            <w:hideMark/>
          </w:tcPr>
          <w:p w14:paraId="746605DB"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08FBA310" w14:textId="77777777" w:rsidR="00B9311E" w:rsidRPr="00BD77D8" w:rsidRDefault="00B9311E" w:rsidP="00B9311E">
            <w:pPr>
              <w:spacing w:after="0" w:line="240" w:lineRule="auto"/>
              <w:jc w:val="right"/>
              <w:rPr>
                <w:b/>
                <w:bCs/>
                <w:sz w:val="18"/>
                <w:szCs w:val="18"/>
              </w:rPr>
            </w:pPr>
            <w:r w:rsidRPr="00BD77D8">
              <w:rPr>
                <w:b/>
                <w:bCs/>
                <w:sz w:val="18"/>
                <w:szCs w:val="18"/>
              </w:rPr>
              <w:t xml:space="preserve">        10,768 </w:t>
            </w:r>
          </w:p>
        </w:tc>
        <w:tc>
          <w:tcPr>
            <w:tcW w:w="1296" w:type="dxa"/>
            <w:tcBorders>
              <w:top w:val="nil"/>
              <w:left w:val="nil"/>
              <w:bottom w:val="nil"/>
              <w:right w:val="nil"/>
            </w:tcBorders>
            <w:shd w:val="clear" w:color="auto" w:fill="auto"/>
            <w:vAlign w:val="bottom"/>
            <w:hideMark/>
          </w:tcPr>
          <w:p w14:paraId="38AB6412" w14:textId="77777777" w:rsidR="00B9311E" w:rsidRPr="00BD77D8" w:rsidRDefault="00B9311E" w:rsidP="00B9311E">
            <w:pPr>
              <w:spacing w:after="0" w:line="240" w:lineRule="auto"/>
              <w:jc w:val="right"/>
              <w:rPr>
                <w:sz w:val="18"/>
                <w:szCs w:val="18"/>
              </w:rPr>
            </w:pPr>
            <w:r w:rsidRPr="00BD77D8">
              <w:rPr>
                <w:sz w:val="18"/>
                <w:szCs w:val="18"/>
              </w:rPr>
              <w:t xml:space="preserve">        72,072 </w:t>
            </w:r>
          </w:p>
        </w:tc>
        <w:tc>
          <w:tcPr>
            <w:tcW w:w="1344" w:type="dxa"/>
            <w:tcBorders>
              <w:top w:val="nil"/>
              <w:left w:val="nil"/>
              <w:bottom w:val="nil"/>
              <w:right w:val="nil"/>
            </w:tcBorders>
            <w:shd w:val="clear" w:color="auto" w:fill="auto"/>
            <w:vAlign w:val="bottom"/>
            <w:hideMark/>
          </w:tcPr>
          <w:p w14:paraId="222AD66A" w14:textId="77777777" w:rsidR="00B9311E" w:rsidRPr="00BD77D8" w:rsidRDefault="00B9311E" w:rsidP="00B9311E">
            <w:pPr>
              <w:spacing w:after="0" w:line="240" w:lineRule="auto"/>
              <w:jc w:val="right"/>
              <w:rPr>
                <w:sz w:val="18"/>
                <w:szCs w:val="18"/>
              </w:rPr>
            </w:pPr>
            <w:r w:rsidRPr="00BD77D8">
              <w:rPr>
                <w:sz w:val="18"/>
                <w:szCs w:val="18"/>
              </w:rPr>
              <w:t xml:space="preserve">      (61,304)</w:t>
            </w:r>
          </w:p>
        </w:tc>
        <w:tc>
          <w:tcPr>
            <w:tcW w:w="0" w:type="auto"/>
            <w:tcBorders>
              <w:top w:val="nil"/>
              <w:left w:val="nil"/>
              <w:bottom w:val="nil"/>
              <w:right w:val="nil"/>
            </w:tcBorders>
            <w:shd w:val="clear" w:color="auto" w:fill="auto"/>
            <w:vAlign w:val="bottom"/>
            <w:hideMark/>
          </w:tcPr>
          <w:p w14:paraId="60706C1C" w14:textId="77777777" w:rsidR="00B9311E" w:rsidRPr="00BD77D8" w:rsidRDefault="00B9311E" w:rsidP="00B9311E">
            <w:pPr>
              <w:spacing w:after="0" w:line="240" w:lineRule="auto"/>
              <w:jc w:val="right"/>
              <w:rPr>
                <w:sz w:val="18"/>
                <w:szCs w:val="18"/>
              </w:rPr>
            </w:pPr>
            <w:r w:rsidRPr="00BD77D8">
              <w:rPr>
                <w:sz w:val="18"/>
                <w:szCs w:val="18"/>
              </w:rPr>
              <w:t xml:space="preserve">          6,603 </w:t>
            </w:r>
          </w:p>
        </w:tc>
      </w:tr>
      <w:tr w:rsidR="00BD77D8" w:rsidRPr="00BD77D8" w14:paraId="38B90D06" w14:textId="77777777" w:rsidTr="003057FB">
        <w:trPr>
          <w:trHeight w:val="262"/>
        </w:trPr>
        <w:tc>
          <w:tcPr>
            <w:tcW w:w="0" w:type="auto"/>
            <w:tcBorders>
              <w:top w:val="nil"/>
              <w:left w:val="nil"/>
              <w:bottom w:val="nil"/>
              <w:right w:val="nil"/>
            </w:tcBorders>
            <w:shd w:val="clear" w:color="auto" w:fill="auto"/>
            <w:noWrap/>
            <w:vAlign w:val="bottom"/>
            <w:hideMark/>
          </w:tcPr>
          <w:p w14:paraId="459CBA87"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GST collected from customers </w:t>
            </w:r>
          </w:p>
        </w:tc>
        <w:tc>
          <w:tcPr>
            <w:tcW w:w="1050" w:type="dxa"/>
            <w:tcBorders>
              <w:top w:val="nil"/>
              <w:left w:val="nil"/>
              <w:bottom w:val="nil"/>
              <w:right w:val="nil"/>
            </w:tcBorders>
            <w:shd w:val="clear" w:color="auto" w:fill="auto"/>
            <w:noWrap/>
            <w:vAlign w:val="bottom"/>
            <w:hideMark/>
          </w:tcPr>
          <w:p w14:paraId="28ACA0D1"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01A22841" w14:textId="77777777" w:rsidR="00B9311E" w:rsidRPr="00BD77D8" w:rsidRDefault="00B9311E" w:rsidP="00B9311E">
            <w:pPr>
              <w:spacing w:after="0" w:line="240" w:lineRule="auto"/>
              <w:jc w:val="right"/>
              <w:rPr>
                <w:b/>
                <w:bCs/>
                <w:sz w:val="18"/>
                <w:szCs w:val="18"/>
              </w:rPr>
            </w:pPr>
            <w:r w:rsidRPr="00BD77D8">
              <w:rPr>
                <w:b/>
                <w:bCs/>
                <w:sz w:val="18"/>
                <w:szCs w:val="18"/>
              </w:rPr>
              <w:t xml:space="preserve">             254 </w:t>
            </w:r>
          </w:p>
        </w:tc>
        <w:tc>
          <w:tcPr>
            <w:tcW w:w="1296" w:type="dxa"/>
            <w:tcBorders>
              <w:top w:val="nil"/>
              <w:left w:val="nil"/>
              <w:bottom w:val="nil"/>
              <w:right w:val="nil"/>
            </w:tcBorders>
            <w:shd w:val="clear" w:color="auto" w:fill="auto"/>
            <w:vAlign w:val="bottom"/>
            <w:hideMark/>
          </w:tcPr>
          <w:p w14:paraId="44EEED2D" w14:textId="77777777" w:rsidR="00B9311E" w:rsidRPr="00BD77D8" w:rsidRDefault="00B9311E" w:rsidP="00B9311E">
            <w:pPr>
              <w:spacing w:after="0" w:line="240" w:lineRule="auto"/>
              <w:jc w:val="right"/>
              <w:rPr>
                <w:sz w:val="18"/>
                <w:szCs w:val="18"/>
              </w:rPr>
            </w:pPr>
            <w:r w:rsidRPr="00BD77D8">
              <w:rPr>
                <w:sz w:val="18"/>
                <w:szCs w:val="18"/>
              </w:rPr>
              <w:t xml:space="preserve">          1,213 </w:t>
            </w:r>
          </w:p>
        </w:tc>
        <w:tc>
          <w:tcPr>
            <w:tcW w:w="1344" w:type="dxa"/>
            <w:tcBorders>
              <w:top w:val="nil"/>
              <w:left w:val="nil"/>
              <w:bottom w:val="nil"/>
              <w:right w:val="nil"/>
            </w:tcBorders>
            <w:shd w:val="clear" w:color="auto" w:fill="auto"/>
            <w:vAlign w:val="bottom"/>
            <w:hideMark/>
          </w:tcPr>
          <w:p w14:paraId="1D0DAD98" w14:textId="77777777" w:rsidR="00B9311E" w:rsidRPr="00BD77D8" w:rsidRDefault="00B9311E" w:rsidP="00B9311E">
            <w:pPr>
              <w:spacing w:after="0" w:line="240" w:lineRule="auto"/>
              <w:jc w:val="right"/>
              <w:rPr>
                <w:sz w:val="18"/>
                <w:szCs w:val="18"/>
              </w:rPr>
            </w:pPr>
            <w:r w:rsidRPr="00BD77D8">
              <w:rPr>
                <w:sz w:val="18"/>
                <w:szCs w:val="18"/>
              </w:rPr>
              <w:t xml:space="preserve">            (959)</w:t>
            </w:r>
          </w:p>
        </w:tc>
        <w:tc>
          <w:tcPr>
            <w:tcW w:w="0" w:type="auto"/>
            <w:tcBorders>
              <w:top w:val="nil"/>
              <w:left w:val="nil"/>
              <w:bottom w:val="nil"/>
              <w:right w:val="nil"/>
            </w:tcBorders>
            <w:shd w:val="clear" w:color="auto" w:fill="auto"/>
            <w:vAlign w:val="bottom"/>
            <w:hideMark/>
          </w:tcPr>
          <w:p w14:paraId="30C961C8" w14:textId="77777777" w:rsidR="00B9311E" w:rsidRPr="00BD77D8" w:rsidRDefault="00B9311E" w:rsidP="00B9311E">
            <w:pPr>
              <w:spacing w:after="0" w:line="240" w:lineRule="auto"/>
              <w:jc w:val="right"/>
              <w:rPr>
                <w:sz w:val="18"/>
                <w:szCs w:val="18"/>
              </w:rPr>
            </w:pPr>
            <w:r w:rsidRPr="00BD77D8">
              <w:rPr>
                <w:sz w:val="18"/>
                <w:szCs w:val="18"/>
              </w:rPr>
              <w:t xml:space="preserve">          1,996 </w:t>
            </w:r>
          </w:p>
        </w:tc>
      </w:tr>
      <w:tr w:rsidR="00BD77D8" w:rsidRPr="00BD77D8" w14:paraId="0661595E" w14:textId="77777777" w:rsidTr="003057FB">
        <w:trPr>
          <w:trHeight w:val="262"/>
        </w:trPr>
        <w:tc>
          <w:tcPr>
            <w:tcW w:w="0" w:type="auto"/>
            <w:tcBorders>
              <w:top w:val="nil"/>
              <w:left w:val="nil"/>
              <w:bottom w:val="nil"/>
              <w:right w:val="nil"/>
            </w:tcBorders>
            <w:shd w:val="clear" w:color="auto" w:fill="auto"/>
            <w:noWrap/>
            <w:vAlign w:val="bottom"/>
            <w:hideMark/>
          </w:tcPr>
          <w:p w14:paraId="2E357114"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Interest receipts </w:t>
            </w:r>
          </w:p>
        </w:tc>
        <w:tc>
          <w:tcPr>
            <w:tcW w:w="1050" w:type="dxa"/>
            <w:tcBorders>
              <w:top w:val="nil"/>
              <w:left w:val="nil"/>
              <w:bottom w:val="nil"/>
              <w:right w:val="nil"/>
            </w:tcBorders>
            <w:shd w:val="clear" w:color="auto" w:fill="auto"/>
            <w:noWrap/>
            <w:vAlign w:val="bottom"/>
            <w:hideMark/>
          </w:tcPr>
          <w:p w14:paraId="533FD432"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52BC6A63"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6" w:type="dxa"/>
            <w:tcBorders>
              <w:top w:val="nil"/>
              <w:left w:val="nil"/>
              <w:bottom w:val="nil"/>
              <w:right w:val="nil"/>
            </w:tcBorders>
            <w:shd w:val="clear" w:color="auto" w:fill="auto"/>
            <w:vAlign w:val="bottom"/>
            <w:hideMark/>
          </w:tcPr>
          <w:p w14:paraId="214A4B3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44" w:type="dxa"/>
            <w:tcBorders>
              <w:top w:val="nil"/>
              <w:left w:val="nil"/>
              <w:bottom w:val="nil"/>
              <w:right w:val="nil"/>
            </w:tcBorders>
            <w:shd w:val="clear" w:color="auto" w:fill="auto"/>
            <w:vAlign w:val="bottom"/>
            <w:hideMark/>
          </w:tcPr>
          <w:p w14:paraId="3A33F1A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75CAF68C" w14:textId="77777777" w:rsidR="00B9311E" w:rsidRPr="00BD77D8" w:rsidRDefault="00B9311E" w:rsidP="00B9311E">
            <w:pPr>
              <w:spacing w:after="0" w:line="240" w:lineRule="auto"/>
              <w:jc w:val="right"/>
              <w:rPr>
                <w:sz w:val="18"/>
                <w:szCs w:val="18"/>
              </w:rPr>
            </w:pPr>
            <w:r w:rsidRPr="00BD77D8">
              <w:rPr>
                <w:sz w:val="18"/>
                <w:szCs w:val="18"/>
              </w:rPr>
              <w:t xml:space="preserve">                  3 </w:t>
            </w:r>
          </w:p>
        </w:tc>
      </w:tr>
      <w:tr w:rsidR="00BD77D8" w:rsidRPr="00BD77D8" w14:paraId="29BBDF91" w14:textId="77777777" w:rsidTr="003057FB">
        <w:trPr>
          <w:trHeight w:val="262"/>
        </w:trPr>
        <w:tc>
          <w:tcPr>
            <w:tcW w:w="0" w:type="auto"/>
            <w:tcBorders>
              <w:top w:val="nil"/>
              <w:left w:val="nil"/>
              <w:bottom w:val="nil"/>
              <w:right w:val="nil"/>
            </w:tcBorders>
            <w:shd w:val="clear" w:color="auto" w:fill="auto"/>
            <w:noWrap/>
            <w:vAlign w:val="bottom"/>
            <w:hideMark/>
          </w:tcPr>
          <w:p w14:paraId="5FAE0C0A"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Other inflows </w:t>
            </w:r>
          </w:p>
        </w:tc>
        <w:tc>
          <w:tcPr>
            <w:tcW w:w="1050" w:type="dxa"/>
            <w:tcBorders>
              <w:top w:val="nil"/>
              <w:left w:val="nil"/>
              <w:bottom w:val="nil"/>
              <w:right w:val="nil"/>
            </w:tcBorders>
            <w:shd w:val="clear" w:color="auto" w:fill="auto"/>
            <w:noWrap/>
            <w:vAlign w:val="bottom"/>
            <w:hideMark/>
          </w:tcPr>
          <w:p w14:paraId="3310D1D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2750239E" w14:textId="77777777" w:rsidR="00B9311E" w:rsidRPr="00BD77D8" w:rsidRDefault="00B9311E" w:rsidP="00B9311E">
            <w:pPr>
              <w:spacing w:after="0" w:line="240" w:lineRule="auto"/>
              <w:jc w:val="right"/>
              <w:rPr>
                <w:b/>
                <w:bCs/>
                <w:sz w:val="18"/>
                <w:szCs w:val="18"/>
              </w:rPr>
            </w:pPr>
            <w:r w:rsidRPr="00BD77D8">
              <w:rPr>
                <w:b/>
                <w:bCs/>
                <w:sz w:val="18"/>
                <w:szCs w:val="18"/>
              </w:rPr>
              <w:t xml:space="preserve">          3,864 </w:t>
            </w:r>
          </w:p>
        </w:tc>
        <w:tc>
          <w:tcPr>
            <w:tcW w:w="1296" w:type="dxa"/>
            <w:tcBorders>
              <w:top w:val="nil"/>
              <w:left w:val="nil"/>
              <w:bottom w:val="nil"/>
              <w:right w:val="nil"/>
            </w:tcBorders>
            <w:shd w:val="clear" w:color="auto" w:fill="auto"/>
            <w:vAlign w:val="bottom"/>
            <w:hideMark/>
          </w:tcPr>
          <w:p w14:paraId="48732270" w14:textId="77777777" w:rsidR="00B9311E" w:rsidRPr="00BD77D8" w:rsidRDefault="00B9311E" w:rsidP="00B9311E">
            <w:pPr>
              <w:spacing w:after="0" w:line="240" w:lineRule="auto"/>
              <w:jc w:val="right"/>
              <w:rPr>
                <w:sz w:val="18"/>
                <w:szCs w:val="18"/>
              </w:rPr>
            </w:pPr>
            <w:r w:rsidRPr="00BD77D8">
              <w:rPr>
                <w:sz w:val="18"/>
                <w:szCs w:val="18"/>
              </w:rPr>
              <w:t xml:space="preserve">             827 </w:t>
            </w:r>
          </w:p>
        </w:tc>
        <w:tc>
          <w:tcPr>
            <w:tcW w:w="1344" w:type="dxa"/>
            <w:tcBorders>
              <w:top w:val="nil"/>
              <w:left w:val="nil"/>
              <w:bottom w:val="nil"/>
              <w:right w:val="nil"/>
            </w:tcBorders>
            <w:shd w:val="clear" w:color="auto" w:fill="auto"/>
            <w:vAlign w:val="bottom"/>
            <w:hideMark/>
          </w:tcPr>
          <w:p w14:paraId="03FD0BD1" w14:textId="77777777" w:rsidR="00B9311E" w:rsidRPr="00BD77D8" w:rsidRDefault="00B9311E" w:rsidP="00B9311E">
            <w:pPr>
              <w:spacing w:after="0" w:line="240" w:lineRule="auto"/>
              <w:jc w:val="right"/>
              <w:rPr>
                <w:sz w:val="18"/>
                <w:szCs w:val="18"/>
              </w:rPr>
            </w:pPr>
            <w:r w:rsidRPr="00BD77D8">
              <w:rPr>
                <w:sz w:val="18"/>
                <w:szCs w:val="18"/>
              </w:rPr>
              <w:t xml:space="preserve">          3,037 </w:t>
            </w:r>
          </w:p>
        </w:tc>
        <w:tc>
          <w:tcPr>
            <w:tcW w:w="0" w:type="auto"/>
            <w:tcBorders>
              <w:top w:val="nil"/>
              <w:left w:val="nil"/>
              <w:bottom w:val="nil"/>
              <w:right w:val="nil"/>
            </w:tcBorders>
            <w:shd w:val="clear" w:color="auto" w:fill="auto"/>
            <w:vAlign w:val="bottom"/>
            <w:hideMark/>
          </w:tcPr>
          <w:p w14:paraId="1DBAFE56" w14:textId="77777777" w:rsidR="00B9311E" w:rsidRPr="00BD77D8" w:rsidRDefault="00B9311E" w:rsidP="00B9311E">
            <w:pPr>
              <w:spacing w:after="0" w:line="240" w:lineRule="auto"/>
              <w:jc w:val="right"/>
              <w:rPr>
                <w:sz w:val="18"/>
                <w:szCs w:val="18"/>
              </w:rPr>
            </w:pPr>
            <w:r w:rsidRPr="00BD77D8">
              <w:rPr>
                <w:sz w:val="18"/>
                <w:szCs w:val="18"/>
              </w:rPr>
              <w:t xml:space="preserve">          4,762 </w:t>
            </w:r>
          </w:p>
        </w:tc>
      </w:tr>
      <w:tr w:rsidR="00BD77D8" w:rsidRPr="00BD77D8" w14:paraId="2CABA5D2" w14:textId="77777777" w:rsidTr="003057FB">
        <w:trPr>
          <w:trHeight w:val="262"/>
        </w:trPr>
        <w:tc>
          <w:tcPr>
            <w:tcW w:w="0" w:type="auto"/>
            <w:tcBorders>
              <w:top w:val="nil"/>
              <w:left w:val="nil"/>
              <w:bottom w:val="nil"/>
              <w:right w:val="nil"/>
            </w:tcBorders>
            <w:shd w:val="clear" w:color="auto" w:fill="auto"/>
            <w:noWrap/>
            <w:vAlign w:val="bottom"/>
            <w:hideMark/>
          </w:tcPr>
          <w:p w14:paraId="277C8B9A"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Outflows: </w:t>
            </w:r>
          </w:p>
        </w:tc>
        <w:tc>
          <w:tcPr>
            <w:tcW w:w="1050" w:type="dxa"/>
            <w:tcBorders>
              <w:top w:val="nil"/>
              <w:left w:val="nil"/>
              <w:bottom w:val="nil"/>
              <w:right w:val="nil"/>
            </w:tcBorders>
            <w:shd w:val="clear" w:color="auto" w:fill="auto"/>
            <w:noWrap/>
            <w:vAlign w:val="bottom"/>
            <w:hideMark/>
          </w:tcPr>
          <w:p w14:paraId="7004692F"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vAlign w:val="bottom"/>
            <w:hideMark/>
          </w:tcPr>
          <w:p w14:paraId="744432E5"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77618116"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72A2199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4FBD4FCF"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6B84FBD0" w14:textId="77777777" w:rsidTr="003057FB">
        <w:trPr>
          <w:trHeight w:val="262"/>
        </w:trPr>
        <w:tc>
          <w:tcPr>
            <w:tcW w:w="0" w:type="auto"/>
            <w:tcBorders>
              <w:top w:val="nil"/>
              <w:left w:val="nil"/>
              <w:bottom w:val="nil"/>
              <w:right w:val="nil"/>
            </w:tcBorders>
            <w:shd w:val="clear" w:color="auto" w:fill="auto"/>
            <w:noWrap/>
            <w:vAlign w:val="bottom"/>
            <w:hideMark/>
          </w:tcPr>
          <w:p w14:paraId="50053929"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Employee expenses </w:t>
            </w:r>
          </w:p>
        </w:tc>
        <w:tc>
          <w:tcPr>
            <w:tcW w:w="1050" w:type="dxa"/>
            <w:tcBorders>
              <w:top w:val="nil"/>
              <w:left w:val="nil"/>
              <w:bottom w:val="nil"/>
              <w:right w:val="nil"/>
            </w:tcBorders>
            <w:shd w:val="clear" w:color="auto" w:fill="auto"/>
            <w:noWrap/>
            <w:vAlign w:val="bottom"/>
            <w:hideMark/>
          </w:tcPr>
          <w:p w14:paraId="736ECBDC"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7C8F9B53" w14:textId="77777777" w:rsidR="00B9311E" w:rsidRPr="00BD77D8" w:rsidRDefault="00B9311E" w:rsidP="00B9311E">
            <w:pPr>
              <w:spacing w:after="0" w:line="240" w:lineRule="auto"/>
              <w:jc w:val="right"/>
              <w:rPr>
                <w:b/>
                <w:bCs/>
                <w:sz w:val="18"/>
                <w:szCs w:val="18"/>
              </w:rPr>
            </w:pPr>
            <w:r w:rsidRPr="00BD77D8">
              <w:rPr>
                <w:b/>
                <w:bCs/>
                <w:sz w:val="18"/>
                <w:szCs w:val="18"/>
              </w:rPr>
              <w:t xml:space="preserve">    (214,614)</w:t>
            </w:r>
          </w:p>
        </w:tc>
        <w:tc>
          <w:tcPr>
            <w:tcW w:w="1296" w:type="dxa"/>
            <w:tcBorders>
              <w:top w:val="nil"/>
              <w:left w:val="nil"/>
              <w:bottom w:val="nil"/>
              <w:right w:val="nil"/>
            </w:tcBorders>
            <w:shd w:val="clear" w:color="auto" w:fill="auto"/>
            <w:vAlign w:val="bottom"/>
            <w:hideMark/>
          </w:tcPr>
          <w:p w14:paraId="2C46A847" w14:textId="77777777" w:rsidR="00B9311E" w:rsidRPr="00BD77D8" w:rsidRDefault="00B9311E" w:rsidP="00B9311E">
            <w:pPr>
              <w:spacing w:after="0" w:line="240" w:lineRule="auto"/>
              <w:jc w:val="right"/>
              <w:rPr>
                <w:sz w:val="18"/>
                <w:szCs w:val="18"/>
              </w:rPr>
            </w:pPr>
            <w:r w:rsidRPr="00BD77D8">
              <w:rPr>
                <w:sz w:val="18"/>
                <w:szCs w:val="18"/>
              </w:rPr>
              <w:t xml:space="preserve">    (203,793)</w:t>
            </w:r>
          </w:p>
        </w:tc>
        <w:tc>
          <w:tcPr>
            <w:tcW w:w="1344" w:type="dxa"/>
            <w:tcBorders>
              <w:top w:val="nil"/>
              <w:left w:val="nil"/>
              <w:bottom w:val="nil"/>
              <w:right w:val="nil"/>
            </w:tcBorders>
            <w:shd w:val="clear" w:color="auto" w:fill="auto"/>
            <w:vAlign w:val="bottom"/>
            <w:hideMark/>
          </w:tcPr>
          <w:p w14:paraId="2DB27FA4" w14:textId="77777777" w:rsidR="00B9311E" w:rsidRPr="00BD77D8" w:rsidRDefault="00B9311E" w:rsidP="00B9311E">
            <w:pPr>
              <w:spacing w:after="0" w:line="240" w:lineRule="auto"/>
              <w:jc w:val="right"/>
              <w:rPr>
                <w:sz w:val="18"/>
                <w:szCs w:val="18"/>
              </w:rPr>
            </w:pPr>
            <w:r w:rsidRPr="00BD77D8">
              <w:rPr>
                <w:sz w:val="18"/>
                <w:szCs w:val="18"/>
              </w:rPr>
              <w:t xml:space="preserve">      (10,821)</w:t>
            </w:r>
          </w:p>
        </w:tc>
        <w:tc>
          <w:tcPr>
            <w:tcW w:w="0" w:type="auto"/>
            <w:tcBorders>
              <w:top w:val="nil"/>
              <w:left w:val="nil"/>
              <w:bottom w:val="nil"/>
              <w:right w:val="nil"/>
            </w:tcBorders>
            <w:shd w:val="clear" w:color="auto" w:fill="auto"/>
            <w:vAlign w:val="bottom"/>
            <w:hideMark/>
          </w:tcPr>
          <w:p w14:paraId="33D773DF" w14:textId="77777777" w:rsidR="00B9311E" w:rsidRPr="00BD77D8" w:rsidRDefault="00B9311E" w:rsidP="00B9311E">
            <w:pPr>
              <w:spacing w:after="0" w:line="240" w:lineRule="auto"/>
              <w:jc w:val="right"/>
              <w:rPr>
                <w:sz w:val="18"/>
                <w:szCs w:val="18"/>
              </w:rPr>
            </w:pPr>
            <w:r w:rsidRPr="00BD77D8">
              <w:rPr>
                <w:sz w:val="18"/>
                <w:szCs w:val="18"/>
              </w:rPr>
              <w:t xml:space="preserve">    (206,337)</w:t>
            </w:r>
          </w:p>
        </w:tc>
      </w:tr>
      <w:tr w:rsidR="00BD77D8" w:rsidRPr="00BD77D8" w14:paraId="5267DED2" w14:textId="77777777" w:rsidTr="003057FB">
        <w:trPr>
          <w:trHeight w:val="262"/>
        </w:trPr>
        <w:tc>
          <w:tcPr>
            <w:tcW w:w="0" w:type="auto"/>
            <w:tcBorders>
              <w:top w:val="nil"/>
              <w:left w:val="nil"/>
              <w:bottom w:val="nil"/>
              <w:right w:val="nil"/>
            </w:tcBorders>
            <w:shd w:val="clear" w:color="auto" w:fill="auto"/>
            <w:noWrap/>
            <w:vAlign w:val="bottom"/>
            <w:hideMark/>
          </w:tcPr>
          <w:p w14:paraId="67BD578A"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Supplies and services </w:t>
            </w:r>
          </w:p>
        </w:tc>
        <w:tc>
          <w:tcPr>
            <w:tcW w:w="1050" w:type="dxa"/>
            <w:tcBorders>
              <w:top w:val="nil"/>
              <w:left w:val="nil"/>
              <w:bottom w:val="nil"/>
              <w:right w:val="nil"/>
            </w:tcBorders>
            <w:shd w:val="clear" w:color="auto" w:fill="auto"/>
            <w:noWrap/>
            <w:vAlign w:val="bottom"/>
            <w:hideMark/>
          </w:tcPr>
          <w:p w14:paraId="65D4486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1BEBBB78" w14:textId="77777777" w:rsidR="00B9311E" w:rsidRPr="00BD77D8" w:rsidRDefault="00B9311E" w:rsidP="00B9311E">
            <w:pPr>
              <w:spacing w:after="0" w:line="240" w:lineRule="auto"/>
              <w:jc w:val="right"/>
              <w:rPr>
                <w:b/>
                <w:bCs/>
                <w:sz w:val="18"/>
                <w:szCs w:val="18"/>
              </w:rPr>
            </w:pPr>
            <w:r w:rsidRPr="00BD77D8">
              <w:rPr>
                <w:b/>
                <w:bCs/>
                <w:sz w:val="18"/>
                <w:szCs w:val="18"/>
              </w:rPr>
              <w:t xml:space="preserve">      (70,895)</w:t>
            </w:r>
          </w:p>
        </w:tc>
        <w:tc>
          <w:tcPr>
            <w:tcW w:w="1296" w:type="dxa"/>
            <w:tcBorders>
              <w:top w:val="nil"/>
              <w:left w:val="nil"/>
              <w:bottom w:val="nil"/>
              <w:right w:val="nil"/>
            </w:tcBorders>
            <w:shd w:val="clear" w:color="auto" w:fill="auto"/>
            <w:vAlign w:val="bottom"/>
            <w:hideMark/>
          </w:tcPr>
          <w:p w14:paraId="3D83A8B6" w14:textId="77777777" w:rsidR="00B9311E" w:rsidRPr="00BD77D8" w:rsidRDefault="00B9311E" w:rsidP="00B9311E">
            <w:pPr>
              <w:spacing w:after="0" w:line="240" w:lineRule="auto"/>
              <w:jc w:val="right"/>
              <w:rPr>
                <w:sz w:val="18"/>
                <w:szCs w:val="18"/>
              </w:rPr>
            </w:pPr>
            <w:r w:rsidRPr="00BD77D8">
              <w:rPr>
                <w:sz w:val="18"/>
                <w:szCs w:val="18"/>
              </w:rPr>
              <w:t xml:space="preserve">      (90,385)</w:t>
            </w:r>
          </w:p>
        </w:tc>
        <w:tc>
          <w:tcPr>
            <w:tcW w:w="1344" w:type="dxa"/>
            <w:tcBorders>
              <w:top w:val="nil"/>
              <w:left w:val="nil"/>
              <w:bottom w:val="nil"/>
              <w:right w:val="nil"/>
            </w:tcBorders>
            <w:shd w:val="clear" w:color="auto" w:fill="auto"/>
            <w:vAlign w:val="bottom"/>
            <w:hideMark/>
          </w:tcPr>
          <w:p w14:paraId="7EEC17D8" w14:textId="77777777" w:rsidR="00B9311E" w:rsidRPr="00BD77D8" w:rsidRDefault="00B9311E" w:rsidP="00B9311E">
            <w:pPr>
              <w:spacing w:after="0" w:line="240" w:lineRule="auto"/>
              <w:jc w:val="right"/>
              <w:rPr>
                <w:sz w:val="18"/>
                <w:szCs w:val="18"/>
              </w:rPr>
            </w:pPr>
            <w:r w:rsidRPr="00BD77D8">
              <w:rPr>
                <w:sz w:val="18"/>
                <w:szCs w:val="18"/>
              </w:rPr>
              <w:t xml:space="preserve">        19,490 </w:t>
            </w:r>
          </w:p>
        </w:tc>
        <w:tc>
          <w:tcPr>
            <w:tcW w:w="0" w:type="auto"/>
            <w:tcBorders>
              <w:top w:val="nil"/>
              <w:left w:val="nil"/>
              <w:bottom w:val="nil"/>
              <w:right w:val="nil"/>
            </w:tcBorders>
            <w:shd w:val="clear" w:color="auto" w:fill="auto"/>
            <w:vAlign w:val="bottom"/>
            <w:hideMark/>
          </w:tcPr>
          <w:p w14:paraId="425BAF7B" w14:textId="77777777" w:rsidR="00B9311E" w:rsidRPr="00BD77D8" w:rsidRDefault="00B9311E" w:rsidP="00B9311E">
            <w:pPr>
              <w:spacing w:after="0" w:line="240" w:lineRule="auto"/>
              <w:jc w:val="right"/>
              <w:rPr>
                <w:sz w:val="18"/>
                <w:szCs w:val="18"/>
              </w:rPr>
            </w:pPr>
            <w:r w:rsidRPr="00BD77D8">
              <w:rPr>
                <w:sz w:val="18"/>
                <w:szCs w:val="18"/>
              </w:rPr>
              <w:t xml:space="preserve">    (112,378)</w:t>
            </w:r>
          </w:p>
        </w:tc>
      </w:tr>
      <w:tr w:rsidR="00BD77D8" w:rsidRPr="00BD77D8" w14:paraId="4F861962" w14:textId="77777777" w:rsidTr="003057FB">
        <w:trPr>
          <w:trHeight w:val="262"/>
        </w:trPr>
        <w:tc>
          <w:tcPr>
            <w:tcW w:w="0" w:type="auto"/>
            <w:tcBorders>
              <w:top w:val="nil"/>
              <w:left w:val="nil"/>
              <w:bottom w:val="nil"/>
              <w:right w:val="nil"/>
            </w:tcBorders>
            <w:shd w:val="clear" w:color="auto" w:fill="auto"/>
            <w:noWrap/>
            <w:vAlign w:val="bottom"/>
            <w:hideMark/>
          </w:tcPr>
          <w:p w14:paraId="75DBEFA9"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Grants and subsidies </w:t>
            </w:r>
          </w:p>
        </w:tc>
        <w:tc>
          <w:tcPr>
            <w:tcW w:w="1050" w:type="dxa"/>
            <w:tcBorders>
              <w:top w:val="nil"/>
              <w:left w:val="nil"/>
              <w:bottom w:val="nil"/>
              <w:right w:val="nil"/>
            </w:tcBorders>
            <w:shd w:val="clear" w:color="auto" w:fill="auto"/>
            <w:noWrap/>
            <w:vAlign w:val="bottom"/>
            <w:hideMark/>
          </w:tcPr>
          <w:p w14:paraId="11860A47"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5E44FE36" w14:textId="77777777" w:rsidR="00B9311E" w:rsidRPr="00BD77D8" w:rsidRDefault="00B9311E" w:rsidP="00B9311E">
            <w:pPr>
              <w:spacing w:after="0" w:line="240" w:lineRule="auto"/>
              <w:jc w:val="right"/>
              <w:rPr>
                <w:b/>
                <w:bCs/>
                <w:sz w:val="18"/>
                <w:szCs w:val="18"/>
              </w:rPr>
            </w:pPr>
            <w:r w:rsidRPr="00BD77D8">
              <w:rPr>
                <w:b/>
                <w:bCs/>
                <w:sz w:val="18"/>
                <w:szCs w:val="18"/>
              </w:rPr>
              <w:t xml:space="preserve">      (15,562)</w:t>
            </w:r>
          </w:p>
        </w:tc>
        <w:tc>
          <w:tcPr>
            <w:tcW w:w="1296" w:type="dxa"/>
            <w:tcBorders>
              <w:top w:val="nil"/>
              <w:left w:val="nil"/>
              <w:bottom w:val="nil"/>
              <w:right w:val="nil"/>
            </w:tcBorders>
            <w:shd w:val="clear" w:color="auto" w:fill="auto"/>
            <w:vAlign w:val="bottom"/>
            <w:hideMark/>
          </w:tcPr>
          <w:p w14:paraId="17D95535" w14:textId="77777777" w:rsidR="00B9311E" w:rsidRPr="00BD77D8" w:rsidRDefault="00B9311E" w:rsidP="00B9311E">
            <w:pPr>
              <w:spacing w:after="0" w:line="240" w:lineRule="auto"/>
              <w:jc w:val="right"/>
              <w:rPr>
                <w:sz w:val="18"/>
                <w:szCs w:val="18"/>
              </w:rPr>
            </w:pPr>
            <w:r w:rsidRPr="00BD77D8">
              <w:rPr>
                <w:sz w:val="18"/>
                <w:szCs w:val="18"/>
              </w:rPr>
              <w:t xml:space="preserve">        (9,112)</w:t>
            </w:r>
          </w:p>
        </w:tc>
        <w:tc>
          <w:tcPr>
            <w:tcW w:w="1344" w:type="dxa"/>
            <w:tcBorders>
              <w:top w:val="nil"/>
              <w:left w:val="nil"/>
              <w:bottom w:val="nil"/>
              <w:right w:val="nil"/>
            </w:tcBorders>
            <w:shd w:val="clear" w:color="auto" w:fill="auto"/>
            <w:vAlign w:val="bottom"/>
            <w:hideMark/>
          </w:tcPr>
          <w:p w14:paraId="07A681D6" w14:textId="77777777" w:rsidR="00B9311E" w:rsidRPr="00BD77D8" w:rsidRDefault="00B9311E" w:rsidP="00B9311E">
            <w:pPr>
              <w:spacing w:after="0" w:line="240" w:lineRule="auto"/>
              <w:jc w:val="right"/>
              <w:rPr>
                <w:sz w:val="18"/>
                <w:szCs w:val="18"/>
              </w:rPr>
            </w:pPr>
            <w:r w:rsidRPr="00BD77D8">
              <w:rPr>
                <w:sz w:val="18"/>
                <w:szCs w:val="18"/>
              </w:rPr>
              <w:t xml:space="preserve">        (6,450)</w:t>
            </w:r>
          </w:p>
        </w:tc>
        <w:tc>
          <w:tcPr>
            <w:tcW w:w="0" w:type="auto"/>
            <w:tcBorders>
              <w:top w:val="nil"/>
              <w:left w:val="nil"/>
              <w:bottom w:val="nil"/>
              <w:right w:val="nil"/>
            </w:tcBorders>
            <w:shd w:val="clear" w:color="auto" w:fill="auto"/>
            <w:vAlign w:val="bottom"/>
            <w:hideMark/>
          </w:tcPr>
          <w:p w14:paraId="19CFAF55" w14:textId="77777777" w:rsidR="00B9311E" w:rsidRPr="00BD77D8" w:rsidRDefault="00B9311E" w:rsidP="00B9311E">
            <w:pPr>
              <w:spacing w:after="0" w:line="240" w:lineRule="auto"/>
              <w:jc w:val="right"/>
              <w:rPr>
                <w:sz w:val="18"/>
                <w:szCs w:val="18"/>
              </w:rPr>
            </w:pPr>
            <w:r w:rsidRPr="00BD77D8">
              <w:rPr>
                <w:sz w:val="18"/>
                <w:szCs w:val="18"/>
              </w:rPr>
              <w:t xml:space="preserve">      (21,339)</w:t>
            </w:r>
          </w:p>
        </w:tc>
      </w:tr>
      <w:tr w:rsidR="00BD77D8" w:rsidRPr="00BD77D8" w14:paraId="2F782057" w14:textId="77777777" w:rsidTr="003057FB">
        <w:trPr>
          <w:trHeight w:val="262"/>
        </w:trPr>
        <w:tc>
          <w:tcPr>
            <w:tcW w:w="0" w:type="auto"/>
            <w:tcBorders>
              <w:top w:val="nil"/>
              <w:left w:val="nil"/>
              <w:bottom w:val="nil"/>
              <w:right w:val="nil"/>
            </w:tcBorders>
            <w:shd w:val="clear" w:color="auto" w:fill="auto"/>
            <w:noWrap/>
            <w:vAlign w:val="bottom"/>
            <w:hideMark/>
          </w:tcPr>
          <w:p w14:paraId="6688A5B5"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GST paid to suppliers </w:t>
            </w:r>
          </w:p>
        </w:tc>
        <w:tc>
          <w:tcPr>
            <w:tcW w:w="1050" w:type="dxa"/>
            <w:tcBorders>
              <w:top w:val="nil"/>
              <w:left w:val="nil"/>
              <w:bottom w:val="nil"/>
              <w:right w:val="nil"/>
            </w:tcBorders>
            <w:shd w:val="clear" w:color="auto" w:fill="auto"/>
            <w:noWrap/>
            <w:vAlign w:val="bottom"/>
            <w:hideMark/>
          </w:tcPr>
          <w:p w14:paraId="2349FA2E"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680F7FFD" w14:textId="77777777" w:rsidR="00B9311E" w:rsidRPr="00BD77D8" w:rsidRDefault="00B9311E" w:rsidP="00B9311E">
            <w:pPr>
              <w:spacing w:after="0" w:line="240" w:lineRule="auto"/>
              <w:jc w:val="right"/>
              <w:rPr>
                <w:b/>
                <w:bCs/>
                <w:sz w:val="18"/>
                <w:szCs w:val="18"/>
              </w:rPr>
            </w:pPr>
            <w:r w:rsidRPr="00BD77D8">
              <w:rPr>
                <w:b/>
                <w:bCs/>
                <w:sz w:val="18"/>
                <w:szCs w:val="18"/>
              </w:rPr>
              <w:t xml:space="preserve">      (10,996)</w:t>
            </w:r>
          </w:p>
        </w:tc>
        <w:tc>
          <w:tcPr>
            <w:tcW w:w="1296" w:type="dxa"/>
            <w:tcBorders>
              <w:top w:val="nil"/>
              <w:left w:val="nil"/>
              <w:bottom w:val="nil"/>
              <w:right w:val="nil"/>
            </w:tcBorders>
            <w:shd w:val="clear" w:color="auto" w:fill="auto"/>
            <w:vAlign w:val="bottom"/>
            <w:hideMark/>
          </w:tcPr>
          <w:p w14:paraId="35ADFF7A" w14:textId="77777777" w:rsidR="00B9311E" w:rsidRPr="00BD77D8" w:rsidRDefault="00B9311E" w:rsidP="00B9311E">
            <w:pPr>
              <w:spacing w:after="0" w:line="240" w:lineRule="auto"/>
              <w:jc w:val="right"/>
              <w:rPr>
                <w:sz w:val="18"/>
                <w:szCs w:val="18"/>
              </w:rPr>
            </w:pPr>
            <w:r w:rsidRPr="00BD77D8">
              <w:rPr>
                <w:sz w:val="18"/>
                <w:szCs w:val="18"/>
              </w:rPr>
              <w:t xml:space="preserve">      (72,072)</w:t>
            </w:r>
          </w:p>
        </w:tc>
        <w:tc>
          <w:tcPr>
            <w:tcW w:w="1344" w:type="dxa"/>
            <w:tcBorders>
              <w:top w:val="nil"/>
              <w:left w:val="nil"/>
              <w:bottom w:val="nil"/>
              <w:right w:val="nil"/>
            </w:tcBorders>
            <w:shd w:val="clear" w:color="auto" w:fill="auto"/>
            <w:vAlign w:val="bottom"/>
            <w:hideMark/>
          </w:tcPr>
          <w:p w14:paraId="6F2EBABE" w14:textId="77777777" w:rsidR="00B9311E" w:rsidRPr="00BD77D8" w:rsidRDefault="00B9311E" w:rsidP="00B9311E">
            <w:pPr>
              <w:spacing w:after="0" w:line="240" w:lineRule="auto"/>
              <w:jc w:val="right"/>
              <w:rPr>
                <w:sz w:val="18"/>
                <w:szCs w:val="18"/>
              </w:rPr>
            </w:pPr>
            <w:r w:rsidRPr="00BD77D8">
              <w:rPr>
                <w:sz w:val="18"/>
                <w:szCs w:val="18"/>
              </w:rPr>
              <w:t xml:space="preserve">        61,076 </w:t>
            </w:r>
          </w:p>
        </w:tc>
        <w:tc>
          <w:tcPr>
            <w:tcW w:w="0" w:type="auto"/>
            <w:tcBorders>
              <w:top w:val="nil"/>
              <w:left w:val="nil"/>
              <w:bottom w:val="nil"/>
              <w:right w:val="nil"/>
            </w:tcBorders>
            <w:shd w:val="clear" w:color="auto" w:fill="auto"/>
            <w:vAlign w:val="bottom"/>
            <w:hideMark/>
          </w:tcPr>
          <w:p w14:paraId="6EBEF98A" w14:textId="77777777" w:rsidR="00B9311E" w:rsidRPr="00BD77D8" w:rsidRDefault="00B9311E" w:rsidP="00B9311E">
            <w:pPr>
              <w:spacing w:after="0" w:line="240" w:lineRule="auto"/>
              <w:jc w:val="right"/>
              <w:rPr>
                <w:sz w:val="18"/>
                <w:szCs w:val="18"/>
              </w:rPr>
            </w:pPr>
            <w:r w:rsidRPr="00BD77D8">
              <w:rPr>
                <w:sz w:val="18"/>
                <w:szCs w:val="18"/>
              </w:rPr>
              <w:t xml:space="preserve">        (5,931)</w:t>
            </w:r>
          </w:p>
        </w:tc>
      </w:tr>
      <w:tr w:rsidR="00BD77D8" w:rsidRPr="00BD77D8" w14:paraId="035458B2" w14:textId="77777777" w:rsidTr="003057FB">
        <w:trPr>
          <w:trHeight w:val="262"/>
        </w:trPr>
        <w:tc>
          <w:tcPr>
            <w:tcW w:w="0" w:type="auto"/>
            <w:tcBorders>
              <w:top w:val="nil"/>
              <w:left w:val="nil"/>
              <w:bottom w:val="nil"/>
              <w:right w:val="nil"/>
            </w:tcBorders>
            <w:shd w:val="clear" w:color="auto" w:fill="auto"/>
            <w:noWrap/>
            <w:vAlign w:val="bottom"/>
            <w:hideMark/>
          </w:tcPr>
          <w:p w14:paraId="2E7D712A"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GST remitted to ATO </w:t>
            </w:r>
          </w:p>
        </w:tc>
        <w:tc>
          <w:tcPr>
            <w:tcW w:w="1050" w:type="dxa"/>
            <w:tcBorders>
              <w:top w:val="nil"/>
              <w:left w:val="nil"/>
              <w:bottom w:val="nil"/>
              <w:right w:val="nil"/>
            </w:tcBorders>
            <w:shd w:val="clear" w:color="auto" w:fill="auto"/>
            <w:noWrap/>
            <w:vAlign w:val="bottom"/>
            <w:hideMark/>
          </w:tcPr>
          <w:p w14:paraId="1D6B1DA5"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315CFE10" w14:textId="77777777" w:rsidR="00B9311E" w:rsidRPr="00BD77D8" w:rsidRDefault="00B9311E" w:rsidP="00B9311E">
            <w:pPr>
              <w:spacing w:after="0" w:line="240" w:lineRule="auto"/>
              <w:jc w:val="right"/>
              <w:rPr>
                <w:b/>
                <w:bCs/>
                <w:sz w:val="18"/>
                <w:szCs w:val="18"/>
              </w:rPr>
            </w:pPr>
            <w:r w:rsidRPr="00BD77D8">
              <w:rPr>
                <w:b/>
                <w:bCs/>
                <w:sz w:val="18"/>
                <w:szCs w:val="18"/>
              </w:rPr>
              <w:t xml:space="preserve">            (254)</w:t>
            </w:r>
          </w:p>
        </w:tc>
        <w:tc>
          <w:tcPr>
            <w:tcW w:w="1296" w:type="dxa"/>
            <w:tcBorders>
              <w:top w:val="nil"/>
              <w:left w:val="nil"/>
              <w:bottom w:val="nil"/>
              <w:right w:val="nil"/>
            </w:tcBorders>
            <w:shd w:val="clear" w:color="auto" w:fill="auto"/>
            <w:vAlign w:val="bottom"/>
            <w:hideMark/>
          </w:tcPr>
          <w:p w14:paraId="578B6B5A" w14:textId="77777777" w:rsidR="00B9311E" w:rsidRPr="00BD77D8" w:rsidRDefault="00B9311E" w:rsidP="00B9311E">
            <w:pPr>
              <w:spacing w:after="0" w:line="240" w:lineRule="auto"/>
              <w:jc w:val="right"/>
              <w:rPr>
                <w:sz w:val="18"/>
                <w:szCs w:val="18"/>
              </w:rPr>
            </w:pPr>
            <w:r w:rsidRPr="00BD77D8">
              <w:rPr>
                <w:sz w:val="18"/>
                <w:szCs w:val="18"/>
              </w:rPr>
              <w:t xml:space="preserve">        (1,213)</w:t>
            </w:r>
          </w:p>
        </w:tc>
        <w:tc>
          <w:tcPr>
            <w:tcW w:w="1344" w:type="dxa"/>
            <w:tcBorders>
              <w:top w:val="nil"/>
              <w:left w:val="nil"/>
              <w:bottom w:val="nil"/>
              <w:right w:val="nil"/>
            </w:tcBorders>
            <w:shd w:val="clear" w:color="auto" w:fill="auto"/>
            <w:vAlign w:val="bottom"/>
            <w:hideMark/>
          </w:tcPr>
          <w:p w14:paraId="1AA236BC" w14:textId="77777777" w:rsidR="00B9311E" w:rsidRPr="00BD77D8" w:rsidRDefault="00B9311E" w:rsidP="00B9311E">
            <w:pPr>
              <w:spacing w:after="0" w:line="240" w:lineRule="auto"/>
              <w:jc w:val="right"/>
              <w:rPr>
                <w:sz w:val="18"/>
                <w:szCs w:val="18"/>
              </w:rPr>
            </w:pPr>
            <w:r w:rsidRPr="00BD77D8">
              <w:rPr>
                <w:sz w:val="18"/>
                <w:szCs w:val="18"/>
              </w:rPr>
              <w:t xml:space="preserve">             959 </w:t>
            </w:r>
          </w:p>
        </w:tc>
        <w:tc>
          <w:tcPr>
            <w:tcW w:w="0" w:type="auto"/>
            <w:tcBorders>
              <w:top w:val="nil"/>
              <w:left w:val="nil"/>
              <w:bottom w:val="nil"/>
              <w:right w:val="nil"/>
            </w:tcBorders>
            <w:shd w:val="clear" w:color="auto" w:fill="auto"/>
            <w:vAlign w:val="bottom"/>
            <w:hideMark/>
          </w:tcPr>
          <w:p w14:paraId="5C1A985F" w14:textId="77777777" w:rsidR="00B9311E" w:rsidRPr="00BD77D8" w:rsidRDefault="00B9311E" w:rsidP="00B9311E">
            <w:pPr>
              <w:spacing w:after="0" w:line="240" w:lineRule="auto"/>
              <w:jc w:val="right"/>
              <w:rPr>
                <w:sz w:val="18"/>
                <w:szCs w:val="18"/>
              </w:rPr>
            </w:pPr>
            <w:r w:rsidRPr="00BD77D8">
              <w:rPr>
                <w:sz w:val="18"/>
                <w:szCs w:val="18"/>
              </w:rPr>
              <w:t xml:space="preserve">        (1,996)</w:t>
            </w:r>
          </w:p>
        </w:tc>
      </w:tr>
      <w:tr w:rsidR="00BD77D8" w:rsidRPr="00BD77D8" w14:paraId="245DDE76" w14:textId="77777777" w:rsidTr="003057FB">
        <w:trPr>
          <w:trHeight w:val="262"/>
        </w:trPr>
        <w:tc>
          <w:tcPr>
            <w:tcW w:w="0" w:type="auto"/>
            <w:tcBorders>
              <w:top w:val="nil"/>
              <w:left w:val="nil"/>
              <w:bottom w:val="nil"/>
              <w:right w:val="nil"/>
            </w:tcBorders>
            <w:shd w:val="clear" w:color="auto" w:fill="auto"/>
            <w:noWrap/>
            <w:vAlign w:val="bottom"/>
            <w:hideMark/>
          </w:tcPr>
          <w:p w14:paraId="55DB5285"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Other outflows </w:t>
            </w:r>
          </w:p>
        </w:tc>
        <w:tc>
          <w:tcPr>
            <w:tcW w:w="1050" w:type="dxa"/>
            <w:tcBorders>
              <w:top w:val="nil"/>
              <w:left w:val="nil"/>
              <w:bottom w:val="nil"/>
              <w:right w:val="nil"/>
            </w:tcBorders>
            <w:shd w:val="clear" w:color="auto" w:fill="auto"/>
            <w:noWrap/>
            <w:vAlign w:val="bottom"/>
            <w:hideMark/>
          </w:tcPr>
          <w:p w14:paraId="59F99873"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575A6657" w14:textId="77777777" w:rsidR="00B9311E" w:rsidRPr="00BD77D8" w:rsidRDefault="00B9311E" w:rsidP="00B9311E">
            <w:pPr>
              <w:spacing w:after="0" w:line="240" w:lineRule="auto"/>
              <w:jc w:val="right"/>
              <w:rPr>
                <w:b/>
                <w:bCs/>
                <w:sz w:val="18"/>
                <w:szCs w:val="18"/>
              </w:rPr>
            </w:pPr>
            <w:r w:rsidRPr="00BD77D8">
              <w:rPr>
                <w:b/>
                <w:bCs/>
                <w:sz w:val="18"/>
                <w:szCs w:val="18"/>
              </w:rPr>
              <w:t xml:space="preserve">        (1,631)</w:t>
            </w:r>
          </w:p>
        </w:tc>
        <w:tc>
          <w:tcPr>
            <w:tcW w:w="1296" w:type="dxa"/>
            <w:tcBorders>
              <w:top w:val="nil"/>
              <w:left w:val="nil"/>
              <w:bottom w:val="nil"/>
              <w:right w:val="nil"/>
            </w:tcBorders>
            <w:shd w:val="clear" w:color="auto" w:fill="auto"/>
            <w:vAlign w:val="bottom"/>
            <w:hideMark/>
          </w:tcPr>
          <w:p w14:paraId="42150D65" w14:textId="77777777" w:rsidR="00B9311E" w:rsidRPr="00BD77D8" w:rsidRDefault="00B9311E" w:rsidP="00B9311E">
            <w:pPr>
              <w:spacing w:after="0" w:line="240" w:lineRule="auto"/>
              <w:jc w:val="right"/>
              <w:rPr>
                <w:sz w:val="18"/>
                <w:szCs w:val="18"/>
              </w:rPr>
            </w:pPr>
            <w:r w:rsidRPr="00BD77D8">
              <w:rPr>
                <w:sz w:val="18"/>
                <w:szCs w:val="18"/>
              </w:rPr>
              <w:t xml:space="preserve">        (1,050)</w:t>
            </w:r>
          </w:p>
        </w:tc>
        <w:tc>
          <w:tcPr>
            <w:tcW w:w="1344" w:type="dxa"/>
            <w:tcBorders>
              <w:top w:val="nil"/>
              <w:left w:val="nil"/>
              <w:bottom w:val="nil"/>
              <w:right w:val="nil"/>
            </w:tcBorders>
            <w:shd w:val="clear" w:color="auto" w:fill="auto"/>
            <w:vAlign w:val="bottom"/>
            <w:hideMark/>
          </w:tcPr>
          <w:p w14:paraId="3CAFA3D9" w14:textId="77777777" w:rsidR="00B9311E" w:rsidRPr="00BD77D8" w:rsidRDefault="00B9311E" w:rsidP="00B9311E">
            <w:pPr>
              <w:spacing w:after="0" w:line="240" w:lineRule="auto"/>
              <w:jc w:val="right"/>
              <w:rPr>
                <w:sz w:val="18"/>
                <w:szCs w:val="18"/>
              </w:rPr>
            </w:pPr>
            <w:r w:rsidRPr="00BD77D8">
              <w:rPr>
                <w:sz w:val="18"/>
                <w:szCs w:val="18"/>
              </w:rPr>
              <w:t xml:space="preserve">            (581)</w:t>
            </w:r>
          </w:p>
        </w:tc>
        <w:tc>
          <w:tcPr>
            <w:tcW w:w="0" w:type="auto"/>
            <w:tcBorders>
              <w:top w:val="nil"/>
              <w:left w:val="nil"/>
              <w:bottom w:val="nil"/>
              <w:right w:val="nil"/>
            </w:tcBorders>
            <w:shd w:val="clear" w:color="auto" w:fill="auto"/>
            <w:vAlign w:val="bottom"/>
            <w:hideMark/>
          </w:tcPr>
          <w:p w14:paraId="392D929A" w14:textId="77777777" w:rsidR="00B9311E" w:rsidRPr="00BD77D8" w:rsidRDefault="00B9311E" w:rsidP="00B9311E">
            <w:pPr>
              <w:spacing w:after="0" w:line="240" w:lineRule="auto"/>
              <w:jc w:val="right"/>
              <w:rPr>
                <w:sz w:val="18"/>
                <w:szCs w:val="18"/>
              </w:rPr>
            </w:pPr>
            <w:r w:rsidRPr="00BD77D8">
              <w:rPr>
                <w:sz w:val="18"/>
                <w:szCs w:val="18"/>
              </w:rPr>
              <w:t xml:space="preserve">        (3,679)</w:t>
            </w:r>
          </w:p>
        </w:tc>
      </w:tr>
      <w:tr w:rsidR="00BD77D8" w:rsidRPr="00BD77D8" w14:paraId="5682D84A" w14:textId="77777777" w:rsidTr="003057FB">
        <w:trPr>
          <w:trHeight w:val="262"/>
        </w:trPr>
        <w:tc>
          <w:tcPr>
            <w:tcW w:w="0" w:type="auto"/>
            <w:tcBorders>
              <w:top w:val="nil"/>
              <w:left w:val="nil"/>
              <w:bottom w:val="nil"/>
              <w:right w:val="nil"/>
            </w:tcBorders>
            <w:shd w:val="clear" w:color="auto" w:fill="auto"/>
            <w:noWrap/>
            <w:vAlign w:val="bottom"/>
            <w:hideMark/>
          </w:tcPr>
          <w:p w14:paraId="402C1767" w14:textId="77777777" w:rsidR="00B9311E" w:rsidRPr="00BD77D8" w:rsidRDefault="00B9311E" w:rsidP="00B9311E">
            <w:pPr>
              <w:spacing w:after="0" w:line="240" w:lineRule="auto"/>
              <w:rPr>
                <w:b/>
                <w:bCs/>
                <w:sz w:val="18"/>
                <w:szCs w:val="18"/>
              </w:rPr>
            </w:pPr>
            <w:r w:rsidRPr="00BD77D8">
              <w:rPr>
                <w:b/>
                <w:bCs/>
                <w:sz w:val="18"/>
                <w:szCs w:val="18"/>
              </w:rPr>
              <w:t xml:space="preserve"> Net cash provided by (used in) operating activities </w:t>
            </w:r>
          </w:p>
        </w:tc>
        <w:tc>
          <w:tcPr>
            <w:tcW w:w="1050" w:type="dxa"/>
            <w:tcBorders>
              <w:top w:val="nil"/>
              <w:left w:val="nil"/>
              <w:bottom w:val="nil"/>
              <w:right w:val="nil"/>
            </w:tcBorders>
            <w:shd w:val="clear" w:color="auto" w:fill="auto"/>
            <w:noWrap/>
            <w:vAlign w:val="bottom"/>
            <w:hideMark/>
          </w:tcPr>
          <w:p w14:paraId="768AAFA5" w14:textId="77777777" w:rsidR="00B9311E" w:rsidRPr="00BD77D8" w:rsidRDefault="00B9311E" w:rsidP="00B9311E">
            <w:pPr>
              <w:spacing w:after="0" w:line="240" w:lineRule="auto"/>
              <w:jc w:val="center"/>
              <w:rPr>
                <w:b/>
                <w:bCs/>
                <w:sz w:val="18"/>
                <w:szCs w:val="18"/>
              </w:rPr>
            </w:pPr>
            <w:r w:rsidRPr="00BD77D8">
              <w:rPr>
                <w:b/>
                <w:bCs/>
                <w:sz w:val="18"/>
                <w:szCs w:val="18"/>
              </w:rPr>
              <w:t xml:space="preserve"> CF-1 </w:t>
            </w:r>
          </w:p>
        </w:tc>
        <w:tc>
          <w:tcPr>
            <w:tcW w:w="1090" w:type="dxa"/>
            <w:tcBorders>
              <w:top w:val="single" w:sz="4" w:space="0" w:color="auto"/>
              <w:left w:val="nil"/>
              <w:bottom w:val="single" w:sz="4" w:space="0" w:color="auto"/>
              <w:right w:val="nil"/>
            </w:tcBorders>
            <w:shd w:val="clear" w:color="auto" w:fill="auto"/>
            <w:vAlign w:val="bottom"/>
            <w:hideMark/>
          </w:tcPr>
          <w:p w14:paraId="418135FE" w14:textId="77777777" w:rsidR="00B9311E" w:rsidRPr="00BD77D8" w:rsidRDefault="00B9311E" w:rsidP="00B9311E">
            <w:pPr>
              <w:spacing w:after="0" w:line="240" w:lineRule="auto"/>
              <w:jc w:val="right"/>
              <w:rPr>
                <w:b/>
                <w:bCs/>
                <w:sz w:val="18"/>
                <w:szCs w:val="18"/>
              </w:rPr>
            </w:pPr>
            <w:r w:rsidRPr="00BD77D8">
              <w:rPr>
                <w:b/>
                <w:bCs/>
                <w:sz w:val="18"/>
                <w:szCs w:val="18"/>
              </w:rPr>
              <w:t xml:space="preserve">        (3,680)</w:t>
            </w:r>
          </w:p>
        </w:tc>
        <w:tc>
          <w:tcPr>
            <w:tcW w:w="1296" w:type="dxa"/>
            <w:tcBorders>
              <w:top w:val="single" w:sz="4" w:space="0" w:color="auto"/>
              <w:left w:val="nil"/>
              <w:bottom w:val="single" w:sz="4" w:space="0" w:color="auto"/>
              <w:right w:val="nil"/>
            </w:tcBorders>
            <w:shd w:val="clear" w:color="auto" w:fill="auto"/>
            <w:vAlign w:val="bottom"/>
            <w:hideMark/>
          </w:tcPr>
          <w:p w14:paraId="15011E3A" w14:textId="77777777" w:rsidR="00B9311E" w:rsidRPr="00BD77D8" w:rsidRDefault="00B9311E" w:rsidP="00B9311E">
            <w:pPr>
              <w:spacing w:after="0" w:line="240" w:lineRule="auto"/>
              <w:jc w:val="right"/>
              <w:rPr>
                <w:b/>
                <w:bCs/>
                <w:sz w:val="18"/>
                <w:szCs w:val="18"/>
              </w:rPr>
            </w:pPr>
            <w:r w:rsidRPr="00BD77D8">
              <w:rPr>
                <w:b/>
                <w:bCs/>
                <w:sz w:val="18"/>
                <w:szCs w:val="18"/>
              </w:rPr>
              <w:t xml:space="preserve">          4,900 </w:t>
            </w:r>
          </w:p>
        </w:tc>
        <w:tc>
          <w:tcPr>
            <w:tcW w:w="1344" w:type="dxa"/>
            <w:tcBorders>
              <w:top w:val="single" w:sz="4" w:space="0" w:color="auto"/>
              <w:left w:val="nil"/>
              <w:bottom w:val="single" w:sz="4" w:space="0" w:color="auto"/>
              <w:right w:val="nil"/>
            </w:tcBorders>
            <w:shd w:val="clear" w:color="auto" w:fill="auto"/>
            <w:vAlign w:val="bottom"/>
            <w:hideMark/>
          </w:tcPr>
          <w:p w14:paraId="66F15F73" w14:textId="77777777" w:rsidR="00B9311E" w:rsidRPr="00BD77D8" w:rsidRDefault="00B9311E" w:rsidP="00B9311E">
            <w:pPr>
              <w:spacing w:after="0" w:line="240" w:lineRule="auto"/>
              <w:jc w:val="right"/>
              <w:rPr>
                <w:b/>
                <w:bCs/>
                <w:sz w:val="18"/>
                <w:szCs w:val="18"/>
              </w:rPr>
            </w:pPr>
            <w:r w:rsidRPr="00BD77D8">
              <w:rPr>
                <w:b/>
                <w:bCs/>
                <w:sz w:val="18"/>
                <w:szCs w:val="18"/>
              </w:rPr>
              <w:t xml:space="preserve">        (8,580)</w:t>
            </w:r>
          </w:p>
        </w:tc>
        <w:tc>
          <w:tcPr>
            <w:tcW w:w="0" w:type="auto"/>
            <w:tcBorders>
              <w:top w:val="single" w:sz="4" w:space="0" w:color="auto"/>
              <w:left w:val="nil"/>
              <w:bottom w:val="single" w:sz="4" w:space="0" w:color="auto"/>
              <w:right w:val="nil"/>
            </w:tcBorders>
            <w:shd w:val="clear" w:color="auto" w:fill="auto"/>
            <w:vAlign w:val="bottom"/>
            <w:hideMark/>
          </w:tcPr>
          <w:p w14:paraId="54E7AA73" w14:textId="77777777" w:rsidR="00B9311E" w:rsidRPr="00BD77D8" w:rsidRDefault="00B9311E" w:rsidP="00B9311E">
            <w:pPr>
              <w:spacing w:after="0" w:line="240" w:lineRule="auto"/>
              <w:jc w:val="right"/>
              <w:rPr>
                <w:b/>
                <w:bCs/>
                <w:sz w:val="18"/>
                <w:szCs w:val="18"/>
              </w:rPr>
            </w:pPr>
            <w:r w:rsidRPr="00BD77D8">
              <w:rPr>
                <w:b/>
                <w:bCs/>
                <w:sz w:val="18"/>
                <w:szCs w:val="18"/>
              </w:rPr>
              <w:t xml:space="preserve">          1,016 </w:t>
            </w:r>
          </w:p>
        </w:tc>
      </w:tr>
      <w:tr w:rsidR="00BD77D8" w:rsidRPr="00BD77D8" w14:paraId="7D913631" w14:textId="77777777" w:rsidTr="003057FB">
        <w:trPr>
          <w:trHeight w:val="262"/>
        </w:trPr>
        <w:tc>
          <w:tcPr>
            <w:tcW w:w="0" w:type="auto"/>
            <w:tcBorders>
              <w:top w:val="nil"/>
              <w:left w:val="nil"/>
              <w:bottom w:val="nil"/>
              <w:right w:val="nil"/>
            </w:tcBorders>
            <w:shd w:val="clear" w:color="auto" w:fill="auto"/>
            <w:noWrap/>
            <w:vAlign w:val="bottom"/>
            <w:hideMark/>
          </w:tcPr>
          <w:p w14:paraId="74B078E7" w14:textId="77777777" w:rsidR="00B9311E" w:rsidRPr="00BD77D8" w:rsidRDefault="00B9311E" w:rsidP="00B9311E">
            <w:pPr>
              <w:spacing w:after="0" w:line="240" w:lineRule="auto"/>
              <w:rPr>
                <w:b/>
                <w:bCs/>
                <w:sz w:val="18"/>
                <w:szCs w:val="18"/>
              </w:rPr>
            </w:pPr>
            <w:r w:rsidRPr="00BD77D8">
              <w:rPr>
                <w:b/>
                <w:bCs/>
                <w:sz w:val="18"/>
                <w:szCs w:val="18"/>
              </w:rPr>
              <w:t xml:space="preserve"> Cash Flows from Investing Activities </w:t>
            </w:r>
          </w:p>
        </w:tc>
        <w:tc>
          <w:tcPr>
            <w:tcW w:w="1050" w:type="dxa"/>
            <w:tcBorders>
              <w:top w:val="nil"/>
              <w:left w:val="nil"/>
              <w:bottom w:val="nil"/>
              <w:right w:val="nil"/>
            </w:tcBorders>
            <w:shd w:val="clear" w:color="auto" w:fill="auto"/>
            <w:noWrap/>
            <w:vAlign w:val="bottom"/>
            <w:hideMark/>
          </w:tcPr>
          <w:p w14:paraId="311B36F2"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vAlign w:val="bottom"/>
            <w:hideMark/>
          </w:tcPr>
          <w:p w14:paraId="7C17B3A8"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34543AC1"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1E5EC85F"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3539983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428C83EE" w14:textId="77777777" w:rsidTr="003057FB">
        <w:trPr>
          <w:trHeight w:val="262"/>
        </w:trPr>
        <w:tc>
          <w:tcPr>
            <w:tcW w:w="0" w:type="auto"/>
            <w:tcBorders>
              <w:top w:val="nil"/>
              <w:left w:val="nil"/>
              <w:bottom w:val="nil"/>
              <w:right w:val="nil"/>
            </w:tcBorders>
            <w:shd w:val="clear" w:color="auto" w:fill="auto"/>
            <w:noWrap/>
            <w:vAlign w:val="bottom"/>
            <w:hideMark/>
          </w:tcPr>
          <w:p w14:paraId="46D8E931"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Inflows: </w:t>
            </w:r>
          </w:p>
        </w:tc>
        <w:tc>
          <w:tcPr>
            <w:tcW w:w="1050" w:type="dxa"/>
            <w:tcBorders>
              <w:top w:val="nil"/>
              <w:left w:val="nil"/>
              <w:bottom w:val="nil"/>
              <w:right w:val="nil"/>
            </w:tcBorders>
            <w:shd w:val="clear" w:color="auto" w:fill="auto"/>
            <w:noWrap/>
            <w:vAlign w:val="bottom"/>
            <w:hideMark/>
          </w:tcPr>
          <w:p w14:paraId="0A76CC27"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vAlign w:val="bottom"/>
            <w:hideMark/>
          </w:tcPr>
          <w:p w14:paraId="0A82B55C"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53743EF2"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2D9FB06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623FBEED"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F067839" w14:textId="77777777" w:rsidTr="003057FB">
        <w:trPr>
          <w:trHeight w:val="262"/>
        </w:trPr>
        <w:tc>
          <w:tcPr>
            <w:tcW w:w="0" w:type="auto"/>
            <w:tcBorders>
              <w:top w:val="nil"/>
              <w:left w:val="nil"/>
              <w:bottom w:val="nil"/>
              <w:right w:val="nil"/>
            </w:tcBorders>
            <w:shd w:val="clear" w:color="auto" w:fill="auto"/>
            <w:noWrap/>
            <w:vAlign w:val="bottom"/>
            <w:hideMark/>
          </w:tcPr>
          <w:p w14:paraId="23AE28A4"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Sales of property, plant and equipment </w:t>
            </w:r>
          </w:p>
        </w:tc>
        <w:tc>
          <w:tcPr>
            <w:tcW w:w="1050" w:type="dxa"/>
            <w:tcBorders>
              <w:top w:val="nil"/>
              <w:left w:val="nil"/>
              <w:bottom w:val="nil"/>
              <w:right w:val="nil"/>
            </w:tcBorders>
            <w:shd w:val="clear" w:color="auto" w:fill="auto"/>
            <w:noWrap/>
            <w:vAlign w:val="bottom"/>
            <w:hideMark/>
          </w:tcPr>
          <w:p w14:paraId="6B59D39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701875D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6" w:type="dxa"/>
            <w:tcBorders>
              <w:top w:val="nil"/>
              <w:left w:val="nil"/>
              <w:bottom w:val="nil"/>
              <w:right w:val="nil"/>
            </w:tcBorders>
            <w:shd w:val="clear" w:color="auto" w:fill="auto"/>
            <w:vAlign w:val="bottom"/>
            <w:hideMark/>
          </w:tcPr>
          <w:p w14:paraId="756EB04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44" w:type="dxa"/>
            <w:tcBorders>
              <w:top w:val="nil"/>
              <w:left w:val="nil"/>
              <w:bottom w:val="nil"/>
              <w:right w:val="nil"/>
            </w:tcBorders>
            <w:shd w:val="clear" w:color="auto" w:fill="auto"/>
            <w:vAlign w:val="bottom"/>
            <w:hideMark/>
          </w:tcPr>
          <w:p w14:paraId="326D3330"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2251967A" w14:textId="77777777" w:rsidR="00B9311E" w:rsidRPr="00BD77D8" w:rsidRDefault="00B9311E" w:rsidP="00B9311E">
            <w:pPr>
              <w:spacing w:after="0" w:line="240" w:lineRule="auto"/>
              <w:jc w:val="right"/>
              <w:rPr>
                <w:sz w:val="18"/>
                <w:szCs w:val="18"/>
              </w:rPr>
            </w:pPr>
            <w:r w:rsidRPr="00BD77D8">
              <w:rPr>
                <w:sz w:val="18"/>
                <w:szCs w:val="18"/>
              </w:rPr>
              <w:t xml:space="preserve">          1,895 </w:t>
            </w:r>
          </w:p>
        </w:tc>
      </w:tr>
      <w:tr w:rsidR="00BD77D8" w:rsidRPr="00BD77D8" w14:paraId="7B51C388" w14:textId="77777777" w:rsidTr="003057FB">
        <w:trPr>
          <w:trHeight w:val="262"/>
        </w:trPr>
        <w:tc>
          <w:tcPr>
            <w:tcW w:w="0" w:type="auto"/>
            <w:tcBorders>
              <w:top w:val="nil"/>
              <w:left w:val="nil"/>
              <w:bottom w:val="nil"/>
              <w:right w:val="nil"/>
            </w:tcBorders>
            <w:shd w:val="clear" w:color="auto" w:fill="auto"/>
            <w:noWrap/>
            <w:vAlign w:val="bottom"/>
            <w:hideMark/>
          </w:tcPr>
          <w:p w14:paraId="263EFB80"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Outflows: </w:t>
            </w:r>
          </w:p>
        </w:tc>
        <w:tc>
          <w:tcPr>
            <w:tcW w:w="1050" w:type="dxa"/>
            <w:tcBorders>
              <w:top w:val="nil"/>
              <w:left w:val="nil"/>
              <w:bottom w:val="nil"/>
              <w:right w:val="nil"/>
            </w:tcBorders>
            <w:shd w:val="clear" w:color="auto" w:fill="auto"/>
            <w:noWrap/>
            <w:vAlign w:val="bottom"/>
            <w:hideMark/>
          </w:tcPr>
          <w:p w14:paraId="59431A57"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vAlign w:val="bottom"/>
            <w:hideMark/>
          </w:tcPr>
          <w:p w14:paraId="7E56685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53ED277F"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4C1109FA"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44B8A9AA"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4C0C27BB" w14:textId="77777777" w:rsidTr="003057FB">
        <w:trPr>
          <w:trHeight w:val="262"/>
        </w:trPr>
        <w:tc>
          <w:tcPr>
            <w:tcW w:w="0" w:type="auto"/>
            <w:tcBorders>
              <w:top w:val="nil"/>
              <w:left w:val="nil"/>
              <w:bottom w:val="nil"/>
              <w:right w:val="nil"/>
            </w:tcBorders>
            <w:shd w:val="clear" w:color="auto" w:fill="auto"/>
            <w:noWrap/>
            <w:vAlign w:val="bottom"/>
            <w:hideMark/>
          </w:tcPr>
          <w:p w14:paraId="0AC74460"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Payments for property, plant and equipment </w:t>
            </w:r>
          </w:p>
        </w:tc>
        <w:tc>
          <w:tcPr>
            <w:tcW w:w="1050" w:type="dxa"/>
            <w:tcBorders>
              <w:top w:val="nil"/>
              <w:left w:val="nil"/>
              <w:bottom w:val="nil"/>
              <w:right w:val="nil"/>
            </w:tcBorders>
            <w:shd w:val="clear" w:color="auto" w:fill="auto"/>
            <w:noWrap/>
            <w:vAlign w:val="bottom"/>
            <w:hideMark/>
          </w:tcPr>
          <w:p w14:paraId="1996D60B"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4A9E1C31" w14:textId="77777777" w:rsidR="00B9311E" w:rsidRPr="00BD77D8" w:rsidRDefault="00B9311E" w:rsidP="00B9311E">
            <w:pPr>
              <w:spacing w:after="0" w:line="240" w:lineRule="auto"/>
              <w:jc w:val="right"/>
              <w:rPr>
                <w:b/>
                <w:bCs/>
                <w:sz w:val="18"/>
                <w:szCs w:val="18"/>
              </w:rPr>
            </w:pPr>
            <w:r w:rsidRPr="00BD77D8">
              <w:rPr>
                <w:b/>
                <w:bCs/>
                <w:sz w:val="18"/>
                <w:szCs w:val="18"/>
              </w:rPr>
              <w:t xml:space="preserve">        (2,216)</w:t>
            </w:r>
          </w:p>
        </w:tc>
        <w:tc>
          <w:tcPr>
            <w:tcW w:w="1296" w:type="dxa"/>
            <w:tcBorders>
              <w:top w:val="nil"/>
              <w:left w:val="nil"/>
              <w:bottom w:val="nil"/>
              <w:right w:val="nil"/>
            </w:tcBorders>
            <w:shd w:val="clear" w:color="auto" w:fill="auto"/>
            <w:vAlign w:val="bottom"/>
            <w:hideMark/>
          </w:tcPr>
          <w:p w14:paraId="2EAC667C" w14:textId="77777777" w:rsidR="00B9311E" w:rsidRPr="00BD77D8" w:rsidRDefault="00B9311E" w:rsidP="00B9311E">
            <w:pPr>
              <w:spacing w:after="0" w:line="240" w:lineRule="auto"/>
              <w:jc w:val="right"/>
              <w:rPr>
                <w:sz w:val="18"/>
                <w:szCs w:val="18"/>
              </w:rPr>
            </w:pPr>
            <w:r w:rsidRPr="00BD77D8">
              <w:rPr>
                <w:sz w:val="18"/>
                <w:szCs w:val="18"/>
              </w:rPr>
              <w:t xml:space="preserve">        (7,572)</w:t>
            </w:r>
          </w:p>
        </w:tc>
        <w:tc>
          <w:tcPr>
            <w:tcW w:w="1344" w:type="dxa"/>
            <w:tcBorders>
              <w:top w:val="nil"/>
              <w:left w:val="nil"/>
              <w:bottom w:val="nil"/>
              <w:right w:val="nil"/>
            </w:tcBorders>
            <w:shd w:val="clear" w:color="auto" w:fill="auto"/>
            <w:vAlign w:val="bottom"/>
            <w:hideMark/>
          </w:tcPr>
          <w:p w14:paraId="26E45EFE" w14:textId="77777777" w:rsidR="00B9311E" w:rsidRPr="00BD77D8" w:rsidRDefault="00B9311E" w:rsidP="00B9311E">
            <w:pPr>
              <w:spacing w:after="0" w:line="240" w:lineRule="auto"/>
              <w:jc w:val="right"/>
              <w:rPr>
                <w:sz w:val="18"/>
                <w:szCs w:val="18"/>
              </w:rPr>
            </w:pPr>
            <w:r w:rsidRPr="00BD77D8">
              <w:rPr>
                <w:sz w:val="18"/>
                <w:szCs w:val="18"/>
              </w:rPr>
              <w:t xml:space="preserve">          5,356 </w:t>
            </w:r>
          </w:p>
        </w:tc>
        <w:tc>
          <w:tcPr>
            <w:tcW w:w="0" w:type="auto"/>
            <w:tcBorders>
              <w:top w:val="nil"/>
              <w:left w:val="nil"/>
              <w:bottom w:val="nil"/>
              <w:right w:val="nil"/>
            </w:tcBorders>
            <w:shd w:val="clear" w:color="auto" w:fill="auto"/>
            <w:vAlign w:val="bottom"/>
            <w:hideMark/>
          </w:tcPr>
          <w:p w14:paraId="221CF5BD" w14:textId="77777777" w:rsidR="00B9311E" w:rsidRPr="00BD77D8" w:rsidRDefault="00B9311E" w:rsidP="00B9311E">
            <w:pPr>
              <w:spacing w:after="0" w:line="240" w:lineRule="auto"/>
              <w:jc w:val="right"/>
              <w:rPr>
                <w:sz w:val="18"/>
                <w:szCs w:val="18"/>
              </w:rPr>
            </w:pPr>
            <w:r w:rsidRPr="00BD77D8">
              <w:rPr>
                <w:sz w:val="18"/>
                <w:szCs w:val="18"/>
              </w:rPr>
              <w:t xml:space="preserve">      (16,334)</w:t>
            </w:r>
          </w:p>
        </w:tc>
      </w:tr>
      <w:tr w:rsidR="00BD77D8" w:rsidRPr="00BD77D8" w14:paraId="054365D5" w14:textId="77777777" w:rsidTr="003057FB">
        <w:trPr>
          <w:trHeight w:val="262"/>
        </w:trPr>
        <w:tc>
          <w:tcPr>
            <w:tcW w:w="0" w:type="auto"/>
            <w:tcBorders>
              <w:top w:val="nil"/>
              <w:left w:val="nil"/>
              <w:bottom w:val="nil"/>
              <w:right w:val="nil"/>
            </w:tcBorders>
            <w:shd w:val="clear" w:color="auto" w:fill="auto"/>
            <w:noWrap/>
            <w:vAlign w:val="bottom"/>
            <w:hideMark/>
          </w:tcPr>
          <w:p w14:paraId="095D0322" w14:textId="77777777" w:rsidR="00B9311E" w:rsidRPr="00BD77D8" w:rsidRDefault="00B9311E" w:rsidP="00B9311E">
            <w:pPr>
              <w:spacing w:after="0" w:line="240" w:lineRule="auto"/>
              <w:rPr>
                <w:b/>
                <w:bCs/>
                <w:sz w:val="18"/>
                <w:szCs w:val="18"/>
              </w:rPr>
            </w:pPr>
            <w:r w:rsidRPr="00BD77D8">
              <w:rPr>
                <w:b/>
                <w:bCs/>
                <w:sz w:val="18"/>
                <w:szCs w:val="18"/>
              </w:rPr>
              <w:t xml:space="preserve"> Net cash used in investing activities </w:t>
            </w:r>
          </w:p>
        </w:tc>
        <w:tc>
          <w:tcPr>
            <w:tcW w:w="1050" w:type="dxa"/>
            <w:tcBorders>
              <w:top w:val="nil"/>
              <w:left w:val="nil"/>
              <w:bottom w:val="nil"/>
              <w:right w:val="nil"/>
            </w:tcBorders>
            <w:shd w:val="clear" w:color="auto" w:fill="auto"/>
            <w:noWrap/>
            <w:vAlign w:val="bottom"/>
            <w:hideMark/>
          </w:tcPr>
          <w:p w14:paraId="504DECCB" w14:textId="77777777" w:rsidR="00B9311E" w:rsidRPr="00BD77D8" w:rsidRDefault="00B9311E" w:rsidP="00B9311E">
            <w:pPr>
              <w:spacing w:after="0" w:line="240" w:lineRule="auto"/>
              <w:rPr>
                <w:b/>
                <w:bCs/>
                <w:sz w:val="18"/>
                <w:szCs w:val="18"/>
              </w:rPr>
            </w:pPr>
          </w:p>
        </w:tc>
        <w:tc>
          <w:tcPr>
            <w:tcW w:w="1090" w:type="dxa"/>
            <w:tcBorders>
              <w:top w:val="single" w:sz="4" w:space="0" w:color="auto"/>
              <w:left w:val="nil"/>
              <w:bottom w:val="single" w:sz="4" w:space="0" w:color="auto"/>
              <w:right w:val="nil"/>
            </w:tcBorders>
            <w:shd w:val="clear" w:color="auto" w:fill="auto"/>
            <w:vAlign w:val="bottom"/>
            <w:hideMark/>
          </w:tcPr>
          <w:p w14:paraId="5881FF7C" w14:textId="77777777" w:rsidR="00B9311E" w:rsidRPr="00BD77D8" w:rsidRDefault="00B9311E" w:rsidP="00B9311E">
            <w:pPr>
              <w:spacing w:after="0" w:line="240" w:lineRule="auto"/>
              <w:jc w:val="right"/>
              <w:rPr>
                <w:b/>
                <w:bCs/>
                <w:sz w:val="18"/>
                <w:szCs w:val="18"/>
              </w:rPr>
            </w:pPr>
            <w:r w:rsidRPr="00BD77D8">
              <w:rPr>
                <w:b/>
                <w:bCs/>
                <w:sz w:val="18"/>
                <w:szCs w:val="18"/>
              </w:rPr>
              <w:t xml:space="preserve">        (2,216)</w:t>
            </w:r>
          </w:p>
        </w:tc>
        <w:tc>
          <w:tcPr>
            <w:tcW w:w="1296" w:type="dxa"/>
            <w:tcBorders>
              <w:top w:val="single" w:sz="4" w:space="0" w:color="auto"/>
              <w:left w:val="nil"/>
              <w:bottom w:val="single" w:sz="4" w:space="0" w:color="auto"/>
              <w:right w:val="nil"/>
            </w:tcBorders>
            <w:shd w:val="clear" w:color="auto" w:fill="auto"/>
            <w:vAlign w:val="bottom"/>
            <w:hideMark/>
          </w:tcPr>
          <w:p w14:paraId="0E332CCA" w14:textId="77777777" w:rsidR="00B9311E" w:rsidRPr="00BD77D8" w:rsidRDefault="00B9311E" w:rsidP="00B9311E">
            <w:pPr>
              <w:spacing w:after="0" w:line="240" w:lineRule="auto"/>
              <w:jc w:val="right"/>
              <w:rPr>
                <w:b/>
                <w:bCs/>
                <w:sz w:val="18"/>
                <w:szCs w:val="18"/>
              </w:rPr>
            </w:pPr>
            <w:r w:rsidRPr="00BD77D8">
              <w:rPr>
                <w:b/>
                <w:bCs/>
                <w:sz w:val="18"/>
                <w:szCs w:val="18"/>
              </w:rPr>
              <w:t xml:space="preserve">        (7,572)</w:t>
            </w:r>
          </w:p>
        </w:tc>
        <w:tc>
          <w:tcPr>
            <w:tcW w:w="1344" w:type="dxa"/>
            <w:tcBorders>
              <w:top w:val="single" w:sz="4" w:space="0" w:color="auto"/>
              <w:left w:val="nil"/>
              <w:bottom w:val="single" w:sz="4" w:space="0" w:color="auto"/>
              <w:right w:val="nil"/>
            </w:tcBorders>
            <w:shd w:val="clear" w:color="auto" w:fill="auto"/>
            <w:vAlign w:val="bottom"/>
            <w:hideMark/>
          </w:tcPr>
          <w:p w14:paraId="5C49F4B5" w14:textId="77777777" w:rsidR="00B9311E" w:rsidRPr="00BD77D8" w:rsidRDefault="00B9311E" w:rsidP="00B9311E">
            <w:pPr>
              <w:spacing w:after="0" w:line="240" w:lineRule="auto"/>
              <w:jc w:val="right"/>
              <w:rPr>
                <w:b/>
                <w:bCs/>
                <w:sz w:val="18"/>
                <w:szCs w:val="18"/>
              </w:rPr>
            </w:pPr>
            <w:r w:rsidRPr="00BD77D8">
              <w:rPr>
                <w:b/>
                <w:bCs/>
                <w:sz w:val="18"/>
                <w:szCs w:val="18"/>
              </w:rPr>
              <w:t xml:space="preserve">          5,356 </w:t>
            </w:r>
          </w:p>
        </w:tc>
        <w:tc>
          <w:tcPr>
            <w:tcW w:w="0" w:type="auto"/>
            <w:tcBorders>
              <w:top w:val="single" w:sz="4" w:space="0" w:color="auto"/>
              <w:left w:val="nil"/>
              <w:bottom w:val="single" w:sz="4" w:space="0" w:color="auto"/>
              <w:right w:val="nil"/>
            </w:tcBorders>
            <w:shd w:val="clear" w:color="auto" w:fill="auto"/>
            <w:vAlign w:val="bottom"/>
            <w:hideMark/>
          </w:tcPr>
          <w:p w14:paraId="1C3DADDB" w14:textId="77777777" w:rsidR="00B9311E" w:rsidRPr="00BD77D8" w:rsidRDefault="00B9311E" w:rsidP="00B9311E">
            <w:pPr>
              <w:spacing w:after="0" w:line="240" w:lineRule="auto"/>
              <w:jc w:val="right"/>
              <w:rPr>
                <w:b/>
                <w:bCs/>
                <w:sz w:val="18"/>
                <w:szCs w:val="18"/>
              </w:rPr>
            </w:pPr>
            <w:r w:rsidRPr="00BD77D8">
              <w:rPr>
                <w:b/>
                <w:bCs/>
                <w:sz w:val="18"/>
                <w:szCs w:val="18"/>
              </w:rPr>
              <w:t xml:space="preserve">      (14,439)</w:t>
            </w:r>
          </w:p>
        </w:tc>
      </w:tr>
      <w:tr w:rsidR="00BD77D8" w:rsidRPr="00BD77D8" w14:paraId="0659EB27" w14:textId="77777777" w:rsidTr="003057FB">
        <w:trPr>
          <w:trHeight w:val="262"/>
        </w:trPr>
        <w:tc>
          <w:tcPr>
            <w:tcW w:w="0" w:type="auto"/>
            <w:tcBorders>
              <w:top w:val="nil"/>
              <w:left w:val="nil"/>
              <w:bottom w:val="nil"/>
              <w:right w:val="nil"/>
            </w:tcBorders>
            <w:shd w:val="clear" w:color="auto" w:fill="auto"/>
            <w:noWrap/>
            <w:vAlign w:val="bottom"/>
            <w:hideMark/>
          </w:tcPr>
          <w:p w14:paraId="05A6437F" w14:textId="77777777" w:rsidR="00B9311E" w:rsidRPr="00BD77D8" w:rsidRDefault="00B9311E" w:rsidP="00B9311E">
            <w:pPr>
              <w:spacing w:after="0" w:line="240" w:lineRule="auto"/>
              <w:rPr>
                <w:b/>
                <w:bCs/>
                <w:sz w:val="18"/>
                <w:szCs w:val="18"/>
              </w:rPr>
            </w:pPr>
            <w:r w:rsidRPr="00BD77D8">
              <w:rPr>
                <w:b/>
                <w:bCs/>
                <w:sz w:val="18"/>
                <w:szCs w:val="18"/>
              </w:rPr>
              <w:t xml:space="preserve"> Cash flows from Financing Activities  </w:t>
            </w:r>
          </w:p>
        </w:tc>
        <w:tc>
          <w:tcPr>
            <w:tcW w:w="1050" w:type="dxa"/>
            <w:tcBorders>
              <w:top w:val="nil"/>
              <w:left w:val="nil"/>
              <w:bottom w:val="nil"/>
              <w:right w:val="nil"/>
            </w:tcBorders>
            <w:shd w:val="clear" w:color="auto" w:fill="auto"/>
            <w:noWrap/>
            <w:vAlign w:val="bottom"/>
            <w:hideMark/>
          </w:tcPr>
          <w:p w14:paraId="56780B91"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vAlign w:val="bottom"/>
            <w:hideMark/>
          </w:tcPr>
          <w:p w14:paraId="5660AEDD"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5621316C"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5271CD9B"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72E9972F"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EDAE23C" w14:textId="77777777" w:rsidTr="003057FB">
        <w:trPr>
          <w:trHeight w:val="262"/>
        </w:trPr>
        <w:tc>
          <w:tcPr>
            <w:tcW w:w="0" w:type="auto"/>
            <w:tcBorders>
              <w:top w:val="nil"/>
              <w:left w:val="nil"/>
              <w:bottom w:val="nil"/>
              <w:right w:val="nil"/>
            </w:tcBorders>
            <w:shd w:val="clear" w:color="auto" w:fill="auto"/>
            <w:noWrap/>
            <w:vAlign w:val="bottom"/>
            <w:hideMark/>
          </w:tcPr>
          <w:p w14:paraId="429EDB0F" w14:textId="77777777" w:rsidR="00B9311E" w:rsidRPr="00BD77D8" w:rsidRDefault="00B9311E" w:rsidP="00B9311E">
            <w:pPr>
              <w:spacing w:after="0" w:line="240" w:lineRule="auto"/>
              <w:ind w:firstLineChars="100" w:firstLine="181"/>
              <w:rPr>
                <w:b/>
                <w:bCs/>
                <w:i/>
                <w:iCs/>
                <w:sz w:val="18"/>
                <w:szCs w:val="18"/>
              </w:rPr>
            </w:pPr>
            <w:r w:rsidRPr="00BD77D8">
              <w:rPr>
                <w:b/>
                <w:bCs/>
                <w:i/>
                <w:iCs/>
                <w:sz w:val="18"/>
                <w:szCs w:val="18"/>
              </w:rPr>
              <w:t xml:space="preserve"> Inflows: </w:t>
            </w:r>
          </w:p>
        </w:tc>
        <w:tc>
          <w:tcPr>
            <w:tcW w:w="1050" w:type="dxa"/>
            <w:tcBorders>
              <w:top w:val="nil"/>
              <w:left w:val="nil"/>
              <w:bottom w:val="nil"/>
              <w:right w:val="nil"/>
            </w:tcBorders>
            <w:shd w:val="clear" w:color="auto" w:fill="auto"/>
            <w:noWrap/>
            <w:vAlign w:val="bottom"/>
            <w:hideMark/>
          </w:tcPr>
          <w:p w14:paraId="6346A883" w14:textId="77777777" w:rsidR="00B9311E" w:rsidRPr="00BD77D8" w:rsidRDefault="00B9311E" w:rsidP="00B9311E">
            <w:pPr>
              <w:spacing w:after="0" w:line="240" w:lineRule="auto"/>
              <w:ind w:firstLineChars="100" w:firstLine="181"/>
              <w:rPr>
                <w:b/>
                <w:bCs/>
                <w:i/>
                <w:iCs/>
                <w:sz w:val="18"/>
                <w:szCs w:val="18"/>
              </w:rPr>
            </w:pPr>
          </w:p>
        </w:tc>
        <w:tc>
          <w:tcPr>
            <w:tcW w:w="1090" w:type="dxa"/>
            <w:tcBorders>
              <w:top w:val="nil"/>
              <w:left w:val="nil"/>
              <w:bottom w:val="nil"/>
              <w:right w:val="nil"/>
            </w:tcBorders>
            <w:shd w:val="clear" w:color="auto" w:fill="auto"/>
            <w:vAlign w:val="bottom"/>
            <w:hideMark/>
          </w:tcPr>
          <w:p w14:paraId="28BB902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3E968EA6"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30EB45A8"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4CDBFF3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6BD9C42" w14:textId="77777777" w:rsidTr="003057FB">
        <w:trPr>
          <w:trHeight w:val="262"/>
        </w:trPr>
        <w:tc>
          <w:tcPr>
            <w:tcW w:w="0" w:type="auto"/>
            <w:tcBorders>
              <w:top w:val="nil"/>
              <w:left w:val="nil"/>
              <w:bottom w:val="nil"/>
              <w:right w:val="nil"/>
            </w:tcBorders>
            <w:shd w:val="clear" w:color="auto" w:fill="auto"/>
            <w:noWrap/>
            <w:vAlign w:val="bottom"/>
            <w:hideMark/>
          </w:tcPr>
          <w:p w14:paraId="1E25D7F0"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Equity withdrawals </w:t>
            </w:r>
          </w:p>
        </w:tc>
        <w:tc>
          <w:tcPr>
            <w:tcW w:w="1050" w:type="dxa"/>
            <w:tcBorders>
              <w:top w:val="nil"/>
              <w:left w:val="nil"/>
              <w:bottom w:val="nil"/>
              <w:right w:val="nil"/>
            </w:tcBorders>
            <w:shd w:val="clear" w:color="auto" w:fill="auto"/>
            <w:noWrap/>
            <w:vAlign w:val="bottom"/>
            <w:hideMark/>
          </w:tcPr>
          <w:p w14:paraId="2CD9D83F"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3C49BC5B" w14:textId="77777777" w:rsidR="00B9311E" w:rsidRPr="00BD77D8" w:rsidRDefault="00B9311E" w:rsidP="00B9311E">
            <w:pPr>
              <w:spacing w:after="0" w:line="240" w:lineRule="auto"/>
              <w:jc w:val="right"/>
              <w:rPr>
                <w:b/>
                <w:bCs/>
                <w:sz w:val="18"/>
                <w:szCs w:val="18"/>
              </w:rPr>
            </w:pPr>
            <w:r w:rsidRPr="00BD77D8">
              <w:rPr>
                <w:b/>
                <w:bCs/>
                <w:sz w:val="18"/>
                <w:szCs w:val="18"/>
              </w:rPr>
              <w:t xml:space="preserve">            (183)</w:t>
            </w:r>
          </w:p>
        </w:tc>
        <w:tc>
          <w:tcPr>
            <w:tcW w:w="1296" w:type="dxa"/>
            <w:tcBorders>
              <w:top w:val="nil"/>
              <w:left w:val="nil"/>
              <w:bottom w:val="nil"/>
              <w:right w:val="nil"/>
            </w:tcBorders>
            <w:shd w:val="clear" w:color="auto" w:fill="auto"/>
            <w:vAlign w:val="bottom"/>
            <w:hideMark/>
          </w:tcPr>
          <w:p w14:paraId="73CBD63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44" w:type="dxa"/>
            <w:tcBorders>
              <w:top w:val="nil"/>
              <w:left w:val="nil"/>
              <w:bottom w:val="nil"/>
              <w:right w:val="nil"/>
            </w:tcBorders>
            <w:shd w:val="clear" w:color="auto" w:fill="auto"/>
            <w:vAlign w:val="bottom"/>
            <w:hideMark/>
          </w:tcPr>
          <w:p w14:paraId="6DE69A34" w14:textId="77777777" w:rsidR="00B9311E" w:rsidRPr="00BD77D8" w:rsidRDefault="00B9311E" w:rsidP="00B9311E">
            <w:pPr>
              <w:spacing w:after="0" w:line="240" w:lineRule="auto"/>
              <w:jc w:val="right"/>
              <w:rPr>
                <w:sz w:val="18"/>
                <w:szCs w:val="18"/>
              </w:rPr>
            </w:pPr>
            <w:r w:rsidRPr="00BD77D8">
              <w:rPr>
                <w:sz w:val="18"/>
                <w:szCs w:val="18"/>
              </w:rPr>
              <w:t xml:space="preserve">            (183)</w:t>
            </w:r>
          </w:p>
        </w:tc>
        <w:tc>
          <w:tcPr>
            <w:tcW w:w="0" w:type="auto"/>
            <w:tcBorders>
              <w:top w:val="nil"/>
              <w:left w:val="nil"/>
              <w:bottom w:val="nil"/>
              <w:right w:val="nil"/>
            </w:tcBorders>
            <w:shd w:val="clear" w:color="auto" w:fill="auto"/>
            <w:vAlign w:val="bottom"/>
            <w:hideMark/>
          </w:tcPr>
          <w:p w14:paraId="42B6B7FF" w14:textId="77777777" w:rsidR="00B9311E" w:rsidRPr="00BD77D8" w:rsidRDefault="00B9311E" w:rsidP="00B9311E">
            <w:pPr>
              <w:spacing w:after="0" w:line="240" w:lineRule="auto"/>
              <w:jc w:val="right"/>
              <w:rPr>
                <w:sz w:val="18"/>
                <w:szCs w:val="18"/>
              </w:rPr>
            </w:pPr>
            <w:r w:rsidRPr="00BD77D8">
              <w:rPr>
                <w:sz w:val="18"/>
                <w:szCs w:val="18"/>
              </w:rPr>
              <w:t xml:space="preserve">            (183)</w:t>
            </w:r>
          </w:p>
        </w:tc>
      </w:tr>
      <w:tr w:rsidR="00BD77D8" w:rsidRPr="00BD77D8" w14:paraId="21A3B969" w14:textId="77777777" w:rsidTr="003057FB">
        <w:trPr>
          <w:trHeight w:val="262"/>
        </w:trPr>
        <w:tc>
          <w:tcPr>
            <w:tcW w:w="0" w:type="auto"/>
            <w:tcBorders>
              <w:top w:val="nil"/>
              <w:left w:val="nil"/>
              <w:bottom w:val="nil"/>
              <w:right w:val="nil"/>
            </w:tcBorders>
            <w:shd w:val="clear" w:color="auto" w:fill="auto"/>
            <w:noWrap/>
            <w:vAlign w:val="bottom"/>
            <w:hideMark/>
          </w:tcPr>
          <w:p w14:paraId="63207C05" w14:textId="77777777" w:rsidR="00B9311E" w:rsidRPr="00BD77D8" w:rsidRDefault="00B9311E" w:rsidP="00B9311E">
            <w:pPr>
              <w:spacing w:after="0" w:line="240" w:lineRule="auto"/>
              <w:ind w:firstLineChars="200" w:firstLine="360"/>
              <w:rPr>
                <w:sz w:val="18"/>
                <w:szCs w:val="18"/>
              </w:rPr>
            </w:pPr>
            <w:r w:rsidRPr="00BD77D8">
              <w:rPr>
                <w:sz w:val="18"/>
                <w:szCs w:val="18"/>
              </w:rPr>
              <w:t xml:space="preserve"> Equity injection </w:t>
            </w:r>
          </w:p>
        </w:tc>
        <w:tc>
          <w:tcPr>
            <w:tcW w:w="1050" w:type="dxa"/>
            <w:tcBorders>
              <w:top w:val="nil"/>
              <w:left w:val="nil"/>
              <w:bottom w:val="nil"/>
              <w:right w:val="nil"/>
            </w:tcBorders>
            <w:shd w:val="clear" w:color="auto" w:fill="auto"/>
            <w:noWrap/>
            <w:vAlign w:val="bottom"/>
            <w:hideMark/>
          </w:tcPr>
          <w:p w14:paraId="7042C952" w14:textId="77777777" w:rsidR="00B9311E" w:rsidRPr="00BD77D8" w:rsidRDefault="00B9311E" w:rsidP="00B9311E">
            <w:pPr>
              <w:spacing w:after="0" w:line="240" w:lineRule="auto"/>
              <w:ind w:firstLineChars="200" w:firstLine="360"/>
              <w:rPr>
                <w:sz w:val="18"/>
                <w:szCs w:val="18"/>
              </w:rPr>
            </w:pPr>
          </w:p>
        </w:tc>
        <w:tc>
          <w:tcPr>
            <w:tcW w:w="1090" w:type="dxa"/>
            <w:tcBorders>
              <w:top w:val="nil"/>
              <w:left w:val="nil"/>
              <w:bottom w:val="nil"/>
              <w:right w:val="nil"/>
            </w:tcBorders>
            <w:shd w:val="clear" w:color="auto" w:fill="auto"/>
            <w:vAlign w:val="bottom"/>
            <w:hideMark/>
          </w:tcPr>
          <w:p w14:paraId="4D323225" w14:textId="77777777" w:rsidR="00B9311E" w:rsidRPr="00BD77D8" w:rsidRDefault="00B9311E" w:rsidP="00B9311E">
            <w:pPr>
              <w:spacing w:after="0" w:line="240" w:lineRule="auto"/>
              <w:jc w:val="right"/>
              <w:rPr>
                <w:b/>
                <w:bCs/>
                <w:sz w:val="18"/>
                <w:szCs w:val="18"/>
              </w:rPr>
            </w:pPr>
            <w:r w:rsidRPr="00BD77D8">
              <w:rPr>
                <w:b/>
                <w:bCs/>
                <w:sz w:val="18"/>
                <w:szCs w:val="18"/>
              </w:rPr>
              <w:t xml:space="preserve">          2,244 </w:t>
            </w:r>
          </w:p>
        </w:tc>
        <w:tc>
          <w:tcPr>
            <w:tcW w:w="1296" w:type="dxa"/>
            <w:tcBorders>
              <w:top w:val="nil"/>
              <w:left w:val="nil"/>
              <w:bottom w:val="nil"/>
              <w:right w:val="nil"/>
            </w:tcBorders>
            <w:shd w:val="clear" w:color="auto" w:fill="auto"/>
            <w:vAlign w:val="bottom"/>
            <w:hideMark/>
          </w:tcPr>
          <w:p w14:paraId="19BA89E3" w14:textId="77777777" w:rsidR="00B9311E" w:rsidRPr="00BD77D8" w:rsidRDefault="00B9311E" w:rsidP="00B9311E">
            <w:pPr>
              <w:spacing w:after="0" w:line="240" w:lineRule="auto"/>
              <w:jc w:val="right"/>
              <w:rPr>
                <w:sz w:val="18"/>
                <w:szCs w:val="18"/>
              </w:rPr>
            </w:pPr>
            <w:r w:rsidRPr="00BD77D8">
              <w:rPr>
                <w:sz w:val="18"/>
                <w:szCs w:val="18"/>
              </w:rPr>
              <w:t xml:space="preserve">          6,670 </w:t>
            </w:r>
          </w:p>
        </w:tc>
        <w:tc>
          <w:tcPr>
            <w:tcW w:w="1344" w:type="dxa"/>
            <w:tcBorders>
              <w:top w:val="nil"/>
              <w:left w:val="nil"/>
              <w:bottom w:val="nil"/>
              <w:right w:val="nil"/>
            </w:tcBorders>
            <w:shd w:val="clear" w:color="auto" w:fill="auto"/>
            <w:vAlign w:val="bottom"/>
            <w:hideMark/>
          </w:tcPr>
          <w:p w14:paraId="24489824" w14:textId="77777777" w:rsidR="00B9311E" w:rsidRPr="00BD77D8" w:rsidRDefault="00B9311E" w:rsidP="00B9311E">
            <w:pPr>
              <w:spacing w:after="0" w:line="240" w:lineRule="auto"/>
              <w:jc w:val="right"/>
              <w:rPr>
                <w:sz w:val="18"/>
                <w:szCs w:val="18"/>
              </w:rPr>
            </w:pPr>
            <w:r w:rsidRPr="00BD77D8">
              <w:rPr>
                <w:sz w:val="18"/>
                <w:szCs w:val="18"/>
              </w:rPr>
              <w:t xml:space="preserve">        (4,426)</w:t>
            </w:r>
          </w:p>
        </w:tc>
        <w:tc>
          <w:tcPr>
            <w:tcW w:w="0" w:type="auto"/>
            <w:tcBorders>
              <w:top w:val="nil"/>
              <w:left w:val="nil"/>
              <w:bottom w:val="nil"/>
              <w:right w:val="nil"/>
            </w:tcBorders>
            <w:shd w:val="clear" w:color="auto" w:fill="auto"/>
            <w:vAlign w:val="bottom"/>
            <w:hideMark/>
          </w:tcPr>
          <w:p w14:paraId="10016C48" w14:textId="77777777" w:rsidR="00B9311E" w:rsidRPr="00BD77D8" w:rsidRDefault="00B9311E" w:rsidP="00B9311E">
            <w:pPr>
              <w:spacing w:after="0" w:line="240" w:lineRule="auto"/>
              <w:jc w:val="right"/>
              <w:rPr>
                <w:sz w:val="18"/>
                <w:szCs w:val="18"/>
              </w:rPr>
            </w:pPr>
            <w:r w:rsidRPr="00BD77D8">
              <w:rPr>
                <w:sz w:val="18"/>
                <w:szCs w:val="18"/>
              </w:rPr>
              <w:t xml:space="preserve">          4,501 </w:t>
            </w:r>
          </w:p>
        </w:tc>
      </w:tr>
      <w:tr w:rsidR="00BD77D8" w:rsidRPr="00BD77D8" w14:paraId="760B1904" w14:textId="77777777" w:rsidTr="003057FB">
        <w:trPr>
          <w:trHeight w:val="262"/>
        </w:trPr>
        <w:tc>
          <w:tcPr>
            <w:tcW w:w="0" w:type="auto"/>
            <w:tcBorders>
              <w:top w:val="nil"/>
              <w:left w:val="nil"/>
              <w:bottom w:val="nil"/>
              <w:right w:val="nil"/>
            </w:tcBorders>
            <w:shd w:val="clear" w:color="auto" w:fill="auto"/>
            <w:noWrap/>
            <w:vAlign w:val="bottom"/>
            <w:hideMark/>
          </w:tcPr>
          <w:p w14:paraId="210CADEA" w14:textId="77777777" w:rsidR="00B9311E" w:rsidRPr="00BD77D8" w:rsidRDefault="00B9311E" w:rsidP="00B9311E">
            <w:pPr>
              <w:spacing w:after="0" w:line="240" w:lineRule="auto"/>
              <w:rPr>
                <w:b/>
                <w:bCs/>
                <w:sz w:val="18"/>
                <w:szCs w:val="18"/>
              </w:rPr>
            </w:pPr>
            <w:r w:rsidRPr="00BD77D8">
              <w:rPr>
                <w:b/>
                <w:bCs/>
                <w:sz w:val="18"/>
                <w:szCs w:val="18"/>
              </w:rPr>
              <w:t xml:space="preserve"> Net cash provided by (used in) financing activities </w:t>
            </w:r>
          </w:p>
        </w:tc>
        <w:tc>
          <w:tcPr>
            <w:tcW w:w="1050" w:type="dxa"/>
            <w:tcBorders>
              <w:top w:val="nil"/>
              <w:left w:val="nil"/>
              <w:bottom w:val="nil"/>
              <w:right w:val="nil"/>
            </w:tcBorders>
            <w:shd w:val="clear" w:color="auto" w:fill="auto"/>
            <w:noWrap/>
            <w:vAlign w:val="bottom"/>
            <w:hideMark/>
          </w:tcPr>
          <w:p w14:paraId="7E78A965" w14:textId="77777777" w:rsidR="00B9311E" w:rsidRPr="00BD77D8" w:rsidRDefault="00B9311E" w:rsidP="00B9311E">
            <w:pPr>
              <w:spacing w:after="0" w:line="240" w:lineRule="auto"/>
              <w:rPr>
                <w:b/>
                <w:bCs/>
                <w:sz w:val="18"/>
                <w:szCs w:val="18"/>
              </w:rPr>
            </w:pPr>
          </w:p>
        </w:tc>
        <w:tc>
          <w:tcPr>
            <w:tcW w:w="1090" w:type="dxa"/>
            <w:tcBorders>
              <w:top w:val="single" w:sz="4" w:space="0" w:color="auto"/>
              <w:left w:val="nil"/>
              <w:bottom w:val="single" w:sz="4" w:space="0" w:color="auto"/>
              <w:right w:val="nil"/>
            </w:tcBorders>
            <w:shd w:val="clear" w:color="auto" w:fill="auto"/>
            <w:vAlign w:val="bottom"/>
            <w:hideMark/>
          </w:tcPr>
          <w:p w14:paraId="76077B27" w14:textId="77777777" w:rsidR="00B9311E" w:rsidRPr="00BD77D8" w:rsidRDefault="00B9311E" w:rsidP="00B9311E">
            <w:pPr>
              <w:spacing w:after="0" w:line="240" w:lineRule="auto"/>
              <w:jc w:val="right"/>
              <w:rPr>
                <w:b/>
                <w:bCs/>
                <w:sz w:val="18"/>
                <w:szCs w:val="18"/>
              </w:rPr>
            </w:pPr>
            <w:r w:rsidRPr="00BD77D8">
              <w:rPr>
                <w:b/>
                <w:bCs/>
                <w:sz w:val="18"/>
                <w:szCs w:val="18"/>
              </w:rPr>
              <w:t xml:space="preserve">          2,061 </w:t>
            </w:r>
          </w:p>
        </w:tc>
        <w:tc>
          <w:tcPr>
            <w:tcW w:w="1296" w:type="dxa"/>
            <w:tcBorders>
              <w:top w:val="single" w:sz="4" w:space="0" w:color="auto"/>
              <w:left w:val="nil"/>
              <w:bottom w:val="single" w:sz="4" w:space="0" w:color="auto"/>
              <w:right w:val="nil"/>
            </w:tcBorders>
            <w:shd w:val="clear" w:color="auto" w:fill="auto"/>
            <w:vAlign w:val="bottom"/>
            <w:hideMark/>
          </w:tcPr>
          <w:p w14:paraId="180C83ED" w14:textId="77777777" w:rsidR="00B9311E" w:rsidRPr="00BD77D8" w:rsidRDefault="00B9311E" w:rsidP="00B9311E">
            <w:pPr>
              <w:spacing w:after="0" w:line="240" w:lineRule="auto"/>
              <w:jc w:val="right"/>
              <w:rPr>
                <w:b/>
                <w:bCs/>
                <w:sz w:val="18"/>
                <w:szCs w:val="18"/>
              </w:rPr>
            </w:pPr>
            <w:r w:rsidRPr="00BD77D8">
              <w:rPr>
                <w:b/>
                <w:bCs/>
                <w:sz w:val="18"/>
                <w:szCs w:val="18"/>
              </w:rPr>
              <w:t xml:space="preserve">          6,670 </w:t>
            </w:r>
          </w:p>
        </w:tc>
        <w:tc>
          <w:tcPr>
            <w:tcW w:w="1344" w:type="dxa"/>
            <w:tcBorders>
              <w:top w:val="single" w:sz="4" w:space="0" w:color="auto"/>
              <w:left w:val="nil"/>
              <w:bottom w:val="single" w:sz="4" w:space="0" w:color="auto"/>
              <w:right w:val="nil"/>
            </w:tcBorders>
            <w:shd w:val="clear" w:color="auto" w:fill="auto"/>
            <w:vAlign w:val="bottom"/>
            <w:hideMark/>
          </w:tcPr>
          <w:p w14:paraId="332DDF35" w14:textId="77777777" w:rsidR="00B9311E" w:rsidRPr="00BD77D8" w:rsidRDefault="00B9311E" w:rsidP="00B9311E">
            <w:pPr>
              <w:spacing w:after="0" w:line="240" w:lineRule="auto"/>
              <w:jc w:val="right"/>
              <w:rPr>
                <w:b/>
                <w:bCs/>
                <w:sz w:val="18"/>
                <w:szCs w:val="18"/>
              </w:rPr>
            </w:pPr>
            <w:r w:rsidRPr="00BD77D8">
              <w:rPr>
                <w:b/>
                <w:bCs/>
                <w:sz w:val="18"/>
                <w:szCs w:val="18"/>
              </w:rPr>
              <w:t xml:space="preserve">        (4,609)</w:t>
            </w:r>
          </w:p>
        </w:tc>
        <w:tc>
          <w:tcPr>
            <w:tcW w:w="0" w:type="auto"/>
            <w:tcBorders>
              <w:top w:val="single" w:sz="4" w:space="0" w:color="auto"/>
              <w:left w:val="nil"/>
              <w:bottom w:val="single" w:sz="4" w:space="0" w:color="auto"/>
              <w:right w:val="nil"/>
            </w:tcBorders>
            <w:shd w:val="clear" w:color="auto" w:fill="auto"/>
            <w:vAlign w:val="bottom"/>
            <w:hideMark/>
          </w:tcPr>
          <w:p w14:paraId="01D8D25E" w14:textId="77777777" w:rsidR="00B9311E" w:rsidRPr="00BD77D8" w:rsidRDefault="00B9311E" w:rsidP="00B9311E">
            <w:pPr>
              <w:spacing w:after="0" w:line="240" w:lineRule="auto"/>
              <w:jc w:val="right"/>
              <w:rPr>
                <w:b/>
                <w:bCs/>
                <w:sz w:val="18"/>
                <w:szCs w:val="18"/>
              </w:rPr>
            </w:pPr>
            <w:r w:rsidRPr="00BD77D8">
              <w:rPr>
                <w:b/>
                <w:bCs/>
                <w:sz w:val="18"/>
                <w:szCs w:val="18"/>
              </w:rPr>
              <w:t xml:space="preserve">          4,318 </w:t>
            </w:r>
          </w:p>
        </w:tc>
      </w:tr>
      <w:tr w:rsidR="00BD77D8" w:rsidRPr="00BD77D8" w14:paraId="1B584B2E" w14:textId="77777777" w:rsidTr="003057FB">
        <w:trPr>
          <w:trHeight w:val="262"/>
        </w:trPr>
        <w:tc>
          <w:tcPr>
            <w:tcW w:w="0" w:type="auto"/>
            <w:tcBorders>
              <w:top w:val="nil"/>
              <w:left w:val="nil"/>
              <w:bottom w:val="nil"/>
              <w:right w:val="nil"/>
            </w:tcBorders>
            <w:shd w:val="clear" w:color="auto" w:fill="auto"/>
            <w:noWrap/>
            <w:vAlign w:val="bottom"/>
            <w:hideMark/>
          </w:tcPr>
          <w:p w14:paraId="22CBA97D" w14:textId="77777777" w:rsidR="00B9311E" w:rsidRPr="00BD77D8" w:rsidRDefault="00B9311E" w:rsidP="00B9311E">
            <w:pPr>
              <w:spacing w:after="0" w:line="240" w:lineRule="auto"/>
              <w:jc w:val="right"/>
              <w:rPr>
                <w:b/>
                <w:bCs/>
                <w:sz w:val="18"/>
                <w:szCs w:val="18"/>
              </w:rPr>
            </w:pPr>
          </w:p>
        </w:tc>
        <w:tc>
          <w:tcPr>
            <w:tcW w:w="1050" w:type="dxa"/>
            <w:tcBorders>
              <w:top w:val="nil"/>
              <w:left w:val="nil"/>
              <w:bottom w:val="nil"/>
              <w:right w:val="nil"/>
            </w:tcBorders>
            <w:shd w:val="clear" w:color="auto" w:fill="auto"/>
            <w:noWrap/>
            <w:vAlign w:val="bottom"/>
            <w:hideMark/>
          </w:tcPr>
          <w:p w14:paraId="7A31F4B4" w14:textId="77777777" w:rsidR="00B9311E" w:rsidRPr="00BD77D8" w:rsidRDefault="00B9311E" w:rsidP="00B9311E">
            <w:pPr>
              <w:spacing w:after="0" w:line="240" w:lineRule="auto"/>
              <w:rPr>
                <w:rFonts w:ascii="Times New Roman" w:hAnsi="Times New Roman" w:cs="Times New Roman"/>
                <w:b/>
                <w:bCs/>
                <w:sz w:val="20"/>
                <w:szCs w:val="20"/>
              </w:rPr>
            </w:pPr>
          </w:p>
        </w:tc>
        <w:tc>
          <w:tcPr>
            <w:tcW w:w="1090" w:type="dxa"/>
            <w:tcBorders>
              <w:top w:val="nil"/>
              <w:left w:val="nil"/>
              <w:bottom w:val="nil"/>
              <w:right w:val="nil"/>
            </w:tcBorders>
            <w:shd w:val="clear" w:color="auto" w:fill="auto"/>
            <w:vAlign w:val="bottom"/>
            <w:hideMark/>
          </w:tcPr>
          <w:p w14:paraId="6985847D"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96" w:type="dxa"/>
            <w:tcBorders>
              <w:top w:val="nil"/>
              <w:left w:val="nil"/>
              <w:bottom w:val="nil"/>
              <w:right w:val="nil"/>
            </w:tcBorders>
            <w:shd w:val="clear" w:color="auto" w:fill="auto"/>
            <w:vAlign w:val="bottom"/>
            <w:hideMark/>
          </w:tcPr>
          <w:p w14:paraId="4238AD37"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344" w:type="dxa"/>
            <w:tcBorders>
              <w:top w:val="nil"/>
              <w:left w:val="nil"/>
              <w:bottom w:val="nil"/>
              <w:right w:val="nil"/>
            </w:tcBorders>
            <w:shd w:val="clear" w:color="auto" w:fill="auto"/>
            <w:vAlign w:val="bottom"/>
            <w:hideMark/>
          </w:tcPr>
          <w:p w14:paraId="1359EFD9"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7C531BA4"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1AE894F" w14:textId="77777777" w:rsidTr="003057FB">
        <w:trPr>
          <w:trHeight w:val="262"/>
        </w:trPr>
        <w:tc>
          <w:tcPr>
            <w:tcW w:w="0" w:type="auto"/>
            <w:tcBorders>
              <w:top w:val="nil"/>
              <w:left w:val="nil"/>
              <w:bottom w:val="nil"/>
              <w:right w:val="nil"/>
            </w:tcBorders>
            <w:shd w:val="clear" w:color="auto" w:fill="auto"/>
            <w:noWrap/>
            <w:vAlign w:val="bottom"/>
            <w:hideMark/>
          </w:tcPr>
          <w:p w14:paraId="2548ED11" w14:textId="77777777" w:rsidR="00B9311E" w:rsidRPr="00BD77D8" w:rsidRDefault="00B9311E" w:rsidP="00B9311E">
            <w:pPr>
              <w:spacing w:after="0" w:line="240" w:lineRule="auto"/>
              <w:rPr>
                <w:sz w:val="18"/>
                <w:szCs w:val="18"/>
              </w:rPr>
            </w:pPr>
            <w:r w:rsidRPr="00BD77D8">
              <w:rPr>
                <w:sz w:val="18"/>
                <w:szCs w:val="18"/>
              </w:rPr>
              <w:t xml:space="preserve"> Net (decrease) increase in cash and cash equivalents </w:t>
            </w:r>
          </w:p>
        </w:tc>
        <w:tc>
          <w:tcPr>
            <w:tcW w:w="1050" w:type="dxa"/>
            <w:tcBorders>
              <w:top w:val="nil"/>
              <w:left w:val="nil"/>
              <w:bottom w:val="nil"/>
              <w:right w:val="nil"/>
            </w:tcBorders>
            <w:shd w:val="clear" w:color="auto" w:fill="auto"/>
            <w:noWrap/>
            <w:vAlign w:val="bottom"/>
            <w:hideMark/>
          </w:tcPr>
          <w:p w14:paraId="79BB7858" w14:textId="77777777" w:rsidR="00B9311E" w:rsidRPr="00BD77D8" w:rsidRDefault="00B9311E" w:rsidP="00B9311E">
            <w:pPr>
              <w:spacing w:after="0" w:line="240" w:lineRule="auto"/>
              <w:rPr>
                <w:sz w:val="18"/>
                <w:szCs w:val="18"/>
              </w:rPr>
            </w:pPr>
          </w:p>
        </w:tc>
        <w:tc>
          <w:tcPr>
            <w:tcW w:w="1090" w:type="dxa"/>
            <w:tcBorders>
              <w:top w:val="nil"/>
              <w:left w:val="nil"/>
              <w:bottom w:val="nil"/>
              <w:right w:val="nil"/>
            </w:tcBorders>
            <w:shd w:val="clear" w:color="auto" w:fill="auto"/>
            <w:vAlign w:val="bottom"/>
            <w:hideMark/>
          </w:tcPr>
          <w:p w14:paraId="2804B9A3" w14:textId="77777777" w:rsidR="00B9311E" w:rsidRPr="00BD77D8" w:rsidRDefault="00B9311E" w:rsidP="00B9311E">
            <w:pPr>
              <w:spacing w:after="0" w:line="240" w:lineRule="auto"/>
              <w:jc w:val="right"/>
              <w:rPr>
                <w:b/>
                <w:bCs/>
                <w:sz w:val="18"/>
                <w:szCs w:val="18"/>
              </w:rPr>
            </w:pPr>
            <w:r w:rsidRPr="00BD77D8">
              <w:rPr>
                <w:b/>
                <w:bCs/>
                <w:sz w:val="18"/>
                <w:szCs w:val="18"/>
              </w:rPr>
              <w:t xml:space="preserve">        (3,835)</w:t>
            </w:r>
          </w:p>
        </w:tc>
        <w:tc>
          <w:tcPr>
            <w:tcW w:w="1296" w:type="dxa"/>
            <w:tcBorders>
              <w:top w:val="nil"/>
              <w:left w:val="nil"/>
              <w:bottom w:val="nil"/>
              <w:right w:val="nil"/>
            </w:tcBorders>
            <w:shd w:val="clear" w:color="auto" w:fill="auto"/>
            <w:vAlign w:val="bottom"/>
            <w:hideMark/>
          </w:tcPr>
          <w:p w14:paraId="58526AD2" w14:textId="77777777" w:rsidR="00B9311E" w:rsidRPr="00BD77D8" w:rsidRDefault="00B9311E" w:rsidP="00B9311E">
            <w:pPr>
              <w:spacing w:after="0" w:line="240" w:lineRule="auto"/>
              <w:jc w:val="right"/>
              <w:rPr>
                <w:sz w:val="18"/>
                <w:szCs w:val="18"/>
              </w:rPr>
            </w:pPr>
            <w:r w:rsidRPr="00BD77D8">
              <w:rPr>
                <w:sz w:val="18"/>
                <w:szCs w:val="18"/>
              </w:rPr>
              <w:t xml:space="preserve">          3,998 </w:t>
            </w:r>
          </w:p>
        </w:tc>
        <w:tc>
          <w:tcPr>
            <w:tcW w:w="1344" w:type="dxa"/>
            <w:tcBorders>
              <w:top w:val="nil"/>
              <w:left w:val="nil"/>
              <w:bottom w:val="nil"/>
              <w:right w:val="nil"/>
            </w:tcBorders>
            <w:shd w:val="clear" w:color="auto" w:fill="auto"/>
            <w:vAlign w:val="bottom"/>
            <w:hideMark/>
          </w:tcPr>
          <w:p w14:paraId="6CD8D480" w14:textId="77777777" w:rsidR="00B9311E" w:rsidRPr="00BD77D8" w:rsidRDefault="00B9311E" w:rsidP="00B9311E">
            <w:pPr>
              <w:spacing w:after="0" w:line="240" w:lineRule="auto"/>
              <w:jc w:val="right"/>
              <w:rPr>
                <w:sz w:val="18"/>
                <w:szCs w:val="18"/>
              </w:rPr>
            </w:pPr>
            <w:r w:rsidRPr="00BD77D8">
              <w:rPr>
                <w:sz w:val="18"/>
                <w:szCs w:val="18"/>
              </w:rPr>
              <w:t xml:space="preserve">        (7,833)</w:t>
            </w:r>
          </w:p>
        </w:tc>
        <w:tc>
          <w:tcPr>
            <w:tcW w:w="0" w:type="auto"/>
            <w:tcBorders>
              <w:top w:val="nil"/>
              <w:left w:val="nil"/>
              <w:bottom w:val="nil"/>
              <w:right w:val="nil"/>
            </w:tcBorders>
            <w:shd w:val="clear" w:color="auto" w:fill="auto"/>
            <w:vAlign w:val="bottom"/>
            <w:hideMark/>
          </w:tcPr>
          <w:p w14:paraId="555D2703" w14:textId="77777777" w:rsidR="00B9311E" w:rsidRPr="00BD77D8" w:rsidRDefault="00B9311E" w:rsidP="00B9311E">
            <w:pPr>
              <w:spacing w:after="0" w:line="240" w:lineRule="auto"/>
              <w:jc w:val="right"/>
              <w:rPr>
                <w:sz w:val="18"/>
                <w:szCs w:val="18"/>
              </w:rPr>
            </w:pPr>
            <w:r w:rsidRPr="00BD77D8">
              <w:rPr>
                <w:sz w:val="18"/>
                <w:szCs w:val="18"/>
              </w:rPr>
              <w:t xml:space="preserve">        (9,105)</w:t>
            </w:r>
          </w:p>
        </w:tc>
      </w:tr>
      <w:tr w:rsidR="00BD77D8" w:rsidRPr="00BD77D8" w14:paraId="36DC524F" w14:textId="77777777" w:rsidTr="003057FB">
        <w:trPr>
          <w:trHeight w:val="262"/>
        </w:trPr>
        <w:tc>
          <w:tcPr>
            <w:tcW w:w="0" w:type="auto"/>
            <w:tcBorders>
              <w:top w:val="nil"/>
              <w:left w:val="nil"/>
              <w:bottom w:val="nil"/>
              <w:right w:val="nil"/>
            </w:tcBorders>
            <w:shd w:val="clear" w:color="auto" w:fill="auto"/>
            <w:noWrap/>
            <w:vAlign w:val="bottom"/>
            <w:hideMark/>
          </w:tcPr>
          <w:p w14:paraId="4FD69921" w14:textId="77777777" w:rsidR="00B9311E" w:rsidRPr="00BD77D8" w:rsidRDefault="00B9311E" w:rsidP="00B9311E">
            <w:pPr>
              <w:spacing w:after="0" w:line="240" w:lineRule="auto"/>
              <w:rPr>
                <w:b/>
                <w:bCs/>
                <w:sz w:val="18"/>
                <w:szCs w:val="18"/>
              </w:rPr>
            </w:pPr>
            <w:r w:rsidRPr="00BD77D8">
              <w:rPr>
                <w:b/>
                <w:bCs/>
                <w:sz w:val="18"/>
                <w:szCs w:val="18"/>
              </w:rPr>
              <w:t xml:space="preserve"> Cash and Cash Equivalents - Opening balance </w:t>
            </w:r>
          </w:p>
        </w:tc>
        <w:tc>
          <w:tcPr>
            <w:tcW w:w="1050" w:type="dxa"/>
            <w:tcBorders>
              <w:top w:val="nil"/>
              <w:left w:val="nil"/>
              <w:bottom w:val="nil"/>
              <w:right w:val="nil"/>
            </w:tcBorders>
            <w:shd w:val="clear" w:color="auto" w:fill="auto"/>
            <w:noWrap/>
            <w:vAlign w:val="bottom"/>
            <w:hideMark/>
          </w:tcPr>
          <w:p w14:paraId="76BD6386"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vAlign w:val="bottom"/>
            <w:hideMark/>
          </w:tcPr>
          <w:p w14:paraId="5A9FF208" w14:textId="77777777" w:rsidR="00B9311E" w:rsidRPr="00BD77D8" w:rsidRDefault="00B9311E" w:rsidP="00B9311E">
            <w:pPr>
              <w:spacing w:after="0" w:line="240" w:lineRule="auto"/>
              <w:jc w:val="right"/>
              <w:rPr>
                <w:b/>
                <w:bCs/>
                <w:sz w:val="18"/>
                <w:szCs w:val="18"/>
              </w:rPr>
            </w:pPr>
            <w:r w:rsidRPr="00BD77D8">
              <w:rPr>
                <w:b/>
                <w:bCs/>
                <w:sz w:val="18"/>
                <w:szCs w:val="18"/>
              </w:rPr>
              <w:t xml:space="preserve">        54,840 </w:t>
            </w:r>
          </w:p>
        </w:tc>
        <w:tc>
          <w:tcPr>
            <w:tcW w:w="1296" w:type="dxa"/>
            <w:tcBorders>
              <w:top w:val="nil"/>
              <w:left w:val="nil"/>
              <w:bottom w:val="nil"/>
              <w:right w:val="nil"/>
            </w:tcBorders>
            <w:shd w:val="clear" w:color="auto" w:fill="auto"/>
            <w:vAlign w:val="bottom"/>
            <w:hideMark/>
          </w:tcPr>
          <w:p w14:paraId="4514FB8A" w14:textId="77777777" w:rsidR="00B9311E" w:rsidRPr="00BD77D8" w:rsidRDefault="00B9311E" w:rsidP="00B9311E">
            <w:pPr>
              <w:spacing w:after="0" w:line="240" w:lineRule="auto"/>
              <w:jc w:val="right"/>
              <w:rPr>
                <w:b/>
                <w:bCs/>
                <w:sz w:val="18"/>
                <w:szCs w:val="18"/>
              </w:rPr>
            </w:pPr>
            <w:r w:rsidRPr="00BD77D8">
              <w:rPr>
                <w:b/>
                <w:bCs/>
                <w:sz w:val="18"/>
                <w:szCs w:val="18"/>
              </w:rPr>
              <w:t xml:space="preserve">        20,253 </w:t>
            </w:r>
          </w:p>
        </w:tc>
        <w:tc>
          <w:tcPr>
            <w:tcW w:w="1344" w:type="dxa"/>
            <w:tcBorders>
              <w:top w:val="nil"/>
              <w:left w:val="nil"/>
              <w:bottom w:val="nil"/>
              <w:right w:val="nil"/>
            </w:tcBorders>
            <w:shd w:val="clear" w:color="auto" w:fill="auto"/>
            <w:vAlign w:val="bottom"/>
            <w:hideMark/>
          </w:tcPr>
          <w:p w14:paraId="5102C6C8" w14:textId="77777777" w:rsidR="00B9311E" w:rsidRPr="00BD77D8" w:rsidRDefault="00B9311E" w:rsidP="00B9311E">
            <w:pPr>
              <w:spacing w:after="0" w:line="240" w:lineRule="auto"/>
              <w:jc w:val="right"/>
              <w:rPr>
                <w:b/>
                <w:bCs/>
                <w:sz w:val="18"/>
                <w:szCs w:val="18"/>
              </w:rPr>
            </w:pPr>
            <w:r w:rsidRPr="00BD77D8">
              <w:rPr>
                <w:b/>
                <w:bCs/>
                <w:sz w:val="18"/>
                <w:szCs w:val="18"/>
              </w:rPr>
              <w:t xml:space="preserve">        34,587 </w:t>
            </w:r>
          </w:p>
        </w:tc>
        <w:tc>
          <w:tcPr>
            <w:tcW w:w="0" w:type="auto"/>
            <w:tcBorders>
              <w:top w:val="nil"/>
              <w:left w:val="nil"/>
              <w:bottom w:val="nil"/>
              <w:right w:val="nil"/>
            </w:tcBorders>
            <w:shd w:val="clear" w:color="auto" w:fill="auto"/>
            <w:vAlign w:val="bottom"/>
            <w:hideMark/>
          </w:tcPr>
          <w:p w14:paraId="7290C4D7" w14:textId="77777777" w:rsidR="00B9311E" w:rsidRPr="00BD77D8" w:rsidRDefault="00B9311E" w:rsidP="00B9311E">
            <w:pPr>
              <w:spacing w:after="0" w:line="240" w:lineRule="auto"/>
              <w:jc w:val="right"/>
              <w:rPr>
                <w:b/>
                <w:bCs/>
                <w:sz w:val="18"/>
                <w:szCs w:val="18"/>
              </w:rPr>
            </w:pPr>
            <w:r w:rsidRPr="00BD77D8">
              <w:rPr>
                <w:b/>
                <w:bCs/>
                <w:sz w:val="18"/>
                <w:szCs w:val="18"/>
              </w:rPr>
              <w:t xml:space="preserve">        72,041 </w:t>
            </w:r>
          </w:p>
        </w:tc>
      </w:tr>
      <w:tr w:rsidR="00BD77D8" w:rsidRPr="00BD77D8" w14:paraId="6FB20C91" w14:textId="77777777" w:rsidTr="003057FB">
        <w:trPr>
          <w:trHeight w:val="262"/>
        </w:trPr>
        <w:tc>
          <w:tcPr>
            <w:tcW w:w="0" w:type="auto"/>
            <w:tcBorders>
              <w:top w:val="nil"/>
              <w:left w:val="nil"/>
              <w:bottom w:val="nil"/>
              <w:right w:val="nil"/>
            </w:tcBorders>
            <w:shd w:val="clear" w:color="auto" w:fill="auto"/>
            <w:noWrap/>
            <w:vAlign w:val="bottom"/>
            <w:hideMark/>
          </w:tcPr>
          <w:p w14:paraId="3D4E713F" w14:textId="77777777" w:rsidR="00B9311E" w:rsidRPr="00BD77D8" w:rsidRDefault="00B9311E" w:rsidP="00B9311E">
            <w:pPr>
              <w:spacing w:after="0" w:line="240" w:lineRule="auto"/>
              <w:rPr>
                <w:b/>
                <w:bCs/>
                <w:sz w:val="18"/>
                <w:szCs w:val="18"/>
              </w:rPr>
            </w:pPr>
            <w:r w:rsidRPr="00BD77D8">
              <w:rPr>
                <w:b/>
                <w:bCs/>
                <w:sz w:val="18"/>
                <w:szCs w:val="18"/>
              </w:rPr>
              <w:t xml:space="preserve"> Cash transfers from restructure </w:t>
            </w:r>
          </w:p>
        </w:tc>
        <w:tc>
          <w:tcPr>
            <w:tcW w:w="1050" w:type="dxa"/>
            <w:tcBorders>
              <w:top w:val="nil"/>
              <w:left w:val="nil"/>
              <w:bottom w:val="nil"/>
              <w:right w:val="nil"/>
            </w:tcBorders>
            <w:shd w:val="clear" w:color="auto" w:fill="auto"/>
            <w:noWrap/>
            <w:vAlign w:val="bottom"/>
            <w:hideMark/>
          </w:tcPr>
          <w:p w14:paraId="055B61D8" w14:textId="77777777" w:rsidR="00B9311E" w:rsidRPr="00BD77D8" w:rsidRDefault="00B9311E" w:rsidP="00B9311E">
            <w:pPr>
              <w:spacing w:after="0" w:line="240" w:lineRule="auto"/>
              <w:rPr>
                <w:b/>
                <w:bCs/>
                <w:sz w:val="18"/>
                <w:szCs w:val="18"/>
              </w:rPr>
            </w:pPr>
          </w:p>
        </w:tc>
        <w:tc>
          <w:tcPr>
            <w:tcW w:w="1090" w:type="dxa"/>
            <w:tcBorders>
              <w:top w:val="nil"/>
              <w:left w:val="nil"/>
              <w:bottom w:val="nil"/>
              <w:right w:val="nil"/>
            </w:tcBorders>
            <w:shd w:val="clear" w:color="auto" w:fill="auto"/>
            <w:vAlign w:val="bottom"/>
            <w:hideMark/>
          </w:tcPr>
          <w:p w14:paraId="1DC55AC9"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96" w:type="dxa"/>
            <w:tcBorders>
              <w:top w:val="nil"/>
              <w:left w:val="nil"/>
              <w:bottom w:val="nil"/>
              <w:right w:val="nil"/>
            </w:tcBorders>
            <w:shd w:val="clear" w:color="auto" w:fill="auto"/>
            <w:vAlign w:val="bottom"/>
            <w:hideMark/>
          </w:tcPr>
          <w:p w14:paraId="37389727"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344" w:type="dxa"/>
            <w:tcBorders>
              <w:top w:val="nil"/>
              <w:left w:val="nil"/>
              <w:bottom w:val="nil"/>
              <w:right w:val="nil"/>
            </w:tcBorders>
            <w:shd w:val="clear" w:color="auto" w:fill="auto"/>
            <w:vAlign w:val="bottom"/>
            <w:hideMark/>
          </w:tcPr>
          <w:p w14:paraId="110B8D9C"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0344565E" w14:textId="77777777" w:rsidR="00B9311E" w:rsidRPr="00BD77D8" w:rsidRDefault="00B9311E" w:rsidP="00B9311E">
            <w:pPr>
              <w:spacing w:after="0" w:line="240" w:lineRule="auto"/>
              <w:jc w:val="right"/>
              <w:rPr>
                <w:b/>
                <w:bCs/>
                <w:sz w:val="18"/>
                <w:szCs w:val="18"/>
              </w:rPr>
            </w:pPr>
            <w:r w:rsidRPr="00BD77D8">
              <w:rPr>
                <w:b/>
                <w:bCs/>
                <w:sz w:val="18"/>
                <w:szCs w:val="18"/>
              </w:rPr>
              <w:t xml:space="preserve">        (8,097)</w:t>
            </w:r>
          </w:p>
        </w:tc>
      </w:tr>
      <w:tr w:rsidR="00BD77D8" w:rsidRPr="00BD77D8" w14:paraId="58F841B7" w14:textId="77777777" w:rsidTr="003057FB">
        <w:trPr>
          <w:trHeight w:val="262"/>
        </w:trPr>
        <w:tc>
          <w:tcPr>
            <w:tcW w:w="0" w:type="auto"/>
            <w:tcBorders>
              <w:top w:val="nil"/>
              <w:left w:val="nil"/>
              <w:bottom w:val="nil"/>
              <w:right w:val="nil"/>
            </w:tcBorders>
            <w:shd w:val="clear" w:color="auto" w:fill="auto"/>
            <w:noWrap/>
            <w:vAlign w:val="bottom"/>
            <w:hideMark/>
          </w:tcPr>
          <w:p w14:paraId="1C990E44" w14:textId="77777777" w:rsidR="00B9311E" w:rsidRPr="00BD77D8" w:rsidRDefault="00B9311E" w:rsidP="00B9311E">
            <w:pPr>
              <w:spacing w:after="0" w:line="240" w:lineRule="auto"/>
              <w:rPr>
                <w:b/>
                <w:bCs/>
                <w:sz w:val="18"/>
                <w:szCs w:val="18"/>
              </w:rPr>
            </w:pPr>
            <w:r w:rsidRPr="00BD77D8">
              <w:rPr>
                <w:b/>
                <w:bCs/>
                <w:sz w:val="18"/>
                <w:szCs w:val="18"/>
              </w:rPr>
              <w:t xml:space="preserve"> Cash and Cash Equivalents - Closing balance </w:t>
            </w:r>
          </w:p>
        </w:tc>
        <w:tc>
          <w:tcPr>
            <w:tcW w:w="1050" w:type="dxa"/>
            <w:tcBorders>
              <w:top w:val="nil"/>
              <w:left w:val="nil"/>
              <w:bottom w:val="nil"/>
              <w:right w:val="nil"/>
            </w:tcBorders>
            <w:shd w:val="clear" w:color="auto" w:fill="auto"/>
            <w:noWrap/>
            <w:vAlign w:val="bottom"/>
            <w:hideMark/>
          </w:tcPr>
          <w:p w14:paraId="36C50D5D" w14:textId="77777777" w:rsidR="00B9311E" w:rsidRPr="00BD77D8" w:rsidRDefault="00B9311E" w:rsidP="00B9311E">
            <w:pPr>
              <w:spacing w:after="0" w:line="240" w:lineRule="auto"/>
              <w:jc w:val="center"/>
              <w:rPr>
                <w:b/>
                <w:bCs/>
                <w:sz w:val="18"/>
                <w:szCs w:val="18"/>
              </w:rPr>
            </w:pPr>
            <w:r w:rsidRPr="00BD77D8">
              <w:rPr>
                <w:b/>
                <w:bCs/>
                <w:sz w:val="18"/>
                <w:szCs w:val="18"/>
              </w:rPr>
              <w:t xml:space="preserve"> C1 </w:t>
            </w:r>
          </w:p>
        </w:tc>
        <w:tc>
          <w:tcPr>
            <w:tcW w:w="1090" w:type="dxa"/>
            <w:tcBorders>
              <w:top w:val="single" w:sz="4" w:space="0" w:color="auto"/>
              <w:left w:val="nil"/>
              <w:bottom w:val="single" w:sz="4" w:space="0" w:color="auto"/>
              <w:right w:val="nil"/>
            </w:tcBorders>
            <w:shd w:val="clear" w:color="auto" w:fill="auto"/>
            <w:vAlign w:val="bottom"/>
            <w:hideMark/>
          </w:tcPr>
          <w:p w14:paraId="409E6747" w14:textId="77777777" w:rsidR="00B9311E" w:rsidRPr="00BD77D8" w:rsidRDefault="00B9311E" w:rsidP="00B9311E">
            <w:pPr>
              <w:spacing w:after="0" w:line="240" w:lineRule="auto"/>
              <w:jc w:val="right"/>
              <w:rPr>
                <w:b/>
                <w:bCs/>
                <w:sz w:val="18"/>
                <w:szCs w:val="18"/>
              </w:rPr>
            </w:pPr>
            <w:r w:rsidRPr="00BD77D8">
              <w:rPr>
                <w:b/>
                <w:bCs/>
                <w:sz w:val="18"/>
                <w:szCs w:val="18"/>
              </w:rPr>
              <w:t xml:space="preserve">        51,005 </w:t>
            </w:r>
          </w:p>
        </w:tc>
        <w:tc>
          <w:tcPr>
            <w:tcW w:w="1296" w:type="dxa"/>
            <w:tcBorders>
              <w:top w:val="single" w:sz="4" w:space="0" w:color="auto"/>
              <w:left w:val="nil"/>
              <w:bottom w:val="single" w:sz="4" w:space="0" w:color="auto"/>
              <w:right w:val="nil"/>
            </w:tcBorders>
            <w:shd w:val="clear" w:color="auto" w:fill="auto"/>
            <w:vAlign w:val="bottom"/>
            <w:hideMark/>
          </w:tcPr>
          <w:p w14:paraId="17ECD501" w14:textId="77777777" w:rsidR="00B9311E" w:rsidRPr="00BD77D8" w:rsidRDefault="00B9311E" w:rsidP="00B9311E">
            <w:pPr>
              <w:spacing w:after="0" w:line="240" w:lineRule="auto"/>
              <w:jc w:val="right"/>
              <w:rPr>
                <w:b/>
                <w:bCs/>
                <w:sz w:val="18"/>
                <w:szCs w:val="18"/>
              </w:rPr>
            </w:pPr>
            <w:r w:rsidRPr="00BD77D8">
              <w:rPr>
                <w:b/>
                <w:bCs/>
                <w:sz w:val="18"/>
                <w:szCs w:val="18"/>
              </w:rPr>
              <w:t xml:space="preserve">        24,251 </w:t>
            </w:r>
          </w:p>
        </w:tc>
        <w:tc>
          <w:tcPr>
            <w:tcW w:w="1344" w:type="dxa"/>
            <w:tcBorders>
              <w:top w:val="single" w:sz="4" w:space="0" w:color="auto"/>
              <w:left w:val="nil"/>
              <w:bottom w:val="single" w:sz="4" w:space="0" w:color="auto"/>
              <w:right w:val="nil"/>
            </w:tcBorders>
            <w:shd w:val="clear" w:color="auto" w:fill="auto"/>
            <w:vAlign w:val="bottom"/>
            <w:hideMark/>
          </w:tcPr>
          <w:p w14:paraId="73B44267" w14:textId="77777777" w:rsidR="00B9311E" w:rsidRPr="00BD77D8" w:rsidRDefault="00B9311E" w:rsidP="00B9311E">
            <w:pPr>
              <w:spacing w:after="0" w:line="240" w:lineRule="auto"/>
              <w:jc w:val="right"/>
              <w:rPr>
                <w:b/>
                <w:bCs/>
                <w:sz w:val="18"/>
                <w:szCs w:val="18"/>
              </w:rPr>
            </w:pPr>
            <w:r w:rsidRPr="00BD77D8">
              <w:rPr>
                <w:b/>
                <w:bCs/>
                <w:sz w:val="18"/>
                <w:szCs w:val="18"/>
              </w:rPr>
              <w:t xml:space="preserve">        26,754 </w:t>
            </w:r>
          </w:p>
        </w:tc>
        <w:tc>
          <w:tcPr>
            <w:tcW w:w="0" w:type="auto"/>
            <w:tcBorders>
              <w:top w:val="single" w:sz="4" w:space="0" w:color="auto"/>
              <w:left w:val="nil"/>
              <w:bottom w:val="single" w:sz="4" w:space="0" w:color="auto"/>
              <w:right w:val="nil"/>
            </w:tcBorders>
            <w:shd w:val="clear" w:color="auto" w:fill="auto"/>
            <w:vAlign w:val="bottom"/>
            <w:hideMark/>
          </w:tcPr>
          <w:p w14:paraId="65646EB7" w14:textId="77777777" w:rsidR="00B9311E" w:rsidRPr="00BD77D8" w:rsidRDefault="00B9311E" w:rsidP="00B9311E">
            <w:pPr>
              <w:spacing w:after="0" w:line="240" w:lineRule="auto"/>
              <w:jc w:val="right"/>
              <w:rPr>
                <w:b/>
                <w:bCs/>
                <w:sz w:val="18"/>
                <w:szCs w:val="18"/>
              </w:rPr>
            </w:pPr>
            <w:r w:rsidRPr="00BD77D8">
              <w:rPr>
                <w:b/>
                <w:bCs/>
                <w:sz w:val="18"/>
                <w:szCs w:val="18"/>
              </w:rPr>
              <w:t xml:space="preserve">        54,840 </w:t>
            </w:r>
          </w:p>
        </w:tc>
      </w:tr>
    </w:tbl>
    <w:p w14:paraId="7F3307CC" w14:textId="77777777" w:rsidR="00B9311E" w:rsidRPr="00BD77D8" w:rsidRDefault="00B9311E" w:rsidP="00A0538E">
      <w:pPr>
        <w:tabs>
          <w:tab w:val="left" w:pos="360"/>
        </w:tabs>
        <w:spacing w:before="240" w:after="0" w:line="195" w:lineRule="exact"/>
        <w:textAlignment w:val="baseline"/>
        <w:rPr>
          <w:rFonts w:eastAsia="Arial"/>
          <w:b/>
          <w:bCs/>
          <w:sz w:val="16"/>
          <w:szCs w:val="16"/>
          <w:lang w:eastAsia="en-US"/>
        </w:rPr>
      </w:pPr>
      <w:r w:rsidRPr="00BD77D8">
        <w:rPr>
          <w:rFonts w:eastAsia="Arial"/>
          <w:sz w:val="16"/>
          <w:szCs w:val="16"/>
          <w:lang w:eastAsia="en-US"/>
        </w:rPr>
        <w:t>*An explanation of major variances is included at Note E1-1.</w:t>
      </w:r>
    </w:p>
    <w:p w14:paraId="63BF1E35" w14:textId="77777777" w:rsidR="00B9311E" w:rsidRPr="00BD77D8" w:rsidRDefault="00B9311E" w:rsidP="00B9311E">
      <w:pPr>
        <w:tabs>
          <w:tab w:val="left" w:pos="360"/>
        </w:tabs>
        <w:spacing w:after="0" w:line="195" w:lineRule="exact"/>
        <w:textAlignment w:val="baseline"/>
        <w:rPr>
          <w:rFonts w:eastAsia="Arial"/>
          <w:b/>
          <w:bCs/>
          <w:sz w:val="18"/>
          <w:szCs w:val="18"/>
          <w:lang w:eastAsia="en-US"/>
        </w:rPr>
      </w:pPr>
      <w:r w:rsidRPr="00BD77D8">
        <w:rPr>
          <w:rFonts w:eastAsia="Arial"/>
          <w:sz w:val="16"/>
          <w:szCs w:val="16"/>
          <w:lang w:eastAsia="en-US"/>
        </w:rPr>
        <w:t>^These figures represent budgeted figures as published in the 2021-22 Service Delivery Statements tabled in Parliament.</w:t>
      </w:r>
    </w:p>
    <w:p w14:paraId="40A8B13F" w14:textId="77777777" w:rsidR="00B9311E" w:rsidRPr="00BD77D8" w:rsidRDefault="00B9311E" w:rsidP="00A0538E">
      <w:pPr>
        <w:tabs>
          <w:tab w:val="left" w:pos="360"/>
        </w:tabs>
        <w:spacing w:before="1800" w:after="0" w:line="208" w:lineRule="exact"/>
        <w:textAlignment w:val="baseline"/>
        <w:rPr>
          <w:rFonts w:eastAsia="Arial"/>
          <w:spacing w:val="-3"/>
          <w:sz w:val="16"/>
          <w:szCs w:val="16"/>
          <w:lang w:eastAsia="en-US"/>
        </w:rPr>
      </w:pPr>
      <w:r w:rsidRPr="00BD77D8">
        <w:rPr>
          <w:rFonts w:eastAsia="Arial"/>
          <w:spacing w:val="-3"/>
          <w:sz w:val="16"/>
          <w:szCs w:val="16"/>
          <w:lang w:eastAsia="en-US"/>
        </w:rPr>
        <w:t>The accompanying notes form part of these financial statements.</w:t>
      </w:r>
    </w:p>
    <w:p w14:paraId="1DD99A0C" w14:textId="74E49D1A" w:rsidR="00702AE3" w:rsidRPr="00BD77D8" w:rsidRDefault="00702AE3" w:rsidP="00A0538E">
      <w:pPr>
        <w:tabs>
          <w:tab w:val="left" w:pos="360"/>
        </w:tabs>
        <w:spacing w:before="600" w:after="0" w:line="208" w:lineRule="exact"/>
        <w:textAlignment w:val="baseline"/>
        <w:rPr>
          <w:rFonts w:eastAsia="PMingLiU"/>
          <w:sz w:val="18"/>
          <w:szCs w:val="18"/>
          <w:lang w:eastAsia="en-US"/>
        </w:rPr>
        <w:sectPr w:rsidR="00702AE3" w:rsidRPr="00BD77D8" w:rsidSect="000160CF">
          <w:type w:val="nextColumn"/>
          <w:pgSz w:w="11909" w:h="16838"/>
          <w:pgMar w:top="794" w:right="794" w:bottom="794" w:left="794" w:header="720" w:footer="720" w:gutter="0"/>
          <w:cols w:space="720"/>
        </w:sectPr>
      </w:pP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Pr="00BD77D8">
        <w:rPr>
          <w:rFonts w:eastAsia="Arial"/>
          <w:spacing w:val="-3"/>
          <w:sz w:val="16"/>
          <w:szCs w:val="16"/>
          <w:lang w:eastAsia="en-US"/>
        </w:rPr>
        <w:tab/>
      </w:r>
      <w:r w:rsidR="00DE382E" w:rsidRPr="00BD77D8">
        <w:rPr>
          <w:rFonts w:eastAsia="Arial"/>
          <w:spacing w:val="-3"/>
          <w:sz w:val="16"/>
          <w:szCs w:val="16"/>
          <w:lang w:eastAsia="en-US"/>
        </w:rPr>
        <w:t>Page 9 of 45</w:t>
      </w:r>
    </w:p>
    <w:p w14:paraId="3FF76E50" w14:textId="77777777" w:rsidR="00B9311E" w:rsidRPr="00BD77D8" w:rsidRDefault="00B9311E" w:rsidP="00B9311E">
      <w:pPr>
        <w:spacing w:after="0" w:line="200"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24FD67F" w14:textId="77777777" w:rsidR="00B9311E" w:rsidRPr="00BD77D8" w:rsidRDefault="00B9311E" w:rsidP="00F70507">
      <w:pPr>
        <w:spacing w:after="0" w:line="200" w:lineRule="exact"/>
        <w:textAlignment w:val="baseline"/>
        <w:rPr>
          <w:rFonts w:eastAsia="Arial"/>
          <w:b/>
          <w:bCs/>
          <w:sz w:val="18"/>
          <w:szCs w:val="18"/>
          <w:lang w:eastAsia="en-US"/>
        </w:rPr>
      </w:pPr>
      <w:bookmarkStart w:id="392" w:name="_Toc111494798"/>
      <w:bookmarkStart w:id="393" w:name="_Toc111540670"/>
      <w:bookmarkStart w:id="394" w:name="_Toc111559233"/>
      <w:bookmarkStart w:id="395" w:name="_Toc113196505"/>
      <w:bookmarkStart w:id="396" w:name="_Toc113196853"/>
      <w:bookmarkStart w:id="397" w:name="_Toc113261983"/>
      <w:r w:rsidRPr="00BD77D8">
        <w:rPr>
          <w:rFonts w:eastAsia="Arial"/>
          <w:b/>
          <w:bCs/>
          <w:sz w:val="18"/>
          <w:szCs w:val="18"/>
          <w:lang w:eastAsia="en-US"/>
        </w:rPr>
        <w:t>Notes to the Statement of Cash Flows - Controlled</w:t>
      </w:r>
      <w:bookmarkEnd w:id="392"/>
      <w:bookmarkEnd w:id="393"/>
      <w:bookmarkEnd w:id="394"/>
      <w:bookmarkEnd w:id="395"/>
      <w:bookmarkEnd w:id="396"/>
      <w:bookmarkEnd w:id="397"/>
    </w:p>
    <w:p w14:paraId="1BE47B0A" w14:textId="77777777" w:rsidR="00B9311E" w:rsidRPr="00BD77D8" w:rsidRDefault="00B9311E" w:rsidP="00B9311E">
      <w:pPr>
        <w:spacing w:after="0" w:line="200"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750EB40" w14:textId="77777777" w:rsidR="00B9311E" w:rsidRPr="00BD77D8" w:rsidRDefault="00B9311E" w:rsidP="00B9311E">
      <w:pPr>
        <w:pBdr>
          <w:bottom w:val="single" w:sz="4" w:space="1" w:color="auto"/>
        </w:pBdr>
        <w:spacing w:after="0" w:line="240" w:lineRule="auto"/>
        <w:textAlignment w:val="baseline"/>
        <w:rPr>
          <w:rFonts w:eastAsia="Arial"/>
          <w:b/>
          <w:sz w:val="18"/>
          <w:szCs w:val="18"/>
          <w:lang w:eastAsia="en-US"/>
        </w:rPr>
      </w:pPr>
    </w:p>
    <w:p w14:paraId="37B73785" w14:textId="77777777" w:rsidR="00B9311E" w:rsidRPr="00BD77D8" w:rsidRDefault="00B9311E" w:rsidP="00E47A6E">
      <w:pPr>
        <w:spacing w:before="240" w:after="0" w:line="180" w:lineRule="atLeast"/>
        <w:textAlignment w:val="baseline"/>
        <w:rPr>
          <w:rFonts w:eastAsia="PMingLiU"/>
          <w:b/>
          <w:bCs/>
          <w:sz w:val="18"/>
          <w:szCs w:val="22"/>
          <w:lang w:val="en-US" w:eastAsia="en-US"/>
        </w:rPr>
      </w:pPr>
      <w:r w:rsidRPr="00BD77D8">
        <w:rPr>
          <w:rFonts w:eastAsia="Arial"/>
          <w:b/>
          <w:bCs/>
          <w:spacing w:val="2"/>
          <w:sz w:val="18"/>
          <w:szCs w:val="18"/>
          <w:lang w:eastAsia="en-US"/>
        </w:rPr>
        <w:t>CF-1 Reconciliation of Operating Result to Net Cash Provided by Operating Activities</w:t>
      </w:r>
    </w:p>
    <w:tbl>
      <w:tblPr>
        <w:tblW w:w="10368" w:type="dxa"/>
        <w:tblCellMar>
          <w:left w:w="0" w:type="dxa"/>
          <w:right w:w="0" w:type="dxa"/>
        </w:tblCellMar>
        <w:tblLook w:val="04A0" w:firstRow="1" w:lastRow="0" w:firstColumn="1" w:lastColumn="0" w:noHBand="0" w:noVBand="1"/>
      </w:tblPr>
      <w:tblGrid>
        <w:gridCol w:w="6663"/>
        <w:gridCol w:w="669"/>
        <w:gridCol w:w="1518"/>
        <w:gridCol w:w="1518"/>
      </w:tblGrid>
      <w:tr w:rsidR="00BD77D8" w:rsidRPr="00BD77D8" w14:paraId="58D1C665" w14:textId="77777777" w:rsidTr="003057FB">
        <w:trPr>
          <w:trHeight w:val="269"/>
        </w:trPr>
        <w:tc>
          <w:tcPr>
            <w:tcW w:w="0" w:type="auto"/>
            <w:tcBorders>
              <w:top w:val="nil"/>
              <w:left w:val="nil"/>
              <w:bottom w:val="nil"/>
              <w:right w:val="nil"/>
            </w:tcBorders>
            <w:shd w:val="clear" w:color="000000" w:fill="FFFFFF"/>
            <w:noWrap/>
            <w:vAlign w:val="center"/>
            <w:hideMark/>
          </w:tcPr>
          <w:p w14:paraId="0AD9BEE3" w14:textId="77777777" w:rsidR="00B9311E" w:rsidRPr="00BD77D8" w:rsidRDefault="00B9311E" w:rsidP="00B9311E">
            <w:pPr>
              <w:spacing w:after="0" w:line="240" w:lineRule="auto"/>
              <w:rPr>
                <w:sz w:val="18"/>
                <w:szCs w:val="18"/>
              </w:rPr>
            </w:pPr>
            <w:r w:rsidRPr="00BD77D8">
              <w:rPr>
                <w:sz w:val="18"/>
                <w:szCs w:val="18"/>
              </w:rPr>
              <w:t> </w:t>
            </w:r>
          </w:p>
        </w:tc>
        <w:tc>
          <w:tcPr>
            <w:tcW w:w="0" w:type="auto"/>
            <w:tcBorders>
              <w:top w:val="nil"/>
              <w:left w:val="nil"/>
              <w:bottom w:val="nil"/>
              <w:right w:val="nil"/>
            </w:tcBorders>
            <w:shd w:val="clear" w:color="auto" w:fill="auto"/>
            <w:noWrap/>
            <w:vAlign w:val="bottom"/>
            <w:hideMark/>
          </w:tcPr>
          <w:p w14:paraId="5E7CCE93" w14:textId="77777777" w:rsidR="00B9311E" w:rsidRPr="00BD77D8" w:rsidRDefault="00B9311E" w:rsidP="00B9311E">
            <w:pPr>
              <w:spacing w:after="0" w:line="240" w:lineRule="auto"/>
              <w:rPr>
                <w:b/>
                <w:bCs/>
                <w:sz w:val="18"/>
                <w:szCs w:val="18"/>
              </w:rPr>
            </w:pPr>
          </w:p>
        </w:tc>
        <w:tc>
          <w:tcPr>
            <w:tcW w:w="0" w:type="auto"/>
            <w:tcBorders>
              <w:top w:val="nil"/>
              <w:left w:val="nil"/>
              <w:bottom w:val="nil"/>
              <w:right w:val="nil"/>
            </w:tcBorders>
            <w:shd w:val="clear" w:color="auto" w:fill="auto"/>
            <w:noWrap/>
            <w:vAlign w:val="bottom"/>
            <w:hideMark/>
          </w:tcPr>
          <w:p w14:paraId="750DBB82" w14:textId="77777777" w:rsidR="00B9311E" w:rsidRPr="00BD77D8" w:rsidRDefault="00B9311E" w:rsidP="00B9311E">
            <w:pPr>
              <w:spacing w:after="0" w:line="240" w:lineRule="auto"/>
              <w:jc w:val="right"/>
              <w:rPr>
                <w:b/>
                <w:bCs/>
                <w:sz w:val="18"/>
                <w:szCs w:val="18"/>
              </w:rPr>
            </w:pPr>
            <w:r w:rsidRPr="00BD77D8">
              <w:rPr>
                <w:b/>
                <w:bCs/>
                <w:sz w:val="18"/>
                <w:szCs w:val="18"/>
              </w:rPr>
              <w:t>Actual</w:t>
            </w:r>
          </w:p>
        </w:tc>
        <w:tc>
          <w:tcPr>
            <w:tcW w:w="0" w:type="auto"/>
            <w:tcBorders>
              <w:top w:val="nil"/>
              <w:left w:val="nil"/>
              <w:bottom w:val="nil"/>
              <w:right w:val="nil"/>
            </w:tcBorders>
            <w:shd w:val="clear" w:color="auto" w:fill="auto"/>
            <w:noWrap/>
            <w:vAlign w:val="bottom"/>
            <w:hideMark/>
          </w:tcPr>
          <w:p w14:paraId="2ADF6FD3" w14:textId="77777777" w:rsidR="00B9311E" w:rsidRPr="00BD77D8" w:rsidRDefault="00B9311E" w:rsidP="00B9311E">
            <w:pPr>
              <w:spacing w:after="0" w:line="240" w:lineRule="auto"/>
              <w:jc w:val="right"/>
              <w:rPr>
                <w:b/>
                <w:bCs/>
                <w:sz w:val="18"/>
                <w:szCs w:val="18"/>
              </w:rPr>
            </w:pPr>
            <w:r w:rsidRPr="00BD77D8">
              <w:rPr>
                <w:b/>
                <w:bCs/>
                <w:sz w:val="18"/>
                <w:szCs w:val="18"/>
              </w:rPr>
              <w:t>Actual</w:t>
            </w:r>
          </w:p>
        </w:tc>
      </w:tr>
      <w:tr w:rsidR="00BD77D8" w:rsidRPr="00BD77D8" w14:paraId="3EF5732F" w14:textId="77777777" w:rsidTr="003057FB">
        <w:trPr>
          <w:trHeight w:val="269"/>
        </w:trPr>
        <w:tc>
          <w:tcPr>
            <w:tcW w:w="0" w:type="auto"/>
            <w:tcBorders>
              <w:top w:val="nil"/>
              <w:left w:val="nil"/>
              <w:bottom w:val="nil"/>
              <w:right w:val="nil"/>
            </w:tcBorders>
            <w:shd w:val="clear" w:color="auto" w:fill="auto"/>
            <w:noWrap/>
            <w:vAlign w:val="bottom"/>
            <w:hideMark/>
          </w:tcPr>
          <w:p w14:paraId="02B4FB3E"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noWrap/>
            <w:vAlign w:val="bottom"/>
            <w:hideMark/>
          </w:tcPr>
          <w:p w14:paraId="7417383C"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0" w:type="auto"/>
            <w:tcBorders>
              <w:top w:val="nil"/>
              <w:left w:val="nil"/>
              <w:bottom w:val="nil"/>
              <w:right w:val="nil"/>
            </w:tcBorders>
            <w:shd w:val="clear" w:color="auto" w:fill="auto"/>
            <w:vAlign w:val="bottom"/>
            <w:hideMark/>
          </w:tcPr>
          <w:p w14:paraId="39D55747"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0" w:type="auto"/>
            <w:tcBorders>
              <w:top w:val="nil"/>
              <w:left w:val="nil"/>
              <w:bottom w:val="nil"/>
              <w:right w:val="nil"/>
            </w:tcBorders>
            <w:shd w:val="clear" w:color="auto" w:fill="auto"/>
            <w:vAlign w:val="bottom"/>
            <w:hideMark/>
          </w:tcPr>
          <w:p w14:paraId="4882048D"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7EFBE6AB" w14:textId="77777777" w:rsidTr="003057FB">
        <w:trPr>
          <w:trHeight w:val="269"/>
        </w:trPr>
        <w:tc>
          <w:tcPr>
            <w:tcW w:w="0" w:type="auto"/>
            <w:tcBorders>
              <w:top w:val="nil"/>
              <w:left w:val="nil"/>
              <w:bottom w:val="single" w:sz="4" w:space="0" w:color="auto"/>
              <w:right w:val="nil"/>
            </w:tcBorders>
            <w:shd w:val="clear" w:color="auto" w:fill="auto"/>
            <w:noWrap/>
            <w:vAlign w:val="bottom"/>
            <w:hideMark/>
          </w:tcPr>
          <w:p w14:paraId="6950A35F" w14:textId="77777777" w:rsidR="00B9311E" w:rsidRPr="00BD77D8" w:rsidRDefault="00B9311E" w:rsidP="00B9311E">
            <w:pPr>
              <w:spacing w:after="0" w:line="240" w:lineRule="auto"/>
              <w:rPr>
                <w:sz w:val="18"/>
                <w:szCs w:val="18"/>
              </w:rPr>
            </w:pPr>
            <w:r w:rsidRPr="00BD77D8">
              <w:rPr>
                <w:sz w:val="18"/>
                <w:szCs w:val="18"/>
              </w:rPr>
              <w:t> </w:t>
            </w:r>
          </w:p>
        </w:tc>
        <w:tc>
          <w:tcPr>
            <w:tcW w:w="0" w:type="auto"/>
            <w:tcBorders>
              <w:top w:val="nil"/>
              <w:left w:val="nil"/>
              <w:bottom w:val="single" w:sz="4" w:space="0" w:color="auto"/>
              <w:right w:val="nil"/>
            </w:tcBorders>
            <w:shd w:val="clear" w:color="auto" w:fill="auto"/>
            <w:noWrap/>
            <w:vAlign w:val="bottom"/>
            <w:hideMark/>
          </w:tcPr>
          <w:p w14:paraId="5598506C"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0" w:type="auto"/>
            <w:tcBorders>
              <w:top w:val="nil"/>
              <w:left w:val="nil"/>
              <w:bottom w:val="single" w:sz="4" w:space="0" w:color="auto"/>
              <w:right w:val="nil"/>
            </w:tcBorders>
            <w:shd w:val="clear" w:color="auto" w:fill="auto"/>
            <w:noWrap/>
            <w:vAlign w:val="bottom"/>
            <w:hideMark/>
          </w:tcPr>
          <w:p w14:paraId="4F52221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bottom"/>
            <w:hideMark/>
          </w:tcPr>
          <w:p w14:paraId="1CF1B00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7547E77A" w14:textId="77777777" w:rsidTr="003057FB">
        <w:trPr>
          <w:trHeight w:val="269"/>
        </w:trPr>
        <w:tc>
          <w:tcPr>
            <w:tcW w:w="0" w:type="auto"/>
            <w:tcBorders>
              <w:top w:val="nil"/>
              <w:left w:val="nil"/>
              <w:bottom w:val="nil"/>
              <w:right w:val="nil"/>
            </w:tcBorders>
            <w:shd w:val="clear" w:color="000000" w:fill="FFFFFF"/>
            <w:noWrap/>
            <w:vAlign w:val="center"/>
            <w:hideMark/>
          </w:tcPr>
          <w:p w14:paraId="20CD294E" w14:textId="77777777" w:rsidR="00B9311E" w:rsidRPr="00BD77D8" w:rsidRDefault="00B9311E" w:rsidP="00B9311E">
            <w:pPr>
              <w:spacing w:after="0" w:line="240" w:lineRule="auto"/>
              <w:rPr>
                <w:b/>
                <w:bCs/>
                <w:sz w:val="18"/>
                <w:szCs w:val="18"/>
              </w:rPr>
            </w:pPr>
            <w:r w:rsidRPr="00BD77D8">
              <w:rPr>
                <w:b/>
                <w:bCs/>
                <w:sz w:val="18"/>
                <w:szCs w:val="18"/>
              </w:rPr>
              <w:t xml:space="preserve"> Operating Result for the Year </w:t>
            </w:r>
          </w:p>
        </w:tc>
        <w:tc>
          <w:tcPr>
            <w:tcW w:w="0" w:type="auto"/>
            <w:tcBorders>
              <w:top w:val="nil"/>
              <w:left w:val="nil"/>
              <w:bottom w:val="nil"/>
              <w:right w:val="nil"/>
            </w:tcBorders>
            <w:shd w:val="clear" w:color="auto" w:fill="auto"/>
            <w:noWrap/>
            <w:vAlign w:val="bottom"/>
            <w:hideMark/>
          </w:tcPr>
          <w:p w14:paraId="79B6607C" w14:textId="77777777" w:rsidR="00B9311E" w:rsidRPr="00BD77D8" w:rsidRDefault="00B9311E" w:rsidP="00B9311E">
            <w:pPr>
              <w:spacing w:after="0" w:line="240" w:lineRule="auto"/>
              <w:rPr>
                <w:b/>
                <w:bCs/>
                <w:sz w:val="18"/>
                <w:szCs w:val="18"/>
              </w:rPr>
            </w:pPr>
          </w:p>
        </w:tc>
        <w:tc>
          <w:tcPr>
            <w:tcW w:w="0" w:type="auto"/>
            <w:tcBorders>
              <w:top w:val="nil"/>
              <w:left w:val="nil"/>
              <w:bottom w:val="nil"/>
              <w:right w:val="nil"/>
            </w:tcBorders>
            <w:shd w:val="clear" w:color="auto" w:fill="auto"/>
            <w:vAlign w:val="bottom"/>
            <w:hideMark/>
          </w:tcPr>
          <w:p w14:paraId="64A07C5E" w14:textId="77777777" w:rsidR="00B9311E" w:rsidRPr="00BD77D8" w:rsidRDefault="00B9311E" w:rsidP="00B9311E">
            <w:pPr>
              <w:spacing w:after="0" w:line="240" w:lineRule="auto"/>
              <w:jc w:val="right"/>
              <w:rPr>
                <w:b/>
                <w:bCs/>
                <w:sz w:val="18"/>
                <w:szCs w:val="18"/>
              </w:rPr>
            </w:pPr>
            <w:r w:rsidRPr="00BD77D8">
              <w:rPr>
                <w:b/>
                <w:bCs/>
                <w:sz w:val="18"/>
                <w:szCs w:val="18"/>
              </w:rPr>
              <w:t xml:space="preserve">        31,191 </w:t>
            </w:r>
          </w:p>
        </w:tc>
        <w:tc>
          <w:tcPr>
            <w:tcW w:w="0" w:type="auto"/>
            <w:tcBorders>
              <w:top w:val="nil"/>
              <w:left w:val="nil"/>
              <w:bottom w:val="nil"/>
              <w:right w:val="nil"/>
            </w:tcBorders>
            <w:shd w:val="clear" w:color="auto" w:fill="auto"/>
            <w:vAlign w:val="bottom"/>
            <w:hideMark/>
          </w:tcPr>
          <w:p w14:paraId="7BCFFDC8" w14:textId="77777777" w:rsidR="00B9311E" w:rsidRPr="00BD77D8" w:rsidRDefault="00B9311E" w:rsidP="00B9311E">
            <w:pPr>
              <w:spacing w:after="0" w:line="240" w:lineRule="auto"/>
              <w:jc w:val="right"/>
              <w:rPr>
                <w:b/>
                <w:bCs/>
                <w:sz w:val="18"/>
                <w:szCs w:val="18"/>
              </w:rPr>
            </w:pPr>
            <w:r w:rsidRPr="00BD77D8">
              <w:rPr>
                <w:b/>
                <w:bCs/>
                <w:sz w:val="18"/>
                <w:szCs w:val="18"/>
              </w:rPr>
              <w:t xml:space="preserve">          2,783 </w:t>
            </w:r>
          </w:p>
        </w:tc>
      </w:tr>
      <w:tr w:rsidR="00BD77D8" w:rsidRPr="00BD77D8" w14:paraId="60D13699" w14:textId="77777777" w:rsidTr="003057FB">
        <w:trPr>
          <w:trHeight w:val="269"/>
        </w:trPr>
        <w:tc>
          <w:tcPr>
            <w:tcW w:w="0" w:type="auto"/>
            <w:tcBorders>
              <w:top w:val="nil"/>
              <w:left w:val="nil"/>
              <w:bottom w:val="nil"/>
              <w:right w:val="nil"/>
            </w:tcBorders>
            <w:shd w:val="clear" w:color="auto" w:fill="auto"/>
            <w:noWrap/>
            <w:vAlign w:val="bottom"/>
            <w:hideMark/>
          </w:tcPr>
          <w:p w14:paraId="62881D0B" w14:textId="77777777" w:rsidR="00B9311E" w:rsidRPr="00BD77D8" w:rsidRDefault="00B9311E" w:rsidP="00B9311E">
            <w:pPr>
              <w:spacing w:after="0" w:line="240" w:lineRule="auto"/>
              <w:rPr>
                <w:b/>
                <w:bCs/>
                <w:i/>
                <w:iCs/>
                <w:sz w:val="18"/>
                <w:szCs w:val="18"/>
              </w:rPr>
            </w:pPr>
            <w:r w:rsidRPr="00BD77D8">
              <w:rPr>
                <w:b/>
                <w:bCs/>
                <w:i/>
                <w:iCs/>
                <w:sz w:val="18"/>
                <w:szCs w:val="18"/>
              </w:rPr>
              <w:t xml:space="preserve"> Non-cash items included in operating result </w:t>
            </w:r>
          </w:p>
        </w:tc>
        <w:tc>
          <w:tcPr>
            <w:tcW w:w="0" w:type="auto"/>
            <w:tcBorders>
              <w:top w:val="nil"/>
              <w:left w:val="nil"/>
              <w:bottom w:val="nil"/>
              <w:right w:val="nil"/>
            </w:tcBorders>
            <w:shd w:val="clear" w:color="auto" w:fill="auto"/>
            <w:noWrap/>
            <w:vAlign w:val="bottom"/>
            <w:hideMark/>
          </w:tcPr>
          <w:p w14:paraId="1ACF143A" w14:textId="77777777" w:rsidR="00B9311E" w:rsidRPr="00BD77D8" w:rsidRDefault="00B9311E" w:rsidP="00B9311E">
            <w:pPr>
              <w:spacing w:after="0" w:line="240" w:lineRule="auto"/>
              <w:rPr>
                <w:i/>
                <w:iCs/>
                <w:sz w:val="18"/>
                <w:szCs w:val="18"/>
              </w:rPr>
            </w:pPr>
          </w:p>
        </w:tc>
        <w:tc>
          <w:tcPr>
            <w:tcW w:w="0" w:type="auto"/>
            <w:tcBorders>
              <w:top w:val="nil"/>
              <w:left w:val="nil"/>
              <w:bottom w:val="nil"/>
              <w:right w:val="nil"/>
            </w:tcBorders>
            <w:shd w:val="clear" w:color="auto" w:fill="auto"/>
            <w:vAlign w:val="bottom"/>
            <w:hideMark/>
          </w:tcPr>
          <w:p w14:paraId="1547B7C2"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bottom"/>
            <w:hideMark/>
          </w:tcPr>
          <w:p w14:paraId="7B615A46"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6D425447" w14:textId="77777777" w:rsidTr="003057FB">
        <w:trPr>
          <w:trHeight w:val="269"/>
        </w:trPr>
        <w:tc>
          <w:tcPr>
            <w:tcW w:w="0" w:type="auto"/>
            <w:tcBorders>
              <w:top w:val="nil"/>
              <w:left w:val="nil"/>
              <w:bottom w:val="nil"/>
              <w:right w:val="nil"/>
            </w:tcBorders>
            <w:shd w:val="clear" w:color="auto" w:fill="auto"/>
            <w:noWrap/>
            <w:vAlign w:val="bottom"/>
            <w:hideMark/>
          </w:tcPr>
          <w:p w14:paraId="55287F7F" w14:textId="77777777" w:rsidR="00B9311E" w:rsidRPr="00BD77D8" w:rsidRDefault="00B9311E" w:rsidP="00B9311E">
            <w:pPr>
              <w:spacing w:after="0" w:line="240" w:lineRule="auto"/>
              <w:rPr>
                <w:sz w:val="18"/>
                <w:szCs w:val="18"/>
              </w:rPr>
            </w:pPr>
            <w:r w:rsidRPr="00BD77D8">
              <w:rPr>
                <w:sz w:val="18"/>
                <w:szCs w:val="18"/>
              </w:rPr>
              <w:t xml:space="preserve"> Reversal of revaluation increment </w:t>
            </w:r>
          </w:p>
        </w:tc>
        <w:tc>
          <w:tcPr>
            <w:tcW w:w="0" w:type="auto"/>
            <w:tcBorders>
              <w:top w:val="nil"/>
              <w:left w:val="nil"/>
              <w:bottom w:val="nil"/>
              <w:right w:val="nil"/>
            </w:tcBorders>
            <w:shd w:val="clear" w:color="auto" w:fill="auto"/>
            <w:noWrap/>
            <w:vAlign w:val="bottom"/>
            <w:hideMark/>
          </w:tcPr>
          <w:p w14:paraId="0DB004E7"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34B8DC9F" w14:textId="77777777" w:rsidR="00B9311E" w:rsidRPr="00BD77D8" w:rsidRDefault="00B9311E" w:rsidP="00B9311E">
            <w:pPr>
              <w:spacing w:after="0" w:line="240" w:lineRule="auto"/>
              <w:jc w:val="right"/>
              <w:rPr>
                <w:b/>
                <w:bCs/>
                <w:sz w:val="18"/>
                <w:szCs w:val="18"/>
              </w:rPr>
            </w:pPr>
            <w:r w:rsidRPr="00BD77D8">
              <w:rPr>
                <w:b/>
                <w:bCs/>
                <w:sz w:val="18"/>
                <w:szCs w:val="18"/>
              </w:rPr>
              <w:t xml:space="preserve">      (28,569)</w:t>
            </w:r>
          </w:p>
        </w:tc>
        <w:tc>
          <w:tcPr>
            <w:tcW w:w="0" w:type="auto"/>
            <w:tcBorders>
              <w:top w:val="nil"/>
              <w:left w:val="nil"/>
              <w:bottom w:val="nil"/>
              <w:right w:val="nil"/>
            </w:tcBorders>
            <w:shd w:val="clear" w:color="auto" w:fill="auto"/>
            <w:vAlign w:val="bottom"/>
            <w:hideMark/>
          </w:tcPr>
          <w:p w14:paraId="32F49D46" w14:textId="77777777" w:rsidR="00B9311E" w:rsidRPr="00BD77D8" w:rsidRDefault="00B9311E" w:rsidP="00B9311E">
            <w:pPr>
              <w:spacing w:after="0" w:line="240" w:lineRule="auto"/>
              <w:jc w:val="right"/>
              <w:rPr>
                <w:sz w:val="18"/>
                <w:szCs w:val="18"/>
              </w:rPr>
            </w:pPr>
            <w:r w:rsidRPr="00BD77D8">
              <w:rPr>
                <w:sz w:val="18"/>
                <w:szCs w:val="18"/>
              </w:rPr>
              <w:t xml:space="preserve">             112 </w:t>
            </w:r>
          </w:p>
        </w:tc>
      </w:tr>
      <w:tr w:rsidR="00BD77D8" w:rsidRPr="00BD77D8" w14:paraId="7D169041" w14:textId="77777777" w:rsidTr="003057FB">
        <w:trPr>
          <w:trHeight w:val="269"/>
        </w:trPr>
        <w:tc>
          <w:tcPr>
            <w:tcW w:w="0" w:type="auto"/>
            <w:tcBorders>
              <w:top w:val="nil"/>
              <w:left w:val="nil"/>
              <w:bottom w:val="nil"/>
              <w:right w:val="nil"/>
            </w:tcBorders>
            <w:shd w:val="clear" w:color="auto" w:fill="auto"/>
            <w:noWrap/>
            <w:vAlign w:val="bottom"/>
            <w:hideMark/>
          </w:tcPr>
          <w:p w14:paraId="24A81D6F" w14:textId="77777777" w:rsidR="00B9311E" w:rsidRPr="00BD77D8" w:rsidRDefault="00B9311E" w:rsidP="00B9311E">
            <w:pPr>
              <w:spacing w:after="0" w:line="240" w:lineRule="auto"/>
              <w:rPr>
                <w:sz w:val="18"/>
                <w:szCs w:val="18"/>
              </w:rPr>
            </w:pPr>
            <w:r w:rsidRPr="00BD77D8">
              <w:rPr>
                <w:sz w:val="18"/>
                <w:szCs w:val="18"/>
              </w:rPr>
              <w:t xml:space="preserve"> Reversal of revaluation decrement </w:t>
            </w:r>
          </w:p>
        </w:tc>
        <w:tc>
          <w:tcPr>
            <w:tcW w:w="0" w:type="auto"/>
            <w:tcBorders>
              <w:top w:val="nil"/>
              <w:left w:val="nil"/>
              <w:bottom w:val="nil"/>
              <w:right w:val="nil"/>
            </w:tcBorders>
            <w:shd w:val="clear" w:color="auto" w:fill="auto"/>
            <w:noWrap/>
            <w:vAlign w:val="bottom"/>
            <w:hideMark/>
          </w:tcPr>
          <w:p w14:paraId="607DE5B1"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8E1A43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6366E2C5" w14:textId="77777777" w:rsidR="00B9311E" w:rsidRPr="00BD77D8" w:rsidRDefault="00B9311E" w:rsidP="00B9311E">
            <w:pPr>
              <w:spacing w:after="0" w:line="240" w:lineRule="auto"/>
              <w:jc w:val="right"/>
              <w:rPr>
                <w:sz w:val="18"/>
                <w:szCs w:val="18"/>
              </w:rPr>
            </w:pPr>
            <w:r w:rsidRPr="00BD77D8">
              <w:rPr>
                <w:sz w:val="18"/>
                <w:szCs w:val="18"/>
              </w:rPr>
              <w:t xml:space="preserve">        (1,229)</w:t>
            </w:r>
          </w:p>
        </w:tc>
      </w:tr>
      <w:tr w:rsidR="00BD77D8" w:rsidRPr="00BD77D8" w14:paraId="5E24C0F4" w14:textId="77777777" w:rsidTr="003057FB">
        <w:trPr>
          <w:trHeight w:val="269"/>
        </w:trPr>
        <w:tc>
          <w:tcPr>
            <w:tcW w:w="0" w:type="auto"/>
            <w:tcBorders>
              <w:top w:val="nil"/>
              <w:left w:val="nil"/>
              <w:bottom w:val="nil"/>
              <w:right w:val="nil"/>
            </w:tcBorders>
            <w:shd w:val="clear" w:color="auto" w:fill="auto"/>
            <w:noWrap/>
            <w:vAlign w:val="bottom"/>
            <w:hideMark/>
          </w:tcPr>
          <w:p w14:paraId="65A91502" w14:textId="77777777" w:rsidR="00B9311E" w:rsidRPr="00BD77D8" w:rsidRDefault="00B9311E" w:rsidP="00B9311E">
            <w:pPr>
              <w:spacing w:after="0" w:line="240" w:lineRule="auto"/>
              <w:rPr>
                <w:sz w:val="18"/>
                <w:szCs w:val="18"/>
              </w:rPr>
            </w:pPr>
            <w:r w:rsidRPr="00BD77D8">
              <w:rPr>
                <w:sz w:val="18"/>
                <w:szCs w:val="18"/>
              </w:rPr>
              <w:t xml:space="preserve"> Depreciation and amortisation expense </w:t>
            </w:r>
          </w:p>
        </w:tc>
        <w:tc>
          <w:tcPr>
            <w:tcW w:w="0" w:type="auto"/>
            <w:tcBorders>
              <w:top w:val="nil"/>
              <w:left w:val="nil"/>
              <w:bottom w:val="nil"/>
              <w:right w:val="nil"/>
            </w:tcBorders>
            <w:shd w:val="clear" w:color="auto" w:fill="auto"/>
            <w:noWrap/>
            <w:vAlign w:val="bottom"/>
            <w:hideMark/>
          </w:tcPr>
          <w:p w14:paraId="2297D042"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351D4859" w14:textId="77777777" w:rsidR="00B9311E" w:rsidRPr="00BD77D8" w:rsidRDefault="00B9311E" w:rsidP="00B9311E">
            <w:pPr>
              <w:spacing w:after="0" w:line="240" w:lineRule="auto"/>
              <w:jc w:val="right"/>
              <w:rPr>
                <w:b/>
                <w:bCs/>
                <w:sz w:val="18"/>
                <w:szCs w:val="18"/>
              </w:rPr>
            </w:pPr>
            <w:r w:rsidRPr="00BD77D8">
              <w:rPr>
                <w:b/>
                <w:bCs/>
                <w:sz w:val="18"/>
                <w:szCs w:val="18"/>
              </w:rPr>
              <w:t xml:space="preserve">          3,784 </w:t>
            </w:r>
          </w:p>
        </w:tc>
        <w:tc>
          <w:tcPr>
            <w:tcW w:w="0" w:type="auto"/>
            <w:tcBorders>
              <w:top w:val="nil"/>
              <w:left w:val="nil"/>
              <w:bottom w:val="nil"/>
              <w:right w:val="nil"/>
            </w:tcBorders>
            <w:shd w:val="clear" w:color="auto" w:fill="auto"/>
            <w:vAlign w:val="bottom"/>
            <w:hideMark/>
          </w:tcPr>
          <w:p w14:paraId="3F6D460A" w14:textId="77777777" w:rsidR="00B9311E" w:rsidRPr="00BD77D8" w:rsidRDefault="00B9311E" w:rsidP="00B9311E">
            <w:pPr>
              <w:spacing w:after="0" w:line="240" w:lineRule="auto"/>
              <w:jc w:val="right"/>
              <w:rPr>
                <w:sz w:val="18"/>
                <w:szCs w:val="18"/>
              </w:rPr>
            </w:pPr>
            <w:r w:rsidRPr="00BD77D8">
              <w:rPr>
                <w:sz w:val="18"/>
                <w:szCs w:val="18"/>
              </w:rPr>
              <w:t xml:space="preserve">          5,051 </w:t>
            </w:r>
          </w:p>
        </w:tc>
      </w:tr>
      <w:tr w:rsidR="00BD77D8" w:rsidRPr="00BD77D8" w14:paraId="3A62BF2A" w14:textId="77777777" w:rsidTr="003057FB">
        <w:trPr>
          <w:trHeight w:val="269"/>
        </w:trPr>
        <w:tc>
          <w:tcPr>
            <w:tcW w:w="0" w:type="auto"/>
            <w:tcBorders>
              <w:top w:val="nil"/>
              <w:left w:val="nil"/>
              <w:bottom w:val="nil"/>
              <w:right w:val="nil"/>
            </w:tcBorders>
            <w:shd w:val="clear" w:color="auto" w:fill="auto"/>
            <w:noWrap/>
            <w:vAlign w:val="bottom"/>
            <w:hideMark/>
          </w:tcPr>
          <w:p w14:paraId="430B29E1" w14:textId="77777777" w:rsidR="00B9311E" w:rsidRPr="00BD77D8" w:rsidRDefault="00B9311E" w:rsidP="00B9311E">
            <w:pPr>
              <w:spacing w:after="0" w:line="240" w:lineRule="auto"/>
              <w:rPr>
                <w:sz w:val="18"/>
                <w:szCs w:val="18"/>
              </w:rPr>
            </w:pPr>
            <w:r w:rsidRPr="00BD77D8">
              <w:rPr>
                <w:sz w:val="18"/>
                <w:szCs w:val="18"/>
              </w:rPr>
              <w:t xml:space="preserve"> Loss (gain) on disposal of non-current assets </w:t>
            </w:r>
          </w:p>
        </w:tc>
        <w:tc>
          <w:tcPr>
            <w:tcW w:w="0" w:type="auto"/>
            <w:tcBorders>
              <w:top w:val="nil"/>
              <w:left w:val="nil"/>
              <w:bottom w:val="nil"/>
              <w:right w:val="nil"/>
            </w:tcBorders>
            <w:shd w:val="clear" w:color="auto" w:fill="auto"/>
            <w:noWrap/>
            <w:vAlign w:val="bottom"/>
            <w:hideMark/>
          </w:tcPr>
          <w:p w14:paraId="1E528364"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E876752" w14:textId="77777777" w:rsidR="00B9311E" w:rsidRPr="00BD77D8" w:rsidRDefault="00B9311E" w:rsidP="00B9311E">
            <w:pPr>
              <w:spacing w:after="0" w:line="240" w:lineRule="auto"/>
              <w:jc w:val="right"/>
              <w:rPr>
                <w:b/>
                <w:bCs/>
                <w:sz w:val="18"/>
                <w:szCs w:val="18"/>
              </w:rPr>
            </w:pPr>
            <w:r w:rsidRPr="00BD77D8">
              <w:rPr>
                <w:b/>
                <w:bCs/>
                <w:sz w:val="18"/>
                <w:szCs w:val="18"/>
              </w:rPr>
              <w:t xml:space="preserve">                  3 </w:t>
            </w:r>
          </w:p>
        </w:tc>
        <w:tc>
          <w:tcPr>
            <w:tcW w:w="0" w:type="auto"/>
            <w:tcBorders>
              <w:top w:val="nil"/>
              <w:left w:val="nil"/>
              <w:bottom w:val="nil"/>
              <w:right w:val="nil"/>
            </w:tcBorders>
            <w:shd w:val="clear" w:color="auto" w:fill="auto"/>
            <w:vAlign w:val="bottom"/>
            <w:hideMark/>
          </w:tcPr>
          <w:p w14:paraId="0B93A662" w14:textId="77777777" w:rsidR="00B9311E" w:rsidRPr="00BD77D8" w:rsidRDefault="00B9311E" w:rsidP="00B9311E">
            <w:pPr>
              <w:spacing w:after="0" w:line="240" w:lineRule="auto"/>
              <w:jc w:val="right"/>
              <w:rPr>
                <w:sz w:val="18"/>
                <w:szCs w:val="18"/>
              </w:rPr>
            </w:pPr>
            <w:r w:rsidRPr="00BD77D8">
              <w:rPr>
                <w:sz w:val="18"/>
                <w:szCs w:val="18"/>
              </w:rPr>
              <w:t xml:space="preserve">             209 </w:t>
            </w:r>
          </w:p>
        </w:tc>
      </w:tr>
      <w:tr w:rsidR="00BD77D8" w:rsidRPr="00BD77D8" w14:paraId="6DBC20D2" w14:textId="77777777" w:rsidTr="003057FB">
        <w:trPr>
          <w:trHeight w:val="269"/>
        </w:trPr>
        <w:tc>
          <w:tcPr>
            <w:tcW w:w="0" w:type="auto"/>
            <w:tcBorders>
              <w:top w:val="nil"/>
              <w:left w:val="nil"/>
              <w:bottom w:val="nil"/>
              <w:right w:val="nil"/>
            </w:tcBorders>
            <w:shd w:val="clear" w:color="auto" w:fill="auto"/>
            <w:noWrap/>
            <w:vAlign w:val="bottom"/>
            <w:hideMark/>
          </w:tcPr>
          <w:p w14:paraId="794C859F" w14:textId="77777777" w:rsidR="00B9311E" w:rsidRPr="00BD77D8" w:rsidRDefault="00B9311E" w:rsidP="00B9311E">
            <w:pPr>
              <w:spacing w:after="0" w:line="240" w:lineRule="auto"/>
              <w:rPr>
                <w:sz w:val="18"/>
                <w:szCs w:val="18"/>
              </w:rPr>
            </w:pPr>
            <w:r w:rsidRPr="00BD77D8">
              <w:rPr>
                <w:sz w:val="18"/>
                <w:szCs w:val="18"/>
              </w:rPr>
              <w:t xml:space="preserve"> Impairment losses </w:t>
            </w:r>
          </w:p>
        </w:tc>
        <w:tc>
          <w:tcPr>
            <w:tcW w:w="0" w:type="auto"/>
            <w:tcBorders>
              <w:top w:val="nil"/>
              <w:left w:val="nil"/>
              <w:bottom w:val="nil"/>
              <w:right w:val="nil"/>
            </w:tcBorders>
            <w:shd w:val="clear" w:color="auto" w:fill="auto"/>
            <w:noWrap/>
            <w:vAlign w:val="bottom"/>
            <w:hideMark/>
          </w:tcPr>
          <w:p w14:paraId="07AF1D07"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63F9372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6AC6F544" w14:textId="77777777" w:rsidR="00B9311E" w:rsidRPr="00BD77D8" w:rsidRDefault="00B9311E" w:rsidP="00B9311E">
            <w:pPr>
              <w:spacing w:after="0" w:line="240" w:lineRule="auto"/>
              <w:jc w:val="right"/>
              <w:rPr>
                <w:sz w:val="18"/>
                <w:szCs w:val="18"/>
              </w:rPr>
            </w:pPr>
            <w:r w:rsidRPr="00BD77D8">
              <w:rPr>
                <w:sz w:val="18"/>
                <w:szCs w:val="18"/>
              </w:rPr>
              <w:t xml:space="preserve">              (52)</w:t>
            </w:r>
          </w:p>
        </w:tc>
      </w:tr>
      <w:tr w:rsidR="00BD77D8" w:rsidRPr="00BD77D8" w14:paraId="0BCBD970" w14:textId="77777777" w:rsidTr="003057FB">
        <w:trPr>
          <w:trHeight w:val="269"/>
        </w:trPr>
        <w:tc>
          <w:tcPr>
            <w:tcW w:w="0" w:type="auto"/>
            <w:tcBorders>
              <w:top w:val="nil"/>
              <w:left w:val="nil"/>
              <w:bottom w:val="nil"/>
              <w:right w:val="nil"/>
            </w:tcBorders>
            <w:shd w:val="clear" w:color="auto" w:fill="auto"/>
            <w:noWrap/>
            <w:vAlign w:val="bottom"/>
            <w:hideMark/>
          </w:tcPr>
          <w:p w14:paraId="65440083" w14:textId="77777777" w:rsidR="00B9311E" w:rsidRPr="00BD77D8" w:rsidRDefault="00B9311E" w:rsidP="00B9311E">
            <w:pPr>
              <w:spacing w:after="0" w:line="240" w:lineRule="auto"/>
              <w:rPr>
                <w:sz w:val="18"/>
                <w:szCs w:val="18"/>
              </w:rPr>
            </w:pPr>
            <w:r w:rsidRPr="00BD77D8">
              <w:rPr>
                <w:sz w:val="18"/>
                <w:szCs w:val="18"/>
              </w:rPr>
              <w:t xml:space="preserve"> Write off of assets </w:t>
            </w:r>
          </w:p>
        </w:tc>
        <w:tc>
          <w:tcPr>
            <w:tcW w:w="0" w:type="auto"/>
            <w:tcBorders>
              <w:top w:val="nil"/>
              <w:left w:val="nil"/>
              <w:bottom w:val="nil"/>
              <w:right w:val="nil"/>
            </w:tcBorders>
            <w:shd w:val="clear" w:color="auto" w:fill="auto"/>
            <w:noWrap/>
            <w:vAlign w:val="bottom"/>
            <w:hideMark/>
          </w:tcPr>
          <w:p w14:paraId="7CD494E7" w14:textId="77777777" w:rsidR="00B9311E" w:rsidRPr="00BD77D8" w:rsidRDefault="00B9311E" w:rsidP="00B9311E">
            <w:pPr>
              <w:spacing w:after="0" w:line="240" w:lineRule="auto"/>
              <w:jc w:val="center"/>
              <w:rPr>
                <w:b/>
                <w:bCs/>
                <w:sz w:val="18"/>
                <w:szCs w:val="18"/>
              </w:rPr>
            </w:pPr>
            <w:r w:rsidRPr="00BD77D8">
              <w:rPr>
                <w:b/>
                <w:bCs/>
                <w:sz w:val="18"/>
                <w:szCs w:val="18"/>
              </w:rPr>
              <w:t xml:space="preserve"> B2-5 </w:t>
            </w:r>
          </w:p>
        </w:tc>
        <w:tc>
          <w:tcPr>
            <w:tcW w:w="0" w:type="auto"/>
            <w:tcBorders>
              <w:top w:val="nil"/>
              <w:left w:val="nil"/>
              <w:bottom w:val="nil"/>
              <w:right w:val="nil"/>
            </w:tcBorders>
            <w:shd w:val="clear" w:color="auto" w:fill="auto"/>
            <w:vAlign w:val="bottom"/>
            <w:hideMark/>
          </w:tcPr>
          <w:p w14:paraId="026150AB" w14:textId="77777777" w:rsidR="00B9311E" w:rsidRPr="00BD77D8" w:rsidRDefault="00B9311E" w:rsidP="00B9311E">
            <w:pPr>
              <w:spacing w:after="0" w:line="240" w:lineRule="auto"/>
              <w:jc w:val="right"/>
              <w:rPr>
                <w:b/>
                <w:bCs/>
                <w:sz w:val="18"/>
                <w:szCs w:val="18"/>
              </w:rPr>
            </w:pPr>
            <w:r w:rsidRPr="00BD77D8">
              <w:rPr>
                <w:b/>
                <w:bCs/>
                <w:sz w:val="18"/>
                <w:szCs w:val="18"/>
              </w:rPr>
              <w:t xml:space="preserve">             814 </w:t>
            </w:r>
          </w:p>
        </w:tc>
        <w:tc>
          <w:tcPr>
            <w:tcW w:w="0" w:type="auto"/>
            <w:tcBorders>
              <w:top w:val="nil"/>
              <w:left w:val="nil"/>
              <w:bottom w:val="nil"/>
              <w:right w:val="nil"/>
            </w:tcBorders>
            <w:shd w:val="clear" w:color="auto" w:fill="auto"/>
            <w:vAlign w:val="bottom"/>
            <w:hideMark/>
          </w:tcPr>
          <w:p w14:paraId="6A604F37"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3781EE33" w14:textId="77777777" w:rsidTr="003057FB">
        <w:trPr>
          <w:trHeight w:val="269"/>
        </w:trPr>
        <w:tc>
          <w:tcPr>
            <w:tcW w:w="0" w:type="auto"/>
            <w:tcBorders>
              <w:top w:val="nil"/>
              <w:left w:val="nil"/>
              <w:bottom w:val="nil"/>
              <w:right w:val="nil"/>
            </w:tcBorders>
            <w:shd w:val="clear" w:color="auto" w:fill="auto"/>
            <w:noWrap/>
            <w:vAlign w:val="bottom"/>
            <w:hideMark/>
          </w:tcPr>
          <w:p w14:paraId="266149BF" w14:textId="77777777" w:rsidR="00B9311E" w:rsidRPr="00BD77D8" w:rsidRDefault="00B9311E" w:rsidP="00B9311E">
            <w:pPr>
              <w:spacing w:after="0" w:line="240" w:lineRule="auto"/>
              <w:rPr>
                <w:b/>
                <w:bCs/>
                <w:i/>
                <w:iCs/>
                <w:sz w:val="18"/>
                <w:szCs w:val="18"/>
              </w:rPr>
            </w:pPr>
            <w:r w:rsidRPr="00BD77D8">
              <w:rPr>
                <w:i/>
                <w:iCs/>
                <w:sz w:val="18"/>
                <w:szCs w:val="18"/>
              </w:rPr>
              <w:t xml:space="preserve"> </w:t>
            </w:r>
            <w:r w:rsidRPr="00BD77D8">
              <w:rPr>
                <w:b/>
                <w:bCs/>
                <w:i/>
                <w:iCs/>
                <w:sz w:val="18"/>
                <w:szCs w:val="18"/>
              </w:rPr>
              <w:t xml:space="preserve">Changes in assets and liabilities </w:t>
            </w:r>
          </w:p>
        </w:tc>
        <w:tc>
          <w:tcPr>
            <w:tcW w:w="0" w:type="auto"/>
            <w:tcBorders>
              <w:top w:val="nil"/>
              <w:left w:val="nil"/>
              <w:bottom w:val="nil"/>
              <w:right w:val="nil"/>
            </w:tcBorders>
            <w:shd w:val="clear" w:color="auto" w:fill="auto"/>
            <w:noWrap/>
            <w:vAlign w:val="bottom"/>
            <w:hideMark/>
          </w:tcPr>
          <w:p w14:paraId="7D56F6BB" w14:textId="77777777" w:rsidR="00B9311E" w:rsidRPr="00BD77D8" w:rsidRDefault="00B9311E" w:rsidP="00B9311E">
            <w:pPr>
              <w:spacing w:after="0" w:line="240" w:lineRule="auto"/>
              <w:rPr>
                <w:i/>
                <w:iCs/>
                <w:sz w:val="18"/>
                <w:szCs w:val="18"/>
              </w:rPr>
            </w:pPr>
          </w:p>
        </w:tc>
        <w:tc>
          <w:tcPr>
            <w:tcW w:w="0" w:type="auto"/>
            <w:tcBorders>
              <w:top w:val="nil"/>
              <w:left w:val="nil"/>
              <w:bottom w:val="nil"/>
              <w:right w:val="nil"/>
            </w:tcBorders>
            <w:shd w:val="clear" w:color="000000" w:fill="FFFFFF"/>
            <w:vAlign w:val="bottom"/>
            <w:hideMark/>
          </w:tcPr>
          <w:p w14:paraId="0C4455AE"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0" w:type="auto"/>
            <w:tcBorders>
              <w:top w:val="nil"/>
              <w:left w:val="nil"/>
              <w:bottom w:val="nil"/>
              <w:right w:val="nil"/>
            </w:tcBorders>
            <w:shd w:val="clear" w:color="auto" w:fill="auto"/>
            <w:vAlign w:val="bottom"/>
            <w:hideMark/>
          </w:tcPr>
          <w:p w14:paraId="34979D7F" w14:textId="77777777" w:rsidR="00B9311E" w:rsidRPr="00BD77D8" w:rsidRDefault="00B9311E" w:rsidP="00B9311E">
            <w:pPr>
              <w:spacing w:after="0" w:line="240" w:lineRule="auto"/>
              <w:jc w:val="center"/>
              <w:rPr>
                <w:sz w:val="18"/>
                <w:szCs w:val="18"/>
              </w:rPr>
            </w:pPr>
          </w:p>
        </w:tc>
      </w:tr>
      <w:tr w:rsidR="00BD77D8" w:rsidRPr="00BD77D8" w14:paraId="024B536E" w14:textId="77777777" w:rsidTr="003057FB">
        <w:trPr>
          <w:trHeight w:val="269"/>
        </w:trPr>
        <w:tc>
          <w:tcPr>
            <w:tcW w:w="0" w:type="auto"/>
            <w:tcBorders>
              <w:top w:val="nil"/>
              <w:left w:val="nil"/>
              <w:bottom w:val="nil"/>
              <w:right w:val="nil"/>
            </w:tcBorders>
            <w:shd w:val="clear" w:color="auto" w:fill="auto"/>
            <w:noWrap/>
            <w:vAlign w:val="bottom"/>
            <w:hideMark/>
          </w:tcPr>
          <w:p w14:paraId="0E9BE4EF" w14:textId="77777777" w:rsidR="00B9311E" w:rsidRPr="00BD77D8" w:rsidRDefault="00B9311E" w:rsidP="00B9311E">
            <w:pPr>
              <w:spacing w:after="0" w:line="240" w:lineRule="auto"/>
              <w:rPr>
                <w:sz w:val="18"/>
                <w:szCs w:val="18"/>
              </w:rPr>
            </w:pPr>
            <w:r w:rsidRPr="00BD77D8">
              <w:rPr>
                <w:sz w:val="18"/>
                <w:szCs w:val="18"/>
              </w:rPr>
              <w:t xml:space="preserve"> (Increase) decrease in GST input tax credits receivable </w:t>
            </w:r>
          </w:p>
        </w:tc>
        <w:tc>
          <w:tcPr>
            <w:tcW w:w="0" w:type="auto"/>
            <w:tcBorders>
              <w:top w:val="nil"/>
              <w:left w:val="nil"/>
              <w:bottom w:val="nil"/>
              <w:right w:val="nil"/>
            </w:tcBorders>
            <w:shd w:val="clear" w:color="auto" w:fill="auto"/>
            <w:noWrap/>
            <w:vAlign w:val="bottom"/>
            <w:hideMark/>
          </w:tcPr>
          <w:p w14:paraId="0DAA6677"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D299B33" w14:textId="77777777" w:rsidR="00B9311E" w:rsidRPr="00BD77D8" w:rsidRDefault="00B9311E" w:rsidP="00B9311E">
            <w:pPr>
              <w:spacing w:after="0" w:line="240" w:lineRule="auto"/>
              <w:jc w:val="right"/>
              <w:rPr>
                <w:b/>
                <w:bCs/>
                <w:sz w:val="18"/>
                <w:szCs w:val="18"/>
              </w:rPr>
            </w:pPr>
            <w:r w:rsidRPr="00BD77D8">
              <w:rPr>
                <w:b/>
                <w:bCs/>
                <w:sz w:val="18"/>
                <w:szCs w:val="18"/>
              </w:rPr>
              <w:t xml:space="preserve">            (228)</w:t>
            </w:r>
          </w:p>
        </w:tc>
        <w:tc>
          <w:tcPr>
            <w:tcW w:w="0" w:type="auto"/>
            <w:tcBorders>
              <w:top w:val="nil"/>
              <w:left w:val="nil"/>
              <w:bottom w:val="nil"/>
              <w:right w:val="nil"/>
            </w:tcBorders>
            <w:shd w:val="clear" w:color="auto" w:fill="auto"/>
            <w:vAlign w:val="bottom"/>
            <w:hideMark/>
          </w:tcPr>
          <w:p w14:paraId="2033E7AB" w14:textId="77777777" w:rsidR="00B9311E" w:rsidRPr="00BD77D8" w:rsidRDefault="00B9311E" w:rsidP="00B9311E">
            <w:pPr>
              <w:spacing w:after="0" w:line="240" w:lineRule="auto"/>
              <w:jc w:val="right"/>
              <w:rPr>
                <w:sz w:val="18"/>
                <w:szCs w:val="18"/>
              </w:rPr>
            </w:pPr>
            <w:r w:rsidRPr="00BD77D8">
              <w:rPr>
                <w:sz w:val="18"/>
                <w:szCs w:val="18"/>
              </w:rPr>
              <w:t xml:space="preserve">             672 </w:t>
            </w:r>
          </w:p>
        </w:tc>
      </w:tr>
      <w:tr w:rsidR="00BD77D8" w:rsidRPr="00BD77D8" w14:paraId="0178E914" w14:textId="77777777" w:rsidTr="003057FB">
        <w:trPr>
          <w:trHeight w:val="269"/>
        </w:trPr>
        <w:tc>
          <w:tcPr>
            <w:tcW w:w="0" w:type="auto"/>
            <w:tcBorders>
              <w:top w:val="nil"/>
              <w:left w:val="nil"/>
              <w:bottom w:val="nil"/>
              <w:right w:val="nil"/>
            </w:tcBorders>
            <w:shd w:val="clear" w:color="auto" w:fill="auto"/>
            <w:noWrap/>
            <w:vAlign w:val="bottom"/>
            <w:hideMark/>
          </w:tcPr>
          <w:p w14:paraId="1ECC614E" w14:textId="77777777" w:rsidR="00B9311E" w:rsidRPr="00BD77D8" w:rsidRDefault="00B9311E" w:rsidP="00B9311E">
            <w:pPr>
              <w:spacing w:after="0" w:line="240" w:lineRule="auto"/>
              <w:rPr>
                <w:sz w:val="18"/>
                <w:szCs w:val="18"/>
              </w:rPr>
            </w:pPr>
            <w:r w:rsidRPr="00BD77D8">
              <w:rPr>
                <w:sz w:val="18"/>
                <w:szCs w:val="18"/>
              </w:rPr>
              <w:t xml:space="preserve"> (Increase) decrease in trade receivables </w:t>
            </w:r>
          </w:p>
        </w:tc>
        <w:tc>
          <w:tcPr>
            <w:tcW w:w="0" w:type="auto"/>
            <w:tcBorders>
              <w:top w:val="nil"/>
              <w:left w:val="nil"/>
              <w:bottom w:val="nil"/>
              <w:right w:val="nil"/>
            </w:tcBorders>
            <w:shd w:val="clear" w:color="auto" w:fill="auto"/>
            <w:noWrap/>
            <w:vAlign w:val="bottom"/>
            <w:hideMark/>
          </w:tcPr>
          <w:p w14:paraId="21BDA59D"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03872BF7" w14:textId="77777777" w:rsidR="00B9311E" w:rsidRPr="00BD77D8" w:rsidRDefault="00B9311E" w:rsidP="00B9311E">
            <w:pPr>
              <w:spacing w:after="0" w:line="240" w:lineRule="auto"/>
              <w:jc w:val="right"/>
              <w:rPr>
                <w:b/>
                <w:bCs/>
                <w:sz w:val="18"/>
                <w:szCs w:val="18"/>
              </w:rPr>
            </w:pPr>
            <w:r w:rsidRPr="00BD77D8">
              <w:rPr>
                <w:b/>
                <w:bCs/>
                <w:sz w:val="18"/>
                <w:szCs w:val="18"/>
              </w:rPr>
              <w:t xml:space="preserve">        (1,025)</w:t>
            </w:r>
          </w:p>
        </w:tc>
        <w:tc>
          <w:tcPr>
            <w:tcW w:w="0" w:type="auto"/>
            <w:tcBorders>
              <w:top w:val="nil"/>
              <w:left w:val="nil"/>
              <w:bottom w:val="nil"/>
              <w:right w:val="nil"/>
            </w:tcBorders>
            <w:shd w:val="clear" w:color="auto" w:fill="auto"/>
            <w:vAlign w:val="bottom"/>
            <w:hideMark/>
          </w:tcPr>
          <w:p w14:paraId="73AE517C" w14:textId="77777777" w:rsidR="00B9311E" w:rsidRPr="00BD77D8" w:rsidRDefault="00B9311E" w:rsidP="00B9311E">
            <w:pPr>
              <w:spacing w:after="0" w:line="240" w:lineRule="auto"/>
              <w:jc w:val="right"/>
              <w:rPr>
                <w:sz w:val="18"/>
                <w:szCs w:val="18"/>
              </w:rPr>
            </w:pPr>
            <w:r w:rsidRPr="00BD77D8">
              <w:rPr>
                <w:sz w:val="18"/>
                <w:szCs w:val="18"/>
              </w:rPr>
              <w:t xml:space="preserve">             494 </w:t>
            </w:r>
          </w:p>
        </w:tc>
      </w:tr>
      <w:tr w:rsidR="00BD77D8" w:rsidRPr="00BD77D8" w14:paraId="7F2B8F3C" w14:textId="77777777" w:rsidTr="003057FB">
        <w:trPr>
          <w:trHeight w:val="269"/>
        </w:trPr>
        <w:tc>
          <w:tcPr>
            <w:tcW w:w="0" w:type="auto"/>
            <w:tcBorders>
              <w:top w:val="nil"/>
              <w:left w:val="nil"/>
              <w:bottom w:val="nil"/>
              <w:right w:val="nil"/>
            </w:tcBorders>
            <w:shd w:val="clear" w:color="auto" w:fill="auto"/>
            <w:noWrap/>
            <w:vAlign w:val="bottom"/>
            <w:hideMark/>
          </w:tcPr>
          <w:p w14:paraId="16924E74" w14:textId="77777777" w:rsidR="00B9311E" w:rsidRPr="00BD77D8" w:rsidRDefault="00B9311E" w:rsidP="00B9311E">
            <w:pPr>
              <w:spacing w:after="0" w:line="240" w:lineRule="auto"/>
              <w:rPr>
                <w:sz w:val="18"/>
                <w:szCs w:val="18"/>
              </w:rPr>
            </w:pPr>
            <w:r w:rsidRPr="00BD77D8">
              <w:rPr>
                <w:sz w:val="18"/>
                <w:szCs w:val="18"/>
              </w:rPr>
              <w:t xml:space="preserve"> (Increase) decrease in other current receivables </w:t>
            </w:r>
          </w:p>
        </w:tc>
        <w:tc>
          <w:tcPr>
            <w:tcW w:w="0" w:type="auto"/>
            <w:tcBorders>
              <w:top w:val="nil"/>
              <w:left w:val="nil"/>
              <w:bottom w:val="nil"/>
              <w:right w:val="nil"/>
            </w:tcBorders>
            <w:shd w:val="clear" w:color="auto" w:fill="auto"/>
            <w:noWrap/>
            <w:vAlign w:val="bottom"/>
            <w:hideMark/>
          </w:tcPr>
          <w:p w14:paraId="05D875BD"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C29781D"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3DF1C551" w14:textId="77777777" w:rsidR="00B9311E" w:rsidRPr="00BD77D8" w:rsidRDefault="00B9311E" w:rsidP="00B9311E">
            <w:pPr>
              <w:spacing w:after="0" w:line="240" w:lineRule="auto"/>
              <w:jc w:val="right"/>
              <w:rPr>
                <w:sz w:val="18"/>
                <w:szCs w:val="18"/>
              </w:rPr>
            </w:pPr>
            <w:r w:rsidRPr="00BD77D8">
              <w:rPr>
                <w:sz w:val="18"/>
                <w:szCs w:val="18"/>
              </w:rPr>
              <w:t xml:space="preserve">             182 </w:t>
            </w:r>
          </w:p>
        </w:tc>
      </w:tr>
      <w:tr w:rsidR="00BD77D8" w:rsidRPr="00BD77D8" w14:paraId="3BDE5005" w14:textId="77777777" w:rsidTr="003057FB">
        <w:trPr>
          <w:trHeight w:val="269"/>
        </w:trPr>
        <w:tc>
          <w:tcPr>
            <w:tcW w:w="0" w:type="auto"/>
            <w:tcBorders>
              <w:top w:val="nil"/>
              <w:left w:val="nil"/>
              <w:bottom w:val="nil"/>
              <w:right w:val="nil"/>
            </w:tcBorders>
            <w:shd w:val="clear" w:color="auto" w:fill="auto"/>
            <w:noWrap/>
            <w:vAlign w:val="bottom"/>
            <w:hideMark/>
          </w:tcPr>
          <w:p w14:paraId="4522F6B2" w14:textId="77777777" w:rsidR="00B9311E" w:rsidRPr="00BD77D8" w:rsidRDefault="00B9311E" w:rsidP="00B9311E">
            <w:pPr>
              <w:spacing w:after="0" w:line="240" w:lineRule="auto"/>
              <w:rPr>
                <w:sz w:val="18"/>
                <w:szCs w:val="18"/>
              </w:rPr>
            </w:pPr>
            <w:r w:rsidRPr="00BD77D8">
              <w:rPr>
                <w:sz w:val="18"/>
                <w:szCs w:val="18"/>
              </w:rPr>
              <w:t xml:space="preserve"> (Increase) decrease in other assets </w:t>
            </w:r>
          </w:p>
        </w:tc>
        <w:tc>
          <w:tcPr>
            <w:tcW w:w="0" w:type="auto"/>
            <w:tcBorders>
              <w:top w:val="nil"/>
              <w:left w:val="nil"/>
              <w:bottom w:val="nil"/>
              <w:right w:val="nil"/>
            </w:tcBorders>
            <w:shd w:val="clear" w:color="auto" w:fill="auto"/>
            <w:noWrap/>
            <w:vAlign w:val="bottom"/>
            <w:hideMark/>
          </w:tcPr>
          <w:p w14:paraId="695ED4EA"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761B156F" w14:textId="77777777" w:rsidR="00B9311E" w:rsidRPr="00BD77D8" w:rsidRDefault="00B9311E" w:rsidP="00B9311E">
            <w:pPr>
              <w:spacing w:after="0" w:line="240" w:lineRule="auto"/>
              <w:jc w:val="right"/>
              <w:rPr>
                <w:b/>
                <w:bCs/>
                <w:sz w:val="18"/>
                <w:szCs w:val="18"/>
              </w:rPr>
            </w:pPr>
            <w:r w:rsidRPr="00BD77D8">
              <w:rPr>
                <w:b/>
                <w:bCs/>
                <w:sz w:val="18"/>
                <w:szCs w:val="18"/>
              </w:rPr>
              <w:t xml:space="preserve">             791 </w:t>
            </w:r>
          </w:p>
        </w:tc>
        <w:tc>
          <w:tcPr>
            <w:tcW w:w="0" w:type="auto"/>
            <w:tcBorders>
              <w:top w:val="nil"/>
              <w:left w:val="nil"/>
              <w:bottom w:val="nil"/>
              <w:right w:val="nil"/>
            </w:tcBorders>
            <w:shd w:val="clear" w:color="auto" w:fill="auto"/>
            <w:vAlign w:val="bottom"/>
            <w:hideMark/>
          </w:tcPr>
          <w:p w14:paraId="081229E8" w14:textId="77777777" w:rsidR="00B9311E" w:rsidRPr="00BD77D8" w:rsidRDefault="00B9311E" w:rsidP="00B9311E">
            <w:pPr>
              <w:spacing w:after="0" w:line="240" w:lineRule="auto"/>
              <w:jc w:val="right"/>
              <w:rPr>
                <w:sz w:val="18"/>
                <w:szCs w:val="18"/>
              </w:rPr>
            </w:pPr>
            <w:r w:rsidRPr="00BD77D8">
              <w:rPr>
                <w:sz w:val="18"/>
                <w:szCs w:val="18"/>
              </w:rPr>
              <w:t xml:space="preserve">             572 </w:t>
            </w:r>
          </w:p>
        </w:tc>
      </w:tr>
      <w:tr w:rsidR="00BD77D8" w:rsidRPr="00BD77D8" w14:paraId="5049DE83" w14:textId="77777777" w:rsidTr="003057FB">
        <w:trPr>
          <w:trHeight w:val="269"/>
        </w:trPr>
        <w:tc>
          <w:tcPr>
            <w:tcW w:w="0" w:type="auto"/>
            <w:tcBorders>
              <w:top w:val="nil"/>
              <w:left w:val="nil"/>
              <w:bottom w:val="nil"/>
              <w:right w:val="nil"/>
            </w:tcBorders>
            <w:shd w:val="clear" w:color="auto" w:fill="auto"/>
            <w:noWrap/>
            <w:vAlign w:val="bottom"/>
            <w:hideMark/>
          </w:tcPr>
          <w:p w14:paraId="5AB0A622" w14:textId="77777777" w:rsidR="00B9311E" w:rsidRPr="00BD77D8" w:rsidRDefault="00B9311E" w:rsidP="00B9311E">
            <w:pPr>
              <w:spacing w:after="0" w:line="240" w:lineRule="auto"/>
              <w:rPr>
                <w:sz w:val="18"/>
                <w:szCs w:val="18"/>
              </w:rPr>
            </w:pPr>
            <w:r w:rsidRPr="00BD77D8">
              <w:rPr>
                <w:sz w:val="18"/>
                <w:szCs w:val="18"/>
              </w:rPr>
              <w:t xml:space="preserve"> Increase (decrease) in payables </w:t>
            </w:r>
          </w:p>
        </w:tc>
        <w:tc>
          <w:tcPr>
            <w:tcW w:w="0" w:type="auto"/>
            <w:tcBorders>
              <w:top w:val="nil"/>
              <w:left w:val="nil"/>
              <w:bottom w:val="nil"/>
              <w:right w:val="nil"/>
            </w:tcBorders>
            <w:shd w:val="clear" w:color="auto" w:fill="auto"/>
            <w:noWrap/>
            <w:vAlign w:val="bottom"/>
            <w:hideMark/>
          </w:tcPr>
          <w:p w14:paraId="45E249C8"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153558EC" w14:textId="77777777" w:rsidR="00B9311E" w:rsidRPr="00BD77D8" w:rsidRDefault="00B9311E" w:rsidP="00B9311E">
            <w:pPr>
              <w:spacing w:after="0" w:line="240" w:lineRule="auto"/>
              <w:jc w:val="right"/>
              <w:rPr>
                <w:b/>
                <w:bCs/>
                <w:sz w:val="18"/>
                <w:szCs w:val="18"/>
              </w:rPr>
            </w:pPr>
            <w:r w:rsidRPr="00BD77D8">
              <w:rPr>
                <w:b/>
                <w:bCs/>
                <w:sz w:val="18"/>
                <w:szCs w:val="18"/>
              </w:rPr>
              <w:t xml:space="preserve">      (11,263)</w:t>
            </w:r>
          </w:p>
        </w:tc>
        <w:tc>
          <w:tcPr>
            <w:tcW w:w="0" w:type="auto"/>
            <w:tcBorders>
              <w:top w:val="nil"/>
              <w:left w:val="nil"/>
              <w:bottom w:val="nil"/>
              <w:right w:val="nil"/>
            </w:tcBorders>
            <w:shd w:val="clear" w:color="auto" w:fill="auto"/>
            <w:vAlign w:val="bottom"/>
            <w:hideMark/>
          </w:tcPr>
          <w:p w14:paraId="3AA1125A" w14:textId="77777777" w:rsidR="00B9311E" w:rsidRPr="00BD77D8" w:rsidRDefault="00B9311E" w:rsidP="00B9311E">
            <w:pPr>
              <w:spacing w:after="0" w:line="240" w:lineRule="auto"/>
              <w:jc w:val="right"/>
              <w:rPr>
                <w:sz w:val="18"/>
                <w:szCs w:val="18"/>
              </w:rPr>
            </w:pPr>
            <w:r w:rsidRPr="00BD77D8">
              <w:rPr>
                <w:sz w:val="18"/>
                <w:szCs w:val="18"/>
              </w:rPr>
              <w:t xml:space="preserve">          4,235 </w:t>
            </w:r>
          </w:p>
        </w:tc>
      </w:tr>
      <w:tr w:rsidR="00BD77D8" w:rsidRPr="00BD77D8" w14:paraId="35FD413C" w14:textId="77777777" w:rsidTr="003057FB">
        <w:trPr>
          <w:trHeight w:val="269"/>
        </w:trPr>
        <w:tc>
          <w:tcPr>
            <w:tcW w:w="0" w:type="auto"/>
            <w:tcBorders>
              <w:top w:val="nil"/>
              <w:left w:val="nil"/>
              <w:bottom w:val="nil"/>
              <w:right w:val="nil"/>
            </w:tcBorders>
            <w:shd w:val="clear" w:color="auto" w:fill="auto"/>
            <w:noWrap/>
            <w:vAlign w:val="bottom"/>
            <w:hideMark/>
          </w:tcPr>
          <w:p w14:paraId="3CEA1CEF" w14:textId="77777777" w:rsidR="00B9311E" w:rsidRPr="00BD77D8" w:rsidRDefault="00B9311E" w:rsidP="00B9311E">
            <w:pPr>
              <w:spacing w:after="0" w:line="240" w:lineRule="auto"/>
              <w:rPr>
                <w:sz w:val="18"/>
                <w:szCs w:val="18"/>
              </w:rPr>
            </w:pPr>
            <w:r w:rsidRPr="00BD77D8">
              <w:rPr>
                <w:sz w:val="18"/>
                <w:szCs w:val="18"/>
              </w:rPr>
              <w:t xml:space="preserve"> Increase (decrease) in accrued employee benefits </w:t>
            </w:r>
          </w:p>
        </w:tc>
        <w:tc>
          <w:tcPr>
            <w:tcW w:w="0" w:type="auto"/>
            <w:tcBorders>
              <w:top w:val="nil"/>
              <w:left w:val="nil"/>
              <w:bottom w:val="nil"/>
              <w:right w:val="nil"/>
            </w:tcBorders>
            <w:shd w:val="clear" w:color="auto" w:fill="auto"/>
            <w:noWrap/>
            <w:vAlign w:val="bottom"/>
            <w:hideMark/>
          </w:tcPr>
          <w:p w14:paraId="7C64D264"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42E830CD" w14:textId="77777777" w:rsidR="00B9311E" w:rsidRPr="00BD77D8" w:rsidRDefault="00B9311E" w:rsidP="00B9311E">
            <w:pPr>
              <w:spacing w:after="0" w:line="240" w:lineRule="auto"/>
              <w:jc w:val="right"/>
              <w:rPr>
                <w:b/>
                <w:bCs/>
                <w:sz w:val="18"/>
                <w:szCs w:val="18"/>
              </w:rPr>
            </w:pPr>
            <w:r w:rsidRPr="00BD77D8">
              <w:rPr>
                <w:b/>
                <w:bCs/>
                <w:sz w:val="18"/>
                <w:szCs w:val="18"/>
              </w:rPr>
              <w:t xml:space="preserve">             450 </w:t>
            </w:r>
          </w:p>
        </w:tc>
        <w:tc>
          <w:tcPr>
            <w:tcW w:w="0" w:type="auto"/>
            <w:tcBorders>
              <w:top w:val="nil"/>
              <w:left w:val="nil"/>
              <w:bottom w:val="nil"/>
              <w:right w:val="nil"/>
            </w:tcBorders>
            <w:shd w:val="clear" w:color="auto" w:fill="auto"/>
            <w:vAlign w:val="bottom"/>
            <w:hideMark/>
          </w:tcPr>
          <w:p w14:paraId="60A506A8" w14:textId="77777777" w:rsidR="00B9311E" w:rsidRPr="00BD77D8" w:rsidRDefault="00B9311E" w:rsidP="00B9311E">
            <w:pPr>
              <w:spacing w:after="0" w:line="240" w:lineRule="auto"/>
              <w:jc w:val="right"/>
              <w:rPr>
                <w:sz w:val="18"/>
                <w:szCs w:val="18"/>
              </w:rPr>
            </w:pPr>
            <w:r w:rsidRPr="00BD77D8">
              <w:rPr>
                <w:sz w:val="18"/>
                <w:szCs w:val="18"/>
              </w:rPr>
              <w:t xml:space="preserve">            (647)</w:t>
            </w:r>
          </w:p>
        </w:tc>
      </w:tr>
      <w:tr w:rsidR="00BD77D8" w:rsidRPr="00BD77D8" w14:paraId="0414CB05" w14:textId="77777777" w:rsidTr="003057FB">
        <w:trPr>
          <w:trHeight w:val="269"/>
        </w:trPr>
        <w:tc>
          <w:tcPr>
            <w:tcW w:w="0" w:type="auto"/>
            <w:tcBorders>
              <w:top w:val="nil"/>
              <w:left w:val="nil"/>
              <w:bottom w:val="nil"/>
              <w:right w:val="nil"/>
            </w:tcBorders>
            <w:shd w:val="clear" w:color="auto" w:fill="auto"/>
            <w:noWrap/>
            <w:vAlign w:val="bottom"/>
            <w:hideMark/>
          </w:tcPr>
          <w:p w14:paraId="4FBC6B58" w14:textId="77777777" w:rsidR="00B9311E" w:rsidRPr="00BD77D8" w:rsidRDefault="00B9311E" w:rsidP="00B9311E">
            <w:pPr>
              <w:spacing w:after="0" w:line="240" w:lineRule="auto"/>
              <w:rPr>
                <w:sz w:val="18"/>
                <w:szCs w:val="18"/>
              </w:rPr>
            </w:pPr>
            <w:r w:rsidRPr="00BD77D8">
              <w:rPr>
                <w:sz w:val="18"/>
                <w:szCs w:val="18"/>
              </w:rPr>
              <w:t xml:space="preserve"> Increase (decrease) in provisions </w:t>
            </w:r>
          </w:p>
        </w:tc>
        <w:tc>
          <w:tcPr>
            <w:tcW w:w="0" w:type="auto"/>
            <w:tcBorders>
              <w:top w:val="nil"/>
              <w:left w:val="nil"/>
              <w:bottom w:val="nil"/>
              <w:right w:val="nil"/>
            </w:tcBorders>
            <w:shd w:val="clear" w:color="auto" w:fill="auto"/>
            <w:noWrap/>
            <w:vAlign w:val="bottom"/>
            <w:hideMark/>
          </w:tcPr>
          <w:p w14:paraId="0A6EF2ED"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5D6A2D69" w14:textId="77777777" w:rsidR="00B9311E" w:rsidRPr="00BD77D8" w:rsidRDefault="00B9311E" w:rsidP="00B9311E">
            <w:pPr>
              <w:spacing w:after="0" w:line="240" w:lineRule="auto"/>
              <w:jc w:val="right"/>
              <w:rPr>
                <w:b/>
                <w:bCs/>
                <w:sz w:val="18"/>
                <w:szCs w:val="18"/>
              </w:rPr>
            </w:pPr>
            <w:r w:rsidRPr="00BD77D8">
              <w:rPr>
                <w:b/>
                <w:bCs/>
                <w:sz w:val="18"/>
                <w:szCs w:val="18"/>
              </w:rPr>
              <w:t xml:space="preserve">            (119)</w:t>
            </w:r>
          </w:p>
        </w:tc>
        <w:tc>
          <w:tcPr>
            <w:tcW w:w="0" w:type="auto"/>
            <w:tcBorders>
              <w:top w:val="nil"/>
              <w:left w:val="nil"/>
              <w:bottom w:val="nil"/>
              <w:right w:val="nil"/>
            </w:tcBorders>
            <w:shd w:val="clear" w:color="auto" w:fill="auto"/>
            <w:vAlign w:val="bottom"/>
            <w:hideMark/>
          </w:tcPr>
          <w:p w14:paraId="4D5D01A4" w14:textId="77777777" w:rsidR="00B9311E" w:rsidRPr="00BD77D8" w:rsidRDefault="00B9311E" w:rsidP="00B9311E">
            <w:pPr>
              <w:spacing w:after="0" w:line="240" w:lineRule="auto"/>
              <w:jc w:val="right"/>
              <w:rPr>
                <w:sz w:val="18"/>
                <w:szCs w:val="18"/>
              </w:rPr>
            </w:pPr>
            <w:r w:rsidRPr="00BD77D8">
              <w:rPr>
                <w:sz w:val="18"/>
                <w:szCs w:val="18"/>
              </w:rPr>
              <w:t xml:space="preserve">        (2,382)</w:t>
            </w:r>
          </w:p>
        </w:tc>
      </w:tr>
      <w:tr w:rsidR="00BD77D8" w:rsidRPr="00BD77D8" w14:paraId="6C2E0550" w14:textId="77777777" w:rsidTr="003057FB">
        <w:trPr>
          <w:trHeight w:val="269"/>
        </w:trPr>
        <w:tc>
          <w:tcPr>
            <w:tcW w:w="0" w:type="auto"/>
            <w:tcBorders>
              <w:top w:val="nil"/>
              <w:left w:val="nil"/>
              <w:bottom w:val="nil"/>
              <w:right w:val="nil"/>
            </w:tcBorders>
            <w:shd w:val="clear" w:color="auto" w:fill="auto"/>
            <w:noWrap/>
            <w:vAlign w:val="bottom"/>
            <w:hideMark/>
          </w:tcPr>
          <w:p w14:paraId="2CBD3B83" w14:textId="77777777" w:rsidR="00B9311E" w:rsidRPr="00BD77D8" w:rsidRDefault="00B9311E" w:rsidP="00B9311E">
            <w:pPr>
              <w:spacing w:after="0" w:line="240" w:lineRule="auto"/>
              <w:rPr>
                <w:sz w:val="18"/>
                <w:szCs w:val="18"/>
              </w:rPr>
            </w:pPr>
            <w:r w:rsidRPr="00BD77D8">
              <w:rPr>
                <w:sz w:val="18"/>
                <w:szCs w:val="18"/>
              </w:rPr>
              <w:t xml:space="preserve"> Increase (decrease) in other liabilities </w:t>
            </w:r>
          </w:p>
        </w:tc>
        <w:tc>
          <w:tcPr>
            <w:tcW w:w="0" w:type="auto"/>
            <w:tcBorders>
              <w:top w:val="nil"/>
              <w:left w:val="nil"/>
              <w:bottom w:val="nil"/>
              <w:right w:val="nil"/>
            </w:tcBorders>
            <w:shd w:val="clear" w:color="auto" w:fill="auto"/>
            <w:noWrap/>
            <w:vAlign w:val="bottom"/>
            <w:hideMark/>
          </w:tcPr>
          <w:p w14:paraId="72A0C902"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vAlign w:val="bottom"/>
            <w:hideMark/>
          </w:tcPr>
          <w:p w14:paraId="1D4C4951" w14:textId="77777777" w:rsidR="00B9311E" w:rsidRPr="00BD77D8" w:rsidRDefault="00B9311E" w:rsidP="00B9311E">
            <w:pPr>
              <w:spacing w:after="0" w:line="240" w:lineRule="auto"/>
              <w:jc w:val="right"/>
              <w:rPr>
                <w:b/>
                <w:bCs/>
                <w:sz w:val="18"/>
                <w:szCs w:val="18"/>
              </w:rPr>
            </w:pPr>
            <w:r w:rsidRPr="00BD77D8">
              <w:rPr>
                <w:b/>
                <w:bCs/>
                <w:sz w:val="18"/>
                <w:szCs w:val="18"/>
              </w:rPr>
              <w:t xml:space="preserve">             491 </w:t>
            </w:r>
          </w:p>
        </w:tc>
        <w:tc>
          <w:tcPr>
            <w:tcW w:w="0" w:type="auto"/>
            <w:tcBorders>
              <w:top w:val="nil"/>
              <w:left w:val="nil"/>
              <w:bottom w:val="nil"/>
              <w:right w:val="nil"/>
            </w:tcBorders>
            <w:shd w:val="clear" w:color="auto" w:fill="auto"/>
            <w:vAlign w:val="bottom"/>
            <w:hideMark/>
          </w:tcPr>
          <w:p w14:paraId="12A55802" w14:textId="77777777" w:rsidR="00B9311E" w:rsidRPr="00BD77D8" w:rsidRDefault="00B9311E" w:rsidP="00B9311E">
            <w:pPr>
              <w:spacing w:after="0" w:line="240" w:lineRule="auto"/>
              <w:jc w:val="right"/>
              <w:rPr>
                <w:sz w:val="18"/>
                <w:szCs w:val="18"/>
              </w:rPr>
            </w:pPr>
            <w:r w:rsidRPr="00BD77D8">
              <w:rPr>
                <w:sz w:val="18"/>
                <w:szCs w:val="18"/>
              </w:rPr>
              <w:t xml:space="preserve">        (8,984)</w:t>
            </w:r>
          </w:p>
        </w:tc>
      </w:tr>
      <w:tr w:rsidR="00BD77D8" w:rsidRPr="00BD77D8" w14:paraId="2EBCF9FA" w14:textId="77777777" w:rsidTr="003057FB">
        <w:trPr>
          <w:trHeight w:val="269"/>
        </w:trPr>
        <w:tc>
          <w:tcPr>
            <w:tcW w:w="0" w:type="auto"/>
            <w:tcBorders>
              <w:top w:val="nil"/>
              <w:left w:val="nil"/>
              <w:bottom w:val="nil"/>
              <w:right w:val="nil"/>
            </w:tcBorders>
            <w:shd w:val="clear" w:color="auto" w:fill="auto"/>
            <w:noWrap/>
            <w:vAlign w:val="bottom"/>
            <w:hideMark/>
          </w:tcPr>
          <w:p w14:paraId="3C8EBDEE" w14:textId="77777777" w:rsidR="00B9311E" w:rsidRPr="00BD77D8" w:rsidRDefault="00B9311E" w:rsidP="00B9311E">
            <w:pPr>
              <w:spacing w:after="0" w:line="240" w:lineRule="auto"/>
              <w:rPr>
                <w:b/>
                <w:bCs/>
                <w:sz w:val="18"/>
                <w:szCs w:val="18"/>
              </w:rPr>
            </w:pPr>
            <w:r w:rsidRPr="00BD77D8">
              <w:rPr>
                <w:b/>
                <w:bCs/>
                <w:sz w:val="18"/>
                <w:szCs w:val="18"/>
              </w:rPr>
              <w:t xml:space="preserve"> Net Cash Provided by (Used in) Operating Activities </w:t>
            </w:r>
          </w:p>
        </w:tc>
        <w:tc>
          <w:tcPr>
            <w:tcW w:w="0" w:type="auto"/>
            <w:tcBorders>
              <w:top w:val="nil"/>
              <w:left w:val="nil"/>
              <w:bottom w:val="nil"/>
              <w:right w:val="nil"/>
            </w:tcBorders>
            <w:shd w:val="clear" w:color="auto" w:fill="auto"/>
            <w:noWrap/>
            <w:vAlign w:val="bottom"/>
            <w:hideMark/>
          </w:tcPr>
          <w:p w14:paraId="4B1934A5" w14:textId="77777777" w:rsidR="00B9311E" w:rsidRPr="00BD77D8" w:rsidRDefault="00B9311E" w:rsidP="00B9311E">
            <w:pPr>
              <w:spacing w:after="0" w:line="240" w:lineRule="auto"/>
              <w:rPr>
                <w:b/>
                <w:bCs/>
                <w:sz w:val="18"/>
                <w:szCs w:val="18"/>
              </w:rPr>
            </w:pPr>
          </w:p>
        </w:tc>
        <w:tc>
          <w:tcPr>
            <w:tcW w:w="0" w:type="auto"/>
            <w:tcBorders>
              <w:top w:val="single" w:sz="4" w:space="0" w:color="auto"/>
              <w:left w:val="nil"/>
              <w:bottom w:val="single" w:sz="4" w:space="0" w:color="auto"/>
              <w:right w:val="nil"/>
            </w:tcBorders>
            <w:shd w:val="clear" w:color="auto" w:fill="auto"/>
            <w:vAlign w:val="bottom"/>
            <w:hideMark/>
          </w:tcPr>
          <w:p w14:paraId="210567F9" w14:textId="77777777" w:rsidR="00B9311E" w:rsidRPr="00BD77D8" w:rsidRDefault="00B9311E" w:rsidP="00B9311E">
            <w:pPr>
              <w:spacing w:after="0" w:line="240" w:lineRule="auto"/>
              <w:jc w:val="right"/>
              <w:rPr>
                <w:b/>
                <w:bCs/>
                <w:sz w:val="18"/>
                <w:szCs w:val="18"/>
              </w:rPr>
            </w:pPr>
            <w:r w:rsidRPr="00BD77D8">
              <w:rPr>
                <w:b/>
                <w:bCs/>
                <w:sz w:val="18"/>
                <w:szCs w:val="18"/>
              </w:rPr>
              <w:t xml:space="preserve">        (3,680)</w:t>
            </w:r>
          </w:p>
        </w:tc>
        <w:tc>
          <w:tcPr>
            <w:tcW w:w="0" w:type="auto"/>
            <w:tcBorders>
              <w:top w:val="single" w:sz="4" w:space="0" w:color="auto"/>
              <w:left w:val="nil"/>
              <w:bottom w:val="single" w:sz="4" w:space="0" w:color="auto"/>
              <w:right w:val="nil"/>
            </w:tcBorders>
            <w:shd w:val="clear" w:color="auto" w:fill="auto"/>
            <w:vAlign w:val="bottom"/>
            <w:hideMark/>
          </w:tcPr>
          <w:p w14:paraId="6772809D" w14:textId="77777777" w:rsidR="00B9311E" w:rsidRPr="00BD77D8" w:rsidRDefault="00B9311E" w:rsidP="00B9311E">
            <w:pPr>
              <w:spacing w:after="0" w:line="240" w:lineRule="auto"/>
              <w:jc w:val="right"/>
              <w:rPr>
                <w:b/>
                <w:bCs/>
                <w:sz w:val="18"/>
                <w:szCs w:val="18"/>
              </w:rPr>
            </w:pPr>
            <w:r w:rsidRPr="00BD77D8">
              <w:rPr>
                <w:b/>
                <w:bCs/>
                <w:sz w:val="18"/>
                <w:szCs w:val="18"/>
              </w:rPr>
              <w:t xml:space="preserve">          1,016 </w:t>
            </w:r>
          </w:p>
        </w:tc>
      </w:tr>
    </w:tbl>
    <w:p w14:paraId="6F6B0E1E" w14:textId="77777777" w:rsidR="00B9311E" w:rsidRPr="00BD77D8" w:rsidRDefault="00B9311E" w:rsidP="00587E62">
      <w:pPr>
        <w:spacing w:before="240" w:after="0" w:line="180" w:lineRule="atLeast"/>
        <w:textAlignment w:val="baseline"/>
        <w:rPr>
          <w:rFonts w:eastAsia="Arial"/>
          <w:b/>
          <w:bCs/>
          <w:spacing w:val="2"/>
          <w:sz w:val="18"/>
          <w:szCs w:val="18"/>
          <w:lang w:eastAsia="en-US"/>
        </w:rPr>
      </w:pPr>
      <w:r w:rsidRPr="00BD77D8">
        <w:rPr>
          <w:rFonts w:eastAsia="Arial"/>
          <w:b/>
          <w:bCs/>
          <w:spacing w:val="2"/>
          <w:sz w:val="18"/>
          <w:szCs w:val="18"/>
          <w:lang w:eastAsia="en-US"/>
        </w:rPr>
        <w:t xml:space="preserve">CF-2 </w:t>
      </w:r>
      <w:proofErr w:type="gramStart"/>
      <w:r w:rsidRPr="00BD77D8">
        <w:rPr>
          <w:rFonts w:eastAsia="Arial"/>
          <w:b/>
          <w:bCs/>
          <w:spacing w:val="2"/>
          <w:sz w:val="18"/>
          <w:szCs w:val="18"/>
          <w:lang w:eastAsia="en-US"/>
        </w:rPr>
        <w:t>Non-cash</w:t>
      </w:r>
      <w:proofErr w:type="gramEnd"/>
      <w:r w:rsidRPr="00BD77D8">
        <w:rPr>
          <w:rFonts w:eastAsia="Arial"/>
          <w:b/>
          <w:bCs/>
          <w:spacing w:val="2"/>
          <w:sz w:val="18"/>
          <w:szCs w:val="18"/>
          <w:lang w:eastAsia="en-US"/>
        </w:rPr>
        <w:t xml:space="preserve"> investing and financing activities</w:t>
      </w:r>
    </w:p>
    <w:p w14:paraId="7F7BDA42" w14:textId="77777777" w:rsidR="00B9311E" w:rsidRPr="00BD77D8" w:rsidRDefault="00B9311E" w:rsidP="00A0538E">
      <w:pPr>
        <w:spacing w:before="120" w:after="0" w:line="205" w:lineRule="exact"/>
        <w:textAlignment w:val="baseline"/>
        <w:rPr>
          <w:rFonts w:eastAsia="Arial"/>
          <w:b/>
          <w:bCs/>
          <w:iCs/>
          <w:spacing w:val="-3"/>
          <w:sz w:val="16"/>
          <w:szCs w:val="16"/>
          <w:lang w:eastAsia="en-US"/>
        </w:rPr>
      </w:pPr>
      <w:r w:rsidRPr="00BD77D8">
        <w:rPr>
          <w:rFonts w:eastAsia="Arial"/>
          <w:spacing w:val="2"/>
          <w:sz w:val="18"/>
          <w:szCs w:val="18"/>
          <w:lang w:eastAsia="en-US"/>
        </w:rPr>
        <w:t>Assets and liabilities received or donated/transferred by the department are recognised as revenues (refer Note B1-3) or expenses (refer Note B2-3) as applicable.</w:t>
      </w:r>
      <w:r w:rsidRPr="00BD77D8">
        <w:rPr>
          <w:rFonts w:eastAsia="PMingLiU"/>
          <w:sz w:val="18"/>
          <w:szCs w:val="22"/>
          <w:lang w:eastAsia="en-US"/>
        </w:rPr>
        <w:t xml:space="preserve"> </w:t>
      </w:r>
      <w:r w:rsidRPr="00BD77D8">
        <w:rPr>
          <w:rFonts w:eastAsia="Arial"/>
          <w:spacing w:val="2"/>
          <w:sz w:val="18"/>
          <w:szCs w:val="18"/>
          <w:lang w:eastAsia="en-US"/>
        </w:rPr>
        <w:t>In 2021-22 there were nil assets and liabilities received or donated/transferred recognised through the Controlled accounts. The department transferred land and property to the Torres Shire Council recognised through the Administered accounts (refer Statement of Changes in Equity).</w:t>
      </w:r>
    </w:p>
    <w:p w14:paraId="2067F967" w14:textId="77777777" w:rsidR="00B9311E" w:rsidRPr="00BD77D8" w:rsidRDefault="00B9311E" w:rsidP="00A0538E">
      <w:pPr>
        <w:spacing w:before="2640" w:after="0" w:line="205" w:lineRule="exact"/>
        <w:textAlignment w:val="baseline"/>
        <w:rPr>
          <w:rFonts w:eastAsia="Arial"/>
          <w:iCs/>
          <w:spacing w:val="-3"/>
          <w:sz w:val="16"/>
          <w:szCs w:val="16"/>
          <w:lang w:eastAsia="en-US"/>
        </w:rPr>
      </w:pPr>
      <w:r w:rsidRPr="00BD77D8">
        <w:rPr>
          <w:rFonts w:eastAsia="Arial"/>
          <w:iCs/>
          <w:spacing w:val="-3"/>
          <w:sz w:val="16"/>
          <w:szCs w:val="16"/>
          <w:lang w:eastAsia="en-US"/>
        </w:rPr>
        <w:t>The accompanying notes form part of these financial statements.</w:t>
      </w:r>
    </w:p>
    <w:p w14:paraId="48A06205" w14:textId="6CD77E5C" w:rsidR="00DE382E" w:rsidRPr="00BD77D8" w:rsidRDefault="00DE382E" w:rsidP="00A0538E">
      <w:pPr>
        <w:spacing w:before="1320" w:after="0" w:line="205" w:lineRule="exact"/>
        <w:textAlignment w:val="baseline"/>
        <w:rPr>
          <w:rFonts w:eastAsia="PMingLiU"/>
          <w:sz w:val="18"/>
          <w:szCs w:val="18"/>
          <w:lang w:eastAsia="en-US"/>
        </w:rPr>
        <w:sectPr w:rsidR="00DE382E" w:rsidRPr="00BD77D8" w:rsidSect="006337B5">
          <w:type w:val="nextColumn"/>
          <w:pgSz w:w="11909" w:h="16838"/>
          <w:pgMar w:top="794" w:right="794" w:bottom="794" w:left="794" w:header="720" w:footer="720" w:gutter="0"/>
          <w:cols w:space="720"/>
        </w:sectPr>
      </w:pP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r>
      <w:r w:rsidRPr="00BD77D8">
        <w:rPr>
          <w:rFonts w:eastAsia="Arial"/>
          <w:iCs/>
          <w:spacing w:val="-3"/>
          <w:sz w:val="16"/>
          <w:szCs w:val="16"/>
          <w:lang w:eastAsia="en-US"/>
        </w:rPr>
        <w:tab/>
        <w:t>Page 10 of 45</w:t>
      </w:r>
    </w:p>
    <w:p w14:paraId="4BDD3142" w14:textId="77777777" w:rsidR="00B9311E" w:rsidRPr="00BD77D8" w:rsidRDefault="00B9311E" w:rsidP="00B9311E">
      <w:pPr>
        <w:spacing w:after="0" w:line="206" w:lineRule="exact"/>
        <w:textAlignment w:val="baseline"/>
        <w:rPr>
          <w:rFonts w:eastAsia="Arial"/>
          <w:b/>
          <w:bCs/>
          <w:sz w:val="18"/>
          <w:szCs w:val="18"/>
          <w:lang w:eastAsia="en-US"/>
        </w:rPr>
      </w:pPr>
      <w:bookmarkStart w:id="398" w:name="RANGE!A1:C38"/>
      <w:bookmarkEnd w:id="398"/>
      <w:r w:rsidRPr="00BD77D8">
        <w:rPr>
          <w:rFonts w:eastAsia="Arial"/>
          <w:b/>
          <w:bCs/>
          <w:sz w:val="18"/>
          <w:szCs w:val="18"/>
          <w:lang w:eastAsia="en-US"/>
        </w:rPr>
        <w:lastRenderedPageBreak/>
        <w:t>Department of Seniors, Disability Services and Aboriginal and Torres Strait Islander Partnerships</w:t>
      </w:r>
    </w:p>
    <w:p w14:paraId="7FB789D7" w14:textId="77777777" w:rsidR="00B9311E" w:rsidRPr="00BD77D8" w:rsidRDefault="00B9311E" w:rsidP="00F70507">
      <w:pPr>
        <w:spacing w:after="0" w:line="206" w:lineRule="exact"/>
        <w:textAlignment w:val="baseline"/>
        <w:rPr>
          <w:rFonts w:eastAsia="Arial"/>
          <w:b/>
          <w:bCs/>
          <w:sz w:val="18"/>
          <w:szCs w:val="18"/>
          <w:lang w:eastAsia="en-US"/>
        </w:rPr>
      </w:pPr>
      <w:bookmarkStart w:id="399" w:name="_Toc111494799"/>
      <w:bookmarkStart w:id="400" w:name="_Toc111540671"/>
      <w:bookmarkStart w:id="401" w:name="_Toc111559234"/>
      <w:bookmarkStart w:id="402" w:name="_Toc113196506"/>
      <w:bookmarkStart w:id="403" w:name="_Toc113196854"/>
      <w:bookmarkStart w:id="404" w:name="_Toc113261984"/>
      <w:r w:rsidRPr="00BD77D8">
        <w:rPr>
          <w:rFonts w:eastAsia="Arial"/>
          <w:b/>
          <w:bCs/>
          <w:sz w:val="18"/>
          <w:szCs w:val="18"/>
          <w:lang w:eastAsia="en-US"/>
        </w:rPr>
        <w:t>Notes to the Financial Statements</w:t>
      </w:r>
      <w:bookmarkEnd w:id="399"/>
      <w:bookmarkEnd w:id="400"/>
      <w:bookmarkEnd w:id="401"/>
      <w:bookmarkEnd w:id="402"/>
      <w:bookmarkEnd w:id="403"/>
      <w:bookmarkEnd w:id="404"/>
    </w:p>
    <w:p w14:paraId="3F2FE747"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BC87778" w14:textId="77777777" w:rsidR="00B9311E" w:rsidRPr="00BD77D8" w:rsidRDefault="00B9311E" w:rsidP="00B9311E">
      <w:pPr>
        <w:pBdr>
          <w:bottom w:val="single" w:sz="4" w:space="1" w:color="auto"/>
        </w:pBdr>
        <w:spacing w:after="0" w:line="206" w:lineRule="exact"/>
        <w:textAlignment w:val="baseline"/>
        <w:rPr>
          <w:rFonts w:eastAsia="Arial"/>
          <w:bCs/>
          <w:sz w:val="18"/>
          <w:szCs w:val="18"/>
          <w:lang w:eastAsia="en-US"/>
        </w:rPr>
      </w:pPr>
    </w:p>
    <w:p w14:paraId="2561DEEA" w14:textId="14EB93AF" w:rsidR="00B9311E" w:rsidRPr="00BD77D8" w:rsidRDefault="00B9311E" w:rsidP="00E47A6E">
      <w:pPr>
        <w:spacing w:before="200"/>
        <w:rPr>
          <w:rFonts w:eastAsia="Arial"/>
          <w:b/>
          <w:bCs/>
          <w:sz w:val="22"/>
          <w:szCs w:val="22"/>
          <w:lang w:eastAsia="en-US"/>
        </w:rPr>
      </w:pPr>
      <w:bookmarkStart w:id="405" w:name="_Toc111494800"/>
      <w:bookmarkStart w:id="406" w:name="_Toc111540672"/>
      <w:bookmarkStart w:id="407" w:name="_Toc111559235"/>
      <w:bookmarkStart w:id="408" w:name="_Toc113196507"/>
      <w:bookmarkStart w:id="409" w:name="_Toc113196855"/>
      <w:bookmarkStart w:id="410" w:name="_Toc113261985"/>
      <w:bookmarkStart w:id="411" w:name="_Toc113349139"/>
      <w:bookmarkStart w:id="412" w:name="_Toc113358064"/>
      <w:bookmarkStart w:id="413" w:name="_Hlk98334574"/>
      <w:r w:rsidRPr="00BD77D8">
        <w:rPr>
          <w:rFonts w:eastAsia="Arial"/>
          <w:b/>
          <w:bCs/>
          <w:sz w:val="22"/>
          <w:szCs w:val="22"/>
          <w:lang w:eastAsia="en-US"/>
        </w:rPr>
        <w:t>A1 Departmental Objectives</w:t>
      </w:r>
      <w:bookmarkEnd w:id="405"/>
      <w:bookmarkEnd w:id="406"/>
      <w:bookmarkEnd w:id="407"/>
      <w:bookmarkEnd w:id="408"/>
      <w:bookmarkEnd w:id="409"/>
      <w:bookmarkEnd w:id="410"/>
      <w:bookmarkEnd w:id="411"/>
      <w:bookmarkEnd w:id="412"/>
    </w:p>
    <w:p w14:paraId="36B17C05" w14:textId="77777777" w:rsidR="00B9311E" w:rsidRPr="00BD77D8" w:rsidRDefault="00B9311E" w:rsidP="00587E62">
      <w:pPr>
        <w:spacing w:after="240" w:line="180" w:lineRule="atLeast"/>
        <w:textAlignment w:val="baseline"/>
        <w:rPr>
          <w:rFonts w:eastAsia="Arial"/>
          <w:b/>
          <w:bCs/>
          <w:sz w:val="18"/>
          <w:szCs w:val="18"/>
          <w:lang w:eastAsia="en-US"/>
        </w:rPr>
      </w:pPr>
      <w:r w:rsidRPr="00BD77D8">
        <w:rPr>
          <w:rFonts w:eastAsia="Arial"/>
          <w:sz w:val="18"/>
          <w:szCs w:val="18"/>
          <w:lang w:eastAsia="en-US"/>
        </w:rPr>
        <w:t>The Department of Seniors, Disability Services and Aboriginal and Torres Strait Islander Partnerships' vision is to partner with people of all ages, abilities and backgrounds so that they can thrive culturally, socially and economically. The department's purpose is to improve the social and economic wellbeing of Queensland seniors and people of all abilities by delivering quality targeted support, and to lead change through enhanced relationships and improved decision-making across government, to enable Aboriginal and Torres Islander Queenslanders to truly thrive.</w:t>
      </w:r>
    </w:p>
    <w:p w14:paraId="6D9F7EA5" w14:textId="77777777" w:rsidR="00B9311E" w:rsidRPr="00BD77D8" w:rsidRDefault="00B9311E" w:rsidP="00587E62">
      <w:pPr>
        <w:spacing w:after="240" w:line="180" w:lineRule="atLeast"/>
        <w:ind w:right="74"/>
        <w:textAlignment w:val="baseline"/>
        <w:rPr>
          <w:rFonts w:eastAsia="Arial"/>
          <w:b/>
          <w:bCs/>
          <w:sz w:val="18"/>
          <w:szCs w:val="18"/>
          <w:lang w:eastAsia="en-US"/>
        </w:rPr>
      </w:pPr>
      <w:r w:rsidRPr="00BD77D8">
        <w:rPr>
          <w:rFonts w:eastAsia="Arial"/>
          <w:sz w:val="18"/>
          <w:szCs w:val="18"/>
          <w:lang w:eastAsia="en-US"/>
        </w:rPr>
        <w:t>The Department of Seniors, Disability Services and Aboriginal and Torres Strait Islander Partnerships delivers its services through the following major service areas:</w:t>
      </w:r>
    </w:p>
    <w:p w14:paraId="6588FE6D" w14:textId="77777777" w:rsidR="00B9311E" w:rsidRPr="00BD77D8" w:rsidRDefault="00B9311E" w:rsidP="003954C5">
      <w:pPr>
        <w:numPr>
          <w:ilvl w:val="0"/>
          <w:numId w:val="74"/>
        </w:numPr>
        <w:spacing w:after="240" w:line="180" w:lineRule="atLeast"/>
        <w:ind w:left="720" w:right="432" w:hanging="720"/>
        <w:textAlignment w:val="baseline"/>
        <w:rPr>
          <w:rFonts w:eastAsia="Arial"/>
          <w:b/>
          <w:bCs/>
          <w:spacing w:val="-2"/>
          <w:sz w:val="18"/>
          <w:szCs w:val="18"/>
          <w:lang w:eastAsia="en-US"/>
        </w:rPr>
      </w:pPr>
      <w:r w:rsidRPr="00BD77D8">
        <w:rPr>
          <w:rFonts w:eastAsia="Arial"/>
          <w:spacing w:val="-2"/>
          <w:sz w:val="18"/>
          <w:szCs w:val="18"/>
          <w:lang w:eastAsia="en-US"/>
        </w:rPr>
        <w:t>Seniors Services: develop programs and services for seniors that reduce the cost of living, enhance wellbeing, support community participation and prevent and address elder abuse. Age-friendly communities assist seniors to contribute economically, socially and culturally to their communities.</w:t>
      </w:r>
    </w:p>
    <w:p w14:paraId="299BA648" w14:textId="77777777" w:rsidR="00B9311E" w:rsidRPr="00BD77D8" w:rsidRDefault="00B9311E" w:rsidP="003954C5">
      <w:pPr>
        <w:numPr>
          <w:ilvl w:val="0"/>
          <w:numId w:val="74"/>
        </w:numPr>
        <w:spacing w:after="240" w:line="180" w:lineRule="atLeast"/>
        <w:ind w:left="720" w:right="72" w:hanging="720"/>
        <w:textAlignment w:val="baseline"/>
        <w:rPr>
          <w:rFonts w:eastAsia="Arial"/>
          <w:b/>
          <w:bCs/>
          <w:sz w:val="18"/>
          <w:szCs w:val="18"/>
          <w:lang w:eastAsia="en-US"/>
        </w:rPr>
      </w:pPr>
      <w:r w:rsidRPr="00BD77D8">
        <w:rPr>
          <w:rFonts w:eastAsia="Arial"/>
          <w:sz w:val="18"/>
          <w:szCs w:val="18"/>
          <w:lang w:eastAsia="en-US"/>
        </w:rPr>
        <w:t>Disability Services: enable people to access disability services that assist them with the core activities of daily living and achieving their goals, as part of inclusive communities, and to contribute to systems that safeguard and protect the rights of people with disability.</w:t>
      </w:r>
    </w:p>
    <w:p w14:paraId="60BF17D6" w14:textId="77777777" w:rsidR="00B9311E" w:rsidRPr="00BD77D8" w:rsidRDefault="00B9311E" w:rsidP="003954C5">
      <w:pPr>
        <w:numPr>
          <w:ilvl w:val="0"/>
          <w:numId w:val="74"/>
        </w:numPr>
        <w:spacing w:after="240" w:line="180" w:lineRule="atLeast"/>
        <w:ind w:left="720" w:right="432" w:hanging="720"/>
        <w:textAlignment w:val="baseline"/>
        <w:rPr>
          <w:rFonts w:eastAsia="Arial"/>
          <w:b/>
          <w:bCs/>
          <w:sz w:val="18"/>
          <w:szCs w:val="18"/>
          <w:lang w:eastAsia="en-US"/>
        </w:rPr>
      </w:pPr>
      <w:r w:rsidRPr="00BD77D8">
        <w:rPr>
          <w:rFonts w:eastAsia="Arial"/>
          <w:sz w:val="18"/>
          <w:szCs w:val="18"/>
          <w:lang w:eastAsia="en-US"/>
        </w:rPr>
        <w:t>Economic Participation: increase the economic participation of Aboriginal peoples and Torres Strait Islander peoples.</w:t>
      </w:r>
    </w:p>
    <w:p w14:paraId="5C348771" w14:textId="77777777" w:rsidR="00B9311E" w:rsidRPr="00BD77D8" w:rsidRDefault="00B9311E" w:rsidP="003954C5">
      <w:pPr>
        <w:numPr>
          <w:ilvl w:val="0"/>
          <w:numId w:val="74"/>
        </w:numPr>
        <w:spacing w:after="240" w:line="180" w:lineRule="atLeast"/>
        <w:ind w:left="720" w:right="216" w:hanging="720"/>
        <w:textAlignment w:val="baseline"/>
        <w:rPr>
          <w:rFonts w:eastAsia="Arial"/>
          <w:b/>
          <w:bCs/>
          <w:sz w:val="18"/>
          <w:szCs w:val="18"/>
          <w:lang w:eastAsia="en-US"/>
        </w:rPr>
      </w:pPr>
      <w:r w:rsidRPr="00BD77D8">
        <w:rPr>
          <w:rFonts w:eastAsia="Arial"/>
          <w:sz w:val="18"/>
          <w:szCs w:val="18"/>
          <w:lang w:eastAsia="en-US"/>
        </w:rPr>
        <w:t>Community Participation: increase the community participation of Aboriginal peoples and Torres Strait Islander peoples.</w:t>
      </w:r>
    </w:p>
    <w:p w14:paraId="476B7A0F" w14:textId="77777777" w:rsidR="00B9311E" w:rsidRPr="00BD77D8" w:rsidRDefault="00B9311E" w:rsidP="00587E62">
      <w:pPr>
        <w:spacing w:after="240" w:line="180" w:lineRule="atLeast"/>
        <w:ind w:right="142"/>
        <w:textAlignment w:val="baseline"/>
        <w:rPr>
          <w:rFonts w:eastAsia="Arial"/>
          <w:b/>
          <w:bCs/>
          <w:sz w:val="18"/>
          <w:szCs w:val="18"/>
          <w:lang w:eastAsia="en-US"/>
        </w:rPr>
      </w:pPr>
      <w:r w:rsidRPr="00BD77D8">
        <w:rPr>
          <w:rFonts w:eastAsia="Arial"/>
          <w:sz w:val="18"/>
          <w:szCs w:val="18"/>
          <w:lang w:eastAsia="en-US"/>
        </w:rPr>
        <w:t>The department is funded for the departmental services it delivers principally by parliamentary appropriations. It also provides the following on a fee for service basis:</w:t>
      </w:r>
    </w:p>
    <w:p w14:paraId="20965DDC" w14:textId="77777777" w:rsidR="00B9311E" w:rsidRPr="00BD77D8" w:rsidRDefault="00B9311E" w:rsidP="003954C5">
      <w:pPr>
        <w:numPr>
          <w:ilvl w:val="0"/>
          <w:numId w:val="74"/>
        </w:numPr>
        <w:spacing w:after="240" w:line="180" w:lineRule="atLeast"/>
        <w:ind w:left="720" w:right="646" w:hanging="720"/>
        <w:textAlignment w:val="baseline"/>
        <w:rPr>
          <w:rFonts w:eastAsia="Arial"/>
          <w:b/>
          <w:bCs/>
          <w:sz w:val="18"/>
          <w:szCs w:val="18"/>
          <w:lang w:eastAsia="en-US"/>
        </w:rPr>
      </w:pPr>
      <w:r w:rsidRPr="00BD77D8">
        <w:rPr>
          <w:rFonts w:eastAsia="Arial"/>
          <w:sz w:val="18"/>
          <w:szCs w:val="18"/>
          <w:lang w:eastAsia="en-US"/>
        </w:rPr>
        <w:t>Application fees for an assessment of persons seeking engagement to work in disability services delivered or funded by the department.</w:t>
      </w:r>
    </w:p>
    <w:p w14:paraId="3D68AEC1" w14:textId="77777777" w:rsidR="00B9311E" w:rsidRPr="00BD77D8" w:rsidRDefault="00B9311E" w:rsidP="00173D76">
      <w:pPr>
        <w:rPr>
          <w:rFonts w:eastAsia="Arial"/>
          <w:b/>
          <w:bCs/>
          <w:sz w:val="22"/>
          <w:szCs w:val="22"/>
          <w:lang w:eastAsia="en-US"/>
        </w:rPr>
      </w:pPr>
      <w:bookmarkStart w:id="414" w:name="_Toc111494801"/>
      <w:bookmarkStart w:id="415" w:name="_Toc111540673"/>
      <w:bookmarkStart w:id="416" w:name="_Toc111559236"/>
      <w:bookmarkStart w:id="417" w:name="_Toc113196508"/>
      <w:bookmarkStart w:id="418" w:name="_Toc113196856"/>
      <w:bookmarkStart w:id="419" w:name="_Toc113261986"/>
      <w:bookmarkStart w:id="420" w:name="_Toc113349140"/>
      <w:bookmarkStart w:id="421" w:name="_Toc113358065"/>
      <w:bookmarkEnd w:id="413"/>
      <w:r w:rsidRPr="00BD77D8">
        <w:rPr>
          <w:rFonts w:eastAsia="Arial"/>
          <w:b/>
          <w:bCs/>
          <w:sz w:val="22"/>
          <w:szCs w:val="22"/>
          <w:lang w:eastAsia="en-US"/>
        </w:rPr>
        <w:t>A2 Basis of Financial Statement Preparation</w:t>
      </w:r>
      <w:bookmarkEnd w:id="414"/>
      <w:bookmarkEnd w:id="415"/>
      <w:bookmarkEnd w:id="416"/>
      <w:bookmarkEnd w:id="417"/>
      <w:bookmarkEnd w:id="418"/>
      <w:bookmarkEnd w:id="419"/>
      <w:bookmarkEnd w:id="420"/>
      <w:bookmarkEnd w:id="421"/>
    </w:p>
    <w:p w14:paraId="7F0328A5" w14:textId="77777777" w:rsidR="00B9311E" w:rsidRPr="00BD77D8" w:rsidRDefault="00B9311E" w:rsidP="00587E62">
      <w:pPr>
        <w:spacing w:after="240" w:line="180" w:lineRule="atLeast"/>
        <w:textAlignment w:val="baseline"/>
        <w:rPr>
          <w:rFonts w:eastAsia="Arial"/>
          <w:b/>
          <w:bCs/>
          <w:spacing w:val="2"/>
          <w:sz w:val="18"/>
          <w:szCs w:val="18"/>
          <w:lang w:eastAsia="en-US"/>
        </w:rPr>
      </w:pPr>
      <w:r w:rsidRPr="00BD77D8">
        <w:rPr>
          <w:rFonts w:eastAsia="Arial"/>
          <w:b/>
          <w:bCs/>
          <w:spacing w:val="2"/>
          <w:sz w:val="18"/>
          <w:szCs w:val="18"/>
          <w:lang w:eastAsia="en-US"/>
        </w:rPr>
        <w:t>A2-1 General Information</w:t>
      </w:r>
    </w:p>
    <w:p w14:paraId="7634A4E5" w14:textId="77777777" w:rsidR="00B9311E" w:rsidRPr="00BD77D8" w:rsidRDefault="00B9311E" w:rsidP="00587E62">
      <w:pPr>
        <w:spacing w:after="240" w:line="180" w:lineRule="atLeast"/>
        <w:ind w:right="72"/>
        <w:textAlignment w:val="baseline"/>
        <w:rPr>
          <w:rFonts w:eastAsia="Arial"/>
          <w:b/>
          <w:bCs/>
          <w:sz w:val="18"/>
          <w:szCs w:val="18"/>
          <w:lang w:eastAsia="en-US"/>
        </w:rPr>
      </w:pPr>
      <w:r w:rsidRPr="00BD77D8">
        <w:rPr>
          <w:rFonts w:eastAsia="Arial"/>
          <w:sz w:val="18"/>
          <w:szCs w:val="18"/>
          <w:lang w:eastAsia="en-US"/>
        </w:rPr>
        <w:t xml:space="preserve">The Department of Seniors, Disability Services and Aboriginal and Torres Strait Islander Partnerships (the department) is a State Government department established under the </w:t>
      </w:r>
      <w:r w:rsidRPr="00BD77D8">
        <w:rPr>
          <w:rFonts w:eastAsia="Arial"/>
          <w:i/>
          <w:iCs/>
          <w:sz w:val="18"/>
          <w:szCs w:val="18"/>
          <w:lang w:eastAsia="en-US"/>
        </w:rPr>
        <w:t>Public Service Act 2008</w:t>
      </w:r>
      <w:r w:rsidRPr="00BD77D8">
        <w:rPr>
          <w:rFonts w:eastAsia="Arial"/>
          <w:sz w:val="18"/>
          <w:szCs w:val="18"/>
          <w:lang w:eastAsia="en-US"/>
        </w:rPr>
        <w:t xml:space="preserve"> and controlled by the State of Queensland, which is the ultimate parent. The department was formed from the former Department of Communities, Disability Services and Seniors and the former Department of Aboriginal and Torres Strait Islander Partnerships.</w:t>
      </w:r>
    </w:p>
    <w:p w14:paraId="072EA2B9" w14:textId="77777777" w:rsidR="00B9311E" w:rsidRPr="00BD77D8" w:rsidRDefault="00B9311E" w:rsidP="00587E62">
      <w:pPr>
        <w:spacing w:after="240" w:line="180" w:lineRule="atLeast"/>
        <w:textAlignment w:val="baseline"/>
        <w:rPr>
          <w:rFonts w:eastAsia="Arial"/>
          <w:b/>
          <w:bCs/>
          <w:sz w:val="18"/>
          <w:szCs w:val="18"/>
          <w:lang w:eastAsia="en-US"/>
        </w:rPr>
      </w:pPr>
      <w:r w:rsidRPr="00BD77D8">
        <w:rPr>
          <w:rFonts w:eastAsia="Arial"/>
          <w:sz w:val="18"/>
          <w:szCs w:val="18"/>
          <w:lang w:eastAsia="en-US"/>
        </w:rPr>
        <w:t>The head office of the department is 1 William Street, Brisbane QLD 4000.</w:t>
      </w:r>
    </w:p>
    <w:p w14:paraId="6A3A808B" w14:textId="77777777" w:rsidR="00B9311E" w:rsidRPr="00BD77D8" w:rsidRDefault="00B9311E" w:rsidP="00587E62">
      <w:pPr>
        <w:spacing w:after="240"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A2-2 Compliance with Prescribed Requirements</w:t>
      </w:r>
    </w:p>
    <w:p w14:paraId="114D2BC0" w14:textId="77777777" w:rsidR="00B9311E" w:rsidRPr="00BD77D8" w:rsidRDefault="00B9311E" w:rsidP="00587E62">
      <w:pPr>
        <w:spacing w:after="240" w:line="180" w:lineRule="atLeast"/>
        <w:ind w:right="432"/>
        <w:textAlignment w:val="baseline"/>
        <w:rPr>
          <w:rFonts w:eastAsia="Arial"/>
          <w:b/>
          <w:bCs/>
          <w:sz w:val="18"/>
          <w:szCs w:val="18"/>
          <w:lang w:eastAsia="en-US"/>
        </w:rPr>
      </w:pPr>
      <w:r w:rsidRPr="00BD77D8">
        <w:rPr>
          <w:rFonts w:eastAsia="Arial"/>
          <w:sz w:val="18"/>
          <w:szCs w:val="18"/>
          <w:lang w:eastAsia="en-US"/>
        </w:rPr>
        <w:t xml:space="preserve">The department has prepared these financial statements in compliance with section 38 of the </w:t>
      </w:r>
      <w:r w:rsidRPr="00BD77D8">
        <w:rPr>
          <w:rFonts w:eastAsia="Arial"/>
          <w:i/>
          <w:sz w:val="18"/>
          <w:szCs w:val="18"/>
          <w:lang w:eastAsia="en-US"/>
        </w:rPr>
        <w:t>Financial and Performance Management Standard 2019</w:t>
      </w:r>
      <w:r w:rsidRPr="00BD77D8">
        <w:rPr>
          <w:rFonts w:eastAsia="Arial"/>
          <w:sz w:val="18"/>
          <w:szCs w:val="18"/>
          <w:lang w:eastAsia="en-US"/>
        </w:rPr>
        <w:t>. The financial statements comply with Queensland Treasury's Minimum Reporting Requirements for reporting periods beginning on or after 1 July 2021.</w:t>
      </w:r>
    </w:p>
    <w:p w14:paraId="4504D426" w14:textId="77777777" w:rsidR="00B9311E" w:rsidRPr="00BD77D8" w:rsidRDefault="00B9311E" w:rsidP="00587E62">
      <w:pPr>
        <w:spacing w:after="240" w:line="180" w:lineRule="atLeast"/>
        <w:ind w:right="432"/>
        <w:textAlignment w:val="baseline"/>
        <w:rPr>
          <w:rFonts w:eastAsia="Arial"/>
          <w:b/>
          <w:bCs/>
          <w:sz w:val="18"/>
          <w:szCs w:val="18"/>
          <w:lang w:eastAsia="en-US"/>
        </w:rPr>
      </w:pPr>
      <w:r w:rsidRPr="00BD77D8">
        <w:rPr>
          <w:rFonts w:eastAsia="Arial"/>
          <w:sz w:val="18"/>
          <w:szCs w:val="18"/>
          <w:lang w:eastAsia="en-US"/>
        </w:rPr>
        <w:t>The department is a not-for-profit entity and these general-purpose financial statements are prepared on an accrual basis (except for the Statement of Cash Flow which is prepared on a cash basis) in accordance with Australian Accounting Standards and Interpretations applicable to not-for-profit entities.</w:t>
      </w:r>
    </w:p>
    <w:p w14:paraId="1C00FF14" w14:textId="77777777" w:rsidR="00B9311E" w:rsidRPr="00BD77D8" w:rsidRDefault="00B9311E" w:rsidP="00587E62">
      <w:pPr>
        <w:spacing w:after="180" w:line="180" w:lineRule="atLeast"/>
        <w:rPr>
          <w:rFonts w:eastAsia="Arial"/>
          <w:b/>
          <w:bCs/>
          <w:spacing w:val="3"/>
          <w:sz w:val="18"/>
          <w:szCs w:val="18"/>
          <w:lang w:eastAsia="en-US"/>
        </w:rPr>
      </w:pPr>
      <w:r w:rsidRPr="00BD77D8">
        <w:rPr>
          <w:rFonts w:eastAsia="Arial"/>
          <w:b/>
          <w:bCs/>
          <w:spacing w:val="3"/>
          <w:sz w:val="18"/>
          <w:szCs w:val="18"/>
          <w:lang w:eastAsia="en-US"/>
        </w:rPr>
        <w:t>A2-3 Presentation</w:t>
      </w:r>
    </w:p>
    <w:p w14:paraId="3E0C4EEE" w14:textId="77777777" w:rsidR="00B9311E" w:rsidRPr="00BD77D8" w:rsidRDefault="00B9311E" w:rsidP="00587E62">
      <w:pPr>
        <w:spacing w:after="180" w:line="180" w:lineRule="atLeast"/>
        <w:rPr>
          <w:rFonts w:eastAsia="Arial"/>
          <w:b/>
          <w:bCs/>
          <w:spacing w:val="3"/>
          <w:sz w:val="18"/>
          <w:szCs w:val="18"/>
          <w:lang w:eastAsia="en-US"/>
        </w:rPr>
      </w:pPr>
      <w:r w:rsidRPr="00BD77D8">
        <w:rPr>
          <w:rFonts w:eastAsia="Arial"/>
          <w:b/>
          <w:bCs/>
          <w:spacing w:val="3"/>
          <w:sz w:val="18"/>
          <w:szCs w:val="18"/>
          <w:lang w:eastAsia="en-US"/>
        </w:rPr>
        <w:t>Currency and Rounding</w:t>
      </w:r>
    </w:p>
    <w:p w14:paraId="2CB2631D" w14:textId="77777777" w:rsidR="00B9311E" w:rsidRPr="00BD77D8" w:rsidRDefault="00B9311E" w:rsidP="00B9311E">
      <w:pPr>
        <w:spacing w:after="0" w:line="180" w:lineRule="atLeast"/>
        <w:rPr>
          <w:rFonts w:eastAsia="Arial"/>
          <w:b/>
          <w:spacing w:val="3"/>
          <w:sz w:val="18"/>
          <w:szCs w:val="18"/>
          <w:lang w:eastAsia="en-US"/>
        </w:rPr>
      </w:pPr>
      <w:r w:rsidRPr="00BD77D8">
        <w:rPr>
          <w:rFonts w:eastAsia="Arial"/>
          <w:spacing w:val="3"/>
          <w:sz w:val="18"/>
          <w:szCs w:val="18"/>
          <w:lang w:eastAsia="en-US"/>
        </w:rPr>
        <w:t>Amounts included in the financial statements are in Australian dollars and rounded to the nearest $1,000 or, where that amount is $500 or less, to zero, unless disclosure of the full amount is specifically required.</w:t>
      </w:r>
    </w:p>
    <w:p w14:paraId="7950340D" w14:textId="25966C58" w:rsidR="00DE382E" w:rsidRPr="00BD77D8" w:rsidRDefault="00DE382E" w:rsidP="00313C5C">
      <w:pPr>
        <w:spacing w:before="600" w:after="0" w:line="240" w:lineRule="auto"/>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11 of 45</w:t>
      </w:r>
      <w:r w:rsidR="00B9311E" w:rsidRPr="00BD77D8">
        <w:rPr>
          <w:rFonts w:eastAsia="Arial"/>
          <w:bCs/>
          <w:sz w:val="18"/>
          <w:szCs w:val="18"/>
          <w:lang w:eastAsia="en-US"/>
        </w:rPr>
        <w:br w:type="page"/>
      </w:r>
    </w:p>
    <w:p w14:paraId="72ABDB4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60937D2"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AAF501F"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2A1B77C" w14:textId="77777777" w:rsidR="00B9311E" w:rsidRPr="00BD77D8" w:rsidRDefault="00B9311E" w:rsidP="00B9311E">
      <w:pPr>
        <w:pBdr>
          <w:bottom w:val="single" w:sz="4" w:space="1" w:color="auto"/>
        </w:pBdr>
        <w:spacing w:after="0" w:line="206" w:lineRule="exact"/>
        <w:textAlignment w:val="baseline"/>
        <w:rPr>
          <w:rFonts w:eastAsia="Arial"/>
          <w:bCs/>
          <w:sz w:val="18"/>
          <w:szCs w:val="18"/>
          <w:lang w:eastAsia="en-US"/>
        </w:rPr>
      </w:pPr>
    </w:p>
    <w:p w14:paraId="01FB0D5C" w14:textId="77777777" w:rsidR="00B9311E" w:rsidRPr="00BD77D8" w:rsidRDefault="00B9311E" w:rsidP="00E47A6E">
      <w:pPr>
        <w:spacing w:before="240" w:line="180" w:lineRule="atLeast"/>
        <w:rPr>
          <w:rFonts w:eastAsia="Arial"/>
          <w:b/>
          <w:bCs/>
          <w:spacing w:val="3"/>
          <w:sz w:val="22"/>
          <w:szCs w:val="22"/>
          <w:lang w:eastAsia="en-US"/>
        </w:rPr>
      </w:pPr>
      <w:r w:rsidRPr="00BD77D8">
        <w:rPr>
          <w:rFonts w:eastAsia="Arial"/>
          <w:b/>
          <w:bCs/>
          <w:spacing w:val="3"/>
          <w:sz w:val="22"/>
          <w:szCs w:val="22"/>
          <w:lang w:eastAsia="en-US"/>
        </w:rPr>
        <w:t>A2 Basis of financial Statements Preparation (Continued)</w:t>
      </w:r>
    </w:p>
    <w:p w14:paraId="7BB30CD0"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A2-3 Presentation (Continued)</w:t>
      </w:r>
    </w:p>
    <w:p w14:paraId="4A842D55"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Comparatives</w:t>
      </w:r>
    </w:p>
    <w:p w14:paraId="6C89B70D" w14:textId="77777777" w:rsidR="00B9311E" w:rsidRPr="00BD77D8" w:rsidRDefault="00B9311E" w:rsidP="00587E62">
      <w:pPr>
        <w:spacing w:line="180" w:lineRule="atLeast"/>
        <w:rPr>
          <w:rFonts w:eastAsia="Arial"/>
          <w:b/>
          <w:spacing w:val="3"/>
          <w:sz w:val="18"/>
          <w:szCs w:val="18"/>
          <w:lang w:eastAsia="en-US"/>
        </w:rPr>
      </w:pPr>
      <w:r w:rsidRPr="00BD77D8">
        <w:rPr>
          <w:rFonts w:eastAsia="Arial"/>
          <w:spacing w:val="3"/>
          <w:sz w:val="18"/>
          <w:szCs w:val="18"/>
          <w:lang w:eastAsia="en-US"/>
        </w:rPr>
        <w:t>Comparative information reflects the audited 2020-21 financial statements except where restated for a change in accounting policy as detailed at Note F3.</w:t>
      </w:r>
    </w:p>
    <w:p w14:paraId="14EB4D17"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Current/Non-Current Classification</w:t>
      </w:r>
    </w:p>
    <w:p w14:paraId="708A7BBC" w14:textId="77777777" w:rsidR="00B9311E" w:rsidRPr="00BD77D8" w:rsidRDefault="00B9311E" w:rsidP="00587E62">
      <w:pPr>
        <w:spacing w:line="180" w:lineRule="atLeast"/>
        <w:rPr>
          <w:rFonts w:eastAsia="Arial"/>
          <w:b/>
          <w:spacing w:val="3"/>
          <w:sz w:val="18"/>
          <w:szCs w:val="18"/>
          <w:lang w:eastAsia="en-US"/>
        </w:rPr>
      </w:pPr>
      <w:r w:rsidRPr="00BD77D8">
        <w:rPr>
          <w:rFonts w:eastAsia="Arial"/>
          <w:spacing w:val="3"/>
          <w:sz w:val="18"/>
          <w:szCs w:val="18"/>
          <w:lang w:eastAsia="en-US"/>
        </w:rPr>
        <w:t>Assets and liabilities are classified as either 'current' or 'non-current' in the statement of financial performance and associated notes.</w:t>
      </w:r>
    </w:p>
    <w:p w14:paraId="704F7B79" w14:textId="77777777" w:rsidR="00B9311E" w:rsidRPr="00BD77D8" w:rsidRDefault="00B9311E" w:rsidP="00B9311E">
      <w:pPr>
        <w:spacing w:after="0" w:line="180" w:lineRule="atLeast"/>
        <w:rPr>
          <w:rFonts w:eastAsia="Arial"/>
          <w:b/>
          <w:spacing w:val="3"/>
          <w:sz w:val="18"/>
          <w:szCs w:val="18"/>
          <w:lang w:eastAsia="en-US"/>
        </w:rPr>
      </w:pPr>
      <w:r w:rsidRPr="00BD77D8">
        <w:rPr>
          <w:rFonts w:eastAsia="Arial"/>
          <w:spacing w:val="3"/>
          <w:sz w:val="18"/>
          <w:szCs w:val="18"/>
          <w:lang w:eastAsia="en-US"/>
        </w:rPr>
        <w:t>Assets are classified as 'current' where their carrying amount is expected to be realised within 12 months after the reporting date. Liabilities are classified as 'current' when they are due to be settled within 12 months after the reporting date, or the department does not have an unconditional right to defer settlement to beyond 12 months after the reporting date.</w:t>
      </w:r>
    </w:p>
    <w:p w14:paraId="3440CDA4" w14:textId="77777777" w:rsidR="00B9311E" w:rsidRPr="00BD77D8" w:rsidRDefault="00B9311E" w:rsidP="00587E62">
      <w:pPr>
        <w:spacing w:line="180" w:lineRule="atLeast"/>
        <w:rPr>
          <w:rFonts w:eastAsia="Arial"/>
          <w:b/>
          <w:bCs/>
          <w:sz w:val="18"/>
          <w:szCs w:val="18"/>
          <w:lang w:eastAsia="en-US"/>
        </w:rPr>
      </w:pPr>
      <w:r w:rsidRPr="00BD77D8">
        <w:rPr>
          <w:rFonts w:eastAsia="Arial"/>
          <w:sz w:val="18"/>
          <w:szCs w:val="18"/>
          <w:lang w:eastAsia="en-US"/>
        </w:rPr>
        <w:t xml:space="preserve">All other assets and liabilities are classified as non-current. </w:t>
      </w:r>
    </w:p>
    <w:p w14:paraId="351DC9A5" w14:textId="47CAF8F9"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A2-4 Authorisation of Financial Statements for Issue</w:t>
      </w:r>
    </w:p>
    <w:p w14:paraId="34A19FDF"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sz w:val="18"/>
          <w:szCs w:val="18"/>
          <w:lang w:eastAsia="en-US"/>
        </w:rPr>
        <w:t>The financial statements are authorised for issue by the Director-General and Chief Finance Officer at the date of signing the Management Certificate.</w:t>
      </w:r>
    </w:p>
    <w:p w14:paraId="1F0F6B5C"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A2-5 The Reporting Entity</w:t>
      </w:r>
    </w:p>
    <w:p w14:paraId="016C3D63" w14:textId="77777777" w:rsidR="00B9311E" w:rsidRPr="00BD77D8" w:rsidRDefault="00B9311E" w:rsidP="00B9311E">
      <w:pPr>
        <w:spacing w:after="0" w:line="180" w:lineRule="atLeast"/>
        <w:ind w:right="288"/>
        <w:textAlignment w:val="baseline"/>
        <w:rPr>
          <w:rFonts w:eastAsia="Arial"/>
          <w:b/>
          <w:bCs/>
          <w:sz w:val="18"/>
          <w:szCs w:val="18"/>
          <w:lang w:eastAsia="en-US"/>
        </w:rPr>
      </w:pPr>
      <w:r w:rsidRPr="00BD77D8">
        <w:rPr>
          <w:rFonts w:eastAsia="Arial"/>
          <w:sz w:val="18"/>
          <w:szCs w:val="18"/>
          <w:lang w:eastAsia="en-US"/>
        </w:rPr>
        <w:t>The reporting entity is the Department of Seniors, Disability Services and Aboriginal and Torres Strait Islander Partnerships. The financial statements include all income, expenses, assets, liabilities and equity of the department.</w:t>
      </w:r>
    </w:p>
    <w:p w14:paraId="307BB6B6" w14:textId="77777777" w:rsidR="00B9311E" w:rsidRPr="00BD77D8" w:rsidRDefault="00B9311E" w:rsidP="00587E62">
      <w:pPr>
        <w:spacing w:line="180" w:lineRule="atLeast"/>
        <w:ind w:right="144"/>
        <w:textAlignment w:val="baseline"/>
        <w:rPr>
          <w:rFonts w:eastAsia="Arial"/>
          <w:b/>
          <w:bCs/>
          <w:sz w:val="18"/>
          <w:szCs w:val="18"/>
          <w:lang w:eastAsia="en-US"/>
        </w:rPr>
      </w:pPr>
      <w:r w:rsidRPr="00BD77D8">
        <w:rPr>
          <w:rFonts w:eastAsia="Arial"/>
          <w:sz w:val="18"/>
          <w:szCs w:val="18"/>
          <w:lang w:eastAsia="en-US"/>
        </w:rPr>
        <w:t>The department has not entered into any contractual arrangements which involve the sharing of control or significant influence over another entity. As a result, the department has determined that it does not control any other entity and has no interests in unconsolidated structured entities.</w:t>
      </w:r>
    </w:p>
    <w:p w14:paraId="1EADB3DE" w14:textId="77777777" w:rsidR="00B9311E" w:rsidRPr="00BD77D8" w:rsidRDefault="00B9311E" w:rsidP="00587E62">
      <w:pPr>
        <w:spacing w:line="180" w:lineRule="atLeast"/>
        <w:rPr>
          <w:rFonts w:eastAsia="Arial"/>
          <w:b/>
          <w:bCs/>
          <w:spacing w:val="3"/>
          <w:sz w:val="18"/>
          <w:szCs w:val="18"/>
          <w:lang w:eastAsia="en-US"/>
        </w:rPr>
      </w:pPr>
      <w:r w:rsidRPr="00BD77D8">
        <w:rPr>
          <w:rFonts w:eastAsia="Arial"/>
          <w:b/>
          <w:bCs/>
          <w:spacing w:val="3"/>
          <w:sz w:val="18"/>
          <w:szCs w:val="18"/>
          <w:lang w:eastAsia="en-US"/>
        </w:rPr>
        <w:t>A2-6 Basis of Measurement</w:t>
      </w:r>
    </w:p>
    <w:p w14:paraId="31C4E634" w14:textId="77777777" w:rsidR="00B9311E" w:rsidRPr="00BD77D8" w:rsidRDefault="00B9311E" w:rsidP="00587E62">
      <w:pPr>
        <w:spacing w:line="180" w:lineRule="atLeast"/>
        <w:ind w:right="216"/>
        <w:textAlignment w:val="baseline"/>
        <w:rPr>
          <w:rFonts w:eastAsia="Arial"/>
          <w:b/>
          <w:bCs/>
          <w:sz w:val="18"/>
          <w:szCs w:val="18"/>
          <w:lang w:eastAsia="en-US"/>
        </w:rPr>
      </w:pPr>
      <w:r w:rsidRPr="00BD77D8">
        <w:rPr>
          <w:rFonts w:eastAsia="Arial"/>
          <w:sz w:val="18"/>
          <w:szCs w:val="18"/>
          <w:lang w:eastAsia="en-US"/>
        </w:rPr>
        <w:t>Historical cost is used as the measurement basis in this financial report except for land and buildings which are measured at fair value.</w:t>
      </w:r>
    </w:p>
    <w:p w14:paraId="0AA8313B"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b/>
          <w:bCs/>
          <w:sz w:val="18"/>
          <w:szCs w:val="18"/>
          <w:lang w:eastAsia="en-US"/>
        </w:rPr>
        <w:t>Historical Cost</w:t>
      </w:r>
    </w:p>
    <w:p w14:paraId="3C4D47BE" w14:textId="77777777" w:rsidR="00B9311E" w:rsidRPr="00BD77D8" w:rsidRDefault="00B9311E" w:rsidP="00587E62">
      <w:pPr>
        <w:spacing w:line="180" w:lineRule="atLeast"/>
        <w:ind w:right="144"/>
        <w:textAlignment w:val="baseline"/>
        <w:rPr>
          <w:rFonts w:eastAsia="Arial"/>
          <w:b/>
          <w:bCs/>
          <w:sz w:val="18"/>
          <w:szCs w:val="18"/>
          <w:lang w:eastAsia="en-US"/>
        </w:rPr>
      </w:pPr>
      <w:r w:rsidRPr="00BD77D8">
        <w:rPr>
          <w:rFonts w:eastAsia="Arial"/>
          <w:sz w:val="18"/>
          <w:szCs w:val="18"/>
          <w:lang w:eastAsia="en-US"/>
        </w:rPr>
        <w:t>Under historical cost, assets are recorded at the amount of cash or cash equivalents paid or the fair value of the consideration given to acquire assets at the time of their acquisition. Liabilities are recorded at the amount of proceeds received in exchange for the obligation or at the amounts of cash or cash equivalents expected to be paid to satisfy the liability in the normal course of business.</w:t>
      </w:r>
    </w:p>
    <w:p w14:paraId="78581144"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b/>
          <w:bCs/>
          <w:sz w:val="18"/>
          <w:szCs w:val="18"/>
          <w:lang w:eastAsia="en-US"/>
        </w:rPr>
        <w:t>Fair Value</w:t>
      </w:r>
    </w:p>
    <w:p w14:paraId="1582529E"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sz w:val="18"/>
          <w:szCs w:val="18"/>
          <w:lang w:eastAsia="en-US"/>
        </w:rPr>
        <w:t>Fair value is the price that would be received to sell an asset or paid to transfer a liability in an orderly transaction between market participants at the measurement date under current market conditions (</w:t>
      </w:r>
      <w:proofErr w:type="gramStart"/>
      <w:r w:rsidRPr="00BD77D8">
        <w:rPr>
          <w:rFonts w:eastAsia="Arial"/>
          <w:sz w:val="18"/>
          <w:szCs w:val="18"/>
          <w:lang w:eastAsia="en-US"/>
        </w:rPr>
        <w:t>i.e.</w:t>
      </w:r>
      <w:proofErr w:type="gramEnd"/>
      <w:r w:rsidRPr="00BD77D8">
        <w:rPr>
          <w:rFonts w:eastAsia="Arial"/>
          <w:sz w:val="18"/>
          <w:szCs w:val="18"/>
          <w:lang w:eastAsia="en-US"/>
        </w:rPr>
        <w:t xml:space="preserve"> an exit price) regardless of whether that price is directly derived from observable inputs or estimated using another valuation technique. Where fair value is used, the fair value approach is disclosed. Refer to Note C4-7 for further information about fair value measurement by the department.</w:t>
      </w:r>
    </w:p>
    <w:p w14:paraId="24AFCE7D" w14:textId="77777777" w:rsidR="00B9311E" w:rsidRPr="00BD77D8" w:rsidRDefault="00B9311E" w:rsidP="00587E62">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A2-7 Controlled and Administered Transactions and Balances</w:t>
      </w:r>
    </w:p>
    <w:p w14:paraId="6FD2332C" w14:textId="77777777" w:rsidR="00B9311E" w:rsidRPr="00BD77D8" w:rsidRDefault="00B9311E" w:rsidP="00587E62">
      <w:pPr>
        <w:spacing w:line="180" w:lineRule="atLeast"/>
        <w:ind w:right="72"/>
        <w:textAlignment w:val="baseline"/>
        <w:rPr>
          <w:rFonts w:eastAsia="Arial"/>
          <w:b/>
          <w:bCs/>
          <w:sz w:val="18"/>
          <w:szCs w:val="18"/>
          <w:lang w:eastAsia="en-US"/>
        </w:rPr>
      </w:pPr>
      <w:r w:rsidRPr="00BD77D8">
        <w:rPr>
          <w:rFonts w:eastAsia="Arial"/>
          <w:sz w:val="18"/>
          <w:szCs w:val="18"/>
          <w:lang w:eastAsia="en-US"/>
        </w:rPr>
        <w:t>Transactions and balances are controlled by the department where they can be deployed for the achievement of the departmental objectives.</w:t>
      </w:r>
    </w:p>
    <w:p w14:paraId="5E9F125C" w14:textId="77777777" w:rsidR="00B9311E" w:rsidRPr="00BD77D8" w:rsidRDefault="00B9311E" w:rsidP="00587E62">
      <w:pPr>
        <w:spacing w:line="180" w:lineRule="atLeast"/>
        <w:ind w:right="216"/>
        <w:textAlignment w:val="baseline"/>
        <w:rPr>
          <w:rFonts w:eastAsia="Arial"/>
          <w:b/>
          <w:bCs/>
          <w:sz w:val="18"/>
          <w:szCs w:val="18"/>
          <w:lang w:eastAsia="en-US"/>
        </w:rPr>
      </w:pPr>
      <w:r w:rsidRPr="00BD77D8">
        <w:rPr>
          <w:rFonts w:eastAsia="Arial"/>
          <w:sz w:val="18"/>
          <w:szCs w:val="18"/>
          <w:lang w:eastAsia="en-US"/>
        </w:rPr>
        <w:t>The department administers, but does not control, certain activities on behalf of the Queensland Government. In doing so, it has responsibility for administering those activities (and related transactions and balances) efficiently and effectively but does not have the discretion to deploy those resources for the achievement of the department's own objectives.</w:t>
      </w:r>
    </w:p>
    <w:p w14:paraId="110E360D" w14:textId="77777777" w:rsidR="00B9311E" w:rsidRPr="00BD77D8" w:rsidRDefault="00B9311E" w:rsidP="00B9311E">
      <w:pPr>
        <w:spacing w:after="0" w:line="180" w:lineRule="atLeast"/>
        <w:ind w:right="72"/>
        <w:textAlignment w:val="baseline"/>
        <w:rPr>
          <w:rFonts w:eastAsia="Arial"/>
          <w:b/>
          <w:bCs/>
          <w:sz w:val="18"/>
          <w:szCs w:val="18"/>
          <w:lang w:eastAsia="en-US"/>
        </w:rPr>
      </w:pPr>
      <w:r w:rsidRPr="00BD77D8">
        <w:rPr>
          <w:rFonts w:eastAsia="Arial"/>
          <w:sz w:val="18"/>
          <w:szCs w:val="18"/>
          <w:lang w:eastAsia="en-US"/>
        </w:rPr>
        <w:t>The department has elected to report the administered transactions and balances as notes within the agency’s overall financial statements. Accounting policies applicable to administered items are consistent with the equivalent policies for controlled items, unless stated otherwise.</w:t>
      </w:r>
    </w:p>
    <w:p w14:paraId="693C3E5A" w14:textId="01CE9EBB" w:rsidR="00B9311E" w:rsidRPr="00BD77D8" w:rsidRDefault="00DE382E" w:rsidP="00B9311E">
      <w:pPr>
        <w:tabs>
          <w:tab w:val="left" w:pos="648"/>
        </w:tabs>
        <w:spacing w:after="0" w:line="180" w:lineRule="atLeast"/>
        <w:textAlignment w:val="baseline"/>
        <w:rPr>
          <w:rFonts w:eastAsia="Arial"/>
          <w:sz w:val="18"/>
          <w:szCs w:val="18"/>
          <w:lang w:eastAsia="en-US"/>
        </w:rPr>
      </w:pP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b/>
          <w:bCs/>
          <w:sz w:val="18"/>
          <w:szCs w:val="18"/>
          <w:lang w:eastAsia="en-US"/>
        </w:rPr>
        <w:tab/>
      </w:r>
      <w:r w:rsidRPr="00BD77D8">
        <w:rPr>
          <w:rFonts w:eastAsia="Arial"/>
          <w:sz w:val="18"/>
          <w:szCs w:val="18"/>
          <w:lang w:eastAsia="en-US"/>
        </w:rPr>
        <w:t>Page 12 of 45</w:t>
      </w:r>
    </w:p>
    <w:p w14:paraId="126AF8C9" w14:textId="77777777" w:rsidR="00B9311E" w:rsidRPr="00BD77D8" w:rsidRDefault="00B9311E" w:rsidP="00587E62">
      <w:pPr>
        <w:spacing w:before="120"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CD6E28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ABE2984"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C4B952D" w14:textId="77777777" w:rsidR="00B9311E" w:rsidRPr="00BD77D8" w:rsidRDefault="00B9311E" w:rsidP="00B9311E">
      <w:pPr>
        <w:pBdr>
          <w:bottom w:val="single" w:sz="4" w:space="1" w:color="auto"/>
        </w:pBdr>
        <w:spacing w:after="0" w:line="206" w:lineRule="exact"/>
        <w:textAlignment w:val="baseline"/>
        <w:rPr>
          <w:rFonts w:eastAsia="Arial"/>
          <w:b/>
          <w:bCs/>
          <w:sz w:val="18"/>
          <w:szCs w:val="18"/>
          <w:lang w:eastAsia="en-US"/>
        </w:rPr>
      </w:pPr>
    </w:p>
    <w:p w14:paraId="6CE9AC6A" w14:textId="77777777" w:rsidR="00B9311E" w:rsidRPr="00BD77D8" w:rsidRDefault="00B9311E" w:rsidP="00E47A6E">
      <w:pPr>
        <w:spacing w:before="240" w:line="180" w:lineRule="atLeast"/>
        <w:rPr>
          <w:rFonts w:eastAsia="Arial"/>
          <w:b/>
          <w:bCs/>
          <w:spacing w:val="3"/>
          <w:sz w:val="22"/>
          <w:szCs w:val="22"/>
          <w:lang w:eastAsia="en-US"/>
        </w:rPr>
      </w:pPr>
      <w:r w:rsidRPr="00BD77D8">
        <w:rPr>
          <w:rFonts w:eastAsia="Arial"/>
          <w:b/>
          <w:bCs/>
          <w:spacing w:val="3"/>
          <w:sz w:val="22"/>
          <w:szCs w:val="22"/>
          <w:lang w:eastAsia="en-US"/>
        </w:rPr>
        <w:t>A2 Basis of financial Statements Preparation (Continued)</w:t>
      </w:r>
    </w:p>
    <w:p w14:paraId="194A4201" w14:textId="77777777" w:rsidR="00B9311E" w:rsidRPr="00BD77D8" w:rsidRDefault="00B9311E" w:rsidP="00587E62">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A2-7 Controlled and Administered Transactions and Balances (continued)</w:t>
      </w:r>
    </w:p>
    <w:p w14:paraId="4693A88F" w14:textId="77777777" w:rsidR="00B9311E" w:rsidRPr="00BD77D8" w:rsidRDefault="00B9311E" w:rsidP="00587E62">
      <w:pPr>
        <w:spacing w:line="180" w:lineRule="atLeast"/>
        <w:textAlignment w:val="baseline"/>
        <w:rPr>
          <w:rFonts w:eastAsia="Arial"/>
          <w:b/>
          <w:bCs/>
          <w:sz w:val="18"/>
          <w:szCs w:val="18"/>
          <w:lang w:eastAsia="en-US"/>
        </w:rPr>
      </w:pPr>
      <w:r w:rsidRPr="00BD77D8">
        <w:rPr>
          <w:rFonts w:eastAsia="Arial"/>
          <w:sz w:val="18"/>
          <w:szCs w:val="18"/>
          <w:lang w:eastAsia="en-US"/>
        </w:rPr>
        <w:t>The department's administered ledger is used for the following purposes:</w:t>
      </w:r>
    </w:p>
    <w:p w14:paraId="4FB5C5DC" w14:textId="77777777" w:rsidR="00B9311E" w:rsidRPr="00BD77D8" w:rsidRDefault="00B9311E" w:rsidP="003954C5">
      <w:pPr>
        <w:numPr>
          <w:ilvl w:val="0"/>
          <w:numId w:val="75"/>
        </w:numPr>
        <w:spacing w:line="180" w:lineRule="atLeast"/>
        <w:ind w:left="648" w:right="720" w:hanging="648"/>
        <w:textAlignment w:val="baseline"/>
        <w:rPr>
          <w:rFonts w:eastAsia="Arial"/>
          <w:b/>
          <w:bCs/>
          <w:sz w:val="18"/>
          <w:szCs w:val="18"/>
          <w:lang w:eastAsia="en-US"/>
        </w:rPr>
      </w:pPr>
      <w:r w:rsidRPr="00BD77D8">
        <w:rPr>
          <w:rFonts w:eastAsia="Arial"/>
          <w:sz w:val="18"/>
          <w:szCs w:val="18"/>
          <w:lang w:eastAsia="en-US"/>
        </w:rPr>
        <w:t>The payment to the National Disability Insurance Agency under the National Disability Insurance Scheme.</w:t>
      </w:r>
    </w:p>
    <w:p w14:paraId="0B793EF4" w14:textId="77777777" w:rsidR="00B9311E" w:rsidRPr="00BD77D8" w:rsidRDefault="00B9311E" w:rsidP="003954C5">
      <w:pPr>
        <w:numPr>
          <w:ilvl w:val="0"/>
          <w:numId w:val="75"/>
        </w:numPr>
        <w:spacing w:line="180" w:lineRule="atLeast"/>
        <w:ind w:left="648" w:hanging="648"/>
        <w:textAlignment w:val="baseline"/>
        <w:rPr>
          <w:rFonts w:eastAsia="Arial"/>
          <w:b/>
          <w:bCs/>
          <w:sz w:val="18"/>
          <w:szCs w:val="18"/>
          <w:lang w:eastAsia="en-US"/>
        </w:rPr>
      </w:pPr>
      <w:r w:rsidRPr="00BD77D8">
        <w:rPr>
          <w:rFonts w:eastAsia="Arial"/>
          <w:sz w:val="18"/>
          <w:szCs w:val="18"/>
          <w:lang w:eastAsia="en-US"/>
        </w:rPr>
        <w:t>The payment of concessions, such as rebates on household expenses, to eligible recipients.</w:t>
      </w:r>
    </w:p>
    <w:p w14:paraId="1525FA21" w14:textId="77777777" w:rsidR="00B9311E" w:rsidRPr="00BD77D8" w:rsidRDefault="00B9311E" w:rsidP="003954C5">
      <w:pPr>
        <w:numPr>
          <w:ilvl w:val="0"/>
          <w:numId w:val="75"/>
        </w:numPr>
        <w:spacing w:line="180" w:lineRule="atLeast"/>
        <w:ind w:left="648" w:right="360" w:hanging="648"/>
        <w:textAlignment w:val="baseline"/>
        <w:rPr>
          <w:rFonts w:eastAsia="Arial"/>
          <w:b/>
          <w:bCs/>
          <w:sz w:val="18"/>
          <w:szCs w:val="18"/>
          <w:lang w:eastAsia="en-US"/>
        </w:rPr>
      </w:pPr>
      <w:r w:rsidRPr="00BD77D8">
        <w:rPr>
          <w:rFonts w:eastAsia="Arial"/>
          <w:sz w:val="18"/>
          <w:szCs w:val="18"/>
          <w:lang w:eastAsia="en-US"/>
        </w:rPr>
        <w:t>The payment to the Western Cape Community Trust to provide and benefit the general welfare of the communities described under the Western Cape Co-Existence Agreement, including the Aboriginal communities and Traditional Owners of Western Cape York Peninsula.</w:t>
      </w:r>
    </w:p>
    <w:p w14:paraId="3D59D482" w14:textId="77777777" w:rsidR="00B9311E" w:rsidRPr="00BD77D8" w:rsidRDefault="00B9311E" w:rsidP="003954C5">
      <w:pPr>
        <w:numPr>
          <w:ilvl w:val="0"/>
          <w:numId w:val="75"/>
        </w:numPr>
        <w:spacing w:line="180" w:lineRule="atLeast"/>
        <w:ind w:left="648" w:right="504" w:hanging="648"/>
        <w:textAlignment w:val="baseline"/>
        <w:rPr>
          <w:rFonts w:eastAsia="Arial"/>
          <w:b/>
          <w:bCs/>
          <w:sz w:val="18"/>
          <w:szCs w:val="18"/>
          <w:lang w:eastAsia="en-US"/>
        </w:rPr>
      </w:pPr>
      <w:r w:rsidRPr="00BD77D8">
        <w:rPr>
          <w:rFonts w:eastAsia="Arial"/>
          <w:sz w:val="18"/>
          <w:szCs w:val="18"/>
          <w:lang w:eastAsia="en-US"/>
        </w:rPr>
        <w:t>The payment to the Family Responsibilities Commission to support welfare reform and responsible standards of behaviour, local authority and wellbeing.</w:t>
      </w:r>
    </w:p>
    <w:p w14:paraId="6D1B5FF7" w14:textId="77777777" w:rsidR="00B9311E" w:rsidRPr="00BD77D8" w:rsidRDefault="00B9311E" w:rsidP="00587E62">
      <w:pPr>
        <w:spacing w:line="180" w:lineRule="atLeast"/>
        <w:textAlignment w:val="baseline"/>
        <w:rPr>
          <w:rFonts w:eastAsia="Arial"/>
          <w:b/>
          <w:bCs/>
          <w:spacing w:val="4"/>
          <w:sz w:val="18"/>
          <w:szCs w:val="18"/>
          <w:lang w:eastAsia="en-US"/>
        </w:rPr>
      </w:pPr>
      <w:r w:rsidRPr="00BD77D8">
        <w:rPr>
          <w:rFonts w:eastAsia="Arial"/>
          <w:b/>
          <w:bCs/>
          <w:spacing w:val="4"/>
          <w:sz w:val="18"/>
          <w:szCs w:val="18"/>
          <w:lang w:eastAsia="en-US"/>
        </w:rPr>
        <w:t>A2-8 Taxation</w:t>
      </w:r>
    </w:p>
    <w:p w14:paraId="256EFE9D" w14:textId="77777777" w:rsidR="00B9311E" w:rsidRPr="00BD77D8" w:rsidRDefault="00B9311E" w:rsidP="00587E62">
      <w:pPr>
        <w:spacing w:line="180" w:lineRule="atLeast"/>
        <w:ind w:right="357"/>
        <w:textAlignment w:val="baseline"/>
        <w:rPr>
          <w:rFonts w:eastAsia="Arial"/>
          <w:b/>
          <w:bCs/>
          <w:sz w:val="18"/>
          <w:szCs w:val="18"/>
          <w:lang w:eastAsia="en-US"/>
        </w:rPr>
      </w:pPr>
      <w:r w:rsidRPr="00BD77D8">
        <w:rPr>
          <w:rFonts w:eastAsia="Arial"/>
          <w:sz w:val="18"/>
          <w:szCs w:val="18"/>
          <w:lang w:eastAsia="en-US"/>
        </w:rPr>
        <w:t xml:space="preserve">The department is a </w:t>
      </w:r>
      <w:proofErr w:type="gramStart"/>
      <w:r w:rsidRPr="00BD77D8">
        <w:rPr>
          <w:rFonts w:eastAsia="Arial"/>
          <w:sz w:val="18"/>
          <w:szCs w:val="18"/>
          <w:lang w:eastAsia="en-US"/>
        </w:rPr>
        <w:t>State</w:t>
      </w:r>
      <w:proofErr w:type="gramEnd"/>
      <w:r w:rsidRPr="00BD77D8">
        <w:rPr>
          <w:rFonts w:eastAsia="Arial"/>
          <w:sz w:val="18"/>
          <w:szCs w:val="18"/>
          <w:lang w:eastAsia="en-US"/>
        </w:rPr>
        <w:t xml:space="preserve"> body as defined under the </w:t>
      </w:r>
      <w:r w:rsidRPr="00BD77D8">
        <w:rPr>
          <w:rFonts w:eastAsia="Arial"/>
          <w:i/>
          <w:sz w:val="18"/>
          <w:szCs w:val="18"/>
          <w:lang w:eastAsia="en-US"/>
        </w:rPr>
        <w:t xml:space="preserve">Income Tax Assessment Act 1936 </w:t>
      </w:r>
      <w:r w:rsidRPr="00BD77D8">
        <w:rPr>
          <w:rFonts w:eastAsia="Arial"/>
          <w:sz w:val="18"/>
          <w:szCs w:val="18"/>
          <w:lang w:eastAsia="en-US"/>
        </w:rPr>
        <w:t>and is exempt from Commonwealth taxation with the exception of Fringe Benefits Tax (FBT) and Goods and Services Tax (GST). FBT and GST are the only taxes accounted for by the department. GST credits receivable from, and GST payable to, the Australian Taxation Office (ATO) are recognised (refer to Note C2).</w:t>
      </w:r>
    </w:p>
    <w:p w14:paraId="31EF77FA" w14:textId="77777777" w:rsidR="00B9311E" w:rsidRPr="00BD77D8" w:rsidRDefault="00B9311E" w:rsidP="00587E62">
      <w:pPr>
        <w:spacing w:line="180" w:lineRule="atLeast"/>
        <w:rPr>
          <w:rFonts w:eastAsia="Arial"/>
          <w:b/>
          <w:bCs/>
          <w:sz w:val="22"/>
          <w:szCs w:val="22"/>
          <w:lang w:eastAsia="en-US"/>
        </w:rPr>
      </w:pPr>
      <w:bookmarkStart w:id="422" w:name="_Toc111494802"/>
      <w:bookmarkStart w:id="423" w:name="_Toc111540674"/>
      <w:bookmarkStart w:id="424" w:name="_Toc111559237"/>
      <w:bookmarkStart w:id="425" w:name="_Toc113196509"/>
      <w:bookmarkStart w:id="426" w:name="_Toc113196857"/>
      <w:bookmarkStart w:id="427" w:name="_Toc113261987"/>
      <w:bookmarkStart w:id="428" w:name="_Toc113349141"/>
      <w:bookmarkStart w:id="429" w:name="_Toc113358066"/>
      <w:r w:rsidRPr="00BD77D8">
        <w:rPr>
          <w:rFonts w:eastAsia="Arial"/>
          <w:b/>
          <w:bCs/>
          <w:sz w:val="22"/>
          <w:szCs w:val="22"/>
          <w:lang w:eastAsia="en-US"/>
        </w:rPr>
        <w:t>A3 National Disability Insurance Scheme</w:t>
      </w:r>
      <w:bookmarkEnd w:id="422"/>
      <w:bookmarkEnd w:id="423"/>
      <w:bookmarkEnd w:id="424"/>
      <w:bookmarkEnd w:id="425"/>
      <w:bookmarkEnd w:id="426"/>
      <w:bookmarkEnd w:id="427"/>
      <w:bookmarkEnd w:id="428"/>
      <w:bookmarkEnd w:id="429"/>
    </w:p>
    <w:p w14:paraId="394730F1" w14:textId="77777777" w:rsidR="00B9311E" w:rsidRPr="00BD77D8" w:rsidRDefault="00B9311E" w:rsidP="00587E62">
      <w:pPr>
        <w:spacing w:line="180" w:lineRule="atLeast"/>
        <w:ind w:right="72"/>
        <w:textAlignment w:val="baseline"/>
        <w:rPr>
          <w:rFonts w:eastAsia="Arial"/>
          <w:b/>
          <w:bCs/>
          <w:sz w:val="18"/>
          <w:szCs w:val="18"/>
          <w:lang w:eastAsia="en-US"/>
        </w:rPr>
      </w:pPr>
      <w:r w:rsidRPr="00BD77D8">
        <w:rPr>
          <w:rFonts w:eastAsia="Arial"/>
          <w:sz w:val="18"/>
          <w:szCs w:val="18"/>
          <w:lang w:eastAsia="en-US"/>
        </w:rPr>
        <w:t xml:space="preserve">Full scheme arrangements under the Bilateral Agreement between the Commonwealth and State of Queensland on the National Disability Insurance Scheme (Full Scheme Agreement) commenced from 1 October 2020. Under the Full Scheme Agreement, Queensland has committed to paying its fixed and capped full scheme annual contribution of $2.128 Billion, indexed at 4% per annum. </w:t>
      </w:r>
    </w:p>
    <w:p w14:paraId="1968478B" w14:textId="77777777" w:rsidR="00B9311E" w:rsidRPr="00BD77D8" w:rsidRDefault="00B9311E" w:rsidP="00587E62">
      <w:pPr>
        <w:spacing w:line="180" w:lineRule="atLeast"/>
        <w:rPr>
          <w:rFonts w:eastAsia="Arial"/>
          <w:b/>
          <w:bCs/>
          <w:sz w:val="22"/>
          <w:szCs w:val="22"/>
          <w:lang w:eastAsia="en-US"/>
        </w:rPr>
      </w:pPr>
      <w:bookmarkStart w:id="430" w:name="_Toc111494803"/>
      <w:bookmarkStart w:id="431" w:name="_Toc111540675"/>
      <w:bookmarkStart w:id="432" w:name="_Toc111559238"/>
      <w:bookmarkStart w:id="433" w:name="_Toc113196510"/>
      <w:bookmarkStart w:id="434" w:name="_Toc113196858"/>
      <w:bookmarkStart w:id="435" w:name="_Toc113261988"/>
      <w:bookmarkStart w:id="436" w:name="_Toc113349142"/>
      <w:bookmarkStart w:id="437" w:name="_Toc113358067"/>
      <w:r w:rsidRPr="00BD77D8">
        <w:rPr>
          <w:rFonts w:eastAsia="Arial"/>
          <w:b/>
          <w:bCs/>
          <w:sz w:val="22"/>
          <w:szCs w:val="22"/>
          <w:lang w:eastAsia="en-US"/>
        </w:rPr>
        <w:t>A4 Machinery-of-Government (</w:t>
      </w:r>
      <w:proofErr w:type="spellStart"/>
      <w:r w:rsidRPr="00BD77D8">
        <w:rPr>
          <w:rFonts w:eastAsia="Arial"/>
          <w:b/>
          <w:bCs/>
          <w:sz w:val="22"/>
          <w:szCs w:val="22"/>
          <w:lang w:eastAsia="en-US"/>
        </w:rPr>
        <w:t>MoG</w:t>
      </w:r>
      <w:proofErr w:type="spellEnd"/>
      <w:r w:rsidRPr="00BD77D8">
        <w:rPr>
          <w:rFonts w:eastAsia="Arial"/>
          <w:b/>
          <w:bCs/>
          <w:sz w:val="22"/>
          <w:szCs w:val="22"/>
          <w:lang w:eastAsia="en-US"/>
        </w:rPr>
        <w:t>) Changes</w:t>
      </w:r>
      <w:bookmarkEnd w:id="430"/>
      <w:bookmarkEnd w:id="431"/>
      <w:bookmarkEnd w:id="432"/>
      <w:bookmarkEnd w:id="433"/>
      <w:bookmarkEnd w:id="434"/>
      <w:bookmarkEnd w:id="435"/>
      <w:bookmarkEnd w:id="436"/>
      <w:bookmarkEnd w:id="437"/>
    </w:p>
    <w:p w14:paraId="5B838BCC" w14:textId="77777777" w:rsidR="00B9311E" w:rsidRPr="00BD77D8" w:rsidRDefault="00B9311E" w:rsidP="00587E62">
      <w:pPr>
        <w:spacing w:line="240" w:lineRule="auto"/>
        <w:rPr>
          <w:rFonts w:eastAsia="PMingLiU"/>
          <w:b/>
          <w:bCs/>
          <w:sz w:val="18"/>
          <w:szCs w:val="22"/>
          <w:lang w:eastAsia="en-US"/>
        </w:rPr>
      </w:pPr>
      <w:r w:rsidRPr="00BD77D8">
        <w:rPr>
          <w:rFonts w:eastAsia="PMingLiU"/>
          <w:sz w:val="18"/>
          <w:szCs w:val="22"/>
          <w:lang w:eastAsia="en-US"/>
        </w:rPr>
        <w:t>Community Services activities were transferred to the Department of Communities, Housing and Digital Economy as part of Machinery-of-Government changes effective from 1 December 2020.</w:t>
      </w:r>
    </w:p>
    <w:p w14:paraId="1983B528" w14:textId="77777777" w:rsidR="00B9311E" w:rsidRPr="00BD77D8" w:rsidRDefault="00B9311E" w:rsidP="00587E62">
      <w:pPr>
        <w:spacing w:line="240" w:lineRule="auto"/>
        <w:rPr>
          <w:rFonts w:eastAsia="PMingLiU"/>
          <w:b/>
          <w:bCs/>
          <w:sz w:val="18"/>
          <w:szCs w:val="22"/>
          <w:lang w:eastAsia="en-US"/>
        </w:rPr>
      </w:pPr>
      <w:r w:rsidRPr="00BD77D8">
        <w:rPr>
          <w:rFonts w:eastAsia="PMingLiU"/>
          <w:sz w:val="18"/>
          <w:szCs w:val="22"/>
          <w:lang w:eastAsia="en-US"/>
        </w:rPr>
        <w:t>On 24 June 2022 a final transfer of assets to the Department of Communities, Housing and Digital Economy totalling $0.013M was completed (refer to Statement of Changes in Equity and Note C4-1).</w:t>
      </w:r>
    </w:p>
    <w:p w14:paraId="0B3BF823" w14:textId="77777777" w:rsidR="00B9311E" w:rsidRPr="00BD77D8" w:rsidRDefault="00B9311E" w:rsidP="00B9311E">
      <w:pPr>
        <w:spacing w:after="0" w:line="240" w:lineRule="auto"/>
        <w:rPr>
          <w:rFonts w:eastAsia="PMingLiU"/>
          <w:b/>
          <w:bCs/>
          <w:sz w:val="18"/>
          <w:szCs w:val="22"/>
          <w:lang w:eastAsia="en-US"/>
        </w:rPr>
      </w:pPr>
      <w:r w:rsidRPr="00BD77D8">
        <w:rPr>
          <w:rFonts w:eastAsia="PMingLiU"/>
          <w:sz w:val="18"/>
          <w:szCs w:val="22"/>
          <w:lang w:eastAsia="en-US"/>
        </w:rPr>
        <w:t xml:space="preserve">The Community Services activities continued to operate within the Department’s financial and human resource systems during 2021-22 until the Department of Communities, Housing and Digital Economy (DCHDE) established its own systems. DCHDE reimbursed the department for those Community Services costs incurred: ($17.645M) for 2021-22 ($52.029M in 2020-21). Those transactions are not incorporated into the department’s financial results.  </w:t>
      </w:r>
    </w:p>
    <w:p w14:paraId="1F37747B" w14:textId="0A66F760" w:rsidR="00B9311E" w:rsidRPr="00BD77D8" w:rsidRDefault="00DE382E" w:rsidP="008977D0">
      <w:pPr>
        <w:spacing w:before="3000" w:after="0" w:line="240" w:lineRule="auto"/>
        <w:rPr>
          <w:sz w:val="24"/>
          <w:szCs w:val="24"/>
          <w:lang w:eastAsia="en-US"/>
        </w:rPr>
      </w:pP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24"/>
          <w:szCs w:val="24"/>
          <w:lang w:eastAsia="en-US"/>
        </w:rPr>
        <w:tab/>
      </w:r>
      <w:r w:rsidRPr="00BD77D8">
        <w:rPr>
          <w:rFonts w:eastAsia="PMingLiU"/>
          <w:sz w:val="18"/>
          <w:szCs w:val="18"/>
          <w:lang w:eastAsia="en-US"/>
        </w:rPr>
        <w:t>Page 13 of 45</w:t>
      </w:r>
      <w:r w:rsidR="00B9311E" w:rsidRPr="00BD77D8">
        <w:rPr>
          <w:rFonts w:eastAsia="PMingLiU"/>
          <w:sz w:val="24"/>
          <w:szCs w:val="24"/>
          <w:lang w:eastAsia="en-US"/>
        </w:rPr>
        <w:br w:type="page"/>
      </w:r>
    </w:p>
    <w:p w14:paraId="2D7C5F1D"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7599981"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362A5A7"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5A79F5EC" w14:textId="77777777" w:rsidR="00B9311E" w:rsidRPr="00BD77D8" w:rsidRDefault="00B9311E" w:rsidP="00B9311E">
      <w:pPr>
        <w:pBdr>
          <w:bottom w:val="single" w:sz="4" w:space="1" w:color="auto"/>
        </w:pBdr>
        <w:spacing w:after="0" w:line="206" w:lineRule="exact"/>
        <w:textAlignment w:val="baseline"/>
        <w:rPr>
          <w:rFonts w:eastAsia="Arial"/>
          <w:bCs/>
          <w:sz w:val="18"/>
          <w:szCs w:val="18"/>
          <w:lang w:eastAsia="en-US"/>
        </w:rPr>
      </w:pPr>
    </w:p>
    <w:p w14:paraId="4F4225AF" w14:textId="4E811B88" w:rsidR="00B9311E" w:rsidRPr="00BD77D8" w:rsidRDefault="00B9311E" w:rsidP="00E47A6E">
      <w:pPr>
        <w:spacing w:before="240"/>
        <w:rPr>
          <w:rFonts w:eastAsia="PMingLiU"/>
          <w:sz w:val="18"/>
          <w:szCs w:val="22"/>
          <w:lang w:eastAsia="en-US"/>
        </w:rPr>
      </w:pPr>
      <w:bookmarkStart w:id="438" w:name="_Toc111494804"/>
      <w:bookmarkStart w:id="439" w:name="_Toc111540676"/>
      <w:bookmarkStart w:id="440" w:name="_Toc111559239"/>
      <w:bookmarkStart w:id="441" w:name="_Toc113196511"/>
      <w:bookmarkStart w:id="442" w:name="_Toc113196859"/>
      <w:bookmarkStart w:id="443" w:name="_Toc113261989"/>
      <w:bookmarkStart w:id="444" w:name="_Toc113349143"/>
      <w:bookmarkStart w:id="445" w:name="_Toc113358068"/>
      <w:r w:rsidRPr="00BD77D8">
        <w:rPr>
          <w:b/>
          <w:bCs/>
          <w:sz w:val="24"/>
          <w:szCs w:val="24"/>
          <w:lang w:eastAsia="en-US"/>
        </w:rPr>
        <w:t>Our Performance</w:t>
      </w:r>
      <w:bookmarkEnd w:id="438"/>
      <w:bookmarkEnd w:id="439"/>
      <w:bookmarkEnd w:id="440"/>
      <w:bookmarkEnd w:id="441"/>
      <w:bookmarkEnd w:id="442"/>
      <w:bookmarkEnd w:id="443"/>
      <w:bookmarkEnd w:id="444"/>
      <w:bookmarkEnd w:id="445"/>
    </w:p>
    <w:p w14:paraId="37AC852A" w14:textId="77777777" w:rsidR="00B9311E" w:rsidRPr="00BD77D8" w:rsidRDefault="00B9311E" w:rsidP="00587E62">
      <w:pPr>
        <w:spacing w:after="240" w:line="180" w:lineRule="atLeast"/>
        <w:rPr>
          <w:b/>
          <w:bCs/>
          <w:sz w:val="22"/>
          <w:szCs w:val="22"/>
          <w:lang w:eastAsia="en-US"/>
        </w:rPr>
      </w:pPr>
      <w:bookmarkStart w:id="446" w:name="_Toc111494805"/>
      <w:bookmarkStart w:id="447" w:name="_Toc111540677"/>
      <w:bookmarkStart w:id="448" w:name="_Toc111559240"/>
      <w:bookmarkStart w:id="449" w:name="_Toc113196512"/>
      <w:bookmarkStart w:id="450" w:name="_Toc113196860"/>
      <w:bookmarkStart w:id="451" w:name="_Toc113261990"/>
      <w:bookmarkStart w:id="452" w:name="_Toc113349144"/>
      <w:bookmarkStart w:id="453" w:name="_Toc113358069"/>
      <w:r w:rsidRPr="00BD77D8">
        <w:rPr>
          <w:b/>
          <w:bCs/>
          <w:sz w:val="22"/>
          <w:szCs w:val="22"/>
          <w:lang w:eastAsia="en-US"/>
        </w:rPr>
        <w:t>B1 Revenue</w:t>
      </w:r>
      <w:bookmarkEnd w:id="446"/>
      <w:bookmarkEnd w:id="447"/>
      <w:bookmarkEnd w:id="448"/>
      <w:bookmarkEnd w:id="449"/>
      <w:bookmarkEnd w:id="450"/>
      <w:bookmarkEnd w:id="451"/>
      <w:bookmarkEnd w:id="452"/>
      <w:bookmarkEnd w:id="453"/>
    </w:p>
    <w:p w14:paraId="1953614F" w14:textId="77777777" w:rsidR="00B9311E" w:rsidRPr="00BD77D8" w:rsidRDefault="00B9311E" w:rsidP="00B9311E">
      <w:pPr>
        <w:spacing w:after="0" w:line="240" w:lineRule="auto"/>
        <w:rPr>
          <w:rFonts w:eastAsia="PMingLiU"/>
          <w:b/>
          <w:bCs/>
          <w:sz w:val="18"/>
          <w:szCs w:val="22"/>
          <w:lang w:eastAsia="en-US"/>
        </w:rPr>
      </w:pPr>
      <w:r w:rsidRPr="00BD77D8">
        <w:rPr>
          <w:rFonts w:eastAsia="PMingLiU"/>
          <w:b/>
          <w:bCs/>
          <w:sz w:val="18"/>
          <w:szCs w:val="22"/>
          <w:lang w:eastAsia="en-US"/>
        </w:rPr>
        <w:t>B1-1 Appropriation Revenue</w:t>
      </w:r>
    </w:p>
    <w:tbl>
      <w:tblPr>
        <w:tblW w:w="10348" w:type="dxa"/>
        <w:tblCellMar>
          <w:left w:w="0" w:type="dxa"/>
          <w:right w:w="0" w:type="dxa"/>
        </w:tblCellMar>
        <w:tblLook w:val="04A0" w:firstRow="1" w:lastRow="0" w:firstColumn="1" w:lastColumn="0" w:noHBand="0" w:noVBand="1"/>
      </w:tblPr>
      <w:tblGrid>
        <w:gridCol w:w="7808"/>
        <w:gridCol w:w="1216"/>
        <w:gridCol w:w="1324"/>
      </w:tblGrid>
      <w:tr w:rsidR="00BD77D8" w:rsidRPr="00BD77D8" w14:paraId="325E74D3" w14:textId="77777777" w:rsidTr="003057FB">
        <w:trPr>
          <w:trHeight w:val="256"/>
        </w:trPr>
        <w:tc>
          <w:tcPr>
            <w:tcW w:w="0" w:type="auto"/>
            <w:tcBorders>
              <w:top w:val="nil"/>
              <w:left w:val="nil"/>
              <w:bottom w:val="nil"/>
              <w:right w:val="nil"/>
            </w:tcBorders>
            <w:shd w:val="clear" w:color="auto" w:fill="auto"/>
            <w:noWrap/>
            <w:vAlign w:val="bottom"/>
            <w:hideMark/>
          </w:tcPr>
          <w:p w14:paraId="2EC8C048"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auto"/>
            <w:noWrap/>
            <w:hideMark/>
          </w:tcPr>
          <w:p w14:paraId="668566EA"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1308" w:type="dxa"/>
            <w:tcBorders>
              <w:top w:val="nil"/>
              <w:left w:val="nil"/>
              <w:bottom w:val="nil"/>
              <w:right w:val="nil"/>
            </w:tcBorders>
            <w:shd w:val="clear" w:color="auto" w:fill="auto"/>
            <w:noWrap/>
            <w:hideMark/>
          </w:tcPr>
          <w:p w14:paraId="26CA1A44"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77C301E9" w14:textId="77777777" w:rsidTr="003057FB">
        <w:trPr>
          <w:trHeight w:val="256"/>
        </w:trPr>
        <w:tc>
          <w:tcPr>
            <w:tcW w:w="0" w:type="auto"/>
            <w:tcBorders>
              <w:top w:val="nil"/>
              <w:left w:val="nil"/>
              <w:bottom w:val="nil"/>
              <w:right w:val="nil"/>
            </w:tcBorders>
            <w:shd w:val="clear" w:color="auto" w:fill="auto"/>
            <w:noWrap/>
            <w:vAlign w:val="bottom"/>
            <w:hideMark/>
          </w:tcPr>
          <w:p w14:paraId="6CB49F7C"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single" w:sz="4" w:space="0" w:color="auto"/>
              <w:right w:val="nil"/>
            </w:tcBorders>
            <w:shd w:val="clear" w:color="auto" w:fill="auto"/>
            <w:noWrap/>
            <w:hideMark/>
          </w:tcPr>
          <w:p w14:paraId="68575A4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08" w:type="dxa"/>
            <w:tcBorders>
              <w:top w:val="nil"/>
              <w:left w:val="nil"/>
              <w:bottom w:val="single" w:sz="4" w:space="0" w:color="auto"/>
              <w:right w:val="nil"/>
            </w:tcBorders>
            <w:shd w:val="clear" w:color="auto" w:fill="auto"/>
            <w:noWrap/>
            <w:hideMark/>
          </w:tcPr>
          <w:p w14:paraId="7A2EFD94"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2E2A7AC7" w14:textId="77777777" w:rsidTr="003057FB">
        <w:trPr>
          <w:trHeight w:val="256"/>
        </w:trPr>
        <w:tc>
          <w:tcPr>
            <w:tcW w:w="0" w:type="auto"/>
            <w:tcBorders>
              <w:top w:val="nil"/>
              <w:left w:val="nil"/>
              <w:bottom w:val="nil"/>
              <w:right w:val="nil"/>
            </w:tcBorders>
            <w:shd w:val="clear" w:color="auto" w:fill="auto"/>
            <w:vAlign w:val="bottom"/>
            <w:hideMark/>
          </w:tcPr>
          <w:p w14:paraId="0F2D3E42" w14:textId="77777777" w:rsidR="00B9311E" w:rsidRPr="00BD77D8" w:rsidRDefault="00B9311E" w:rsidP="00B9311E">
            <w:pPr>
              <w:spacing w:after="0" w:line="240" w:lineRule="auto"/>
              <w:rPr>
                <w:b/>
                <w:bCs/>
                <w:sz w:val="18"/>
                <w:szCs w:val="18"/>
              </w:rPr>
            </w:pPr>
            <w:r w:rsidRPr="00BD77D8">
              <w:rPr>
                <w:b/>
                <w:bCs/>
                <w:sz w:val="18"/>
                <w:szCs w:val="18"/>
              </w:rPr>
              <w:t xml:space="preserve">Reconciliation of Payments from Consolidated Fund to Appropriation </w:t>
            </w:r>
            <w:r w:rsidRPr="00BD77D8">
              <w:rPr>
                <w:b/>
                <w:bCs/>
                <w:sz w:val="18"/>
                <w:szCs w:val="18"/>
              </w:rPr>
              <w:br/>
              <w:t>Revenue Recognised in Operating Result</w:t>
            </w:r>
          </w:p>
        </w:tc>
        <w:tc>
          <w:tcPr>
            <w:tcW w:w="0" w:type="auto"/>
            <w:tcBorders>
              <w:top w:val="nil"/>
              <w:left w:val="nil"/>
              <w:bottom w:val="nil"/>
              <w:right w:val="nil"/>
            </w:tcBorders>
            <w:shd w:val="clear" w:color="auto" w:fill="auto"/>
            <w:noWrap/>
            <w:vAlign w:val="bottom"/>
            <w:hideMark/>
          </w:tcPr>
          <w:p w14:paraId="55BA3222" w14:textId="77777777" w:rsidR="00B9311E" w:rsidRPr="00BD77D8" w:rsidRDefault="00B9311E" w:rsidP="00B9311E">
            <w:pPr>
              <w:spacing w:after="0" w:line="240" w:lineRule="auto"/>
              <w:rPr>
                <w:b/>
                <w:bCs/>
                <w:sz w:val="18"/>
                <w:szCs w:val="18"/>
              </w:rPr>
            </w:pPr>
          </w:p>
        </w:tc>
        <w:tc>
          <w:tcPr>
            <w:tcW w:w="1308" w:type="dxa"/>
            <w:tcBorders>
              <w:top w:val="nil"/>
              <w:left w:val="nil"/>
              <w:bottom w:val="nil"/>
              <w:right w:val="nil"/>
            </w:tcBorders>
            <w:shd w:val="clear" w:color="auto" w:fill="auto"/>
            <w:noWrap/>
            <w:vAlign w:val="bottom"/>
            <w:hideMark/>
          </w:tcPr>
          <w:p w14:paraId="6322191E"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3291535B" w14:textId="77777777" w:rsidTr="003057FB">
        <w:trPr>
          <w:trHeight w:val="256"/>
        </w:trPr>
        <w:tc>
          <w:tcPr>
            <w:tcW w:w="0" w:type="auto"/>
            <w:tcBorders>
              <w:top w:val="nil"/>
              <w:left w:val="nil"/>
              <w:bottom w:val="nil"/>
              <w:right w:val="nil"/>
            </w:tcBorders>
            <w:shd w:val="clear" w:color="auto" w:fill="auto"/>
            <w:noWrap/>
            <w:vAlign w:val="bottom"/>
            <w:hideMark/>
          </w:tcPr>
          <w:p w14:paraId="2EB4E6D5" w14:textId="77777777" w:rsidR="00B9311E" w:rsidRPr="00BD77D8" w:rsidRDefault="00B9311E" w:rsidP="00B9311E">
            <w:pPr>
              <w:spacing w:after="0" w:line="240" w:lineRule="auto"/>
              <w:rPr>
                <w:sz w:val="18"/>
                <w:szCs w:val="18"/>
              </w:rPr>
            </w:pPr>
            <w:r w:rsidRPr="00BD77D8">
              <w:rPr>
                <w:sz w:val="18"/>
                <w:szCs w:val="18"/>
              </w:rPr>
              <w:t>Budgeted appropriation revenue</w:t>
            </w:r>
          </w:p>
        </w:tc>
        <w:tc>
          <w:tcPr>
            <w:tcW w:w="0" w:type="auto"/>
            <w:tcBorders>
              <w:top w:val="nil"/>
              <w:left w:val="nil"/>
              <w:bottom w:val="nil"/>
              <w:right w:val="nil"/>
            </w:tcBorders>
            <w:shd w:val="clear" w:color="auto" w:fill="auto"/>
            <w:vAlign w:val="center"/>
            <w:hideMark/>
          </w:tcPr>
          <w:p w14:paraId="6D08383E" w14:textId="77777777" w:rsidR="00B9311E" w:rsidRPr="00BD77D8" w:rsidRDefault="00B9311E" w:rsidP="00B9311E">
            <w:pPr>
              <w:spacing w:after="0" w:line="240" w:lineRule="auto"/>
              <w:jc w:val="right"/>
              <w:rPr>
                <w:sz w:val="18"/>
                <w:szCs w:val="18"/>
              </w:rPr>
            </w:pPr>
            <w:r w:rsidRPr="00BD77D8">
              <w:rPr>
                <w:sz w:val="18"/>
                <w:szCs w:val="18"/>
              </w:rPr>
              <w:t xml:space="preserve">     295,216 </w:t>
            </w:r>
          </w:p>
        </w:tc>
        <w:tc>
          <w:tcPr>
            <w:tcW w:w="1308" w:type="dxa"/>
            <w:tcBorders>
              <w:top w:val="nil"/>
              <w:left w:val="nil"/>
              <w:bottom w:val="nil"/>
              <w:right w:val="nil"/>
            </w:tcBorders>
            <w:shd w:val="clear" w:color="auto" w:fill="auto"/>
            <w:vAlign w:val="center"/>
            <w:hideMark/>
          </w:tcPr>
          <w:p w14:paraId="6F628B92" w14:textId="77777777" w:rsidR="00B9311E" w:rsidRPr="00BD77D8" w:rsidRDefault="00B9311E" w:rsidP="00B9311E">
            <w:pPr>
              <w:spacing w:after="0" w:line="240" w:lineRule="auto"/>
              <w:jc w:val="right"/>
              <w:rPr>
                <w:sz w:val="18"/>
                <w:szCs w:val="18"/>
              </w:rPr>
            </w:pPr>
            <w:r w:rsidRPr="00BD77D8">
              <w:rPr>
                <w:sz w:val="18"/>
                <w:szCs w:val="18"/>
              </w:rPr>
              <w:t xml:space="preserve">     328,408 </w:t>
            </w:r>
          </w:p>
        </w:tc>
      </w:tr>
      <w:tr w:rsidR="00BD77D8" w:rsidRPr="00BD77D8" w14:paraId="6CB8700C" w14:textId="77777777" w:rsidTr="003057FB">
        <w:trPr>
          <w:trHeight w:val="256"/>
        </w:trPr>
        <w:tc>
          <w:tcPr>
            <w:tcW w:w="0" w:type="auto"/>
            <w:tcBorders>
              <w:top w:val="nil"/>
              <w:left w:val="nil"/>
              <w:bottom w:val="nil"/>
              <w:right w:val="nil"/>
            </w:tcBorders>
            <w:shd w:val="clear" w:color="auto" w:fill="auto"/>
            <w:noWrap/>
            <w:vAlign w:val="bottom"/>
            <w:hideMark/>
          </w:tcPr>
          <w:p w14:paraId="0C379285" w14:textId="77777777" w:rsidR="00B9311E" w:rsidRPr="00BD77D8" w:rsidRDefault="00B9311E" w:rsidP="00B9311E">
            <w:pPr>
              <w:spacing w:after="0" w:line="240" w:lineRule="auto"/>
              <w:rPr>
                <w:sz w:val="18"/>
                <w:szCs w:val="18"/>
              </w:rPr>
            </w:pPr>
            <w:r w:rsidRPr="00BD77D8">
              <w:rPr>
                <w:sz w:val="18"/>
                <w:szCs w:val="18"/>
              </w:rPr>
              <w:t>Treasurer's transfers</w:t>
            </w:r>
          </w:p>
        </w:tc>
        <w:tc>
          <w:tcPr>
            <w:tcW w:w="0" w:type="auto"/>
            <w:tcBorders>
              <w:top w:val="nil"/>
              <w:left w:val="nil"/>
              <w:bottom w:val="nil"/>
              <w:right w:val="nil"/>
            </w:tcBorders>
            <w:shd w:val="clear" w:color="auto" w:fill="auto"/>
            <w:vAlign w:val="center"/>
            <w:hideMark/>
          </w:tcPr>
          <w:p w14:paraId="4AFC9E3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08" w:type="dxa"/>
            <w:tcBorders>
              <w:top w:val="nil"/>
              <w:left w:val="nil"/>
              <w:bottom w:val="nil"/>
              <w:right w:val="nil"/>
            </w:tcBorders>
            <w:shd w:val="clear" w:color="auto" w:fill="auto"/>
            <w:vAlign w:val="center"/>
            <w:hideMark/>
          </w:tcPr>
          <w:p w14:paraId="584F13D3" w14:textId="77777777" w:rsidR="00B9311E" w:rsidRPr="00BD77D8" w:rsidRDefault="00B9311E" w:rsidP="00B9311E">
            <w:pPr>
              <w:spacing w:after="0" w:line="240" w:lineRule="auto"/>
              <w:jc w:val="right"/>
              <w:rPr>
                <w:sz w:val="18"/>
                <w:szCs w:val="18"/>
              </w:rPr>
            </w:pPr>
            <w:r w:rsidRPr="00BD77D8">
              <w:rPr>
                <w:sz w:val="18"/>
                <w:szCs w:val="18"/>
              </w:rPr>
              <w:t xml:space="preserve">        (5,520)</w:t>
            </w:r>
          </w:p>
        </w:tc>
      </w:tr>
      <w:tr w:rsidR="00BD77D8" w:rsidRPr="00BD77D8" w14:paraId="37292CE0" w14:textId="77777777" w:rsidTr="003057FB">
        <w:trPr>
          <w:trHeight w:val="256"/>
        </w:trPr>
        <w:tc>
          <w:tcPr>
            <w:tcW w:w="0" w:type="auto"/>
            <w:tcBorders>
              <w:top w:val="nil"/>
              <w:left w:val="nil"/>
              <w:bottom w:val="nil"/>
              <w:right w:val="nil"/>
            </w:tcBorders>
            <w:shd w:val="clear" w:color="auto" w:fill="auto"/>
            <w:noWrap/>
            <w:vAlign w:val="bottom"/>
            <w:hideMark/>
          </w:tcPr>
          <w:p w14:paraId="7AAF79DC" w14:textId="77777777" w:rsidR="00B9311E" w:rsidRPr="00BD77D8" w:rsidRDefault="00B9311E" w:rsidP="00B9311E">
            <w:pPr>
              <w:spacing w:after="0" w:line="240" w:lineRule="auto"/>
              <w:rPr>
                <w:sz w:val="18"/>
                <w:szCs w:val="18"/>
              </w:rPr>
            </w:pPr>
            <w:r w:rsidRPr="00BD77D8">
              <w:rPr>
                <w:sz w:val="18"/>
                <w:szCs w:val="18"/>
              </w:rPr>
              <w:t>Lapsed appropriation revenue</w:t>
            </w:r>
          </w:p>
        </w:tc>
        <w:tc>
          <w:tcPr>
            <w:tcW w:w="0" w:type="auto"/>
            <w:tcBorders>
              <w:top w:val="nil"/>
              <w:left w:val="nil"/>
              <w:bottom w:val="nil"/>
              <w:right w:val="nil"/>
            </w:tcBorders>
            <w:shd w:val="clear" w:color="auto" w:fill="auto"/>
            <w:vAlign w:val="center"/>
            <w:hideMark/>
          </w:tcPr>
          <w:p w14:paraId="38E2F6B7" w14:textId="77777777" w:rsidR="00B9311E" w:rsidRPr="00BD77D8" w:rsidRDefault="00B9311E" w:rsidP="00B9311E">
            <w:pPr>
              <w:spacing w:after="0" w:line="240" w:lineRule="auto"/>
              <w:jc w:val="right"/>
              <w:rPr>
                <w:sz w:val="18"/>
                <w:szCs w:val="18"/>
              </w:rPr>
            </w:pPr>
            <w:r w:rsidRPr="00BD77D8">
              <w:rPr>
                <w:sz w:val="18"/>
                <w:szCs w:val="18"/>
              </w:rPr>
              <w:t xml:space="preserve">      (20,675)</w:t>
            </w:r>
          </w:p>
        </w:tc>
        <w:tc>
          <w:tcPr>
            <w:tcW w:w="1308" w:type="dxa"/>
            <w:tcBorders>
              <w:top w:val="nil"/>
              <w:left w:val="nil"/>
              <w:bottom w:val="nil"/>
              <w:right w:val="nil"/>
            </w:tcBorders>
            <w:shd w:val="clear" w:color="auto" w:fill="auto"/>
            <w:vAlign w:val="center"/>
            <w:hideMark/>
          </w:tcPr>
          <w:p w14:paraId="761FA5D1" w14:textId="77777777" w:rsidR="00B9311E" w:rsidRPr="00BD77D8" w:rsidRDefault="00B9311E" w:rsidP="00B9311E">
            <w:pPr>
              <w:spacing w:after="0" w:line="240" w:lineRule="auto"/>
              <w:jc w:val="right"/>
              <w:rPr>
                <w:sz w:val="18"/>
                <w:szCs w:val="18"/>
              </w:rPr>
            </w:pPr>
            <w:r w:rsidRPr="00BD77D8">
              <w:rPr>
                <w:sz w:val="18"/>
                <w:szCs w:val="18"/>
              </w:rPr>
              <w:t xml:space="preserve">        (6,262)</w:t>
            </w:r>
          </w:p>
        </w:tc>
      </w:tr>
      <w:tr w:rsidR="00BD77D8" w:rsidRPr="00BD77D8" w14:paraId="25A52774" w14:textId="77777777" w:rsidTr="003057FB">
        <w:trPr>
          <w:trHeight w:val="256"/>
        </w:trPr>
        <w:tc>
          <w:tcPr>
            <w:tcW w:w="0" w:type="auto"/>
            <w:tcBorders>
              <w:top w:val="nil"/>
              <w:left w:val="nil"/>
              <w:bottom w:val="nil"/>
              <w:right w:val="nil"/>
            </w:tcBorders>
            <w:shd w:val="clear" w:color="auto" w:fill="auto"/>
            <w:noWrap/>
            <w:vAlign w:val="bottom"/>
            <w:hideMark/>
          </w:tcPr>
          <w:p w14:paraId="41AB6138" w14:textId="77777777" w:rsidR="00B9311E" w:rsidRPr="00BD77D8" w:rsidRDefault="00B9311E" w:rsidP="00B9311E">
            <w:pPr>
              <w:spacing w:after="0" w:line="240" w:lineRule="auto"/>
              <w:rPr>
                <w:b/>
                <w:bCs/>
                <w:sz w:val="18"/>
                <w:szCs w:val="18"/>
              </w:rPr>
            </w:pPr>
            <w:r w:rsidRPr="00BD77D8">
              <w:rPr>
                <w:b/>
                <w:bCs/>
                <w:sz w:val="18"/>
                <w:szCs w:val="18"/>
              </w:rPr>
              <w:t>Total Appropriation Receipts (cash)</w:t>
            </w:r>
          </w:p>
        </w:tc>
        <w:tc>
          <w:tcPr>
            <w:tcW w:w="0" w:type="auto"/>
            <w:tcBorders>
              <w:top w:val="single" w:sz="4" w:space="0" w:color="auto"/>
              <w:left w:val="nil"/>
              <w:bottom w:val="single" w:sz="4" w:space="0" w:color="auto"/>
              <w:right w:val="nil"/>
            </w:tcBorders>
            <w:shd w:val="clear" w:color="auto" w:fill="auto"/>
            <w:vAlign w:val="center"/>
            <w:hideMark/>
          </w:tcPr>
          <w:p w14:paraId="66BD84FF" w14:textId="77777777" w:rsidR="00B9311E" w:rsidRPr="00BD77D8" w:rsidRDefault="00B9311E" w:rsidP="00B9311E">
            <w:pPr>
              <w:spacing w:after="0" w:line="240" w:lineRule="auto"/>
              <w:jc w:val="right"/>
              <w:rPr>
                <w:b/>
                <w:bCs/>
                <w:sz w:val="18"/>
                <w:szCs w:val="18"/>
              </w:rPr>
            </w:pPr>
            <w:r w:rsidRPr="00BD77D8">
              <w:rPr>
                <w:b/>
                <w:bCs/>
                <w:sz w:val="18"/>
                <w:szCs w:val="18"/>
              </w:rPr>
              <w:t xml:space="preserve">     274,541 </w:t>
            </w:r>
          </w:p>
        </w:tc>
        <w:tc>
          <w:tcPr>
            <w:tcW w:w="1308" w:type="dxa"/>
            <w:tcBorders>
              <w:top w:val="single" w:sz="4" w:space="0" w:color="auto"/>
              <w:left w:val="nil"/>
              <w:bottom w:val="single" w:sz="4" w:space="0" w:color="auto"/>
              <w:right w:val="nil"/>
            </w:tcBorders>
            <w:shd w:val="clear" w:color="auto" w:fill="auto"/>
            <w:vAlign w:val="center"/>
            <w:hideMark/>
          </w:tcPr>
          <w:p w14:paraId="0FA41ACF" w14:textId="77777777" w:rsidR="00B9311E" w:rsidRPr="00BD77D8" w:rsidRDefault="00B9311E" w:rsidP="00B9311E">
            <w:pPr>
              <w:spacing w:after="0" w:line="240" w:lineRule="auto"/>
              <w:jc w:val="right"/>
              <w:rPr>
                <w:b/>
                <w:bCs/>
                <w:sz w:val="18"/>
                <w:szCs w:val="18"/>
              </w:rPr>
            </w:pPr>
            <w:r w:rsidRPr="00BD77D8">
              <w:rPr>
                <w:b/>
                <w:bCs/>
                <w:sz w:val="18"/>
                <w:szCs w:val="18"/>
              </w:rPr>
              <w:t xml:space="preserve">     316,626 </w:t>
            </w:r>
          </w:p>
        </w:tc>
      </w:tr>
      <w:tr w:rsidR="00BD77D8" w:rsidRPr="00BD77D8" w14:paraId="17739412" w14:textId="77777777" w:rsidTr="003057FB">
        <w:trPr>
          <w:trHeight w:val="256"/>
        </w:trPr>
        <w:tc>
          <w:tcPr>
            <w:tcW w:w="0" w:type="auto"/>
            <w:tcBorders>
              <w:top w:val="nil"/>
              <w:left w:val="nil"/>
              <w:bottom w:val="nil"/>
              <w:right w:val="nil"/>
            </w:tcBorders>
            <w:shd w:val="clear" w:color="auto" w:fill="auto"/>
            <w:noWrap/>
            <w:vAlign w:val="bottom"/>
            <w:hideMark/>
          </w:tcPr>
          <w:p w14:paraId="4BE76615"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center"/>
            <w:hideMark/>
          </w:tcPr>
          <w:p w14:paraId="0743FE69" w14:textId="77777777" w:rsidR="00B9311E" w:rsidRPr="00BD77D8" w:rsidRDefault="00B9311E" w:rsidP="00B9311E">
            <w:pPr>
              <w:spacing w:after="0" w:line="240" w:lineRule="auto"/>
              <w:rPr>
                <w:rFonts w:ascii="Times New Roman" w:hAnsi="Times New Roman" w:cs="Times New Roman"/>
                <w:sz w:val="20"/>
                <w:szCs w:val="20"/>
              </w:rPr>
            </w:pPr>
          </w:p>
        </w:tc>
        <w:tc>
          <w:tcPr>
            <w:tcW w:w="1308" w:type="dxa"/>
            <w:tcBorders>
              <w:top w:val="nil"/>
              <w:left w:val="nil"/>
              <w:bottom w:val="nil"/>
              <w:right w:val="nil"/>
            </w:tcBorders>
            <w:shd w:val="clear" w:color="auto" w:fill="auto"/>
            <w:vAlign w:val="center"/>
            <w:hideMark/>
          </w:tcPr>
          <w:p w14:paraId="5683C042"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2876F9EC" w14:textId="77777777" w:rsidTr="003057FB">
        <w:trPr>
          <w:trHeight w:val="256"/>
        </w:trPr>
        <w:tc>
          <w:tcPr>
            <w:tcW w:w="0" w:type="auto"/>
            <w:tcBorders>
              <w:top w:val="nil"/>
              <w:left w:val="nil"/>
              <w:bottom w:val="nil"/>
              <w:right w:val="nil"/>
            </w:tcBorders>
            <w:shd w:val="clear" w:color="auto" w:fill="auto"/>
            <w:noWrap/>
            <w:vAlign w:val="bottom"/>
            <w:hideMark/>
          </w:tcPr>
          <w:p w14:paraId="48044630"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center"/>
            <w:hideMark/>
          </w:tcPr>
          <w:p w14:paraId="67057C7F" w14:textId="77777777" w:rsidR="00B9311E" w:rsidRPr="00BD77D8" w:rsidRDefault="00B9311E" w:rsidP="00B9311E">
            <w:pPr>
              <w:spacing w:after="0" w:line="240" w:lineRule="auto"/>
              <w:rPr>
                <w:rFonts w:ascii="Times New Roman" w:hAnsi="Times New Roman" w:cs="Times New Roman"/>
                <w:sz w:val="20"/>
                <w:szCs w:val="20"/>
              </w:rPr>
            </w:pPr>
          </w:p>
        </w:tc>
        <w:tc>
          <w:tcPr>
            <w:tcW w:w="1308" w:type="dxa"/>
            <w:tcBorders>
              <w:top w:val="nil"/>
              <w:left w:val="nil"/>
              <w:bottom w:val="nil"/>
              <w:right w:val="nil"/>
            </w:tcBorders>
            <w:shd w:val="clear" w:color="auto" w:fill="auto"/>
            <w:vAlign w:val="center"/>
            <w:hideMark/>
          </w:tcPr>
          <w:p w14:paraId="588604E7"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704A9690" w14:textId="77777777" w:rsidTr="003057FB">
        <w:trPr>
          <w:trHeight w:val="256"/>
        </w:trPr>
        <w:tc>
          <w:tcPr>
            <w:tcW w:w="0" w:type="auto"/>
            <w:tcBorders>
              <w:top w:val="nil"/>
              <w:left w:val="nil"/>
              <w:bottom w:val="nil"/>
              <w:right w:val="nil"/>
            </w:tcBorders>
            <w:shd w:val="clear" w:color="auto" w:fill="auto"/>
            <w:noWrap/>
            <w:vAlign w:val="bottom"/>
            <w:hideMark/>
          </w:tcPr>
          <w:p w14:paraId="775E8AB4" w14:textId="77777777" w:rsidR="00B9311E" w:rsidRPr="00BD77D8" w:rsidRDefault="00B9311E" w:rsidP="00B9311E">
            <w:pPr>
              <w:spacing w:after="0" w:line="240" w:lineRule="auto"/>
              <w:rPr>
                <w:sz w:val="18"/>
                <w:szCs w:val="18"/>
              </w:rPr>
            </w:pPr>
            <w:r w:rsidRPr="00BD77D8">
              <w:rPr>
                <w:sz w:val="18"/>
                <w:szCs w:val="18"/>
              </w:rPr>
              <w:t>Plus: Opening balance of departmental services revenue payable</w:t>
            </w:r>
          </w:p>
        </w:tc>
        <w:tc>
          <w:tcPr>
            <w:tcW w:w="0" w:type="auto"/>
            <w:tcBorders>
              <w:top w:val="nil"/>
              <w:left w:val="nil"/>
              <w:bottom w:val="nil"/>
              <w:right w:val="nil"/>
            </w:tcBorders>
            <w:shd w:val="clear" w:color="auto" w:fill="auto"/>
            <w:vAlign w:val="center"/>
            <w:hideMark/>
          </w:tcPr>
          <w:p w14:paraId="00FC0F89" w14:textId="77777777" w:rsidR="00B9311E" w:rsidRPr="00BD77D8" w:rsidRDefault="00B9311E" w:rsidP="00B9311E">
            <w:pPr>
              <w:spacing w:after="0" w:line="240" w:lineRule="auto"/>
              <w:jc w:val="right"/>
              <w:rPr>
                <w:sz w:val="18"/>
                <w:szCs w:val="18"/>
              </w:rPr>
            </w:pPr>
            <w:r w:rsidRPr="00BD77D8">
              <w:rPr>
                <w:sz w:val="18"/>
                <w:szCs w:val="18"/>
              </w:rPr>
              <w:t xml:space="preserve">       28,263 </w:t>
            </w:r>
          </w:p>
        </w:tc>
        <w:tc>
          <w:tcPr>
            <w:tcW w:w="1308" w:type="dxa"/>
            <w:tcBorders>
              <w:top w:val="nil"/>
              <w:left w:val="nil"/>
              <w:bottom w:val="nil"/>
              <w:right w:val="nil"/>
            </w:tcBorders>
            <w:shd w:val="clear" w:color="auto" w:fill="auto"/>
            <w:vAlign w:val="center"/>
            <w:hideMark/>
          </w:tcPr>
          <w:p w14:paraId="60EC9CDC" w14:textId="77777777" w:rsidR="00B9311E" w:rsidRPr="00BD77D8" w:rsidRDefault="00B9311E" w:rsidP="00B9311E">
            <w:pPr>
              <w:spacing w:after="0" w:line="240" w:lineRule="auto"/>
              <w:jc w:val="right"/>
              <w:rPr>
                <w:sz w:val="18"/>
                <w:szCs w:val="18"/>
              </w:rPr>
            </w:pPr>
            <w:r w:rsidRPr="00BD77D8">
              <w:rPr>
                <w:sz w:val="18"/>
                <w:szCs w:val="18"/>
              </w:rPr>
              <w:t xml:space="preserve">       21,652 </w:t>
            </w:r>
          </w:p>
        </w:tc>
      </w:tr>
      <w:tr w:rsidR="00BD77D8" w:rsidRPr="00BD77D8" w14:paraId="0EC089B7" w14:textId="77777777" w:rsidTr="003057FB">
        <w:trPr>
          <w:trHeight w:val="256"/>
        </w:trPr>
        <w:tc>
          <w:tcPr>
            <w:tcW w:w="0" w:type="auto"/>
            <w:tcBorders>
              <w:top w:val="nil"/>
              <w:left w:val="nil"/>
              <w:bottom w:val="nil"/>
              <w:right w:val="nil"/>
            </w:tcBorders>
            <w:shd w:val="clear" w:color="auto" w:fill="auto"/>
            <w:noWrap/>
            <w:vAlign w:val="bottom"/>
            <w:hideMark/>
          </w:tcPr>
          <w:p w14:paraId="787EF42A" w14:textId="77777777" w:rsidR="00B9311E" w:rsidRPr="00BD77D8" w:rsidRDefault="00B9311E" w:rsidP="00B9311E">
            <w:pPr>
              <w:spacing w:after="0" w:line="240" w:lineRule="auto"/>
              <w:rPr>
                <w:sz w:val="18"/>
                <w:szCs w:val="18"/>
              </w:rPr>
            </w:pPr>
            <w:r w:rsidRPr="00BD77D8">
              <w:rPr>
                <w:sz w:val="18"/>
                <w:szCs w:val="18"/>
              </w:rPr>
              <w:t>Adjustment for Machinery-of-Government transfer</w:t>
            </w:r>
          </w:p>
        </w:tc>
        <w:tc>
          <w:tcPr>
            <w:tcW w:w="0" w:type="auto"/>
            <w:tcBorders>
              <w:top w:val="nil"/>
              <w:left w:val="nil"/>
              <w:bottom w:val="nil"/>
              <w:right w:val="nil"/>
            </w:tcBorders>
            <w:shd w:val="clear" w:color="auto" w:fill="auto"/>
            <w:vAlign w:val="center"/>
            <w:hideMark/>
          </w:tcPr>
          <w:p w14:paraId="3969F82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08" w:type="dxa"/>
            <w:tcBorders>
              <w:top w:val="nil"/>
              <w:left w:val="nil"/>
              <w:bottom w:val="nil"/>
              <w:right w:val="nil"/>
            </w:tcBorders>
            <w:shd w:val="clear" w:color="auto" w:fill="auto"/>
            <w:vAlign w:val="center"/>
            <w:hideMark/>
          </w:tcPr>
          <w:p w14:paraId="3161C49D" w14:textId="77777777" w:rsidR="00B9311E" w:rsidRPr="00BD77D8" w:rsidRDefault="00B9311E" w:rsidP="00B9311E">
            <w:pPr>
              <w:spacing w:after="0" w:line="240" w:lineRule="auto"/>
              <w:jc w:val="right"/>
              <w:rPr>
                <w:sz w:val="18"/>
                <w:szCs w:val="18"/>
              </w:rPr>
            </w:pPr>
            <w:r w:rsidRPr="00BD77D8">
              <w:rPr>
                <w:sz w:val="18"/>
                <w:szCs w:val="18"/>
              </w:rPr>
              <w:t xml:space="preserve">       10,721 </w:t>
            </w:r>
          </w:p>
        </w:tc>
      </w:tr>
      <w:tr w:rsidR="00BD77D8" w:rsidRPr="00BD77D8" w14:paraId="57D69F97" w14:textId="77777777" w:rsidTr="003057FB">
        <w:trPr>
          <w:trHeight w:val="256"/>
        </w:trPr>
        <w:tc>
          <w:tcPr>
            <w:tcW w:w="0" w:type="auto"/>
            <w:tcBorders>
              <w:top w:val="nil"/>
              <w:left w:val="nil"/>
              <w:bottom w:val="nil"/>
              <w:right w:val="nil"/>
            </w:tcBorders>
            <w:shd w:val="clear" w:color="auto" w:fill="auto"/>
            <w:noWrap/>
            <w:vAlign w:val="bottom"/>
            <w:hideMark/>
          </w:tcPr>
          <w:p w14:paraId="0B6FDA52" w14:textId="77777777" w:rsidR="00B9311E" w:rsidRPr="00BD77D8" w:rsidRDefault="00B9311E" w:rsidP="00B9311E">
            <w:pPr>
              <w:spacing w:after="0" w:line="240" w:lineRule="auto"/>
              <w:rPr>
                <w:sz w:val="18"/>
                <w:szCs w:val="18"/>
              </w:rPr>
            </w:pPr>
            <w:r w:rsidRPr="00BD77D8">
              <w:rPr>
                <w:sz w:val="18"/>
                <w:szCs w:val="18"/>
              </w:rPr>
              <w:t>Less: Closing balance of departmental services revenue payable</w:t>
            </w:r>
          </w:p>
        </w:tc>
        <w:tc>
          <w:tcPr>
            <w:tcW w:w="0" w:type="auto"/>
            <w:tcBorders>
              <w:top w:val="nil"/>
              <w:left w:val="nil"/>
              <w:bottom w:val="single" w:sz="4" w:space="0" w:color="auto"/>
              <w:right w:val="nil"/>
            </w:tcBorders>
            <w:shd w:val="clear" w:color="auto" w:fill="auto"/>
            <w:vAlign w:val="center"/>
            <w:hideMark/>
          </w:tcPr>
          <w:p w14:paraId="5D172F0A" w14:textId="77777777" w:rsidR="00B9311E" w:rsidRPr="00BD77D8" w:rsidRDefault="00B9311E" w:rsidP="00B9311E">
            <w:pPr>
              <w:spacing w:after="0" w:line="240" w:lineRule="auto"/>
              <w:jc w:val="right"/>
              <w:rPr>
                <w:sz w:val="18"/>
                <w:szCs w:val="18"/>
              </w:rPr>
            </w:pPr>
            <w:r w:rsidRPr="00BD77D8">
              <w:rPr>
                <w:sz w:val="18"/>
                <w:szCs w:val="18"/>
              </w:rPr>
              <w:t xml:space="preserve">      (19,836)</w:t>
            </w:r>
          </w:p>
        </w:tc>
        <w:tc>
          <w:tcPr>
            <w:tcW w:w="1308" w:type="dxa"/>
            <w:tcBorders>
              <w:top w:val="nil"/>
              <w:left w:val="nil"/>
              <w:bottom w:val="single" w:sz="4" w:space="0" w:color="auto"/>
              <w:right w:val="nil"/>
            </w:tcBorders>
            <w:shd w:val="clear" w:color="auto" w:fill="auto"/>
            <w:vAlign w:val="center"/>
            <w:hideMark/>
          </w:tcPr>
          <w:p w14:paraId="5D7475C3" w14:textId="77777777" w:rsidR="00B9311E" w:rsidRPr="00BD77D8" w:rsidRDefault="00B9311E" w:rsidP="00B9311E">
            <w:pPr>
              <w:spacing w:after="0" w:line="240" w:lineRule="auto"/>
              <w:jc w:val="right"/>
              <w:rPr>
                <w:sz w:val="18"/>
                <w:szCs w:val="18"/>
              </w:rPr>
            </w:pPr>
            <w:r w:rsidRPr="00BD77D8">
              <w:rPr>
                <w:sz w:val="18"/>
                <w:szCs w:val="18"/>
              </w:rPr>
              <w:t xml:space="preserve">      (28,263)</w:t>
            </w:r>
          </w:p>
        </w:tc>
      </w:tr>
      <w:tr w:rsidR="00BD77D8" w:rsidRPr="00BD77D8" w14:paraId="6693A56C" w14:textId="77777777" w:rsidTr="003057FB">
        <w:trPr>
          <w:trHeight w:val="256"/>
        </w:trPr>
        <w:tc>
          <w:tcPr>
            <w:tcW w:w="0" w:type="auto"/>
            <w:tcBorders>
              <w:top w:val="nil"/>
              <w:left w:val="nil"/>
              <w:bottom w:val="nil"/>
              <w:right w:val="nil"/>
            </w:tcBorders>
            <w:shd w:val="clear" w:color="auto" w:fill="auto"/>
            <w:noWrap/>
            <w:vAlign w:val="bottom"/>
            <w:hideMark/>
          </w:tcPr>
          <w:p w14:paraId="5FB55751" w14:textId="77777777" w:rsidR="00B9311E" w:rsidRPr="00BD77D8" w:rsidRDefault="00B9311E" w:rsidP="00B9311E">
            <w:pPr>
              <w:spacing w:after="0" w:line="240" w:lineRule="auto"/>
              <w:rPr>
                <w:b/>
                <w:bCs/>
                <w:sz w:val="18"/>
                <w:szCs w:val="18"/>
              </w:rPr>
            </w:pPr>
            <w:r w:rsidRPr="00BD77D8">
              <w:rPr>
                <w:b/>
                <w:bCs/>
                <w:sz w:val="18"/>
                <w:szCs w:val="18"/>
              </w:rPr>
              <w:t>Net Appropriation Revenue</w:t>
            </w:r>
          </w:p>
        </w:tc>
        <w:tc>
          <w:tcPr>
            <w:tcW w:w="0" w:type="auto"/>
            <w:tcBorders>
              <w:top w:val="single" w:sz="4" w:space="0" w:color="auto"/>
              <w:left w:val="nil"/>
              <w:bottom w:val="single" w:sz="4" w:space="0" w:color="auto"/>
              <w:right w:val="nil"/>
            </w:tcBorders>
            <w:shd w:val="clear" w:color="auto" w:fill="auto"/>
            <w:vAlign w:val="center"/>
            <w:hideMark/>
          </w:tcPr>
          <w:p w14:paraId="4AE3BB1B" w14:textId="77777777" w:rsidR="00B9311E" w:rsidRPr="00BD77D8" w:rsidRDefault="00B9311E" w:rsidP="00B9311E">
            <w:pPr>
              <w:spacing w:after="0" w:line="240" w:lineRule="auto"/>
              <w:jc w:val="right"/>
              <w:rPr>
                <w:b/>
                <w:bCs/>
                <w:sz w:val="18"/>
                <w:szCs w:val="18"/>
              </w:rPr>
            </w:pPr>
            <w:r w:rsidRPr="00BD77D8">
              <w:rPr>
                <w:b/>
                <w:bCs/>
                <w:sz w:val="18"/>
                <w:szCs w:val="18"/>
              </w:rPr>
              <w:t xml:space="preserve">     282,968 </w:t>
            </w:r>
          </w:p>
        </w:tc>
        <w:tc>
          <w:tcPr>
            <w:tcW w:w="1308" w:type="dxa"/>
            <w:tcBorders>
              <w:top w:val="single" w:sz="4" w:space="0" w:color="auto"/>
              <w:left w:val="nil"/>
              <w:bottom w:val="single" w:sz="4" w:space="0" w:color="auto"/>
              <w:right w:val="nil"/>
            </w:tcBorders>
            <w:shd w:val="clear" w:color="auto" w:fill="auto"/>
            <w:vAlign w:val="center"/>
            <w:hideMark/>
          </w:tcPr>
          <w:p w14:paraId="1D8DDE3E" w14:textId="77777777" w:rsidR="00B9311E" w:rsidRPr="00BD77D8" w:rsidRDefault="00B9311E" w:rsidP="00B9311E">
            <w:pPr>
              <w:spacing w:after="0" w:line="240" w:lineRule="auto"/>
              <w:jc w:val="right"/>
              <w:rPr>
                <w:b/>
                <w:bCs/>
                <w:sz w:val="18"/>
                <w:szCs w:val="18"/>
              </w:rPr>
            </w:pPr>
            <w:r w:rsidRPr="00BD77D8">
              <w:rPr>
                <w:b/>
                <w:bCs/>
                <w:sz w:val="18"/>
                <w:szCs w:val="18"/>
              </w:rPr>
              <w:t xml:space="preserve">     320,736 </w:t>
            </w:r>
          </w:p>
        </w:tc>
      </w:tr>
      <w:tr w:rsidR="00BD77D8" w:rsidRPr="00BD77D8" w14:paraId="43C92EC9" w14:textId="77777777" w:rsidTr="003057FB">
        <w:trPr>
          <w:trHeight w:val="256"/>
        </w:trPr>
        <w:tc>
          <w:tcPr>
            <w:tcW w:w="0" w:type="auto"/>
            <w:tcBorders>
              <w:top w:val="nil"/>
              <w:left w:val="nil"/>
              <w:bottom w:val="nil"/>
              <w:right w:val="nil"/>
            </w:tcBorders>
            <w:shd w:val="clear" w:color="auto" w:fill="auto"/>
            <w:noWrap/>
            <w:vAlign w:val="bottom"/>
            <w:hideMark/>
          </w:tcPr>
          <w:p w14:paraId="493E0337"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center"/>
            <w:hideMark/>
          </w:tcPr>
          <w:p w14:paraId="6B0E2CCB" w14:textId="77777777" w:rsidR="00B9311E" w:rsidRPr="00BD77D8" w:rsidRDefault="00B9311E" w:rsidP="00B9311E">
            <w:pPr>
              <w:spacing w:after="0" w:line="240" w:lineRule="auto"/>
              <w:rPr>
                <w:rFonts w:ascii="Times New Roman" w:hAnsi="Times New Roman" w:cs="Times New Roman"/>
                <w:sz w:val="20"/>
                <w:szCs w:val="20"/>
              </w:rPr>
            </w:pPr>
          </w:p>
        </w:tc>
        <w:tc>
          <w:tcPr>
            <w:tcW w:w="1308" w:type="dxa"/>
            <w:tcBorders>
              <w:top w:val="nil"/>
              <w:left w:val="nil"/>
              <w:bottom w:val="nil"/>
              <w:right w:val="nil"/>
            </w:tcBorders>
            <w:shd w:val="clear" w:color="auto" w:fill="auto"/>
            <w:vAlign w:val="center"/>
            <w:hideMark/>
          </w:tcPr>
          <w:p w14:paraId="19D96375"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5CCACDF3" w14:textId="77777777" w:rsidTr="003057FB">
        <w:trPr>
          <w:trHeight w:val="256"/>
        </w:trPr>
        <w:tc>
          <w:tcPr>
            <w:tcW w:w="0" w:type="auto"/>
            <w:tcBorders>
              <w:top w:val="nil"/>
              <w:left w:val="nil"/>
              <w:bottom w:val="nil"/>
              <w:right w:val="nil"/>
            </w:tcBorders>
            <w:shd w:val="clear" w:color="auto" w:fill="auto"/>
            <w:noWrap/>
            <w:vAlign w:val="bottom"/>
            <w:hideMark/>
          </w:tcPr>
          <w:p w14:paraId="1814A01A" w14:textId="77777777" w:rsidR="00B9311E" w:rsidRPr="00BD77D8" w:rsidRDefault="00B9311E" w:rsidP="00B9311E">
            <w:pPr>
              <w:spacing w:after="0" w:line="240" w:lineRule="auto"/>
              <w:rPr>
                <w:b/>
                <w:bCs/>
                <w:sz w:val="18"/>
                <w:szCs w:val="18"/>
              </w:rPr>
            </w:pPr>
            <w:r w:rsidRPr="00BD77D8">
              <w:rPr>
                <w:b/>
                <w:bCs/>
                <w:sz w:val="18"/>
                <w:szCs w:val="18"/>
              </w:rPr>
              <w:t>Appropriation Revenue Recognised in Statement of Comprehensive Income</w:t>
            </w:r>
          </w:p>
        </w:tc>
        <w:tc>
          <w:tcPr>
            <w:tcW w:w="0" w:type="auto"/>
            <w:tcBorders>
              <w:top w:val="single" w:sz="4" w:space="0" w:color="auto"/>
              <w:left w:val="nil"/>
              <w:bottom w:val="single" w:sz="4" w:space="0" w:color="auto"/>
              <w:right w:val="nil"/>
            </w:tcBorders>
            <w:shd w:val="clear" w:color="auto" w:fill="auto"/>
            <w:vAlign w:val="center"/>
            <w:hideMark/>
          </w:tcPr>
          <w:p w14:paraId="6A4EB912" w14:textId="77777777" w:rsidR="00B9311E" w:rsidRPr="00BD77D8" w:rsidRDefault="00B9311E" w:rsidP="00B9311E">
            <w:pPr>
              <w:spacing w:after="0" w:line="240" w:lineRule="auto"/>
              <w:jc w:val="right"/>
              <w:rPr>
                <w:b/>
                <w:bCs/>
                <w:sz w:val="18"/>
                <w:szCs w:val="18"/>
              </w:rPr>
            </w:pPr>
            <w:r w:rsidRPr="00BD77D8">
              <w:rPr>
                <w:b/>
                <w:bCs/>
                <w:sz w:val="18"/>
                <w:szCs w:val="18"/>
              </w:rPr>
              <w:t xml:space="preserve">     282,968 </w:t>
            </w:r>
          </w:p>
        </w:tc>
        <w:tc>
          <w:tcPr>
            <w:tcW w:w="1308" w:type="dxa"/>
            <w:tcBorders>
              <w:top w:val="single" w:sz="4" w:space="0" w:color="auto"/>
              <w:left w:val="nil"/>
              <w:bottom w:val="single" w:sz="4" w:space="0" w:color="auto"/>
              <w:right w:val="nil"/>
            </w:tcBorders>
            <w:shd w:val="clear" w:color="auto" w:fill="auto"/>
            <w:vAlign w:val="center"/>
            <w:hideMark/>
          </w:tcPr>
          <w:p w14:paraId="691EC725" w14:textId="77777777" w:rsidR="00B9311E" w:rsidRPr="00BD77D8" w:rsidRDefault="00B9311E" w:rsidP="00B9311E">
            <w:pPr>
              <w:spacing w:after="0" w:line="240" w:lineRule="auto"/>
              <w:jc w:val="right"/>
              <w:rPr>
                <w:b/>
                <w:bCs/>
                <w:sz w:val="18"/>
                <w:szCs w:val="18"/>
              </w:rPr>
            </w:pPr>
            <w:r w:rsidRPr="00BD77D8">
              <w:rPr>
                <w:b/>
                <w:bCs/>
                <w:sz w:val="18"/>
                <w:szCs w:val="18"/>
              </w:rPr>
              <w:t xml:space="preserve">     320,736 </w:t>
            </w:r>
          </w:p>
        </w:tc>
      </w:tr>
    </w:tbl>
    <w:p w14:paraId="3185AAA5" w14:textId="4A7CDF05" w:rsidR="00DE382E" w:rsidRPr="00BD77D8" w:rsidRDefault="00B9311E" w:rsidP="008977D0">
      <w:pPr>
        <w:spacing w:before="240" w:after="0" w:line="240" w:lineRule="auto"/>
        <w:textAlignment w:val="baseline"/>
        <w:rPr>
          <w:rFonts w:eastAsia="Arial"/>
          <w:sz w:val="18"/>
          <w:szCs w:val="18"/>
          <w:lang w:eastAsia="en-US"/>
        </w:rPr>
      </w:pPr>
      <w:r w:rsidRPr="00BD77D8">
        <w:rPr>
          <w:rFonts w:eastAsia="Arial"/>
          <w:sz w:val="16"/>
          <w:szCs w:val="16"/>
          <w:lang w:eastAsia="en-US"/>
        </w:rPr>
        <w:t xml:space="preserve">Appropriations provided under the </w:t>
      </w:r>
      <w:r w:rsidRPr="00BD77D8">
        <w:rPr>
          <w:rFonts w:eastAsia="Arial"/>
          <w:i/>
          <w:iCs/>
          <w:sz w:val="16"/>
          <w:szCs w:val="16"/>
          <w:lang w:eastAsia="en-US"/>
        </w:rPr>
        <w:t>Appropriation Act 2021</w:t>
      </w:r>
      <w:r w:rsidRPr="00BD77D8">
        <w:rPr>
          <w:rFonts w:eastAsia="Arial"/>
          <w:sz w:val="16"/>
          <w:szCs w:val="16"/>
          <w:lang w:eastAsia="en-US"/>
        </w:rPr>
        <w:t xml:space="preserve"> are recognised as revenue when received. Where the department has an obligation to return unspent (or unapplied) appropriation receipts to Consolidated Fund at year end (a deferred appropriation repayable to Consolidated Fund), a liability is recognised with a corresponding reduction to appropriation revenue, reflecting the net appropriation revenue position with Consolidated Fund for the reporting period. Capital appropriations are recognised as adjustments to equity - refer to Note G1-3</w:t>
      </w:r>
      <w:r w:rsidRPr="00BD77D8">
        <w:rPr>
          <w:rFonts w:eastAsia="Arial"/>
          <w:sz w:val="18"/>
          <w:szCs w:val="18"/>
          <w:lang w:eastAsia="en-US"/>
        </w:rPr>
        <w:t>.</w:t>
      </w:r>
    </w:p>
    <w:p w14:paraId="23DBF081" w14:textId="6857950A" w:rsidR="00B9311E" w:rsidRPr="00BD77D8" w:rsidRDefault="00DE382E" w:rsidP="008977D0">
      <w:pPr>
        <w:spacing w:before="3240" w:after="0" w:line="206" w:lineRule="exact"/>
        <w:ind w:right="646"/>
        <w:textAlignment w:val="baseline"/>
        <w:rPr>
          <w:rFonts w:eastAsia="Arial"/>
          <w:spacing w:val="2"/>
          <w:sz w:val="18"/>
          <w:szCs w:val="18"/>
          <w:lang w:eastAsia="en-US"/>
        </w:rPr>
      </w:pP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r>
      <w:r w:rsidRPr="00BD77D8">
        <w:rPr>
          <w:rFonts w:eastAsia="Arial"/>
          <w:spacing w:val="2"/>
          <w:sz w:val="18"/>
          <w:szCs w:val="18"/>
          <w:lang w:eastAsia="en-US"/>
        </w:rPr>
        <w:tab/>
        <w:t>Page 14 of 45</w:t>
      </w:r>
      <w:r w:rsidR="00B9311E" w:rsidRPr="00BD77D8">
        <w:rPr>
          <w:rFonts w:eastAsia="Arial"/>
          <w:spacing w:val="2"/>
          <w:sz w:val="18"/>
          <w:szCs w:val="18"/>
          <w:lang w:eastAsia="en-US"/>
        </w:rPr>
        <w:br w:type="page"/>
      </w:r>
    </w:p>
    <w:p w14:paraId="47A64CA5"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51D7303B"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7621C8D"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9EE3440" w14:textId="77777777" w:rsidR="00B9311E" w:rsidRPr="00BD77D8" w:rsidRDefault="00B9311E" w:rsidP="00B9311E">
      <w:pPr>
        <w:pBdr>
          <w:bottom w:val="single" w:sz="4" w:space="1" w:color="auto"/>
        </w:pBdr>
        <w:spacing w:after="0" w:line="206" w:lineRule="exact"/>
        <w:textAlignment w:val="baseline"/>
        <w:rPr>
          <w:rFonts w:eastAsia="Arial"/>
          <w:bCs/>
          <w:sz w:val="18"/>
          <w:szCs w:val="18"/>
          <w:lang w:eastAsia="en-US"/>
        </w:rPr>
      </w:pPr>
    </w:p>
    <w:p w14:paraId="4A00D531" w14:textId="77777777" w:rsidR="00B9311E" w:rsidRPr="00BD77D8" w:rsidRDefault="00B9311E" w:rsidP="00E47A6E">
      <w:pPr>
        <w:spacing w:before="240" w:after="0" w:line="240" w:lineRule="auto"/>
        <w:ind w:right="142"/>
        <w:textAlignment w:val="baseline"/>
        <w:rPr>
          <w:rFonts w:eastAsia="PMingLiU"/>
          <w:b/>
          <w:bCs/>
          <w:sz w:val="18"/>
          <w:szCs w:val="22"/>
          <w:lang w:eastAsia="en-US"/>
        </w:rPr>
      </w:pPr>
      <w:r w:rsidRPr="00BD77D8">
        <w:rPr>
          <w:rFonts w:eastAsia="Arial"/>
          <w:b/>
          <w:bCs/>
          <w:spacing w:val="2"/>
          <w:sz w:val="18"/>
          <w:szCs w:val="18"/>
          <w:lang w:eastAsia="en-US"/>
        </w:rPr>
        <w:t>B1-2 User Charges and Fees</w:t>
      </w:r>
    </w:p>
    <w:tbl>
      <w:tblPr>
        <w:tblW w:w="10352" w:type="dxa"/>
        <w:tblCellMar>
          <w:left w:w="0" w:type="dxa"/>
          <w:right w:w="0" w:type="dxa"/>
        </w:tblCellMar>
        <w:tblLook w:val="04A0" w:firstRow="1" w:lastRow="0" w:firstColumn="1" w:lastColumn="0" w:noHBand="0" w:noVBand="1"/>
      </w:tblPr>
      <w:tblGrid>
        <w:gridCol w:w="8600"/>
        <w:gridCol w:w="881"/>
        <w:gridCol w:w="871"/>
      </w:tblGrid>
      <w:tr w:rsidR="00BD77D8" w:rsidRPr="00BD77D8" w14:paraId="5D65F3FE" w14:textId="77777777" w:rsidTr="003057FB">
        <w:trPr>
          <w:trHeight w:val="31"/>
        </w:trPr>
        <w:tc>
          <w:tcPr>
            <w:tcW w:w="0" w:type="auto"/>
            <w:tcBorders>
              <w:top w:val="nil"/>
              <w:left w:val="nil"/>
              <w:bottom w:val="nil"/>
              <w:right w:val="nil"/>
            </w:tcBorders>
            <w:shd w:val="clear" w:color="auto" w:fill="auto"/>
            <w:noWrap/>
            <w:vAlign w:val="bottom"/>
            <w:hideMark/>
          </w:tcPr>
          <w:p w14:paraId="1CFFA29A"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14:paraId="160DB3B5"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0" w:type="auto"/>
            <w:tcBorders>
              <w:top w:val="nil"/>
              <w:left w:val="nil"/>
              <w:bottom w:val="nil"/>
              <w:right w:val="nil"/>
            </w:tcBorders>
            <w:shd w:val="clear" w:color="auto" w:fill="auto"/>
            <w:noWrap/>
            <w:vAlign w:val="center"/>
            <w:hideMark/>
          </w:tcPr>
          <w:p w14:paraId="26B3DE5A"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2332B1A2" w14:textId="77777777" w:rsidTr="003057FB">
        <w:trPr>
          <w:trHeight w:val="310"/>
        </w:trPr>
        <w:tc>
          <w:tcPr>
            <w:tcW w:w="0" w:type="auto"/>
            <w:tcBorders>
              <w:top w:val="nil"/>
              <w:left w:val="nil"/>
              <w:bottom w:val="nil"/>
              <w:right w:val="nil"/>
            </w:tcBorders>
            <w:shd w:val="clear" w:color="auto" w:fill="auto"/>
            <w:noWrap/>
            <w:vAlign w:val="bottom"/>
            <w:hideMark/>
          </w:tcPr>
          <w:p w14:paraId="2B4E3430" w14:textId="77777777" w:rsidR="00B9311E" w:rsidRPr="00BD77D8" w:rsidRDefault="00B9311E" w:rsidP="00B9311E">
            <w:pPr>
              <w:spacing w:after="0" w:line="240" w:lineRule="auto"/>
              <w:jc w:val="right"/>
              <w:rPr>
                <w:sz w:val="18"/>
                <w:szCs w:val="18"/>
              </w:rPr>
            </w:pPr>
          </w:p>
        </w:tc>
        <w:tc>
          <w:tcPr>
            <w:tcW w:w="0" w:type="auto"/>
            <w:tcBorders>
              <w:top w:val="nil"/>
              <w:left w:val="nil"/>
              <w:bottom w:val="single" w:sz="4" w:space="0" w:color="auto"/>
              <w:right w:val="nil"/>
            </w:tcBorders>
            <w:shd w:val="clear" w:color="auto" w:fill="auto"/>
            <w:noWrap/>
            <w:vAlign w:val="center"/>
            <w:hideMark/>
          </w:tcPr>
          <w:p w14:paraId="7234D1E7"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6F657B2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52189850" w14:textId="77777777" w:rsidTr="003057FB">
        <w:trPr>
          <w:trHeight w:val="310"/>
        </w:trPr>
        <w:tc>
          <w:tcPr>
            <w:tcW w:w="0" w:type="auto"/>
            <w:tcBorders>
              <w:top w:val="nil"/>
              <w:left w:val="nil"/>
              <w:bottom w:val="nil"/>
              <w:right w:val="nil"/>
            </w:tcBorders>
            <w:shd w:val="clear" w:color="auto" w:fill="auto"/>
            <w:noWrap/>
            <w:vAlign w:val="bottom"/>
            <w:hideMark/>
          </w:tcPr>
          <w:p w14:paraId="6AD55051" w14:textId="77777777" w:rsidR="00B9311E" w:rsidRPr="00BD77D8" w:rsidRDefault="00B9311E" w:rsidP="00B9311E">
            <w:pPr>
              <w:spacing w:after="0" w:line="240" w:lineRule="auto"/>
              <w:rPr>
                <w:b/>
                <w:bCs/>
                <w:sz w:val="18"/>
                <w:szCs w:val="18"/>
              </w:rPr>
            </w:pPr>
            <w:r w:rsidRPr="00BD77D8">
              <w:rPr>
                <w:b/>
                <w:bCs/>
                <w:sz w:val="18"/>
                <w:szCs w:val="18"/>
              </w:rPr>
              <w:t>The department received the following revenue for user charges and fees during the financial year</w:t>
            </w:r>
          </w:p>
        </w:tc>
        <w:tc>
          <w:tcPr>
            <w:tcW w:w="0" w:type="auto"/>
            <w:tcBorders>
              <w:top w:val="nil"/>
              <w:left w:val="nil"/>
              <w:bottom w:val="nil"/>
              <w:right w:val="nil"/>
            </w:tcBorders>
            <w:shd w:val="clear" w:color="auto" w:fill="auto"/>
            <w:noWrap/>
            <w:hideMark/>
          </w:tcPr>
          <w:p w14:paraId="147723AC" w14:textId="77777777" w:rsidR="00B9311E" w:rsidRPr="00BD77D8" w:rsidRDefault="00B9311E" w:rsidP="00B9311E">
            <w:pPr>
              <w:spacing w:after="0" w:line="240" w:lineRule="auto"/>
              <w:rPr>
                <w:sz w:val="18"/>
                <w:szCs w:val="18"/>
              </w:rPr>
            </w:pPr>
          </w:p>
        </w:tc>
        <w:tc>
          <w:tcPr>
            <w:tcW w:w="0" w:type="auto"/>
            <w:tcBorders>
              <w:top w:val="nil"/>
              <w:left w:val="nil"/>
              <w:bottom w:val="nil"/>
              <w:right w:val="nil"/>
            </w:tcBorders>
            <w:shd w:val="clear" w:color="auto" w:fill="auto"/>
            <w:noWrap/>
            <w:hideMark/>
          </w:tcPr>
          <w:p w14:paraId="39A034DB"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4C9787E2" w14:textId="77777777" w:rsidTr="003057FB">
        <w:trPr>
          <w:trHeight w:val="310"/>
        </w:trPr>
        <w:tc>
          <w:tcPr>
            <w:tcW w:w="0" w:type="auto"/>
            <w:tcBorders>
              <w:top w:val="nil"/>
              <w:left w:val="nil"/>
              <w:bottom w:val="nil"/>
              <w:right w:val="nil"/>
            </w:tcBorders>
            <w:shd w:val="clear" w:color="auto" w:fill="auto"/>
            <w:noWrap/>
            <w:vAlign w:val="bottom"/>
            <w:hideMark/>
          </w:tcPr>
          <w:p w14:paraId="14981E57" w14:textId="77777777" w:rsidR="00B9311E" w:rsidRPr="00BD77D8" w:rsidRDefault="00B9311E" w:rsidP="00B9311E">
            <w:pPr>
              <w:spacing w:after="0" w:line="240" w:lineRule="auto"/>
              <w:rPr>
                <w:sz w:val="18"/>
                <w:szCs w:val="18"/>
              </w:rPr>
            </w:pPr>
            <w:r w:rsidRPr="00BD77D8">
              <w:rPr>
                <w:sz w:val="18"/>
                <w:szCs w:val="18"/>
              </w:rPr>
              <w:t>Disability Worker Screening application fees</w:t>
            </w:r>
          </w:p>
        </w:tc>
        <w:tc>
          <w:tcPr>
            <w:tcW w:w="0" w:type="auto"/>
            <w:tcBorders>
              <w:top w:val="nil"/>
              <w:left w:val="nil"/>
              <w:bottom w:val="nil"/>
              <w:right w:val="nil"/>
            </w:tcBorders>
            <w:shd w:val="clear" w:color="auto" w:fill="auto"/>
            <w:vAlign w:val="bottom"/>
            <w:hideMark/>
          </w:tcPr>
          <w:p w14:paraId="2AD0AAF3" w14:textId="77777777" w:rsidR="00B9311E" w:rsidRPr="00BD77D8" w:rsidRDefault="00B9311E" w:rsidP="00B9311E">
            <w:pPr>
              <w:spacing w:after="0" w:line="240" w:lineRule="auto"/>
              <w:jc w:val="right"/>
              <w:rPr>
                <w:sz w:val="18"/>
                <w:szCs w:val="18"/>
              </w:rPr>
            </w:pPr>
            <w:r w:rsidRPr="00BD77D8">
              <w:rPr>
                <w:sz w:val="18"/>
                <w:szCs w:val="18"/>
              </w:rPr>
              <w:t xml:space="preserve">       8,604 </w:t>
            </w:r>
          </w:p>
        </w:tc>
        <w:tc>
          <w:tcPr>
            <w:tcW w:w="0" w:type="auto"/>
            <w:tcBorders>
              <w:top w:val="nil"/>
              <w:left w:val="nil"/>
              <w:bottom w:val="nil"/>
              <w:right w:val="nil"/>
            </w:tcBorders>
            <w:shd w:val="clear" w:color="auto" w:fill="auto"/>
            <w:vAlign w:val="bottom"/>
            <w:hideMark/>
          </w:tcPr>
          <w:p w14:paraId="223B00B9" w14:textId="77777777" w:rsidR="00B9311E" w:rsidRPr="00BD77D8" w:rsidRDefault="00B9311E" w:rsidP="00B9311E">
            <w:pPr>
              <w:spacing w:after="0" w:line="240" w:lineRule="auto"/>
              <w:jc w:val="right"/>
              <w:rPr>
                <w:sz w:val="18"/>
                <w:szCs w:val="18"/>
              </w:rPr>
            </w:pPr>
            <w:r w:rsidRPr="00BD77D8">
              <w:rPr>
                <w:sz w:val="18"/>
                <w:szCs w:val="18"/>
              </w:rPr>
              <w:t xml:space="preserve">       4,037 </w:t>
            </w:r>
          </w:p>
        </w:tc>
      </w:tr>
      <w:tr w:rsidR="00BD77D8" w:rsidRPr="00BD77D8" w14:paraId="501FD584" w14:textId="77777777" w:rsidTr="003057FB">
        <w:trPr>
          <w:trHeight w:val="310"/>
        </w:trPr>
        <w:tc>
          <w:tcPr>
            <w:tcW w:w="0" w:type="auto"/>
            <w:tcBorders>
              <w:top w:val="nil"/>
              <w:left w:val="nil"/>
              <w:bottom w:val="nil"/>
              <w:right w:val="nil"/>
            </w:tcBorders>
            <w:shd w:val="clear" w:color="auto" w:fill="auto"/>
            <w:noWrap/>
            <w:vAlign w:val="bottom"/>
            <w:hideMark/>
          </w:tcPr>
          <w:p w14:paraId="6C44B84C" w14:textId="77777777" w:rsidR="00B9311E" w:rsidRPr="00BD77D8" w:rsidRDefault="00B9311E" w:rsidP="00B9311E">
            <w:pPr>
              <w:spacing w:after="0" w:line="240" w:lineRule="auto"/>
              <w:rPr>
                <w:sz w:val="18"/>
                <w:szCs w:val="18"/>
              </w:rPr>
            </w:pPr>
            <w:r w:rsidRPr="00BD77D8">
              <w:rPr>
                <w:sz w:val="18"/>
                <w:szCs w:val="18"/>
              </w:rPr>
              <w:t>Funds from National Disability Support Agency to provide specialist disability client support</w:t>
            </w:r>
          </w:p>
        </w:tc>
        <w:tc>
          <w:tcPr>
            <w:tcW w:w="0" w:type="auto"/>
            <w:tcBorders>
              <w:top w:val="nil"/>
              <w:left w:val="nil"/>
              <w:bottom w:val="nil"/>
              <w:right w:val="nil"/>
            </w:tcBorders>
            <w:shd w:val="clear" w:color="auto" w:fill="auto"/>
            <w:vAlign w:val="bottom"/>
            <w:hideMark/>
          </w:tcPr>
          <w:p w14:paraId="235F3B97" w14:textId="77777777" w:rsidR="00B9311E" w:rsidRPr="00BD77D8" w:rsidRDefault="00B9311E" w:rsidP="00B9311E">
            <w:pPr>
              <w:spacing w:after="0" w:line="240" w:lineRule="auto"/>
              <w:jc w:val="right"/>
              <w:rPr>
                <w:sz w:val="18"/>
                <w:szCs w:val="18"/>
              </w:rPr>
            </w:pPr>
            <w:r w:rsidRPr="00BD77D8">
              <w:rPr>
                <w:sz w:val="18"/>
                <w:szCs w:val="18"/>
              </w:rPr>
              <w:t xml:space="preserve">           919 </w:t>
            </w:r>
          </w:p>
        </w:tc>
        <w:tc>
          <w:tcPr>
            <w:tcW w:w="0" w:type="auto"/>
            <w:tcBorders>
              <w:top w:val="nil"/>
              <w:left w:val="nil"/>
              <w:bottom w:val="nil"/>
              <w:right w:val="nil"/>
            </w:tcBorders>
            <w:shd w:val="clear" w:color="auto" w:fill="auto"/>
            <w:vAlign w:val="bottom"/>
            <w:hideMark/>
          </w:tcPr>
          <w:p w14:paraId="177DCCA0" w14:textId="77777777" w:rsidR="00B9311E" w:rsidRPr="00BD77D8" w:rsidRDefault="00B9311E" w:rsidP="00B9311E">
            <w:pPr>
              <w:spacing w:after="0" w:line="240" w:lineRule="auto"/>
              <w:jc w:val="right"/>
              <w:rPr>
                <w:sz w:val="18"/>
                <w:szCs w:val="18"/>
              </w:rPr>
            </w:pPr>
            <w:r w:rsidRPr="00BD77D8">
              <w:rPr>
                <w:sz w:val="18"/>
                <w:szCs w:val="18"/>
              </w:rPr>
              <w:t xml:space="preserve">       2,860 </w:t>
            </w:r>
          </w:p>
        </w:tc>
      </w:tr>
      <w:tr w:rsidR="00BD77D8" w:rsidRPr="00BD77D8" w14:paraId="628A9F18" w14:textId="77777777" w:rsidTr="003057FB">
        <w:trPr>
          <w:trHeight w:val="310"/>
        </w:trPr>
        <w:tc>
          <w:tcPr>
            <w:tcW w:w="0" w:type="auto"/>
            <w:tcBorders>
              <w:top w:val="nil"/>
              <w:left w:val="nil"/>
              <w:bottom w:val="nil"/>
              <w:right w:val="nil"/>
            </w:tcBorders>
            <w:shd w:val="clear" w:color="auto" w:fill="auto"/>
            <w:noWrap/>
            <w:vAlign w:val="bottom"/>
            <w:hideMark/>
          </w:tcPr>
          <w:p w14:paraId="704EF60D" w14:textId="77777777" w:rsidR="00B9311E" w:rsidRPr="00BD77D8" w:rsidRDefault="00B9311E" w:rsidP="00B9311E">
            <w:pPr>
              <w:spacing w:after="0" w:line="240" w:lineRule="auto"/>
              <w:rPr>
                <w:sz w:val="18"/>
                <w:szCs w:val="18"/>
              </w:rPr>
            </w:pPr>
            <w:r w:rsidRPr="00BD77D8">
              <w:rPr>
                <w:sz w:val="18"/>
                <w:szCs w:val="18"/>
              </w:rPr>
              <w:t>Gambling Help counselling services and hotline*</w:t>
            </w:r>
          </w:p>
        </w:tc>
        <w:tc>
          <w:tcPr>
            <w:tcW w:w="0" w:type="auto"/>
            <w:tcBorders>
              <w:top w:val="nil"/>
              <w:left w:val="nil"/>
              <w:bottom w:val="nil"/>
              <w:right w:val="nil"/>
            </w:tcBorders>
            <w:shd w:val="clear" w:color="auto" w:fill="auto"/>
            <w:vAlign w:val="bottom"/>
            <w:hideMark/>
          </w:tcPr>
          <w:p w14:paraId="20424D6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2AA04BD9" w14:textId="77777777" w:rsidR="00B9311E" w:rsidRPr="00BD77D8" w:rsidRDefault="00B9311E" w:rsidP="00B9311E">
            <w:pPr>
              <w:spacing w:after="0" w:line="240" w:lineRule="auto"/>
              <w:jc w:val="right"/>
              <w:rPr>
                <w:sz w:val="18"/>
                <w:szCs w:val="18"/>
              </w:rPr>
            </w:pPr>
            <w:r w:rsidRPr="00BD77D8">
              <w:rPr>
                <w:sz w:val="18"/>
                <w:szCs w:val="18"/>
              </w:rPr>
              <w:t xml:space="preserve">       2,202 </w:t>
            </w:r>
          </w:p>
        </w:tc>
      </w:tr>
      <w:tr w:rsidR="00BD77D8" w:rsidRPr="00BD77D8" w14:paraId="025F3822" w14:textId="77777777" w:rsidTr="003057FB">
        <w:trPr>
          <w:trHeight w:val="310"/>
        </w:trPr>
        <w:tc>
          <w:tcPr>
            <w:tcW w:w="0" w:type="auto"/>
            <w:tcBorders>
              <w:top w:val="nil"/>
              <w:left w:val="nil"/>
              <w:bottom w:val="nil"/>
              <w:right w:val="nil"/>
            </w:tcBorders>
            <w:shd w:val="clear" w:color="auto" w:fill="auto"/>
            <w:noWrap/>
            <w:vAlign w:val="bottom"/>
            <w:hideMark/>
          </w:tcPr>
          <w:p w14:paraId="7B063EB2" w14:textId="77777777" w:rsidR="00B9311E" w:rsidRPr="00BD77D8" w:rsidRDefault="00B9311E" w:rsidP="00B9311E">
            <w:pPr>
              <w:spacing w:after="0" w:line="240" w:lineRule="auto"/>
              <w:rPr>
                <w:sz w:val="18"/>
                <w:szCs w:val="18"/>
              </w:rPr>
            </w:pPr>
            <w:r w:rsidRPr="00BD77D8">
              <w:rPr>
                <w:sz w:val="18"/>
                <w:szCs w:val="18"/>
              </w:rPr>
              <w:t>Rent received from clients in specialist disability accommodation</w:t>
            </w:r>
          </w:p>
        </w:tc>
        <w:tc>
          <w:tcPr>
            <w:tcW w:w="0" w:type="auto"/>
            <w:tcBorders>
              <w:top w:val="nil"/>
              <w:left w:val="nil"/>
              <w:bottom w:val="nil"/>
              <w:right w:val="nil"/>
            </w:tcBorders>
            <w:shd w:val="clear" w:color="auto" w:fill="auto"/>
            <w:vAlign w:val="bottom"/>
            <w:hideMark/>
          </w:tcPr>
          <w:p w14:paraId="39A030D8" w14:textId="77777777" w:rsidR="00B9311E" w:rsidRPr="00BD77D8" w:rsidRDefault="00B9311E" w:rsidP="00B9311E">
            <w:pPr>
              <w:spacing w:after="0" w:line="240" w:lineRule="auto"/>
              <w:jc w:val="right"/>
              <w:rPr>
                <w:sz w:val="18"/>
                <w:szCs w:val="18"/>
              </w:rPr>
            </w:pPr>
            <w:r w:rsidRPr="00BD77D8">
              <w:rPr>
                <w:sz w:val="18"/>
                <w:szCs w:val="18"/>
              </w:rPr>
              <w:t xml:space="preserve">           889 </w:t>
            </w:r>
          </w:p>
        </w:tc>
        <w:tc>
          <w:tcPr>
            <w:tcW w:w="0" w:type="auto"/>
            <w:tcBorders>
              <w:top w:val="nil"/>
              <w:left w:val="nil"/>
              <w:bottom w:val="nil"/>
              <w:right w:val="nil"/>
            </w:tcBorders>
            <w:shd w:val="clear" w:color="auto" w:fill="auto"/>
            <w:vAlign w:val="bottom"/>
            <w:hideMark/>
          </w:tcPr>
          <w:p w14:paraId="517EA3D0" w14:textId="77777777" w:rsidR="00B9311E" w:rsidRPr="00BD77D8" w:rsidRDefault="00B9311E" w:rsidP="00B9311E">
            <w:pPr>
              <w:spacing w:after="0" w:line="240" w:lineRule="auto"/>
              <w:jc w:val="right"/>
              <w:rPr>
                <w:sz w:val="18"/>
                <w:szCs w:val="18"/>
              </w:rPr>
            </w:pPr>
            <w:r w:rsidRPr="00BD77D8">
              <w:rPr>
                <w:sz w:val="18"/>
                <w:szCs w:val="18"/>
              </w:rPr>
              <w:t xml:space="preserve">           676 </w:t>
            </w:r>
          </w:p>
        </w:tc>
      </w:tr>
      <w:tr w:rsidR="00BD77D8" w:rsidRPr="00BD77D8" w14:paraId="5364940D" w14:textId="77777777" w:rsidTr="003057FB">
        <w:trPr>
          <w:trHeight w:val="310"/>
        </w:trPr>
        <w:tc>
          <w:tcPr>
            <w:tcW w:w="0" w:type="auto"/>
            <w:tcBorders>
              <w:top w:val="nil"/>
              <w:left w:val="nil"/>
              <w:bottom w:val="nil"/>
              <w:right w:val="nil"/>
            </w:tcBorders>
            <w:shd w:val="clear" w:color="auto" w:fill="auto"/>
            <w:noWrap/>
            <w:vAlign w:val="bottom"/>
            <w:hideMark/>
          </w:tcPr>
          <w:p w14:paraId="19F93477" w14:textId="77777777" w:rsidR="00B9311E" w:rsidRPr="00BD77D8" w:rsidRDefault="00B9311E" w:rsidP="00B9311E">
            <w:pPr>
              <w:spacing w:after="0" w:line="240" w:lineRule="auto"/>
              <w:rPr>
                <w:sz w:val="18"/>
                <w:szCs w:val="18"/>
              </w:rPr>
            </w:pPr>
            <w:r w:rsidRPr="00BD77D8">
              <w:rPr>
                <w:sz w:val="18"/>
                <w:szCs w:val="18"/>
              </w:rPr>
              <w:t>Other fees and charges</w:t>
            </w:r>
          </w:p>
        </w:tc>
        <w:tc>
          <w:tcPr>
            <w:tcW w:w="0" w:type="auto"/>
            <w:tcBorders>
              <w:top w:val="nil"/>
              <w:left w:val="nil"/>
              <w:bottom w:val="nil"/>
              <w:right w:val="nil"/>
            </w:tcBorders>
            <w:shd w:val="clear" w:color="auto" w:fill="auto"/>
            <w:vAlign w:val="bottom"/>
            <w:hideMark/>
          </w:tcPr>
          <w:p w14:paraId="085E70FC"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2A211D0F" w14:textId="77777777" w:rsidR="00B9311E" w:rsidRPr="00BD77D8" w:rsidRDefault="00B9311E" w:rsidP="00B9311E">
            <w:pPr>
              <w:spacing w:after="0" w:line="240" w:lineRule="auto"/>
              <w:jc w:val="right"/>
              <w:rPr>
                <w:sz w:val="18"/>
                <w:szCs w:val="18"/>
              </w:rPr>
            </w:pPr>
            <w:r w:rsidRPr="00BD77D8">
              <w:rPr>
                <w:sz w:val="18"/>
                <w:szCs w:val="18"/>
              </w:rPr>
              <w:t xml:space="preserve">           403 </w:t>
            </w:r>
          </w:p>
        </w:tc>
      </w:tr>
      <w:tr w:rsidR="00BD77D8" w:rsidRPr="00BD77D8" w14:paraId="25A8BB01" w14:textId="77777777" w:rsidTr="003057FB">
        <w:trPr>
          <w:trHeight w:val="290"/>
        </w:trPr>
        <w:tc>
          <w:tcPr>
            <w:tcW w:w="0" w:type="auto"/>
            <w:tcBorders>
              <w:top w:val="nil"/>
              <w:left w:val="nil"/>
              <w:bottom w:val="nil"/>
              <w:right w:val="nil"/>
            </w:tcBorders>
            <w:shd w:val="clear" w:color="auto" w:fill="auto"/>
            <w:noWrap/>
            <w:vAlign w:val="bottom"/>
            <w:hideMark/>
          </w:tcPr>
          <w:p w14:paraId="54909B20" w14:textId="77777777" w:rsidR="00B9311E" w:rsidRPr="00BD77D8" w:rsidRDefault="00B9311E" w:rsidP="00B9311E">
            <w:pPr>
              <w:spacing w:after="0" w:line="240" w:lineRule="auto"/>
              <w:rPr>
                <w:b/>
                <w:bCs/>
                <w:sz w:val="18"/>
                <w:szCs w:val="18"/>
              </w:rPr>
            </w:pPr>
            <w:r w:rsidRPr="00BD77D8">
              <w:rPr>
                <w:b/>
                <w:bCs/>
                <w:sz w:val="18"/>
                <w:szCs w:val="18"/>
              </w:rPr>
              <w:t>Total User Charges and Fees</w:t>
            </w:r>
          </w:p>
        </w:tc>
        <w:tc>
          <w:tcPr>
            <w:tcW w:w="0" w:type="auto"/>
            <w:tcBorders>
              <w:top w:val="single" w:sz="4" w:space="0" w:color="auto"/>
              <w:left w:val="nil"/>
              <w:bottom w:val="single" w:sz="4" w:space="0" w:color="auto"/>
              <w:right w:val="nil"/>
            </w:tcBorders>
            <w:shd w:val="clear" w:color="auto" w:fill="auto"/>
            <w:vAlign w:val="bottom"/>
            <w:hideMark/>
          </w:tcPr>
          <w:p w14:paraId="4A9C03C0" w14:textId="77777777" w:rsidR="00B9311E" w:rsidRPr="00BD77D8" w:rsidRDefault="00B9311E" w:rsidP="00B9311E">
            <w:pPr>
              <w:spacing w:after="0" w:line="240" w:lineRule="auto"/>
              <w:jc w:val="right"/>
              <w:rPr>
                <w:b/>
                <w:bCs/>
                <w:sz w:val="18"/>
                <w:szCs w:val="18"/>
              </w:rPr>
            </w:pPr>
            <w:r w:rsidRPr="00BD77D8">
              <w:rPr>
                <w:b/>
                <w:bCs/>
                <w:sz w:val="18"/>
                <w:szCs w:val="18"/>
              </w:rPr>
              <w:t>10,412</w:t>
            </w:r>
          </w:p>
        </w:tc>
        <w:tc>
          <w:tcPr>
            <w:tcW w:w="0" w:type="auto"/>
            <w:tcBorders>
              <w:top w:val="single" w:sz="4" w:space="0" w:color="auto"/>
              <w:left w:val="nil"/>
              <w:bottom w:val="single" w:sz="4" w:space="0" w:color="auto"/>
              <w:right w:val="nil"/>
            </w:tcBorders>
            <w:shd w:val="clear" w:color="auto" w:fill="auto"/>
            <w:vAlign w:val="bottom"/>
            <w:hideMark/>
          </w:tcPr>
          <w:p w14:paraId="5E48B085" w14:textId="77777777" w:rsidR="00B9311E" w:rsidRPr="00BD77D8" w:rsidRDefault="00B9311E" w:rsidP="00B9311E">
            <w:pPr>
              <w:spacing w:after="0" w:line="240" w:lineRule="auto"/>
              <w:jc w:val="right"/>
              <w:rPr>
                <w:b/>
                <w:bCs/>
                <w:sz w:val="18"/>
                <w:szCs w:val="18"/>
              </w:rPr>
            </w:pPr>
            <w:r w:rsidRPr="00BD77D8">
              <w:rPr>
                <w:b/>
                <w:bCs/>
                <w:sz w:val="18"/>
                <w:szCs w:val="18"/>
              </w:rPr>
              <w:t xml:space="preserve">     10,178 </w:t>
            </w:r>
          </w:p>
        </w:tc>
      </w:tr>
    </w:tbl>
    <w:p w14:paraId="038E6421" w14:textId="77777777" w:rsidR="00B9311E" w:rsidRPr="00BD77D8" w:rsidRDefault="00B9311E" w:rsidP="00587E62">
      <w:pPr>
        <w:spacing w:before="240" w:after="0" w:line="240" w:lineRule="auto"/>
        <w:ind w:right="142"/>
        <w:textAlignment w:val="baseline"/>
        <w:rPr>
          <w:rFonts w:eastAsia="Arial"/>
          <w:b/>
          <w:bCs/>
          <w:sz w:val="16"/>
          <w:szCs w:val="16"/>
          <w:lang w:eastAsia="en-US"/>
        </w:rPr>
      </w:pPr>
      <w:r w:rsidRPr="00BD77D8">
        <w:rPr>
          <w:rFonts w:eastAsia="Arial"/>
          <w:sz w:val="16"/>
          <w:szCs w:val="16"/>
          <w:lang w:eastAsia="en-US"/>
        </w:rPr>
        <w:t>*</w:t>
      </w:r>
      <w:r w:rsidRPr="00BD77D8">
        <w:rPr>
          <w:rFonts w:eastAsia="PMingLiU"/>
          <w:sz w:val="16"/>
          <w:szCs w:val="20"/>
          <w:lang w:eastAsia="en-US"/>
        </w:rPr>
        <w:t xml:space="preserve"> </w:t>
      </w:r>
      <w:r w:rsidRPr="00BD77D8">
        <w:rPr>
          <w:rFonts w:eastAsia="Arial"/>
          <w:sz w:val="16"/>
          <w:szCs w:val="16"/>
          <w:lang w:eastAsia="en-US"/>
        </w:rPr>
        <w:t xml:space="preserve">This service has transitioned to the Department of Communities, Housing and Digital Economy in the 2020 Machinery-of-Government restructure. </w:t>
      </w:r>
    </w:p>
    <w:p w14:paraId="3429C07B" w14:textId="77777777" w:rsidR="00B9311E" w:rsidRPr="00BD77D8" w:rsidRDefault="00B9311E" w:rsidP="00587E62">
      <w:pPr>
        <w:spacing w:before="480" w:after="0" w:line="240" w:lineRule="auto"/>
        <w:rPr>
          <w:b/>
          <w:bCs/>
          <w:sz w:val="18"/>
          <w:szCs w:val="18"/>
        </w:rPr>
      </w:pPr>
      <w:r w:rsidRPr="00BD77D8">
        <w:rPr>
          <w:b/>
          <w:bCs/>
          <w:sz w:val="18"/>
          <w:szCs w:val="18"/>
        </w:rPr>
        <w:t>B1-3 Grants and Other Contributions</w:t>
      </w:r>
    </w:p>
    <w:tbl>
      <w:tblPr>
        <w:tblW w:w="10376" w:type="dxa"/>
        <w:tblCellMar>
          <w:left w:w="0" w:type="dxa"/>
          <w:right w:w="0" w:type="dxa"/>
        </w:tblCellMar>
        <w:tblLook w:val="04A0" w:firstRow="1" w:lastRow="0" w:firstColumn="1" w:lastColumn="0" w:noHBand="0" w:noVBand="1"/>
      </w:tblPr>
      <w:tblGrid>
        <w:gridCol w:w="8451"/>
        <w:gridCol w:w="999"/>
        <w:gridCol w:w="974"/>
      </w:tblGrid>
      <w:tr w:rsidR="00BD77D8" w:rsidRPr="00BD77D8" w14:paraId="01305A47" w14:textId="77777777" w:rsidTr="003057FB">
        <w:trPr>
          <w:trHeight w:val="288"/>
        </w:trPr>
        <w:tc>
          <w:tcPr>
            <w:tcW w:w="8435" w:type="dxa"/>
            <w:tcBorders>
              <w:top w:val="nil"/>
              <w:left w:val="nil"/>
              <w:bottom w:val="nil"/>
              <w:right w:val="nil"/>
            </w:tcBorders>
            <w:shd w:val="clear" w:color="auto" w:fill="auto"/>
            <w:noWrap/>
            <w:vAlign w:val="bottom"/>
            <w:hideMark/>
          </w:tcPr>
          <w:p w14:paraId="40CA0A05" w14:textId="77777777" w:rsidR="00B9311E" w:rsidRPr="00BD77D8" w:rsidRDefault="00B9311E" w:rsidP="00B9311E">
            <w:pPr>
              <w:spacing w:after="0" w:line="240" w:lineRule="auto"/>
              <w:rPr>
                <w:rFonts w:ascii="Times New Roman" w:hAnsi="Times New Roman" w:cs="Times New Roman"/>
                <w:sz w:val="24"/>
                <w:szCs w:val="24"/>
              </w:rPr>
            </w:pPr>
          </w:p>
        </w:tc>
        <w:tc>
          <w:tcPr>
            <w:tcW w:w="983" w:type="dxa"/>
            <w:tcBorders>
              <w:top w:val="nil"/>
              <w:left w:val="nil"/>
              <w:bottom w:val="nil"/>
              <w:right w:val="nil"/>
            </w:tcBorders>
            <w:shd w:val="clear" w:color="auto" w:fill="auto"/>
            <w:noWrap/>
            <w:vAlign w:val="bottom"/>
            <w:hideMark/>
          </w:tcPr>
          <w:p w14:paraId="21EF4BC4"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958" w:type="dxa"/>
            <w:tcBorders>
              <w:top w:val="nil"/>
              <w:left w:val="nil"/>
              <w:bottom w:val="nil"/>
              <w:right w:val="nil"/>
            </w:tcBorders>
            <w:shd w:val="clear" w:color="auto" w:fill="auto"/>
            <w:noWrap/>
            <w:vAlign w:val="bottom"/>
            <w:hideMark/>
          </w:tcPr>
          <w:p w14:paraId="743A71E5"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B158913" w14:textId="77777777" w:rsidTr="003057FB">
        <w:trPr>
          <w:trHeight w:val="288"/>
        </w:trPr>
        <w:tc>
          <w:tcPr>
            <w:tcW w:w="8435" w:type="dxa"/>
            <w:tcBorders>
              <w:top w:val="nil"/>
              <w:left w:val="nil"/>
              <w:bottom w:val="nil"/>
              <w:right w:val="nil"/>
            </w:tcBorders>
            <w:shd w:val="clear" w:color="auto" w:fill="auto"/>
            <w:noWrap/>
            <w:vAlign w:val="bottom"/>
            <w:hideMark/>
          </w:tcPr>
          <w:p w14:paraId="3704017A" w14:textId="77777777" w:rsidR="00B9311E" w:rsidRPr="00BD77D8" w:rsidRDefault="00B9311E" w:rsidP="00B9311E">
            <w:pPr>
              <w:spacing w:after="0" w:line="240" w:lineRule="auto"/>
              <w:jc w:val="right"/>
              <w:rPr>
                <w:sz w:val="18"/>
                <w:szCs w:val="18"/>
              </w:rPr>
            </w:pPr>
          </w:p>
        </w:tc>
        <w:tc>
          <w:tcPr>
            <w:tcW w:w="983" w:type="dxa"/>
            <w:tcBorders>
              <w:top w:val="nil"/>
              <w:left w:val="nil"/>
              <w:bottom w:val="single" w:sz="4" w:space="0" w:color="auto"/>
              <w:right w:val="nil"/>
            </w:tcBorders>
            <w:shd w:val="clear" w:color="auto" w:fill="auto"/>
            <w:noWrap/>
            <w:vAlign w:val="bottom"/>
            <w:hideMark/>
          </w:tcPr>
          <w:p w14:paraId="2FB97B31"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958" w:type="dxa"/>
            <w:tcBorders>
              <w:top w:val="nil"/>
              <w:left w:val="nil"/>
              <w:bottom w:val="single" w:sz="4" w:space="0" w:color="auto"/>
              <w:right w:val="nil"/>
            </w:tcBorders>
            <w:shd w:val="clear" w:color="auto" w:fill="auto"/>
            <w:noWrap/>
            <w:vAlign w:val="bottom"/>
            <w:hideMark/>
          </w:tcPr>
          <w:p w14:paraId="79B7CBE2"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15AD47F4" w14:textId="77777777" w:rsidTr="003057FB">
        <w:trPr>
          <w:trHeight w:val="288"/>
        </w:trPr>
        <w:tc>
          <w:tcPr>
            <w:tcW w:w="8435" w:type="dxa"/>
            <w:tcBorders>
              <w:top w:val="nil"/>
              <w:left w:val="nil"/>
              <w:bottom w:val="nil"/>
              <w:right w:val="nil"/>
            </w:tcBorders>
            <w:shd w:val="clear" w:color="auto" w:fill="auto"/>
            <w:vAlign w:val="center"/>
            <w:hideMark/>
          </w:tcPr>
          <w:p w14:paraId="24386E01" w14:textId="77777777" w:rsidR="00B9311E" w:rsidRPr="00BD77D8" w:rsidRDefault="00B9311E" w:rsidP="00B9311E">
            <w:pPr>
              <w:spacing w:after="0" w:line="240" w:lineRule="auto"/>
              <w:rPr>
                <w:b/>
                <w:bCs/>
                <w:sz w:val="18"/>
                <w:szCs w:val="18"/>
              </w:rPr>
            </w:pPr>
            <w:r w:rsidRPr="00BD77D8">
              <w:rPr>
                <w:b/>
                <w:bCs/>
                <w:sz w:val="18"/>
                <w:szCs w:val="18"/>
              </w:rPr>
              <w:t>Revenue from contracts with customers</w:t>
            </w:r>
          </w:p>
        </w:tc>
        <w:tc>
          <w:tcPr>
            <w:tcW w:w="983" w:type="dxa"/>
            <w:tcBorders>
              <w:top w:val="nil"/>
              <w:left w:val="nil"/>
              <w:bottom w:val="nil"/>
              <w:right w:val="nil"/>
            </w:tcBorders>
            <w:shd w:val="clear" w:color="auto" w:fill="auto"/>
            <w:vAlign w:val="center"/>
            <w:hideMark/>
          </w:tcPr>
          <w:p w14:paraId="23E0D682" w14:textId="77777777" w:rsidR="00B9311E" w:rsidRPr="00BD77D8" w:rsidRDefault="00B9311E" w:rsidP="00B9311E">
            <w:pPr>
              <w:spacing w:after="0" w:line="240" w:lineRule="auto"/>
              <w:rPr>
                <w:b/>
                <w:bCs/>
                <w:sz w:val="18"/>
                <w:szCs w:val="18"/>
              </w:rPr>
            </w:pPr>
            <w:r w:rsidRPr="00BD77D8">
              <w:rPr>
                <w:b/>
                <w:bCs/>
                <w:sz w:val="18"/>
                <w:szCs w:val="18"/>
              </w:rPr>
              <w:t xml:space="preserve"> </w:t>
            </w:r>
          </w:p>
        </w:tc>
        <w:tc>
          <w:tcPr>
            <w:tcW w:w="958" w:type="dxa"/>
            <w:tcBorders>
              <w:top w:val="nil"/>
              <w:left w:val="nil"/>
              <w:bottom w:val="nil"/>
              <w:right w:val="nil"/>
            </w:tcBorders>
            <w:shd w:val="clear" w:color="auto" w:fill="auto"/>
            <w:vAlign w:val="center"/>
            <w:hideMark/>
          </w:tcPr>
          <w:p w14:paraId="03921145" w14:textId="77777777" w:rsidR="00B9311E" w:rsidRPr="00BD77D8" w:rsidRDefault="00B9311E" w:rsidP="00B9311E">
            <w:pPr>
              <w:spacing w:after="0" w:line="240" w:lineRule="auto"/>
              <w:rPr>
                <w:b/>
                <w:bCs/>
                <w:sz w:val="18"/>
                <w:szCs w:val="18"/>
              </w:rPr>
            </w:pPr>
            <w:r w:rsidRPr="00BD77D8">
              <w:rPr>
                <w:b/>
                <w:bCs/>
                <w:sz w:val="18"/>
                <w:szCs w:val="18"/>
              </w:rPr>
              <w:t xml:space="preserve"> </w:t>
            </w:r>
          </w:p>
        </w:tc>
      </w:tr>
      <w:tr w:rsidR="00BD77D8" w:rsidRPr="00BD77D8" w14:paraId="6E8FD1FC" w14:textId="77777777" w:rsidTr="003057FB">
        <w:trPr>
          <w:trHeight w:val="288"/>
        </w:trPr>
        <w:tc>
          <w:tcPr>
            <w:tcW w:w="8435" w:type="dxa"/>
            <w:tcBorders>
              <w:top w:val="nil"/>
              <w:left w:val="nil"/>
              <w:bottom w:val="nil"/>
              <w:right w:val="nil"/>
            </w:tcBorders>
            <w:shd w:val="clear" w:color="auto" w:fill="auto"/>
            <w:vAlign w:val="center"/>
            <w:hideMark/>
          </w:tcPr>
          <w:p w14:paraId="33AE24D9" w14:textId="77777777" w:rsidR="00B9311E" w:rsidRPr="00BD77D8" w:rsidRDefault="00B9311E" w:rsidP="00B9311E">
            <w:pPr>
              <w:spacing w:after="0" w:line="240" w:lineRule="auto"/>
              <w:rPr>
                <w:sz w:val="18"/>
                <w:szCs w:val="18"/>
              </w:rPr>
            </w:pPr>
            <w:r w:rsidRPr="00BD77D8">
              <w:rPr>
                <w:sz w:val="18"/>
                <w:szCs w:val="18"/>
              </w:rPr>
              <w:t>Commonwealth grants - specific obligations</w:t>
            </w:r>
          </w:p>
        </w:tc>
        <w:tc>
          <w:tcPr>
            <w:tcW w:w="983" w:type="dxa"/>
            <w:tcBorders>
              <w:top w:val="nil"/>
              <w:left w:val="nil"/>
              <w:bottom w:val="nil"/>
              <w:right w:val="nil"/>
            </w:tcBorders>
            <w:shd w:val="clear" w:color="auto" w:fill="auto"/>
            <w:vAlign w:val="bottom"/>
            <w:hideMark/>
          </w:tcPr>
          <w:p w14:paraId="3AC85E11" w14:textId="77777777" w:rsidR="00B9311E" w:rsidRPr="00BD77D8" w:rsidRDefault="00B9311E" w:rsidP="00B9311E">
            <w:pPr>
              <w:spacing w:after="0" w:line="240" w:lineRule="auto"/>
              <w:jc w:val="right"/>
              <w:rPr>
                <w:sz w:val="18"/>
                <w:szCs w:val="18"/>
              </w:rPr>
            </w:pPr>
            <w:r w:rsidRPr="00BD77D8">
              <w:rPr>
                <w:sz w:val="18"/>
                <w:szCs w:val="18"/>
              </w:rPr>
              <w:t xml:space="preserve">       9,789 </w:t>
            </w:r>
          </w:p>
        </w:tc>
        <w:tc>
          <w:tcPr>
            <w:tcW w:w="958" w:type="dxa"/>
            <w:tcBorders>
              <w:top w:val="nil"/>
              <w:left w:val="nil"/>
              <w:bottom w:val="nil"/>
              <w:right w:val="nil"/>
            </w:tcBorders>
            <w:shd w:val="clear" w:color="auto" w:fill="auto"/>
            <w:vAlign w:val="bottom"/>
            <w:hideMark/>
          </w:tcPr>
          <w:p w14:paraId="33CD85B9" w14:textId="77777777" w:rsidR="00B9311E" w:rsidRPr="00BD77D8" w:rsidRDefault="00B9311E" w:rsidP="00B9311E">
            <w:pPr>
              <w:spacing w:after="0" w:line="240" w:lineRule="auto"/>
              <w:jc w:val="right"/>
              <w:rPr>
                <w:sz w:val="18"/>
                <w:szCs w:val="18"/>
              </w:rPr>
            </w:pPr>
            <w:r w:rsidRPr="00BD77D8">
              <w:rPr>
                <w:sz w:val="18"/>
                <w:szCs w:val="18"/>
              </w:rPr>
              <w:t xml:space="preserve">     11,374 </w:t>
            </w:r>
          </w:p>
        </w:tc>
      </w:tr>
      <w:tr w:rsidR="00BD77D8" w:rsidRPr="00BD77D8" w14:paraId="20E9FA76" w14:textId="77777777" w:rsidTr="003057FB">
        <w:trPr>
          <w:trHeight w:val="288"/>
        </w:trPr>
        <w:tc>
          <w:tcPr>
            <w:tcW w:w="8435" w:type="dxa"/>
            <w:tcBorders>
              <w:top w:val="nil"/>
              <w:left w:val="nil"/>
              <w:bottom w:val="nil"/>
              <w:right w:val="nil"/>
            </w:tcBorders>
            <w:shd w:val="clear" w:color="auto" w:fill="auto"/>
            <w:vAlign w:val="center"/>
            <w:hideMark/>
          </w:tcPr>
          <w:p w14:paraId="1E77B133" w14:textId="77777777" w:rsidR="00B9311E" w:rsidRPr="00BD77D8" w:rsidRDefault="00B9311E" w:rsidP="00B9311E">
            <w:pPr>
              <w:spacing w:after="0" w:line="240" w:lineRule="auto"/>
              <w:rPr>
                <w:b/>
                <w:bCs/>
                <w:sz w:val="18"/>
                <w:szCs w:val="18"/>
              </w:rPr>
            </w:pPr>
            <w:r w:rsidRPr="00BD77D8">
              <w:rPr>
                <w:b/>
                <w:bCs/>
                <w:sz w:val="18"/>
                <w:szCs w:val="18"/>
              </w:rPr>
              <w:t>Other grants and contributions</w:t>
            </w:r>
          </w:p>
        </w:tc>
        <w:tc>
          <w:tcPr>
            <w:tcW w:w="983" w:type="dxa"/>
            <w:tcBorders>
              <w:top w:val="nil"/>
              <w:left w:val="nil"/>
              <w:bottom w:val="nil"/>
              <w:right w:val="nil"/>
            </w:tcBorders>
            <w:shd w:val="clear" w:color="auto" w:fill="auto"/>
            <w:vAlign w:val="bottom"/>
            <w:hideMark/>
          </w:tcPr>
          <w:p w14:paraId="70D5C6B8" w14:textId="77777777" w:rsidR="00B9311E" w:rsidRPr="00BD77D8" w:rsidRDefault="00B9311E" w:rsidP="00B9311E">
            <w:pPr>
              <w:spacing w:after="0" w:line="240" w:lineRule="auto"/>
              <w:rPr>
                <w:sz w:val="18"/>
                <w:szCs w:val="18"/>
              </w:rPr>
            </w:pPr>
          </w:p>
        </w:tc>
        <w:tc>
          <w:tcPr>
            <w:tcW w:w="958" w:type="dxa"/>
            <w:tcBorders>
              <w:top w:val="nil"/>
              <w:left w:val="nil"/>
              <w:bottom w:val="nil"/>
              <w:right w:val="nil"/>
            </w:tcBorders>
            <w:shd w:val="clear" w:color="auto" w:fill="auto"/>
            <w:vAlign w:val="bottom"/>
            <w:hideMark/>
          </w:tcPr>
          <w:p w14:paraId="54356ED6"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26BFBADA" w14:textId="77777777" w:rsidTr="003057FB">
        <w:trPr>
          <w:trHeight w:val="288"/>
        </w:trPr>
        <w:tc>
          <w:tcPr>
            <w:tcW w:w="8435" w:type="dxa"/>
            <w:tcBorders>
              <w:top w:val="nil"/>
              <w:left w:val="nil"/>
              <w:bottom w:val="nil"/>
              <w:right w:val="nil"/>
            </w:tcBorders>
            <w:shd w:val="clear" w:color="auto" w:fill="auto"/>
            <w:vAlign w:val="center"/>
            <w:hideMark/>
          </w:tcPr>
          <w:p w14:paraId="4B3A37DD" w14:textId="77777777" w:rsidR="00B9311E" w:rsidRPr="00BD77D8" w:rsidRDefault="00B9311E" w:rsidP="00B9311E">
            <w:pPr>
              <w:spacing w:after="0" w:line="240" w:lineRule="auto"/>
              <w:rPr>
                <w:sz w:val="18"/>
                <w:szCs w:val="18"/>
              </w:rPr>
            </w:pPr>
            <w:r w:rsidRPr="00BD77D8">
              <w:rPr>
                <w:sz w:val="18"/>
                <w:szCs w:val="18"/>
              </w:rPr>
              <w:t>Queensland Government grants</w:t>
            </w:r>
          </w:p>
        </w:tc>
        <w:tc>
          <w:tcPr>
            <w:tcW w:w="983" w:type="dxa"/>
            <w:tcBorders>
              <w:top w:val="nil"/>
              <w:left w:val="nil"/>
              <w:bottom w:val="nil"/>
              <w:right w:val="nil"/>
            </w:tcBorders>
            <w:shd w:val="clear" w:color="auto" w:fill="auto"/>
            <w:vAlign w:val="bottom"/>
            <w:hideMark/>
          </w:tcPr>
          <w:p w14:paraId="137DFF91" w14:textId="77777777" w:rsidR="00B9311E" w:rsidRPr="00BD77D8" w:rsidRDefault="00B9311E" w:rsidP="00B9311E">
            <w:pPr>
              <w:spacing w:after="0" w:line="240" w:lineRule="auto"/>
              <w:jc w:val="right"/>
              <w:rPr>
                <w:sz w:val="18"/>
                <w:szCs w:val="18"/>
              </w:rPr>
            </w:pPr>
            <w:r w:rsidRPr="00BD77D8">
              <w:rPr>
                <w:sz w:val="18"/>
                <w:szCs w:val="18"/>
              </w:rPr>
              <w:t xml:space="preserve">           906 </w:t>
            </w:r>
          </w:p>
        </w:tc>
        <w:tc>
          <w:tcPr>
            <w:tcW w:w="958" w:type="dxa"/>
            <w:tcBorders>
              <w:top w:val="nil"/>
              <w:left w:val="nil"/>
              <w:bottom w:val="nil"/>
              <w:right w:val="nil"/>
            </w:tcBorders>
            <w:shd w:val="clear" w:color="auto" w:fill="auto"/>
            <w:vAlign w:val="bottom"/>
            <w:hideMark/>
          </w:tcPr>
          <w:p w14:paraId="63C20ED4" w14:textId="77777777" w:rsidR="00B9311E" w:rsidRPr="00BD77D8" w:rsidRDefault="00B9311E" w:rsidP="00B9311E">
            <w:pPr>
              <w:spacing w:after="0" w:line="240" w:lineRule="auto"/>
              <w:jc w:val="right"/>
              <w:rPr>
                <w:sz w:val="18"/>
                <w:szCs w:val="18"/>
              </w:rPr>
            </w:pPr>
            <w:r w:rsidRPr="00BD77D8">
              <w:rPr>
                <w:sz w:val="18"/>
                <w:szCs w:val="18"/>
              </w:rPr>
              <w:t xml:space="preserve">           362 </w:t>
            </w:r>
          </w:p>
        </w:tc>
      </w:tr>
      <w:tr w:rsidR="00BD77D8" w:rsidRPr="00BD77D8" w14:paraId="07BE6004" w14:textId="77777777" w:rsidTr="003057FB">
        <w:trPr>
          <w:trHeight w:val="288"/>
        </w:trPr>
        <w:tc>
          <w:tcPr>
            <w:tcW w:w="8435" w:type="dxa"/>
            <w:tcBorders>
              <w:top w:val="nil"/>
              <w:left w:val="nil"/>
              <w:bottom w:val="nil"/>
              <w:right w:val="nil"/>
            </w:tcBorders>
            <w:shd w:val="clear" w:color="auto" w:fill="auto"/>
            <w:vAlign w:val="center"/>
            <w:hideMark/>
          </w:tcPr>
          <w:p w14:paraId="246FFCE3" w14:textId="77777777" w:rsidR="00B9311E" w:rsidRPr="00BD77D8" w:rsidRDefault="00B9311E" w:rsidP="00B9311E">
            <w:pPr>
              <w:spacing w:after="0" w:line="240" w:lineRule="auto"/>
              <w:rPr>
                <w:sz w:val="18"/>
                <w:szCs w:val="18"/>
              </w:rPr>
            </w:pPr>
            <w:r w:rsidRPr="00BD77D8">
              <w:rPr>
                <w:sz w:val="18"/>
                <w:szCs w:val="18"/>
              </w:rPr>
              <w:t>Commonwealth grants - non-specific obligations</w:t>
            </w:r>
          </w:p>
        </w:tc>
        <w:tc>
          <w:tcPr>
            <w:tcW w:w="983" w:type="dxa"/>
            <w:tcBorders>
              <w:top w:val="nil"/>
              <w:left w:val="nil"/>
              <w:bottom w:val="nil"/>
              <w:right w:val="nil"/>
            </w:tcBorders>
            <w:shd w:val="clear" w:color="auto" w:fill="auto"/>
            <w:vAlign w:val="bottom"/>
            <w:hideMark/>
          </w:tcPr>
          <w:p w14:paraId="7745531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58" w:type="dxa"/>
            <w:tcBorders>
              <w:top w:val="nil"/>
              <w:left w:val="nil"/>
              <w:bottom w:val="nil"/>
              <w:right w:val="nil"/>
            </w:tcBorders>
            <w:shd w:val="clear" w:color="auto" w:fill="auto"/>
            <w:vAlign w:val="bottom"/>
            <w:hideMark/>
          </w:tcPr>
          <w:p w14:paraId="3990EC19" w14:textId="77777777" w:rsidR="00B9311E" w:rsidRPr="00BD77D8" w:rsidRDefault="00B9311E" w:rsidP="00B9311E">
            <w:pPr>
              <w:spacing w:after="0" w:line="240" w:lineRule="auto"/>
              <w:jc w:val="right"/>
              <w:rPr>
                <w:sz w:val="18"/>
                <w:szCs w:val="18"/>
              </w:rPr>
            </w:pPr>
            <w:r w:rsidRPr="00BD77D8">
              <w:rPr>
                <w:sz w:val="18"/>
                <w:szCs w:val="18"/>
              </w:rPr>
              <w:t xml:space="preserve">             95 </w:t>
            </w:r>
          </w:p>
        </w:tc>
      </w:tr>
      <w:tr w:rsidR="00BD77D8" w:rsidRPr="00BD77D8" w14:paraId="0F5F19FC" w14:textId="77777777" w:rsidTr="003057FB">
        <w:trPr>
          <w:trHeight w:val="288"/>
        </w:trPr>
        <w:tc>
          <w:tcPr>
            <w:tcW w:w="8435" w:type="dxa"/>
            <w:tcBorders>
              <w:top w:val="nil"/>
              <w:left w:val="nil"/>
              <w:bottom w:val="nil"/>
              <w:right w:val="nil"/>
            </w:tcBorders>
            <w:shd w:val="clear" w:color="auto" w:fill="auto"/>
            <w:vAlign w:val="center"/>
            <w:hideMark/>
          </w:tcPr>
          <w:p w14:paraId="2D762044" w14:textId="77777777" w:rsidR="00B9311E" w:rsidRPr="00BD77D8" w:rsidRDefault="00B9311E" w:rsidP="00B9311E">
            <w:pPr>
              <w:spacing w:after="0" w:line="240" w:lineRule="auto"/>
              <w:rPr>
                <w:sz w:val="18"/>
                <w:szCs w:val="18"/>
              </w:rPr>
            </w:pPr>
            <w:r w:rsidRPr="00BD77D8">
              <w:rPr>
                <w:sz w:val="18"/>
                <w:szCs w:val="18"/>
              </w:rPr>
              <w:t>Other grants and contributions</w:t>
            </w:r>
          </w:p>
        </w:tc>
        <w:tc>
          <w:tcPr>
            <w:tcW w:w="983" w:type="dxa"/>
            <w:tcBorders>
              <w:top w:val="nil"/>
              <w:left w:val="nil"/>
              <w:bottom w:val="nil"/>
              <w:right w:val="nil"/>
            </w:tcBorders>
            <w:shd w:val="clear" w:color="auto" w:fill="auto"/>
            <w:vAlign w:val="bottom"/>
            <w:hideMark/>
          </w:tcPr>
          <w:p w14:paraId="27C0ADFE" w14:textId="77777777" w:rsidR="00B9311E" w:rsidRPr="00BD77D8" w:rsidRDefault="00B9311E" w:rsidP="00B9311E">
            <w:pPr>
              <w:spacing w:after="0" w:line="240" w:lineRule="auto"/>
              <w:jc w:val="right"/>
              <w:rPr>
                <w:b/>
                <w:bCs/>
                <w:sz w:val="18"/>
                <w:szCs w:val="18"/>
              </w:rPr>
            </w:pPr>
            <w:r w:rsidRPr="00BD77D8">
              <w:rPr>
                <w:b/>
                <w:bCs/>
                <w:sz w:val="18"/>
                <w:szCs w:val="18"/>
              </w:rPr>
              <w:t xml:space="preserve">           113 </w:t>
            </w:r>
          </w:p>
        </w:tc>
        <w:tc>
          <w:tcPr>
            <w:tcW w:w="958" w:type="dxa"/>
            <w:tcBorders>
              <w:top w:val="nil"/>
              <w:left w:val="nil"/>
              <w:bottom w:val="nil"/>
              <w:right w:val="nil"/>
            </w:tcBorders>
            <w:shd w:val="clear" w:color="auto" w:fill="auto"/>
            <w:vAlign w:val="bottom"/>
            <w:hideMark/>
          </w:tcPr>
          <w:p w14:paraId="25DFA239"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142626EE" w14:textId="77777777" w:rsidTr="003057FB">
        <w:trPr>
          <w:trHeight w:val="288"/>
        </w:trPr>
        <w:tc>
          <w:tcPr>
            <w:tcW w:w="8435" w:type="dxa"/>
            <w:tcBorders>
              <w:top w:val="nil"/>
              <w:left w:val="nil"/>
              <w:bottom w:val="nil"/>
              <w:right w:val="nil"/>
            </w:tcBorders>
            <w:shd w:val="clear" w:color="auto" w:fill="auto"/>
            <w:vAlign w:val="center"/>
            <w:hideMark/>
          </w:tcPr>
          <w:p w14:paraId="4E7491A4" w14:textId="77777777" w:rsidR="00B9311E" w:rsidRPr="00BD77D8" w:rsidRDefault="00B9311E" w:rsidP="00B9311E">
            <w:pPr>
              <w:spacing w:after="0" w:line="240" w:lineRule="auto"/>
              <w:rPr>
                <w:sz w:val="18"/>
                <w:szCs w:val="18"/>
              </w:rPr>
            </w:pPr>
            <w:r w:rsidRPr="00BD77D8">
              <w:rPr>
                <w:sz w:val="18"/>
                <w:szCs w:val="18"/>
              </w:rPr>
              <w:t>Services received below fair value *</w:t>
            </w:r>
          </w:p>
        </w:tc>
        <w:tc>
          <w:tcPr>
            <w:tcW w:w="983" w:type="dxa"/>
            <w:tcBorders>
              <w:top w:val="nil"/>
              <w:left w:val="nil"/>
              <w:bottom w:val="nil"/>
              <w:right w:val="nil"/>
            </w:tcBorders>
            <w:shd w:val="clear" w:color="auto" w:fill="auto"/>
            <w:vAlign w:val="bottom"/>
            <w:hideMark/>
          </w:tcPr>
          <w:p w14:paraId="69042A26" w14:textId="77777777" w:rsidR="00B9311E" w:rsidRPr="00BD77D8" w:rsidRDefault="00B9311E" w:rsidP="00B9311E">
            <w:pPr>
              <w:spacing w:after="0" w:line="240" w:lineRule="auto"/>
              <w:jc w:val="right"/>
              <w:rPr>
                <w:sz w:val="18"/>
                <w:szCs w:val="18"/>
              </w:rPr>
            </w:pPr>
            <w:r w:rsidRPr="00BD77D8">
              <w:rPr>
                <w:sz w:val="18"/>
                <w:szCs w:val="18"/>
              </w:rPr>
              <w:t xml:space="preserve">           401 </w:t>
            </w:r>
          </w:p>
        </w:tc>
        <w:tc>
          <w:tcPr>
            <w:tcW w:w="958" w:type="dxa"/>
            <w:tcBorders>
              <w:top w:val="nil"/>
              <w:left w:val="nil"/>
              <w:bottom w:val="nil"/>
              <w:right w:val="nil"/>
            </w:tcBorders>
            <w:shd w:val="clear" w:color="auto" w:fill="auto"/>
            <w:vAlign w:val="bottom"/>
            <w:hideMark/>
          </w:tcPr>
          <w:p w14:paraId="5FD1F162" w14:textId="77777777" w:rsidR="00B9311E" w:rsidRPr="00BD77D8" w:rsidRDefault="00B9311E" w:rsidP="00B9311E">
            <w:pPr>
              <w:spacing w:after="0" w:line="240" w:lineRule="auto"/>
              <w:jc w:val="right"/>
              <w:rPr>
                <w:sz w:val="18"/>
                <w:szCs w:val="18"/>
              </w:rPr>
            </w:pPr>
            <w:r w:rsidRPr="00BD77D8">
              <w:rPr>
                <w:sz w:val="18"/>
                <w:szCs w:val="18"/>
              </w:rPr>
              <w:t xml:space="preserve">       1,658 </w:t>
            </w:r>
          </w:p>
        </w:tc>
      </w:tr>
      <w:tr w:rsidR="00BD77D8" w:rsidRPr="00BD77D8" w14:paraId="374D2D22" w14:textId="77777777" w:rsidTr="003057FB">
        <w:trPr>
          <w:trHeight w:val="288"/>
        </w:trPr>
        <w:tc>
          <w:tcPr>
            <w:tcW w:w="8435" w:type="dxa"/>
            <w:tcBorders>
              <w:top w:val="nil"/>
              <w:left w:val="nil"/>
              <w:bottom w:val="nil"/>
              <w:right w:val="nil"/>
            </w:tcBorders>
            <w:shd w:val="clear" w:color="auto" w:fill="auto"/>
            <w:vAlign w:val="center"/>
            <w:hideMark/>
          </w:tcPr>
          <w:p w14:paraId="16B02246" w14:textId="77777777" w:rsidR="00B9311E" w:rsidRPr="00BD77D8" w:rsidRDefault="00B9311E" w:rsidP="00B9311E">
            <w:pPr>
              <w:spacing w:after="0" w:line="240" w:lineRule="auto"/>
              <w:rPr>
                <w:b/>
                <w:bCs/>
                <w:sz w:val="18"/>
                <w:szCs w:val="18"/>
              </w:rPr>
            </w:pPr>
            <w:r w:rsidRPr="00BD77D8">
              <w:rPr>
                <w:b/>
                <w:bCs/>
                <w:sz w:val="18"/>
                <w:szCs w:val="18"/>
              </w:rPr>
              <w:t>Total</w:t>
            </w:r>
          </w:p>
        </w:tc>
        <w:tc>
          <w:tcPr>
            <w:tcW w:w="983" w:type="dxa"/>
            <w:tcBorders>
              <w:top w:val="single" w:sz="4" w:space="0" w:color="auto"/>
              <w:left w:val="nil"/>
              <w:bottom w:val="single" w:sz="4" w:space="0" w:color="auto"/>
              <w:right w:val="nil"/>
            </w:tcBorders>
            <w:shd w:val="clear" w:color="auto" w:fill="auto"/>
            <w:vAlign w:val="bottom"/>
            <w:hideMark/>
          </w:tcPr>
          <w:p w14:paraId="7E1F988A" w14:textId="77777777" w:rsidR="00B9311E" w:rsidRPr="00BD77D8" w:rsidRDefault="00B9311E" w:rsidP="00B9311E">
            <w:pPr>
              <w:spacing w:after="0" w:line="240" w:lineRule="auto"/>
              <w:jc w:val="right"/>
              <w:rPr>
                <w:b/>
                <w:bCs/>
                <w:sz w:val="18"/>
                <w:szCs w:val="18"/>
              </w:rPr>
            </w:pPr>
            <w:r w:rsidRPr="00BD77D8">
              <w:rPr>
                <w:b/>
                <w:bCs/>
                <w:sz w:val="18"/>
                <w:szCs w:val="18"/>
              </w:rPr>
              <w:t>11,209</w:t>
            </w:r>
          </w:p>
        </w:tc>
        <w:tc>
          <w:tcPr>
            <w:tcW w:w="958" w:type="dxa"/>
            <w:tcBorders>
              <w:top w:val="single" w:sz="4" w:space="0" w:color="auto"/>
              <w:left w:val="nil"/>
              <w:bottom w:val="single" w:sz="4" w:space="0" w:color="auto"/>
              <w:right w:val="nil"/>
            </w:tcBorders>
            <w:shd w:val="clear" w:color="auto" w:fill="auto"/>
            <w:vAlign w:val="bottom"/>
            <w:hideMark/>
          </w:tcPr>
          <w:p w14:paraId="1D2BE06B" w14:textId="77777777" w:rsidR="00B9311E" w:rsidRPr="00BD77D8" w:rsidRDefault="00B9311E" w:rsidP="00B9311E">
            <w:pPr>
              <w:spacing w:after="0" w:line="240" w:lineRule="auto"/>
              <w:jc w:val="right"/>
              <w:rPr>
                <w:b/>
                <w:bCs/>
                <w:sz w:val="18"/>
                <w:szCs w:val="18"/>
              </w:rPr>
            </w:pPr>
            <w:r w:rsidRPr="00BD77D8">
              <w:rPr>
                <w:b/>
                <w:bCs/>
                <w:sz w:val="18"/>
                <w:szCs w:val="18"/>
              </w:rPr>
              <w:t>13,489</w:t>
            </w:r>
          </w:p>
        </w:tc>
      </w:tr>
    </w:tbl>
    <w:p w14:paraId="30C28F33" w14:textId="77777777" w:rsidR="00DE382E" w:rsidRPr="00BD77D8" w:rsidRDefault="00B9311E" w:rsidP="00587E62">
      <w:pPr>
        <w:spacing w:before="240" w:after="0" w:line="206" w:lineRule="exact"/>
        <w:ind w:right="646"/>
        <w:textAlignment w:val="baseline"/>
        <w:rPr>
          <w:rFonts w:eastAsia="PMingLiU"/>
          <w:sz w:val="16"/>
          <w:szCs w:val="20"/>
          <w:lang w:eastAsia="en-US"/>
        </w:rPr>
      </w:pPr>
      <w:r w:rsidRPr="00BD77D8">
        <w:rPr>
          <w:rFonts w:eastAsia="PMingLiU"/>
          <w:sz w:val="16"/>
          <w:szCs w:val="20"/>
          <w:lang w:eastAsia="en-US"/>
        </w:rPr>
        <w:t>* Services received below fair value includes archiving services provided by Queensland State Archives (2021-22 $327K, 2020-21 $198K) and COVID 19 test kits supplied by Queensland Health (2021-22 $74K, 2020-21 Nil). Services received below fair value in 2020-21 included $1.4 million relating to volunteer services for Community Recovery. The Community Recovery program was transferred to Department of Communities, Housing and Digital Economy in the 2020 Machinery-of-Government changes</w:t>
      </w:r>
      <w:r w:rsidRPr="00BD77D8" w:rsidDel="0099297B">
        <w:rPr>
          <w:rFonts w:eastAsia="PMingLiU"/>
          <w:sz w:val="16"/>
          <w:szCs w:val="20"/>
          <w:lang w:eastAsia="en-US"/>
        </w:rPr>
        <w:t xml:space="preserve"> </w:t>
      </w:r>
    </w:p>
    <w:p w14:paraId="10512B44" w14:textId="12493D0B" w:rsidR="00B9311E" w:rsidRPr="00BD77D8" w:rsidRDefault="00DE382E" w:rsidP="00C3515C">
      <w:pPr>
        <w:spacing w:before="3120" w:after="0" w:line="206" w:lineRule="exact"/>
        <w:ind w:right="646"/>
        <w:textAlignment w:val="baseline"/>
        <w:rPr>
          <w:sz w:val="18"/>
          <w:szCs w:val="18"/>
        </w:rPr>
      </w:pP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8"/>
          <w:szCs w:val="18"/>
          <w:lang w:eastAsia="en-US"/>
        </w:rPr>
        <w:t>Page 15 of 45</w:t>
      </w:r>
      <w:r w:rsidR="00B9311E" w:rsidRPr="00BD77D8">
        <w:rPr>
          <w:sz w:val="18"/>
          <w:szCs w:val="18"/>
        </w:rPr>
        <w:br w:type="page"/>
      </w:r>
    </w:p>
    <w:p w14:paraId="14F57EC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90CB504"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7891A7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1C83F8A" w14:textId="77777777" w:rsidR="00B9311E" w:rsidRPr="00BD77D8" w:rsidRDefault="00B9311E" w:rsidP="00B9311E">
      <w:pPr>
        <w:pBdr>
          <w:bottom w:val="single" w:sz="4" w:space="1" w:color="auto"/>
        </w:pBdr>
        <w:spacing w:after="0" w:line="199" w:lineRule="exact"/>
        <w:textAlignment w:val="baseline"/>
        <w:rPr>
          <w:rFonts w:eastAsia="Arial"/>
          <w:b/>
          <w:bCs/>
          <w:sz w:val="18"/>
          <w:szCs w:val="18"/>
          <w:lang w:eastAsia="en-US"/>
        </w:rPr>
      </w:pPr>
    </w:p>
    <w:p w14:paraId="38AEC31D" w14:textId="77777777" w:rsidR="00B9311E" w:rsidRPr="00BD77D8" w:rsidRDefault="00B9311E" w:rsidP="00E47A6E">
      <w:pPr>
        <w:spacing w:before="240" w:after="240" w:line="206" w:lineRule="exact"/>
        <w:ind w:right="505"/>
        <w:textAlignment w:val="baseline"/>
        <w:rPr>
          <w:rFonts w:eastAsia="Arial"/>
          <w:b/>
          <w:bCs/>
          <w:sz w:val="18"/>
          <w:szCs w:val="18"/>
          <w:lang w:eastAsia="en-US"/>
        </w:rPr>
      </w:pPr>
      <w:r w:rsidRPr="00BD77D8">
        <w:rPr>
          <w:rFonts w:eastAsia="Arial"/>
          <w:b/>
          <w:bCs/>
          <w:sz w:val="18"/>
          <w:szCs w:val="18"/>
          <w:lang w:eastAsia="en-US"/>
        </w:rPr>
        <w:t>Accounting policy - Grants, contributions and donations</w:t>
      </w:r>
    </w:p>
    <w:p w14:paraId="7DF247B6" w14:textId="77777777" w:rsidR="00B9311E" w:rsidRPr="00BD77D8" w:rsidRDefault="00B9311E" w:rsidP="00587E62">
      <w:pPr>
        <w:spacing w:after="240" w:line="208" w:lineRule="exact"/>
        <w:ind w:right="144"/>
        <w:textAlignment w:val="baseline"/>
        <w:rPr>
          <w:rFonts w:eastAsia="Arial"/>
          <w:b/>
          <w:bCs/>
          <w:sz w:val="18"/>
          <w:szCs w:val="18"/>
          <w:lang w:eastAsia="en-US"/>
        </w:rPr>
      </w:pPr>
      <w:r w:rsidRPr="00BD77D8">
        <w:rPr>
          <w:rFonts w:eastAsia="Arial"/>
          <w:sz w:val="18"/>
          <w:szCs w:val="18"/>
          <w:lang w:eastAsia="en-US"/>
        </w:rPr>
        <w:t>Grants, contributions and donations revenue arise from non-exchange transactions where the department does not directly give approximately equal value to the grantor.</w:t>
      </w:r>
    </w:p>
    <w:p w14:paraId="52B61E48" w14:textId="36074F4D" w:rsidR="00B9311E" w:rsidRPr="00BD77D8" w:rsidRDefault="00B9311E" w:rsidP="00587E62">
      <w:pPr>
        <w:spacing w:after="240" w:line="208" w:lineRule="exact"/>
        <w:ind w:right="144"/>
        <w:textAlignment w:val="baseline"/>
        <w:rPr>
          <w:rFonts w:eastAsia="Arial"/>
          <w:b/>
          <w:bCs/>
          <w:sz w:val="18"/>
          <w:szCs w:val="18"/>
          <w:lang w:eastAsia="en-US"/>
        </w:rPr>
      </w:pPr>
      <w:r w:rsidRPr="00BD77D8">
        <w:rPr>
          <w:rFonts w:eastAsia="Arial"/>
          <w:sz w:val="18"/>
          <w:szCs w:val="18"/>
          <w:lang w:eastAsia="en-US"/>
        </w:rPr>
        <w:t>Where the grant agreement is enforceable and contains sufficiently specific performance obligations for the department to</w:t>
      </w:r>
      <w:r w:rsidRPr="00BD77D8">
        <w:rPr>
          <w:rFonts w:eastAsia="Arial"/>
          <w:sz w:val="18"/>
          <w:szCs w:val="18"/>
          <w:lang w:eastAsia="en-US"/>
        </w:rPr>
        <w:cr/>
        <w:t>transfer goods or services to a third-party on the grantor’s behalf, the transaction is accounted for under AASB 15</w:t>
      </w:r>
      <w:r w:rsidRPr="00BD77D8">
        <w:rPr>
          <w:rFonts w:eastAsia="Arial"/>
          <w:i/>
          <w:iCs/>
          <w:sz w:val="18"/>
          <w:szCs w:val="18"/>
          <w:lang w:eastAsia="en-US"/>
        </w:rPr>
        <w:t xml:space="preserve"> Revenue from Contracts with Customers</w:t>
      </w:r>
      <w:r w:rsidRPr="00BD77D8">
        <w:rPr>
          <w:rFonts w:eastAsia="Arial"/>
          <w:sz w:val="18"/>
          <w:szCs w:val="18"/>
          <w:lang w:eastAsia="en-US"/>
        </w:rPr>
        <w:t>. In this case, revenue is initially deferred (as a contract liability) and recognised as or when the performance obligations are satisfied.</w:t>
      </w:r>
    </w:p>
    <w:p w14:paraId="2FB49217" w14:textId="006F5DF3" w:rsidR="00B9311E" w:rsidRPr="00BD77D8" w:rsidRDefault="00B9311E" w:rsidP="00587E62">
      <w:pPr>
        <w:spacing w:after="240" w:line="208" w:lineRule="exact"/>
        <w:ind w:right="144"/>
        <w:textAlignment w:val="baseline"/>
        <w:rPr>
          <w:rFonts w:eastAsia="Arial"/>
          <w:b/>
          <w:bCs/>
          <w:sz w:val="18"/>
          <w:szCs w:val="18"/>
          <w:lang w:eastAsia="en-US"/>
        </w:rPr>
      </w:pPr>
      <w:r w:rsidRPr="00BD77D8">
        <w:rPr>
          <w:rFonts w:eastAsia="Arial"/>
          <w:sz w:val="18"/>
          <w:szCs w:val="18"/>
          <w:lang w:eastAsia="en-US"/>
        </w:rPr>
        <w:t>Otherwise, the grant is accounted for under AASB 1058</w:t>
      </w:r>
      <w:r w:rsidRPr="00BD77D8">
        <w:rPr>
          <w:rFonts w:eastAsia="Arial"/>
          <w:i/>
          <w:iCs/>
          <w:sz w:val="18"/>
          <w:szCs w:val="18"/>
          <w:lang w:eastAsia="en-US"/>
        </w:rPr>
        <w:t xml:space="preserve"> Income of Not-for-Profit Entities</w:t>
      </w:r>
      <w:r w:rsidRPr="00BD77D8">
        <w:rPr>
          <w:rFonts w:eastAsia="Arial"/>
          <w:sz w:val="18"/>
          <w:szCs w:val="18"/>
          <w:lang w:eastAsia="en-US"/>
        </w:rPr>
        <w:t>, whereby revenue is recognised upon receipt of the grant funding, except for special purpose capital grants received to construct non-financial assets to be controlled by the department. Special purpose capital grants are recognised as unearned revenue when received, and subsequently recognised progressively as revenue as the department satisfies its obligations under the grant through construction of the asset.</w:t>
      </w:r>
    </w:p>
    <w:p w14:paraId="0A6BD549" w14:textId="77777777" w:rsidR="00B9311E" w:rsidRPr="00BD77D8" w:rsidRDefault="00B9311E" w:rsidP="00587E62">
      <w:pPr>
        <w:spacing w:after="240" w:line="199" w:lineRule="exact"/>
        <w:textAlignment w:val="baseline"/>
        <w:rPr>
          <w:rFonts w:eastAsia="Arial"/>
          <w:b/>
          <w:bCs/>
          <w:sz w:val="18"/>
          <w:szCs w:val="18"/>
          <w:lang w:eastAsia="en-US"/>
        </w:rPr>
      </w:pPr>
      <w:r w:rsidRPr="00BD77D8">
        <w:rPr>
          <w:rFonts w:eastAsia="Arial"/>
          <w:b/>
          <w:bCs/>
          <w:sz w:val="18"/>
          <w:szCs w:val="18"/>
          <w:lang w:eastAsia="en-US"/>
        </w:rPr>
        <w:t>Disclosure – Grants and contributions</w:t>
      </w:r>
    </w:p>
    <w:p w14:paraId="29796CBC" w14:textId="77777777" w:rsidR="00B9311E" w:rsidRPr="00BD77D8" w:rsidRDefault="00B9311E" w:rsidP="00587E62">
      <w:pPr>
        <w:spacing w:after="240" w:line="208" w:lineRule="exact"/>
        <w:ind w:right="576"/>
        <w:textAlignment w:val="baseline"/>
        <w:rPr>
          <w:rFonts w:eastAsia="Arial"/>
          <w:b/>
          <w:bCs/>
          <w:sz w:val="18"/>
          <w:szCs w:val="18"/>
          <w:lang w:eastAsia="en-US"/>
        </w:rPr>
      </w:pPr>
      <w:r w:rsidRPr="00BD77D8">
        <w:rPr>
          <w:rFonts w:eastAsia="Arial"/>
          <w:sz w:val="18"/>
          <w:szCs w:val="18"/>
          <w:lang w:eastAsia="en-US"/>
        </w:rPr>
        <w:t>The department has a number of grant arrangements with the Commonwealth that relate to funding of activity-based services. One of these arrangements is for the Disability Services for Older Australians (DSOA) program and has been identified as having sufficiently specific performance obligations under enforceable grant agreements.</w:t>
      </w:r>
    </w:p>
    <w:p w14:paraId="56CFC2D4" w14:textId="77777777" w:rsidR="00B9311E" w:rsidRPr="00BD77D8" w:rsidRDefault="00B9311E" w:rsidP="00B9311E">
      <w:pPr>
        <w:spacing w:after="0" w:line="208" w:lineRule="exact"/>
        <w:ind w:right="576"/>
        <w:textAlignment w:val="baseline"/>
        <w:rPr>
          <w:rFonts w:eastAsia="Arial"/>
          <w:b/>
          <w:bCs/>
          <w:sz w:val="18"/>
          <w:szCs w:val="18"/>
          <w:lang w:eastAsia="en-US"/>
        </w:rPr>
      </w:pPr>
      <w:r w:rsidRPr="00BD77D8">
        <w:rPr>
          <w:rFonts w:eastAsia="Arial"/>
          <w:sz w:val="18"/>
          <w:szCs w:val="18"/>
          <w:lang w:eastAsia="en-US"/>
        </w:rPr>
        <w:t xml:space="preserve">The remaining Commonwealth grants, although under enforceable agreements, do not contain sufficiently specific </w:t>
      </w:r>
    </w:p>
    <w:p w14:paraId="7B722404" w14:textId="77777777" w:rsidR="00B9311E" w:rsidRPr="00BD77D8" w:rsidRDefault="00B9311E" w:rsidP="00587E62">
      <w:pPr>
        <w:spacing w:after="240" w:line="208" w:lineRule="exact"/>
        <w:ind w:right="576"/>
        <w:textAlignment w:val="baseline"/>
        <w:rPr>
          <w:rFonts w:eastAsia="Arial"/>
          <w:b/>
          <w:bCs/>
          <w:sz w:val="18"/>
          <w:szCs w:val="18"/>
          <w:lang w:eastAsia="en-US"/>
        </w:rPr>
      </w:pPr>
      <w:r w:rsidRPr="00BD77D8">
        <w:rPr>
          <w:rFonts w:eastAsia="Arial"/>
          <w:sz w:val="18"/>
          <w:szCs w:val="18"/>
          <w:lang w:eastAsia="en-US"/>
        </w:rPr>
        <w:t>performance obligations, these grants are recognised upon receipt.</w:t>
      </w:r>
    </w:p>
    <w:p w14:paraId="0024619C" w14:textId="77777777" w:rsidR="00B9311E" w:rsidRPr="00BD77D8" w:rsidRDefault="00B9311E" w:rsidP="00587E62">
      <w:pPr>
        <w:spacing w:after="240" w:line="199" w:lineRule="exact"/>
        <w:textAlignment w:val="baseline"/>
        <w:rPr>
          <w:rFonts w:eastAsia="Arial"/>
          <w:b/>
          <w:bCs/>
          <w:sz w:val="18"/>
          <w:szCs w:val="18"/>
          <w:lang w:eastAsia="en-US"/>
        </w:rPr>
      </w:pPr>
      <w:r w:rsidRPr="00BD77D8">
        <w:rPr>
          <w:rFonts w:eastAsia="Arial"/>
          <w:b/>
          <w:bCs/>
          <w:sz w:val="18"/>
          <w:szCs w:val="18"/>
          <w:lang w:eastAsia="en-US"/>
        </w:rPr>
        <w:t>Accounting policy - Services received below fair value</w:t>
      </w:r>
    </w:p>
    <w:p w14:paraId="2B3E7A5D" w14:textId="77777777" w:rsidR="00B9311E" w:rsidRPr="00BD77D8" w:rsidRDefault="00B9311E" w:rsidP="00587E62">
      <w:pPr>
        <w:spacing w:after="240" w:line="208" w:lineRule="exact"/>
        <w:ind w:right="72"/>
        <w:textAlignment w:val="baseline"/>
        <w:rPr>
          <w:rFonts w:eastAsia="Arial"/>
          <w:b/>
          <w:bCs/>
          <w:sz w:val="18"/>
          <w:szCs w:val="18"/>
          <w:lang w:eastAsia="en-US"/>
        </w:rPr>
      </w:pPr>
      <w:r w:rsidRPr="00BD77D8">
        <w:rPr>
          <w:rFonts w:eastAsia="Arial"/>
          <w:sz w:val="18"/>
          <w:szCs w:val="18"/>
          <w:lang w:eastAsia="en-US"/>
        </w:rPr>
        <w:t>Contributions of services are recognised only if the services would have been purchased if they had not been donated and their fair value can be measured reliably. Where this is the case, an equal amount is recognised as revenue and expense.</w:t>
      </w:r>
    </w:p>
    <w:p w14:paraId="07CC433D" w14:textId="77777777" w:rsidR="00B9311E" w:rsidRPr="00BD77D8" w:rsidRDefault="00B9311E" w:rsidP="00B9311E">
      <w:pPr>
        <w:spacing w:after="0" w:line="240" w:lineRule="auto"/>
        <w:rPr>
          <w:rFonts w:eastAsia="PMingLiU"/>
          <w:b/>
          <w:bCs/>
          <w:sz w:val="18"/>
          <w:szCs w:val="22"/>
          <w:lang w:val="en-US" w:eastAsia="en-US"/>
        </w:rPr>
      </w:pPr>
      <w:r w:rsidRPr="00BD77D8">
        <w:rPr>
          <w:b/>
          <w:bCs/>
          <w:sz w:val="18"/>
          <w:szCs w:val="18"/>
        </w:rPr>
        <w:t>B1-4 Other Revenue</w:t>
      </w:r>
      <w:r w:rsidRPr="00BD77D8">
        <w:rPr>
          <w:rFonts w:eastAsia="PMingLiU"/>
          <w:b/>
          <w:bCs/>
          <w:sz w:val="18"/>
          <w:szCs w:val="22"/>
          <w:lang w:eastAsia="en-US"/>
        </w:rPr>
        <w:t xml:space="preserve"> </w:t>
      </w:r>
    </w:p>
    <w:tbl>
      <w:tblPr>
        <w:tblW w:w="10169" w:type="dxa"/>
        <w:tblCellMar>
          <w:left w:w="0" w:type="dxa"/>
          <w:right w:w="0" w:type="dxa"/>
        </w:tblCellMar>
        <w:tblLook w:val="04A0" w:firstRow="1" w:lastRow="0" w:firstColumn="1" w:lastColumn="0" w:noHBand="0" w:noVBand="1"/>
      </w:tblPr>
      <w:tblGrid>
        <w:gridCol w:w="7954"/>
        <w:gridCol w:w="1150"/>
        <w:gridCol w:w="1113"/>
      </w:tblGrid>
      <w:tr w:rsidR="00BD77D8" w:rsidRPr="00BD77D8" w14:paraId="408FE487" w14:textId="77777777" w:rsidTr="003057FB">
        <w:trPr>
          <w:trHeight w:val="287"/>
        </w:trPr>
        <w:tc>
          <w:tcPr>
            <w:tcW w:w="7938" w:type="dxa"/>
            <w:tcBorders>
              <w:top w:val="nil"/>
              <w:left w:val="nil"/>
              <w:bottom w:val="nil"/>
              <w:right w:val="nil"/>
            </w:tcBorders>
            <w:shd w:val="clear" w:color="auto" w:fill="auto"/>
            <w:noWrap/>
            <w:vAlign w:val="bottom"/>
            <w:hideMark/>
          </w:tcPr>
          <w:p w14:paraId="423C3D52" w14:textId="77777777" w:rsidR="00B9311E" w:rsidRPr="00BD77D8" w:rsidRDefault="00B9311E" w:rsidP="00B9311E">
            <w:pPr>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1C095B8B"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97" w:type="dxa"/>
            <w:tcBorders>
              <w:top w:val="nil"/>
              <w:left w:val="nil"/>
              <w:bottom w:val="nil"/>
              <w:right w:val="nil"/>
            </w:tcBorders>
            <w:shd w:val="clear" w:color="auto" w:fill="auto"/>
            <w:noWrap/>
            <w:vAlign w:val="bottom"/>
            <w:hideMark/>
          </w:tcPr>
          <w:p w14:paraId="2E09946D"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3FCA7272" w14:textId="77777777" w:rsidTr="003057FB">
        <w:trPr>
          <w:trHeight w:val="287"/>
        </w:trPr>
        <w:tc>
          <w:tcPr>
            <w:tcW w:w="7938" w:type="dxa"/>
            <w:tcBorders>
              <w:top w:val="nil"/>
              <w:left w:val="nil"/>
              <w:bottom w:val="nil"/>
              <w:right w:val="nil"/>
            </w:tcBorders>
            <w:shd w:val="clear" w:color="auto" w:fill="auto"/>
            <w:noWrap/>
            <w:vAlign w:val="bottom"/>
            <w:hideMark/>
          </w:tcPr>
          <w:p w14:paraId="6B3EDB18" w14:textId="77777777" w:rsidR="00B9311E" w:rsidRPr="00BD77D8" w:rsidRDefault="00B9311E" w:rsidP="00B9311E">
            <w:pPr>
              <w:spacing w:after="0" w:line="240" w:lineRule="auto"/>
              <w:jc w:val="right"/>
              <w:rPr>
                <w:sz w:val="18"/>
                <w:szCs w:val="18"/>
              </w:rPr>
            </w:pPr>
          </w:p>
        </w:tc>
        <w:tc>
          <w:tcPr>
            <w:tcW w:w="1134" w:type="dxa"/>
            <w:tcBorders>
              <w:top w:val="nil"/>
              <w:left w:val="nil"/>
              <w:bottom w:val="single" w:sz="4" w:space="0" w:color="auto"/>
              <w:right w:val="nil"/>
            </w:tcBorders>
            <w:shd w:val="clear" w:color="auto" w:fill="auto"/>
            <w:noWrap/>
            <w:vAlign w:val="bottom"/>
            <w:hideMark/>
          </w:tcPr>
          <w:p w14:paraId="65680F91"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097" w:type="dxa"/>
            <w:tcBorders>
              <w:top w:val="nil"/>
              <w:left w:val="nil"/>
              <w:bottom w:val="single" w:sz="4" w:space="0" w:color="auto"/>
              <w:right w:val="nil"/>
            </w:tcBorders>
            <w:shd w:val="clear" w:color="auto" w:fill="auto"/>
            <w:noWrap/>
            <w:vAlign w:val="bottom"/>
            <w:hideMark/>
          </w:tcPr>
          <w:p w14:paraId="642A2496"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507F41E9" w14:textId="77777777" w:rsidTr="003057FB">
        <w:trPr>
          <w:trHeight w:val="287"/>
        </w:trPr>
        <w:tc>
          <w:tcPr>
            <w:tcW w:w="7938" w:type="dxa"/>
            <w:tcBorders>
              <w:top w:val="nil"/>
              <w:left w:val="nil"/>
              <w:bottom w:val="nil"/>
              <w:right w:val="nil"/>
            </w:tcBorders>
            <w:shd w:val="clear" w:color="auto" w:fill="auto"/>
            <w:vAlign w:val="center"/>
            <w:hideMark/>
          </w:tcPr>
          <w:p w14:paraId="54956517" w14:textId="77777777" w:rsidR="00B9311E" w:rsidRPr="00BD77D8" w:rsidRDefault="00B9311E" w:rsidP="00B9311E">
            <w:pPr>
              <w:spacing w:after="0" w:line="240" w:lineRule="auto"/>
              <w:rPr>
                <w:sz w:val="18"/>
                <w:szCs w:val="18"/>
              </w:rPr>
            </w:pPr>
            <w:r w:rsidRPr="00BD77D8">
              <w:rPr>
                <w:sz w:val="18"/>
                <w:szCs w:val="18"/>
              </w:rPr>
              <w:t>Expenditure recoveries</w:t>
            </w:r>
          </w:p>
        </w:tc>
        <w:tc>
          <w:tcPr>
            <w:tcW w:w="1134" w:type="dxa"/>
            <w:tcBorders>
              <w:top w:val="nil"/>
              <w:left w:val="nil"/>
              <w:bottom w:val="nil"/>
              <w:right w:val="nil"/>
            </w:tcBorders>
            <w:shd w:val="clear" w:color="auto" w:fill="auto"/>
            <w:vAlign w:val="bottom"/>
            <w:hideMark/>
          </w:tcPr>
          <w:p w14:paraId="02540FDB" w14:textId="77777777" w:rsidR="00B9311E" w:rsidRPr="00BD77D8" w:rsidRDefault="00B9311E" w:rsidP="00B9311E">
            <w:pPr>
              <w:spacing w:after="0" w:line="240" w:lineRule="auto"/>
              <w:jc w:val="right"/>
              <w:rPr>
                <w:sz w:val="18"/>
                <w:szCs w:val="18"/>
              </w:rPr>
            </w:pPr>
            <w:r w:rsidRPr="00BD77D8">
              <w:rPr>
                <w:sz w:val="18"/>
                <w:szCs w:val="18"/>
              </w:rPr>
              <w:t xml:space="preserve">           431 </w:t>
            </w:r>
          </w:p>
        </w:tc>
        <w:tc>
          <w:tcPr>
            <w:tcW w:w="1097" w:type="dxa"/>
            <w:tcBorders>
              <w:top w:val="nil"/>
              <w:left w:val="nil"/>
              <w:bottom w:val="nil"/>
              <w:right w:val="nil"/>
            </w:tcBorders>
            <w:shd w:val="clear" w:color="auto" w:fill="auto"/>
            <w:vAlign w:val="bottom"/>
            <w:hideMark/>
          </w:tcPr>
          <w:p w14:paraId="6DF0F8A2" w14:textId="77777777" w:rsidR="00B9311E" w:rsidRPr="00BD77D8" w:rsidRDefault="00B9311E" w:rsidP="00B9311E">
            <w:pPr>
              <w:spacing w:after="0" w:line="240" w:lineRule="auto"/>
              <w:jc w:val="right"/>
              <w:rPr>
                <w:sz w:val="18"/>
                <w:szCs w:val="18"/>
              </w:rPr>
            </w:pPr>
            <w:r w:rsidRPr="00BD77D8">
              <w:rPr>
                <w:sz w:val="18"/>
                <w:szCs w:val="18"/>
              </w:rPr>
              <w:t xml:space="preserve">               5 </w:t>
            </w:r>
          </w:p>
        </w:tc>
      </w:tr>
      <w:tr w:rsidR="00BD77D8" w:rsidRPr="00BD77D8" w14:paraId="35B8C70B" w14:textId="77777777" w:rsidTr="003057FB">
        <w:trPr>
          <w:trHeight w:val="287"/>
        </w:trPr>
        <w:tc>
          <w:tcPr>
            <w:tcW w:w="7938" w:type="dxa"/>
            <w:tcBorders>
              <w:top w:val="nil"/>
              <w:left w:val="nil"/>
              <w:bottom w:val="nil"/>
              <w:right w:val="nil"/>
            </w:tcBorders>
            <w:shd w:val="clear" w:color="auto" w:fill="auto"/>
            <w:vAlign w:val="center"/>
            <w:hideMark/>
          </w:tcPr>
          <w:p w14:paraId="3D105725" w14:textId="77777777" w:rsidR="00B9311E" w:rsidRPr="00BD77D8" w:rsidRDefault="00B9311E" w:rsidP="00B9311E">
            <w:pPr>
              <w:spacing w:after="0" w:line="240" w:lineRule="auto"/>
              <w:rPr>
                <w:sz w:val="18"/>
                <w:szCs w:val="18"/>
              </w:rPr>
            </w:pPr>
            <w:r w:rsidRPr="00BD77D8">
              <w:rPr>
                <w:sz w:val="18"/>
                <w:szCs w:val="18"/>
              </w:rPr>
              <w:t>Grant and service procurement refunds^</w:t>
            </w:r>
          </w:p>
        </w:tc>
        <w:tc>
          <w:tcPr>
            <w:tcW w:w="1134" w:type="dxa"/>
            <w:tcBorders>
              <w:top w:val="nil"/>
              <w:left w:val="nil"/>
              <w:bottom w:val="nil"/>
              <w:right w:val="nil"/>
            </w:tcBorders>
            <w:shd w:val="clear" w:color="auto" w:fill="auto"/>
            <w:vAlign w:val="bottom"/>
            <w:hideMark/>
          </w:tcPr>
          <w:p w14:paraId="36EBF591" w14:textId="77777777" w:rsidR="00B9311E" w:rsidRPr="00BD77D8" w:rsidRDefault="00B9311E" w:rsidP="00B9311E">
            <w:pPr>
              <w:spacing w:after="0" w:line="240" w:lineRule="auto"/>
              <w:jc w:val="right"/>
              <w:rPr>
                <w:sz w:val="18"/>
                <w:szCs w:val="18"/>
              </w:rPr>
            </w:pPr>
            <w:r w:rsidRPr="00BD77D8">
              <w:rPr>
                <w:sz w:val="18"/>
                <w:szCs w:val="18"/>
              </w:rPr>
              <w:t xml:space="preserve">       1,484 </w:t>
            </w:r>
          </w:p>
        </w:tc>
        <w:tc>
          <w:tcPr>
            <w:tcW w:w="1097" w:type="dxa"/>
            <w:tcBorders>
              <w:top w:val="nil"/>
              <w:left w:val="nil"/>
              <w:bottom w:val="nil"/>
              <w:right w:val="nil"/>
            </w:tcBorders>
            <w:shd w:val="clear" w:color="auto" w:fill="auto"/>
            <w:vAlign w:val="bottom"/>
            <w:hideMark/>
          </w:tcPr>
          <w:p w14:paraId="15388E53" w14:textId="77777777" w:rsidR="00B9311E" w:rsidRPr="00BD77D8" w:rsidRDefault="00B9311E" w:rsidP="00B9311E">
            <w:pPr>
              <w:spacing w:after="0" w:line="240" w:lineRule="auto"/>
              <w:jc w:val="right"/>
              <w:rPr>
                <w:sz w:val="18"/>
                <w:szCs w:val="18"/>
              </w:rPr>
            </w:pPr>
            <w:r w:rsidRPr="00BD77D8">
              <w:rPr>
                <w:sz w:val="18"/>
                <w:szCs w:val="18"/>
              </w:rPr>
              <w:t xml:space="preserve">       2,283 </w:t>
            </w:r>
          </w:p>
        </w:tc>
      </w:tr>
      <w:tr w:rsidR="00BD77D8" w:rsidRPr="00BD77D8" w14:paraId="0DEA3931" w14:textId="77777777" w:rsidTr="003057FB">
        <w:trPr>
          <w:trHeight w:val="287"/>
        </w:trPr>
        <w:tc>
          <w:tcPr>
            <w:tcW w:w="7938" w:type="dxa"/>
            <w:tcBorders>
              <w:top w:val="nil"/>
              <w:left w:val="nil"/>
              <w:bottom w:val="nil"/>
              <w:right w:val="nil"/>
            </w:tcBorders>
            <w:shd w:val="clear" w:color="auto" w:fill="auto"/>
            <w:vAlign w:val="center"/>
            <w:hideMark/>
          </w:tcPr>
          <w:p w14:paraId="0CB8B004" w14:textId="77777777" w:rsidR="00B9311E" w:rsidRPr="00BD77D8" w:rsidRDefault="00B9311E" w:rsidP="00B9311E">
            <w:pPr>
              <w:spacing w:after="0" w:line="240" w:lineRule="auto"/>
              <w:rPr>
                <w:sz w:val="18"/>
                <w:szCs w:val="18"/>
              </w:rPr>
            </w:pPr>
            <w:r w:rsidRPr="00BD77D8">
              <w:rPr>
                <w:sz w:val="18"/>
                <w:szCs w:val="18"/>
              </w:rPr>
              <w:t>Other</w:t>
            </w:r>
          </w:p>
        </w:tc>
        <w:tc>
          <w:tcPr>
            <w:tcW w:w="1134" w:type="dxa"/>
            <w:tcBorders>
              <w:top w:val="nil"/>
              <w:left w:val="nil"/>
              <w:bottom w:val="nil"/>
              <w:right w:val="nil"/>
            </w:tcBorders>
            <w:shd w:val="clear" w:color="auto" w:fill="auto"/>
            <w:vAlign w:val="bottom"/>
            <w:hideMark/>
          </w:tcPr>
          <w:p w14:paraId="244533B7" w14:textId="77777777" w:rsidR="00B9311E" w:rsidRPr="00BD77D8" w:rsidRDefault="00B9311E" w:rsidP="00B9311E">
            <w:pPr>
              <w:spacing w:after="0" w:line="240" w:lineRule="auto"/>
              <w:jc w:val="right"/>
              <w:rPr>
                <w:sz w:val="18"/>
                <w:szCs w:val="18"/>
              </w:rPr>
            </w:pPr>
            <w:r w:rsidRPr="00BD77D8">
              <w:rPr>
                <w:sz w:val="18"/>
                <w:szCs w:val="18"/>
              </w:rPr>
              <w:t xml:space="preserve">       1,054 </w:t>
            </w:r>
          </w:p>
        </w:tc>
        <w:tc>
          <w:tcPr>
            <w:tcW w:w="1097" w:type="dxa"/>
            <w:tcBorders>
              <w:top w:val="nil"/>
              <w:left w:val="nil"/>
              <w:bottom w:val="nil"/>
              <w:right w:val="nil"/>
            </w:tcBorders>
            <w:shd w:val="clear" w:color="auto" w:fill="auto"/>
            <w:vAlign w:val="bottom"/>
            <w:hideMark/>
          </w:tcPr>
          <w:p w14:paraId="0DDDB80B" w14:textId="77777777" w:rsidR="00B9311E" w:rsidRPr="00BD77D8" w:rsidRDefault="00B9311E" w:rsidP="00B9311E">
            <w:pPr>
              <w:spacing w:after="0" w:line="240" w:lineRule="auto"/>
              <w:jc w:val="right"/>
              <w:rPr>
                <w:sz w:val="18"/>
                <w:szCs w:val="18"/>
              </w:rPr>
            </w:pPr>
            <w:r w:rsidRPr="00BD77D8">
              <w:rPr>
                <w:sz w:val="18"/>
                <w:szCs w:val="18"/>
              </w:rPr>
              <w:t xml:space="preserve">       1,900 </w:t>
            </w:r>
          </w:p>
        </w:tc>
      </w:tr>
      <w:tr w:rsidR="00BD77D8" w:rsidRPr="00BD77D8" w14:paraId="24C5087E" w14:textId="77777777" w:rsidTr="003057FB">
        <w:trPr>
          <w:trHeight w:val="287"/>
        </w:trPr>
        <w:tc>
          <w:tcPr>
            <w:tcW w:w="7938" w:type="dxa"/>
            <w:tcBorders>
              <w:top w:val="nil"/>
              <w:left w:val="nil"/>
              <w:bottom w:val="nil"/>
              <w:right w:val="nil"/>
            </w:tcBorders>
            <w:shd w:val="clear" w:color="auto" w:fill="auto"/>
            <w:vAlign w:val="center"/>
            <w:hideMark/>
          </w:tcPr>
          <w:p w14:paraId="6DA0D34E" w14:textId="77777777" w:rsidR="00B9311E" w:rsidRPr="00BD77D8" w:rsidRDefault="00B9311E" w:rsidP="00B9311E">
            <w:pPr>
              <w:spacing w:after="0" w:line="240" w:lineRule="auto"/>
              <w:rPr>
                <w:b/>
                <w:bCs/>
                <w:sz w:val="18"/>
                <w:szCs w:val="18"/>
              </w:rPr>
            </w:pPr>
            <w:r w:rsidRPr="00BD77D8">
              <w:rPr>
                <w:b/>
                <w:bCs/>
                <w:sz w:val="18"/>
                <w:szCs w:val="18"/>
              </w:rPr>
              <w:t>Total</w:t>
            </w:r>
          </w:p>
        </w:tc>
        <w:tc>
          <w:tcPr>
            <w:tcW w:w="1134" w:type="dxa"/>
            <w:tcBorders>
              <w:top w:val="single" w:sz="4" w:space="0" w:color="auto"/>
              <w:left w:val="nil"/>
              <w:bottom w:val="single" w:sz="4" w:space="0" w:color="auto"/>
              <w:right w:val="nil"/>
            </w:tcBorders>
            <w:shd w:val="clear" w:color="auto" w:fill="auto"/>
            <w:vAlign w:val="bottom"/>
            <w:hideMark/>
          </w:tcPr>
          <w:p w14:paraId="4DD7549E" w14:textId="77777777" w:rsidR="00B9311E" w:rsidRPr="00BD77D8" w:rsidRDefault="00B9311E" w:rsidP="00B9311E">
            <w:pPr>
              <w:spacing w:after="0" w:line="240" w:lineRule="auto"/>
              <w:jc w:val="right"/>
              <w:rPr>
                <w:b/>
                <w:bCs/>
                <w:sz w:val="18"/>
                <w:szCs w:val="18"/>
              </w:rPr>
            </w:pPr>
            <w:r w:rsidRPr="00BD77D8">
              <w:rPr>
                <w:b/>
                <w:bCs/>
                <w:sz w:val="18"/>
                <w:szCs w:val="18"/>
              </w:rPr>
              <w:t>2,969</w:t>
            </w:r>
          </w:p>
        </w:tc>
        <w:tc>
          <w:tcPr>
            <w:tcW w:w="1097" w:type="dxa"/>
            <w:tcBorders>
              <w:top w:val="single" w:sz="4" w:space="0" w:color="auto"/>
              <w:left w:val="nil"/>
              <w:bottom w:val="single" w:sz="4" w:space="0" w:color="auto"/>
              <w:right w:val="nil"/>
            </w:tcBorders>
            <w:shd w:val="clear" w:color="auto" w:fill="auto"/>
            <w:vAlign w:val="bottom"/>
            <w:hideMark/>
          </w:tcPr>
          <w:p w14:paraId="58D5FFD9" w14:textId="77777777" w:rsidR="00B9311E" w:rsidRPr="00BD77D8" w:rsidRDefault="00B9311E" w:rsidP="00B9311E">
            <w:pPr>
              <w:spacing w:after="0" w:line="240" w:lineRule="auto"/>
              <w:jc w:val="right"/>
              <w:rPr>
                <w:b/>
                <w:bCs/>
                <w:sz w:val="18"/>
                <w:szCs w:val="18"/>
              </w:rPr>
            </w:pPr>
            <w:r w:rsidRPr="00BD77D8">
              <w:rPr>
                <w:b/>
                <w:bCs/>
                <w:sz w:val="18"/>
                <w:szCs w:val="18"/>
              </w:rPr>
              <w:t>4,188</w:t>
            </w:r>
          </w:p>
        </w:tc>
      </w:tr>
    </w:tbl>
    <w:p w14:paraId="751A7CF8" w14:textId="77777777" w:rsidR="00B9311E" w:rsidRPr="00BD77D8" w:rsidRDefault="00B9311E" w:rsidP="00587E62">
      <w:pPr>
        <w:spacing w:before="240" w:after="0" w:line="240" w:lineRule="auto"/>
        <w:rPr>
          <w:b/>
          <w:bCs/>
          <w:sz w:val="16"/>
          <w:szCs w:val="16"/>
        </w:rPr>
      </w:pPr>
      <w:r w:rsidRPr="00BD77D8">
        <w:rPr>
          <w:sz w:val="16"/>
          <w:szCs w:val="16"/>
        </w:rPr>
        <w:t xml:space="preserve">^ These refunds relate to the return of prior year unspent funds by non-government organisations. </w:t>
      </w:r>
    </w:p>
    <w:p w14:paraId="6F836EC5" w14:textId="5768B0CC" w:rsidR="00B9311E" w:rsidRPr="00BD77D8" w:rsidRDefault="00DE382E" w:rsidP="00C3515C">
      <w:pPr>
        <w:spacing w:before="3120" w:after="0" w:line="240" w:lineRule="auto"/>
        <w:rPr>
          <w:rFonts w:eastAsia="Arial"/>
          <w:sz w:val="22"/>
          <w:szCs w:val="22"/>
          <w:lang w:eastAsia="en-US"/>
        </w:rPr>
      </w:pP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22"/>
          <w:szCs w:val="22"/>
          <w:lang w:eastAsia="en-US"/>
        </w:rPr>
        <w:tab/>
      </w:r>
      <w:r w:rsidRPr="00BD77D8">
        <w:rPr>
          <w:rFonts w:eastAsia="Arial"/>
          <w:sz w:val="18"/>
          <w:szCs w:val="18"/>
          <w:lang w:eastAsia="en-US"/>
        </w:rPr>
        <w:t>Page 16 of 45</w:t>
      </w:r>
      <w:r w:rsidR="00B9311E" w:rsidRPr="00BD77D8">
        <w:rPr>
          <w:rFonts w:eastAsia="Arial"/>
          <w:sz w:val="22"/>
          <w:szCs w:val="22"/>
          <w:lang w:eastAsia="en-US"/>
        </w:rPr>
        <w:br w:type="page"/>
      </w:r>
    </w:p>
    <w:p w14:paraId="203D7999"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16EAA2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3D81EC7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3C594C80"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384B249E" w14:textId="77777777" w:rsidR="00B9311E" w:rsidRPr="00BD77D8" w:rsidRDefault="00B9311E" w:rsidP="00E47A6E">
      <w:pPr>
        <w:spacing w:before="240" w:after="240" w:line="180" w:lineRule="atLeast"/>
        <w:rPr>
          <w:rFonts w:eastAsia="Arial"/>
          <w:b/>
          <w:bCs/>
          <w:sz w:val="22"/>
          <w:szCs w:val="22"/>
          <w:lang w:eastAsia="en-US"/>
        </w:rPr>
      </w:pPr>
      <w:bookmarkStart w:id="454" w:name="_Toc111494806"/>
      <w:bookmarkStart w:id="455" w:name="_Toc111540678"/>
      <w:bookmarkStart w:id="456" w:name="_Toc111559241"/>
      <w:bookmarkStart w:id="457" w:name="_Toc113196513"/>
      <w:bookmarkStart w:id="458" w:name="_Toc113196861"/>
      <w:bookmarkStart w:id="459" w:name="_Toc113261991"/>
      <w:bookmarkStart w:id="460" w:name="_Toc113349145"/>
      <w:bookmarkStart w:id="461" w:name="_Toc113358070"/>
      <w:r w:rsidRPr="00BD77D8">
        <w:rPr>
          <w:rFonts w:eastAsia="Arial"/>
          <w:b/>
          <w:bCs/>
          <w:sz w:val="22"/>
          <w:szCs w:val="22"/>
          <w:lang w:eastAsia="en-US"/>
        </w:rPr>
        <w:t>B2 Expenses</w:t>
      </w:r>
      <w:bookmarkEnd w:id="454"/>
      <w:bookmarkEnd w:id="455"/>
      <w:bookmarkEnd w:id="456"/>
      <w:bookmarkEnd w:id="457"/>
      <w:bookmarkEnd w:id="458"/>
      <w:bookmarkEnd w:id="459"/>
      <w:bookmarkEnd w:id="460"/>
      <w:bookmarkEnd w:id="461"/>
    </w:p>
    <w:p w14:paraId="6A51B7D7" w14:textId="77777777" w:rsidR="00B9311E" w:rsidRPr="00BD77D8" w:rsidRDefault="00B9311E" w:rsidP="00B9311E">
      <w:pPr>
        <w:spacing w:after="0" w:line="240" w:lineRule="auto"/>
        <w:rPr>
          <w:rFonts w:eastAsia="PMingLiU"/>
          <w:sz w:val="18"/>
          <w:szCs w:val="22"/>
          <w:lang w:eastAsia="en-US"/>
        </w:rPr>
      </w:pPr>
      <w:r w:rsidRPr="00BD77D8">
        <w:rPr>
          <w:rFonts w:eastAsia="PMingLiU"/>
          <w:b/>
          <w:bCs/>
          <w:sz w:val="18"/>
          <w:szCs w:val="22"/>
          <w:lang w:eastAsia="en-US"/>
        </w:rPr>
        <w:t>B2-1 Employee Expenses</w:t>
      </w:r>
    </w:p>
    <w:tbl>
      <w:tblPr>
        <w:tblW w:w="10326" w:type="dxa"/>
        <w:tblCellMar>
          <w:left w:w="0" w:type="dxa"/>
          <w:right w:w="0" w:type="dxa"/>
        </w:tblCellMar>
        <w:tblLook w:val="04A0" w:firstRow="1" w:lastRow="0" w:firstColumn="1" w:lastColumn="0" w:noHBand="0" w:noVBand="1"/>
      </w:tblPr>
      <w:tblGrid>
        <w:gridCol w:w="7954"/>
        <w:gridCol w:w="1150"/>
        <w:gridCol w:w="1270"/>
      </w:tblGrid>
      <w:tr w:rsidR="00BD77D8" w:rsidRPr="00BD77D8" w14:paraId="67D20D3A" w14:textId="77777777" w:rsidTr="003057FB">
        <w:trPr>
          <w:trHeight w:val="266"/>
        </w:trPr>
        <w:tc>
          <w:tcPr>
            <w:tcW w:w="7938" w:type="dxa"/>
            <w:tcBorders>
              <w:top w:val="nil"/>
              <w:left w:val="nil"/>
              <w:bottom w:val="nil"/>
              <w:right w:val="nil"/>
            </w:tcBorders>
            <w:shd w:val="clear" w:color="auto" w:fill="auto"/>
            <w:vAlign w:val="center"/>
            <w:hideMark/>
          </w:tcPr>
          <w:p w14:paraId="5C06AAD7" w14:textId="77777777" w:rsidR="00B9311E" w:rsidRPr="00BD77D8" w:rsidRDefault="00B9311E" w:rsidP="00B9311E">
            <w:pPr>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06D4DDFD"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254" w:type="dxa"/>
            <w:tcBorders>
              <w:top w:val="nil"/>
              <w:left w:val="nil"/>
              <w:bottom w:val="nil"/>
              <w:right w:val="nil"/>
            </w:tcBorders>
            <w:shd w:val="clear" w:color="auto" w:fill="auto"/>
            <w:noWrap/>
            <w:vAlign w:val="bottom"/>
            <w:hideMark/>
          </w:tcPr>
          <w:p w14:paraId="2F54EB42"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466FDF7" w14:textId="77777777" w:rsidTr="003057FB">
        <w:trPr>
          <w:trHeight w:val="266"/>
        </w:trPr>
        <w:tc>
          <w:tcPr>
            <w:tcW w:w="7938" w:type="dxa"/>
            <w:tcBorders>
              <w:top w:val="nil"/>
              <w:left w:val="nil"/>
              <w:bottom w:val="nil"/>
              <w:right w:val="nil"/>
            </w:tcBorders>
            <w:shd w:val="clear" w:color="auto" w:fill="auto"/>
            <w:vAlign w:val="center"/>
            <w:hideMark/>
          </w:tcPr>
          <w:p w14:paraId="00526A80" w14:textId="77777777" w:rsidR="00B9311E" w:rsidRPr="00BD77D8" w:rsidRDefault="00B9311E" w:rsidP="00B9311E">
            <w:pPr>
              <w:spacing w:after="0" w:line="240" w:lineRule="auto"/>
              <w:jc w:val="right"/>
              <w:rPr>
                <w:sz w:val="18"/>
                <w:szCs w:val="18"/>
              </w:rPr>
            </w:pPr>
          </w:p>
        </w:tc>
        <w:tc>
          <w:tcPr>
            <w:tcW w:w="1134" w:type="dxa"/>
            <w:tcBorders>
              <w:top w:val="nil"/>
              <w:left w:val="nil"/>
              <w:bottom w:val="single" w:sz="4" w:space="0" w:color="auto"/>
              <w:right w:val="nil"/>
            </w:tcBorders>
            <w:shd w:val="clear" w:color="auto" w:fill="auto"/>
            <w:noWrap/>
            <w:vAlign w:val="bottom"/>
            <w:hideMark/>
          </w:tcPr>
          <w:p w14:paraId="74CC70B6"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254" w:type="dxa"/>
            <w:tcBorders>
              <w:top w:val="nil"/>
              <w:left w:val="nil"/>
              <w:bottom w:val="single" w:sz="4" w:space="0" w:color="auto"/>
              <w:right w:val="nil"/>
            </w:tcBorders>
            <w:shd w:val="clear" w:color="auto" w:fill="auto"/>
            <w:noWrap/>
            <w:vAlign w:val="bottom"/>
            <w:hideMark/>
          </w:tcPr>
          <w:p w14:paraId="620CE982"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024F0CC5" w14:textId="77777777" w:rsidTr="003057FB">
        <w:trPr>
          <w:trHeight w:val="266"/>
        </w:trPr>
        <w:tc>
          <w:tcPr>
            <w:tcW w:w="7938" w:type="dxa"/>
            <w:tcBorders>
              <w:top w:val="nil"/>
              <w:left w:val="nil"/>
              <w:bottom w:val="nil"/>
              <w:right w:val="nil"/>
            </w:tcBorders>
            <w:shd w:val="clear" w:color="auto" w:fill="auto"/>
            <w:vAlign w:val="center"/>
            <w:hideMark/>
          </w:tcPr>
          <w:p w14:paraId="1E29A920" w14:textId="77777777" w:rsidR="00B9311E" w:rsidRPr="00BD77D8" w:rsidRDefault="00B9311E" w:rsidP="00B9311E">
            <w:pPr>
              <w:spacing w:after="0" w:line="240" w:lineRule="auto"/>
              <w:rPr>
                <w:b/>
                <w:bCs/>
                <w:sz w:val="18"/>
                <w:szCs w:val="18"/>
              </w:rPr>
            </w:pPr>
            <w:r w:rsidRPr="00BD77D8">
              <w:rPr>
                <w:b/>
                <w:bCs/>
                <w:sz w:val="18"/>
                <w:szCs w:val="18"/>
              </w:rPr>
              <w:t xml:space="preserve"> Employee Benefits </w:t>
            </w:r>
          </w:p>
        </w:tc>
        <w:tc>
          <w:tcPr>
            <w:tcW w:w="1134" w:type="dxa"/>
            <w:tcBorders>
              <w:top w:val="nil"/>
              <w:left w:val="nil"/>
              <w:bottom w:val="nil"/>
              <w:right w:val="nil"/>
            </w:tcBorders>
            <w:shd w:val="clear" w:color="auto" w:fill="auto"/>
            <w:noWrap/>
            <w:vAlign w:val="bottom"/>
            <w:hideMark/>
          </w:tcPr>
          <w:p w14:paraId="3F49F389" w14:textId="77777777" w:rsidR="00B9311E" w:rsidRPr="00BD77D8" w:rsidRDefault="00B9311E" w:rsidP="00B9311E">
            <w:pPr>
              <w:spacing w:after="0" w:line="240" w:lineRule="auto"/>
              <w:rPr>
                <w:b/>
                <w:bCs/>
                <w:sz w:val="18"/>
                <w:szCs w:val="18"/>
              </w:rPr>
            </w:pPr>
          </w:p>
        </w:tc>
        <w:tc>
          <w:tcPr>
            <w:tcW w:w="1254" w:type="dxa"/>
            <w:tcBorders>
              <w:top w:val="nil"/>
              <w:left w:val="nil"/>
              <w:bottom w:val="nil"/>
              <w:right w:val="nil"/>
            </w:tcBorders>
            <w:shd w:val="clear" w:color="auto" w:fill="auto"/>
            <w:noWrap/>
            <w:vAlign w:val="bottom"/>
            <w:hideMark/>
          </w:tcPr>
          <w:p w14:paraId="1310B07B"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2B0686E7" w14:textId="77777777" w:rsidTr="003057FB">
        <w:trPr>
          <w:trHeight w:val="266"/>
        </w:trPr>
        <w:tc>
          <w:tcPr>
            <w:tcW w:w="7938" w:type="dxa"/>
            <w:tcBorders>
              <w:top w:val="nil"/>
              <w:left w:val="nil"/>
              <w:bottom w:val="nil"/>
              <w:right w:val="nil"/>
            </w:tcBorders>
            <w:shd w:val="clear" w:color="auto" w:fill="auto"/>
            <w:vAlign w:val="center"/>
            <w:hideMark/>
          </w:tcPr>
          <w:p w14:paraId="2DA989E1" w14:textId="77777777" w:rsidR="00B9311E" w:rsidRPr="00BD77D8" w:rsidRDefault="00B9311E" w:rsidP="00B9311E">
            <w:pPr>
              <w:spacing w:after="0" w:line="240" w:lineRule="auto"/>
              <w:rPr>
                <w:sz w:val="18"/>
                <w:szCs w:val="18"/>
              </w:rPr>
            </w:pPr>
            <w:r w:rsidRPr="00BD77D8">
              <w:rPr>
                <w:sz w:val="18"/>
                <w:szCs w:val="18"/>
              </w:rPr>
              <w:t xml:space="preserve"> Wages and salaries </w:t>
            </w:r>
          </w:p>
        </w:tc>
        <w:tc>
          <w:tcPr>
            <w:tcW w:w="1134" w:type="dxa"/>
            <w:tcBorders>
              <w:top w:val="nil"/>
              <w:left w:val="nil"/>
              <w:bottom w:val="nil"/>
              <w:right w:val="nil"/>
            </w:tcBorders>
            <w:shd w:val="clear" w:color="auto" w:fill="auto"/>
            <w:vAlign w:val="center"/>
            <w:hideMark/>
          </w:tcPr>
          <w:p w14:paraId="5C1B4BF0" w14:textId="77777777" w:rsidR="00B9311E" w:rsidRPr="00BD77D8" w:rsidRDefault="00B9311E" w:rsidP="00B9311E">
            <w:pPr>
              <w:spacing w:after="0" w:line="240" w:lineRule="auto"/>
              <w:jc w:val="right"/>
              <w:rPr>
                <w:sz w:val="18"/>
                <w:szCs w:val="18"/>
              </w:rPr>
            </w:pPr>
            <w:r w:rsidRPr="00BD77D8">
              <w:rPr>
                <w:sz w:val="18"/>
                <w:szCs w:val="18"/>
              </w:rPr>
              <w:t xml:space="preserve"> 167,242 </w:t>
            </w:r>
          </w:p>
        </w:tc>
        <w:tc>
          <w:tcPr>
            <w:tcW w:w="1254" w:type="dxa"/>
            <w:tcBorders>
              <w:top w:val="nil"/>
              <w:left w:val="nil"/>
              <w:bottom w:val="nil"/>
              <w:right w:val="nil"/>
            </w:tcBorders>
            <w:shd w:val="clear" w:color="auto" w:fill="auto"/>
            <w:vAlign w:val="center"/>
            <w:hideMark/>
          </w:tcPr>
          <w:p w14:paraId="1E3D26CF" w14:textId="77777777" w:rsidR="00B9311E" w:rsidRPr="00BD77D8" w:rsidRDefault="00B9311E" w:rsidP="00B9311E">
            <w:pPr>
              <w:spacing w:after="0" w:line="240" w:lineRule="auto"/>
              <w:jc w:val="right"/>
              <w:rPr>
                <w:sz w:val="18"/>
                <w:szCs w:val="18"/>
              </w:rPr>
            </w:pPr>
            <w:r w:rsidRPr="00BD77D8">
              <w:rPr>
                <w:sz w:val="18"/>
                <w:szCs w:val="18"/>
              </w:rPr>
              <w:t xml:space="preserve"> 162,067 </w:t>
            </w:r>
          </w:p>
        </w:tc>
      </w:tr>
      <w:tr w:rsidR="00BD77D8" w:rsidRPr="00BD77D8" w14:paraId="58DA630B" w14:textId="77777777" w:rsidTr="003057FB">
        <w:trPr>
          <w:trHeight w:val="266"/>
        </w:trPr>
        <w:tc>
          <w:tcPr>
            <w:tcW w:w="7938" w:type="dxa"/>
            <w:tcBorders>
              <w:top w:val="nil"/>
              <w:left w:val="nil"/>
              <w:bottom w:val="nil"/>
              <w:right w:val="nil"/>
            </w:tcBorders>
            <w:shd w:val="clear" w:color="auto" w:fill="auto"/>
            <w:noWrap/>
            <w:vAlign w:val="center"/>
            <w:hideMark/>
          </w:tcPr>
          <w:p w14:paraId="34720C22" w14:textId="77777777" w:rsidR="00B9311E" w:rsidRPr="00BD77D8" w:rsidRDefault="00B9311E" w:rsidP="00B9311E">
            <w:pPr>
              <w:spacing w:after="0" w:line="240" w:lineRule="auto"/>
              <w:rPr>
                <w:sz w:val="18"/>
                <w:szCs w:val="18"/>
              </w:rPr>
            </w:pPr>
            <w:r w:rsidRPr="00BD77D8">
              <w:rPr>
                <w:sz w:val="18"/>
                <w:szCs w:val="18"/>
              </w:rPr>
              <w:t xml:space="preserve"> Employer superannuation contributions </w:t>
            </w:r>
          </w:p>
        </w:tc>
        <w:tc>
          <w:tcPr>
            <w:tcW w:w="1134" w:type="dxa"/>
            <w:tcBorders>
              <w:top w:val="nil"/>
              <w:left w:val="nil"/>
              <w:bottom w:val="nil"/>
              <w:right w:val="nil"/>
            </w:tcBorders>
            <w:shd w:val="clear" w:color="auto" w:fill="auto"/>
            <w:vAlign w:val="center"/>
            <w:hideMark/>
          </w:tcPr>
          <w:p w14:paraId="16484161" w14:textId="77777777" w:rsidR="00B9311E" w:rsidRPr="00BD77D8" w:rsidRDefault="00B9311E" w:rsidP="00B9311E">
            <w:pPr>
              <w:spacing w:after="0" w:line="240" w:lineRule="auto"/>
              <w:jc w:val="right"/>
              <w:rPr>
                <w:sz w:val="18"/>
                <w:szCs w:val="18"/>
              </w:rPr>
            </w:pPr>
            <w:r w:rsidRPr="00BD77D8">
              <w:rPr>
                <w:sz w:val="18"/>
                <w:szCs w:val="18"/>
              </w:rPr>
              <w:t xml:space="preserve">    20,089 </w:t>
            </w:r>
          </w:p>
        </w:tc>
        <w:tc>
          <w:tcPr>
            <w:tcW w:w="1254" w:type="dxa"/>
            <w:tcBorders>
              <w:top w:val="nil"/>
              <w:left w:val="nil"/>
              <w:bottom w:val="nil"/>
              <w:right w:val="nil"/>
            </w:tcBorders>
            <w:shd w:val="clear" w:color="auto" w:fill="auto"/>
            <w:vAlign w:val="center"/>
            <w:hideMark/>
          </w:tcPr>
          <w:p w14:paraId="6D00F596" w14:textId="77777777" w:rsidR="00B9311E" w:rsidRPr="00BD77D8" w:rsidRDefault="00B9311E" w:rsidP="00B9311E">
            <w:pPr>
              <w:spacing w:after="0" w:line="240" w:lineRule="auto"/>
              <w:jc w:val="right"/>
              <w:rPr>
                <w:sz w:val="18"/>
                <w:szCs w:val="18"/>
              </w:rPr>
            </w:pPr>
            <w:r w:rsidRPr="00BD77D8">
              <w:rPr>
                <w:sz w:val="18"/>
                <w:szCs w:val="18"/>
              </w:rPr>
              <w:t xml:space="preserve">    18,792 </w:t>
            </w:r>
          </w:p>
        </w:tc>
      </w:tr>
      <w:tr w:rsidR="00BD77D8" w:rsidRPr="00BD77D8" w14:paraId="139BC11A" w14:textId="77777777" w:rsidTr="003057FB">
        <w:trPr>
          <w:trHeight w:val="266"/>
        </w:trPr>
        <w:tc>
          <w:tcPr>
            <w:tcW w:w="7938" w:type="dxa"/>
            <w:tcBorders>
              <w:top w:val="nil"/>
              <w:left w:val="nil"/>
              <w:bottom w:val="nil"/>
              <w:right w:val="nil"/>
            </w:tcBorders>
            <w:shd w:val="clear" w:color="auto" w:fill="auto"/>
            <w:noWrap/>
            <w:vAlign w:val="center"/>
            <w:hideMark/>
          </w:tcPr>
          <w:p w14:paraId="4D167809" w14:textId="77777777" w:rsidR="00B9311E" w:rsidRPr="00BD77D8" w:rsidRDefault="00B9311E" w:rsidP="00B9311E">
            <w:pPr>
              <w:spacing w:after="0" w:line="240" w:lineRule="auto"/>
              <w:rPr>
                <w:sz w:val="18"/>
                <w:szCs w:val="18"/>
              </w:rPr>
            </w:pPr>
            <w:r w:rsidRPr="00BD77D8">
              <w:rPr>
                <w:sz w:val="18"/>
                <w:szCs w:val="18"/>
              </w:rPr>
              <w:t xml:space="preserve"> Annual leave levy </w:t>
            </w:r>
          </w:p>
        </w:tc>
        <w:tc>
          <w:tcPr>
            <w:tcW w:w="1134" w:type="dxa"/>
            <w:tcBorders>
              <w:top w:val="nil"/>
              <w:left w:val="nil"/>
              <w:bottom w:val="nil"/>
              <w:right w:val="nil"/>
            </w:tcBorders>
            <w:shd w:val="clear" w:color="auto" w:fill="auto"/>
            <w:vAlign w:val="center"/>
            <w:hideMark/>
          </w:tcPr>
          <w:p w14:paraId="7207BF58" w14:textId="77777777" w:rsidR="00B9311E" w:rsidRPr="00BD77D8" w:rsidRDefault="00B9311E" w:rsidP="00B9311E">
            <w:pPr>
              <w:spacing w:after="0" w:line="240" w:lineRule="auto"/>
              <w:jc w:val="right"/>
              <w:rPr>
                <w:sz w:val="18"/>
                <w:szCs w:val="18"/>
              </w:rPr>
            </w:pPr>
            <w:r w:rsidRPr="00BD77D8">
              <w:rPr>
                <w:sz w:val="18"/>
                <w:szCs w:val="18"/>
              </w:rPr>
              <w:t xml:space="preserve">    16,878 </w:t>
            </w:r>
          </w:p>
        </w:tc>
        <w:tc>
          <w:tcPr>
            <w:tcW w:w="1254" w:type="dxa"/>
            <w:tcBorders>
              <w:top w:val="nil"/>
              <w:left w:val="nil"/>
              <w:bottom w:val="nil"/>
              <w:right w:val="nil"/>
            </w:tcBorders>
            <w:shd w:val="clear" w:color="auto" w:fill="auto"/>
            <w:vAlign w:val="center"/>
            <w:hideMark/>
          </w:tcPr>
          <w:p w14:paraId="2E447726" w14:textId="77777777" w:rsidR="00B9311E" w:rsidRPr="00BD77D8" w:rsidRDefault="00B9311E" w:rsidP="00B9311E">
            <w:pPr>
              <w:spacing w:after="0" w:line="240" w:lineRule="auto"/>
              <w:jc w:val="right"/>
              <w:rPr>
                <w:sz w:val="18"/>
                <w:szCs w:val="18"/>
              </w:rPr>
            </w:pPr>
            <w:r w:rsidRPr="00BD77D8">
              <w:rPr>
                <w:sz w:val="18"/>
                <w:szCs w:val="18"/>
              </w:rPr>
              <w:t xml:space="preserve">    15,303 </w:t>
            </w:r>
          </w:p>
        </w:tc>
      </w:tr>
      <w:tr w:rsidR="00BD77D8" w:rsidRPr="00BD77D8" w14:paraId="040F9D1A" w14:textId="77777777" w:rsidTr="003057FB">
        <w:trPr>
          <w:trHeight w:val="266"/>
        </w:trPr>
        <w:tc>
          <w:tcPr>
            <w:tcW w:w="7938" w:type="dxa"/>
            <w:tcBorders>
              <w:top w:val="nil"/>
              <w:left w:val="nil"/>
              <w:bottom w:val="nil"/>
              <w:right w:val="nil"/>
            </w:tcBorders>
            <w:shd w:val="clear" w:color="auto" w:fill="auto"/>
            <w:noWrap/>
            <w:vAlign w:val="center"/>
            <w:hideMark/>
          </w:tcPr>
          <w:p w14:paraId="594BC32F" w14:textId="77777777" w:rsidR="00B9311E" w:rsidRPr="00BD77D8" w:rsidRDefault="00B9311E" w:rsidP="00B9311E">
            <w:pPr>
              <w:spacing w:after="0" w:line="240" w:lineRule="auto"/>
              <w:rPr>
                <w:sz w:val="18"/>
                <w:szCs w:val="18"/>
              </w:rPr>
            </w:pPr>
            <w:r w:rsidRPr="00BD77D8">
              <w:rPr>
                <w:sz w:val="18"/>
                <w:szCs w:val="18"/>
              </w:rPr>
              <w:t xml:space="preserve"> Long service leave levy </w:t>
            </w:r>
          </w:p>
        </w:tc>
        <w:tc>
          <w:tcPr>
            <w:tcW w:w="1134" w:type="dxa"/>
            <w:tcBorders>
              <w:top w:val="nil"/>
              <w:left w:val="nil"/>
              <w:bottom w:val="nil"/>
              <w:right w:val="nil"/>
            </w:tcBorders>
            <w:shd w:val="clear" w:color="auto" w:fill="auto"/>
            <w:vAlign w:val="center"/>
            <w:hideMark/>
          </w:tcPr>
          <w:p w14:paraId="4A8BB984" w14:textId="77777777" w:rsidR="00B9311E" w:rsidRPr="00BD77D8" w:rsidRDefault="00B9311E" w:rsidP="00B9311E">
            <w:pPr>
              <w:spacing w:after="0" w:line="240" w:lineRule="auto"/>
              <w:jc w:val="right"/>
              <w:rPr>
                <w:sz w:val="18"/>
                <w:szCs w:val="18"/>
              </w:rPr>
            </w:pPr>
            <w:r w:rsidRPr="00BD77D8">
              <w:rPr>
                <w:sz w:val="18"/>
                <w:szCs w:val="18"/>
              </w:rPr>
              <w:t xml:space="preserve">      4,182 </w:t>
            </w:r>
          </w:p>
        </w:tc>
        <w:tc>
          <w:tcPr>
            <w:tcW w:w="1254" w:type="dxa"/>
            <w:tcBorders>
              <w:top w:val="nil"/>
              <w:left w:val="nil"/>
              <w:bottom w:val="nil"/>
              <w:right w:val="nil"/>
            </w:tcBorders>
            <w:shd w:val="clear" w:color="auto" w:fill="auto"/>
            <w:vAlign w:val="center"/>
            <w:hideMark/>
          </w:tcPr>
          <w:p w14:paraId="6D58D5D1" w14:textId="77777777" w:rsidR="00B9311E" w:rsidRPr="00BD77D8" w:rsidRDefault="00B9311E" w:rsidP="00B9311E">
            <w:pPr>
              <w:spacing w:after="0" w:line="240" w:lineRule="auto"/>
              <w:jc w:val="right"/>
              <w:rPr>
                <w:sz w:val="18"/>
                <w:szCs w:val="18"/>
              </w:rPr>
            </w:pPr>
            <w:r w:rsidRPr="00BD77D8">
              <w:rPr>
                <w:sz w:val="18"/>
                <w:szCs w:val="18"/>
              </w:rPr>
              <w:t xml:space="preserve">      3,826 </w:t>
            </w:r>
          </w:p>
        </w:tc>
      </w:tr>
      <w:tr w:rsidR="00BD77D8" w:rsidRPr="00BD77D8" w14:paraId="356CCD5C" w14:textId="77777777" w:rsidTr="003057FB">
        <w:trPr>
          <w:trHeight w:val="266"/>
        </w:trPr>
        <w:tc>
          <w:tcPr>
            <w:tcW w:w="7938" w:type="dxa"/>
            <w:tcBorders>
              <w:top w:val="nil"/>
              <w:left w:val="nil"/>
              <w:bottom w:val="nil"/>
              <w:right w:val="nil"/>
            </w:tcBorders>
            <w:shd w:val="clear" w:color="auto" w:fill="auto"/>
            <w:noWrap/>
            <w:vAlign w:val="center"/>
            <w:hideMark/>
          </w:tcPr>
          <w:p w14:paraId="660AB0C1" w14:textId="77777777" w:rsidR="00B9311E" w:rsidRPr="00BD77D8" w:rsidRDefault="00B9311E" w:rsidP="00B9311E">
            <w:pPr>
              <w:spacing w:after="0" w:line="240" w:lineRule="auto"/>
              <w:rPr>
                <w:sz w:val="18"/>
                <w:szCs w:val="18"/>
              </w:rPr>
            </w:pPr>
            <w:r w:rsidRPr="00BD77D8">
              <w:rPr>
                <w:sz w:val="18"/>
                <w:szCs w:val="18"/>
              </w:rPr>
              <w:t xml:space="preserve"> Other employee benefits </w:t>
            </w:r>
          </w:p>
        </w:tc>
        <w:tc>
          <w:tcPr>
            <w:tcW w:w="1134" w:type="dxa"/>
            <w:tcBorders>
              <w:top w:val="nil"/>
              <w:left w:val="nil"/>
              <w:bottom w:val="nil"/>
              <w:right w:val="nil"/>
            </w:tcBorders>
            <w:shd w:val="clear" w:color="auto" w:fill="auto"/>
            <w:vAlign w:val="center"/>
            <w:hideMark/>
          </w:tcPr>
          <w:p w14:paraId="432BD2CD" w14:textId="77777777" w:rsidR="00B9311E" w:rsidRPr="00BD77D8" w:rsidRDefault="00B9311E" w:rsidP="00B9311E">
            <w:pPr>
              <w:spacing w:after="0" w:line="240" w:lineRule="auto"/>
              <w:jc w:val="right"/>
              <w:rPr>
                <w:sz w:val="18"/>
                <w:szCs w:val="18"/>
              </w:rPr>
            </w:pPr>
            <w:r w:rsidRPr="00BD77D8">
              <w:rPr>
                <w:sz w:val="18"/>
                <w:szCs w:val="18"/>
              </w:rPr>
              <w:t xml:space="preserve">      1,588 </w:t>
            </w:r>
          </w:p>
        </w:tc>
        <w:tc>
          <w:tcPr>
            <w:tcW w:w="1254" w:type="dxa"/>
            <w:tcBorders>
              <w:top w:val="nil"/>
              <w:left w:val="nil"/>
              <w:bottom w:val="nil"/>
              <w:right w:val="nil"/>
            </w:tcBorders>
            <w:shd w:val="clear" w:color="auto" w:fill="auto"/>
            <w:vAlign w:val="center"/>
            <w:hideMark/>
          </w:tcPr>
          <w:p w14:paraId="0342D187" w14:textId="77777777" w:rsidR="00B9311E" w:rsidRPr="00BD77D8" w:rsidRDefault="00B9311E" w:rsidP="00B9311E">
            <w:pPr>
              <w:spacing w:after="0" w:line="240" w:lineRule="auto"/>
              <w:jc w:val="right"/>
              <w:rPr>
                <w:sz w:val="18"/>
                <w:szCs w:val="18"/>
              </w:rPr>
            </w:pPr>
            <w:r w:rsidRPr="00BD77D8">
              <w:rPr>
                <w:sz w:val="18"/>
                <w:szCs w:val="18"/>
              </w:rPr>
              <w:t xml:space="preserve">      1,345 </w:t>
            </w:r>
          </w:p>
        </w:tc>
      </w:tr>
      <w:tr w:rsidR="00BD77D8" w:rsidRPr="00BD77D8" w14:paraId="0F5804FA" w14:textId="77777777" w:rsidTr="003057FB">
        <w:trPr>
          <w:trHeight w:val="266"/>
        </w:trPr>
        <w:tc>
          <w:tcPr>
            <w:tcW w:w="7938" w:type="dxa"/>
            <w:tcBorders>
              <w:top w:val="nil"/>
              <w:left w:val="nil"/>
              <w:bottom w:val="nil"/>
              <w:right w:val="nil"/>
            </w:tcBorders>
            <w:shd w:val="clear" w:color="auto" w:fill="auto"/>
            <w:noWrap/>
            <w:vAlign w:val="center"/>
            <w:hideMark/>
          </w:tcPr>
          <w:p w14:paraId="2A0F076F" w14:textId="77777777" w:rsidR="00B9311E" w:rsidRPr="00BD77D8" w:rsidRDefault="00B9311E" w:rsidP="00B9311E">
            <w:pPr>
              <w:spacing w:after="0" w:line="240" w:lineRule="auto"/>
              <w:jc w:val="right"/>
              <w:rPr>
                <w:sz w:val="18"/>
                <w:szCs w:val="18"/>
              </w:rPr>
            </w:pPr>
          </w:p>
        </w:tc>
        <w:tc>
          <w:tcPr>
            <w:tcW w:w="1134" w:type="dxa"/>
            <w:tcBorders>
              <w:top w:val="single" w:sz="4" w:space="0" w:color="auto"/>
              <w:left w:val="nil"/>
              <w:bottom w:val="single" w:sz="4" w:space="0" w:color="auto"/>
              <w:right w:val="nil"/>
            </w:tcBorders>
            <w:shd w:val="clear" w:color="auto" w:fill="auto"/>
            <w:vAlign w:val="center"/>
            <w:hideMark/>
          </w:tcPr>
          <w:p w14:paraId="1D9D02F8" w14:textId="77777777" w:rsidR="00B9311E" w:rsidRPr="00BD77D8" w:rsidRDefault="00B9311E" w:rsidP="00B9311E">
            <w:pPr>
              <w:spacing w:after="0" w:line="240" w:lineRule="auto"/>
              <w:jc w:val="right"/>
              <w:rPr>
                <w:b/>
                <w:bCs/>
                <w:sz w:val="18"/>
                <w:szCs w:val="18"/>
              </w:rPr>
            </w:pPr>
            <w:r w:rsidRPr="00BD77D8">
              <w:rPr>
                <w:b/>
                <w:bCs/>
                <w:sz w:val="18"/>
                <w:szCs w:val="18"/>
              </w:rPr>
              <w:t xml:space="preserve"> 209,979 </w:t>
            </w:r>
          </w:p>
        </w:tc>
        <w:tc>
          <w:tcPr>
            <w:tcW w:w="1254" w:type="dxa"/>
            <w:tcBorders>
              <w:top w:val="single" w:sz="4" w:space="0" w:color="auto"/>
              <w:left w:val="nil"/>
              <w:bottom w:val="single" w:sz="4" w:space="0" w:color="auto"/>
              <w:right w:val="nil"/>
            </w:tcBorders>
            <w:shd w:val="clear" w:color="auto" w:fill="auto"/>
            <w:vAlign w:val="center"/>
            <w:hideMark/>
          </w:tcPr>
          <w:p w14:paraId="2B87AF2C" w14:textId="77777777" w:rsidR="00B9311E" w:rsidRPr="00BD77D8" w:rsidRDefault="00B9311E" w:rsidP="00B9311E">
            <w:pPr>
              <w:spacing w:after="0" w:line="240" w:lineRule="auto"/>
              <w:jc w:val="right"/>
              <w:rPr>
                <w:b/>
                <w:bCs/>
                <w:sz w:val="18"/>
                <w:szCs w:val="18"/>
              </w:rPr>
            </w:pPr>
            <w:r w:rsidRPr="00BD77D8">
              <w:rPr>
                <w:b/>
                <w:bCs/>
                <w:sz w:val="18"/>
                <w:szCs w:val="18"/>
              </w:rPr>
              <w:t xml:space="preserve"> 201,333 </w:t>
            </w:r>
          </w:p>
        </w:tc>
      </w:tr>
      <w:tr w:rsidR="00BD77D8" w:rsidRPr="00BD77D8" w14:paraId="6A42D2D8" w14:textId="77777777" w:rsidTr="003057FB">
        <w:trPr>
          <w:trHeight w:val="266"/>
        </w:trPr>
        <w:tc>
          <w:tcPr>
            <w:tcW w:w="7938" w:type="dxa"/>
            <w:tcBorders>
              <w:top w:val="nil"/>
              <w:left w:val="nil"/>
              <w:bottom w:val="nil"/>
              <w:right w:val="nil"/>
            </w:tcBorders>
            <w:shd w:val="clear" w:color="auto" w:fill="auto"/>
            <w:vAlign w:val="center"/>
            <w:hideMark/>
          </w:tcPr>
          <w:p w14:paraId="3EC3A411" w14:textId="77777777" w:rsidR="00B9311E" w:rsidRPr="00BD77D8" w:rsidRDefault="00B9311E" w:rsidP="00B9311E">
            <w:pPr>
              <w:spacing w:after="0" w:line="240" w:lineRule="auto"/>
              <w:rPr>
                <w:b/>
                <w:bCs/>
                <w:sz w:val="18"/>
                <w:szCs w:val="18"/>
              </w:rPr>
            </w:pPr>
            <w:r w:rsidRPr="00BD77D8">
              <w:rPr>
                <w:b/>
                <w:bCs/>
                <w:sz w:val="18"/>
                <w:szCs w:val="18"/>
              </w:rPr>
              <w:t xml:space="preserve"> Employee Related Expenses </w:t>
            </w:r>
          </w:p>
        </w:tc>
        <w:tc>
          <w:tcPr>
            <w:tcW w:w="1134" w:type="dxa"/>
            <w:tcBorders>
              <w:top w:val="nil"/>
              <w:left w:val="nil"/>
              <w:bottom w:val="nil"/>
              <w:right w:val="nil"/>
            </w:tcBorders>
            <w:shd w:val="clear" w:color="auto" w:fill="auto"/>
            <w:vAlign w:val="center"/>
            <w:hideMark/>
          </w:tcPr>
          <w:p w14:paraId="7279F152" w14:textId="77777777" w:rsidR="00B9311E" w:rsidRPr="00BD77D8" w:rsidRDefault="00B9311E" w:rsidP="00B9311E">
            <w:pPr>
              <w:spacing w:after="0" w:line="240" w:lineRule="auto"/>
              <w:rPr>
                <w:b/>
                <w:bCs/>
                <w:sz w:val="18"/>
                <w:szCs w:val="18"/>
              </w:rPr>
            </w:pPr>
          </w:p>
        </w:tc>
        <w:tc>
          <w:tcPr>
            <w:tcW w:w="1254" w:type="dxa"/>
            <w:tcBorders>
              <w:top w:val="nil"/>
              <w:left w:val="nil"/>
              <w:bottom w:val="nil"/>
              <w:right w:val="nil"/>
            </w:tcBorders>
            <w:shd w:val="clear" w:color="auto" w:fill="auto"/>
            <w:vAlign w:val="center"/>
            <w:hideMark/>
          </w:tcPr>
          <w:p w14:paraId="4B2BCC20"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50CE4F75" w14:textId="77777777" w:rsidTr="003057FB">
        <w:trPr>
          <w:trHeight w:val="266"/>
        </w:trPr>
        <w:tc>
          <w:tcPr>
            <w:tcW w:w="7938" w:type="dxa"/>
            <w:tcBorders>
              <w:top w:val="nil"/>
              <w:left w:val="nil"/>
              <w:bottom w:val="nil"/>
              <w:right w:val="nil"/>
            </w:tcBorders>
            <w:shd w:val="clear" w:color="auto" w:fill="auto"/>
            <w:vAlign w:val="center"/>
            <w:hideMark/>
          </w:tcPr>
          <w:p w14:paraId="209FA5E7" w14:textId="77777777" w:rsidR="00B9311E" w:rsidRPr="00BD77D8" w:rsidRDefault="00B9311E" w:rsidP="00B9311E">
            <w:pPr>
              <w:spacing w:after="0" w:line="240" w:lineRule="auto"/>
              <w:rPr>
                <w:sz w:val="18"/>
                <w:szCs w:val="18"/>
              </w:rPr>
            </w:pPr>
            <w:r w:rsidRPr="00BD77D8">
              <w:rPr>
                <w:sz w:val="18"/>
                <w:szCs w:val="18"/>
              </w:rPr>
              <w:t xml:space="preserve"> Workers' compensation premium </w:t>
            </w:r>
          </w:p>
        </w:tc>
        <w:tc>
          <w:tcPr>
            <w:tcW w:w="1134" w:type="dxa"/>
            <w:tcBorders>
              <w:top w:val="nil"/>
              <w:left w:val="nil"/>
              <w:bottom w:val="nil"/>
              <w:right w:val="nil"/>
            </w:tcBorders>
            <w:shd w:val="clear" w:color="auto" w:fill="auto"/>
            <w:vAlign w:val="center"/>
            <w:hideMark/>
          </w:tcPr>
          <w:p w14:paraId="27AC44F1" w14:textId="77777777" w:rsidR="00B9311E" w:rsidRPr="00BD77D8" w:rsidRDefault="00B9311E" w:rsidP="00B9311E">
            <w:pPr>
              <w:spacing w:after="0" w:line="240" w:lineRule="auto"/>
              <w:jc w:val="right"/>
              <w:rPr>
                <w:sz w:val="18"/>
                <w:szCs w:val="18"/>
              </w:rPr>
            </w:pPr>
            <w:r w:rsidRPr="00BD77D8">
              <w:rPr>
                <w:sz w:val="18"/>
                <w:szCs w:val="18"/>
              </w:rPr>
              <w:t xml:space="preserve">      3,718 </w:t>
            </w:r>
          </w:p>
        </w:tc>
        <w:tc>
          <w:tcPr>
            <w:tcW w:w="1254" w:type="dxa"/>
            <w:tcBorders>
              <w:top w:val="nil"/>
              <w:left w:val="nil"/>
              <w:bottom w:val="nil"/>
              <w:right w:val="nil"/>
            </w:tcBorders>
            <w:shd w:val="clear" w:color="auto" w:fill="auto"/>
            <w:vAlign w:val="center"/>
            <w:hideMark/>
          </w:tcPr>
          <w:p w14:paraId="16DDA9F8" w14:textId="77777777" w:rsidR="00B9311E" w:rsidRPr="00BD77D8" w:rsidRDefault="00B9311E" w:rsidP="00B9311E">
            <w:pPr>
              <w:spacing w:after="0" w:line="240" w:lineRule="auto"/>
              <w:jc w:val="right"/>
              <w:rPr>
                <w:sz w:val="18"/>
                <w:szCs w:val="18"/>
              </w:rPr>
            </w:pPr>
            <w:r w:rsidRPr="00BD77D8">
              <w:rPr>
                <w:sz w:val="18"/>
                <w:szCs w:val="18"/>
              </w:rPr>
              <w:t xml:space="preserve">      2,941 </w:t>
            </w:r>
          </w:p>
        </w:tc>
      </w:tr>
      <w:tr w:rsidR="00BD77D8" w:rsidRPr="00BD77D8" w14:paraId="54D2195C" w14:textId="77777777" w:rsidTr="003057FB">
        <w:trPr>
          <w:trHeight w:val="266"/>
        </w:trPr>
        <w:tc>
          <w:tcPr>
            <w:tcW w:w="7938" w:type="dxa"/>
            <w:tcBorders>
              <w:top w:val="nil"/>
              <w:left w:val="nil"/>
              <w:bottom w:val="nil"/>
              <w:right w:val="nil"/>
            </w:tcBorders>
            <w:shd w:val="clear" w:color="auto" w:fill="auto"/>
            <w:vAlign w:val="center"/>
            <w:hideMark/>
          </w:tcPr>
          <w:p w14:paraId="15CB1678" w14:textId="77777777" w:rsidR="00B9311E" w:rsidRPr="00BD77D8" w:rsidRDefault="00B9311E" w:rsidP="00B9311E">
            <w:pPr>
              <w:spacing w:after="0" w:line="240" w:lineRule="auto"/>
              <w:rPr>
                <w:sz w:val="18"/>
                <w:szCs w:val="18"/>
              </w:rPr>
            </w:pPr>
            <w:r w:rsidRPr="00BD77D8">
              <w:rPr>
                <w:sz w:val="18"/>
                <w:szCs w:val="18"/>
              </w:rPr>
              <w:t xml:space="preserve"> Other employee related expenses </w:t>
            </w:r>
          </w:p>
        </w:tc>
        <w:tc>
          <w:tcPr>
            <w:tcW w:w="1134" w:type="dxa"/>
            <w:tcBorders>
              <w:top w:val="nil"/>
              <w:left w:val="nil"/>
              <w:bottom w:val="nil"/>
              <w:right w:val="nil"/>
            </w:tcBorders>
            <w:shd w:val="clear" w:color="auto" w:fill="auto"/>
            <w:vAlign w:val="center"/>
            <w:hideMark/>
          </w:tcPr>
          <w:p w14:paraId="2B29C0B4" w14:textId="77777777" w:rsidR="00B9311E" w:rsidRPr="00BD77D8" w:rsidRDefault="00B9311E" w:rsidP="00B9311E">
            <w:pPr>
              <w:spacing w:after="0" w:line="240" w:lineRule="auto"/>
              <w:jc w:val="right"/>
              <w:rPr>
                <w:sz w:val="18"/>
                <w:szCs w:val="18"/>
              </w:rPr>
            </w:pPr>
            <w:r w:rsidRPr="00BD77D8">
              <w:rPr>
                <w:sz w:val="18"/>
                <w:szCs w:val="18"/>
              </w:rPr>
              <w:t xml:space="preserve">      1,211 </w:t>
            </w:r>
          </w:p>
        </w:tc>
        <w:tc>
          <w:tcPr>
            <w:tcW w:w="1254" w:type="dxa"/>
            <w:tcBorders>
              <w:top w:val="nil"/>
              <w:left w:val="nil"/>
              <w:bottom w:val="nil"/>
              <w:right w:val="nil"/>
            </w:tcBorders>
            <w:shd w:val="clear" w:color="auto" w:fill="auto"/>
            <w:vAlign w:val="center"/>
            <w:hideMark/>
          </w:tcPr>
          <w:p w14:paraId="7BD27B53" w14:textId="77777777" w:rsidR="00B9311E" w:rsidRPr="00BD77D8" w:rsidRDefault="00B9311E" w:rsidP="00B9311E">
            <w:pPr>
              <w:spacing w:after="0" w:line="240" w:lineRule="auto"/>
              <w:jc w:val="right"/>
              <w:rPr>
                <w:sz w:val="18"/>
                <w:szCs w:val="18"/>
              </w:rPr>
            </w:pPr>
            <w:r w:rsidRPr="00BD77D8">
              <w:rPr>
                <w:sz w:val="18"/>
                <w:szCs w:val="18"/>
              </w:rPr>
              <w:t xml:space="preserve">      1,414 </w:t>
            </w:r>
          </w:p>
        </w:tc>
      </w:tr>
      <w:tr w:rsidR="00BD77D8" w:rsidRPr="00BD77D8" w14:paraId="7C6687AC" w14:textId="77777777" w:rsidTr="003057FB">
        <w:trPr>
          <w:trHeight w:val="266"/>
        </w:trPr>
        <w:tc>
          <w:tcPr>
            <w:tcW w:w="7938" w:type="dxa"/>
            <w:tcBorders>
              <w:top w:val="nil"/>
              <w:left w:val="nil"/>
              <w:bottom w:val="nil"/>
              <w:right w:val="nil"/>
            </w:tcBorders>
            <w:shd w:val="clear" w:color="auto" w:fill="auto"/>
            <w:vAlign w:val="center"/>
            <w:hideMark/>
          </w:tcPr>
          <w:p w14:paraId="1B23C227" w14:textId="77777777" w:rsidR="00B9311E" w:rsidRPr="00BD77D8" w:rsidRDefault="00B9311E" w:rsidP="00B9311E">
            <w:pPr>
              <w:spacing w:after="0" w:line="240" w:lineRule="auto"/>
              <w:jc w:val="right"/>
              <w:rPr>
                <w:sz w:val="18"/>
                <w:szCs w:val="18"/>
              </w:rPr>
            </w:pPr>
          </w:p>
        </w:tc>
        <w:tc>
          <w:tcPr>
            <w:tcW w:w="1134" w:type="dxa"/>
            <w:tcBorders>
              <w:top w:val="single" w:sz="4" w:space="0" w:color="auto"/>
              <w:left w:val="nil"/>
              <w:bottom w:val="single" w:sz="4" w:space="0" w:color="auto"/>
              <w:right w:val="nil"/>
            </w:tcBorders>
            <w:shd w:val="clear" w:color="auto" w:fill="auto"/>
            <w:vAlign w:val="center"/>
            <w:hideMark/>
          </w:tcPr>
          <w:p w14:paraId="45DC22F1" w14:textId="77777777" w:rsidR="00B9311E" w:rsidRPr="00BD77D8" w:rsidRDefault="00B9311E" w:rsidP="00B9311E">
            <w:pPr>
              <w:spacing w:after="0" w:line="240" w:lineRule="auto"/>
              <w:jc w:val="right"/>
              <w:rPr>
                <w:sz w:val="18"/>
                <w:szCs w:val="18"/>
              </w:rPr>
            </w:pPr>
            <w:r w:rsidRPr="00BD77D8">
              <w:rPr>
                <w:sz w:val="18"/>
                <w:szCs w:val="18"/>
              </w:rPr>
              <w:t xml:space="preserve">      4,929 </w:t>
            </w:r>
          </w:p>
        </w:tc>
        <w:tc>
          <w:tcPr>
            <w:tcW w:w="1254" w:type="dxa"/>
            <w:tcBorders>
              <w:top w:val="single" w:sz="4" w:space="0" w:color="auto"/>
              <w:left w:val="nil"/>
              <w:bottom w:val="single" w:sz="4" w:space="0" w:color="auto"/>
              <w:right w:val="nil"/>
            </w:tcBorders>
            <w:shd w:val="clear" w:color="auto" w:fill="auto"/>
            <w:vAlign w:val="center"/>
            <w:hideMark/>
          </w:tcPr>
          <w:p w14:paraId="29354A0C" w14:textId="77777777" w:rsidR="00B9311E" w:rsidRPr="00BD77D8" w:rsidRDefault="00B9311E" w:rsidP="00B9311E">
            <w:pPr>
              <w:spacing w:after="0" w:line="240" w:lineRule="auto"/>
              <w:jc w:val="right"/>
              <w:rPr>
                <w:sz w:val="18"/>
                <w:szCs w:val="18"/>
              </w:rPr>
            </w:pPr>
            <w:r w:rsidRPr="00BD77D8">
              <w:rPr>
                <w:sz w:val="18"/>
                <w:szCs w:val="18"/>
              </w:rPr>
              <w:t xml:space="preserve">      4,355 </w:t>
            </w:r>
          </w:p>
        </w:tc>
      </w:tr>
      <w:tr w:rsidR="00B9311E" w:rsidRPr="00BD77D8" w14:paraId="18968BA5" w14:textId="77777777" w:rsidTr="003057FB">
        <w:trPr>
          <w:trHeight w:val="266"/>
        </w:trPr>
        <w:tc>
          <w:tcPr>
            <w:tcW w:w="7938" w:type="dxa"/>
            <w:tcBorders>
              <w:top w:val="nil"/>
              <w:left w:val="nil"/>
              <w:bottom w:val="nil"/>
              <w:right w:val="nil"/>
            </w:tcBorders>
            <w:shd w:val="clear" w:color="auto" w:fill="auto"/>
            <w:vAlign w:val="center"/>
            <w:hideMark/>
          </w:tcPr>
          <w:p w14:paraId="046FBF1C"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34" w:type="dxa"/>
            <w:tcBorders>
              <w:top w:val="nil"/>
              <w:left w:val="nil"/>
              <w:bottom w:val="single" w:sz="4" w:space="0" w:color="auto"/>
              <w:right w:val="nil"/>
            </w:tcBorders>
            <w:shd w:val="clear" w:color="auto" w:fill="auto"/>
            <w:vAlign w:val="center"/>
            <w:hideMark/>
          </w:tcPr>
          <w:p w14:paraId="4E033EC2" w14:textId="77777777" w:rsidR="00B9311E" w:rsidRPr="00BD77D8" w:rsidRDefault="00B9311E" w:rsidP="00B9311E">
            <w:pPr>
              <w:spacing w:after="0" w:line="240" w:lineRule="auto"/>
              <w:jc w:val="right"/>
              <w:rPr>
                <w:b/>
                <w:bCs/>
                <w:sz w:val="18"/>
                <w:szCs w:val="18"/>
              </w:rPr>
            </w:pPr>
            <w:r w:rsidRPr="00BD77D8">
              <w:rPr>
                <w:b/>
                <w:bCs/>
                <w:sz w:val="18"/>
                <w:szCs w:val="18"/>
              </w:rPr>
              <w:t xml:space="preserve"> 214,908 </w:t>
            </w:r>
          </w:p>
        </w:tc>
        <w:tc>
          <w:tcPr>
            <w:tcW w:w="1254" w:type="dxa"/>
            <w:tcBorders>
              <w:top w:val="nil"/>
              <w:left w:val="nil"/>
              <w:bottom w:val="single" w:sz="4" w:space="0" w:color="auto"/>
              <w:right w:val="nil"/>
            </w:tcBorders>
            <w:shd w:val="clear" w:color="auto" w:fill="auto"/>
            <w:vAlign w:val="center"/>
            <w:hideMark/>
          </w:tcPr>
          <w:p w14:paraId="6D8B6B0C" w14:textId="77777777" w:rsidR="00B9311E" w:rsidRPr="00BD77D8" w:rsidRDefault="00B9311E" w:rsidP="00B9311E">
            <w:pPr>
              <w:spacing w:after="0" w:line="240" w:lineRule="auto"/>
              <w:jc w:val="right"/>
              <w:rPr>
                <w:b/>
                <w:bCs/>
                <w:sz w:val="18"/>
                <w:szCs w:val="18"/>
              </w:rPr>
            </w:pPr>
            <w:r w:rsidRPr="00BD77D8">
              <w:rPr>
                <w:b/>
                <w:bCs/>
                <w:sz w:val="18"/>
                <w:szCs w:val="18"/>
              </w:rPr>
              <w:t xml:space="preserve"> 205,688 </w:t>
            </w:r>
          </w:p>
        </w:tc>
      </w:tr>
    </w:tbl>
    <w:p w14:paraId="6277FC26" w14:textId="77777777" w:rsidR="00B9311E" w:rsidRPr="00BD77D8" w:rsidRDefault="00B9311E" w:rsidP="00B9311E">
      <w:pPr>
        <w:spacing w:after="0" w:line="240" w:lineRule="auto"/>
        <w:rPr>
          <w:rFonts w:eastAsia="PMingLiU"/>
          <w:b/>
          <w:sz w:val="18"/>
          <w:szCs w:val="18"/>
          <w:lang w:eastAsia="en-US"/>
        </w:rPr>
      </w:pPr>
    </w:p>
    <w:p w14:paraId="30113B63" w14:textId="77777777" w:rsidR="00B9311E" w:rsidRPr="00BD77D8" w:rsidRDefault="00B9311E" w:rsidP="00B9311E">
      <w:pPr>
        <w:spacing w:after="0" w:line="208" w:lineRule="exact"/>
        <w:ind w:right="144"/>
        <w:textAlignment w:val="baseline"/>
        <w:rPr>
          <w:rFonts w:eastAsia="PMingLiU"/>
          <w:sz w:val="18"/>
          <w:szCs w:val="22"/>
          <w:lang w:val="en-US" w:eastAsia="en-US"/>
        </w:rPr>
      </w:pPr>
      <w:bookmarkStart w:id="462" w:name="_Hlk107237892"/>
    </w:p>
    <w:tbl>
      <w:tblPr>
        <w:tblW w:w="10348" w:type="dxa"/>
        <w:tblCellMar>
          <w:left w:w="0" w:type="dxa"/>
          <w:right w:w="0" w:type="dxa"/>
        </w:tblCellMar>
        <w:tblLook w:val="04A0" w:firstRow="1" w:lastRow="0" w:firstColumn="1" w:lastColumn="0" w:noHBand="0" w:noVBand="1"/>
      </w:tblPr>
      <w:tblGrid>
        <w:gridCol w:w="7986"/>
        <w:gridCol w:w="1150"/>
        <w:gridCol w:w="1260"/>
      </w:tblGrid>
      <w:tr w:rsidR="00BD77D8" w:rsidRPr="00BD77D8" w14:paraId="579D4A6A" w14:textId="77777777" w:rsidTr="003057FB">
        <w:trPr>
          <w:trHeight w:val="269"/>
        </w:trPr>
        <w:tc>
          <w:tcPr>
            <w:tcW w:w="7970" w:type="dxa"/>
            <w:tcBorders>
              <w:top w:val="nil"/>
              <w:left w:val="nil"/>
              <w:bottom w:val="nil"/>
              <w:right w:val="nil"/>
            </w:tcBorders>
            <w:shd w:val="clear" w:color="auto" w:fill="auto"/>
            <w:noWrap/>
            <w:vAlign w:val="bottom"/>
            <w:hideMark/>
          </w:tcPr>
          <w:p w14:paraId="202008ED" w14:textId="77777777" w:rsidR="00B9311E" w:rsidRPr="00BD77D8" w:rsidRDefault="00B9311E" w:rsidP="00B9311E">
            <w:pPr>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hideMark/>
          </w:tcPr>
          <w:p w14:paraId="08033C46"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244" w:type="dxa"/>
            <w:tcBorders>
              <w:top w:val="nil"/>
              <w:left w:val="nil"/>
              <w:bottom w:val="nil"/>
              <w:right w:val="nil"/>
            </w:tcBorders>
            <w:shd w:val="clear" w:color="auto" w:fill="auto"/>
            <w:noWrap/>
            <w:vAlign w:val="bottom"/>
            <w:hideMark/>
          </w:tcPr>
          <w:p w14:paraId="7F2C0A8A"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D3308C2" w14:textId="77777777" w:rsidTr="003057FB">
        <w:trPr>
          <w:trHeight w:val="269"/>
        </w:trPr>
        <w:tc>
          <w:tcPr>
            <w:tcW w:w="7970" w:type="dxa"/>
            <w:tcBorders>
              <w:top w:val="nil"/>
              <w:left w:val="nil"/>
              <w:bottom w:val="nil"/>
              <w:right w:val="nil"/>
            </w:tcBorders>
            <w:shd w:val="clear" w:color="auto" w:fill="auto"/>
            <w:noWrap/>
            <w:vAlign w:val="center"/>
            <w:hideMark/>
          </w:tcPr>
          <w:p w14:paraId="483CAF21" w14:textId="77777777" w:rsidR="00B9311E" w:rsidRPr="00BD77D8" w:rsidRDefault="00B9311E" w:rsidP="00B9311E">
            <w:pPr>
              <w:spacing w:after="0" w:line="240" w:lineRule="auto"/>
              <w:rPr>
                <w:sz w:val="18"/>
                <w:szCs w:val="18"/>
              </w:rPr>
            </w:pPr>
            <w:r w:rsidRPr="00BD77D8">
              <w:rPr>
                <w:sz w:val="18"/>
                <w:szCs w:val="18"/>
              </w:rPr>
              <w:t xml:space="preserve"> Number of full-time equivalent employees </w:t>
            </w:r>
          </w:p>
        </w:tc>
        <w:tc>
          <w:tcPr>
            <w:tcW w:w="1134" w:type="dxa"/>
            <w:tcBorders>
              <w:top w:val="nil"/>
              <w:left w:val="nil"/>
              <w:bottom w:val="single" w:sz="4" w:space="0" w:color="auto"/>
              <w:right w:val="nil"/>
            </w:tcBorders>
            <w:shd w:val="clear" w:color="auto" w:fill="auto"/>
            <w:vAlign w:val="bottom"/>
            <w:hideMark/>
          </w:tcPr>
          <w:p w14:paraId="5B177109" w14:textId="77777777" w:rsidR="00B9311E" w:rsidRPr="00BD77D8" w:rsidRDefault="00B9311E" w:rsidP="00B9311E">
            <w:pPr>
              <w:spacing w:after="0" w:line="240" w:lineRule="auto"/>
              <w:jc w:val="right"/>
              <w:rPr>
                <w:sz w:val="18"/>
                <w:szCs w:val="18"/>
              </w:rPr>
            </w:pPr>
            <w:r w:rsidRPr="00BD77D8">
              <w:rPr>
                <w:sz w:val="18"/>
                <w:szCs w:val="18"/>
              </w:rPr>
              <w:t xml:space="preserve">      1,796 </w:t>
            </w:r>
          </w:p>
        </w:tc>
        <w:tc>
          <w:tcPr>
            <w:tcW w:w="1244" w:type="dxa"/>
            <w:tcBorders>
              <w:top w:val="nil"/>
              <w:left w:val="nil"/>
              <w:bottom w:val="single" w:sz="4" w:space="0" w:color="auto"/>
              <w:right w:val="nil"/>
            </w:tcBorders>
            <w:shd w:val="clear" w:color="auto" w:fill="auto"/>
            <w:vAlign w:val="bottom"/>
            <w:hideMark/>
          </w:tcPr>
          <w:p w14:paraId="2D583D43" w14:textId="77777777" w:rsidR="00B9311E" w:rsidRPr="00BD77D8" w:rsidRDefault="00B9311E" w:rsidP="00B9311E">
            <w:pPr>
              <w:spacing w:after="0" w:line="240" w:lineRule="auto"/>
              <w:jc w:val="right"/>
              <w:rPr>
                <w:sz w:val="18"/>
                <w:szCs w:val="18"/>
              </w:rPr>
            </w:pPr>
            <w:r w:rsidRPr="00BD77D8">
              <w:rPr>
                <w:sz w:val="18"/>
                <w:szCs w:val="18"/>
              </w:rPr>
              <w:t xml:space="preserve">      1,888 </w:t>
            </w:r>
          </w:p>
        </w:tc>
      </w:tr>
    </w:tbl>
    <w:bookmarkEnd w:id="462"/>
    <w:p w14:paraId="7A65F32F" w14:textId="77777777" w:rsidR="00760ABD" w:rsidRPr="00BD77D8" w:rsidRDefault="00B9311E" w:rsidP="00760ABD">
      <w:pPr>
        <w:spacing w:before="240" w:after="240" w:line="208" w:lineRule="exact"/>
        <w:ind w:right="142"/>
        <w:textAlignment w:val="baseline"/>
        <w:rPr>
          <w:rFonts w:eastAsia="Arial"/>
          <w:b/>
          <w:bCs/>
          <w:sz w:val="18"/>
          <w:szCs w:val="18"/>
          <w:lang w:eastAsia="en-US"/>
        </w:rPr>
      </w:pPr>
      <w:r w:rsidRPr="00BD77D8">
        <w:rPr>
          <w:rFonts w:eastAsia="Arial"/>
          <w:b/>
          <w:bCs/>
          <w:sz w:val="18"/>
          <w:szCs w:val="18"/>
          <w:lang w:eastAsia="en-US"/>
        </w:rPr>
        <w:t>Accounting policy – Wages and salaries</w:t>
      </w:r>
    </w:p>
    <w:p w14:paraId="5CCBF189" w14:textId="31147F57" w:rsidR="00B9311E" w:rsidRPr="00BD77D8" w:rsidRDefault="00B9311E" w:rsidP="00760ABD">
      <w:pPr>
        <w:spacing w:before="240" w:after="240" w:line="208" w:lineRule="exact"/>
        <w:ind w:right="142"/>
        <w:textAlignment w:val="baseline"/>
        <w:rPr>
          <w:rFonts w:eastAsia="Arial"/>
          <w:b/>
          <w:sz w:val="18"/>
          <w:szCs w:val="18"/>
          <w:lang w:eastAsia="en-US"/>
        </w:rPr>
      </w:pPr>
      <w:r w:rsidRPr="00BD77D8">
        <w:rPr>
          <w:rFonts w:eastAsia="Arial"/>
          <w:sz w:val="18"/>
          <w:szCs w:val="18"/>
          <w:lang w:eastAsia="en-US"/>
        </w:rPr>
        <w:t xml:space="preserve">Wages and salaries due, but unpaid at reporting date, are recognised in the </w:t>
      </w:r>
      <w:r w:rsidRPr="00BD77D8">
        <w:rPr>
          <w:rFonts w:eastAsia="Arial"/>
          <w:spacing w:val="3"/>
          <w:sz w:val="18"/>
          <w:szCs w:val="18"/>
          <w:lang w:eastAsia="en-US"/>
        </w:rPr>
        <w:t>statement of financial performance</w:t>
      </w:r>
      <w:r w:rsidRPr="00BD77D8">
        <w:rPr>
          <w:rFonts w:eastAsia="Arial"/>
          <w:sz w:val="18"/>
          <w:szCs w:val="18"/>
          <w:lang w:eastAsia="en-US"/>
        </w:rPr>
        <w:t xml:space="preserve"> at the current salary rates. As the department expects such liabilities to be wholly settled within 12 months of reporting date, the liabilities are recognised at undiscounted amounts. Wages and salaries include any non-vesting sick leave that has been paid by the department during the financial year.</w:t>
      </w:r>
    </w:p>
    <w:p w14:paraId="26FF851D" w14:textId="77777777" w:rsidR="00B9311E" w:rsidRPr="00BD77D8" w:rsidRDefault="00B9311E" w:rsidP="00760ABD">
      <w:pPr>
        <w:spacing w:after="240" w:line="205" w:lineRule="exact"/>
        <w:textAlignment w:val="baseline"/>
        <w:rPr>
          <w:rFonts w:eastAsia="Arial"/>
          <w:b/>
          <w:bCs/>
          <w:sz w:val="18"/>
          <w:szCs w:val="18"/>
          <w:lang w:eastAsia="en-US"/>
        </w:rPr>
      </w:pPr>
      <w:r w:rsidRPr="00BD77D8">
        <w:rPr>
          <w:rFonts w:eastAsia="Arial"/>
          <w:b/>
          <w:bCs/>
          <w:sz w:val="18"/>
          <w:szCs w:val="18"/>
          <w:lang w:eastAsia="en-US"/>
        </w:rPr>
        <w:t>Accounting policy - Annual leave</w:t>
      </w:r>
    </w:p>
    <w:p w14:paraId="789499B7"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Under the Queensland Government’s Annual Leave Central Scheme, a levy is made on the department to cover the cost of employees' annual leave (including leave loading and on-costs). The levies are expensed in the period in which they are payable. Amounts paid to employees for annual leave are claimed from the scheme quarterly in arrears.</w:t>
      </w:r>
    </w:p>
    <w:p w14:paraId="7DB0F416" w14:textId="77777777" w:rsidR="00B9311E" w:rsidRPr="00BD77D8" w:rsidRDefault="00B9311E" w:rsidP="00760ABD">
      <w:pPr>
        <w:spacing w:after="240" w:line="205" w:lineRule="exact"/>
        <w:textAlignment w:val="baseline"/>
        <w:rPr>
          <w:rFonts w:eastAsia="Arial"/>
          <w:b/>
          <w:bCs/>
          <w:sz w:val="18"/>
          <w:szCs w:val="18"/>
          <w:lang w:eastAsia="en-US"/>
        </w:rPr>
      </w:pPr>
      <w:r w:rsidRPr="00BD77D8">
        <w:rPr>
          <w:rFonts w:eastAsia="Arial"/>
          <w:b/>
          <w:bCs/>
          <w:sz w:val="18"/>
          <w:szCs w:val="18"/>
          <w:lang w:eastAsia="en-US"/>
        </w:rPr>
        <w:t xml:space="preserve">Accounting policy - </w:t>
      </w:r>
      <w:proofErr w:type="gramStart"/>
      <w:r w:rsidRPr="00BD77D8">
        <w:rPr>
          <w:rFonts w:eastAsia="Arial"/>
          <w:b/>
          <w:bCs/>
          <w:sz w:val="18"/>
          <w:szCs w:val="18"/>
          <w:lang w:eastAsia="en-US"/>
        </w:rPr>
        <w:t>Long</w:t>
      </w:r>
      <w:proofErr w:type="gramEnd"/>
      <w:r w:rsidRPr="00BD77D8">
        <w:rPr>
          <w:rFonts w:eastAsia="Arial"/>
          <w:b/>
          <w:bCs/>
          <w:sz w:val="18"/>
          <w:szCs w:val="18"/>
          <w:lang w:eastAsia="en-US"/>
        </w:rPr>
        <w:t xml:space="preserve"> service leave</w:t>
      </w:r>
    </w:p>
    <w:p w14:paraId="37F1A73A"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Under the Queensland Government’s Long Service Leave Scheme, a levy is made on the department to cover the cost of employees' long service leave. The levies are expensed in the period in which they are payable. Amounts paid to employees for long service leave are claimed from the scheme quarterly in arrears.</w:t>
      </w:r>
    </w:p>
    <w:p w14:paraId="118628D4" w14:textId="77777777" w:rsidR="00B9311E" w:rsidRPr="00BD77D8" w:rsidRDefault="00B9311E" w:rsidP="00760ABD">
      <w:pPr>
        <w:spacing w:after="240" w:line="205" w:lineRule="exact"/>
        <w:textAlignment w:val="baseline"/>
        <w:rPr>
          <w:rFonts w:eastAsia="Arial"/>
          <w:b/>
          <w:bCs/>
          <w:sz w:val="18"/>
          <w:szCs w:val="18"/>
          <w:lang w:eastAsia="en-US"/>
        </w:rPr>
      </w:pPr>
      <w:r w:rsidRPr="00BD77D8">
        <w:rPr>
          <w:rFonts w:eastAsia="Arial"/>
          <w:b/>
          <w:bCs/>
          <w:sz w:val="18"/>
          <w:szCs w:val="18"/>
          <w:lang w:eastAsia="en-US"/>
        </w:rPr>
        <w:t>Accounting policy - Superannuation</w:t>
      </w:r>
    </w:p>
    <w:p w14:paraId="3D1C6F1B" w14:textId="77777777" w:rsidR="00B9311E" w:rsidRPr="00BD77D8" w:rsidRDefault="00B9311E" w:rsidP="00760ABD">
      <w:pPr>
        <w:spacing w:after="240" w:line="206" w:lineRule="exact"/>
        <w:textAlignment w:val="baseline"/>
        <w:rPr>
          <w:rFonts w:eastAsia="Arial"/>
          <w:b/>
          <w:spacing w:val="-1"/>
          <w:sz w:val="18"/>
          <w:szCs w:val="18"/>
          <w:lang w:eastAsia="en-US"/>
        </w:rPr>
      </w:pPr>
      <w:r w:rsidRPr="00BD77D8">
        <w:rPr>
          <w:rFonts w:eastAsia="Arial"/>
          <w:spacing w:val="-1"/>
          <w:sz w:val="18"/>
          <w:szCs w:val="18"/>
          <w:lang w:eastAsia="en-US"/>
        </w:rPr>
        <w:t>Post-employment benefits for superannuation are provided through defined contribution (accumulation) plans or the Queensland Government’s defined benefit plan (the former QSuper defined benefit categories now administered by the Government Division of the Australian Retirement Trust) as determined by the employee’s conditions of employment.</w:t>
      </w:r>
    </w:p>
    <w:p w14:paraId="3B6AB70A" w14:textId="77777777" w:rsidR="00B9311E" w:rsidRPr="00BD77D8" w:rsidRDefault="00B9311E" w:rsidP="00B9311E">
      <w:pPr>
        <w:spacing w:after="0" w:line="206" w:lineRule="exact"/>
        <w:textAlignment w:val="baseline"/>
        <w:rPr>
          <w:rFonts w:eastAsia="Arial"/>
          <w:b/>
          <w:sz w:val="18"/>
          <w:szCs w:val="18"/>
          <w:u w:val="single"/>
          <w:lang w:eastAsia="en-US"/>
        </w:rPr>
      </w:pPr>
      <w:r w:rsidRPr="00BD77D8">
        <w:rPr>
          <w:rFonts w:eastAsia="Arial"/>
          <w:i/>
          <w:iCs/>
          <w:sz w:val="18"/>
          <w:szCs w:val="18"/>
          <w:u w:val="single"/>
          <w:lang w:eastAsia="en-US"/>
        </w:rPr>
        <w:t>Defined Contribution Plans</w:t>
      </w:r>
      <w:r w:rsidRPr="00BD77D8">
        <w:rPr>
          <w:rFonts w:eastAsia="Arial"/>
          <w:sz w:val="18"/>
          <w:szCs w:val="18"/>
          <w:lang w:eastAsia="en-US"/>
        </w:rPr>
        <w:t xml:space="preserve"> - Contributions are made to eligible complying superannuation funds based on the rates specified in the relevant EBA or other conditions of employment. Contributions are expensed when they are paid or become payable following completion of the employee’s service each pay period.</w:t>
      </w:r>
    </w:p>
    <w:p w14:paraId="5CB4A0DB" w14:textId="668A5403" w:rsidR="00B9311E" w:rsidRPr="00BD77D8" w:rsidRDefault="00DE382E" w:rsidP="00C3515C">
      <w:pPr>
        <w:spacing w:before="96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17 of 45</w:t>
      </w:r>
      <w:r w:rsidR="00B9311E" w:rsidRPr="00BD77D8">
        <w:rPr>
          <w:rFonts w:eastAsia="Arial"/>
          <w:sz w:val="18"/>
          <w:szCs w:val="18"/>
          <w:lang w:eastAsia="en-US"/>
        </w:rPr>
        <w:br w:type="page"/>
      </w:r>
    </w:p>
    <w:p w14:paraId="188BD3C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748CB3E"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EA9E1B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644FB4D"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12376FF5" w14:textId="77777777" w:rsidR="00B9311E" w:rsidRPr="00BD77D8" w:rsidRDefault="00B9311E" w:rsidP="00E47A6E">
      <w:pPr>
        <w:spacing w:before="240" w:line="180" w:lineRule="atLeast"/>
        <w:rPr>
          <w:rFonts w:eastAsia="Arial"/>
          <w:b/>
          <w:bCs/>
          <w:sz w:val="22"/>
          <w:szCs w:val="22"/>
          <w:lang w:eastAsia="en-US"/>
        </w:rPr>
      </w:pPr>
      <w:r w:rsidRPr="00BD77D8">
        <w:rPr>
          <w:rFonts w:eastAsia="Arial"/>
          <w:b/>
          <w:bCs/>
          <w:sz w:val="22"/>
          <w:szCs w:val="22"/>
          <w:lang w:eastAsia="en-US"/>
        </w:rPr>
        <w:t>B2 – Expenses (continued)</w:t>
      </w:r>
    </w:p>
    <w:p w14:paraId="73CED6A7" w14:textId="77777777" w:rsidR="00B9311E" w:rsidRPr="00BD77D8" w:rsidRDefault="00B9311E" w:rsidP="00760ABD">
      <w:pPr>
        <w:spacing w:before="139" w:after="240" w:line="205" w:lineRule="exact"/>
        <w:textAlignment w:val="baseline"/>
        <w:rPr>
          <w:rFonts w:eastAsia="Arial"/>
          <w:b/>
          <w:bCs/>
          <w:spacing w:val="1"/>
          <w:sz w:val="18"/>
          <w:szCs w:val="22"/>
          <w:lang w:eastAsia="en-US"/>
        </w:rPr>
      </w:pPr>
      <w:r w:rsidRPr="00BD77D8">
        <w:rPr>
          <w:rFonts w:eastAsia="Arial"/>
          <w:b/>
          <w:bCs/>
          <w:spacing w:val="1"/>
          <w:sz w:val="18"/>
          <w:szCs w:val="22"/>
          <w:lang w:eastAsia="en-US"/>
        </w:rPr>
        <w:t>B2-1 Employee Expenses (continued)</w:t>
      </w:r>
    </w:p>
    <w:p w14:paraId="673B1CDC" w14:textId="77777777" w:rsidR="00B9311E" w:rsidRPr="00BD77D8" w:rsidRDefault="00B9311E" w:rsidP="00B9311E">
      <w:pPr>
        <w:spacing w:after="0" w:line="206" w:lineRule="exact"/>
        <w:textAlignment w:val="baseline"/>
        <w:rPr>
          <w:rFonts w:eastAsia="Arial"/>
          <w:b/>
          <w:sz w:val="18"/>
          <w:szCs w:val="18"/>
          <w:lang w:eastAsia="en-US"/>
        </w:rPr>
      </w:pPr>
      <w:r w:rsidRPr="00BD77D8">
        <w:rPr>
          <w:rFonts w:eastAsia="Arial"/>
          <w:i/>
          <w:iCs/>
          <w:sz w:val="18"/>
          <w:szCs w:val="18"/>
          <w:u w:val="single"/>
          <w:lang w:eastAsia="en-US"/>
        </w:rPr>
        <w:t>Defined Benefit Plan</w:t>
      </w:r>
      <w:r w:rsidRPr="00BD77D8">
        <w:rPr>
          <w:rFonts w:eastAsia="Arial"/>
          <w:sz w:val="18"/>
          <w:szCs w:val="18"/>
          <w:lang w:eastAsia="en-US"/>
        </w:rPr>
        <w:t xml:space="preserve"> - The liability for defined benefits is held on a whole-of-government basis and reported in those financial statements pursuant to AASB 1049 </w:t>
      </w:r>
      <w:r w:rsidRPr="00BD77D8">
        <w:rPr>
          <w:rFonts w:eastAsia="Arial"/>
          <w:i/>
          <w:iCs/>
          <w:sz w:val="18"/>
          <w:szCs w:val="18"/>
          <w:lang w:eastAsia="en-US"/>
        </w:rPr>
        <w:t>Whole of Government and General Government Sector Financial Reporting</w:t>
      </w:r>
      <w:r w:rsidRPr="00BD77D8">
        <w:rPr>
          <w:rFonts w:eastAsia="Arial"/>
          <w:sz w:val="18"/>
          <w:szCs w:val="18"/>
          <w:lang w:eastAsia="en-US"/>
        </w:rPr>
        <w:t xml:space="preserve">. The </w:t>
      </w:r>
      <w:proofErr w:type="gramStart"/>
      <w:r w:rsidRPr="00BD77D8">
        <w:rPr>
          <w:rFonts w:eastAsia="Arial"/>
          <w:sz w:val="18"/>
          <w:szCs w:val="18"/>
          <w:lang w:eastAsia="en-US"/>
        </w:rPr>
        <w:t>amount</w:t>
      </w:r>
      <w:proofErr w:type="gramEnd"/>
      <w:r w:rsidRPr="00BD77D8">
        <w:rPr>
          <w:rFonts w:eastAsia="Arial"/>
          <w:sz w:val="18"/>
          <w:szCs w:val="18"/>
          <w:lang w:eastAsia="en-US"/>
        </w:rPr>
        <w:t xml:space="preserve"> of contributions for defined benefit plan obligations is based upon the rates determined on the advice of the State Actuary. Contributions are paid by the department at the specified rate following completion of the employee’s </w:t>
      </w:r>
    </w:p>
    <w:p w14:paraId="61CF0ADF"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service each pay period. The department’s obligations are limited to those contributions paid.</w:t>
      </w:r>
    </w:p>
    <w:p w14:paraId="785224D8" w14:textId="77777777" w:rsidR="00B9311E" w:rsidRPr="00BD77D8" w:rsidRDefault="00B9311E" w:rsidP="00760ABD">
      <w:pPr>
        <w:spacing w:after="240" w:line="205" w:lineRule="exact"/>
        <w:textAlignment w:val="baseline"/>
        <w:rPr>
          <w:rFonts w:eastAsia="Arial"/>
          <w:b/>
          <w:bCs/>
          <w:sz w:val="18"/>
          <w:szCs w:val="18"/>
          <w:lang w:eastAsia="en-US"/>
        </w:rPr>
      </w:pPr>
      <w:r w:rsidRPr="00BD77D8">
        <w:rPr>
          <w:rFonts w:eastAsia="Arial"/>
          <w:b/>
          <w:bCs/>
          <w:sz w:val="18"/>
          <w:szCs w:val="18"/>
          <w:lang w:eastAsia="en-US"/>
        </w:rPr>
        <w:t>Accounting policy - Workers compensation premiums</w:t>
      </w:r>
    </w:p>
    <w:p w14:paraId="2C3E298C"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 xml:space="preserve">The department pays premiums to </w:t>
      </w:r>
      <w:proofErr w:type="spellStart"/>
      <w:r w:rsidRPr="00BD77D8">
        <w:rPr>
          <w:rFonts w:eastAsia="Arial"/>
          <w:sz w:val="18"/>
          <w:szCs w:val="18"/>
          <w:lang w:eastAsia="en-US"/>
        </w:rPr>
        <w:t>WorkCover</w:t>
      </w:r>
      <w:proofErr w:type="spellEnd"/>
      <w:r w:rsidRPr="00BD77D8">
        <w:rPr>
          <w:rFonts w:eastAsia="Arial"/>
          <w:sz w:val="18"/>
          <w:szCs w:val="18"/>
          <w:lang w:eastAsia="en-US"/>
        </w:rPr>
        <w:t xml:space="preserve"> Queensland in respect of its obligations for employee compensation. Workers' compensation insurance is a consequence of employing employees but is not counted in an employee's total remuneration package. It is not employee benefits and is recognised separately as employee related expenses. </w:t>
      </w:r>
    </w:p>
    <w:p w14:paraId="32FD1C37" w14:textId="77777777" w:rsidR="00B9311E" w:rsidRPr="00BD77D8" w:rsidRDefault="00B9311E" w:rsidP="00760ABD">
      <w:pPr>
        <w:spacing w:after="240" w:line="206" w:lineRule="exact"/>
        <w:textAlignment w:val="baseline"/>
        <w:rPr>
          <w:rFonts w:eastAsia="Arial"/>
          <w:b/>
          <w:sz w:val="18"/>
          <w:szCs w:val="18"/>
          <w:lang w:eastAsia="en-US"/>
        </w:rPr>
      </w:pPr>
      <w:r w:rsidRPr="00BD77D8">
        <w:rPr>
          <w:rFonts w:eastAsia="Arial"/>
          <w:sz w:val="18"/>
          <w:szCs w:val="18"/>
          <w:lang w:eastAsia="en-US"/>
        </w:rPr>
        <w:t>Key management personnel and remuneration disclosures are detailed in Note F1.</w:t>
      </w:r>
    </w:p>
    <w:p w14:paraId="59B2CE7B"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B2-2 Supplies and Services</w:t>
      </w:r>
    </w:p>
    <w:tbl>
      <w:tblPr>
        <w:tblW w:w="10280" w:type="dxa"/>
        <w:tblCellMar>
          <w:left w:w="0" w:type="dxa"/>
          <w:right w:w="0" w:type="dxa"/>
        </w:tblCellMar>
        <w:tblLook w:val="04A0" w:firstRow="1" w:lastRow="0" w:firstColumn="1" w:lastColumn="0" w:noHBand="0" w:noVBand="1"/>
      </w:tblPr>
      <w:tblGrid>
        <w:gridCol w:w="7966"/>
        <w:gridCol w:w="1125"/>
        <w:gridCol w:w="1189"/>
      </w:tblGrid>
      <w:tr w:rsidR="00BD77D8" w:rsidRPr="00BD77D8" w14:paraId="10F8F75B" w14:textId="77777777" w:rsidTr="003057FB">
        <w:trPr>
          <w:trHeight w:val="272"/>
        </w:trPr>
        <w:tc>
          <w:tcPr>
            <w:tcW w:w="0" w:type="auto"/>
            <w:tcBorders>
              <w:top w:val="nil"/>
              <w:left w:val="nil"/>
              <w:bottom w:val="nil"/>
              <w:right w:val="nil"/>
            </w:tcBorders>
            <w:shd w:val="clear" w:color="auto" w:fill="auto"/>
            <w:vAlign w:val="center"/>
            <w:hideMark/>
          </w:tcPr>
          <w:p w14:paraId="3BA83D3E"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14:paraId="40425754"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bottom"/>
            <w:hideMark/>
          </w:tcPr>
          <w:p w14:paraId="4C1D0942"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040FAE0" w14:textId="77777777" w:rsidTr="003057FB">
        <w:trPr>
          <w:trHeight w:val="272"/>
        </w:trPr>
        <w:tc>
          <w:tcPr>
            <w:tcW w:w="0" w:type="auto"/>
            <w:tcBorders>
              <w:top w:val="nil"/>
              <w:left w:val="nil"/>
              <w:bottom w:val="nil"/>
              <w:right w:val="nil"/>
            </w:tcBorders>
            <w:shd w:val="clear" w:color="auto" w:fill="auto"/>
            <w:vAlign w:val="center"/>
            <w:hideMark/>
          </w:tcPr>
          <w:p w14:paraId="3A361163" w14:textId="77777777" w:rsidR="00B9311E" w:rsidRPr="00BD77D8" w:rsidRDefault="00B9311E" w:rsidP="00B9311E">
            <w:pPr>
              <w:spacing w:after="0" w:line="240" w:lineRule="auto"/>
              <w:jc w:val="right"/>
              <w:rPr>
                <w:sz w:val="18"/>
                <w:szCs w:val="18"/>
              </w:rPr>
            </w:pPr>
          </w:p>
        </w:tc>
        <w:tc>
          <w:tcPr>
            <w:tcW w:w="0" w:type="auto"/>
            <w:tcBorders>
              <w:top w:val="nil"/>
              <w:left w:val="nil"/>
              <w:bottom w:val="single" w:sz="4" w:space="0" w:color="auto"/>
              <w:right w:val="nil"/>
            </w:tcBorders>
            <w:shd w:val="clear" w:color="auto" w:fill="auto"/>
            <w:noWrap/>
            <w:vAlign w:val="bottom"/>
            <w:hideMark/>
          </w:tcPr>
          <w:p w14:paraId="4745C6B3"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0" w:type="auto"/>
            <w:tcBorders>
              <w:top w:val="nil"/>
              <w:left w:val="nil"/>
              <w:bottom w:val="single" w:sz="4" w:space="0" w:color="auto"/>
              <w:right w:val="nil"/>
            </w:tcBorders>
            <w:shd w:val="clear" w:color="auto" w:fill="auto"/>
            <w:noWrap/>
            <w:vAlign w:val="bottom"/>
            <w:hideMark/>
          </w:tcPr>
          <w:p w14:paraId="5AE4A2A8"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6F298ACC" w14:textId="77777777" w:rsidTr="003057FB">
        <w:trPr>
          <w:trHeight w:val="272"/>
        </w:trPr>
        <w:tc>
          <w:tcPr>
            <w:tcW w:w="0" w:type="auto"/>
            <w:tcBorders>
              <w:top w:val="nil"/>
              <w:left w:val="nil"/>
              <w:bottom w:val="nil"/>
              <w:right w:val="nil"/>
            </w:tcBorders>
            <w:shd w:val="clear" w:color="auto" w:fill="auto"/>
            <w:vAlign w:val="center"/>
            <w:hideMark/>
          </w:tcPr>
          <w:p w14:paraId="27E50FCF" w14:textId="77777777" w:rsidR="00B9311E" w:rsidRPr="00BD77D8" w:rsidRDefault="00B9311E" w:rsidP="00B9311E">
            <w:pPr>
              <w:spacing w:after="0" w:line="240" w:lineRule="auto"/>
              <w:rPr>
                <w:b/>
                <w:bCs/>
                <w:sz w:val="18"/>
                <w:szCs w:val="18"/>
              </w:rPr>
            </w:pPr>
            <w:r w:rsidRPr="00BD77D8">
              <w:rPr>
                <w:b/>
                <w:bCs/>
                <w:sz w:val="18"/>
                <w:szCs w:val="18"/>
              </w:rPr>
              <w:t xml:space="preserve"> Service Procurement </w:t>
            </w:r>
          </w:p>
        </w:tc>
        <w:tc>
          <w:tcPr>
            <w:tcW w:w="0" w:type="auto"/>
            <w:tcBorders>
              <w:top w:val="nil"/>
              <w:left w:val="nil"/>
              <w:bottom w:val="nil"/>
              <w:right w:val="nil"/>
            </w:tcBorders>
            <w:shd w:val="clear" w:color="auto" w:fill="auto"/>
            <w:noWrap/>
            <w:vAlign w:val="bottom"/>
            <w:hideMark/>
          </w:tcPr>
          <w:p w14:paraId="199C4707" w14:textId="77777777" w:rsidR="00B9311E" w:rsidRPr="00BD77D8" w:rsidRDefault="00B9311E" w:rsidP="00B9311E">
            <w:pPr>
              <w:spacing w:after="0" w:line="240" w:lineRule="auto"/>
              <w:rPr>
                <w:b/>
                <w:bCs/>
                <w:sz w:val="18"/>
                <w:szCs w:val="18"/>
              </w:rPr>
            </w:pPr>
          </w:p>
        </w:tc>
        <w:tc>
          <w:tcPr>
            <w:tcW w:w="0" w:type="auto"/>
            <w:tcBorders>
              <w:top w:val="nil"/>
              <w:left w:val="nil"/>
              <w:bottom w:val="nil"/>
              <w:right w:val="nil"/>
            </w:tcBorders>
            <w:shd w:val="clear" w:color="auto" w:fill="auto"/>
            <w:noWrap/>
            <w:vAlign w:val="bottom"/>
            <w:hideMark/>
          </w:tcPr>
          <w:p w14:paraId="1B5D8E51"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074D3E69" w14:textId="77777777" w:rsidTr="003057FB">
        <w:trPr>
          <w:trHeight w:val="272"/>
        </w:trPr>
        <w:tc>
          <w:tcPr>
            <w:tcW w:w="0" w:type="auto"/>
            <w:tcBorders>
              <w:top w:val="nil"/>
              <w:left w:val="nil"/>
              <w:bottom w:val="nil"/>
              <w:right w:val="nil"/>
            </w:tcBorders>
            <w:shd w:val="clear" w:color="auto" w:fill="auto"/>
            <w:vAlign w:val="center"/>
            <w:hideMark/>
          </w:tcPr>
          <w:p w14:paraId="27BE97FE"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Disability Services </w:t>
            </w:r>
          </w:p>
        </w:tc>
        <w:tc>
          <w:tcPr>
            <w:tcW w:w="0" w:type="auto"/>
            <w:tcBorders>
              <w:top w:val="nil"/>
              <w:left w:val="nil"/>
              <w:bottom w:val="nil"/>
              <w:right w:val="nil"/>
            </w:tcBorders>
            <w:shd w:val="clear" w:color="auto" w:fill="auto"/>
            <w:vAlign w:val="center"/>
            <w:hideMark/>
          </w:tcPr>
          <w:p w14:paraId="55D9A3B2" w14:textId="77777777" w:rsidR="00B9311E" w:rsidRPr="00BD77D8" w:rsidRDefault="00B9311E" w:rsidP="00B9311E">
            <w:pPr>
              <w:spacing w:after="0" w:line="240" w:lineRule="auto"/>
              <w:jc w:val="right"/>
              <w:rPr>
                <w:sz w:val="18"/>
                <w:szCs w:val="18"/>
              </w:rPr>
            </w:pPr>
            <w:r w:rsidRPr="00BD77D8">
              <w:rPr>
                <w:sz w:val="18"/>
                <w:szCs w:val="18"/>
              </w:rPr>
              <w:t xml:space="preserve">    7,520 </w:t>
            </w:r>
          </w:p>
        </w:tc>
        <w:tc>
          <w:tcPr>
            <w:tcW w:w="0" w:type="auto"/>
            <w:tcBorders>
              <w:top w:val="nil"/>
              <w:left w:val="nil"/>
              <w:bottom w:val="nil"/>
              <w:right w:val="nil"/>
            </w:tcBorders>
            <w:shd w:val="clear" w:color="auto" w:fill="auto"/>
            <w:vAlign w:val="center"/>
            <w:hideMark/>
          </w:tcPr>
          <w:p w14:paraId="1969B4E4" w14:textId="77777777" w:rsidR="00B9311E" w:rsidRPr="00BD77D8" w:rsidRDefault="00B9311E" w:rsidP="00B9311E">
            <w:pPr>
              <w:spacing w:after="0" w:line="240" w:lineRule="auto"/>
              <w:jc w:val="right"/>
              <w:rPr>
                <w:sz w:val="18"/>
                <w:szCs w:val="18"/>
              </w:rPr>
            </w:pPr>
            <w:r w:rsidRPr="00BD77D8">
              <w:rPr>
                <w:sz w:val="18"/>
                <w:szCs w:val="18"/>
              </w:rPr>
              <w:t xml:space="preserve">    10,048 </w:t>
            </w:r>
          </w:p>
        </w:tc>
      </w:tr>
      <w:tr w:rsidR="00BD77D8" w:rsidRPr="00BD77D8" w14:paraId="14291331" w14:textId="77777777" w:rsidTr="003057FB">
        <w:trPr>
          <w:trHeight w:val="272"/>
        </w:trPr>
        <w:tc>
          <w:tcPr>
            <w:tcW w:w="0" w:type="auto"/>
            <w:tcBorders>
              <w:top w:val="nil"/>
              <w:left w:val="nil"/>
              <w:bottom w:val="nil"/>
              <w:right w:val="nil"/>
            </w:tcBorders>
            <w:shd w:val="clear" w:color="auto" w:fill="auto"/>
            <w:noWrap/>
            <w:vAlign w:val="center"/>
            <w:hideMark/>
          </w:tcPr>
          <w:p w14:paraId="396002BC"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Seniors Services </w:t>
            </w:r>
          </w:p>
        </w:tc>
        <w:tc>
          <w:tcPr>
            <w:tcW w:w="0" w:type="auto"/>
            <w:tcBorders>
              <w:top w:val="nil"/>
              <w:left w:val="nil"/>
              <w:bottom w:val="nil"/>
              <w:right w:val="nil"/>
            </w:tcBorders>
            <w:shd w:val="clear" w:color="auto" w:fill="auto"/>
            <w:vAlign w:val="center"/>
            <w:hideMark/>
          </w:tcPr>
          <w:p w14:paraId="3355AFCD" w14:textId="77777777" w:rsidR="00B9311E" w:rsidRPr="00BD77D8" w:rsidRDefault="00B9311E" w:rsidP="00B9311E">
            <w:pPr>
              <w:spacing w:after="0" w:line="240" w:lineRule="auto"/>
              <w:jc w:val="right"/>
              <w:rPr>
                <w:sz w:val="18"/>
                <w:szCs w:val="18"/>
              </w:rPr>
            </w:pPr>
            <w:r w:rsidRPr="00BD77D8">
              <w:rPr>
                <w:sz w:val="18"/>
                <w:szCs w:val="18"/>
              </w:rPr>
              <w:t xml:space="preserve">    9,988 </w:t>
            </w:r>
          </w:p>
        </w:tc>
        <w:tc>
          <w:tcPr>
            <w:tcW w:w="0" w:type="auto"/>
            <w:tcBorders>
              <w:top w:val="nil"/>
              <w:left w:val="nil"/>
              <w:bottom w:val="nil"/>
              <w:right w:val="nil"/>
            </w:tcBorders>
            <w:shd w:val="clear" w:color="auto" w:fill="auto"/>
            <w:vAlign w:val="center"/>
            <w:hideMark/>
          </w:tcPr>
          <w:p w14:paraId="79462C94" w14:textId="77777777" w:rsidR="00B9311E" w:rsidRPr="00BD77D8" w:rsidRDefault="00B9311E" w:rsidP="00B9311E">
            <w:pPr>
              <w:spacing w:after="0" w:line="240" w:lineRule="auto"/>
              <w:jc w:val="right"/>
              <w:rPr>
                <w:sz w:val="18"/>
                <w:szCs w:val="18"/>
              </w:rPr>
            </w:pPr>
            <w:r w:rsidRPr="00BD77D8">
              <w:rPr>
                <w:sz w:val="18"/>
                <w:szCs w:val="18"/>
              </w:rPr>
              <w:t xml:space="preserve">      9,946 </w:t>
            </w:r>
          </w:p>
        </w:tc>
      </w:tr>
      <w:tr w:rsidR="00BD77D8" w:rsidRPr="00BD77D8" w14:paraId="451EEA32" w14:textId="77777777" w:rsidTr="003057FB">
        <w:trPr>
          <w:trHeight w:val="272"/>
        </w:trPr>
        <w:tc>
          <w:tcPr>
            <w:tcW w:w="0" w:type="auto"/>
            <w:tcBorders>
              <w:top w:val="nil"/>
              <w:left w:val="nil"/>
              <w:bottom w:val="nil"/>
              <w:right w:val="nil"/>
            </w:tcBorders>
            <w:shd w:val="clear" w:color="auto" w:fill="auto"/>
            <w:noWrap/>
            <w:vAlign w:val="center"/>
            <w:hideMark/>
          </w:tcPr>
          <w:p w14:paraId="06D20829"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Aboriginal and Torres Strait Islander Partnerships Services * </w:t>
            </w:r>
          </w:p>
        </w:tc>
        <w:tc>
          <w:tcPr>
            <w:tcW w:w="0" w:type="auto"/>
            <w:tcBorders>
              <w:top w:val="nil"/>
              <w:left w:val="nil"/>
              <w:bottom w:val="nil"/>
              <w:right w:val="nil"/>
            </w:tcBorders>
            <w:shd w:val="clear" w:color="auto" w:fill="auto"/>
            <w:vAlign w:val="center"/>
            <w:hideMark/>
          </w:tcPr>
          <w:p w14:paraId="428FB9B4" w14:textId="77777777" w:rsidR="00B9311E" w:rsidRPr="00BD77D8" w:rsidRDefault="00B9311E" w:rsidP="00B9311E">
            <w:pPr>
              <w:spacing w:after="0" w:line="240" w:lineRule="auto"/>
              <w:jc w:val="right"/>
              <w:rPr>
                <w:sz w:val="18"/>
                <w:szCs w:val="18"/>
              </w:rPr>
            </w:pPr>
            <w:r w:rsidRPr="00BD77D8">
              <w:rPr>
                <w:sz w:val="18"/>
                <w:szCs w:val="18"/>
              </w:rPr>
              <w:t xml:space="preserve">       372 </w:t>
            </w:r>
          </w:p>
        </w:tc>
        <w:tc>
          <w:tcPr>
            <w:tcW w:w="0" w:type="auto"/>
            <w:tcBorders>
              <w:top w:val="nil"/>
              <w:left w:val="nil"/>
              <w:bottom w:val="nil"/>
              <w:right w:val="nil"/>
            </w:tcBorders>
            <w:shd w:val="clear" w:color="auto" w:fill="auto"/>
            <w:vAlign w:val="center"/>
            <w:hideMark/>
          </w:tcPr>
          <w:p w14:paraId="1ED3F9B2" w14:textId="77777777" w:rsidR="00B9311E" w:rsidRPr="00BD77D8" w:rsidRDefault="00B9311E" w:rsidP="00B9311E">
            <w:pPr>
              <w:spacing w:after="0" w:line="240" w:lineRule="auto"/>
              <w:jc w:val="right"/>
              <w:rPr>
                <w:sz w:val="18"/>
                <w:szCs w:val="18"/>
              </w:rPr>
            </w:pPr>
            <w:r w:rsidRPr="00BD77D8">
              <w:rPr>
                <w:sz w:val="18"/>
                <w:szCs w:val="18"/>
              </w:rPr>
              <w:t xml:space="preserve">      1,172 </w:t>
            </w:r>
          </w:p>
        </w:tc>
      </w:tr>
      <w:tr w:rsidR="00BD77D8" w:rsidRPr="00BD77D8" w14:paraId="534E33C6" w14:textId="77777777" w:rsidTr="003057FB">
        <w:trPr>
          <w:trHeight w:val="272"/>
        </w:trPr>
        <w:tc>
          <w:tcPr>
            <w:tcW w:w="0" w:type="auto"/>
            <w:tcBorders>
              <w:top w:val="nil"/>
              <w:left w:val="nil"/>
              <w:bottom w:val="nil"/>
              <w:right w:val="nil"/>
            </w:tcBorders>
            <w:shd w:val="clear" w:color="auto" w:fill="auto"/>
            <w:noWrap/>
            <w:vAlign w:val="center"/>
            <w:hideMark/>
          </w:tcPr>
          <w:p w14:paraId="4E0B5369"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Community Services* </w:t>
            </w:r>
          </w:p>
        </w:tc>
        <w:tc>
          <w:tcPr>
            <w:tcW w:w="0" w:type="auto"/>
            <w:tcBorders>
              <w:top w:val="nil"/>
              <w:left w:val="nil"/>
              <w:bottom w:val="nil"/>
              <w:right w:val="nil"/>
            </w:tcBorders>
            <w:shd w:val="clear" w:color="auto" w:fill="auto"/>
            <w:vAlign w:val="center"/>
            <w:hideMark/>
          </w:tcPr>
          <w:p w14:paraId="238BB56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center"/>
            <w:hideMark/>
          </w:tcPr>
          <w:p w14:paraId="41BB8E48" w14:textId="77777777" w:rsidR="00B9311E" w:rsidRPr="00BD77D8" w:rsidRDefault="00B9311E" w:rsidP="00B9311E">
            <w:pPr>
              <w:spacing w:after="0" w:line="240" w:lineRule="auto"/>
              <w:jc w:val="right"/>
              <w:rPr>
                <w:sz w:val="18"/>
                <w:szCs w:val="18"/>
              </w:rPr>
            </w:pPr>
            <w:r w:rsidRPr="00BD77D8">
              <w:rPr>
                <w:sz w:val="18"/>
                <w:szCs w:val="18"/>
              </w:rPr>
              <w:t xml:space="preserve">    48,789 </w:t>
            </w:r>
          </w:p>
        </w:tc>
      </w:tr>
      <w:tr w:rsidR="00BD77D8" w:rsidRPr="00BD77D8" w14:paraId="1DC72D13" w14:textId="77777777" w:rsidTr="003057FB">
        <w:trPr>
          <w:trHeight w:val="272"/>
        </w:trPr>
        <w:tc>
          <w:tcPr>
            <w:tcW w:w="0" w:type="auto"/>
            <w:tcBorders>
              <w:top w:val="nil"/>
              <w:left w:val="nil"/>
              <w:bottom w:val="nil"/>
              <w:right w:val="nil"/>
            </w:tcBorders>
            <w:shd w:val="clear" w:color="auto" w:fill="auto"/>
            <w:noWrap/>
            <w:vAlign w:val="center"/>
            <w:hideMark/>
          </w:tcPr>
          <w:p w14:paraId="7A25280A" w14:textId="77777777" w:rsidR="00B9311E" w:rsidRPr="00BD77D8" w:rsidRDefault="00B9311E" w:rsidP="00B9311E">
            <w:pPr>
              <w:spacing w:after="0" w:line="240" w:lineRule="auto"/>
              <w:rPr>
                <w:sz w:val="18"/>
                <w:szCs w:val="18"/>
              </w:rPr>
            </w:pPr>
            <w:r w:rsidRPr="00BD77D8">
              <w:rPr>
                <w:sz w:val="18"/>
                <w:szCs w:val="18"/>
              </w:rPr>
              <w:t xml:space="preserve"> Services provided by other State Agencies under MOU ^ </w:t>
            </w:r>
          </w:p>
        </w:tc>
        <w:tc>
          <w:tcPr>
            <w:tcW w:w="0" w:type="auto"/>
            <w:tcBorders>
              <w:top w:val="nil"/>
              <w:left w:val="nil"/>
              <w:bottom w:val="nil"/>
              <w:right w:val="nil"/>
            </w:tcBorders>
            <w:shd w:val="clear" w:color="auto" w:fill="auto"/>
            <w:vAlign w:val="center"/>
            <w:hideMark/>
          </w:tcPr>
          <w:p w14:paraId="7E7E0429" w14:textId="77777777" w:rsidR="00B9311E" w:rsidRPr="00BD77D8" w:rsidRDefault="00B9311E" w:rsidP="00B9311E">
            <w:pPr>
              <w:spacing w:after="0" w:line="240" w:lineRule="auto"/>
              <w:jc w:val="right"/>
              <w:rPr>
                <w:sz w:val="18"/>
                <w:szCs w:val="18"/>
              </w:rPr>
            </w:pPr>
            <w:r w:rsidRPr="00BD77D8">
              <w:rPr>
                <w:sz w:val="18"/>
                <w:szCs w:val="18"/>
              </w:rPr>
              <w:t xml:space="preserve"> 14,549 </w:t>
            </w:r>
          </w:p>
        </w:tc>
        <w:tc>
          <w:tcPr>
            <w:tcW w:w="0" w:type="auto"/>
            <w:tcBorders>
              <w:top w:val="nil"/>
              <w:left w:val="nil"/>
              <w:bottom w:val="nil"/>
              <w:right w:val="nil"/>
            </w:tcBorders>
            <w:shd w:val="clear" w:color="auto" w:fill="auto"/>
            <w:vAlign w:val="center"/>
            <w:hideMark/>
          </w:tcPr>
          <w:p w14:paraId="437294E7" w14:textId="77777777" w:rsidR="00B9311E" w:rsidRPr="00BD77D8" w:rsidRDefault="00B9311E" w:rsidP="00B9311E">
            <w:pPr>
              <w:spacing w:after="0" w:line="240" w:lineRule="auto"/>
              <w:jc w:val="right"/>
              <w:rPr>
                <w:sz w:val="18"/>
                <w:szCs w:val="18"/>
              </w:rPr>
            </w:pPr>
            <w:r w:rsidRPr="00BD77D8">
              <w:rPr>
                <w:sz w:val="18"/>
                <w:szCs w:val="18"/>
              </w:rPr>
              <w:t xml:space="preserve">    14,554 </w:t>
            </w:r>
          </w:p>
        </w:tc>
      </w:tr>
      <w:tr w:rsidR="00BD77D8" w:rsidRPr="00BD77D8" w14:paraId="0F2521A2" w14:textId="77777777" w:rsidTr="003057FB">
        <w:trPr>
          <w:trHeight w:val="272"/>
        </w:trPr>
        <w:tc>
          <w:tcPr>
            <w:tcW w:w="0" w:type="auto"/>
            <w:tcBorders>
              <w:top w:val="nil"/>
              <w:left w:val="nil"/>
              <w:bottom w:val="nil"/>
              <w:right w:val="nil"/>
            </w:tcBorders>
            <w:shd w:val="clear" w:color="auto" w:fill="auto"/>
            <w:noWrap/>
            <w:vAlign w:val="center"/>
            <w:hideMark/>
          </w:tcPr>
          <w:p w14:paraId="7D18EC7E" w14:textId="77777777" w:rsidR="00B9311E" w:rsidRPr="00BD77D8" w:rsidRDefault="00B9311E" w:rsidP="00B9311E">
            <w:pPr>
              <w:spacing w:after="0" w:line="240" w:lineRule="auto"/>
              <w:rPr>
                <w:sz w:val="18"/>
                <w:szCs w:val="18"/>
              </w:rPr>
            </w:pPr>
            <w:r w:rsidRPr="00BD77D8">
              <w:rPr>
                <w:sz w:val="18"/>
                <w:szCs w:val="18"/>
              </w:rPr>
              <w:t xml:space="preserve"> Property and motor vehicle expenses </w:t>
            </w:r>
          </w:p>
        </w:tc>
        <w:tc>
          <w:tcPr>
            <w:tcW w:w="0" w:type="auto"/>
            <w:tcBorders>
              <w:top w:val="nil"/>
              <w:left w:val="nil"/>
              <w:bottom w:val="nil"/>
              <w:right w:val="nil"/>
            </w:tcBorders>
            <w:shd w:val="clear" w:color="auto" w:fill="auto"/>
            <w:vAlign w:val="center"/>
            <w:hideMark/>
          </w:tcPr>
          <w:p w14:paraId="40359FA0" w14:textId="77777777" w:rsidR="00B9311E" w:rsidRPr="00BD77D8" w:rsidRDefault="00B9311E" w:rsidP="00B9311E">
            <w:pPr>
              <w:spacing w:after="0" w:line="240" w:lineRule="auto"/>
              <w:jc w:val="right"/>
              <w:rPr>
                <w:sz w:val="18"/>
                <w:szCs w:val="18"/>
              </w:rPr>
            </w:pPr>
            <w:r w:rsidRPr="00BD77D8">
              <w:rPr>
                <w:sz w:val="18"/>
                <w:szCs w:val="18"/>
              </w:rPr>
              <w:t xml:space="preserve"> 11,078 </w:t>
            </w:r>
          </w:p>
        </w:tc>
        <w:tc>
          <w:tcPr>
            <w:tcW w:w="0" w:type="auto"/>
            <w:tcBorders>
              <w:top w:val="nil"/>
              <w:left w:val="nil"/>
              <w:bottom w:val="nil"/>
              <w:right w:val="nil"/>
            </w:tcBorders>
            <w:shd w:val="clear" w:color="auto" w:fill="auto"/>
            <w:vAlign w:val="center"/>
            <w:hideMark/>
          </w:tcPr>
          <w:p w14:paraId="64398EB8" w14:textId="77777777" w:rsidR="00B9311E" w:rsidRPr="00BD77D8" w:rsidRDefault="00B9311E" w:rsidP="00B9311E">
            <w:pPr>
              <w:spacing w:after="0" w:line="240" w:lineRule="auto"/>
              <w:jc w:val="right"/>
              <w:rPr>
                <w:sz w:val="18"/>
                <w:szCs w:val="18"/>
              </w:rPr>
            </w:pPr>
            <w:r w:rsidRPr="00BD77D8">
              <w:rPr>
                <w:sz w:val="18"/>
                <w:szCs w:val="18"/>
              </w:rPr>
              <w:t xml:space="preserve">    10,067 </w:t>
            </w:r>
          </w:p>
        </w:tc>
      </w:tr>
      <w:tr w:rsidR="00BD77D8" w:rsidRPr="00BD77D8" w14:paraId="287B5BF7" w14:textId="77777777" w:rsidTr="003057FB">
        <w:trPr>
          <w:trHeight w:val="272"/>
        </w:trPr>
        <w:tc>
          <w:tcPr>
            <w:tcW w:w="0" w:type="auto"/>
            <w:tcBorders>
              <w:top w:val="nil"/>
              <w:left w:val="nil"/>
              <w:bottom w:val="nil"/>
              <w:right w:val="nil"/>
            </w:tcBorders>
            <w:shd w:val="clear" w:color="auto" w:fill="auto"/>
            <w:noWrap/>
            <w:vAlign w:val="center"/>
            <w:hideMark/>
          </w:tcPr>
          <w:p w14:paraId="1E87EFD6" w14:textId="77777777" w:rsidR="00B9311E" w:rsidRPr="00BD77D8" w:rsidRDefault="00B9311E" w:rsidP="00B9311E">
            <w:pPr>
              <w:spacing w:after="0" w:line="240" w:lineRule="auto"/>
              <w:rPr>
                <w:sz w:val="18"/>
                <w:szCs w:val="18"/>
              </w:rPr>
            </w:pPr>
            <w:r w:rsidRPr="00BD77D8">
              <w:rPr>
                <w:sz w:val="18"/>
                <w:szCs w:val="18"/>
              </w:rPr>
              <w:t xml:space="preserve"> Property support, repairs and maintenance costs </w:t>
            </w:r>
          </w:p>
        </w:tc>
        <w:tc>
          <w:tcPr>
            <w:tcW w:w="0" w:type="auto"/>
            <w:tcBorders>
              <w:top w:val="nil"/>
              <w:left w:val="nil"/>
              <w:bottom w:val="nil"/>
              <w:right w:val="nil"/>
            </w:tcBorders>
            <w:shd w:val="clear" w:color="auto" w:fill="auto"/>
            <w:vAlign w:val="center"/>
            <w:hideMark/>
          </w:tcPr>
          <w:p w14:paraId="6008B01E" w14:textId="77777777" w:rsidR="00B9311E" w:rsidRPr="00BD77D8" w:rsidRDefault="00B9311E" w:rsidP="00B9311E">
            <w:pPr>
              <w:spacing w:after="0" w:line="240" w:lineRule="auto"/>
              <w:jc w:val="right"/>
              <w:rPr>
                <w:sz w:val="18"/>
                <w:szCs w:val="18"/>
              </w:rPr>
            </w:pPr>
            <w:r w:rsidRPr="00BD77D8">
              <w:rPr>
                <w:sz w:val="18"/>
                <w:szCs w:val="18"/>
              </w:rPr>
              <w:t xml:space="preserve">    8,880 </w:t>
            </w:r>
          </w:p>
        </w:tc>
        <w:tc>
          <w:tcPr>
            <w:tcW w:w="0" w:type="auto"/>
            <w:tcBorders>
              <w:top w:val="nil"/>
              <w:left w:val="nil"/>
              <w:bottom w:val="nil"/>
              <w:right w:val="nil"/>
            </w:tcBorders>
            <w:shd w:val="clear" w:color="auto" w:fill="auto"/>
            <w:vAlign w:val="center"/>
            <w:hideMark/>
          </w:tcPr>
          <w:p w14:paraId="485964C3" w14:textId="77777777" w:rsidR="00B9311E" w:rsidRPr="00BD77D8" w:rsidRDefault="00B9311E" w:rsidP="00B9311E">
            <w:pPr>
              <w:spacing w:after="0" w:line="240" w:lineRule="auto"/>
              <w:jc w:val="right"/>
              <w:rPr>
                <w:sz w:val="18"/>
                <w:szCs w:val="18"/>
              </w:rPr>
            </w:pPr>
            <w:r w:rsidRPr="00BD77D8">
              <w:rPr>
                <w:sz w:val="18"/>
                <w:szCs w:val="18"/>
              </w:rPr>
              <w:t xml:space="preserve">      8,584 </w:t>
            </w:r>
          </w:p>
        </w:tc>
      </w:tr>
      <w:tr w:rsidR="00BD77D8" w:rsidRPr="00BD77D8" w14:paraId="1C4AD6FD" w14:textId="77777777" w:rsidTr="003057FB">
        <w:trPr>
          <w:trHeight w:val="272"/>
        </w:trPr>
        <w:tc>
          <w:tcPr>
            <w:tcW w:w="0" w:type="auto"/>
            <w:tcBorders>
              <w:top w:val="nil"/>
              <w:left w:val="nil"/>
              <w:bottom w:val="nil"/>
              <w:right w:val="nil"/>
            </w:tcBorders>
            <w:shd w:val="clear" w:color="auto" w:fill="auto"/>
            <w:noWrap/>
            <w:vAlign w:val="center"/>
            <w:hideMark/>
          </w:tcPr>
          <w:p w14:paraId="1F83E561" w14:textId="77777777" w:rsidR="00B9311E" w:rsidRPr="00BD77D8" w:rsidRDefault="00B9311E" w:rsidP="00B9311E">
            <w:pPr>
              <w:spacing w:after="0" w:line="240" w:lineRule="auto"/>
              <w:rPr>
                <w:sz w:val="18"/>
                <w:szCs w:val="18"/>
              </w:rPr>
            </w:pPr>
            <w:r w:rsidRPr="00BD77D8">
              <w:rPr>
                <w:sz w:val="18"/>
                <w:szCs w:val="18"/>
              </w:rPr>
              <w:t xml:space="preserve"> Professional and technical fees </w:t>
            </w:r>
          </w:p>
        </w:tc>
        <w:tc>
          <w:tcPr>
            <w:tcW w:w="0" w:type="auto"/>
            <w:tcBorders>
              <w:top w:val="nil"/>
              <w:left w:val="nil"/>
              <w:bottom w:val="nil"/>
              <w:right w:val="nil"/>
            </w:tcBorders>
            <w:shd w:val="clear" w:color="auto" w:fill="auto"/>
            <w:vAlign w:val="center"/>
            <w:hideMark/>
          </w:tcPr>
          <w:p w14:paraId="22037B21" w14:textId="77777777" w:rsidR="00B9311E" w:rsidRPr="00BD77D8" w:rsidRDefault="00B9311E" w:rsidP="00B9311E">
            <w:pPr>
              <w:spacing w:after="0" w:line="240" w:lineRule="auto"/>
              <w:jc w:val="right"/>
              <w:rPr>
                <w:sz w:val="18"/>
                <w:szCs w:val="18"/>
              </w:rPr>
            </w:pPr>
            <w:r w:rsidRPr="00BD77D8">
              <w:rPr>
                <w:sz w:val="18"/>
                <w:szCs w:val="18"/>
              </w:rPr>
              <w:t xml:space="preserve">    8,872 </w:t>
            </w:r>
          </w:p>
        </w:tc>
        <w:tc>
          <w:tcPr>
            <w:tcW w:w="0" w:type="auto"/>
            <w:tcBorders>
              <w:top w:val="nil"/>
              <w:left w:val="nil"/>
              <w:bottom w:val="nil"/>
              <w:right w:val="nil"/>
            </w:tcBorders>
            <w:shd w:val="clear" w:color="auto" w:fill="auto"/>
            <w:vAlign w:val="center"/>
            <w:hideMark/>
          </w:tcPr>
          <w:p w14:paraId="7A976000" w14:textId="77777777" w:rsidR="00B9311E" w:rsidRPr="00BD77D8" w:rsidRDefault="00B9311E" w:rsidP="00B9311E">
            <w:pPr>
              <w:spacing w:after="0" w:line="240" w:lineRule="auto"/>
              <w:jc w:val="right"/>
              <w:rPr>
                <w:sz w:val="18"/>
                <w:szCs w:val="18"/>
              </w:rPr>
            </w:pPr>
            <w:r w:rsidRPr="00BD77D8">
              <w:rPr>
                <w:sz w:val="18"/>
                <w:szCs w:val="18"/>
              </w:rPr>
              <w:t xml:space="preserve">      9,205 </w:t>
            </w:r>
          </w:p>
        </w:tc>
      </w:tr>
      <w:tr w:rsidR="00BD77D8" w:rsidRPr="00BD77D8" w14:paraId="2AE88A82" w14:textId="77777777" w:rsidTr="003057FB">
        <w:trPr>
          <w:trHeight w:val="272"/>
        </w:trPr>
        <w:tc>
          <w:tcPr>
            <w:tcW w:w="0" w:type="auto"/>
            <w:tcBorders>
              <w:top w:val="nil"/>
              <w:left w:val="nil"/>
              <w:bottom w:val="nil"/>
              <w:right w:val="nil"/>
            </w:tcBorders>
            <w:shd w:val="clear" w:color="auto" w:fill="auto"/>
            <w:noWrap/>
            <w:vAlign w:val="center"/>
            <w:hideMark/>
          </w:tcPr>
          <w:p w14:paraId="7E266C77" w14:textId="77777777" w:rsidR="00B9311E" w:rsidRPr="00BD77D8" w:rsidRDefault="00B9311E" w:rsidP="00B9311E">
            <w:pPr>
              <w:spacing w:after="0" w:line="240" w:lineRule="auto"/>
              <w:rPr>
                <w:sz w:val="18"/>
                <w:szCs w:val="18"/>
              </w:rPr>
            </w:pPr>
            <w:r w:rsidRPr="00BD77D8">
              <w:rPr>
                <w:sz w:val="18"/>
                <w:szCs w:val="18"/>
              </w:rPr>
              <w:t xml:space="preserve"> Other Supplies and Services </w:t>
            </w:r>
          </w:p>
        </w:tc>
        <w:tc>
          <w:tcPr>
            <w:tcW w:w="0" w:type="auto"/>
            <w:tcBorders>
              <w:top w:val="nil"/>
              <w:left w:val="nil"/>
              <w:bottom w:val="nil"/>
              <w:right w:val="nil"/>
            </w:tcBorders>
            <w:shd w:val="clear" w:color="auto" w:fill="auto"/>
            <w:vAlign w:val="center"/>
            <w:hideMark/>
          </w:tcPr>
          <w:p w14:paraId="231C1927" w14:textId="77777777" w:rsidR="00B9311E" w:rsidRPr="00BD77D8" w:rsidRDefault="00B9311E" w:rsidP="00B9311E">
            <w:pPr>
              <w:spacing w:after="0" w:line="240" w:lineRule="auto"/>
              <w:jc w:val="right"/>
              <w:rPr>
                <w:sz w:val="18"/>
                <w:szCs w:val="18"/>
              </w:rPr>
            </w:pPr>
            <w:r w:rsidRPr="00BD77D8">
              <w:rPr>
                <w:sz w:val="18"/>
                <w:szCs w:val="18"/>
              </w:rPr>
              <w:t xml:space="preserve">    6,377 </w:t>
            </w:r>
          </w:p>
        </w:tc>
        <w:tc>
          <w:tcPr>
            <w:tcW w:w="0" w:type="auto"/>
            <w:tcBorders>
              <w:top w:val="nil"/>
              <w:left w:val="nil"/>
              <w:bottom w:val="nil"/>
              <w:right w:val="nil"/>
            </w:tcBorders>
            <w:shd w:val="clear" w:color="auto" w:fill="auto"/>
            <w:vAlign w:val="center"/>
            <w:hideMark/>
          </w:tcPr>
          <w:p w14:paraId="07FDB3D4" w14:textId="77777777" w:rsidR="00B9311E" w:rsidRPr="00BD77D8" w:rsidRDefault="00B9311E" w:rsidP="00B9311E">
            <w:pPr>
              <w:spacing w:after="0" w:line="240" w:lineRule="auto"/>
              <w:jc w:val="right"/>
              <w:rPr>
                <w:sz w:val="18"/>
                <w:szCs w:val="18"/>
              </w:rPr>
            </w:pPr>
            <w:r w:rsidRPr="00BD77D8">
              <w:rPr>
                <w:sz w:val="18"/>
                <w:szCs w:val="18"/>
              </w:rPr>
              <w:t xml:space="preserve">      4,174 </w:t>
            </w:r>
          </w:p>
        </w:tc>
      </w:tr>
      <w:tr w:rsidR="00BD77D8" w:rsidRPr="00BD77D8" w14:paraId="008BC1D0" w14:textId="77777777" w:rsidTr="003057FB">
        <w:trPr>
          <w:trHeight w:val="272"/>
        </w:trPr>
        <w:tc>
          <w:tcPr>
            <w:tcW w:w="0" w:type="auto"/>
            <w:tcBorders>
              <w:top w:val="nil"/>
              <w:left w:val="nil"/>
              <w:bottom w:val="nil"/>
              <w:right w:val="nil"/>
            </w:tcBorders>
            <w:shd w:val="clear" w:color="auto" w:fill="auto"/>
            <w:vAlign w:val="center"/>
            <w:hideMark/>
          </w:tcPr>
          <w:p w14:paraId="3616636F"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0" w:type="auto"/>
            <w:tcBorders>
              <w:top w:val="single" w:sz="4" w:space="0" w:color="auto"/>
              <w:left w:val="nil"/>
              <w:bottom w:val="single" w:sz="4" w:space="0" w:color="auto"/>
              <w:right w:val="nil"/>
            </w:tcBorders>
            <w:shd w:val="clear" w:color="auto" w:fill="auto"/>
            <w:vAlign w:val="center"/>
            <w:hideMark/>
          </w:tcPr>
          <w:p w14:paraId="13F17ABC" w14:textId="77777777" w:rsidR="00B9311E" w:rsidRPr="00BD77D8" w:rsidRDefault="00B9311E" w:rsidP="00B9311E">
            <w:pPr>
              <w:spacing w:after="0" w:line="240" w:lineRule="auto"/>
              <w:jc w:val="right"/>
              <w:rPr>
                <w:b/>
                <w:bCs/>
                <w:sz w:val="18"/>
                <w:szCs w:val="18"/>
              </w:rPr>
            </w:pPr>
            <w:r w:rsidRPr="00BD77D8">
              <w:rPr>
                <w:b/>
                <w:bCs/>
                <w:sz w:val="18"/>
                <w:szCs w:val="18"/>
              </w:rPr>
              <w:t xml:space="preserve"> 67,636 </w:t>
            </w:r>
          </w:p>
        </w:tc>
        <w:tc>
          <w:tcPr>
            <w:tcW w:w="0" w:type="auto"/>
            <w:tcBorders>
              <w:top w:val="single" w:sz="4" w:space="0" w:color="auto"/>
              <w:left w:val="nil"/>
              <w:bottom w:val="single" w:sz="4" w:space="0" w:color="auto"/>
              <w:right w:val="nil"/>
            </w:tcBorders>
            <w:shd w:val="clear" w:color="auto" w:fill="auto"/>
            <w:vAlign w:val="center"/>
            <w:hideMark/>
          </w:tcPr>
          <w:p w14:paraId="31FE36DE" w14:textId="77777777" w:rsidR="00B9311E" w:rsidRPr="00BD77D8" w:rsidRDefault="00B9311E" w:rsidP="00B9311E">
            <w:pPr>
              <w:spacing w:after="0" w:line="240" w:lineRule="auto"/>
              <w:jc w:val="right"/>
              <w:rPr>
                <w:b/>
                <w:bCs/>
                <w:sz w:val="18"/>
                <w:szCs w:val="18"/>
              </w:rPr>
            </w:pPr>
            <w:r w:rsidRPr="00BD77D8">
              <w:rPr>
                <w:b/>
                <w:bCs/>
                <w:sz w:val="18"/>
                <w:szCs w:val="18"/>
              </w:rPr>
              <w:t xml:space="preserve"> 116,539 </w:t>
            </w:r>
          </w:p>
        </w:tc>
      </w:tr>
    </w:tbl>
    <w:p w14:paraId="157E3242" w14:textId="77777777" w:rsidR="00B9311E" w:rsidRPr="00BD77D8" w:rsidRDefault="00B9311E" w:rsidP="00760ABD">
      <w:pPr>
        <w:spacing w:before="240" w:after="0" w:line="206" w:lineRule="exact"/>
        <w:rPr>
          <w:rFonts w:eastAsia="Arial"/>
          <w:sz w:val="16"/>
          <w:szCs w:val="16"/>
          <w:lang w:eastAsia="en-US"/>
        </w:rPr>
      </w:pPr>
      <w:r w:rsidRPr="00BD77D8">
        <w:rPr>
          <w:rFonts w:eastAsia="Arial"/>
          <w:sz w:val="18"/>
          <w:szCs w:val="18"/>
          <w:lang w:eastAsia="en-US"/>
        </w:rPr>
        <w:t>*</w:t>
      </w:r>
      <w:r w:rsidRPr="00BD77D8">
        <w:rPr>
          <w:rFonts w:eastAsia="Arial"/>
          <w:sz w:val="16"/>
          <w:szCs w:val="16"/>
          <w:lang w:eastAsia="en-US"/>
        </w:rPr>
        <w:t xml:space="preserve">Aboriginal and Torres Strait Islander Partnerships (ATSIP) services comparative amounts are from 13 November 2020 to 30 June 2021 due to the 2020 Machinery-of-Government changes. </w:t>
      </w:r>
      <w:r w:rsidRPr="00BD77D8">
        <w:rPr>
          <w:rFonts w:eastAsia="Arial"/>
          <w:sz w:val="18"/>
          <w:szCs w:val="18"/>
          <w:lang w:eastAsia="en-US"/>
        </w:rPr>
        <w:t xml:space="preserve"> </w:t>
      </w:r>
      <w:r w:rsidRPr="00BD77D8">
        <w:rPr>
          <w:rFonts w:eastAsia="Arial"/>
          <w:sz w:val="16"/>
          <w:szCs w:val="16"/>
          <w:lang w:eastAsia="en-US"/>
        </w:rPr>
        <w:t>Community Services transactions are from 1 July 2020 to 30 November 2020 due to the Machinery-of-Government changes.</w:t>
      </w:r>
    </w:p>
    <w:p w14:paraId="255ADBF1" w14:textId="77777777" w:rsidR="00B9311E" w:rsidRPr="00BD77D8" w:rsidRDefault="00B9311E" w:rsidP="00760ABD">
      <w:pPr>
        <w:spacing w:after="240" w:line="206" w:lineRule="exact"/>
        <w:rPr>
          <w:rFonts w:eastAsia="Arial"/>
          <w:sz w:val="16"/>
          <w:szCs w:val="16"/>
          <w:lang w:eastAsia="en-US"/>
        </w:rPr>
      </w:pPr>
      <w:r w:rsidRPr="00BD77D8">
        <w:rPr>
          <w:rFonts w:eastAsia="Arial"/>
          <w:sz w:val="16"/>
          <w:szCs w:val="16"/>
          <w:lang w:eastAsia="en-US"/>
        </w:rPr>
        <w:t>^ Services provided by other State Agencies under MOU (refer to Note F2).</w:t>
      </w:r>
    </w:p>
    <w:p w14:paraId="0AB04D4E" w14:textId="77777777" w:rsidR="00B9311E" w:rsidRPr="00BD77D8" w:rsidRDefault="00B9311E" w:rsidP="00760ABD">
      <w:pPr>
        <w:spacing w:after="240" w:line="180" w:lineRule="atLeast"/>
        <w:textAlignment w:val="baseline"/>
        <w:rPr>
          <w:rFonts w:eastAsia="Arial"/>
          <w:b/>
          <w:bCs/>
          <w:spacing w:val="-1"/>
          <w:sz w:val="18"/>
          <w:szCs w:val="18"/>
          <w:lang w:eastAsia="en-US"/>
        </w:rPr>
      </w:pPr>
      <w:r w:rsidRPr="00BD77D8">
        <w:rPr>
          <w:rFonts w:eastAsia="Arial"/>
          <w:b/>
          <w:bCs/>
          <w:sz w:val="18"/>
          <w:szCs w:val="18"/>
          <w:lang w:eastAsia="en-US"/>
        </w:rPr>
        <w:t>Accounting policy - Property and Motor Vehicle Expenses</w:t>
      </w:r>
    </w:p>
    <w:p w14:paraId="12DB4F58" w14:textId="77777777" w:rsidR="00B9311E" w:rsidRPr="00BD77D8" w:rsidRDefault="00B9311E" w:rsidP="00760ABD">
      <w:pPr>
        <w:spacing w:after="240" w:line="180" w:lineRule="atLeast"/>
        <w:textAlignment w:val="baseline"/>
        <w:rPr>
          <w:rFonts w:eastAsia="Arial"/>
          <w:b/>
          <w:bCs/>
          <w:spacing w:val="-1"/>
          <w:sz w:val="18"/>
          <w:szCs w:val="18"/>
          <w:lang w:eastAsia="en-US"/>
        </w:rPr>
      </w:pPr>
      <w:r w:rsidRPr="00BD77D8">
        <w:rPr>
          <w:rFonts w:eastAsia="Arial"/>
          <w:spacing w:val="-1"/>
          <w:sz w:val="18"/>
          <w:szCs w:val="18"/>
          <w:lang w:eastAsia="en-US"/>
        </w:rPr>
        <w:t>The majority of the property and motor vehicle expenses relate to arrangements where the Department of Energy and Public Works provides the department with access to office accommodation and motor vehicles under government-wide frameworks. These arrangements are categorised as procurement of services rather than as leases because the Department of Energy and Public Works has substantive substitution rights over the assets.</w:t>
      </w:r>
    </w:p>
    <w:p w14:paraId="7549832C" w14:textId="77777777" w:rsidR="00B9311E" w:rsidRPr="00BD77D8" w:rsidRDefault="00B9311E" w:rsidP="00760ABD">
      <w:pPr>
        <w:spacing w:after="240" w:line="180" w:lineRule="atLeast"/>
        <w:textAlignment w:val="baseline"/>
        <w:rPr>
          <w:rFonts w:eastAsia="Arial"/>
          <w:b/>
          <w:bCs/>
          <w:sz w:val="18"/>
          <w:szCs w:val="18"/>
          <w:lang w:eastAsia="en-US"/>
        </w:rPr>
      </w:pPr>
      <w:r w:rsidRPr="00BD77D8">
        <w:rPr>
          <w:rFonts w:eastAsia="Arial"/>
          <w:b/>
          <w:bCs/>
          <w:sz w:val="18"/>
          <w:szCs w:val="18"/>
          <w:lang w:eastAsia="en-US"/>
        </w:rPr>
        <w:t>Accounting policy - Distinction between Service Procurement and Grants</w:t>
      </w:r>
    </w:p>
    <w:p w14:paraId="7429CD2C" w14:textId="77777777" w:rsidR="00B9311E" w:rsidRPr="00BD77D8" w:rsidRDefault="00B9311E" w:rsidP="00B9311E">
      <w:pPr>
        <w:spacing w:after="0" w:line="180" w:lineRule="atLeast"/>
        <w:rPr>
          <w:rFonts w:eastAsia="Arial"/>
          <w:sz w:val="18"/>
          <w:szCs w:val="18"/>
          <w:lang w:eastAsia="en-US"/>
        </w:rPr>
      </w:pPr>
      <w:r w:rsidRPr="00BD77D8">
        <w:rPr>
          <w:rFonts w:eastAsia="Arial"/>
          <w:sz w:val="18"/>
          <w:szCs w:val="18"/>
          <w:lang w:eastAsia="en-US"/>
        </w:rPr>
        <w:t>For a transaction to be classified as service procurement, the value of goods or services received by the department must be of approximately equal value to the value of the consideration exchanged for those goods or services. Where this is not the substance of the arrangement, the transaction is classified as a grant (refer to Note B2-3).</w:t>
      </w:r>
    </w:p>
    <w:p w14:paraId="4E5ED604" w14:textId="25F96329" w:rsidR="00F35846" w:rsidRPr="00BD77D8" w:rsidRDefault="00F35846" w:rsidP="00C3515C">
      <w:pPr>
        <w:spacing w:before="1080" w:after="0" w:line="180" w:lineRule="atLeast"/>
        <w:rPr>
          <w:rFonts w:eastAsia="Arial"/>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18 of 45</w:t>
      </w:r>
    </w:p>
    <w:p w14:paraId="70F3B706" w14:textId="0DA08ADF" w:rsidR="00F35846" w:rsidRPr="00BD77D8" w:rsidRDefault="00F35846" w:rsidP="00B9311E">
      <w:pPr>
        <w:spacing w:after="0" w:line="180" w:lineRule="atLeast"/>
        <w:rPr>
          <w:rFonts w:eastAsia="PMingLiU"/>
          <w:sz w:val="18"/>
          <w:szCs w:val="18"/>
          <w:lang w:eastAsia="en-US"/>
        </w:rPr>
        <w:sectPr w:rsidR="00F35846" w:rsidRPr="00BD77D8" w:rsidSect="000160CF">
          <w:type w:val="nextColumn"/>
          <w:pgSz w:w="11909" w:h="16838"/>
          <w:pgMar w:top="794" w:right="794" w:bottom="794" w:left="794" w:header="720" w:footer="720" w:gutter="0"/>
          <w:cols w:space="720"/>
        </w:sect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p>
    <w:p w14:paraId="50C14C7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29FC25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5EFF55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1A349F1"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4F1029D5" w14:textId="77777777" w:rsidR="00B9311E" w:rsidRPr="00BD77D8" w:rsidRDefault="00B9311E" w:rsidP="00E47A6E">
      <w:pPr>
        <w:spacing w:before="200" w:line="180" w:lineRule="atLeast"/>
        <w:rPr>
          <w:rFonts w:eastAsia="Arial"/>
          <w:b/>
          <w:bCs/>
          <w:sz w:val="22"/>
          <w:szCs w:val="22"/>
          <w:lang w:eastAsia="en-US"/>
        </w:rPr>
      </w:pPr>
      <w:r w:rsidRPr="00BD77D8">
        <w:rPr>
          <w:rFonts w:eastAsia="Arial"/>
          <w:b/>
          <w:bCs/>
          <w:sz w:val="22"/>
          <w:szCs w:val="22"/>
          <w:lang w:eastAsia="en-US"/>
        </w:rPr>
        <w:t>B2 – Expenses (continued)</w:t>
      </w:r>
    </w:p>
    <w:p w14:paraId="3BC4F2E6" w14:textId="77777777" w:rsidR="00B9311E" w:rsidRPr="00BD77D8" w:rsidRDefault="00B9311E" w:rsidP="00B9311E">
      <w:pPr>
        <w:spacing w:after="0" w:line="206" w:lineRule="exact"/>
        <w:textAlignment w:val="baseline"/>
        <w:rPr>
          <w:rFonts w:eastAsia="PMingLiU"/>
          <w:b/>
          <w:bCs/>
          <w:sz w:val="18"/>
          <w:szCs w:val="22"/>
          <w:lang w:val="en-US" w:eastAsia="en-US"/>
        </w:rPr>
      </w:pPr>
      <w:r w:rsidRPr="00BD77D8">
        <w:rPr>
          <w:rFonts w:eastAsia="PMingLiU"/>
          <w:b/>
          <w:bCs/>
          <w:sz w:val="18"/>
          <w:szCs w:val="22"/>
          <w:lang w:eastAsia="en-US"/>
        </w:rPr>
        <w:t>B2-3 Grants and Subsidies ^</w:t>
      </w:r>
    </w:p>
    <w:tbl>
      <w:tblPr>
        <w:tblW w:w="10301" w:type="dxa"/>
        <w:tblCellMar>
          <w:left w:w="0" w:type="dxa"/>
          <w:right w:w="0" w:type="dxa"/>
        </w:tblCellMar>
        <w:tblLook w:val="04A0" w:firstRow="1" w:lastRow="0" w:firstColumn="1" w:lastColumn="0" w:noHBand="0" w:noVBand="1"/>
      </w:tblPr>
      <w:tblGrid>
        <w:gridCol w:w="8190"/>
        <w:gridCol w:w="1102"/>
        <w:gridCol w:w="1009"/>
      </w:tblGrid>
      <w:tr w:rsidR="00BD77D8" w:rsidRPr="00BD77D8" w14:paraId="7C3CACFE" w14:textId="77777777" w:rsidTr="003057FB">
        <w:trPr>
          <w:trHeight w:val="287"/>
        </w:trPr>
        <w:tc>
          <w:tcPr>
            <w:tcW w:w="8222" w:type="dxa"/>
            <w:tcBorders>
              <w:top w:val="nil"/>
              <w:left w:val="nil"/>
              <w:bottom w:val="nil"/>
              <w:right w:val="nil"/>
            </w:tcBorders>
            <w:shd w:val="clear" w:color="auto" w:fill="auto"/>
            <w:vAlign w:val="center"/>
            <w:hideMark/>
          </w:tcPr>
          <w:p w14:paraId="0DA74177" w14:textId="77777777" w:rsidR="00B9311E" w:rsidRPr="00BD77D8" w:rsidRDefault="00B9311E" w:rsidP="00B9311E">
            <w:pPr>
              <w:spacing w:after="0" w:line="240" w:lineRule="auto"/>
              <w:rPr>
                <w:rFonts w:ascii="Times New Roman" w:hAnsi="Times New Roman" w:cs="Times New Roman"/>
                <w:sz w:val="24"/>
                <w:szCs w:val="24"/>
              </w:rPr>
            </w:pPr>
          </w:p>
        </w:tc>
        <w:tc>
          <w:tcPr>
            <w:tcW w:w="1086" w:type="dxa"/>
            <w:tcBorders>
              <w:top w:val="nil"/>
              <w:left w:val="nil"/>
              <w:bottom w:val="nil"/>
              <w:right w:val="nil"/>
            </w:tcBorders>
            <w:shd w:val="clear" w:color="auto" w:fill="auto"/>
            <w:noWrap/>
            <w:vAlign w:val="bottom"/>
            <w:hideMark/>
          </w:tcPr>
          <w:p w14:paraId="648738E3"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993" w:type="dxa"/>
            <w:tcBorders>
              <w:top w:val="nil"/>
              <w:left w:val="nil"/>
              <w:bottom w:val="nil"/>
              <w:right w:val="nil"/>
            </w:tcBorders>
            <w:shd w:val="clear" w:color="auto" w:fill="auto"/>
            <w:noWrap/>
            <w:vAlign w:val="bottom"/>
            <w:hideMark/>
          </w:tcPr>
          <w:p w14:paraId="329E4152"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3371EE77" w14:textId="77777777" w:rsidTr="003057FB">
        <w:trPr>
          <w:trHeight w:val="287"/>
        </w:trPr>
        <w:tc>
          <w:tcPr>
            <w:tcW w:w="8222" w:type="dxa"/>
            <w:tcBorders>
              <w:top w:val="nil"/>
              <w:left w:val="nil"/>
              <w:bottom w:val="nil"/>
              <w:right w:val="nil"/>
            </w:tcBorders>
            <w:shd w:val="clear" w:color="auto" w:fill="auto"/>
            <w:vAlign w:val="center"/>
            <w:hideMark/>
          </w:tcPr>
          <w:p w14:paraId="3EC5940B" w14:textId="77777777" w:rsidR="00B9311E" w:rsidRPr="00BD77D8" w:rsidRDefault="00B9311E" w:rsidP="00B9311E">
            <w:pPr>
              <w:spacing w:after="0" w:line="240" w:lineRule="auto"/>
              <w:jc w:val="right"/>
              <w:rPr>
                <w:sz w:val="18"/>
                <w:szCs w:val="18"/>
              </w:rPr>
            </w:pPr>
          </w:p>
        </w:tc>
        <w:tc>
          <w:tcPr>
            <w:tcW w:w="1086" w:type="dxa"/>
            <w:tcBorders>
              <w:top w:val="nil"/>
              <w:left w:val="nil"/>
              <w:bottom w:val="single" w:sz="4" w:space="0" w:color="auto"/>
              <w:right w:val="nil"/>
            </w:tcBorders>
            <w:shd w:val="clear" w:color="auto" w:fill="auto"/>
            <w:noWrap/>
            <w:vAlign w:val="bottom"/>
            <w:hideMark/>
          </w:tcPr>
          <w:p w14:paraId="3CCD48EE"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993" w:type="dxa"/>
            <w:tcBorders>
              <w:top w:val="nil"/>
              <w:left w:val="nil"/>
              <w:bottom w:val="single" w:sz="4" w:space="0" w:color="auto"/>
              <w:right w:val="nil"/>
            </w:tcBorders>
            <w:shd w:val="clear" w:color="auto" w:fill="auto"/>
            <w:noWrap/>
            <w:vAlign w:val="bottom"/>
            <w:hideMark/>
          </w:tcPr>
          <w:p w14:paraId="2A73B19F"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5AAD92A5" w14:textId="77777777" w:rsidTr="003057FB">
        <w:trPr>
          <w:trHeight w:val="287"/>
        </w:trPr>
        <w:tc>
          <w:tcPr>
            <w:tcW w:w="8222" w:type="dxa"/>
            <w:tcBorders>
              <w:top w:val="nil"/>
              <w:left w:val="nil"/>
              <w:bottom w:val="nil"/>
              <w:right w:val="nil"/>
            </w:tcBorders>
            <w:shd w:val="clear" w:color="auto" w:fill="auto"/>
            <w:vAlign w:val="center"/>
            <w:hideMark/>
          </w:tcPr>
          <w:p w14:paraId="34D60C92" w14:textId="77777777" w:rsidR="00B9311E" w:rsidRPr="00BD77D8" w:rsidRDefault="00B9311E" w:rsidP="00B9311E">
            <w:pPr>
              <w:spacing w:after="0" w:line="240" w:lineRule="auto"/>
              <w:rPr>
                <w:sz w:val="18"/>
                <w:szCs w:val="18"/>
              </w:rPr>
            </w:pPr>
            <w:r w:rsidRPr="00BD77D8">
              <w:rPr>
                <w:sz w:val="18"/>
                <w:szCs w:val="18"/>
              </w:rPr>
              <w:t xml:space="preserve"> Disability Services </w:t>
            </w:r>
          </w:p>
        </w:tc>
        <w:tc>
          <w:tcPr>
            <w:tcW w:w="1086" w:type="dxa"/>
            <w:tcBorders>
              <w:top w:val="nil"/>
              <w:left w:val="nil"/>
              <w:bottom w:val="nil"/>
              <w:right w:val="nil"/>
            </w:tcBorders>
            <w:shd w:val="clear" w:color="auto" w:fill="auto"/>
            <w:noWrap/>
            <w:vAlign w:val="bottom"/>
            <w:hideMark/>
          </w:tcPr>
          <w:p w14:paraId="12ACFF81" w14:textId="77777777" w:rsidR="00B9311E" w:rsidRPr="00BD77D8" w:rsidRDefault="00B9311E" w:rsidP="00B9311E">
            <w:pPr>
              <w:spacing w:after="0" w:line="240" w:lineRule="auto"/>
              <w:jc w:val="right"/>
              <w:rPr>
                <w:sz w:val="18"/>
                <w:szCs w:val="18"/>
              </w:rPr>
            </w:pPr>
            <w:r w:rsidRPr="00BD77D8">
              <w:rPr>
                <w:sz w:val="18"/>
                <w:szCs w:val="18"/>
              </w:rPr>
              <w:t>4,541</w:t>
            </w:r>
          </w:p>
        </w:tc>
        <w:tc>
          <w:tcPr>
            <w:tcW w:w="993" w:type="dxa"/>
            <w:tcBorders>
              <w:top w:val="nil"/>
              <w:left w:val="nil"/>
              <w:bottom w:val="nil"/>
              <w:right w:val="nil"/>
            </w:tcBorders>
            <w:shd w:val="clear" w:color="auto" w:fill="auto"/>
            <w:noWrap/>
            <w:vAlign w:val="bottom"/>
            <w:hideMark/>
          </w:tcPr>
          <w:p w14:paraId="11D2AFC3" w14:textId="77777777" w:rsidR="00B9311E" w:rsidRPr="00BD77D8" w:rsidRDefault="00B9311E" w:rsidP="00B9311E">
            <w:pPr>
              <w:spacing w:after="0" w:line="240" w:lineRule="auto"/>
              <w:jc w:val="right"/>
              <w:rPr>
                <w:sz w:val="18"/>
                <w:szCs w:val="18"/>
              </w:rPr>
            </w:pPr>
            <w:r w:rsidRPr="00BD77D8">
              <w:rPr>
                <w:sz w:val="18"/>
                <w:szCs w:val="18"/>
              </w:rPr>
              <w:t>4,099</w:t>
            </w:r>
          </w:p>
        </w:tc>
      </w:tr>
      <w:tr w:rsidR="00BD77D8" w:rsidRPr="00BD77D8" w14:paraId="4EEBE407" w14:textId="77777777" w:rsidTr="003057FB">
        <w:trPr>
          <w:trHeight w:val="287"/>
        </w:trPr>
        <w:tc>
          <w:tcPr>
            <w:tcW w:w="8222" w:type="dxa"/>
            <w:tcBorders>
              <w:top w:val="nil"/>
              <w:left w:val="nil"/>
              <w:bottom w:val="nil"/>
              <w:right w:val="nil"/>
            </w:tcBorders>
            <w:shd w:val="clear" w:color="auto" w:fill="auto"/>
            <w:vAlign w:val="center"/>
            <w:hideMark/>
          </w:tcPr>
          <w:p w14:paraId="4FDFB6BB" w14:textId="77777777" w:rsidR="00B9311E" w:rsidRPr="00BD77D8" w:rsidRDefault="00B9311E" w:rsidP="00B9311E">
            <w:pPr>
              <w:spacing w:after="0" w:line="240" w:lineRule="auto"/>
              <w:rPr>
                <w:sz w:val="18"/>
                <w:szCs w:val="18"/>
              </w:rPr>
            </w:pPr>
            <w:r w:rsidRPr="00BD77D8">
              <w:rPr>
                <w:sz w:val="18"/>
                <w:szCs w:val="18"/>
              </w:rPr>
              <w:t xml:space="preserve"> Seniors Services </w:t>
            </w:r>
          </w:p>
        </w:tc>
        <w:tc>
          <w:tcPr>
            <w:tcW w:w="1086" w:type="dxa"/>
            <w:tcBorders>
              <w:top w:val="nil"/>
              <w:left w:val="nil"/>
              <w:bottom w:val="nil"/>
              <w:right w:val="nil"/>
            </w:tcBorders>
            <w:shd w:val="clear" w:color="auto" w:fill="auto"/>
            <w:vAlign w:val="center"/>
            <w:hideMark/>
          </w:tcPr>
          <w:p w14:paraId="54720843" w14:textId="77777777" w:rsidR="00B9311E" w:rsidRPr="00BD77D8" w:rsidRDefault="00B9311E" w:rsidP="00B9311E">
            <w:pPr>
              <w:spacing w:after="0" w:line="240" w:lineRule="auto"/>
              <w:jc w:val="right"/>
              <w:rPr>
                <w:sz w:val="18"/>
                <w:szCs w:val="18"/>
              </w:rPr>
            </w:pPr>
            <w:r w:rsidRPr="00BD77D8">
              <w:rPr>
                <w:sz w:val="18"/>
                <w:szCs w:val="18"/>
              </w:rPr>
              <w:t xml:space="preserve">              223 </w:t>
            </w:r>
          </w:p>
        </w:tc>
        <w:tc>
          <w:tcPr>
            <w:tcW w:w="993" w:type="dxa"/>
            <w:tcBorders>
              <w:top w:val="nil"/>
              <w:left w:val="nil"/>
              <w:bottom w:val="nil"/>
              <w:right w:val="nil"/>
            </w:tcBorders>
            <w:shd w:val="clear" w:color="auto" w:fill="auto"/>
            <w:vAlign w:val="center"/>
            <w:hideMark/>
          </w:tcPr>
          <w:p w14:paraId="35B3D47F" w14:textId="77777777" w:rsidR="00B9311E" w:rsidRPr="00BD77D8" w:rsidRDefault="00B9311E" w:rsidP="00B9311E">
            <w:pPr>
              <w:spacing w:after="0" w:line="240" w:lineRule="auto"/>
              <w:jc w:val="right"/>
              <w:rPr>
                <w:sz w:val="18"/>
                <w:szCs w:val="18"/>
              </w:rPr>
            </w:pPr>
            <w:r w:rsidRPr="00BD77D8">
              <w:rPr>
                <w:sz w:val="18"/>
                <w:szCs w:val="18"/>
              </w:rPr>
              <w:t xml:space="preserve">       520 </w:t>
            </w:r>
          </w:p>
        </w:tc>
      </w:tr>
      <w:tr w:rsidR="00BD77D8" w:rsidRPr="00BD77D8" w14:paraId="785CC634" w14:textId="77777777" w:rsidTr="003057FB">
        <w:trPr>
          <w:trHeight w:val="287"/>
        </w:trPr>
        <w:tc>
          <w:tcPr>
            <w:tcW w:w="8222" w:type="dxa"/>
            <w:tcBorders>
              <w:top w:val="nil"/>
              <w:left w:val="nil"/>
              <w:bottom w:val="nil"/>
              <w:right w:val="nil"/>
            </w:tcBorders>
            <w:shd w:val="clear" w:color="auto" w:fill="auto"/>
            <w:vAlign w:val="center"/>
            <w:hideMark/>
          </w:tcPr>
          <w:p w14:paraId="4A97BCDB" w14:textId="77777777" w:rsidR="00B9311E" w:rsidRPr="00BD77D8" w:rsidRDefault="00B9311E" w:rsidP="00B9311E">
            <w:pPr>
              <w:spacing w:after="0" w:line="240" w:lineRule="auto"/>
              <w:rPr>
                <w:sz w:val="18"/>
                <w:szCs w:val="18"/>
              </w:rPr>
            </w:pPr>
            <w:r w:rsidRPr="00BD77D8">
              <w:rPr>
                <w:sz w:val="18"/>
                <w:szCs w:val="18"/>
              </w:rPr>
              <w:t xml:space="preserve"> Aboriginal and Torres Strait Islander Partnership Services * </w:t>
            </w:r>
          </w:p>
        </w:tc>
        <w:tc>
          <w:tcPr>
            <w:tcW w:w="1086" w:type="dxa"/>
            <w:tcBorders>
              <w:top w:val="nil"/>
              <w:left w:val="nil"/>
              <w:bottom w:val="nil"/>
              <w:right w:val="nil"/>
            </w:tcBorders>
            <w:shd w:val="clear" w:color="auto" w:fill="auto"/>
            <w:vAlign w:val="center"/>
            <w:hideMark/>
          </w:tcPr>
          <w:p w14:paraId="3A34EF02" w14:textId="77777777" w:rsidR="00B9311E" w:rsidRPr="00BD77D8" w:rsidRDefault="00B9311E" w:rsidP="00B9311E">
            <w:pPr>
              <w:spacing w:after="0" w:line="240" w:lineRule="auto"/>
              <w:jc w:val="right"/>
              <w:rPr>
                <w:sz w:val="18"/>
                <w:szCs w:val="18"/>
              </w:rPr>
            </w:pPr>
            <w:r w:rsidRPr="00BD77D8">
              <w:rPr>
                <w:sz w:val="18"/>
                <w:szCs w:val="18"/>
              </w:rPr>
              <w:t xml:space="preserve">         11,099 </w:t>
            </w:r>
          </w:p>
        </w:tc>
        <w:tc>
          <w:tcPr>
            <w:tcW w:w="993" w:type="dxa"/>
            <w:tcBorders>
              <w:top w:val="nil"/>
              <w:left w:val="nil"/>
              <w:bottom w:val="nil"/>
              <w:right w:val="nil"/>
            </w:tcBorders>
            <w:shd w:val="clear" w:color="auto" w:fill="auto"/>
            <w:vAlign w:val="center"/>
            <w:hideMark/>
          </w:tcPr>
          <w:p w14:paraId="1BC1E437" w14:textId="77777777" w:rsidR="00B9311E" w:rsidRPr="00BD77D8" w:rsidRDefault="00B9311E" w:rsidP="00B9311E">
            <w:pPr>
              <w:spacing w:after="0" w:line="240" w:lineRule="auto"/>
              <w:jc w:val="right"/>
              <w:rPr>
                <w:sz w:val="18"/>
                <w:szCs w:val="18"/>
              </w:rPr>
            </w:pPr>
            <w:r w:rsidRPr="00BD77D8">
              <w:rPr>
                <w:sz w:val="18"/>
                <w:szCs w:val="18"/>
              </w:rPr>
              <w:t xml:space="preserve">    2,922 </w:t>
            </w:r>
          </w:p>
        </w:tc>
      </w:tr>
      <w:tr w:rsidR="00BD77D8" w:rsidRPr="00BD77D8" w14:paraId="5AEBFFE8" w14:textId="77777777" w:rsidTr="003057FB">
        <w:trPr>
          <w:trHeight w:val="287"/>
        </w:trPr>
        <w:tc>
          <w:tcPr>
            <w:tcW w:w="8222" w:type="dxa"/>
            <w:tcBorders>
              <w:top w:val="nil"/>
              <w:left w:val="nil"/>
              <w:bottom w:val="nil"/>
              <w:right w:val="nil"/>
            </w:tcBorders>
            <w:shd w:val="clear" w:color="auto" w:fill="auto"/>
            <w:vAlign w:val="center"/>
            <w:hideMark/>
          </w:tcPr>
          <w:p w14:paraId="1A2CA9E3" w14:textId="77777777" w:rsidR="00B9311E" w:rsidRPr="00BD77D8" w:rsidRDefault="00B9311E" w:rsidP="00B9311E">
            <w:pPr>
              <w:spacing w:after="0" w:line="240" w:lineRule="auto"/>
              <w:rPr>
                <w:sz w:val="18"/>
                <w:szCs w:val="18"/>
              </w:rPr>
            </w:pPr>
            <w:r w:rsidRPr="00BD77D8">
              <w:rPr>
                <w:sz w:val="18"/>
                <w:szCs w:val="18"/>
              </w:rPr>
              <w:t xml:space="preserve"> Community Services * </w:t>
            </w:r>
          </w:p>
        </w:tc>
        <w:tc>
          <w:tcPr>
            <w:tcW w:w="1086" w:type="dxa"/>
            <w:tcBorders>
              <w:top w:val="nil"/>
              <w:left w:val="nil"/>
              <w:bottom w:val="nil"/>
              <w:right w:val="nil"/>
            </w:tcBorders>
            <w:shd w:val="clear" w:color="auto" w:fill="auto"/>
            <w:vAlign w:val="center"/>
            <w:hideMark/>
          </w:tcPr>
          <w:p w14:paraId="3E7E19A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3" w:type="dxa"/>
            <w:tcBorders>
              <w:top w:val="nil"/>
              <w:left w:val="nil"/>
              <w:bottom w:val="nil"/>
              <w:right w:val="nil"/>
            </w:tcBorders>
            <w:shd w:val="clear" w:color="auto" w:fill="auto"/>
            <w:vAlign w:val="center"/>
            <w:hideMark/>
          </w:tcPr>
          <w:p w14:paraId="06AAA0EB" w14:textId="77777777" w:rsidR="00B9311E" w:rsidRPr="00BD77D8" w:rsidRDefault="00B9311E" w:rsidP="00B9311E">
            <w:pPr>
              <w:spacing w:after="0" w:line="240" w:lineRule="auto"/>
              <w:jc w:val="right"/>
              <w:rPr>
                <w:sz w:val="18"/>
                <w:szCs w:val="18"/>
              </w:rPr>
            </w:pPr>
            <w:r w:rsidRPr="00BD77D8">
              <w:rPr>
                <w:sz w:val="18"/>
                <w:szCs w:val="18"/>
              </w:rPr>
              <w:t xml:space="preserve">    9,221 </w:t>
            </w:r>
          </w:p>
        </w:tc>
      </w:tr>
      <w:tr w:rsidR="00BD77D8" w:rsidRPr="00BD77D8" w14:paraId="2B4BA523" w14:textId="77777777" w:rsidTr="003057FB">
        <w:trPr>
          <w:trHeight w:val="302"/>
        </w:trPr>
        <w:tc>
          <w:tcPr>
            <w:tcW w:w="8222" w:type="dxa"/>
            <w:tcBorders>
              <w:top w:val="nil"/>
              <w:left w:val="nil"/>
              <w:bottom w:val="nil"/>
              <w:right w:val="nil"/>
            </w:tcBorders>
            <w:shd w:val="clear" w:color="auto" w:fill="auto"/>
            <w:vAlign w:val="center"/>
            <w:hideMark/>
          </w:tcPr>
          <w:p w14:paraId="2AC54B63" w14:textId="77777777" w:rsidR="00B9311E" w:rsidRPr="00BD77D8" w:rsidRDefault="00B9311E" w:rsidP="00B9311E">
            <w:pPr>
              <w:spacing w:after="0" w:line="240" w:lineRule="auto"/>
              <w:rPr>
                <w:sz w:val="18"/>
                <w:szCs w:val="18"/>
              </w:rPr>
            </w:pPr>
            <w:r w:rsidRPr="00BD77D8">
              <w:rPr>
                <w:sz w:val="18"/>
                <w:szCs w:val="18"/>
              </w:rPr>
              <w:t xml:space="preserve"> Donations and gifts </w:t>
            </w:r>
          </w:p>
        </w:tc>
        <w:tc>
          <w:tcPr>
            <w:tcW w:w="1086" w:type="dxa"/>
            <w:tcBorders>
              <w:top w:val="nil"/>
              <w:left w:val="nil"/>
              <w:bottom w:val="nil"/>
              <w:right w:val="nil"/>
            </w:tcBorders>
            <w:shd w:val="clear" w:color="auto" w:fill="auto"/>
            <w:vAlign w:val="center"/>
            <w:hideMark/>
          </w:tcPr>
          <w:p w14:paraId="6DE9E23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3" w:type="dxa"/>
            <w:tcBorders>
              <w:top w:val="nil"/>
              <w:left w:val="nil"/>
              <w:bottom w:val="nil"/>
              <w:right w:val="nil"/>
            </w:tcBorders>
            <w:shd w:val="clear" w:color="auto" w:fill="auto"/>
            <w:vAlign w:val="center"/>
            <w:hideMark/>
          </w:tcPr>
          <w:p w14:paraId="40983C3C" w14:textId="77777777" w:rsidR="00B9311E" w:rsidRPr="00BD77D8" w:rsidRDefault="00B9311E" w:rsidP="00B9311E">
            <w:pPr>
              <w:spacing w:after="0" w:line="240" w:lineRule="auto"/>
              <w:jc w:val="right"/>
              <w:rPr>
                <w:sz w:val="18"/>
                <w:szCs w:val="18"/>
              </w:rPr>
            </w:pPr>
            <w:r w:rsidRPr="00BD77D8">
              <w:rPr>
                <w:sz w:val="18"/>
                <w:szCs w:val="18"/>
              </w:rPr>
              <w:t xml:space="preserve">            1 </w:t>
            </w:r>
          </w:p>
        </w:tc>
      </w:tr>
      <w:tr w:rsidR="00BD77D8" w:rsidRPr="00BD77D8" w14:paraId="7A5C4F26" w14:textId="77777777" w:rsidTr="003057FB">
        <w:trPr>
          <w:trHeight w:val="287"/>
        </w:trPr>
        <w:tc>
          <w:tcPr>
            <w:tcW w:w="8222" w:type="dxa"/>
            <w:tcBorders>
              <w:top w:val="nil"/>
              <w:left w:val="nil"/>
              <w:bottom w:val="nil"/>
              <w:right w:val="nil"/>
            </w:tcBorders>
            <w:shd w:val="clear" w:color="auto" w:fill="auto"/>
            <w:vAlign w:val="center"/>
            <w:hideMark/>
          </w:tcPr>
          <w:p w14:paraId="100AF34E"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086" w:type="dxa"/>
            <w:tcBorders>
              <w:top w:val="single" w:sz="4" w:space="0" w:color="auto"/>
              <w:left w:val="nil"/>
              <w:bottom w:val="single" w:sz="4" w:space="0" w:color="auto"/>
              <w:right w:val="nil"/>
            </w:tcBorders>
            <w:shd w:val="clear" w:color="auto" w:fill="auto"/>
            <w:vAlign w:val="bottom"/>
            <w:hideMark/>
          </w:tcPr>
          <w:p w14:paraId="0F24A4AC" w14:textId="77777777" w:rsidR="00B9311E" w:rsidRPr="00BD77D8" w:rsidRDefault="00B9311E" w:rsidP="00B9311E">
            <w:pPr>
              <w:spacing w:after="0" w:line="240" w:lineRule="auto"/>
              <w:jc w:val="right"/>
              <w:rPr>
                <w:b/>
                <w:bCs/>
                <w:sz w:val="18"/>
                <w:szCs w:val="18"/>
              </w:rPr>
            </w:pPr>
            <w:r w:rsidRPr="00BD77D8">
              <w:rPr>
                <w:b/>
                <w:bCs/>
                <w:sz w:val="18"/>
                <w:szCs w:val="18"/>
              </w:rPr>
              <w:t xml:space="preserve">         15,863 </w:t>
            </w:r>
          </w:p>
        </w:tc>
        <w:tc>
          <w:tcPr>
            <w:tcW w:w="993" w:type="dxa"/>
            <w:tcBorders>
              <w:top w:val="single" w:sz="4" w:space="0" w:color="auto"/>
              <w:left w:val="nil"/>
              <w:bottom w:val="single" w:sz="4" w:space="0" w:color="auto"/>
              <w:right w:val="nil"/>
            </w:tcBorders>
            <w:shd w:val="clear" w:color="auto" w:fill="auto"/>
            <w:vAlign w:val="bottom"/>
            <w:hideMark/>
          </w:tcPr>
          <w:p w14:paraId="0BCE09D8" w14:textId="77777777" w:rsidR="00B9311E" w:rsidRPr="00BD77D8" w:rsidRDefault="00B9311E" w:rsidP="00B9311E">
            <w:pPr>
              <w:spacing w:after="0" w:line="240" w:lineRule="auto"/>
              <w:jc w:val="right"/>
              <w:rPr>
                <w:b/>
                <w:bCs/>
                <w:sz w:val="18"/>
                <w:szCs w:val="18"/>
              </w:rPr>
            </w:pPr>
            <w:r w:rsidRPr="00BD77D8">
              <w:rPr>
                <w:b/>
                <w:bCs/>
                <w:sz w:val="18"/>
                <w:szCs w:val="18"/>
              </w:rPr>
              <w:t xml:space="preserve"> 16,763 </w:t>
            </w:r>
          </w:p>
        </w:tc>
      </w:tr>
    </w:tbl>
    <w:p w14:paraId="60787667" w14:textId="77777777" w:rsidR="00B9311E" w:rsidRPr="00BD77D8" w:rsidRDefault="00B9311E" w:rsidP="00760ABD">
      <w:pPr>
        <w:spacing w:before="240" w:after="0" w:line="204" w:lineRule="exact"/>
        <w:textAlignment w:val="baseline"/>
        <w:rPr>
          <w:rFonts w:eastAsia="Arial"/>
          <w:b/>
          <w:bCs/>
          <w:sz w:val="16"/>
          <w:szCs w:val="16"/>
          <w:lang w:eastAsia="en-US"/>
        </w:rPr>
      </w:pPr>
      <w:r w:rsidRPr="00BD77D8">
        <w:rPr>
          <w:rFonts w:eastAsia="Arial"/>
          <w:sz w:val="16"/>
          <w:szCs w:val="16"/>
          <w:lang w:eastAsia="en-US"/>
        </w:rPr>
        <w:t>^ Refer to B2-2 for the accounting policy on the distinction between service procurement and grants.</w:t>
      </w:r>
    </w:p>
    <w:p w14:paraId="086328FC" w14:textId="77777777" w:rsidR="00B9311E" w:rsidRPr="00BD77D8" w:rsidRDefault="00B9311E" w:rsidP="00B9311E">
      <w:pPr>
        <w:spacing w:after="0" w:line="204" w:lineRule="exact"/>
        <w:textAlignment w:val="baseline"/>
        <w:rPr>
          <w:rFonts w:eastAsia="Arial"/>
          <w:b/>
          <w:bCs/>
          <w:sz w:val="16"/>
          <w:szCs w:val="16"/>
          <w:lang w:eastAsia="en-US"/>
        </w:rPr>
      </w:pPr>
      <w:r w:rsidRPr="00BD77D8">
        <w:rPr>
          <w:rFonts w:eastAsia="Arial"/>
          <w:sz w:val="16"/>
          <w:szCs w:val="16"/>
          <w:lang w:eastAsia="en-US"/>
        </w:rPr>
        <w:t>* ATSIP services comparative amounts are from 13 November 2020 to 30 June 2021 due to the 2020 Machinery-of-Government changes. Community Services transactions are from 1 July 2020 to 30 November 2020 due to the Machinery-of-Government changes.</w:t>
      </w:r>
    </w:p>
    <w:p w14:paraId="1C3B9D2F" w14:textId="77777777" w:rsidR="00B9311E" w:rsidRPr="00BD77D8" w:rsidRDefault="00B9311E" w:rsidP="00760ABD">
      <w:pPr>
        <w:spacing w:before="240" w:after="0" w:line="204" w:lineRule="exact"/>
        <w:textAlignment w:val="baseline"/>
        <w:rPr>
          <w:rFonts w:eastAsia="PMingLiU"/>
          <w:sz w:val="18"/>
          <w:szCs w:val="22"/>
          <w:lang w:val="en-US" w:eastAsia="en-US"/>
        </w:rPr>
      </w:pPr>
      <w:r w:rsidRPr="00BD77D8">
        <w:rPr>
          <w:rFonts w:eastAsia="Arial"/>
          <w:b/>
          <w:bCs/>
          <w:sz w:val="18"/>
          <w:szCs w:val="18"/>
          <w:lang w:eastAsia="en-US"/>
        </w:rPr>
        <w:t>B2-4 Depreciation and Amortisation</w:t>
      </w:r>
    </w:p>
    <w:tbl>
      <w:tblPr>
        <w:tblW w:w="10348" w:type="dxa"/>
        <w:tblCellMar>
          <w:left w:w="0" w:type="dxa"/>
          <w:right w:w="0" w:type="dxa"/>
        </w:tblCellMar>
        <w:tblLook w:val="04A0" w:firstRow="1" w:lastRow="0" w:firstColumn="1" w:lastColumn="0" w:noHBand="0" w:noVBand="1"/>
      </w:tblPr>
      <w:tblGrid>
        <w:gridCol w:w="8332"/>
        <w:gridCol w:w="976"/>
        <w:gridCol w:w="1040"/>
      </w:tblGrid>
      <w:tr w:rsidR="00BD77D8" w:rsidRPr="00BD77D8" w14:paraId="198EC13F" w14:textId="77777777" w:rsidTr="003057FB">
        <w:trPr>
          <w:trHeight w:val="267"/>
        </w:trPr>
        <w:tc>
          <w:tcPr>
            <w:tcW w:w="8364" w:type="dxa"/>
            <w:tcBorders>
              <w:top w:val="nil"/>
              <w:left w:val="nil"/>
              <w:bottom w:val="nil"/>
              <w:right w:val="nil"/>
            </w:tcBorders>
            <w:shd w:val="clear" w:color="auto" w:fill="auto"/>
            <w:vAlign w:val="center"/>
            <w:hideMark/>
          </w:tcPr>
          <w:p w14:paraId="3609C48E" w14:textId="77777777" w:rsidR="00B9311E" w:rsidRPr="00BD77D8" w:rsidRDefault="00B9311E" w:rsidP="00B9311E">
            <w:pPr>
              <w:spacing w:after="0" w:line="240" w:lineRule="auto"/>
              <w:rPr>
                <w:sz w:val="18"/>
                <w:szCs w:val="18"/>
              </w:rPr>
            </w:pPr>
            <w:r w:rsidRPr="00BD77D8">
              <w:rPr>
                <w:sz w:val="18"/>
                <w:szCs w:val="18"/>
              </w:rPr>
              <w:t xml:space="preserve">   </w:t>
            </w:r>
          </w:p>
        </w:tc>
        <w:tc>
          <w:tcPr>
            <w:tcW w:w="960" w:type="dxa"/>
            <w:tcBorders>
              <w:top w:val="nil"/>
              <w:left w:val="nil"/>
              <w:bottom w:val="nil"/>
              <w:right w:val="nil"/>
            </w:tcBorders>
            <w:shd w:val="clear" w:color="auto" w:fill="auto"/>
            <w:noWrap/>
            <w:vAlign w:val="bottom"/>
            <w:hideMark/>
          </w:tcPr>
          <w:p w14:paraId="2FC64312"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24" w:type="dxa"/>
            <w:tcBorders>
              <w:top w:val="nil"/>
              <w:left w:val="nil"/>
              <w:bottom w:val="nil"/>
              <w:right w:val="nil"/>
            </w:tcBorders>
            <w:shd w:val="clear" w:color="auto" w:fill="auto"/>
            <w:noWrap/>
            <w:vAlign w:val="bottom"/>
            <w:hideMark/>
          </w:tcPr>
          <w:p w14:paraId="6407C7F4"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6E5F0A0C" w14:textId="77777777" w:rsidTr="003057FB">
        <w:trPr>
          <w:trHeight w:val="267"/>
        </w:trPr>
        <w:tc>
          <w:tcPr>
            <w:tcW w:w="8364" w:type="dxa"/>
            <w:tcBorders>
              <w:top w:val="nil"/>
              <w:left w:val="nil"/>
              <w:bottom w:val="nil"/>
              <w:right w:val="nil"/>
            </w:tcBorders>
            <w:shd w:val="clear" w:color="auto" w:fill="auto"/>
            <w:vAlign w:val="center"/>
            <w:hideMark/>
          </w:tcPr>
          <w:p w14:paraId="14984D0E" w14:textId="77777777" w:rsidR="00B9311E" w:rsidRPr="00BD77D8" w:rsidRDefault="00B9311E" w:rsidP="00B9311E">
            <w:pPr>
              <w:spacing w:after="0" w:line="240" w:lineRule="auto"/>
              <w:rPr>
                <w:sz w:val="18"/>
                <w:szCs w:val="18"/>
              </w:rPr>
            </w:pPr>
            <w:r w:rsidRPr="00BD77D8">
              <w:rPr>
                <w:sz w:val="18"/>
                <w:szCs w:val="18"/>
              </w:rPr>
              <w:t xml:space="preserve">   </w:t>
            </w:r>
          </w:p>
        </w:tc>
        <w:tc>
          <w:tcPr>
            <w:tcW w:w="960" w:type="dxa"/>
            <w:tcBorders>
              <w:top w:val="nil"/>
              <w:left w:val="nil"/>
              <w:bottom w:val="single" w:sz="4" w:space="0" w:color="auto"/>
              <w:right w:val="nil"/>
            </w:tcBorders>
            <w:shd w:val="clear" w:color="auto" w:fill="auto"/>
            <w:noWrap/>
            <w:vAlign w:val="bottom"/>
            <w:hideMark/>
          </w:tcPr>
          <w:p w14:paraId="31D0CA49"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024" w:type="dxa"/>
            <w:tcBorders>
              <w:top w:val="nil"/>
              <w:left w:val="nil"/>
              <w:bottom w:val="single" w:sz="4" w:space="0" w:color="auto"/>
              <w:right w:val="nil"/>
            </w:tcBorders>
            <w:shd w:val="clear" w:color="auto" w:fill="auto"/>
            <w:noWrap/>
            <w:vAlign w:val="bottom"/>
            <w:hideMark/>
          </w:tcPr>
          <w:p w14:paraId="31ED0ED7"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45ED06EE" w14:textId="77777777" w:rsidTr="003057FB">
        <w:trPr>
          <w:trHeight w:val="267"/>
        </w:trPr>
        <w:tc>
          <w:tcPr>
            <w:tcW w:w="8364" w:type="dxa"/>
            <w:tcBorders>
              <w:top w:val="nil"/>
              <w:left w:val="nil"/>
              <w:bottom w:val="nil"/>
              <w:right w:val="nil"/>
            </w:tcBorders>
            <w:shd w:val="clear" w:color="auto" w:fill="auto"/>
            <w:vAlign w:val="center"/>
            <w:hideMark/>
          </w:tcPr>
          <w:p w14:paraId="4F115430" w14:textId="77777777" w:rsidR="00B9311E" w:rsidRPr="00BD77D8" w:rsidRDefault="00B9311E" w:rsidP="00B9311E">
            <w:pPr>
              <w:spacing w:after="0" w:line="240" w:lineRule="auto"/>
              <w:rPr>
                <w:sz w:val="18"/>
                <w:szCs w:val="18"/>
              </w:rPr>
            </w:pPr>
            <w:r w:rsidRPr="00BD77D8">
              <w:rPr>
                <w:sz w:val="18"/>
                <w:szCs w:val="18"/>
              </w:rPr>
              <w:t xml:space="preserve"> Depreciation - property, plant and equipment (refer C4-1) </w:t>
            </w:r>
          </w:p>
        </w:tc>
        <w:tc>
          <w:tcPr>
            <w:tcW w:w="960" w:type="dxa"/>
            <w:tcBorders>
              <w:top w:val="nil"/>
              <w:left w:val="nil"/>
              <w:bottom w:val="nil"/>
              <w:right w:val="nil"/>
            </w:tcBorders>
            <w:shd w:val="clear" w:color="auto" w:fill="auto"/>
            <w:vAlign w:val="center"/>
            <w:hideMark/>
          </w:tcPr>
          <w:p w14:paraId="66D78994" w14:textId="77777777" w:rsidR="00B9311E" w:rsidRPr="00BD77D8" w:rsidRDefault="00B9311E" w:rsidP="00B9311E">
            <w:pPr>
              <w:spacing w:after="0" w:line="240" w:lineRule="auto"/>
              <w:jc w:val="right"/>
              <w:rPr>
                <w:sz w:val="18"/>
                <w:szCs w:val="18"/>
              </w:rPr>
            </w:pPr>
            <w:r w:rsidRPr="00BD77D8">
              <w:rPr>
                <w:sz w:val="18"/>
                <w:szCs w:val="18"/>
              </w:rPr>
              <w:t xml:space="preserve">  3,701 </w:t>
            </w:r>
          </w:p>
        </w:tc>
        <w:tc>
          <w:tcPr>
            <w:tcW w:w="1024" w:type="dxa"/>
            <w:tcBorders>
              <w:top w:val="nil"/>
              <w:left w:val="nil"/>
              <w:bottom w:val="nil"/>
              <w:right w:val="nil"/>
            </w:tcBorders>
            <w:shd w:val="clear" w:color="auto" w:fill="auto"/>
            <w:noWrap/>
            <w:vAlign w:val="center"/>
            <w:hideMark/>
          </w:tcPr>
          <w:p w14:paraId="75C5F24A" w14:textId="77777777" w:rsidR="00B9311E" w:rsidRPr="00BD77D8" w:rsidRDefault="00B9311E" w:rsidP="00B9311E">
            <w:pPr>
              <w:spacing w:after="0" w:line="240" w:lineRule="auto"/>
              <w:jc w:val="right"/>
              <w:rPr>
                <w:sz w:val="18"/>
                <w:szCs w:val="18"/>
              </w:rPr>
            </w:pPr>
            <w:r w:rsidRPr="00BD77D8">
              <w:rPr>
                <w:sz w:val="18"/>
                <w:szCs w:val="18"/>
              </w:rPr>
              <w:t>4,756</w:t>
            </w:r>
          </w:p>
        </w:tc>
      </w:tr>
      <w:tr w:rsidR="00BD77D8" w:rsidRPr="00BD77D8" w14:paraId="584FFAA4" w14:textId="77777777" w:rsidTr="003057FB">
        <w:trPr>
          <w:trHeight w:val="267"/>
        </w:trPr>
        <w:tc>
          <w:tcPr>
            <w:tcW w:w="8364" w:type="dxa"/>
            <w:tcBorders>
              <w:top w:val="nil"/>
              <w:left w:val="nil"/>
              <w:bottom w:val="nil"/>
              <w:right w:val="nil"/>
            </w:tcBorders>
            <w:shd w:val="clear" w:color="auto" w:fill="auto"/>
            <w:vAlign w:val="center"/>
            <w:hideMark/>
          </w:tcPr>
          <w:p w14:paraId="312FB0A7" w14:textId="77777777" w:rsidR="00B9311E" w:rsidRPr="00BD77D8" w:rsidRDefault="00B9311E" w:rsidP="00B9311E">
            <w:pPr>
              <w:spacing w:after="0" w:line="240" w:lineRule="auto"/>
              <w:rPr>
                <w:sz w:val="18"/>
                <w:szCs w:val="18"/>
              </w:rPr>
            </w:pPr>
            <w:r w:rsidRPr="00BD77D8">
              <w:rPr>
                <w:sz w:val="18"/>
                <w:szCs w:val="18"/>
              </w:rPr>
              <w:t xml:space="preserve"> Depreciation - right-of-use assets </w:t>
            </w:r>
          </w:p>
        </w:tc>
        <w:tc>
          <w:tcPr>
            <w:tcW w:w="960" w:type="dxa"/>
            <w:tcBorders>
              <w:top w:val="nil"/>
              <w:left w:val="nil"/>
              <w:bottom w:val="nil"/>
              <w:right w:val="nil"/>
            </w:tcBorders>
            <w:shd w:val="clear" w:color="auto" w:fill="auto"/>
            <w:vAlign w:val="center"/>
            <w:hideMark/>
          </w:tcPr>
          <w:p w14:paraId="0D98C87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4" w:type="dxa"/>
            <w:tcBorders>
              <w:top w:val="nil"/>
              <w:left w:val="nil"/>
              <w:bottom w:val="nil"/>
              <w:right w:val="nil"/>
            </w:tcBorders>
            <w:shd w:val="clear" w:color="auto" w:fill="auto"/>
            <w:vAlign w:val="center"/>
            <w:hideMark/>
          </w:tcPr>
          <w:p w14:paraId="39504ABD" w14:textId="77777777" w:rsidR="00B9311E" w:rsidRPr="00BD77D8" w:rsidRDefault="00B9311E" w:rsidP="00B9311E">
            <w:pPr>
              <w:spacing w:after="0" w:line="240" w:lineRule="auto"/>
              <w:jc w:val="right"/>
              <w:rPr>
                <w:sz w:val="18"/>
                <w:szCs w:val="18"/>
              </w:rPr>
            </w:pPr>
            <w:r w:rsidRPr="00BD77D8">
              <w:rPr>
                <w:sz w:val="18"/>
                <w:szCs w:val="18"/>
              </w:rPr>
              <w:t xml:space="preserve">            22 </w:t>
            </w:r>
          </w:p>
        </w:tc>
      </w:tr>
      <w:tr w:rsidR="00BD77D8" w:rsidRPr="00BD77D8" w14:paraId="2306B47E" w14:textId="77777777" w:rsidTr="003057FB">
        <w:trPr>
          <w:trHeight w:val="267"/>
        </w:trPr>
        <w:tc>
          <w:tcPr>
            <w:tcW w:w="8364" w:type="dxa"/>
            <w:tcBorders>
              <w:top w:val="nil"/>
              <w:left w:val="nil"/>
              <w:bottom w:val="nil"/>
              <w:right w:val="nil"/>
            </w:tcBorders>
            <w:shd w:val="clear" w:color="auto" w:fill="auto"/>
            <w:vAlign w:val="center"/>
            <w:hideMark/>
          </w:tcPr>
          <w:p w14:paraId="0F4F5872" w14:textId="77777777" w:rsidR="00B9311E" w:rsidRPr="00BD77D8" w:rsidRDefault="00B9311E" w:rsidP="00B9311E">
            <w:pPr>
              <w:spacing w:after="0" w:line="240" w:lineRule="auto"/>
              <w:rPr>
                <w:sz w:val="18"/>
                <w:szCs w:val="18"/>
              </w:rPr>
            </w:pPr>
            <w:r w:rsidRPr="00BD77D8">
              <w:rPr>
                <w:sz w:val="18"/>
                <w:szCs w:val="18"/>
              </w:rPr>
              <w:t xml:space="preserve"> Amortisation - intangible assets (refer C5-1) </w:t>
            </w:r>
          </w:p>
        </w:tc>
        <w:tc>
          <w:tcPr>
            <w:tcW w:w="960" w:type="dxa"/>
            <w:tcBorders>
              <w:top w:val="nil"/>
              <w:left w:val="nil"/>
              <w:bottom w:val="nil"/>
              <w:right w:val="nil"/>
            </w:tcBorders>
            <w:shd w:val="clear" w:color="auto" w:fill="auto"/>
            <w:vAlign w:val="center"/>
            <w:hideMark/>
          </w:tcPr>
          <w:p w14:paraId="7200D258" w14:textId="77777777" w:rsidR="00B9311E" w:rsidRPr="00BD77D8" w:rsidRDefault="00B9311E" w:rsidP="00B9311E">
            <w:pPr>
              <w:spacing w:after="0" w:line="240" w:lineRule="auto"/>
              <w:jc w:val="right"/>
              <w:rPr>
                <w:sz w:val="18"/>
                <w:szCs w:val="18"/>
              </w:rPr>
            </w:pPr>
            <w:r w:rsidRPr="00BD77D8">
              <w:rPr>
                <w:sz w:val="18"/>
                <w:szCs w:val="18"/>
              </w:rPr>
              <w:t xml:space="preserve">        83 </w:t>
            </w:r>
          </w:p>
        </w:tc>
        <w:tc>
          <w:tcPr>
            <w:tcW w:w="1024" w:type="dxa"/>
            <w:tcBorders>
              <w:top w:val="nil"/>
              <w:left w:val="nil"/>
              <w:bottom w:val="nil"/>
              <w:right w:val="nil"/>
            </w:tcBorders>
            <w:shd w:val="clear" w:color="auto" w:fill="auto"/>
            <w:vAlign w:val="center"/>
            <w:hideMark/>
          </w:tcPr>
          <w:p w14:paraId="24927E5E" w14:textId="77777777" w:rsidR="00B9311E" w:rsidRPr="00BD77D8" w:rsidRDefault="00B9311E" w:rsidP="00B9311E">
            <w:pPr>
              <w:spacing w:after="0" w:line="240" w:lineRule="auto"/>
              <w:jc w:val="right"/>
              <w:rPr>
                <w:sz w:val="18"/>
                <w:szCs w:val="18"/>
              </w:rPr>
            </w:pPr>
            <w:r w:rsidRPr="00BD77D8">
              <w:rPr>
                <w:sz w:val="18"/>
                <w:szCs w:val="18"/>
              </w:rPr>
              <w:t xml:space="preserve">         273 </w:t>
            </w:r>
          </w:p>
        </w:tc>
      </w:tr>
      <w:tr w:rsidR="00B9311E" w:rsidRPr="00BD77D8" w14:paraId="5D96D9DE" w14:textId="77777777" w:rsidTr="003057FB">
        <w:trPr>
          <w:trHeight w:val="267"/>
        </w:trPr>
        <w:tc>
          <w:tcPr>
            <w:tcW w:w="8364" w:type="dxa"/>
            <w:tcBorders>
              <w:top w:val="nil"/>
              <w:left w:val="nil"/>
              <w:bottom w:val="nil"/>
              <w:right w:val="nil"/>
            </w:tcBorders>
            <w:shd w:val="clear" w:color="auto" w:fill="auto"/>
            <w:vAlign w:val="center"/>
            <w:hideMark/>
          </w:tcPr>
          <w:p w14:paraId="5346FF2B"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960" w:type="dxa"/>
            <w:tcBorders>
              <w:top w:val="single" w:sz="4" w:space="0" w:color="auto"/>
              <w:left w:val="nil"/>
              <w:bottom w:val="single" w:sz="4" w:space="0" w:color="auto"/>
              <w:right w:val="nil"/>
            </w:tcBorders>
            <w:shd w:val="clear" w:color="auto" w:fill="auto"/>
            <w:vAlign w:val="center"/>
            <w:hideMark/>
          </w:tcPr>
          <w:p w14:paraId="65B7F3B4" w14:textId="77777777" w:rsidR="00B9311E" w:rsidRPr="00BD77D8" w:rsidRDefault="00B9311E" w:rsidP="00B9311E">
            <w:pPr>
              <w:spacing w:after="0" w:line="240" w:lineRule="auto"/>
              <w:jc w:val="right"/>
              <w:rPr>
                <w:b/>
                <w:bCs/>
                <w:sz w:val="18"/>
                <w:szCs w:val="18"/>
              </w:rPr>
            </w:pPr>
            <w:r w:rsidRPr="00BD77D8">
              <w:rPr>
                <w:b/>
                <w:bCs/>
                <w:sz w:val="18"/>
                <w:szCs w:val="18"/>
              </w:rPr>
              <w:t xml:space="preserve">  3,784 </w:t>
            </w:r>
          </w:p>
        </w:tc>
        <w:tc>
          <w:tcPr>
            <w:tcW w:w="1024" w:type="dxa"/>
            <w:tcBorders>
              <w:top w:val="single" w:sz="4" w:space="0" w:color="auto"/>
              <w:left w:val="nil"/>
              <w:bottom w:val="single" w:sz="4" w:space="0" w:color="auto"/>
              <w:right w:val="nil"/>
            </w:tcBorders>
            <w:shd w:val="clear" w:color="auto" w:fill="auto"/>
            <w:vAlign w:val="center"/>
            <w:hideMark/>
          </w:tcPr>
          <w:p w14:paraId="5D0D2D7C" w14:textId="77777777" w:rsidR="00B9311E" w:rsidRPr="00BD77D8" w:rsidRDefault="00B9311E" w:rsidP="00B9311E">
            <w:pPr>
              <w:spacing w:after="0" w:line="240" w:lineRule="auto"/>
              <w:jc w:val="right"/>
              <w:rPr>
                <w:b/>
                <w:bCs/>
                <w:sz w:val="18"/>
                <w:szCs w:val="18"/>
              </w:rPr>
            </w:pPr>
            <w:r w:rsidRPr="00BD77D8">
              <w:rPr>
                <w:b/>
                <w:bCs/>
                <w:sz w:val="18"/>
                <w:szCs w:val="18"/>
              </w:rPr>
              <w:t xml:space="preserve">      5,051 </w:t>
            </w:r>
          </w:p>
        </w:tc>
      </w:tr>
    </w:tbl>
    <w:p w14:paraId="162A5ADE" w14:textId="77777777" w:rsidR="00B9311E" w:rsidRPr="00BD77D8" w:rsidRDefault="00B9311E" w:rsidP="00B9311E">
      <w:pPr>
        <w:spacing w:after="0" w:line="20" w:lineRule="exact"/>
        <w:rPr>
          <w:rFonts w:eastAsia="PMingLiU"/>
          <w:sz w:val="18"/>
          <w:szCs w:val="18"/>
          <w:lang w:eastAsia="en-US"/>
        </w:rPr>
      </w:pPr>
    </w:p>
    <w:p w14:paraId="71ECABC5" w14:textId="77777777" w:rsidR="00B9311E" w:rsidRPr="00BD77D8" w:rsidRDefault="00B9311E" w:rsidP="00760ABD">
      <w:pPr>
        <w:spacing w:before="240" w:after="240" w:line="206" w:lineRule="exact"/>
        <w:textAlignment w:val="baseline"/>
        <w:rPr>
          <w:rFonts w:eastAsia="Arial"/>
          <w:b/>
          <w:bCs/>
          <w:sz w:val="16"/>
          <w:szCs w:val="16"/>
          <w:lang w:eastAsia="en-US"/>
        </w:rPr>
      </w:pPr>
      <w:r w:rsidRPr="00BD77D8">
        <w:rPr>
          <w:rFonts w:eastAsia="Arial"/>
          <w:sz w:val="16"/>
          <w:szCs w:val="16"/>
          <w:lang w:eastAsia="en-US"/>
        </w:rPr>
        <w:t>Refer to Notes C4-5 and C5-3 for the accounting policies for depreciation and amortisation expense.</w:t>
      </w:r>
    </w:p>
    <w:p w14:paraId="0A2CD999" w14:textId="77777777" w:rsidR="00B9311E" w:rsidRPr="00BD77D8" w:rsidRDefault="00B9311E" w:rsidP="00760ABD">
      <w:pPr>
        <w:spacing w:after="240" w:line="204" w:lineRule="exact"/>
        <w:textAlignment w:val="baseline"/>
        <w:rPr>
          <w:rFonts w:eastAsia="Arial"/>
          <w:b/>
          <w:bCs/>
          <w:sz w:val="18"/>
          <w:szCs w:val="18"/>
          <w:lang w:eastAsia="en-US"/>
        </w:rPr>
      </w:pPr>
      <w:r w:rsidRPr="00BD77D8">
        <w:rPr>
          <w:rFonts w:eastAsia="Arial"/>
          <w:b/>
          <w:bCs/>
          <w:sz w:val="18"/>
          <w:szCs w:val="18"/>
          <w:lang w:eastAsia="en-US"/>
        </w:rPr>
        <w:t>B2-5 Other Expenses</w:t>
      </w:r>
    </w:p>
    <w:tbl>
      <w:tblPr>
        <w:tblW w:w="10291" w:type="dxa"/>
        <w:tblCellMar>
          <w:left w:w="0" w:type="dxa"/>
          <w:right w:w="0" w:type="dxa"/>
        </w:tblCellMar>
        <w:tblLook w:val="04A0" w:firstRow="1" w:lastRow="0" w:firstColumn="1" w:lastColumn="0" w:noHBand="0" w:noVBand="1"/>
      </w:tblPr>
      <w:tblGrid>
        <w:gridCol w:w="8300"/>
        <w:gridCol w:w="1024"/>
        <w:gridCol w:w="967"/>
      </w:tblGrid>
      <w:tr w:rsidR="00BD77D8" w:rsidRPr="00BD77D8" w14:paraId="4C79483B" w14:textId="77777777" w:rsidTr="00760ABD">
        <w:trPr>
          <w:trHeight w:val="268"/>
        </w:trPr>
        <w:tc>
          <w:tcPr>
            <w:tcW w:w="8332" w:type="dxa"/>
            <w:tcBorders>
              <w:top w:val="nil"/>
              <w:left w:val="nil"/>
              <w:bottom w:val="nil"/>
              <w:right w:val="nil"/>
            </w:tcBorders>
            <w:shd w:val="clear" w:color="auto" w:fill="auto"/>
            <w:vAlign w:val="center"/>
            <w:hideMark/>
          </w:tcPr>
          <w:p w14:paraId="40D094F1" w14:textId="77777777" w:rsidR="00B9311E" w:rsidRPr="00BD77D8" w:rsidRDefault="00B9311E" w:rsidP="00B9311E">
            <w:pPr>
              <w:spacing w:after="0" w:line="240" w:lineRule="auto"/>
              <w:rPr>
                <w:rFonts w:ascii="Times New Roman" w:hAnsi="Times New Roman" w:cs="Times New Roman"/>
                <w:sz w:val="24"/>
                <w:szCs w:val="24"/>
              </w:rPr>
            </w:pPr>
          </w:p>
        </w:tc>
        <w:tc>
          <w:tcPr>
            <w:tcW w:w="1008" w:type="dxa"/>
            <w:tcBorders>
              <w:top w:val="nil"/>
              <w:left w:val="nil"/>
              <w:bottom w:val="nil"/>
              <w:right w:val="nil"/>
            </w:tcBorders>
            <w:shd w:val="clear" w:color="auto" w:fill="auto"/>
            <w:noWrap/>
            <w:vAlign w:val="bottom"/>
            <w:hideMark/>
          </w:tcPr>
          <w:p w14:paraId="1CEEB4A6"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951" w:type="dxa"/>
            <w:tcBorders>
              <w:top w:val="nil"/>
              <w:left w:val="nil"/>
              <w:bottom w:val="nil"/>
              <w:right w:val="nil"/>
            </w:tcBorders>
            <w:shd w:val="clear" w:color="auto" w:fill="auto"/>
            <w:noWrap/>
            <w:vAlign w:val="bottom"/>
            <w:hideMark/>
          </w:tcPr>
          <w:p w14:paraId="0C9508A5"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3D0D071C" w14:textId="77777777" w:rsidTr="00760ABD">
        <w:trPr>
          <w:trHeight w:val="268"/>
        </w:trPr>
        <w:tc>
          <w:tcPr>
            <w:tcW w:w="8332" w:type="dxa"/>
            <w:tcBorders>
              <w:top w:val="nil"/>
              <w:left w:val="nil"/>
              <w:bottom w:val="nil"/>
              <w:right w:val="nil"/>
            </w:tcBorders>
            <w:shd w:val="clear" w:color="auto" w:fill="auto"/>
            <w:vAlign w:val="center"/>
            <w:hideMark/>
          </w:tcPr>
          <w:p w14:paraId="63D4D24D" w14:textId="77777777" w:rsidR="00B9311E" w:rsidRPr="00BD77D8" w:rsidRDefault="00B9311E" w:rsidP="00B9311E">
            <w:pPr>
              <w:spacing w:after="0" w:line="240" w:lineRule="auto"/>
              <w:jc w:val="right"/>
              <w:rPr>
                <w:sz w:val="18"/>
                <w:szCs w:val="18"/>
              </w:rPr>
            </w:pPr>
          </w:p>
        </w:tc>
        <w:tc>
          <w:tcPr>
            <w:tcW w:w="1008" w:type="dxa"/>
            <w:tcBorders>
              <w:top w:val="nil"/>
              <w:left w:val="nil"/>
              <w:bottom w:val="single" w:sz="4" w:space="0" w:color="auto"/>
              <w:right w:val="nil"/>
            </w:tcBorders>
            <w:shd w:val="clear" w:color="auto" w:fill="auto"/>
            <w:noWrap/>
            <w:vAlign w:val="bottom"/>
            <w:hideMark/>
          </w:tcPr>
          <w:p w14:paraId="7694D020"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951" w:type="dxa"/>
            <w:tcBorders>
              <w:top w:val="nil"/>
              <w:left w:val="nil"/>
              <w:bottom w:val="single" w:sz="4" w:space="0" w:color="auto"/>
              <w:right w:val="nil"/>
            </w:tcBorders>
            <w:shd w:val="clear" w:color="auto" w:fill="auto"/>
            <w:noWrap/>
            <w:vAlign w:val="bottom"/>
            <w:hideMark/>
          </w:tcPr>
          <w:p w14:paraId="46015B01"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4DC0C84D" w14:textId="77777777" w:rsidTr="00760ABD">
        <w:trPr>
          <w:trHeight w:val="268"/>
        </w:trPr>
        <w:tc>
          <w:tcPr>
            <w:tcW w:w="8332" w:type="dxa"/>
            <w:tcBorders>
              <w:top w:val="nil"/>
              <w:left w:val="nil"/>
              <w:bottom w:val="nil"/>
              <w:right w:val="nil"/>
            </w:tcBorders>
            <w:shd w:val="clear" w:color="auto" w:fill="auto"/>
            <w:vAlign w:val="center"/>
            <w:hideMark/>
          </w:tcPr>
          <w:p w14:paraId="37D69D88" w14:textId="77777777" w:rsidR="00B9311E" w:rsidRPr="00BD77D8" w:rsidRDefault="00B9311E" w:rsidP="00B9311E">
            <w:pPr>
              <w:spacing w:after="0" w:line="240" w:lineRule="auto"/>
              <w:rPr>
                <w:sz w:val="18"/>
                <w:szCs w:val="18"/>
              </w:rPr>
            </w:pPr>
            <w:r w:rsidRPr="00BD77D8">
              <w:rPr>
                <w:sz w:val="18"/>
                <w:szCs w:val="18"/>
              </w:rPr>
              <w:t xml:space="preserve"> Net losses on disposal of property, plant and equipment </w:t>
            </w:r>
          </w:p>
        </w:tc>
        <w:tc>
          <w:tcPr>
            <w:tcW w:w="1008" w:type="dxa"/>
            <w:tcBorders>
              <w:top w:val="nil"/>
              <w:left w:val="nil"/>
              <w:bottom w:val="nil"/>
              <w:right w:val="nil"/>
            </w:tcBorders>
            <w:shd w:val="clear" w:color="auto" w:fill="auto"/>
            <w:vAlign w:val="center"/>
            <w:hideMark/>
          </w:tcPr>
          <w:p w14:paraId="3F663483"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951" w:type="dxa"/>
            <w:tcBorders>
              <w:top w:val="nil"/>
              <w:left w:val="nil"/>
              <w:bottom w:val="nil"/>
              <w:right w:val="nil"/>
            </w:tcBorders>
            <w:shd w:val="clear" w:color="auto" w:fill="auto"/>
            <w:noWrap/>
            <w:vAlign w:val="center"/>
            <w:hideMark/>
          </w:tcPr>
          <w:p w14:paraId="4EF951B7" w14:textId="77777777" w:rsidR="00B9311E" w:rsidRPr="00BD77D8" w:rsidRDefault="00B9311E" w:rsidP="00B9311E">
            <w:pPr>
              <w:spacing w:after="0" w:line="240" w:lineRule="auto"/>
              <w:jc w:val="right"/>
              <w:rPr>
                <w:sz w:val="18"/>
                <w:szCs w:val="18"/>
              </w:rPr>
            </w:pPr>
            <w:r w:rsidRPr="00BD77D8">
              <w:rPr>
                <w:sz w:val="18"/>
                <w:szCs w:val="18"/>
              </w:rPr>
              <w:t>209</w:t>
            </w:r>
          </w:p>
        </w:tc>
      </w:tr>
      <w:tr w:rsidR="00BD77D8" w:rsidRPr="00BD77D8" w14:paraId="25FB21D6" w14:textId="77777777" w:rsidTr="00760ABD">
        <w:trPr>
          <w:trHeight w:val="268"/>
        </w:trPr>
        <w:tc>
          <w:tcPr>
            <w:tcW w:w="8332" w:type="dxa"/>
            <w:tcBorders>
              <w:top w:val="nil"/>
              <w:left w:val="nil"/>
              <w:bottom w:val="nil"/>
              <w:right w:val="nil"/>
            </w:tcBorders>
            <w:shd w:val="clear" w:color="auto" w:fill="auto"/>
            <w:vAlign w:val="center"/>
            <w:hideMark/>
          </w:tcPr>
          <w:p w14:paraId="77D0FE3F" w14:textId="77777777" w:rsidR="00B9311E" w:rsidRPr="00BD77D8" w:rsidRDefault="00B9311E" w:rsidP="00B9311E">
            <w:pPr>
              <w:spacing w:after="0" w:line="240" w:lineRule="auto"/>
              <w:rPr>
                <w:sz w:val="18"/>
                <w:szCs w:val="18"/>
              </w:rPr>
            </w:pPr>
            <w:r w:rsidRPr="00BD77D8">
              <w:rPr>
                <w:sz w:val="18"/>
                <w:szCs w:val="18"/>
              </w:rPr>
              <w:t xml:space="preserve"> Insurance premiums - QGIF </w:t>
            </w:r>
          </w:p>
        </w:tc>
        <w:tc>
          <w:tcPr>
            <w:tcW w:w="1008" w:type="dxa"/>
            <w:tcBorders>
              <w:top w:val="nil"/>
              <w:left w:val="nil"/>
              <w:bottom w:val="nil"/>
              <w:right w:val="nil"/>
            </w:tcBorders>
            <w:shd w:val="clear" w:color="auto" w:fill="auto"/>
            <w:vAlign w:val="center"/>
            <w:hideMark/>
          </w:tcPr>
          <w:p w14:paraId="27B6B3A5" w14:textId="77777777" w:rsidR="00B9311E" w:rsidRPr="00BD77D8" w:rsidRDefault="00B9311E" w:rsidP="00B9311E">
            <w:pPr>
              <w:spacing w:after="0" w:line="240" w:lineRule="auto"/>
              <w:jc w:val="right"/>
              <w:rPr>
                <w:sz w:val="18"/>
                <w:szCs w:val="18"/>
              </w:rPr>
            </w:pPr>
            <w:r w:rsidRPr="00BD77D8">
              <w:rPr>
                <w:sz w:val="18"/>
                <w:szCs w:val="18"/>
              </w:rPr>
              <w:t xml:space="preserve">     686 </w:t>
            </w:r>
          </w:p>
        </w:tc>
        <w:tc>
          <w:tcPr>
            <w:tcW w:w="951" w:type="dxa"/>
            <w:tcBorders>
              <w:top w:val="nil"/>
              <w:left w:val="nil"/>
              <w:bottom w:val="nil"/>
              <w:right w:val="nil"/>
            </w:tcBorders>
            <w:shd w:val="clear" w:color="auto" w:fill="auto"/>
            <w:vAlign w:val="center"/>
            <w:hideMark/>
          </w:tcPr>
          <w:p w14:paraId="2716850E" w14:textId="77777777" w:rsidR="00B9311E" w:rsidRPr="00BD77D8" w:rsidRDefault="00B9311E" w:rsidP="00B9311E">
            <w:pPr>
              <w:spacing w:after="0" w:line="240" w:lineRule="auto"/>
              <w:jc w:val="right"/>
              <w:rPr>
                <w:sz w:val="18"/>
                <w:szCs w:val="18"/>
              </w:rPr>
            </w:pPr>
            <w:r w:rsidRPr="00BD77D8">
              <w:rPr>
                <w:sz w:val="18"/>
                <w:szCs w:val="18"/>
              </w:rPr>
              <w:t xml:space="preserve">       758 </w:t>
            </w:r>
          </w:p>
        </w:tc>
      </w:tr>
      <w:tr w:rsidR="00BD77D8" w:rsidRPr="00BD77D8" w14:paraId="1F0C555F" w14:textId="77777777" w:rsidTr="00760ABD">
        <w:trPr>
          <w:trHeight w:val="268"/>
        </w:trPr>
        <w:tc>
          <w:tcPr>
            <w:tcW w:w="8332" w:type="dxa"/>
            <w:tcBorders>
              <w:top w:val="nil"/>
              <w:left w:val="nil"/>
              <w:bottom w:val="nil"/>
              <w:right w:val="nil"/>
            </w:tcBorders>
            <w:shd w:val="clear" w:color="auto" w:fill="auto"/>
            <w:vAlign w:val="center"/>
            <w:hideMark/>
          </w:tcPr>
          <w:p w14:paraId="2E4DC79D" w14:textId="77777777" w:rsidR="00B9311E" w:rsidRPr="00BD77D8" w:rsidRDefault="00B9311E" w:rsidP="00B9311E">
            <w:pPr>
              <w:spacing w:after="0" w:line="240" w:lineRule="auto"/>
              <w:rPr>
                <w:sz w:val="18"/>
                <w:szCs w:val="18"/>
              </w:rPr>
            </w:pPr>
            <w:r w:rsidRPr="00BD77D8">
              <w:rPr>
                <w:sz w:val="18"/>
                <w:szCs w:val="18"/>
              </w:rPr>
              <w:t xml:space="preserve"> Queensland Audit Office - external audit fees ^ </w:t>
            </w:r>
          </w:p>
        </w:tc>
        <w:tc>
          <w:tcPr>
            <w:tcW w:w="1008" w:type="dxa"/>
            <w:tcBorders>
              <w:top w:val="nil"/>
              <w:left w:val="nil"/>
              <w:bottom w:val="nil"/>
              <w:right w:val="nil"/>
            </w:tcBorders>
            <w:shd w:val="clear" w:color="auto" w:fill="auto"/>
            <w:vAlign w:val="center"/>
            <w:hideMark/>
          </w:tcPr>
          <w:p w14:paraId="78EFA6B3" w14:textId="77777777" w:rsidR="00B9311E" w:rsidRPr="00BD77D8" w:rsidRDefault="00B9311E" w:rsidP="00B9311E">
            <w:pPr>
              <w:spacing w:after="0" w:line="240" w:lineRule="auto"/>
              <w:jc w:val="right"/>
              <w:rPr>
                <w:sz w:val="18"/>
                <w:szCs w:val="18"/>
              </w:rPr>
            </w:pPr>
            <w:r w:rsidRPr="00BD77D8">
              <w:rPr>
                <w:sz w:val="18"/>
                <w:szCs w:val="18"/>
              </w:rPr>
              <w:t xml:space="preserve">     285 </w:t>
            </w:r>
          </w:p>
        </w:tc>
        <w:tc>
          <w:tcPr>
            <w:tcW w:w="951" w:type="dxa"/>
            <w:tcBorders>
              <w:top w:val="nil"/>
              <w:left w:val="nil"/>
              <w:bottom w:val="nil"/>
              <w:right w:val="nil"/>
            </w:tcBorders>
            <w:shd w:val="clear" w:color="auto" w:fill="auto"/>
            <w:vAlign w:val="center"/>
            <w:hideMark/>
          </w:tcPr>
          <w:p w14:paraId="1CDB2AF9" w14:textId="77777777" w:rsidR="00B9311E" w:rsidRPr="00BD77D8" w:rsidRDefault="00B9311E" w:rsidP="00B9311E">
            <w:pPr>
              <w:spacing w:after="0" w:line="240" w:lineRule="auto"/>
              <w:jc w:val="right"/>
              <w:rPr>
                <w:sz w:val="18"/>
                <w:szCs w:val="18"/>
              </w:rPr>
            </w:pPr>
            <w:r w:rsidRPr="00BD77D8">
              <w:rPr>
                <w:sz w:val="18"/>
                <w:szCs w:val="18"/>
              </w:rPr>
              <w:t xml:space="preserve">       285 </w:t>
            </w:r>
          </w:p>
        </w:tc>
      </w:tr>
      <w:tr w:rsidR="00BD77D8" w:rsidRPr="00BD77D8" w14:paraId="5C49DDD5" w14:textId="77777777" w:rsidTr="00760ABD">
        <w:trPr>
          <w:trHeight w:val="268"/>
        </w:trPr>
        <w:tc>
          <w:tcPr>
            <w:tcW w:w="8332" w:type="dxa"/>
            <w:tcBorders>
              <w:top w:val="nil"/>
              <w:left w:val="nil"/>
              <w:bottom w:val="nil"/>
              <w:right w:val="nil"/>
            </w:tcBorders>
            <w:shd w:val="clear" w:color="auto" w:fill="auto"/>
            <w:vAlign w:val="center"/>
            <w:hideMark/>
          </w:tcPr>
          <w:p w14:paraId="3733D8DB" w14:textId="77777777" w:rsidR="00B9311E" w:rsidRPr="00BD77D8" w:rsidRDefault="00B9311E" w:rsidP="00B9311E">
            <w:pPr>
              <w:spacing w:after="0" w:line="240" w:lineRule="auto"/>
              <w:rPr>
                <w:sz w:val="18"/>
                <w:szCs w:val="18"/>
              </w:rPr>
            </w:pPr>
            <w:r w:rsidRPr="00BD77D8">
              <w:rPr>
                <w:sz w:val="18"/>
                <w:szCs w:val="18"/>
              </w:rPr>
              <w:t xml:space="preserve"> Losses of Public Property # </w:t>
            </w:r>
          </w:p>
        </w:tc>
        <w:tc>
          <w:tcPr>
            <w:tcW w:w="1008" w:type="dxa"/>
            <w:tcBorders>
              <w:top w:val="nil"/>
              <w:left w:val="nil"/>
              <w:bottom w:val="nil"/>
              <w:right w:val="nil"/>
            </w:tcBorders>
            <w:shd w:val="clear" w:color="auto" w:fill="auto"/>
            <w:vAlign w:val="center"/>
            <w:hideMark/>
          </w:tcPr>
          <w:p w14:paraId="5B131E00" w14:textId="77777777" w:rsidR="00B9311E" w:rsidRPr="00BD77D8" w:rsidRDefault="00B9311E" w:rsidP="00B9311E">
            <w:pPr>
              <w:spacing w:after="0" w:line="240" w:lineRule="auto"/>
              <w:jc w:val="right"/>
              <w:rPr>
                <w:sz w:val="18"/>
                <w:szCs w:val="18"/>
              </w:rPr>
            </w:pPr>
            <w:r w:rsidRPr="00BD77D8">
              <w:rPr>
                <w:sz w:val="18"/>
                <w:szCs w:val="18"/>
              </w:rPr>
              <w:t xml:space="preserve">     814 </w:t>
            </w:r>
          </w:p>
        </w:tc>
        <w:tc>
          <w:tcPr>
            <w:tcW w:w="951" w:type="dxa"/>
            <w:tcBorders>
              <w:top w:val="nil"/>
              <w:left w:val="nil"/>
              <w:bottom w:val="nil"/>
              <w:right w:val="nil"/>
            </w:tcBorders>
            <w:shd w:val="clear" w:color="auto" w:fill="auto"/>
            <w:vAlign w:val="center"/>
            <w:hideMark/>
          </w:tcPr>
          <w:p w14:paraId="0772DB0B"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2B9C5217" w14:textId="77777777" w:rsidTr="00760ABD">
        <w:trPr>
          <w:trHeight w:val="268"/>
        </w:trPr>
        <w:tc>
          <w:tcPr>
            <w:tcW w:w="8332" w:type="dxa"/>
            <w:tcBorders>
              <w:top w:val="nil"/>
              <w:left w:val="nil"/>
              <w:bottom w:val="nil"/>
              <w:right w:val="nil"/>
            </w:tcBorders>
            <w:shd w:val="clear" w:color="auto" w:fill="auto"/>
            <w:vAlign w:val="center"/>
            <w:hideMark/>
          </w:tcPr>
          <w:p w14:paraId="18D00DFF" w14:textId="77777777" w:rsidR="00B9311E" w:rsidRPr="00BD77D8" w:rsidRDefault="00B9311E" w:rsidP="00B9311E">
            <w:pPr>
              <w:spacing w:after="0" w:line="240" w:lineRule="auto"/>
              <w:rPr>
                <w:sz w:val="18"/>
                <w:szCs w:val="18"/>
              </w:rPr>
            </w:pPr>
            <w:r w:rsidRPr="00BD77D8">
              <w:rPr>
                <w:sz w:val="18"/>
                <w:szCs w:val="18"/>
              </w:rPr>
              <w:t xml:space="preserve"> Special payments - ex gratia payments </w:t>
            </w:r>
          </w:p>
        </w:tc>
        <w:tc>
          <w:tcPr>
            <w:tcW w:w="1008" w:type="dxa"/>
            <w:tcBorders>
              <w:top w:val="nil"/>
              <w:left w:val="nil"/>
              <w:bottom w:val="nil"/>
              <w:right w:val="nil"/>
            </w:tcBorders>
            <w:shd w:val="clear" w:color="auto" w:fill="auto"/>
            <w:vAlign w:val="center"/>
            <w:hideMark/>
          </w:tcPr>
          <w:p w14:paraId="00B5AC68"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951" w:type="dxa"/>
            <w:tcBorders>
              <w:top w:val="nil"/>
              <w:left w:val="nil"/>
              <w:bottom w:val="nil"/>
              <w:right w:val="nil"/>
            </w:tcBorders>
            <w:shd w:val="clear" w:color="auto" w:fill="auto"/>
            <w:vAlign w:val="center"/>
            <w:hideMark/>
          </w:tcPr>
          <w:p w14:paraId="54A3D12B" w14:textId="77777777" w:rsidR="00B9311E" w:rsidRPr="00BD77D8" w:rsidRDefault="00B9311E" w:rsidP="00B9311E">
            <w:pPr>
              <w:spacing w:after="0" w:line="240" w:lineRule="auto"/>
              <w:jc w:val="right"/>
              <w:rPr>
                <w:sz w:val="18"/>
                <w:szCs w:val="18"/>
              </w:rPr>
            </w:pPr>
            <w:r w:rsidRPr="00BD77D8">
              <w:rPr>
                <w:sz w:val="18"/>
                <w:szCs w:val="18"/>
              </w:rPr>
              <w:t xml:space="preserve">            3 </w:t>
            </w:r>
          </w:p>
        </w:tc>
      </w:tr>
      <w:tr w:rsidR="00BD77D8" w:rsidRPr="00BD77D8" w14:paraId="42D18841" w14:textId="77777777" w:rsidTr="00760ABD">
        <w:trPr>
          <w:trHeight w:val="268"/>
        </w:trPr>
        <w:tc>
          <w:tcPr>
            <w:tcW w:w="8332" w:type="dxa"/>
            <w:tcBorders>
              <w:top w:val="nil"/>
              <w:left w:val="nil"/>
              <w:bottom w:val="nil"/>
              <w:right w:val="nil"/>
            </w:tcBorders>
            <w:shd w:val="clear" w:color="auto" w:fill="auto"/>
            <w:vAlign w:val="center"/>
            <w:hideMark/>
          </w:tcPr>
          <w:p w14:paraId="2705F7C7" w14:textId="77777777" w:rsidR="00B9311E" w:rsidRPr="00BD77D8" w:rsidRDefault="00B9311E" w:rsidP="00B9311E">
            <w:pPr>
              <w:spacing w:after="0" w:line="240" w:lineRule="auto"/>
              <w:rPr>
                <w:sz w:val="18"/>
                <w:szCs w:val="18"/>
              </w:rPr>
            </w:pPr>
            <w:r w:rsidRPr="00BD77D8">
              <w:rPr>
                <w:sz w:val="18"/>
                <w:szCs w:val="18"/>
              </w:rPr>
              <w:t xml:space="preserve"> Other * </w:t>
            </w:r>
          </w:p>
        </w:tc>
        <w:tc>
          <w:tcPr>
            <w:tcW w:w="1008" w:type="dxa"/>
            <w:tcBorders>
              <w:top w:val="nil"/>
              <w:left w:val="nil"/>
              <w:bottom w:val="nil"/>
              <w:right w:val="nil"/>
            </w:tcBorders>
            <w:shd w:val="clear" w:color="auto" w:fill="auto"/>
            <w:vAlign w:val="center"/>
            <w:hideMark/>
          </w:tcPr>
          <w:p w14:paraId="2AFF4258" w14:textId="77777777" w:rsidR="00B9311E" w:rsidRPr="00BD77D8" w:rsidRDefault="00B9311E" w:rsidP="00B9311E">
            <w:pPr>
              <w:spacing w:after="0" w:line="240" w:lineRule="auto"/>
              <w:jc w:val="right"/>
              <w:rPr>
                <w:sz w:val="18"/>
                <w:szCs w:val="18"/>
              </w:rPr>
            </w:pPr>
            <w:r w:rsidRPr="00BD77D8">
              <w:rPr>
                <w:sz w:val="18"/>
                <w:szCs w:val="18"/>
              </w:rPr>
              <w:t xml:space="preserve">     424 </w:t>
            </w:r>
          </w:p>
        </w:tc>
        <w:tc>
          <w:tcPr>
            <w:tcW w:w="951" w:type="dxa"/>
            <w:tcBorders>
              <w:top w:val="nil"/>
              <w:left w:val="nil"/>
              <w:bottom w:val="nil"/>
              <w:right w:val="nil"/>
            </w:tcBorders>
            <w:shd w:val="clear" w:color="auto" w:fill="auto"/>
            <w:vAlign w:val="center"/>
            <w:hideMark/>
          </w:tcPr>
          <w:p w14:paraId="1DA0F486" w14:textId="77777777" w:rsidR="00B9311E" w:rsidRPr="00BD77D8" w:rsidRDefault="00B9311E" w:rsidP="00B9311E">
            <w:pPr>
              <w:spacing w:after="0" w:line="240" w:lineRule="auto"/>
              <w:jc w:val="right"/>
              <w:rPr>
                <w:sz w:val="18"/>
                <w:szCs w:val="18"/>
              </w:rPr>
            </w:pPr>
            <w:r w:rsidRPr="00BD77D8">
              <w:rPr>
                <w:sz w:val="18"/>
                <w:szCs w:val="18"/>
              </w:rPr>
              <w:t xml:space="preserve">    1,689 </w:t>
            </w:r>
          </w:p>
        </w:tc>
      </w:tr>
      <w:tr w:rsidR="00B9311E" w:rsidRPr="00BD77D8" w14:paraId="7E6D2ECD" w14:textId="77777777" w:rsidTr="00760ABD">
        <w:trPr>
          <w:trHeight w:val="268"/>
        </w:trPr>
        <w:tc>
          <w:tcPr>
            <w:tcW w:w="8332" w:type="dxa"/>
            <w:tcBorders>
              <w:top w:val="nil"/>
              <w:left w:val="nil"/>
              <w:bottom w:val="nil"/>
              <w:right w:val="nil"/>
            </w:tcBorders>
            <w:shd w:val="clear" w:color="auto" w:fill="auto"/>
            <w:vAlign w:val="center"/>
            <w:hideMark/>
          </w:tcPr>
          <w:p w14:paraId="7B64FBB4"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008" w:type="dxa"/>
            <w:tcBorders>
              <w:top w:val="single" w:sz="4" w:space="0" w:color="auto"/>
              <w:left w:val="nil"/>
              <w:bottom w:val="single" w:sz="4" w:space="0" w:color="auto"/>
              <w:right w:val="nil"/>
            </w:tcBorders>
            <w:shd w:val="clear" w:color="auto" w:fill="auto"/>
            <w:vAlign w:val="center"/>
            <w:hideMark/>
          </w:tcPr>
          <w:p w14:paraId="6C191D47" w14:textId="77777777" w:rsidR="00B9311E" w:rsidRPr="00BD77D8" w:rsidRDefault="00B9311E" w:rsidP="00B9311E">
            <w:pPr>
              <w:spacing w:after="0" w:line="240" w:lineRule="auto"/>
              <w:jc w:val="right"/>
              <w:rPr>
                <w:b/>
                <w:bCs/>
                <w:sz w:val="18"/>
                <w:szCs w:val="18"/>
              </w:rPr>
            </w:pPr>
            <w:r w:rsidRPr="00BD77D8">
              <w:rPr>
                <w:b/>
                <w:bCs/>
                <w:sz w:val="18"/>
                <w:szCs w:val="18"/>
              </w:rPr>
              <w:t xml:space="preserve"> 2,214 </w:t>
            </w:r>
          </w:p>
        </w:tc>
        <w:tc>
          <w:tcPr>
            <w:tcW w:w="951" w:type="dxa"/>
            <w:tcBorders>
              <w:top w:val="single" w:sz="4" w:space="0" w:color="auto"/>
              <w:left w:val="nil"/>
              <w:bottom w:val="single" w:sz="4" w:space="0" w:color="auto"/>
              <w:right w:val="nil"/>
            </w:tcBorders>
            <w:shd w:val="clear" w:color="auto" w:fill="auto"/>
            <w:vAlign w:val="center"/>
            <w:hideMark/>
          </w:tcPr>
          <w:p w14:paraId="1A85146C" w14:textId="77777777" w:rsidR="00B9311E" w:rsidRPr="00BD77D8" w:rsidRDefault="00B9311E" w:rsidP="00B9311E">
            <w:pPr>
              <w:spacing w:after="0" w:line="240" w:lineRule="auto"/>
              <w:jc w:val="right"/>
              <w:rPr>
                <w:b/>
                <w:bCs/>
                <w:sz w:val="18"/>
                <w:szCs w:val="18"/>
              </w:rPr>
            </w:pPr>
            <w:r w:rsidRPr="00BD77D8">
              <w:rPr>
                <w:b/>
                <w:bCs/>
                <w:sz w:val="18"/>
                <w:szCs w:val="18"/>
              </w:rPr>
              <w:t xml:space="preserve">    2,944 </w:t>
            </w:r>
          </w:p>
        </w:tc>
      </w:tr>
    </w:tbl>
    <w:p w14:paraId="249AFC1E" w14:textId="77777777" w:rsidR="00B9311E" w:rsidRPr="00BD77D8" w:rsidRDefault="00B9311E" w:rsidP="00B9311E">
      <w:pPr>
        <w:spacing w:after="0" w:line="20" w:lineRule="exact"/>
        <w:rPr>
          <w:rFonts w:eastAsia="PMingLiU"/>
          <w:sz w:val="18"/>
          <w:szCs w:val="18"/>
          <w:lang w:eastAsia="en-US"/>
        </w:rPr>
      </w:pPr>
    </w:p>
    <w:p w14:paraId="68C6C2CB" w14:textId="77777777" w:rsidR="00B9311E" w:rsidRPr="00BD77D8" w:rsidRDefault="00B9311E" w:rsidP="00760ABD">
      <w:pPr>
        <w:spacing w:before="200" w:after="0" w:line="206" w:lineRule="exact"/>
        <w:ind w:right="646"/>
        <w:textAlignment w:val="baseline"/>
        <w:rPr>
          <w:rFonts w:eastAsia="Arial"/>
          <w:b/>
          <w:bCs/>
          <w:sz w:val="16"/>
          <w:szCs w:val="16"/>
          <w:lang w:eastAsia="en-US"/>
        </w:rPr>
      </w:pPr>
      <w:r w:rsidRPr="00BD77D8">
        <w:rPr>
          <w:rFonts w:eastAsia="PMingLiU"/>
          <w:sz w:val="16"/>
          <w:szCs w:val="20"/>
          <w:lang w:eastAsia="en-US"/>
        </w:rPr>
        <w:t xml:space="preserve">^ </w:t>
      </w:r>
      <w:r w:rsidRPr="00BD77D8">
        <w:rPr>
          <w:rFonts w:eastAsia="PMingLiU"/>
          <w:sz w:val="16"/>
          <w:szCs w:val="16"/>
          <w:lang w:eastAsia="en-US"/>
        </w:rPr>
        <w:t xml:space="preserve">Total audit fees quoted by the Queensland Audit Office relating to the 2021-22 financial statements are </w:t>
      </w:r>
      <w:r w:rsidRPr="00BD77D8">
        <w:rPr>
          <w:rFonts w:eastAsia="Arial"/>
          <w:sz w:val="16"/>
          <w:szCs w:val="16"/>
          <w:lang w:eastAsia="en-US"/>
        </w:rPr>
        <w:t>$0.285M (2020-21: $0.285M). There are no non-audit services included in this amount.</w:t>
      </w:r>
    </w:p>
    <w:p w14:paraId="28474DCD" w14:textId="77777777" w:rsidR="00B9311E" w:rsidRPr="00BD77D8" w:rsidRDefault="00B9311E" w:rsidP="00E47A6E">
      <w:pPr>
        <w:spacing w:before="200" w:after="0" w:line="206" w:lineRule="exact"/>
        <w:ind w:right="646"/>
        <w:textAlignment w:val="baseline"/>
        <w:rPr>
          <w:rFonts w:eastAsia="Arial"/>
          <w:b/>
          <w:bCs/>
          <w:spacing w:val="-1"/>
          <w:sz w:val="16"/>
          <w:szCs w:val="16"/>
          <w:lang w:eastAsia="en-US"/>
        </w:rPr>
      </w:pPr>
      <w:r w:rsidRPr="00BD77D8">
        <w:rPr>
          <w:rFonts w:eastAsia="Arial"/>
          <w:spacing w:val="-1"/>
          <w:sz w:val="16"/>
          <w:szCs w:val="16"/>
          <w:lang w:eastAsia="en-US"/>
        </w:rPr>
        <w:t># As a result of property damage caused by a client in care, a loss of public property has been recognised, Certain losses of public property are insured with the Queensland Government Insurance Fund (QGIF). The claim made in respect of this loss has yet to be assessed by QGIF and the amount recoverable cannot be estimated reliably at reporting date. Upon notification by QGIF of the acceptance of the claim, revenue will be recognised for the agreed settlement amount and disclosed as 'Other revenue - Insurance compensation from loss of property'.</w:t>
      </w:r>
    </w:p>
    <w:p w14:paraId="243FFDD8" w14:textId="77777777" w:rsidR="00B9311E" w:rsidRPr="00BD77D8" w:rsidRDefault="00B9311E" w:rsidP="00760ABD">
      <w:pPr>
        <w:spacing w:before="200" w:after="0" w:line="200" w:lineRule="exact"/>
        <w:textAlignment w:val="baseline"/>
        <w:rPr>
          <w:rFonts w:eastAsia="Arial"/>
          <w:spacing w:val="-1"/>
          <w:sz w:val="18"/>
          <w:szCs w:val="18"/>
          <w:lang w:eastAsia="en-US"/>
        </w:rPr>
      </w:pPr>
      <w:r w:rsidRPr="00BD77D8">
        <w:rPr>
          <w:rFonts w:eastAsia="PMingLiU"/>
          <w:sz w:val="16"/>
          <w:szCs w:val="20"/>
          <w:lang w:eastAsia="en-US"/>
        </w:rPr>
        <w:t>*  Other expenses include services received below fair value, including archiving services provided by Queensland State Archives (2021-22 $327K, 2020-21 $198K) and COVID 19 test kits supplied by Queensland Health (2021-22 $74K, 2020-21 Nil). Services received below fair value in 2020-21 included $1.4 million relating to volunteer services for Community Recovery. The Community Recovery program was transferred to Department of Communities, Housing and Digital Economy in the 2020 Machinery-of-Government changes.</w:t>
      </w:r>
    </w:p>
    <w:p w14:paraId="2791E8BC" w14:textId="77777777" w:rsidR="00B9311E" w:rsidRPr="00BD77D8" w:rsidRDefault="00B9311E" w:rsidP="00760ABD">
      <w:pPr>
        <w:spacing w:before="200" w:after="0" w:line="200" w:lineRule="exact"/>
        <w:textAlignment w:val="baseline"/>
        <w:rPr>
          <w:rFonts w:eastAsia="Arial"/>
          <w:b/>
          <w:bCs/>
          <w:spacing w:val="-1"/>
          <w:sz w:val="18"/>
          <w:szCs w:val="18"/>
          <w:lang w:eastAsia="en-US"/>
        </w:rPr>
      </w:pPr>
      <w:r w:rsidRPr="00BD77D8">
        <w:rPr>
          <w:rFonts w:eastAsia="Arial"/>
          <w:b/>
          <w:bCs/>
          <w:spacing w:val="-1"/>
          <w:sz w:val="18"/>
          <w:szCs w:val="18"/>
          <w:lang w:eastAsia="en-US"/>
        </w:rPr>
        <w:t>Special Payments</w:t>
      </w:r>
    </w:p>
    <w:p w14:paraId="707274DE" w14:textId="77777777" w:rsidR="00B9311E" w:rsidRPr="00BD77D8" w:rsidRDefault="00B9311E" w:rsidP="00B9311E">
      <w:pPr>
        <w:tabs>
          <w:tab w:val="left" w:pos="720"/>
        </w:tabs>
        <w:spacing w:after="0" w:line="218" w:lineRule="exact"/>
        <w:textAlignment w:val="baseline"/>
        <w:rPr>
          <w:rFonts w:eastAsia="Arial"/>
          <w:b/>
          <w:bCs/>
          <w:sz w:val="18"/>
          <w:szCs w:val="18"/>
          <w:lang w:eastAsia="en-US"/>
        </w:rPr>
      </w:pPr>
      <w:r w:rsidRPr="00BD77D8">
        <w:rPr>
          <w:rFonts w:eastAsia="Arial"/>
          <w:sz w:val="18"/>
          <w:szCs w:val="18"/>
          <w:lang w:eastAsia="en-US"/>
        </w:rPr>
        <w:t xml:space="preserve">Special payments represent ex gratia expenditure and other expenditure that the department is not contractually or legally obligated to make to other parties. No individual special payments over $5,000 were made during 2021-22. No individual special payments over $5,000 were made during 2020-21. </w:t>
      </w:r>
    </w:p>
    <w:p w14:paraId="71FA6999" w14:textId="3A5C86EE" w:rsidR="00B9311E" w:rsidRPr="00BD77D8" w:rsidRDefault="00B9311E" w:rsidP="00B9311E">
      <w:pPr>
        <w:spacing w:after="0" w:line="204" w:lineRule="exact"/>
        <w:rPr>
          <w:rFonts w:eastAsia="Arial"/>
          <w:b/>
          <w:bCs/>
          <w:sz w:val="18"/>
          <w:szCs w:val="18"/>
          <w:lang w:eastAsia="en-US"/>
        </w:rPr>
        <w:sectPr w:rsidR="00B9311E" w:rsidRPr="00BD77D8" w:rsidSect="000160CF">
          <w:type w:val="nextColumn"/>
          <w:pgSz w:w="11909" w:h="16838"/>
          <w:pgMar w:top="794" w:right="794" w:bottom="794" w:left="794" w:header="720" w:footer="720" w:gutter="0"/>
          <w:cols w:space="720"/>
        </w:sectPr>
      </w:pPr>
    </w:p>
    <w:p w14:paraId="2EB203A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E42D4E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64EE03A5"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A0EC276"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1191015C" w14:textId="3CEA0803" w:rsidR="00B9311E" w:rsidRPr="00BD77D8" w:rsidRDefault="00B9311E" w:rsidP="00E47A6E">
      <w:pPr>
        <w:spacing w:before="200"/>
        <w:rPr>
          <w:rFonts w:eastAsia="Arial"/>
          <w:b/>
          <w:bCs/>
          <w:sz w:val="18"/>
          <w:szCs w:val="18"/>
          <w:lang w:eastAsia="en-US"/>
        </w:rPr>
      </w:pPr>
      <w:bookmarkStart w:id="463" w:name="_Toc111494807"/>
      <w:bookmarkStart w:id="464" w:name="_Toc111540679"/>
      <w:bookmarkStart w:id="465" w:name="_Toc111559242"/>
      <w:bookmarkStart w:id="466" w:name="_Toc113196514"/>
      <w:bookmarkStart w:id="467" w:name="_Toc113196862"/>
      <w:bookmarkStart w:id="468" w:name="_Toc113261992"/>
      <w:bookmarkStart w:id="469" w:name="_Toc113349146"/>
      <w:bookmarkStart w:id="470" w:name="_Toc113358071"/>
      <w:r w:rsidRPr="00BD77D8">
        <w:rPr>
          <w:rFonts w:eastAsia="Arial"/>
          <w:b/>
          <w:bCs/>
          <w:sz w:val="24"/>
          <w:szCs w:val="24"/>
          <w:lang w:eastAsia="en-US"/>
        </w:rPr>
        <w:t>Our Financial Position</w:t>
      </w:r>
      <w:bookmarkEnd w:id="463"/>
      <w:bookmarkEnd w:id="464"/>
      <w:bookmarkEnd w:id="465"/>
      <w:bookmarkEnd w:id="466"/>
      <w:bookmarkEnd w:id="467"/>
      <w:bookmarkEnd w:id="468"/>
      <w:bookmarkEnd w:id="469"/>
      <w:bookmarkEnd w:id="470"/>
    </w:p>
    <w:p w14:paraId="02EDD196" w14:textId="77777777" w:rsidR="00B9311E" w:rsidRPr="00BD77D8" w:rsidRDefault="00B9311E" w:rsidP="009D387F">
      <w:pPr>
        <w:spacing w:line="180" w:lineRule="atLeast"/>
        <w:rPr>
          <w:rFonts w:ascii="Calibri Light" w:hAnsi="Calibri Light" w:cs="Times New Roman"/>
          <w:b/>
          <w:bCs/>
          <w:sz w:val="22"/>
          <w:szCs w:val="22"/>
          <w:lang w:val="en-US" w:eastAsia="en-US"/>
        </w:rPr>
      </w:pPr>
      <w:bookmarkStart w:id="471" w:name="_Toc111494808"/>
      <w:bookmarkStart w:id="472" w:name="_Toc111540680"/>
      <w:bookmarkStart w:id="473" w:name="_Toc111559243"/>
      <w:bookmarkStart w:id="474" w:name="_Toc113196515"/>
      <w:bookmarkStart w:id="475" w:name="_Toc113196863"/>
      <w:bookmarkStart w:id="476" w:name="_Toc113261993"/>
      <w:bookmarkStart w:id="477" w:name="_Toc113349147"/>
      <w:bookmarkStart w:id="478" w:name="_Toc113358072"/>
      <w:r w:rsidRPr="00BD77D8">
        <w:rPr>
          <w:rFonts w:eastAsia="Arial"/>
          <w:b/>
          <w:bCs/>
          <w:sz w:val="22"/>
          <w:szCs w:val="22"/>
          <w:lang w:eastAsia="en-US"/>
        </w:rPr>
        <w:t>C1 Cash and Cash Equivalents</w:t>
      </w:r>
      <w:bookmarkEnd w:id="471"/>
      <w:bookmarkEnd w:id="472"/>
      <w:bookmarkEnd w:id="473"/>
      <w:bookmarkEnd w:id="474"/>
      <w:bookmarkEnd w:id="475"/>
      <w:bookmarkEnd w:id="476"/>
      <w:bookmarkEnd w:id="477"/>
      <w:bookmarkEnd w:id="478"/>
    </w:p>
    <w:tbl>
      <w:tblPr>
        <w:tblW w:w="10348" w:type="dxa"/>
        <w:tblCellMar>
          <w:left w:w="0" w:type="dxa"/>
          <w:right w:w="0" w:type="dxa"/>
        </w:tblCellMar>
        <w:tblLook w:val="04A0" w:firstRow="1" w:lastRow="0" w:firstColumn="1" w:lastColumn="0" w:noHBand="0" w:noVBand="1"/>
      </w:tblPr>
      <w:tblGrid>
        <w:gridCol w:w="8048"/>
        <w:gridCol w:w="1102"/>
        <w:gridCol w:w="1198"/>
      </w:tblGrid>
      <w:tr w:rsidR="00BD77D8" w:rsidRPr="00BD77D8" w14:paraId="1AA6B3C2" w14:textId="77777777" w:rsidTr="003057FB">
        <w:trPr>
          <w:trHeight w:val="267"/>
        </w:trPr>
        <w:tc>
          <w:tcPr>
            <w:tcW w:w="8080" w:type="dxa"/>
            <w:tcBorders>
              <w:top w:val="nil"/>
              <w:left w:val="nil"/>
              <w:bottom w:val="nil"/>
              <w:right w:val="nil"/>
            </w:tcBorders>
            <w:shd w:val="clear" w:color="auto" w:fill="auto"/>
            <w:vAlign w:val="center"/>
            <w:hideMark/>
          </w:tcPr>
          <w:p w14:paraId="788E0C94" w14:textId="77777777" w:rsidR="00B9311E" w:rsidRPr="00BD77D8" w:rsidRDefault="00B9311E" w:rsidP="00B9311E">
            <w:pPr>
              <w:spacing w:after="0" w:line="240" w:lineRule="auto"/>
              <w:rPr>
                <w:rFonts w:ascii="Times New Roman" w:hAnsi="Times New Roman" w:cs="Times New Roman"/>
                <w:sz w:val="24"/>
                <w:szCs w:val="24"/>
              </w:rPr>
            </w:pPr>
          </w:p>
        </w:tc>
        <w:tc>
          <w:tcPr>
            <w:tcW w:w="1086" w:type="dxa"/>
            <w:tcBorders>
              <w:top w:val="nil"/>
              <w:left w:val="nil"/>
              <w:bottom w:val="nil"/>
              <w:right w:val="nil"/>
            </w:tcBorders>
            <w:shd w:val="clear" w:color="auto" w:fill="auto"/>
            <w:noWrap/>
            <w:vAlign w:val="bottom"/>
            <w:hideMark/>
          </w:tcPr>
          <w:p w14:paraId="7C85869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182" w:type="dxa"/>
            <w:tcBorders>
              <w:top w:val="nil"/>
              <w:left w:val="nil"/>
              <w:bottom w:val="nil"/>
              <w:right w:val="nil"/>
            </w:tcBorders>
            <w:shd w:val="clear" w:color="auto" w:fill="auto"/>
            <w:noWrap/>
            <w:vAlign w:val="bottom"/>
            <w:hideMark/>
          </w:tcPr>
          <w:p w14:paraId="29897DAA"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1D29112" w14:textId="77777777" w:rsidTr="003057FB">
        <w:trPr>
          <w:trHeight w:val="267"/>
        </w:trPr>
        <w:tc>
          <w:tcPr>
            <w:tcW w:w="8080" w:type="dxa"/>
            <w:tcBorders>
              <w:top w:val="nil"/>
              <w:left w:val="nil"/>
              <w:bottom w:val="nil"/>
              <w:right w:val="nil"/>
            </w:tcBorders>
            <w:shd w:val="clear" w:color="auto" w:fill="auto"/>
            <w:vAlign w:val="center"/>
            <w:hideMark/>
          </w:tcPr>
          <w:p w14:paraId="084ADA85" w14:textId="77777777" w:rsidR="00B9311E" w:rsidRPr="00BD77D8" w:rsidRDefault="00B9311E" w:rsidP="00B9311E">
            <w:pPr>
              <w:spacing w:after="0" w:line="240" w:lineRule="auto"/>
              <w:jc w:val="right"/>
              <w:rPr>
                <w:sz w:val="18"/>
                <w:szCs w:val="18"/>
              </w:rPr>
            </w:pPr>
          </w:p>
        </w:tc>
        <w:tc>
          <w:tcPr>
            <w:tcW w:w="1086" w:type="dxa"/>
            <w:tcBorders>
              <w:top w:val="nil"/>
              <w:left w:val="nil"/>
              <w:bottom w:val="single" w:sz="4" w:space="0" w:color="auto"/>
              <w:right w:val="nil"/>
            </w:tcBorders>
            <w:shd w:val="clear" w:color="auto" w:fill="auto"/>
            <w:noWrap/>
            <w:vAlign w:val="bottom"/>
            <w:hideMark/>
          </w:tcPr>
          <w:p w14:paraId="3AADC6E8"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182" w:type="dxa"/>
            <w:tcBorders>
              <w:top w:val="nil"/>
              <w:left w:val="nil"/>
              <w:bottom w:val="single" w:sz="4" w:space="0" w:color="auto"/>
              <w:right w:val="nil"/>
            </w:tcBorders>
            <w:shd w:val="clear" w:color="auto" w:fill="auto"/>
            <w:noWrap/>
            <w:vAlign w:val="bottom"/>
            <w:hideMark/>
          </w:tcPr>
          <w:p w14:paraId="37B47AAA"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3D678CA7" w14:textId="77777777" w:rsidTr="003057FB">
        <w:trPr>
          <w:trHeight w:val="267"/>
        </w:trPr>
        <w:tc>
          <w:tcPr>
            <w:tcW w:w="8080" w:type="dxa"/>
            <w:tcBorders>
              <w:top w:val="nil"/>
              <w:left w:val="nil"/>
              <w:bottom w:val="nil"/>
              <w:right w:val="nil"/>
            </w:tcBorders>
            <w:shd w:val="clear" w:color="auto" w:fill="auto"/>
            <w:vAlign w:val="center"/>
            <w:hideMark/>
          </w:tcPr>
          <w:p w14:paraId="261413B1" w14:textId="77777777" w:rsidR="00B9311E" w:rsidRPr="00BD77D8" w:rsidRDefault="00B9311E" w:rsidP="00B9311E">
            <w:pPr>
              <w:spacing w:after="0" w:line="240" w:lineRule="auto"/>
              <w:rPr>
                <w:sz w:val="18"/>
                <w:szCs w:val="18"/>
              </w:rPr>
            </w:pPr>
            <w:r w:rsidRPr="00BD77D8">
              <w:rPr>
                <w:sz w:val="18"/>
                <w:szCs w:val="18"/>
              </w:rPr>
              <w:t xml:space="preserve"> Cash on hand </w:t>
            </w:r>
          </w:p>
        </w:tc>
        <w:tc>
          <w:tcPr>
            <w:tcW w:w="1086" w:type="dxa"/>
            <w:tcBorders>
              <w:top w:val="nil"/>
              <w:left w:val="nil"/>
              <w:bottom w:val="nil"/>
              <w:right w:val="nil"/>
            </w:tcBorders>
            <w:shd w:val="clear" w:color="auto" w:fill="auto"/>
            <w:vAlign w:val="center"/>
            <w:hideMark/>
          </w:tcPr>
          <w:p w14:paraId="6B4430F5"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1182" w:type="dxa"/>
            <w:tcBorders>
              <w:top w:val="nil"/>
              <w:left w:val="nil"/>
              <w:bottom w:val="nil"/>
              <w:right w:val="nil"/>
            </w:tcBorders>
            <w:shd w:val="clear" w:color="auto" w:fill="auto"/>
            <w:vAlign w:val="center"/>
            <w:hideMark/>
          </w:tcPr>
          <w:p w14:paraId="32172808" w14:textId="77777777" w:rsidR="00B9311E" w:rsidRPr="00BD77D8" w:rsidRDefault="00B9311E" w:rsidP="00B9311E">
            <w:pPr>
              <w:spacing w:after="0" w:line="240" w:lineRule="auto"/>
              <w:jc w:val="right"/>
              <w:rPr>
                <w:sz w:val="18"/>
                <w:szCs w:val="18"/>
              </w:rPr>
            </w:pPr>
            <w:r w:rsidRPr="00BD77D8">
              <w:rPr>
                <w:sz w:val="18"/>
                <w:szCs w:val="18"/>
              </w:rPr>
              <w:t xml:space="preserve">              5 </w:t>
            </w:r>
          </w:p>
        </w:tc>
      </w:tr>
      <w:tr w:rsidR="00BD77D8" w:rsidRPr="00BD77D8" w14:paraId="0242BBC9" w14:textId="77777777" w:rsidTr="003057FB">
        <w:trPr>
          <w:trHeight w:val="267"/>
        </w:trPr>
        <w:tc>
          <w:tcPr>
            <w:tcW w:w="8080" w:type="dxa"/>
            <w:tcBorders>
              <w:top w:val="nil"/>
              <w:left w:val="nil"/>
              <w:bottom w:val="nil"/>
              <w:right w:val="nil"/>
            </w:tcBorders>
            <w:shd w:val="clear" w:color="auto" w:fill="auto"/>
            <w:vAlign w:val="center"/>
            <w:hideMark/>
          </w:tcPr>
          <w:p w14:paraId="488BC307" w14:textId="77777777" w:rsidR="00B9311E" w:rsidRPr="00BD77D8" w:rsidRDefault="00B9311E" w:rsidP="00B9311E">
            <w:pPr>
              <w:spacing w:after="0" w:line="240" w:lineRule="auto"/>
              <w:rPr>
                <w:sz w:val="18"/>
                <w:szCs w:val="18"/>
              </w:rPr>
            </w:pPr>
            <w:r w:rsidRPr="00BD77D8">
              <w:rPr>
                <w:sz w:val="18"/>
                <w:szCs w:val="18"/>
              </w:rPr>
              <w:t xml:space="preserve"> Cash at Bank </w:t>
            </w:r>
          </w:p>
        </w:tc>
        <w:tc>
          <w:tcPr>
            <w:tcW w:w="1086" w:type="dxa"/>
            <w:tcBorders>
              <w:top w:val="nil"/>
              <w:left w:val="nil"/>
              <w:bottom w:val="nil"/>
              <w:right w:val="nil"/>
            </w:tcBorders>
            <w:shd w:val="clear" w:color="auto" w:fill="auto"/>
            <w:vAlign w:val="center"/>
            <w:hideMark/>
          </w:tcPr>
          <w:p w14:paraId="34C5ADA6" w14:textId="77777777" w:rsidR="00B9311E" w:rsidRPr="00BD77D8" w:rsidRDefault="00B9311E" w:rsidP="00B9311E">
            <w:pPr>
              <w:spacing w:after="0" w:line="240" w:lineRule="auto"/>
              <w:jc w:val="right"/>
              <w:rPr>
                <w:sz w:val="18"/>
                <w:szCs w:val="18"/>
              </w:rPr>
            </w:pPr>
            <w:r w:rsidRPr="00BD77D8">
              <w:rPr>
                <w:sz w:val="18"/>
                <w:szCs w:val="18"/>
              </w:rPr>
              <w:t xml:space="preserve"> 51,003 </w:t>
            </w:r>
          </w:p>
        </w:tc>
        <w:tc>
          <w:tcPr>
            <w:tcW w:w="1182" w:type="dxa"/>
            <w:tcBorders>
              <w:top w:val="nil"/>
              <w:left w:val="nil"/>
              <w:bottom w:val="nil"/>
              <w:right w:val="nil"/>
            </w:tcBorders>
            <w:shd w:val="clear" w:color="auto" w:fill="auto"/>
            <w:vAlign w:val="center"/>
            <w:hideMark/>
          </w:tcPr>
          <w:p w14:paraId="1EA3856F" w14:textId="77777777" w:rsidR="00B9311E" w:rsidRPr="00BD77D8" w:rsidRDefault="00B9311E" w:rsidP="00B9311E">
            <w:pPr>
              <w:spacing w:after="0" w:line="240" w:lineRule="auto"/>
              <w:jc w:val="right"/>
              <w:rPr>
                <w:sz w:val="18"/>
                <w:szCs w:val="18"/>
              </w:rPr>
            </w:pPr>
            <w:r w:rsidRPr="00BD77D8">
              <w:rPr>
                <w:sz w:val="18"/>
                <w:szCs w:val="18"/>
              </w:rPr>
              <w:t xml:space="preserve">    54,835 </w:t>
            </w:r>
          </w:p>
        </w:tc>
      </w:tr>
      <w:tr w:rsidR="00BD77D8" w:rsidRPr="00BD77D8" w14:paraId="0558FEAE" w14:textId="77777777" w:rsidTr="003057FB">
        <w:trPr>
          <w:trHeight w:val="267"/>
        </w:trPr>
        <w:tc>
          <w:tcPr>
            <w:tcW w:w="8080" w:type="dxa"/>
            <w:tcBorders>
              <w:top w:val="nil"/>
              <w:left w:val="nil"/>
              <w:bottom w:val="nil"/>
              <w:right w:val="nil"/>
            </w:tcBorders>
            <w:shd w:val="clear" w:color="auto" w:fill="auto"/>
            <w:vAlign w:val="center"/>
            <w:hideMark/>
          </w:tcPr>
          <w:p w14:paraId="552AB3EF"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086" w:type="dxa"/>
            <w:tcBorders>
              <w:top w:val="single" w:sz="4" w:space="0" w:color="auto"/>
              <w:left w:val="nil"/>
              <w:bottom w:val="single" w:sz="4" w:space="0" w:color="auto"/>
              <w:right w:val="nil"/>
            </w:tcBorders>
            <w:shd w:val="clear" w:color="auto" w:fill="auto"/>
            <w:vAlign w:val="center"/>
            <w:hideMark/>
          </w:tcPr>
          <w:p w14:paraId="6245AE38" w14:textId="77777777" w:rsidR="00B9311E" w:rsidRPr="00BD77D8" w:rsidRDefault="00B9311E" w:rsidP="00B9311E">
            <w:pPr>
              <w:spacing w:after="0" w:line="240" w:lineRule="auto"/>
              <w:jc w:val="right"/>
              <w:rPr>
                <w:b/>
                <w:bCs/>
                <w:sz w:val="18"/>
                <w:szCs w:val="18"/>
              </w:rPr>
            </w:pPr>
            <w:r w:rsidRPr="00BD77D8">
              <w:rPr>
                <w:b/>
                <w:bCs/>
                <w:sz w:val="18"/>
                <w:szCs w:val="18"/>
              </w:rPr>
              <w:t xml:space="preserve"> 51,005 </w:t>
            </w:r>
          </w:p>
        </w:tc>
        <w:tc>
          <w:tcPr>
            <w:tcW w:w="1182" w:type="dxa"/>
            <w:tcBorders>
              <w:top w:val="single" w:sz="4" w:space="0" w:color="auto"/>
              <w:left w:val="nil"/>
              <w:bottom w:val="single" w:sz="4" w:space="0" w:color="auto"/>
              <w:right w:val="nil"/>
            </w:tcBorders>
            <w:shd w:val="clear" w:color="auto" w:fill="auto"/>
            <w:vAlign w:val="center"/>
            <w:hideMark/>
          </w:tcPr>
          <w:p w14:paraId="26397562" w14:textId="77777777" w:rsidR="00B9311E" w:rsidRPr="00BD77D8" w:rsidRDefault="00B9311E" w:rsidP="00B9311E">
            <w:pPr>
              <w:spacing w:after="0" w:line="240" w:lineRule="auto"/>
              <w:jc w:val="right"/>
              <w:rPr>
                <w:b/>
                <w:bCs/>
                <w:sz w:val="18"/>
                <w:szCs w:val="18"/>
              </w:rPr>
            </w:pPr>
            <w:r w:rsidRPr="00BD77D8">
              <w:rPr>
                <w:b/>
                <w:bCs/>
                <w:sz w:val="18"/>
                <w:szCs w:val="18"/>
              </w:rPr>
              <w:t xml:space="preserve">    54,840 </w:t>
            </w:r>
          </w:p>
        </w:tc>
      </w:tr>
    </w:tbl>
    <w:p w14:paraId="23933BC4" w14:textId="77777777" w:rsidR="00B9311E" w:rsidRPr="00BD77D8" w:rsidRDefault="00B9311E" w:rsidP="00E47A6E">
      <w:pPr>
        <w:spacing w:before="200" w:line="206" w:lineRule="exact"/>
        <w:textAlignment w:val="baseline"/>
        <w:rPr>
          <w:rFonts w:eastAsia="Arial"/>
          <w:b/>
          <w:bCs/>
          <w:sz w:val="18"/>
          <w:szCs w:val="18"/>
          <w:lang w:eastAsia="en-US"/>
        </w:rPr>
      </w:pPr>
      <w:r w:rsidRPr="00BD77D8">
        <w:rPr>
          <w:rFonts w:eastAsia="Arial"/>
          <w:b/>
          <w:bCs/>
          <w:sz w:val="18"/>
          <w:szCs w:val="18"/>
          <w:lang w:eastAsia="en-US"/>
        </w:rPr>
        <w:t>Accounting policy - Cash and Cash equivalents</w:t>
      </w:r>
    </w:p>
    <w:p w14:paraId="5F353705" w14:textId="77777777" w:rsidR="00B9311E" w:rsidRPr="00BD77D8" w:rsidRDefault="00B9311E" w:rsidP="00E47A6E">
      <w:pPr>
        <w:spacing w:line="208" w:lineRule="exact"/>
        <w:textAlignment w:val="baseline"/>
        <w:rPr>
          <w:rFonts w:eastAsia="Arial"/>
          <w:b/>
          <w:sz w:val="18"/>
          <w:szCs w:val="18"/>
          <w:lang w:eastAsia="en-US"/>
        </w:rPr>
      </w:pPr>
      <w:r w:rsidRPr="00BD77D8">
        <w:rPr>
          <w:rFonts w:eastAsia="Arial"/>
          <w:sz w:val="18"/>
          <w:szCs w:val="18"/>
          <w:lang w:eastAsia="en-US"/>
        </w:rPr>
        <w:t xml:space="preserve">For the purposes of the </w:t>
      </w:r>
      <w:r w:rsidRPr="00BD77D8">
        <w:rPr>
          <w:rFonts w:eastAsia="Arial"/>
          <w:spacing w:val="3"/>
          <w:sz w:val="18"/>
          <w:szCs w:val="18"/>
          <w:lang w:eastAsia="en-US"/>
        </w:rPr>
        <w:t>statement of financial performance</w:t>
      </w:r>
      <w:r w:rsidRPr="00BD77D8">
        <w:rPr>
          <w:rFonts w:eastAsia="Arial"/>
          <w:sz w:val="18"/>
          <w:szCs w:val="18"/>
          <w:lang w:eastAsia="en-US"/>
        </w:rPr>
        <w:t xml:space="preserve"> and the statement of cash flows, cash assets include all cash and cheques receipted but not banked on 30 June 2022.</w:t>
      </w:r>
    </w:p>
    <w:p w14:paraId="06FC0509" w14:textId="77777777" w:rsidR="00B9311E" w:rsidRPr="00BD77D8" w:rsidRDefault="00B9311E" w:rsidP="00E47A6E">
      <w:pPr>
        <w:spacing w:line="208" w:lineRule="exact"/>
        <w:textAlignment w:val="baseline"/>
        <w:rPr>
          <w:rFonts w:eastAsia="Arial"/>
          <w:b/>
          <w:sz w:val="18"/>
          <w:szCs w:val="18"/>
          <w:lang w:eastAsia="en-US"/>
        </w:rPr>
      </w:pPr>
      <w:r w:rsidRPr="00BD77D8">
        <w:rPr>
          <w:rFonts w:eastAsia="Arial"/>
          <w:sz w:val="18"/>
          <w:szCs w:val="18"/>
          <w:lang w:eastAsia="en-US"/>
        </w:rPr>
        <w:t>The department's cash at bank as at 30 June 2022 is held with the Commonwealth Bank of Australia. The department held cash with the Queensland Treasury Corporation (QTC) to support the Elderly Parent Carer Innovation Initiative with that bank account closed in November 2021 following the conclusion of the Initiative.</w:t>
      </w:r>
    </w:p>
    <w:p w14:paraId="4B29BF3B" w14:textId="77777777" w:rsidR="00B9311E" w:rsidRPr="00BD77D8" w:rsidRDefault="00B9311E" w:rsidP="009D387F">
      <w:pPr>
        <w:spacing w:line="180" w:lineRule="atLeast"/>
        <w:rPr>
          <w:rFonts w:ascii="Calibri Light" w:hAnsi="Calibri Light" w:cs="Times New Roman"/>
          <w:b/>
          <w:bCs/>
          <w:sz w:val="22"/>
          <w:szCs w:val="22"/>
          <w:lang w:val="en-US" w:eastAsia="en-US"/>
        </w:rPr>
      </w:pPr>
      <w:bookmarkStart w:id="479" w:name="_Toc111494809"/>
      <w:bookmarkStart w:id="480" w:name="_Toc111540681"/>
      <w:bookmarkStart w:id="481" w:name="_Toc111559244"/>
      <w:bookmarkStart w:id="482" w:name="_Toc113196516"/>
      <w:bookmarkStart w:id="483" w:name="_Toc113196864"/>
      <w:bookmarkStart w:id="484" w:name="_Toc113261994"/>
      <w:bookmarkStart w:id="485" w:name="_Toc113349148"/>
      <w:bookmarkStart w:id="486" w:name="_Toc113358073"/>
      <w:r w:rsidRPr="00BD77D8">
        <w:rPr>
          <w:rFonts w:eastAsia="Arial"/>
          <w:b/>
          <w:bCs/>
          <w:sz w:val="22"/>
          <w:szCs w:val="22"/>
          <w:lang w:eastAsia="en-US"/>
        </w:rPr>
        <w:t>C2 Receivables</w:t>
      </w:r>
      <w:bookmarkEnd w:id="479"/>
      <w:bookmarkEnd w:id="480"/>
      <w:bookmarkEnd w:id="481"/>
      <w:bookmarkEnd w:id="482"/>
      <w:bookmarkEnd w:id="483"/>
      <w:bookmarkEnd w:id="484"/>
      <w:bookmarkEnd w:id="485"/>
      <w:bookmarkEnd w:id="486"/>
    </w:p>
    <w:tbl>
      <w:tblPr>
        <w:tblW w:w="10348" w:type="dxa"/>
        <w:tblCellMar>
          <w:left w:w="0" w:type="dxa"/>
          <w:right w:w="0" w:type="dxa"/>
        </w:tblCellMar>
        <w:tblLook w:val="04A0" w:firstRow="1" w:lastRow="0" w:firstColumn="1" w:lastColumn="0" w:noHBand="0" w:noVBand="1"/>
      </w:tblPr>
      <w:tblGrid>
        <w:gridCol w:w="8048"/>
        <w:gridCol w:w="1134"/>
        <w:gridCol w:w="1166"/>
      </w:tblGrid>
      <w:tr w:rsidR="00BD77D8" w:rsidRPr="00BD77D8" w14:paraId="1F3E0E93" w14:textId="77777777" w:rsidTr="003057FB">
        <w:trPr>
          <w:trHeight w:val="280"/>
        </w:trPr>
        <w:tc>
          <w:tcPr>
            <w:tcW w:w="8080" w:type="dxa"/>
            <w:vMerge w:val="restart"/>
            <w:tcBorders>
              <w:top w:val="nil"/>
              <w:left w:val="nil"/>
              <w:bottom w:val="nil"/>
              <w:right w:val="nil"/>
            </w:tcBorders>
            <w:shd w:val="clear" w:color="auto" w:fill="auto"/>
            <w:vAlign w:val="center"/>
            <w:hideMark/>
          </w:tcPr>
          <w:p w14:paraId="1B9A1F37" w14:textId="77777777" w:rsidR="00B9311E" w:rsidRPr="00BD77D8" w:rsidRDefault="00B9311E" w:rsidP="00B9311E">
            <w:pPr>
              <w:spacing w:after="0" w:line="240" w:lineRule="auto"/>
              <w:rPr>
                <w:rFonts w:ascii="Times New Roman" w:hAnsi="Times New Roman" w:cs="Times New Roman"/>
                <w:sz w:val="24"/>
                <w:szCs w:val="24"/>
              </w:rPr>
            </w:pPr>
          </w:p>
        </w:tc>
        <w:tc>
          <w:tcPr>
            <w:tcW w:w="1118" w:type="dxa"/>
            <w:tcBorders>
              <w:top w:val="nil"/>
              <w:left w:val="nil"/>
              <w:bottom w:val="nil"/>
              <w:right w:val="nil"/>
            </w:tcBorders>
            <w:shd w:val="clear" w:color="auto" w:fill="auto"/>
            <w:noWrap/>
            <w:vAlign w:val="bottom"/>
            <w:hideMark/>
          </w:tcPr>
          <w:p w14:paraId="02AC4039"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150" w:type="dxa"/>
            <w:tcBorders>
              <w:top w:val="nil"/>
              <w:left w:val="nil"/>
              <w:bottom w:val="nil"/>
              <w:right w:val="nil"/>
            </w:tcBorders>
            <w:shd w:val="clear" w:color="auto" w:fill="auto"/>
            <w:noWrap/>
            <w:vAlign w:val="bottom"/>
            <w:hideMark/>
          </w:tcPr>
          <w:p w14:paraId="252889E0"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464A3E52" w14:textId="77777777" w:rsidTr="003057FB">
        <w:trPr>
          <w:trHeight w:val="280"/>
        </w:trPr>
        <w:tc>
          <w:tcPr>
            <w:tcW w:w="8080" w:type="dxa"/>
            <w:vMerge/>
            <w:tcBorders>
              <w:top w:val="nil"/>
              <w:left w:val="nil"/>
              <w:bottom w:val="nil"/>
              <w:right w:val="nil"/>
            </w:tcBorders>
            <w:vAlign w:val="center"/>
            <w:hideMark/>
          </w:tcPr>
          <w:p w14:paraId="2AC1F0B9" w14:textId="77777777" w:rsidR="00B9311E" w:rsidRPr="00BD77D8" w:rsidRDefault="00B9311E" w:rsidP="00B9311E">
            <w:pPr>
              <w:spacing w:after="0" w:line="240" w:lineRule="auto"/>
              <w:rPr>
                <w:rFonts w:ascii="Times New Roman" w:hAnsi="Times New Roman" w:cs="Times New Roman"/>
                <w:sz w:val="24"/>
                <w:szCs w:val="24"/>
              </w:rPr>
            </w:pPr>
          </w:p>
        </w:tc>
        <w:tc>
          <w:tcPr>
            <w:tcW w:w="1118" w:type="dxa"/>
            <w:tcBorders>
              <w:top w:val="nil"/>
              <w:left w:val="nil"/>
              <w:bottom w:val="single" w:sz="4" w:space="0" w:color="auto"/>
              <w:right w:val="nil"/>
            </w:tcBorders>
            <w:shd w:val="clear" w:color="auto" w:fill="auto"/>
            <w:vAlign w:val="center"/>
            <w:hideMark/>
          </w:tcPr>
          <w:p w14:paraId="6D3CC27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50" w:type="dxa"/>
            <w:tcBorders>
              <w:top w:val="nil"/>
              <w:left w:val="nil"/>
              <w:bottom w:val="single" w:sz="4" w:space="0" w:color="auto"/>
              <w:right w:val="nil"/>
            </w:tcBorders>
            <w:shd w:val="clear" w:color="auto" w:fill="auto"/>
            <w:vAlign w:val="center"/>
            <w:hideMark/>
          </w:tcPr>
          <w:p w14:paraId="4EFC761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4F1381EB" w14:textId="77777777" w:rsidTr="003057FB">
        <w:trPr>
          <w:trHeight w:val="280"/>
        </w:trPr>
        <w:tc>
          <w:tcPr>
            <w:tcW w:w="8080" w:type="dxa"/>
            <w:tcBorders>
              <w:top w:val="nil"/>
              <w:left w:val="nil"/>
              <w:bottom w:val="nil"/>
              <w:right w:val="nil"/>
            </w:tcBorders>
            <w:shd w:val="clear" w:color="auto" w:fill="auto"/>
            <w:vAlign w:val="center"/>
            <w:hideMark/>
          </w:tcPr>
          <w:p w14:paraId="2945A8F5" w14:textId="77777777" w:rsidR="00B9311E" w:rsidRPr="00BD77D8" w:rsidRDefault="00B9311E" w:rsidP="00B9311E">
            <w:pPr>
              <w:spacing w:after="0" w:line="240" w:lineRule="auto"/>
              <w:rPr>
                <w:b/>
                <w:bCs/>
                <w:sz w:val="18"/>
                <w:szCs w:val="18"/>
              </w:rPr>
            </w:pPr>
            <w:r w:rsidRPr="00BD77D8">
              <w:rPr>
                <w:b/>
                <w:bCs/>
                <w:sz w:val="18"/>
                <w:szCs w:val="18"/>
              </w:rPr>
              <w:t xml:space="preserve"> Current </w:t>
            </w:r>
          </w:p>
        </w:tc>
        <w:tc>
          <w:tcPr>
            <w:tcW w:w="1118" w:type="dxa"/>
            <w:tcBorders>
              <w:top w:val="nil"/>
              <w:left w:val="nil"/>
              <w:bottom w:val="nil"/>
              <w:right w:val="nil"/>
            </w:tcBorders>
            <w:shd w:val="clear" w:color="auto" w:fill="auto"/>
            <w:vAlign w:val="center"/>
            <w:hideMark/>
          </w:tcPr>
          <w:p w14:paraId="706F7852" w14:textId="77777777" w:rsidR="00B9311E" w:rsidRPr="00BD77D8" w:rsidRDefault="00B9311E" w:rsidP="00B9311E">
            <w:pPr>
              <w:spacing w:after="0" w:line="240" w:lineRule="auto"/>
              <w:rPr>
                <w:b/>
                <w:bCs/>
                <w:sz w:val="18"/>
                <w:szCs w:val="18"/>
              </w:rPr>
            </w:pPr>
          </w:p>
        </w:tc>
        <w:tc>
          <w:tcPr>
            <w:tcW w:w="1150" w:type="dxa"/>
            <w:tcBorders>
              <w:top w:val="nil"/>
              <w:left w:val="nil"/>
              <w:bottom w:val="nil"/>
              <w:right w:val="nil"/>
            </w:tcBorders>
            <w:shd w:val="clear" w:color="auto" w:fill="auto"/>
            <w:vAlign w:val="center"/>
            <w:hideMark/>
          </w:tcPr>
          <w:p w14:paraId="7F67E044"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353F0282" w14:textId="77777777" w:rsidTr="003057FB">
        <w:trPr>
          <w:trHeight w:val="280"/>
        </w:trPr>
        <w:tc>
          <w:tcPr>
            <w:tcW w:w="8080" w:type="dxa"/>
            <w:tcBorders>
              <w:top w:val="nil"/>
              <w:left w:val="nil"/>
              <w:bottom w:val="nil"/>
              <w:right w:val="nil"/>
            </w:tcBorders>
            <w:shd w:val="clear" w:color="auto" w:fill="auto"/>
            <w:vAlign w:val="center"/>
            <w:hideMark/>
          </w:tcPr>
          <w:p w14:paraId="3A6BFFE5" w14:textId="77777777" w:rsidR="00B9311E" w:rsidRPr="00BD77D8" w:rsidRDefault="00B9311E" w:rsidP="00B9311E">
            <w:pPr>
              <w:spacing w:after="0" w:line="240" w:lineRule="auto"/>
              <w:rPr>
                <w:sz w:val="18"/>
                <w:szCs w:val="18"/>
              </w:rPr>
            </w:pPr>
            <w:r w:rsidRPr="00BD77D8">
              <w:rPr>
                <w:sz w:val="18"/>
                <w:szCs w:val="18"/>
              </w:rPr>
              <w:t xml:space="preserve"> Trade and other debtors </w:t>
            </w:r>
          </w:p>
        </w:tc>
        <w:tc>
          <w:tcPr>
            <w:tcW w:w="1118" w:type="dxa"/>
            <w:tcBorders>
              <w:top w:val="nil"/>
              <w:left w:val="nil"/>
              <w:bottom w:val="nil"/>
              <w:right w:val="nil"/>
            </w:tcBorders>
            <w:shd w:val="clear" w:color="auto" w:fill="auto"/>
            <w:vAlign w:val="center"/>
            <w:hideMark/>
          </w:tcPr>
          <w:p w14:paraId="5C44C0C4" w14:textId="77777777" w:rsidR="00B9311E" w:rsidRPr="00BD77D8" w:rsidRDefault="00B9311E" w:rsidP="00B9311E">
            <w:pPr>
              <w:spacing w:after="0" w:line="240" w:lineRule="auto"/>
              <w:jc w:val="right"/>
              <w:rPr>
                <w:sz w:val="18"/>
                <w:szCs w:val="18"/>
              </w:rPr>
            </w:pPr>
            <w:r w:rsidRPr="00BD77D8">
              <w:rPr>
                <w:sz w:val="18"/>
                <w:szCs w:val="18"/>
              </w:rPr>
              <w:t xml:space="preserve">         1,785 </w:t>
            </w:r>
          </w:p>
        </w:tc>
        <w:tc>
          <w:tcPr>
            <w:tcW w:w="1150" w:type="dxa"/>
            <w:tcBorders>
              <w:top w:val="nil"/>
              <w:left w:val="nil"/>
              <w:bottom w:val="nil"/>
              <w:right w:val="nil"/>
            </w:tcBorders>
            <w:shd w:val="clear" w:color="auto" w:fill="auto"/>
            <w:vAlign w:val="center"/>
            <w:hideMark/>
          </w:tcPr>
          <w:p w14:paraId="54A41178" w14:textId="77777777" w:rsidR="00B9311E" w:rsidRPr="00BD77D8" w:rsidRDefault="00B9311E" w:rsidP="00B9311E">
            <w:pPr>
              <w:spacing w:after="0" w:line="240" w:lineRule="auto"/>
              <w:jc w:val="right"/>
              <w:rPr>
                <w:sz w:val="18"/>
                <w:szCs w:val="18"/>
              </w:rPr>
            </w:pPr>
            <w:r w:rsidRPr="00BD77D8">
              <w:rPr>
                <w:sz w:val="18"/>
                <w:szCs w:val="18"/>
              </w:rPr>
              <w:t xml:space="preserve">            1,934 </w:t>
            </w:r>
          </w:p>
        </w:tc>
      </w:tr>
      <w:tr w:rsidR="00BD77D8" w:rsidRPr="00BD77D8" w14:paraId="66C0CBB0" w14:textId="77777777" w:rsidTr="003057FB">
        <w:trPr>
          <w:trHeight w:val="280"/>
        </w:trPr>
        <w:tc>
          <w:tcPr>
            <w:tcW w:w="8080" w:type="dxa"/>
            <w:tcBorders>
              <w:top w:val="nil"/>
              <w:left w:val="nil"/>
              <w:bottom w:val="nil"/>
              <w:right w:val="nil"/>
            </w:tcBorders>
            <w:shd w:val="clear" w:color="auto" w:fill="auto"/>
            <w:vAlign w:val="center"/>
            <w:hideMark/>
          </w:tcPr>
          <w:p w14:paraId="4D500DDE" w14:textId="77777777" w:rsidR="00B9311E" w:rsidRPr="00BD77D8" w:rsidRDefault="00B9311E" w:rsidP="00B9311E">
            <w:pPr>
              <w:spacing w:after="0" w:line="240" w:lineRule="auto"/>
              <w:rPr>
                <w:sz w:val="18"/>
                <w:szCs w:val="18"/>
              </w:rPr>
            </w:pPr>
            <w:r w:rsidRPr="00BD77D8">
              <w:rPr>
                <w:sz w:val="18"/>
                <w:szCs w:val="18"/>
              </w:rPr>
              <w:t xml:space="preserve"> Less: Allowance for impairment loss </w:t>
            </w:r>
          </w:p>
        </w:tc>
        <w:tc>
          <w:tcPr>
            <w:tcW w:w="1118" w:type="dxa"/>
            <w:tcBorders>
              <w:top w:val="nil"/>
              <w:left w:val="nil"/>
              <w:bottom w:val="single" w:sz="4" w:space="0" w:color="auto"/>
              <w:right w:val="nil"/>
            </w:tcBorders>
            <w:shd w:val="clear" w:color="auto" w:fill="auto"/>
            <w:vAlign w:val="center"/>
            <w:hideMark/>
          </w:tcPr>
          <w:p w14:paraId="1330D2EB" w14:textId="77777777" w:rsidR="00B9311E" w:rsidRPr="00BD77D8" w:rsidRDefault="00B9311E" w:rsidP="00B9311E">
            <w:pPr>
              <w:spacing w:after="0" w:line="240" w:lineRule="auto"/>
              <w:jc w:val="right"/>
              <w:rPr>
                <w:sz w:val="18"/>
                <w:szCs w:val="18"/>
              </w:rPr>
            </w:pPr>
            <w:r w:rsidRPr="00BD77D8">
              <w:rPr>
                <w:sz w:val="18"/>
                <w:szCs w:val="18"/>
              </w:rPr>
              <w:t xml:space="preserve">       (1,060)</w:t>
            </w:r>
          </w:p>
        </w:tc>
        <w:tc>
          <w:tcPr>
            <w:tcW w:w="1150" w:type="dxa"/>
            <w:tcBorders>
              <w:top w:val="nil"/>
              <w:left w:val="nil"/>
              <w:bottom w:val="single" w:sz="4" w:space="0" w:color="auto"/>
              <w:right w:val="nil"/>
            </w:tcBorders>
            <w:shd w:val="clear" w:color="auto" w:fill="auto"/>
            <w:vAlign w:val="center"/>
            <w:hideMark/>
          </w:tcPr>
          <w:p w14:paraId="53184FF8" w14:textId="77777777" w:rsidR="00B9311E" w:rsidRPr="00BD77D8" w:rsidRDefault="00B9311E" w:rsidP="00B9311E">
            <w:pPr>
              <w:spacing w:after="0" w:line="240" w:lineRule="auto"/>
              <w:jc w:val="right"/>
              <w:rPr>
                <w:sz w:val="18"/>
                <w:szCs w:val="18"/>
              </w:rPr>
            </w:pPr>
            <w:r w:rsidRPr="00BD77D8">
              <w:rPr>
                <w:sz w:val="18"/>
                <w:szCs w:val="18"/>
              </w:rPr>
              <w:t xml:space="preserve">          (1,671)</w:t>
            </w:r>
          </w:p>
        </w:tc>
      </w:tr>
      <w:tr w:rsidR="00BD77D8" w:rsidRPr="00BD77D8" w14:paraId="76ACDA07" w14:textId="77777777" w:rsidTr="003057FB">
        <w:trPr>
          <w:trHeight w:val="295"/>
        </w:trPr>
        <w:tc>
          <w:tcPr>
            <w:tcW w:w="8080" w:type="dxa"/>
            <w:tcBorders>
              <w:top w:val="nil"/>
              <w:left w:val="nil"/>
              <w:bottom w:val="nil"/>
              <w:right w:val="nil"/>
            </w:tcBorders>
            <w:shd w:val="clear" w:color="auto" w:fill="auto"/>
            <w:vAlign w:val="center"/>
            <w:hideMark/>
          </w:tcPr>
          <w:p w14:paraId="0D52FCAD" w14:textId="77777777" w:rsidR="00B9311E" w:rsidRPr="00BD77D8" w:rsidRDefault="00B9311E" w:rsidP="00B9311E">
            <w:pPr>
              <w:spacing w:after="0" w:line="240" w:lineRule="auto"/>
              <w:rPr>
                <w:sz w:val="24"/>
                <w:szCs w:val="24"/>
              </w:rPr>
            </w:pPr>
            <w:r w:rsidRPr="00BD77D8">
              <w:rPr>
                <w:sz w:val="24"/>
                <w:szCs w:val="24"/>
              </w:rPr>
              <w:t xml:space="preserve">   </w:t>
            </w:r>
          </w:p>
        </w:tc>
        <w:tc>
          <w:tcPr>
            <w:tcW w:w="1118" w:type="dxa"/>
            <w:tcBorders>
              <w:top w:val="nil"/>
              <w:left w:val="nil"/>
              <w:bottom w:val="nil"/>
              <w:right w:val="nil"/>
            </w:tcBorders>
            <w:shd w:val="clear" w:color="auto" w:fill="auto"/>
            <w:vAlign w:val="center"/>
            <w:hideMark/>
          </w:tcPr>
          <w:p w14:paraId="43B4353D" w14:textId="77777777" w:rsidR="00B9311E" w:rsidRPr="00BD77D8" w:rsidRDefault="00B9311E" w:rsidP="00B9311E">
            <w:pPr>
              <w:spacing w:after="0" w:line="240" w:lineRule="auto"/>
              <w:jc w:val="right"/>
              <w:rPr>
                <w:b/>
                <w:bCs/>
                <w:sz w:val="18"/>
                <w:szCs w:val="18"/>
              </w:rPr>
            </w:pPr>
            <w:r w:rsidRPr="00BD77D8">
              <w:rPr>
                <w:b/>
                <w:bCs/>
                <w:sz w:val="18"/>
                <w:szCs w:val="18"/>
              </w:rPr>
              <w:t xml:space="preserve">            725 </w:t>
            </w:r>
          </w:p>
        </w:tc>
        <w:tc>
          <w:tcPr>
            <w:tcW w:w="1150" w:type="dxa"/>
            <w:tcBorders>
              <w:top w:val="nil"/>
              <w:left w:val="nil"/>
              <w:bottom w:val="nil"/>
              <w:right w:val="nil"/>
            </w:tcBorders>
            <w:shd w:val="clear" w:color="auto" w:fill="auto"/>
            <w:vAlign w:val="center"/>
            <w:hideMark/>
          </w:tcPr>
          <w:p w14:paraId="736B4E6E" w14:textId="77777777" w:rsidR="00B9311E" w:rsidRPr="00BD77D8" w:rsidRDefault="00B9311E" w:rsidP="00B9311E">
            <w:pPr>
              <w:spacing w:after="0" w:line="240" w:lineRule="auto"/>
              <w:jc w:val="right"/>
              <w:rPr>
                <w:b/>
                <w:bCs/>
                <w:sz w:val="18"/>
                <w:szCs w:val="18"/>
              </w:rPr>
            </w:pPr>
            <w:r w:rsidRPr="00BD77D8">
              <w:rPr>
                <w:b/>
                <w:bCs/>
                <w:sz w:val="18"/>
                <w:szCs w:val="18"/>
              </w:rPr>
              <w:t xml:space="preserve">               263 </w:t>
            </w:r>
          </w:p>
        </w:tc>
      </w:tr>
      <w:tr w:rsidR="00BD77D8" w:rsidRPr="00BD77D8" w14:paraId="7C7988C5" w14:textId="77777777" w:rsidTr="003057FB">
        <w:trPr>
          <w:trHeight w:val="118"/>
        </w:trPr>
        <w:tc>
          <w:tcPr>
            <w:tcW w:w="8080" w:type="dxa"/>
            <w:tcBorders>
              <w:top w:val="nil"/>
              <w:left w:val="nil"/>
              <w:bottom w:val="nil"/>
              <w:right w:val="nil"/>
            </w:tcBorders>
            <w:shd w:val="clear" w:color="auto" w:fill="auto"/>
            <w:vAlign w:val="center"/>
            <w:hideMark/>
          </w:tcPr>
          <w:p w14:paraId="60353959" w14:textId="77777777" w:rsidR="00B9311E" w:rsidRPr="00BD77D8" w:rsidRDefault="00B9311E" w:rsidP="00B9311E">
            <w:pPr>
              <w:spacing w:after="0" w:line="240" w:lineRule="auto"/>
              <w:jc w:val="right"/>
              <w:rPr>
                <w:sz w:val="18"/>
                <w:szCs w:val="18"/>
              </w:rPr>
            </w:pPr>
          </w:p>
        </w:tc>
        <w:tc>
          <w:tcPr>
            <w:tcW w:w="1118" w:type="dxa"/>
            <w:tcBorders>
              <w:top w:val="nil"/>
              <w:left w:val="nil"/>
              <w:bottom w:val="nil"/>
              <w:right w:val="nil"/>
            </w:tcBorders>
            <w:shd w:val="clear" w:color="auto" w:fill="auto"/>
            <w:vAlign w:val="center"/>
            <w:hideMark/>
          </w:tcPr>
          <w:p w14:paraId="74E60071" w14:textId="77777777" w:rsidR="00B9311E" w:rsidRPr="00BD77D8" w:rsidRDefault="00B9311E" w:rsidP="00B9311E">
            <w:pPr>
              <w:spacing w:after="0" w:line="240" w:lineRule="auto"/>
              <w:rPr>
                <w:rFonts w:ascii="Times New Roman" w:hAnsi="Times New Roman" w:cs="Times New Roman"/>
                <w:sz w:val="20"/>
                <w:szCs w:val="20"/>
              </w:rPr>
            </w:pPr>
          </w:p>
        </w:tc>
        <w:tc>
          <w:tcPr>
            <w:tcW w:w="1150" w:type="dxa"/>
            <w:tcBorders>
              <w:top w:val="nil"/>
              <w:left w:val="nil"/>
              <w:bottom w:val="nil"/>
              <w:right w:val="nil"/>
            </w:tcBorders>
            <w:shd w:val="clear" w:color="auto" w:fill="auto"/>
            <w:vAlign w:val="center"/>
            <w:hideMark/>
          </w:tcPr>
          <w:p w14:paraId="36ABEB95"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6BA5E448" w14:textId="77777777" w:rsidTr="003057FB">
        <w:trPr>
          <w:trHeight w:val="280"/>
        </w:trPr>
        <w:tc>
          <w:tcPr>
            <w:tcW w:w="8080" w:type="dxa"/>
            <w:tcBorders>
              <w:top w:val="nil"/>
              <w:left w:val="nil"/>
              <w:bottom w:val="nil"/>
              <w:right w:val="nil"/>
            </w:tcBorders>
            <w:shd w:val="clear" w:color="auto" w:fill="auto"/>
            <w:vAlign w:val="center"/>
            <w:hideMark/>
          </w:tcPr>
          <w:p w14:paraId="5D80DF02" w14:textId="77777777" w:rsidR="00B9311E" w:rsidRPr="00BD77D8" w:rsidRDefault="00B9311E" w:rsidP="00B9311E">
            <w:pPr>
              <w:spacing w:after="0" w:line="240" w:lineRule="auto"/>
              <w:rPr>
                <w:sz w:val="18"/>
                <w:szCs w:val="18"/>
              </w:rPr>
            </w:pPr>
            <w:r w:rsidRPr="00BD77D8">
              <w:rPr>
                <w:sz w:val="18"/>
                <w:szCs w:val="18"/>
              </w:rPr>
              <w:t xml:space="preserve"> GST input tax credits receivable </w:t>
            </w:r>
          </w:p>
        </w:tc>
        <w:tc>
          <w:tcPr>
            <w:tcW w:w="1118" w:type="dxa"/>
            <w:tcBorders>
              <w:top w:val="nil"/>
              <w:left w:val="nil"/>
              <w:bottom w:val="nil"/>
              <w:right w:val="nil"/>
            </w:tcBorders>
            <w:shd w:val="clear" w:color="auto" w:fill="auto"/>
            <w:vAlign w:val="center"/>
            <w:hideMark/>
          </w:tcPr>
          <w:p w14:paraId="33F829DE" w14:textId="77777777" w:rsidR="00B9311E" w:rsidRPr="00BD77D8" w:rsidRDefault="00B9311E" w:rsidP="00B9311E">
            <w:pPr>
              <w:spacing w:after="0" w:line="240" w:lineRule="auto"/>
              <w:jc w:val="right"/>
              <w:rPr>
                <w:sz w:val="18"/>
                <w:szCs w:val="18"/>
              </w:rPr>
            </w:pPr>
            <w:r w:rsidRPr="00BD77D8">
              <w:rPr>
                <w:sz w:val="18"/>
                <w:szCs w:val="18"/>
              </w:rPr>
              <w:t xml:space="preserve">            865 </w:t>
            </w:r>
          </w:p>
        </w:tc>
        <w:tc>
          <w:tcPr>
            <w:tcW w:w="1150" w:type="dxa"/>
            <w:tcBorders>
              <w:top w:val="nil"/>
              <w:left w:val="nil"/>
              <w:bottom w:val="nil"/>
              <w:right w:val="nil"/>
            </w:tcBorders>
            <w:shd w:val="clear" w:color="auto" w:fill="auto"/>
            <w:vAlign w:val="center"/>
            <w:hideMark/>
          </w:tcPr>
          <w:p w14:paraId="526AF0D4" w14:textId="77777777" w:rsidR="00B9311E" w:rsidRPr="00BD77D8" w:rsidRDefault="00B9311E" w:rsidP="00B9311E">
            <w:pPr>
              <w:spacing w:after="0" w:line="240" w:lineRule="auto"/>
              <w:jc w:val="right"/>
              <w:rPr>
                <w:sz w:val="18"/>
                <w:szCs w:val="18"/>
              </w:rPr>
            </w:pPr>
            <w:r w:rsidRPr="00BD77D8">
              <w:rPr>
                <w:sz w:val="18"/>
                <w:szCs w:val="18"/>
              </w:rPr>
              <w:t xml:space="preserve">               637 </w:t>
            </w:r>
          </w:p>
        </w:tc>
      </w:tr>
      <w:tr w:rsidR="00BD77D8" w:rsidRPr="00BD77D8" w14:paraId="717CE805" w14:textId="77777777" w:rsidTr="003057FB">
        <w:trPr>
          <w:trHeight w:val="280"/>
        </w:trPr>
        <w:tc>
          <w:tcPr>
            <w:tcW w:w="8080" w:type="dxa"/>
            <w:tcBorders>
              <w:top w:val="nil"/>
              <w:left w:val="nil"/>
              <w:bottom w:val="nil"/>
              <w:right w:val="nil"/>
            </w:tcBorders>
            <w:shd w:val="clear" w:color="auto" w:fill="auto"/>
            <w:vAlign w:val="center"/>
            <w:hideMark/>
          </w:tcPr>
          <w:p w14:paraId="5633943E" w14:textId="77777777" w:rsidR="00B9311E" w:rsidRPr="00BD77D8" w:rsidRDefault="00B9311E" w:rsidP="00B9311E">
            <w:pPr>
              <w:spacing w:after="0" w:line="240" w:lineRule="auto"/>
              <w:rPr>
                <w:sz w:val="18"/>
                <w:szCs w:val="18"/>
              </w:rPr>
            </w:pPr>
            <w:r w:rsidRPr="00BD77D8">
              <w:rPr>
                <w:sz w:val="18"/>
                <w:szCs w:val="18"/>
              </w:rPr>
              <w:t xml:space="preserve"> Annual leave reimbursements </w:t>
            </w:r>
          </w:p>
        </w:tc>
        <w:tc>
          <w:tcPr>
            <w:tcW w:w="1118" w:type="dxa"/>
            <w:tcBorders>
              <w:top w:val="nil"/>
              <w:left w:val="nil"/>
              <w:bottom w:val="nil"/>
              <w:right w:val="nil"/>
            </w:tcBorders>
            <w:shd w:val="clear" w:color="auto" w:fill="auto"/>
            <w:vAlign w:val="center"/>
            <w:hideMark/>
          </w:tcPr>
          <w:p w14:paraId="13CAF28E" w14:textId="77777777" w:rsidR="00B9311E" w:rsidRPr="00BD77D8" w:rsidRDefault="00B9311E" w:rsidP="00B9311E">
            <w:pPr>
              <w:spacing w:after="0" w:line="240" w:lineRule="auto"/>
              <w:jc w:val="right"/>
              <w:rPr>
                <w:sz w:val="18"/>
                <w:szCs w:val="18"/>
              </w:rPr>
            </w:pPr>
            <w:r w:rsidRPr="00BD77D8">
              <w:rPr>
                <w:sz w:val="18"/>
                <w:szCs w:val="18"/>
              </w:rPr>
              <w:t xml:space="preserve">         4,652 </w:t>
            </w:r>
          </w:p>
        </w:tc>
        <w:tc>
          <w:tcPr>
            <w:tcW w:w="1150" w:type="dxa"/>
            <w:tcBorders>
              <w:top w:val="nil"/>
              <w:left w:val="nil"/>
              <w:bottom w:val="nil"/>
              <w:right w:val="nil"/>
            </w:tcBorders>
            <w:shd w:val="clear" w:color="auto" w:fill="auto"/>
            <w:vAlign w:val="center"/>
            <w:hideMark/>
          </w:tcPr>
          <w:p w14:paraId="6BC7F7DE" w14:textId="77777777" w:rsidR="00B9311E" w:rsidRPr="00BD77D8" w:rsidRDefault="00B9311E" w:rsidP="00B9311E">
            <w:pPr>
              <w:spacing w:after="0" w:line="240" w:lineRule="auto"/>
              <w:jc w:val="right"/>
              <w:rPr>
                <w:sz w:val="18"/>
                <w:szCs w:val="18"/>
              </w:rPr>
            </w:pPr>
            <w:r w:rsidRPr="00BD77D8">
              <w:rPr>
                <w:sz w:val="18"/>
                <w:szCs w:val="18"/>
              </w:rPr>
              <w:t xml:space="preserve">            4,175 </w:t>
            </w:r>
          </w:p>
        </w:tc>
      </w:tr>
      <w:tr w:rsidR="00BD77D8" w:rsidRPr="00BD77D8" w14:paraId="2059186E" w14:textId="77777777" w:rsidTr="003057FB">
        <w:trPr>
          <w:trHeight w:val="280"/>
        </w:trPr>
        <w:tc>
          <w:tcPr>
            <w:tcW w:w="8080" w:type="dxa"/>
            <w:tcBorders>
              <w:top w:val="nil"/>
              <w:left w:val="nil"/>
              <w:bottom w:val="nil"/>
              <w:right w:val="nil"/>
            </w:tcBorders>
            <w:shd w:val="clear" w:color="auto" w:fill="auto"/>
            <w:vAlign w:val="center"/>
            <w:hideMark/>
          </w:tcPr>
          <w:p w14:paraId="5FDE0911" w14:textId="77777777" w:rsidR="00B9311E" w:rsidRPr="00BD77D8" w:rsidRDefault="00B9311E" w:rsidP="00B9311E">
            <w:pPr>
              <w:spacing w:after="0" w:line="240" w:lineRule="auto"/>
              <w:rPr>
                <w:sz w:val="18"/>
                <w:szCs w:val="18"/>
              </w:rPr>
            </w:pPr>
            <w:r w:rsidRPr="00BD77D8">
              <w:rPr>
                <w:sz w:val="18"/>
                <w:szCs w:val="18"/>
              </w:rPr>
              <w:t xml:space="preserve"> Long service leave reimbursements </w:t>
            </w:r>
          </w:p>
        </w:tc>
        <w:tc>
          <w:tcPr>
            <w:tcW w:w="1118" w:type="dxa"/>
            <w:tcBorders>
              <w:top w:val="nil"/>
              <w:left w:val="nil"/>
              <w:bottom w:val="nil"/>
              <w:right w:val="nil"/>
            </w:tcBorders>
            <w:shd w:val="clear" w:color="auto" w:fill="auto"/>
            <w:vAlign w:val="center"/>
            <w:hideMark/>
          </w:tcPr>
          <w:p w14:paraId="640EB7C0" w14:textId="77777777" w:rsidR="00B9311E" w:rsidRPr="00BD77D8" w:rsidRDefault="00B9311E" w:rsidP="00B9311E">
            <w:pPr>
              <w:spacing w:after="0" w:line="240" w:lineRule="auto"/>
              <w:jc w:val="right"/>
              <w:rPr>
                <w:sz w:val="18"/>
                <w:szCs w:val="18"/>
              </w:rPr>
            </w:pPr>
            <w:r w:rsidRPr="00BD77D8">
              <w:rPr>
                <w:sz w:val="18"/>
                <w:szCs w:val="18"/>
              </w:rPr>
              <w:t xml:space="preserve">         1,268 </w:t>
            </w:r>
          </w:p>
        </w:tc>
        <w:tc>
          <w:tcPr>
            <w:tcW w:w="1150" w:type="dxa"/>
            <w:tcBorders>
              <w:top w:val="nil"/>
              <w:left w:val="nil"/>
              <w:bottom w:val="nil"/>
              <w:right w:val="nil"/>
            </w:tcBorders>
            <w:shd w:val="clear" w:color="auto" w:fill="auto"/>
            <w:vAlign w:val="center"/>
            <w:hideMark/>
          </w:tcPr>
          <w:p w14:paraId="23AC3424" w14:textId="77777777" w:rsidR="00B9311E" w:rsidRPr="00BD77D8" w:rsidRDefault="00B9311E" w:rsidP="00B9311E">
            <w:pPr>
              <w:spacing w:after="0" w:line="240" w:lineRule="auto"/>
              <w:jc w:val="right"/>
              <w:rPr>
                <w:sz w:val="18"/>
                <w:szCs w:val="18"/>
              </w:rPr>
            </w:pPr>
            <w:r w:rsidRPr="00BD77D8">
              <w:rPr>
                <w:sz w:val="18"/>
                <w:szCs w:val="18"/>
              </w:rPr>
              <w:t xml:space="preserve">               934 </w:t>
            </w:r>
          </w:p>
        </w:tc>
      </w:tr>
      <w:tr w:rsidR="00BD77D8" w:rsidRPr="00BD77D8" w14:paraId="211095E5" w14:textId="77777777" w:rsidTr="003057FB">
        <w:trPr>
          <w:trHeight w:val="280"/>
        </w:trPr>
        <w:tc>
          <w:tcPr>
            <w:tcW w:w="8080" w:type="dxa"/>
            <w:tcBorders>
              <w:top w:val="nil"/>
              <w:left w:val="nil"/>
              <w:bottom w:val="nil"/>
              <w:right w:val="nil"/>
            </w:tcBorders>
            <w:shd w:val="clear" w:color="auto" w:fill="auto"/>
            <w:vAlign w:val="center"/>
            <w:hideMark/>
          </w:tcPr>
          <w:p w14:paraId="150AF527"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18" w:type="dxa"/>
            <w:tcBorders>
              <w:top w:val="single" w:sz="4" w:space="0" w:color="auto"/>
              <w:left w:val="nil"/>
              <w:bottom w:val="single" w:sz="4" w:space="0" w:color="auto"/>
              <w:right w:val="nil"/>
            </w:tcBorders>
            <w:shd w:val="clear" w:color="auto" w:fill="auto"/>
            <w:vAlign w:val="center"/>
            <w:hideMark/>
          </w:tcPr>
          <w:p w14:paraId="606B8DB1" w14:textId="77777777" w:rsidR="00B9311E" w:rsidRPr="00BD77D8" w:rsidRDefault="00B9311E" w:rsidP="00B9311E">
            <w:pPr>
              <w:spacing w:after="0" w:line="240" w:lineRule="auto"/>
              <w:jc w:val="right"/>
              <w:rPr>
                <w:b/>
                <w:bCs/>
                <w:sz w:val="18"/>
                <w:szCs w:val="18"/>
              </w:rPr>
            </w:pPr>
            <w:r w:rsidRPr="00BD77D8">
              <w:rPr>
                <w:b/>
                <w:bCs/>
                <w:sz w:val="18"/>
                <w:szCs w:val="18"/>
              </w:rPr>
              <w:t xml:space="preserve">         7,510 </w:t>
            </w:r>
          </w:p>
        </w:tc>
        <w:tc>
          <w:tcPr>
            <w:tcW w:w="1150" w:type="dxa"/>
            <w:tcBorders>
              <w:top w:val="single" w:sz="4" w:space="0" w:color="auto"/>
              <w:left w:val="nil"/>
              <w:bottom w:val="single" w:sz="4" w:space="0" w:color="auto"/>
              <w:right w:val="nil"/>
            </w:tcBorders>
            <w:shd w:val="clear" w:color="auto" w:fill="auto"/>
            <w:vAlign w:val="center"/>
            <w:hideMark/>
          </w:tcPr>
          <w:p w14:paraId="1927A5CE" w14:textId="77777777" w:rsidR="00B9311E" w:rsidRPr="00BD77D8" w:rsidRDefault="00B9311E" w:rsidP="00B9311E">
            <w:pPr>
              <w:spacing w:after="0" w:line="240" w:lineRule="auto"/>
              <w:jc w:val="right"/>
              <w:rPr>
                <w:b/>
                <w:bCs/>
                <w:sz w:val="18"/>
                <w:szCs w:val="18"/>
              </w:rPr>
            </w:pPr>
            <w:r w:rsidRPr="00BD77D8">
              <w:rPr>
                <w:b/>
                <w:bCs/>
                <w:sz w:val="18"/>
                <w:szCs w:val="18"/>
              </w:rPr>
              <w:t xml:space="preserve">            6,009 </w:t>
            </w:r>
          </w:p>
        </w:tc>
      </w:tr>
    </w:tbl>
    <w:p w14:paraId="59A44B92" w14:textId="77777777" w:rsidR="00B9311E" w:rsidRPr="00BD77D8" w:rsidRDefault="00B9311E" w:rsidP="00760ABD">
      <w:pPr>
        <w:spacing w:before="240" w:after="240" w:line="206" w:lineRule="exact"/>
        <w:ind w:right="74"/>
        <w:textAlignment w:val="baseline"/>
        <w:rPr>
          <w:rFonts w:eastAsia="Arial"/>
          <w:b/>
          <w:bCs/>
          <w:sz w:val="18"/>
          <w:szCs w:val="18"/>
          <w:lang w:eastAsia="en-US"/>
        </w:rPr>
      </w:pPr>
      <w:r w:rsidRPr="00BD77D8">
        <w:rPr>
          <w:rFonts w:eastAsia="Arial"/>
          <w:b/>
          <w:bCs/>
          <w:sz w:val="18"/>
          <w:szCs w:val="18"/>
          <w:lang w:eastAsia="en-US"/>
        </w:rPr>
        <w:t>Accounting policy – Receivables</w:t>
      </w:r>
    </w:p>
    <w:p w14:paraId="41755685" w14:textId="77777777" w:rsidR="00B9311E" w:rsidRPr="00BD77D8" w:rsidRDefault="00B9311E" w:rsidP="00760ABD">
      <w:pPr>
        <w:spacing w:after="240" w:line="208" w:lineRule="exact"/>
        <w:ind w:right="432"/>
        <w:textAlignment w:val="baseline"/>
        <w:rPr>
          <w:rFonts w:eastAsia="Arial"/>
          <w:b/>
          <w:bCs/>
          <w:sz w:val="18"/>
          <w:szCs w:val="18"/>
          <w:lang w:eastAsia="en-US"/>
        </w:rPr>
      </w:pPr>
      <w:r w:rsidRPr="00BD77D8">
        <w:rPr>
          <w:rFonts w:eastAsia="Arial"/>
          <w:sz w:val="18"/>
          <w:szCs w:val="18"/>
          <w:lang w:eastAsia="en-US"/>
        </w:rPr>
        <w:t>Receivables are measured at amortised cost which approximates their fair value at reporting date. Trade debtors are recognised at the amounts due at the time of sale or service delivery i.e., the agreed purchase/contract price. Settlement of these amounts is required within 30 days from invoice date</w:t>
      </w:r>
    </w:p>
    <w:p w14:paraId="05CB015E" w14:textId="77777777" w:rsidR="00B9311E" w:rsidRPr="00BD77D8" w:rsidRDefault="00B9311E" w:rsidP="00760ABD">
      <w:pPr>
        <w:spacing w:after="240" w:line="206" w:lineRule="exact"/>
        <w:textAlignment w:val="baseline"/>
        <w:rPr>
          <w:rFonts w:eastAsia="Arial"/>
          <w:b/>
          <w:bCs/>
          <w:sz w:val="18"/>
          <w:szCs w:val="18"/>
          <w:lang w:eastAsia="en-US"/>
        </w:rPr>
      </w:pPr>
      <w:r w:rsidRPr="00BD77D8">
        <w:rPr>
          <w:rFonts w:eastAsia="Arial"/>
          <w:b/>
          <w:bCs/>
          <w:sz w:val="18"/>
          <w:szCs w:val="18"/>
          <w:lang w:eastAsia="en-US"/>
        </w:rPr>
        <w:t>Accounting policy - Impairment of receivables</w:t>
      </w:r>
    </w:p>
    <w:p w14:paraId="1907779A" w14:textId="77777777" w:rsidR="00B9311E" w:rsidRPr="00BD77D8" w:rsidRDefault="00B9311E" w:rsidP="00760ABD">
      <w:pPr>
        <w:spacing w:after="240" w:line="208" w:lineRule="exact"/>
        <w:ind w:right="432"/>
        <w:textAlignment w:val="baseline"/>
        <w:rPr>
          <w:rFonts w:eastAsia="Arial"/>
          <w:b/>
          <w:bCs/>
          <w:sz w:val="18"/>
          <w:szCs w:val="18"/>
          <w:lang w:eastAsia="en-US"/>
        </w:rPr>
      </w:pPr>
      <w:r w:rsidRPr="00BD77D8">
        <w:rPr>
          <w:rFonts w:eastAsia="Arial"/>
          <w:sz w:val="18"/>
          <w:szCs w:val="18"/>
          <w:lang w:eastAsia="en-US"/>
        </w:rPr>
        <w:t>The collectability of receivables is assessed periodically with provision being made for impairment. Where the department has no reasonable expectation of recovering an amount owed by a debtor, the debt is written-off by directly reducing the receivable against the loss allowance. If the amount of the debt written off exceeds the loss allowance, the excess is recognised as an impairment loss.</w:t>
      </w:r>
    </w:p>
    <w:p w14:paraId="3A4C502C" w14:textId="77777777" w:rsidR="00B9311E" w:rsidRPr="00BD77D8" w:rsidRDefault="00B9311E" w:rsidP="00760ABD">
      <w:pPr>
        <w:spacing w:after="240" w:line="206" w:lineRule="exact"/>
        <w:textAlignment w:val="baseline"/>
        <w:rPr>
          <w:rFonts w:eastAsia="Arial"/>
          <w:b/>
          <w:bCs/>
          <w:sz w:val="18"/>
          <w:szCs w:val="18"/>
          <w:lang w:eastAsia="en-US"/>
        </w:rPr>
      </w:pPr>
      <w:r w:rsidRPr="00BD77D8">
        <w:rPr>
          <w:rFonts w:eastAsia="Arial"/>
          <w:b/>
          <w:bCs/>
          <w:sz w:val="18"/>
          <w:szCs w:val="18"/>
          <w:lang w:eastAsia="en-US"/>
        </w:rPr>
        <w:t>Disclosure - Impairment of receivables</w:t>
      </w:r>
    </w:p>
    <w:p w14:paraId="2167A88B" w14:textId="77777777" w:rsidR="00B9311E" w:rsidRPr="00BD77D8" w:rsidRDefault="00B9311E" w:rsidP="00B9311E">
      <w:pPr>
        <w:spacing w:after="0" w:line="208" w:lineRule="exact"/>
        <w:ind w:right="72"/>
        <w:textAlignment w:val="baseline"/>
        <w:rPr>
          <w:rFonts w:eastAsia="Arial"/>
          <w:b/>
          <w:bCs/>
          <w:sz w:val="18"/>
          <w:szCs w:val="18"/>
          <w:lang w:eastAsia="en-US"/>
        </w:rPr>
      </w:pPr>
      <w:r w:rsidRPr="00BD77D8">
        <w:rPr>
          <w:rFonts w:eastAsia="Arial"/>
          <w:sz w:val="18"/>
          <w:szCs w:val="18"/>
          <w:lang w:eastAsia="en-US"/>
        </w:rPr>
        <w:t>The balance of allowance for impairment loss of $1.060M is due to trade debtors being deemed to be likely to be uncollectable in the current and future financial years. The debts are mainly related to the transition of disability services to the National Disability Insurance Scheme (NDIS) with the department no longer holding related funding agreements.</w:t>
      </w:r>
    </w:p>
    <w:p w14:paraId="5F98C4E2" w14:textId="0CA6A7D1" w:rsidR="00B9311E" w:rsidRPr="00BD77D8" w:rsidRDefault="00F35846" w:rsidP="00C3515C">
      <w:pPr>
        <w:spacing w:before="120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20 of 45</w:t>
      </w:r>
      <w:r w:rsidR="00B9311E" w:rsidRPr="00BD77D8">
        <w:rPr>
          <w:rFonts w:eastAsia="Arial"/>
          <w:sz w:val="18"/>
          <w:szCs w:val="18"/>
          <w:lang w:eastAsia="en-US"/>
        </w:rPr>
        <w:br w:type="page"/>
      </w:r>
    </w:p>
    <w:p w14:paraId="02C5EB9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DEAEEDE"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38DAA8A5"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3784A55F"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7178A088" w14:textId="3E41C148" w:rsidR="00B9311E" w:rsidRPr="00BD77D8" w:rsidRDefault="00B9311E" w:rsidP="00E47A6E">
      <w:pPr>
        <w:spacing w:before="240"/>
        <w:rPr>
          <w:rFonts w:eastAsia="Arial"/>
          <w:b/>
          <w:bCs/>
          <w:sz w:val="18"/>
          <w:szCs w:val="18"/>
          <w:lang w:eastAsia="en-US"/>
        </w:rPr>
      </w:pPr>
      <w:r w:rsidRPr="00BD77D8">
        <w:rPr>
          <w:rFonts w:eastAsia="Arial"/>
          <w:b/>
          <w:bCs/>
          <w:sz w:val="22"/>
          <w:szCs w:val="22"/>
          <w:lang w:eastAsia="en-US"/>
        </w:rPr>
        <w:t>C2 Receivables (continued)</w:t>
      </w:r>
    </w:p>
    <w:p w14:paraId="3BB38415" w14:textId="77777777" w:rsidR="00B9311E" w:rsidRPr="00BD77D8" w:rsidRDefault="00B9311E" w:rsidP="00760ABD">
      <w:pPr>
        <w:spacing w:line="206" w:lineRule="exact"/>
        <w:textAlignment w:val="baseline"/>
        <w:rPr>
          <w:rFonts w:eastAsia="Arial"/>
          <w:b/>
          <w:bCs/>
          <w:sz w:val="18"/>
          <w:szCs w:val="18"/>
          <w:lang w:eastAsia="en-US"/>
        </w:rPr>
      </w:pPr>
      <w:r w:rsidRPr="00BD77D8">
        <w:rPr>
          <w:rFonts w:eastAsia="Arial"/>
          <w:b/>
          <w:bCs/>
          <w:sz w:val="18"/>
          <w:szCs w:val="18"/>
          <w:lang w:eastAsia="en-US"/>
        </w:rPr>
        <w:t>Disclosure - COVID-19 pandemic impact</w:t>
      </w:r>
    </w:p>
    <w:p w14:paraId="32ED22C0" w14:textId="77777777" w:rsidR="00B9311E" w:rsidRPr="00BD77D8" w:rsidRDefault="00B9311E" w:rsidP="00760ABD">
      <w:pPr>
        <w:spacing w:line="208" w:lineRule="exact"/>
        <w:ind w:right="72"/>
        <w:textAlignment w:val="baseline"/>
        <w:rPr>
          <w:rFonts w:eastAsia="Arial"/>
          <w:b/>
          <w:bCs/>
          <w:sz w:val="18"/>
          <w:szCs w:val="18"/>
          <w:lang w:eastAsia="en-US"/>
        </w:rPr>
      </w:pPr>
      <w:r w:rsidRPr="00BD77D8">
        <w:rPr>
          <w:rFonts w:eastAsia="Arial"/>
          <w:sz w:val="18"/>
          <w:szCs w:val="18"/>
          <w:lang w:eastAsia="en-US"/>
        </w:rPr>
        <w:t>The department recognises receivables from non-government organisations when required to repay excess funds from prior years, based on the terms and conditions of their funding arrangements. To date there has been minimal impact upon related receivables beyond that which existed prior to the pandemic.</w:t>
      </w:r>
    </w:p>
    <w:p w14:paraId="134865FA" w14:textId="77777777" w:rsidR="00B9311E" w:rsidRPr="00BD77D8" w:rsidRDefault="00B9311E" w:rsidP="00760ABD">
      <w:pPr>
        <w:spacing w:line="208" w:lineRule="exact"/>
        <w:ind w:right="72"/>
        <w:textAlignment w:val="baseline"/>
        <w:rPr>
          <w:rFonts w:eastAsia="Arial"/>
          <w:bCs/>
          <w:sz w:val="18"/>
          <w:szCs w:val="18"/>
          <w:lang w:eastAsia="en-US"/>
        </w:rPr>
      </w:pPr>
      <w:r w:rsidRPr="00BD77D8">
        <w:rPr>
          <w:rFonts w:eastAsia="Arial"/>
          <w:sz w:val="18"/>
          <w:szCs w:val="18"/>
          <w:lang w:eastAsia="en-US"/>
        </w:rPr>
        <w:t xml:space="preserve">The department continues to monitor the financial viability of non-government organisations holding funding agreements to identify risks in service delivery and debt recovery. </w:t>
      </w:r>
    </w:p>
    <w:p w14:paraId="63FAD5FB"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Disclosure - Credit risk of receivables</w:t>
      </w:r>
    </w:p>
    <w:p w14:paraId="174D0CAD"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sz w:val="18"/>
          <w:szCs w:val="18"/>
          <w:lang w:eastAsia="en-US"/>
        </w:rPr>
        <w:t>The majority of the department's receivables are from the State Government or Commonwealth agencies who are expected to have an insignificant, and therefore immaterial, level of credit risk exposure. No loss allowance is recorded for these receivables on the basis of materiality.</w:t>
      </w:r>
    </w:p>
    <w:p w14:paraId="2AB2E9F8" w14:textId="18192615" w:rsidR="00B9311E" w:rsidRPr="00BD77D8" w:rsidRDefault="00B9311E" w:rsidP="009D387F">
      <w:pPr>
        <w:rPr>
          <w:rFonts w:eastAsia="PMingLiU"/>
          <w:sz w:val="18"/>
          <w:szCs w:val="22"/>
          <w:lang w:eastAsia="en-US"/>
        </w:rPr>
      </w:pPr>
      <w:bookmarkStart w:id="487" w:name="_Toc111494810"/>
      <w:bookmarkStart w:id="488" w:name="_Toc111540682"/>
      <w:bookmarkStart w:id="489" w:name="_Toc111559245"/>
      <w:bookmarkStart w:id="490" w:name="_Toc113196517"/>
      <w:bookmarkStart w:id="491" w:name="_Toc113196865"/>
      <w:bookmarkStart w:id="492" w:name="_Toc113261995"/>
      <w:bookmarkStart w:id="493" w:name="_Toc113349149"/>
      <w:bookmarkStart w:id="494" w:name="_Toc113358074"/>
      <w:bookmarkStart w:id="495" w:name="_Hlk108796207"/>
      <w:r w:rsidRPr="00BD77D8">
        <w:rPr>
          <w:rFonts w:eastAsia="Arial"/>
          <w:b/>
          <w:bCs/>
          <w:sz w:val="22"/>
          <w:szCs w:val="22"/>
          <w:lang w:eastAsia="en-US"/>
        </w:rPr>
        <w:t>C3 Non-Current Assets Held for Sale</w:t>
      </w:r>
      <w:bookmarkEnd w:id="487"/>
      <w:bookmarkEnd w:id="488"/>
      <w:bookmarkEnd w:id="489"/>
      <w:bookmarkEnd w:id="490"/>
      <w:bookmarkEnd w:id="491"/>
      <w:bookmarkEnd w:id="492"/>
      <w:bookmarkEnd w:id="493"/>
      <w:bookmarkEnd w:id="494"/>
    </w:p>
    <w:p w14:paraId="2CC6881E"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sz w:val="18"/>
          <w:szCs w:val="18"/>
          <w:lang w:eastAsia="en-US"/>
        </w:rPr>
        <w:t>The department has placed a property which is not suitable to support service delivery up for sale. The current carrying value of the property is $0.880M (land $0.500M and building $0.380M). Refer to Note C4-1 for further details of the department’s land and building assets.</w:t>
      </w:r>
    </w:p>
    <w:p w14:paraId="36750775" w14:textId="4DC5E68F" w:rsidR="00B9311E" w:rsidRPr="00BD77D8" w:rsidRDefault="00B9311E" w:rsidP="009D387F">
      <w:pPr>
        <w:rPr>
          <w:rFonts w:eastAsia="PMingLiU"/>
          <w:sz w:val="18"/>
          <w:szCs w:val="22"/>
          <w:lang w:eastAsia="en-US"/>
        </w:rPr>
      </w:pPr>
      <w:bookmarkStart w:id="496" w:name="_Toc111494811"/>
      <w:bookmarkStart w:id="497" w:name="_Toc111540683"/>
      <w:bookmarkStart w:id="498" w:name="_Toc111559246"/>
      <w:bookmarkStart w:id="499" w:name="_Toc113196518"/>
      <w:bookmarkStart w:id="500" w:name="_Toc113196866"/>
      <w:bookmarkStart w:id="501" w:name="_Toc113261996"/>
      <w:bookmarkStart w:id="502" w:name="_Toc113349150"/>
      <w:bookmarkStart w:id="503" w:name="_Toc113358075"/>
      <w:r w:rsidRPr="00BD77D8">
        <w:rPr>
          <w:rFonts w:eastAsia="Arial"/>
          <w:b/>
          <w:bCs/>
          <w:sz w:val="22"/>
          <w:szCs w:val="22"/>
          <w:lang w:eastAsia="en-US"/>
        </w:rPr>
        <w:t>C4 Property, Plant and Equipment and Depreciation Expense</w:t>
      </w:r>
      <w:bookmarkEnd w:id="496"/>
      <w:bookmarkEnd w:id="497"/>
      <w:bookmarkEnd w:id="498"/>
      <w:bookmarkEnd w:id="499"/>
      <w:bookmarkEnd w:id="500"/>
      <w:bookmarkEnd w:id="501"/>
      <w:bookmarkEnd w:id="502"/>
      <w:bookmarkEnd w:id="503"/>
    </w:p>
    <w:p w14:paraId="42ABE733" w14:textId="77777777" w:rsidR="00B9311E" w:rsidRPr="00BD77D8" w:rsidRDefault="00B9311E" w:rsidP="00760ABD">
      <w:pPr>
        <w:spacing w:line="240" w:lineRule="auto"/>
        <w:rPr>
          <w:rFonts w:eastAsia="PMingLiU"/>
          <w:b/>
          <w:bCs/>
          <w:sz w:val="18"/>
          <w:szCs w:val="22"/>
          <w:lang w:val="en-US" w:eastAsia="en-US"/>
        </w:rPr>
      </w:pPr>
      <w:r w:rsidRPr="00BD77D8">
        <w:rPr>
          <w:rFonts w:eastAsia="PMingLiU"/>
          <w:b/>
          <w:bCs/>
          <w:sz w:val="18"/>
          <w:szCs w:val="22"/>
          <w:lang w:eastAsia="en-US"/>
        </w:rPr>
        <w:t>C4-1 Closing Balances and Reconciliations of Carrying Amount</w:t>
      </w:r>
    </w:p>
    <w:tbl>
      <w:tblPr>
        <w:tblW w:w="10406" w:type="dxa"/>
        <w:tblCellMar>
          <w:left w:w="0" w:type="dxa"/>
          <w:right w:w="0" w:type="dxa"/>
        </w:tblCellMar>
        <w:tblLook w:val="04A0" w:firstRow="1" w:lastRow="0" w:firstColumn="1" w:lastColumn="0" w:noHBand="0" w:noVBand="1"/>
      </w:tblPr>
      <w:tblGrid>
        <w:gridCol w:w="7970"/>
        <w:gridCol w:w="1162"/>
        <w:gridCol w:w="1322"/>
      </w:tblGrid>
      <w:tr w:rsidR="00BD77D8" w:rsidRPr="00BD77D8" w14:paraId="51E1E125" w14:textId="77777777" w:rsidTr="00760ABD">
        <w:trPr>
          <w:trHeight w:val="279"/>
        </w:trPr>
        <w:tc>
          <w:tcPr>
            <w:tcW w:w="7954" w:type="dxa"/>
            <w:tcBorders>
              <w:top w:val="nil"/>
              <w:left w:val="nil"/>
              <w:bottom w:val="nil"/>
              <w:right w:val="nil"/>
            </w:tcBorders>
            <w:shd w:val="clear" w:color="auto" w:fill="auto"/>
            <w:noWrap/>
            <w:vAlign w:val="center"/>
            <w:hideMark/>
          </w:tcPr>
          <w:p w14:paraId="1725F3F0" w14:textId="77777777" w:rsidR="00B9311E" w:rsidRPr="00BD77D8" w:rsidRDefault="00B9311E" w:rsidP="00B9311E">
            <w:pPr>
              <w:spacing w:after="0" w:line="240" w:lineRule="auto"/>
              <w:rPr>
                <w:rFonts w:ascii="Times New Roman" w:hAnsi="Times New Roman" w:cs="Times New Roman"/>
                <w:sz w:val="24"/>
                <w:szCs w:val="24"/>
              </w:rPr>
            </w:pPr>
          </w:p>
        </w:tc>
        <w:tc>
          <w:tcPr>
            <w:tcW w:w="1146" w:type="dxa"/>
            <w:tcBorders>
              <w:top w:val="nil"/>
              <w:left w:val="nil"/>
              <w:bottom w:val="nil"/>
              <w:right w:val="nil"/>
            </w:tcBorders>
            <w:shd w:val="clear" w:color="auto" w:fill="auto"/>
            <w:noWrap/>
            <w:vAlign w:val="bottom"/>
            <w:hideMark/>
          </w:tcPr>
          <w:p w14:paraId="260BEDB2"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306" w:type="dxa"/>
            <w:tcBorders>
              <w:top w:val="nil"/>
              <w:left w:val="nil"/>
              <w:bottom w:val="nil"/>
              <w:right w:val="nil"/>
            </w:tcBorders>
            <w:shd w:val="clear" w:color="auto" w:fill="auto"/>
            <w:noWrap/>
            <w:vAlign w:val="bottom"/>
            <w:hideMark/>
          </w:tcPr>
          <w:p w14:paraId="32AA7F49"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15DF9AA" w14:textId="77777777" w:rsidTr="00760ABD">
        <w:trPr>
          <w:trHeight w:val="279"/>
        </w:trPr>
        <w:tc>
          <w:tcPr>
            <w:tcW w:w="7954" w:type="dxa"/>
            <w:tcBorders>
              <w:top w:val="nil"/>
              <w:left w:val="nil"/>
              <w:bottom w:val="nil"/>
              <w:right w:val="nil"/>
            </w:tcBorders>
            <w:shd w:val="clear" w:color="auto" w:fill="auto"/>
            <w:noWrap/>
            <w:vAlign w:val="center"/>
            <w:hideMark/>
          </w:tcPr>
          <w:p w14:paraId="6187292C" w14:textId="77777777" w:rsidR="00B9311E" w:rsidRPr="00BD77D8" w:rsidRDefault="00B9311E" w:rsidP="00B9311E">
            <w:pPr>
              <w:spacing w:after="0" w:line="240" w:lineRule="auto"/>
              <w:jc w:val="right"/>
              <w:rPr>
                <w:sz w:val="18"/>
                <w:szCs w:val="18"/>
              </w:rPr>
            </w:pPr>
          </w:p>
        </w:tc>
        <w:tc>
          <w:tcPr>
            <w:tcW w:w="1146" w:type="dxa"/>
            <w:tcBorders>
              <w:top w:val="nil"/>
              <w:left w:val="nil"/>
              <w:bottom w:val="single" w:sz="4" w:space="0" w:color="auto"/>
              <w:right w:val="nil"/>
            </w:tcBorders>
            <w:shd w:val="clear" w:color="auto" w:fill="auto"/>
            <w:vAlign w:val="center"/>
            <w:hideMark/>
          </w:tcPr>
          <w:p w14:paraId="194369E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06" w:type="dxa"/>
            <w:tcBorders>
              <w:top w:val="nil"/>
              <w:left w:val="nil"/>
              <w:bottom w:val="single" w:sz="4" w:space="0" w:color="auto"/>
              <w:right w:val="nil"/>
            </w:tcBorders>
            <w:shd w:val="clear" w:color="auto" w:fill="auto"/>
            <w:vAlign w:val="center"/>
            <w:hideMark/>
          </w:tcPr>
          <w:p w14:paraId="4A43AD5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333C5A50" w14:textId="77777777" w:rsidTr="00760ABD">
        <w:trPr>
          <w:trHeight w:val="279"/>
        </w:trPr>
        <w:tc>
          <w:tcPr>
            <w:tcW w:w="7954" w:type="dxa"/>
            <w:tcBorders>
              <w:top w:val="nil"/>
              <w:left w:val="nil"/>
              <w:bottom w:val="nil"/>
              <w:right w:val="nil"/>
            </w:tcBorders>
            <w:shd w:val="clear" w:color="auto" w:fill="auto"/>
            <w:vAlign w:val="center"/>
            <w:hideMark/>
          </w:tcPr>
          <w:p w14:paraId="2D3FA96E" w14:textId="77777777" w:rsidR="00B9311E" w:rsidRPr="00BD77D8" w:rsidRDefault="00B9311E" w:rsidP="00B9311E">
            <w:pPr>
              <w:spacing w:after="0" w:line="240" w:lineRule="auto"/>
              <w:rPr>
                <w:b/>
                <w:bCs/>
                <w:sz w:val="18"/>
                <w:szCs w:val="18"/>
              </w:rPr>
            </w:pPr>
            <w:r w:rsidRPr="00BD77D8">
              <w:rPr>
                <w:b/>
                <w:bCs/>
                <w:sz w:val="18"/>
                <w:szCs w:val="18"/>
              </w:rPr>
              <w:t xml:space="preserve"> Property, Plant and Equipment Reconciliation at 30 June 2022 </w:t>
            </w:r>
          </w:p>
        </w:tc>
        <w:tc>
          <w:tcPr>
            <w:tcW w:w="1146" w:type="dxa"/>
            <w:tcBorders>
              <w:top w:val="nil"/>
              <w:left w:val="nil"/>
              <w:bottom w:val="nil"/>
              <w:right w:val="nil"/>
            </w:tcBorders>
            <w:shd w:val="clear" w:color="auto" w:fill="auto"/>
            <w:vAlign w:val="center"/>
            <w:hideMark/>
          </w:tcPr>
          <w:p w14:paraId="7E539D0D" w14:textId="77777777" w:rsidR="00B9311E" w:rsidRPr="00BD77D8" w:rsidRDefault="00B9311E" w:rsidP="00B9311E">
            <w:pPr>
              <w:spacing w:after="0" w:line="240" w:lineRule="auto"/>
              <w:rPr>
                <w:b/>
                <w:bCs/>
                <w:sz w:val="18"/>
                <w:szCs w:val="18"/>
              </w:rPr>
            </w:pPr>
          </w:p>
        </w:tc>
        <w:tc>
          <w:tcPr>
            <w:tcW w:w="1306" w:type="dxa"/>
            <w:tcBorders>
              <w:top w:val="nil"/>
              <w:left w:val="nil"/>
              <w:bottom w:val="nil"/>
              <w:right w:val="nil"/>
            </w:tcBorders>
            <w:shd w:val="clear" w:color="auto" w:fill="auto"/>
            <w:noWrap/>
            <w:vAlign w:val="bottom"/>
            <w:hideMark/>
          </w:tcPr>
          <w:p w14:paraId="68BCEF7C"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19BAB051" w14:textId="77777777" w:rsidTr="00760ABD">
        <w:trPr>
          <w:trHeight w:val="279"/>
        </w:trPr>
        <w:tc>
          <w:tcPr>
            <w:tcW w:w="7954" w:type="dxa"/>
            <w:tcBorders>
              <w:top w:val="nil"/>
              <w:left w:val="nil"/>
              <w:bottom w:val="nil"/>
              <w:right w:val="nil"/>
            </w:tcBorders>
            <w:shd w:val="clear" w:color="auto" w:fill="auto"/>
            <w:vAlign w:val="center"/>
            <w:hideMark/>
          </w:tcPr>
          <w:p w14:paraId="2D6188FA" w14:textId="77777777" w:rsidR="00B9311E" w:rsidRPr="00BD77D8" w:rsidRDefault="00B9311E" w:rsidP="00B9311E">
            <w:pPr>
              <w:spacing w:after="0" w:line="240" w:lineRule="auto"/>
              <w:rPr>
                <w:b/>
                <w:bCs/>
                <w:sz w:val="18"/>
                <w:szCs w:val="18"/>
              </w:rPr>
            </w:pPr>
            <w:r w:rsidRPr="00BD77D8">
              <w:rPr>
                <w:b/>
                <w:bCs/>
                <w:sz w:val="18"/>
                <w:szCs w:val="18"/>
              </w:rPr>
              <w:t xml:space="preserve"> Land </w:t>
            </w:r>
          </w:p>
        </w:tc>
        <w:tc>
          <w:tcPr>
            <w:tcW w:w="1146" w:type="dxa"/>
            <w:tcBorders>
              <w:top w:val="nil"/>
              <w:left w:val="nil"/>
              <w:bottom w:val="nil"/>
              <w:right w:val="nil"/>
            </w:tcBorders>
            <w:shd w:val="clear" w:color="auto" w:fill="auto"/>
            <w:noWrap/>
            <w:vAlign w:val="bottom"/>
            <w:hideMark/>
          </w:tcPr>
          <w:p w14:paraId="11D0B777" w14:textId="77777777" w:rsidR="00B9311E" w:rsidRPr="00BD77D8" w:rsidRDefault="00B9311E" w:rsidP="00B9311E">
            <w:pPr>
              <w:spacing w:after="0" w:line="240" w:lineRule="auto"/>
              <w:rPr>
                <w:b/>
                <w:bCs/>
                <w:sz w:val="18"/>
                <w:szCs w:val="18"/>
              </w:rPr>
            </w:pPr>
          </w:p>
        </w:tc>
        <w:tc>
          <w:tcPr>
            <w:tcW w:w="1306" w:type="dxa"/>
            <w:tcBorders>
              <w:top w:val="nil"/>
              <w:left w:val="nil"/>
              <w:bottom w:val="nil"/>
              <w:right w:val="nil"/>
            </w:tcBorders>
            <w:shd w:val="clear" w:color="auto" w:fill="auto"/>
            <w:noWrap/>
            <w:vAlign w:val="bottom"/>
            <w:hideMark/>
          </w:tcPr>
          <w:p w14:paraId="0F1AFF24" w14:textId="77777777" w:rsidR="00B9311E" w:rsidRPr="00BD77D8" w:rsidRDefault="00B9311E" w:rsidP="00B9311E">
            <w:pPr>
              <w:spacing w:after="0" w:line="240" w:lineRule="auto"/>
              <w:rPr>
                <w:rFonts w:ascii="Times New Roman" w:hAnsi="Times New Roman" w:cs="Times New Roman"/>
                <w:b/>
                <w:bCs/>
                <w:sz w:val="20"/>
                <w:szCs w:val="20"/>
              </w:rPr>
            </w:pPr>
          </w:p>
        </w:tc>
      </w:tr>
      <w:tr w:rsidR="00BD77D8" w:rsidRPr="00BD77D8" w14:paraId="69BF5E6D" w14:textId="77777777" w:rsidTr="00760ABD">
        <w:trPr>
          <w:trHeight w:val="279"/>
        </w:trPr>
        <w:tc>
          <w:tcPr>
            <w:tcW w:w="7954" w:type="dxa"/>
            <w:tcBorders>
              <w:top w:val="nil"/>
              <w:left w:val="nil"/>
              <w:bottom w:val="nil"/>
              <w:right w:val="nil"/>
            </w:tcBorders>
            <w:shd w:val="clear" w:color="auto" w:fill="auto"/>
            <w:vAlign w:val="center"/>
            <w:hideMark/>
          </w:tcPr>
          <w:p w14:paraId="2A0ADBA9" w14:textId="77777777" w:rsidR="00B9311E" w:rsidRPr="00BD77D8" w:rsidRDefault="00B9311E" w:rsidP="00B9311E">
            <w:pPr>
              <w:spacing w:after="0" w:line="240" w:lineRule="auto"/>
              <w:rPr>
                <w:sz w:val="18"/>
                <w:szCs w:val="18"/>
              </w:rPr>
            </w:pPr>
            <w:r w:rsidRPr="00BD77D8">
              <w:rPr>
                <w:sz w:val="18"/>
                <w:szCs w:val="18"/>
              </w:rPr>
              <w:t xml:space="preserve"> At fair value </w:t>
            </w:r>
          </w:p>
        </w:tc>
        <w:tc>
          <w:tcPr>
            <w:tcW w:w="1146" w:type="dxa"/>
            <w:tcBorders>
              <w:top w:val="nil"/>
              <w:left w:val="nil"/>
              <w:bottom w:val="nil"/>
              <w:right w:val="nil"/>
            </w:tcBorders>
            <w:shd w:val="clear" w:color="auto" w:fill="auto"/>
            <w:noWrap/>
            <w:vAlign w:val="bottom"/>
            <w:hideMark/>
          </w:tcPr>
          <w:p w14:paraId="7D9999C3" w14:textId="77777777" w:rsidR="00B9311E" w:rsidRPr="00BD77D8" w:rsidRDefault="00B9311E" w:rsidP="00B9311E">
            <w:pPr>
              <w:spacing w:after="0" w:line="240" w:lineRule="auto"/>
              <w:jc w:val="right"/>
              <w:rPr>
                <w:sz w:val="18"/>
                <w:szCs w:val="18"/>
              </w:rPr>
            </w:pPr>
            <w:r w:rsidRPr="00BD77D8">
              <w:rPr>
                <w:sz w:val="18"/>
                <w:szCs w:val="18"/>
              </w:rPr>
              <w:t xml:space="preserve">     55,964 </w:t>
            </w:r>
          </w:p>
        </w:tc>
        <w:tc>
          <w:tcPr>
            <w:tcW w:w="1306" w:type="dxa"/>
            <w:tcBorders>
              <w:top w:val="nil"/>
              <w:left w:val="nil"/>
              <w:bottom w:val="nil"/>
              <w:right w:val="nil"/>
            </w:tcBorders>
            <w:shd w:val="clear" w:color="auto" w:fill="auto"/>
            <w:noWrap/>
            <w:vAlign w:val="bottom"/>
            <w:hideMark/>
          </w:tcPr>
          <w:p w14:paraId="08ACD6F6" w14:textId="77777777" w:rsidR="00B9311E" w:rsidRPr="00BD77D8" w:rsidRDefault="00B9311E" w:rsidP="00B9311E">
            <w:pPr>
              <w:spacing w:after="0" w:line="240" w:lineRule="auto"/>
              <w:jc w:val="right"/>
              <w:rPr>
                <w:sz w:val="18"/>
                <w:szCs w:val="18"/>
              </w:rPr>
            </w:pPr>
            <w:r w:rsidRPr="00BD77D8">
              <w:rPr>
                <w:sz w:val="18"/>
                <w:szCs w:val="18"/>
              </w:rPr>
              <w:t xml:space="preserve">     50,663 </w:t>
            </w:r>
          </w:p>
        </w:tc>
      </w:tr>
      <w:tr w:rsidR="00BD77D8" w:rsidRPr="00BD77D8" w14:paraId="57EE71AA" w14:textId="77777777" w:rsidTr="00760ABD">
        <w:trPr>
          <w:trHeight w:val="279"/>
        </w:trPr>
        <w:tc>
          <w:tcPr>
            <w:tcW w:w="7954" w:type="dxa"/>
            <w:tcBorders>
              <w:top w:val="nil"/>
              <w:left w:val="nil"/>
              <w:bottom w:val="nil"/>
              <w:right w:val="nil"/>
            </w:tcBorders>
            <w:shd w:val="clear" w:color="auto" w:fill="auto"/>
            <w:vAlign w:val="center"/>
            <w:hideMark/>
          </w:tcPr>
          <w:p w14:paraId="6D966B3D" w14:textId="77777777" w:rsidR="00B9311E" w:rsidRPr="00BD77D8" w:rsidRDefault="00B9311E" w:rsidP="00B9311E">
            <w:pPr>
              <w:spacing w:after="0" w:line="240" w:lineRule="auto"/>
              <w:rPr>
                <w:sz w:val="18"/>
                <w:szCs w:val="18"/>
              </w:rPr>
            </w:pPr>
            <w:r w:rsidRPr="00BD77D8">
              <w:rPr>
                <w:sz w:val="18"/>
                <w:szCs w:val="18"/>
              </w:rPr>
              <w:t xml:space="preserve">   </w:t>
            </w:r>
          </w:p>
        </w:tc>
        <w:tc>
          <w:tcPr>
            <w:tcW w:w="1146" w:type="dxa"/>
            <w:tcBorders>
              <w:top w:val="single" w:sz="4" w:space="0" w:color="auto"/>
              <w:left w:val="nil"/>
              <w:bottom w:val="single" w:sz="4" w:space="0" w:color="auto"/>
              <w:right w:val="nil"/>
            </w:tcBorders>
            <w:shd w:val="clear" w:color="auto" w:fill="auto"/>
            <w:noWrap/>
            <w:vAlign w:val="bottom"/>
            <w:hideMark/>
          </w:tcPr>
          <w:p w14:paraId="3E9CF5BA" w14:textId="77777777" w:rsidR="00B9311E" w:rsidRPr="00BD77D8" w:rsidRDefault="00B9311E" w:rsidP="00B9311E">
            <w:pPr>
              <w:spacing w:after="0" w:line="240" w:lineRule="auto"/>
              <w:jc w:val="right"/>
              <w:rPr>
                <w:b/>
                <w:bCs/>
                <w:sz w:val="18"/>
                <w:szCs w:val="18"/>
              </w:rPr>
            </w:pPr>
            <w:r w:rsidRPr="00BD77D8">
              <w:rPr>
                <w:b/>
                <w:bCs/>
                <w:sz w:val="18"/>
                <w:szCs w:val="18"/>
              </w:rPr>
              <w:t xml:space="preserve">     55,964 </w:t>
            </w:r>
          </w:p>
        </w:tc>
        <w:tc>
          <w:tcPr>
            <w:tcW w:w="1306" w:type="dxa"/>
            <w:tcBorders>
              <w:top w:val="single" w:sz="4" w:space="0" w:color="auto"/>
              <w:left w:val="nil"/>
              <w:bottom w:val="single" w:sz="4" w:space="0" w:color="auto"/>
              <w:right w:val="nil"/>
            </w:tcBorders>
            <w:shd w:val="clear" w:color="auto" w:fill="auto"/>
            <w:noWrap/>
            <w:vAlign w:val="bottom"/>
            <w:hideMark/>
          </w:tcPr>
          <w:p w14:paraId="268BB012" w14:textId="77777777" w:rsidR="00B9311E" w:rsidRPr="00BD77D8" w:rsidRDefault="00B9311E" w:rsidP="00B9311E">
            <w:pPr>
              <w:spacing w:after="0" w:line="240" w:lineRule="auto"/>
              <w:jc w:val="right"/>
              <w:rPr>
                <w:b/>
                <w:bCs/>
                <w:sz w:val="18"/>
                <w:szCs w:val="18"/>
              </w:rPr>
            </w:pPr>
            <w:r w:rsidRPr="00BD77D8">
              <w:rPr>
                <w:b/>
                <w:bCs/>
                <w:sz w:val="18"/>
                <w:szCs w:val="18"/>
              </w:rPr>
              <w:t xml:space="preserve">     50,663 </w:t>
            </w:r>
          </w:p>
        </w:tc>
      </w:tr>
      <w:tr w:rsidR="00BD77D8" w:rsidRPr="00BD77D8" w14:paraId="7EE052DC" w14:textId="77777777" w:rsidTr="00760ABD">
        <w:trPr>
          <w:trHeight w:val="67"/>
        </w:trPr>
        <w:tc>
          <w:tcPr>
            <w:tcW w:w="7954" w:type="dxa"/>
            <w:tcBorders>
              <w:top w:val="nil"/>
              <w:left w:val="nil"/>
              <w:bottom w:val="nil"/>
              <w:right w:val="nil"/>
            </w:tcBorders>
            <w:shd w:val="clear" w:color="auto" w:fill="auto"/>
            <w:vAlign w:val="center"/>
            <w:hideMark/>
          </w:tcPr>
          <w:p w14:paraId="718B5967" w14:textId="77777777" w:rsidR="00B9311E" w:rsidRPr="00BD77D8" w:rsidRDefault="00B9311E" w:rsidP="00B9311E">
            <w:pPr>
              <w:spacing w:after="0" w:line="240" w:lineRule="auto"/>
              <w:rPr>
                <w:b/>
                <w:bCs/>
                <w:sz w:val="18"/>
                <w:szCs w:val="18"/>
              </w:rPr>
            </w:pPr>
            <w:r w:rsidRPr="00BD77D8">
              <w:rPr>
                <w:b/>
                <w:bCs/>
                <w:sz w:val="18"/>
                <w:szCs w:val="18"/>
              </w:rPr>
              <w:t xml:space="preserve"> Buildings </w:t>
            </w:r>
          </w:p>
        </w:tc>
        <w:tc>
          <w:tcPr>
            <w:tcW w:w="1146" w:type="dxa"/>
            <w:tcBorders>
              <w:top w:val="nil"/>
              <w:left w:val="nil"/>
              <w:bottom w:val="nil"/>
              <w:right w:val="nil"/>
            </w:tcBorders>
            <w:shd w:val="clear" w:color="auto" w:fill="auto"/>
            <w:noWrap/>
            <w:vAlign w:val="bottom"/>
            <w:hideMark/>
          </w:tcPr>
          <w:p w14:paraId="09F1ABAC" w14:textId="77777777" w:rsidR="00B9311E" w:rsidRPr="00BD77D8" w:rsidRDefault="00B9311E" w:rsidP="00B9311E">
            <w:pPr>
              <w:spacing w:after="0" w:line="240" w:lineRule="auto"/>
              <w:jc w:val="right"/>
              <w:rPr>
                <w:b/>
                <w:bCs/>
                <w:sz w:val="18"/>
                <w:szCs w:val="18"/>
              </w:rPr>
            </w:pPr>
            <w:r w:rsidRPr="00BD77D8">
              <w:rPr>
                <w:b/>
                <w:bCs/>
                <w:sz w:val="18"/>
                <w:szCs w:val="18"/>
              </w:rPr>
              <w:t xml:space="preserve">   </w:t>
            </w:r>
          </w:p>
        </w:tc>
        <w:tc>
          <w:tcPr>
            <w:tcW w:w="1306" w:type="dxa"/>
            <w:tcBorders>
              <w:top w:val="nil"/>
              <w:left w:val="nil"/>
              <w:bottom w:val="nil"/>
              <w:right w:val="nil"/>
            </w:tcBorders>
            <w:shd w:val="clear" w:color="auto" w:fill="auto"/>
            <w:noWrap/>
            <w:vAlign w:val="bottom"/>
            <w:hideMark/>
          </w:tcPr>
          <w:p w14:paraId="1753A4A7" w14:textId="77777777" w:rsidR="00B9311E" w:rsidRPr="00BD77D8" w:rsidRDefault="00B9311E" w:rsidP="00B9311E">
            <w:pPr>
              <w:spacing w:after="0" w:line="240" w:lineRule="auto"/>
              <w:jc w:val="right"/>
              <w:rPr>
                <w:b/>
                <w:bCs/>
                <w:sz w:val="18"/>
                <w:szCs w:val="18"/>
              </w:rPr>
            </w:pPr>
            <w:r w:rsidRPr="00BD77D8">
              <w:rPr>
                <w:b/>
                <w:bCs/>
                <w:sz w:val="18"/>
                <w:szCs w:val="18"/>
              </w:rPr>
              <w:t xml:space="preserve">   </w:t>
            </w:r>
          </w:p>
        </w:tc>
      </w:tr>
      <w:tr w:rsidR="00BD77D8" w:rsidRPr="00BD77D8" w14:paraId="53E347E9" w14:textId="77777777" w:rsidTr="00760ABD">
        <w:trPr>
          <w:trHeight w:val="76"/>
        </w:trPr>
        <w:tc>
          <w:tcPr>
            <w:tcW w:w="7954" w:type="dxa"/>
            <w:tcBorders>
              <w:top w:val="nil"/>
              <w:left w:val="nil"/>
              <w:bottom w:val="nil"/>
              <w:right w:val="nil"/>
            </w:tcBorders>
            <w:shd w:val="clear" w:color="auto" w:fill="auto"/>
            <w:vAlign w:val="center"/>
            <w:hideMark/>
          </w:tcPr>
          <w:p w14:paraId="7ED7CAF6" w14:textId="77777777" w:rsidR="00B9311E" w:rsidRPr="00BD77D8" w:rsidRDefault="00B9311E" w:rsidP="00B9311E">
            <w:pPr>
              <w:spacing w:after="0" w:line="240" w:lineRule="auto"/>
              <w:rPr>
                <w:sz w:val="18"/>
                <w:szCs w:val="18"/>
              </w:rPr>
            </w:pPr>
            <w:r w:rsidRPr="00BD77D8">
              <w:rPr>
                <w:sz w:val="18"/>
                <w:szCs w:val="18"/>
              </w:rPr>
              <w:t xml:space="preserve"> At fair value </w:t>
            </w:r>
          </w:p>
        </w:tc>
        <w:tc>
          <w:tcPr>
            <w:tcW w:w="1146" w:type="dxa"/>
            <w:tcBorders>
              <w:top w:val="nil"/>
              <w:left w:val="nil"/>
              <w:bottom w:val="nil"/>
              <w:right w:val="nil"/>
            </w:tcBorders>
            <w:shd w:val="clear" w:color="auto" w:fill="auto"/>
            <w:noWrap/>
            <w:vAlign w:val="bottom"/>
            <w:hideMark/>
          </w:tcPr>
          <w:p w14:paraId="3792481D" w14:textId="77777777" w:rsidR="00B9311E" w:rsidRPr="00BD77D8" w:rsidRDefault="00B9311E" w:rsidP="00B9311E">
            <w:pPr>
              <w:spacing w:after="0" w:line="240" w:lineRule="auto"/>
              <w:jc w:val="right"/>
              <w:rPr>
                <w:sz w:val="18"/>
                <w:szCs w:val="18"/>
              </w:rPr>
            </w:pPr>
            <w:r w:rsidRPr="00BD77D8">
              <w:rPr>
                <w:sz w:val="18"/>
                <w:szCs w:val="18"/>
              </w:rPr>
              <w:t xml:space="preserve">   204,012 </w:t>
            </w:r>
          </w:p>
        </w:tc>
        <w:tc>
          <w:tcPr>
            <w:tcW w:w="1306" w:type="dxa"/>
            <w:tcBorders>
              <w:top w:val="nil"/>
              <w:left w:val="nil"/>
              <w:bottom w:val="nil"/>
              <w:right w:val="nil"/>
            </w:tcBorders>
            <w:shd w:val="clear" w:color="auto" w:fill="auto"/>
            <w:noWrap/>
            <w:vAlign w:val="bottom"/>
            <w:hideMark/>
          </w:tcPr>
          <w:p w14:paraId="01E5470C" w14:textId="77777777" w:rsidR="00B9311E" w:rsidRPr="00BD77D8" w:rsidRDefault="00B9311E" w:rsidP="00B9311E">
            <w:pPr>
              <w:spacing w:after="0" w:line="240" w:lineRule="auto"/>
              <w:jc w:val="right"/>
              <w:rPr>
                <w:sz w:val="18"/>
                <w:szCs w:val="18"/>
              </w:rPr>
            </w:pPr>
            <w:r w:rsidRPr="00BD77D8">
              <w:rPr>
                <w:sz w:val="18"/>
                <w:szCs w:val="18"/>
              </w:rPr>
              <w:t xml:space="preserve">   178,759 </w:t>
            </w:r>
          </w:p>
        </w:tc>
      </w:tr>
      <w:tr w:rsidR="00BD77D8" w:rsidRPr="00BD77D8" w14:paraId="21B0AE74" w14:textId="77777777" w:rsidTr="00760ABD">
        <w:trPr>
          <w:trHeight w:val="279"/>
        </w:trPr>
        <w:tc>
          <w:tcPr>
            <w:tcW w:w="7954" w:type="dxa"/>
            <w:tcBorders>
              <w:top w:val="nil"/>
              <w:left w:val="nil"/>
              <w:bottom w:val="nil"/>
              <w:right w:val="nil"/>
            </w:tcBorders>
            <w:shd w:val="clear" w:color="auto" w:fill="auto"/>
            <w:vAlign w:val="center"/>
            <w:hideMark/>
          </w:tcPr>
          <w:p w14:paraId="514AAA76" w14:textId="77777777" w:rsidR="00B9311E" w:rsidRPr="00BD77D8" w:rsidRDefault="00B9311E" w:rsidP="00B9311E">
            <w:pPr>
              <w:spacing w:after="0" w:line="240" w:lineRule="auto"/>
              <w:rPr>
                <w:sz w:val="18"/>
                <w:szCs w:val="18"/>
              </w:rPr>
            </w:pPr>
            <w:r w:rsidRPr="00BD77D8">
              <w:rPr>
                <w:sz w:val="18"/>
                <w:szCs w:val="18"/>
              </w:rPr>
              <w:t xml:space="preserve"> Less accumulated depreciation </w:t>
            </w:r>
          </w:p>
        </w:tc>
        <w:tc>
          <w:tcPr>
            <w:tcW w:w="1146" w:type="dxa"/>
            <w:tcBorders>
              <w:top w:val="nil"/>
              <w:left w:val="nil"/>
              <w:bottom w:val="nil"/>
              <w:right w:val="nil"/>
            </w:tcBorders>
            <w:shd w:val="clear" w:color="auto" w:fill="auto"/>
            <w:noWrap/>
            <w:vAlign w:val="bottom"/>
            <w:hideMark/>
          </w:tcPr>
          <w:p w14:paraId="387A422A" w14:textId="77777777" w:rsidR="00B9311E" w:rsidRPr="00BD77D8" w:rsidRDefault="00B9311E" w:rsidP="00B9311E">
            <w:pPr>
              <w:spacing w:after="0" w:line="240" w:lineRule="auto"/>
              <w:jc w:val="right"/>
              <w:rPr>
                <w:sz w:val="18"/>
                <w:szCs w:val="18"/>
              </w:rPr>
            </w:pPr>
            <w:r w:rsidRPr="00BD77D8">
              <w:rPr>
                <w:sz w:val="18"/>
                <w:szCs w:val="18"/>
              </w:rPr>
              <w:t xml:space="preserve">   (57,626)</w:t>
            </w:r>
          </w:p>
        </w:tc>
        <w:tc>
          <w:tcPr>
            <w:tcW w:w="1306" w:type="dxa"/>
            <w:tcBorders>
              <w:top w:val="nil"/>
              <w:left w:val="nil"/>
              <w:bottom w:val="nil"/>
              <w:right w:val="nil"/>
            </w:tcBorders>
            <w:shd w:val="clear" w:color="auto" w:fill="auto"/>
            <w:noWrap/>
            <w:vAlign w:val="bottom"/>
            <w:hideMark/>
          </w:tcPr>
          <w:p w14:paraId="4549222B" w14:textId="77777777" w:rsidR="00B9311E" w:rsidRPr="00BD77D8" w:rsidRDefault="00B9311E" w:rsidP="00B9311E">
            <w:pPr>
              <w:spacing w:after="0" w:line="240" w:lineRule="auto"/>
              <w:jc w:val="right"/>
              <w:rPr>
                <w:sz w:val="18"/>
                <w:szCs w:val="18"/>
              </w:rPr>
            </w:pPr>
            <w:r w:rsidRPr="00BD77D8">
              <w:rPr>
                <w:sz w:val="18"/>
                <w:szCs w:val="18"/>
              </w:rPr>
              <w:t xml:space="preserve">   (50,541)</w:t>
            </w:r>
          </w:p>
        </w:tc>
      </w:tr>
      <w:tr w:rsidR="00BD77D8" w:rsidRPr="00BD77D8" w14:paraId="4942D250" w14:textId="77777777" w:rsidTr="00760ABD">
        <w:trPr>
          <w:trHeight w:val="279"/>
        </w:trPr>
        <w:tc>
          <w:tcPr>
            <w:tcW w:w="7954" w:type="dxa"/>
            <w:tcBorders>
              <w:top w:val="nil"/>
              <w:left w:val="nil"/>
              <w:bottom w:val="nil"/>
              <w:right w:val="nil"/>
            </w:tcBorders>
            <w:shd w:val="clear" w:color="auto" w:fill="auto"/>
            <w:vAlign w:val="center"/>
            <w:hideMark/>
          </w:tcPr>
          <w:p w14:paraId="12216206" w14:textId="77777777" w:rsidR="00B9311E" w:rsidRPr="00BD77D8" w:rsidRDefault="00B9311E" w:rsidP="00B9311E">
            <w:pPr>
              <w:spacing w:after="0" w:line="240" w:lineRule="auto"/>
              <w:rPr>
                <w:sz w:val="18"/>
                <w:szCs w:val="18"/>
              </w:rPr>
            </w:pPr>
            <w:r w:rsidRPr="00BD77D8">
              <w:rPr>
                <w:sz w:val="18"/>
                <w:szCs w:val="18"/>
              </w:rPr>
              <w:t xml:space="preserve">   </w:t>
            </w:r>
          </w:p>
        </w:tc>
        <w:tc>
          <w:tcPr>
            <w:tcW w:w="1146" w:type="dxa"/>
            <w:tcBorders>
              <w:top w:val="single" w:sz="4" w:space="0" w:color="auto"/>
              <w:left w:val="nil"/>
              <w:bottom w:val="single" w:sz="4" w:space="0" w:color="auto"/>
              <w:right w:val="nil"/>
            </w:tcBorders>
            <w:shd w:val="clear" w:color="auto" w:fill="auto"/>
            <w:noWrap/>
            <w:vAlign w:val="bottom"/>
            <w:hideMark/>
          </w:tcPr>
          <w:p w14:paraId="25BA3767" w14:textId="77777777" w:rsidR="00B9311E" w:rsidRPr="00BD77D8" w:rsidRDefault="00B9311E" w:rsidP="00B9311E">
            <w:pPr>
              <w:spacing w:after="0" w:line="240" w:lineRule="auto"/>
              <w:jc w:val="right"/>
              <w:rPr>
                <w:b/>
                <w:bCs/>
                <w:sz w:val="18"/>
                <w:szCs w:val="18"/>
              </w:rPr>
            </w:pPr>
            <w:r w:rsidRPr="00BD77D8">
              <w:rPr>
                <w:b/>
                <w:bCs/>
                <w:sz w:val="18"/>
                <w:szCs w:val="18"/>
              </w:rPr>
              <w:t xml:space="preserve">   146,386 </w:t>
            </w:r>
          </w:p>
        </w:tc>
        <w:tc>
          <w:tcPr>
            <w:tcW w:w="1306" w:type="dxa"/>
            <w:tcBorders>
              <w:top w:val="single" w:sz="4" w:space="0" w:color="auto"/>
              <w:left w:val="nil"/>
              <w:bottom w:val="single" w:sz="4" w:space="0" w:color="auto"/>
              <w:right w:val="nil"/>
            </w:tcBorders>
            <w:shd w:val="clear" w:color="auto" w:fill="auto"/>
            <w:noWrap/>
            <w:vAlign w:val="bottom"/>
            <w:hideMark/>
          </w:tcPr>
          <w:p w14:paraId="73EC3F3C" w14:textId="77777777" w:rsidR="00B9311E" w:rsidRPr="00BD77D8" w:rsidRDefault="00B9311E" w:rsidP="00B9311E">
            <w:pPr>
              <w:spacing w:after="0" w:line="240" w:lineRule="auto"/>
              <w:jc w:val="right"/>
              <w:rPr>
                <w:b/>
                <w:bCs/>
                <w:sz w:val="18"/>
                <w:szCs w:val="18"/>
              </w:rPr>
            </w:pPr>
            <w:r w:rsidRPr="00BD77D8">
              <w:rPr>
                <w:b/>
                <w:bCs/>
                <w:sz w:val="18"/>
                <w:szCs w:val="18"/>
              </w:rPr>
              <w:t xml:space="preserve">   128,218 </w:t>
            </w:r>
          </w:p>
        </w:tc>
      </w:tr>
      <w:tr w:rsidR="00BD77D8" w:rsidRPr="00BD77D8" w14:paraId="689C6B93" w14:textId="77777777" w:rsidTr="00760ABD">
        <w:trPr>
          <w:trHeight w:val="279"/>
        </w:trPr>
        <w:tc>
          <w:tcPr>
            <w:tcW w:w="7954" w:type="dxa"/>
            <w:tcBorders>
              <w:top w:val="nil"/>
              <w:left w:val="nil"/>
              <w:bottom w:val="nil"/>
              <w:right w:val="nil"/>
            </w:tcBorders>
            <w:shd w:val="clear" w:color="auto" w:fill="auto"/>
            <w:vAlign w:val="center"/>
            <w:hideMark/>
          </w:tcPr>
          <w:p w14:paraId="238B2819" w14:textId="77777777" w:rsidR="00B9311E" w:rsidRPr="00BD77D8" w:rsidRDefault="00B9311E" w:rsidP="00B9311E">
            <w:pPr>
              <w:spacing w:after="0" w:line="240" w:lineRule="auto"/>
              <w:rPr>
                <w:b/>
                <w:bCs/>
                <w:sz w:val="18"/>
                <w:szCs w:val="18"/>
              </w:rPr>
            </w:pPr>
            <w:r w:rsidRPr="00BD77D8">
              <w:rPr>
                <w:b/>
                <w:bCs/>
                <w:sz w:val="18"/>
                <w:szCs w:val="18"/>
              </w:rPr>
              <w:t xml:space="preserve"> Plant and equipment </w:t>
            </w:r>
          </w:p>
        </w:tc>
        <w:tc>
          <w:tcPr>
            <w:tcW w:w="1146" w:type="dxa"/>
            <w:tcBorders>
              <w:top w:val="nil"/>
              <w:left w:val="nil"/>
              <w:bottom w:val="nil"/>
              <w:right w:val="nil"/>
            </w:tcBorders>
            <w:shd w:val="clear" w:color="auto" w:fill="auto"/>
            <w:noWrap/>
            <w:vAlign w:val="bottom"/>
            <w:hideMark/>
          </w:tcPr>
          <w:p w14:paraId="2C8E032D" w14:textId="77777777" w:rsidR="00B9311E" w:rsidRPr="00BD77D8" w:rsidRDefault="00B9311E" w:rsidP="00B9311E">
            <w:pPr>
              <w:spacing w:after="0" w:line="240" w:lineRule="auto"/>
              <w:rPr>
                <w:b/>
                <w:bCs/>
                <w:sz w:val="18"/>
                <w:szCs w:val="18"/>
              </w:rPr>
            </w:pPr>
          </w:p>
        </w:tc>
        <w:tc>
          <w:tcPr>
            <w:tcW w:w="1306" w:type="dxa"/>
            <w:tcBorders>
              <w:top w:val="nil"/>
              <w:left w:val="nil"/>
              <w:bottom w:val="nil"/>
              <w:right w:val="nil"/>
            </w:tcBorders>
            <w:shd w:val="clear" w:color="auto" w:fill="auto"/>
            <w:noWrap/>
            <w:vAlign w:val="bottom"/>
            <w:hideMark/>
          </w:tcPr>
          <w:p w14:paraId="5F1CA2BF"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4BE201F9" w14:textId="77777777" w:rsidTr="00760ABD">
        <w:trPr>
          <w:trHeight w:val="279"/>
        </w:trPr>
        <w:tc>
          <w:tcPr>
            <w:tcW w:w="7954" w:type="dxa"/>
            <w:tcBorders>
              <w:top w:val="nil"/>
              <w:left w:val="nil"/>
              <w:bottom w:val="nil"/>
              <w:right w:val="nil"/>
            </w:tcBorders>
            <w:shd w:val="clear" w:color="auto" w:fill="auto"/>
            <w:vAlign w:val="center"/>
            <w:hideMark/>
          </w:tcPr>
          <w:p w14:paraId="53D7DFB6" w14:textId="77777777" w:rsidR="00B9311E" w:rsidRPr="00BD77D8" w:rsidRDefault="00B9311E" w:rsidP="00B9311E">
            <w:pPr>
              <w:spacing w:after="0" w:line="240" w:lineRule="auto"/>
              <w:rPr>
                <w:sz w:val="18"/>
                <w:szCs w:val="18"/>
              </w:rPr>
            </w:pPr>
            <w:r w:rsidRPr="00BD77D8">
              <w:rPr>
                <w:sz w:val="18"/>
                <w:szCs w:val="18"/>
              </w:rPr>
              <w:t xml:space="preserve"> At cost </w:t>
            </w:r>
          </w:p>
        </w:tc>
        <w:tc>
          <w:tcPr>
            <w:tcW w:w="1146" w:type="dxa"/>
            <w:tcBorders>
              <w:top w:val="nil"/>
              <w:left w:val="nil"/>
              <w:bottom w:val="nil"/>
              <w:right w:val="nil"/>
            </w:tcBorders>
            <w:shd w:val="clear" w:color="auto" w:fill="auto"/>
            <w:noWrap/>
            <w:vAlign w:val="bottom"/>
            <w:hideMark/>
          </w:tcPr>
          <w:p w14:paraId="1BAE25E2" w14:textId="77777777" w:rsidR="00B9311E" w:rsidRPr="00BD77D8" w:rsidRDefault="00B9311E" w:rsidP="00B9311E">
            <w:pPr>
              <w:spacing w:after="0" w:line="240" w:lineRule="auto"/>
              <w:jc w:val="right"/>
              <w:rPr>
                <w:sz w:val="18"/>
                <w:szCs w:val="18"/>
              </w:rPr>
            </w:pPr>
            <w:r w:rsidRPr="00BD77D8">
              <w:rPr>
                <w:sz w:val="18"/>
                <w:szCs w:val="18"/>
              </w:rPr>
              <w:t xml:space="preserve">       5,896 </w:t>
            </w:r>
          </w:p>
        </w:tc>
        <w:tc>
          <w:tcPr>
            <w:tcW w:w="1306" w:type="dxa"/>
            <w:tcBorders>
              <w:top w:val="nil"/>
              <w:left w:val="nil"/>
              <w:bottom w:val="nil"/>
              <w:right w:val="nil"/>
            </w:tcBorders>
            <w:shd w:val="clear" w:color="auto" w:fill="auto"/>
            <w:noWrap/>
            <w:vAlign w:val="bottom"/>
            <w:hideMark/>
          </w:tcPr>
          <w:p w14:paraId="02EFFDA3" w14:textId="77777777" w:rsidR="00B9311E" w:rsidRPr="00BD77D8" w:rsidRDefault="00B9311E" w:rsidP="00B9311E">
            <w:pPr>
              <w:spacing w:after="0" w:line="240" w:lineRule="auto"/>
              <w:jc w:val="right"/>
              <w:rPr>
                <w:sz w:val="18"/>
                <w:szCs w:val="18"/>
              </w:rPr>
            </w:pPr>
            <w:r w:rsidRPr="00BD77D8">
              <w:rPr>
                <w:sz w:val="18"/>
                <w:szCs w:val="18"/>
              </w:rPr>
              <w:t xml:space="preserve">       6,846 </w:t>
            </w:r>
          </w:p>
        </w:tc>
      </w:tr>
      <w:tr w:rsidR="00BD77D8" w:rsidRPr="00BD77D8" w14:paraId="401EC4A1" w14:textId="77777777" w:rsidTr="00760ABD">
        <w:trPr>
          <w:trHeight w:val="279"/>
        </w:trPr>
        <w:tc>
          <w:tcPr>
            <w:tcW w:w="7954" w:type="dxa"/>
            <w:tcBorders>
              <w:top w:val="nil"/>
              <w:left w:val="nil"/>
              <w:bottom w:val="nil"/>
              <w:right w:val="nil"/>
            </w:tcBorders>
            <w:shd w:val="clear" w:color="auto" w:fill="auto"/>
            <w:vAlign w:val="center"/>
            <w:hideMark/>
          </w:tcPr>
          <w:p w14:paraId="38728A4C" w14:textId="77777777" w:rsidR="00B9311E" w:rsidRPr="00BD77D8" w:rsidRDefault="00B9311E" w:rsidP="00B9311E">
            <w:pPr>
              <w:spacing w:after="0" w:line="240" w:lineRule="auto"/>
              <w:rPr>
                <w:sz w:val="18"/>
                <w:szCs w:val="18"/>
              </w:rPr>
            </w:pPr>
            <w:r w:rsidRPr="00BD77D8">
              <w:rPr>
                <w:sz w:val="18"/>
                <w:szCs w:val="18"/>
              </w:rPr>
              <w:t xml:space="preserve"> Less accumulated depreciation </w:t>
            </w:r>
          </w:p>
        </w:tc>
        <w:tc>
          <w:tcPr>
            <w:tcW w:w="1146" w:type="dxa"/>
            <w:tcBorders>
              <w:top w:val="nil"/>
              <w:left w:val="nil"/>
              <w:bottom w:val="nil"/>
              <w:right w:val="nil"/>
            </w:tcBorders>
            <w:shd w:val="clear" w:color="auto" w:fill="auto"/>
            <w:noWrap/>
            <w:vAlign w:val="bottom"/>
            <w:hideMark/>
          </w:tcPr>
          <w:p w14:paraId="1D30521D" w14:textId="77777777" w:rsidR="00B9311E" w:rsidRPr="00BD77D8" w:rsidRDefault="00B9311E" w:rsidP="00B9311E">
            <w:pPr>
              <w:spacing w:after="0" w:line="240" w:lineRule="auto"/>
              <w:jc w:val="right"/>
              <w:rPr>
                <w:sz w:val="18"/>
                <w:szCs w:val="18"/>
              </w:rPr>
            </w:pPr>
            <w:r w:rsidRPr="00BD77D8">
              <w:rPr>
                <w:sz w:val="18"/>
                <w:szCs w:val="18"/>
              </w:rPr>
              <w:t xml:space="preserve">      (4,423)</w:t>
            </w:r>
          </w:p>
        </w:tc>
        <w:tc>
          <w:tcPr>
            <w:tcW w:w="1306" w:type="dxa"/>
            <w:tcBorders>
              <w:top w:val="nil"/>
              <w:left w:val="nil"/>
              <w:bottom w:val="nil"/>
              <w:right w:val="nil"/>
            </w:tcBorders>
            <w:shd w:val="clear" w:color="auto" w:fill="auto"/>
            <w:noWrap/>
            <w:vAlign w:val="bottom"/>
            <w:hideMark/>
          </w:tcPr>
          <w:p w14:paraId="61CAE778" w14:textId="77777777" w:rsidR="00B9311E" w:rsidRPr="00BD77D8" w:rsidRDefault="00B9311E" w:rsidP="00B9311E">
            <w:pPr>
              <w:spacing w:after="0" w:line="240" w:lineRule="auto"/>
              <w:jc w:val="right"/>
              <w:rPr>
                <w:sz w:val="18"/>
                <w:szCs w:val="18"/>
              </w:rPr>
            </w:pPr>
            <w:r w:rsidRPr="00BD77D8">
              <w:rPr>
                <w:sz w:val="18"/>
                <w:szCs w:val="18"/>
              </w:rPr>
              <w:t xml:space="preserve">      (4,900)</w:t>
            </w:r>
          </w:p>
        </w:tc>
      </w:tr>
      <w:tr w:rsidR="00BD77D8" w:rsidRPr="00BD77D8" w14:paraId="796E0EDA" w14:textId="77777777" w:rsidTr="00760ABD">
        <w:trPr>
          <w:trHeight w:val="279"/>
        </w:trPr>
        <w:tc>
          <w:tcPr>
            <w:tcW w:w="7954" w:type="dxa"/>
            <w:tcBorders>
              <w:top w:val="nil"/>
              <w:left w:val="nil"/>
              <w:bottom w:val="nil"/>
              <w:right w:val="nil"/>
            </w:tcBorders>
            <w:shd w:val="clear" w:color="000000" w:fill="FFFFFF"/>
            <w:vAlign w:val="center"/>
            <w:hideMark/>
          </w:tcPr>
          <w:p w14:paraId="776A2CC0" w14:textId="77777777" w:rsidR="00B9311E" w:rsidRPr="00BD77D8" w:rsidRDefault="00B9311E" w:rsidP="00B9311E">
            <w:pPr>
              <w:spacing w:after="0" w:line="240" w:lineRule="auto"/>
              <w:rPr>
                <w:sz w:val="18"/>
                <w:szCs w:val="18"/>
              </w:rPr>
            </w:pPr>
            <w:r w:rsidRPr="00BD77D8">
              <w:rPr>
                <w:sz w:val="18"/>
                <w:szCs w:val="18"/>
              </w:rPr>
              <w:t xml:space="preserve">   </w:t>
            </w:r>
          </w:p>
        </w:tc>
        <w:tc>
          <w:tcPr>
            <w:tcW w:w="1146" w:type="dxa"/>
            <w:tcBorders>
              <w:top w:val="single" w:sz="4" w:space="0" w:color="auto"/>
              <w:left w:val="nil"/>
              <w:bottom w:val="single" w:sz="4" w:space="0" w:color="auto"/>
              <w:right w:val="nil"/>
            </w:tcBorders>
            <w:shd w:val="clear" w:color="auto" w:fill="auto"/>
            <w:noWrap/>
            <w:vAlign w:val="bottom"/>
            <w:hideMark/>
          </w:tcPr>
          <w:p w14:paraId="3F43C0E7" w14:textId="77777777" w:rsidR="00B9311E" w:rsidRPr="00BD77D8" w:rsidRDefault="00B9311E" w:rsidP="00B9311E">
            <w:pPr>
              <w:spacing w:after="0" w:line="240" w:lineRule="auto"/>
              <w:jc w:val="right"/>
              <w:rPr>
                <w:b/>
                <w:bCs/>
                <w:sz w:val="18"/>
                <w:szCs w:val="18"/>
              </w:rPr>
            </w:pPr>
            <w:r w:rsidRPr="00BD77D8">
              <w:rPr>
                <w:b/>
                <w:bCs/>
                <w:sz w:val="18"/>
                <w:szCs w:val="18"/>
              </w:rPr>
              <w:t xml:space="preserve">       1,473 </w:t>
            </w:r>
          </w:p>
        </w:tc>
        <w:tc>
          <w:tcPr>
            <w:tcW w:w="1306" w:type="dxa"/>
            <w:tcBorders>
              <w:top w:val="single" w:sz="4" w:space="0" w:color="auto"/>
              <w:left w:val="nil"/>
              <w:bottom w:val="single" w:sz="4" w:space="0" w:color="auto"/>
              <w:right w:val="nil"/>
            </w:tcBorders>
            <w:shd w:val="clear" w:color="auto" w:fill="auto"/>
            <w:noWrap/>
            <w:vAlign w:val="bottom"/>
            <w:hideMark/>
          </w:tcPr>
          <w:p w14:paraId="254C4133" w14:textId="77777777" w:rsidR="00B9311E" w:rsidRPr="00BD77D8" w:rsidRDefault="00B9311E" w:rsidP="00B9311E">
            <w:pPr>
              <w:spacing w:after="0" w:line="240" w:lineRule="auto"/>
              <w:jc w:val="right"/>
              <w:rPr>
                <w:b/>
                <w:bCs/>
                <w:sz w:val="18"/>
                <w:szCs w:val="18"/>
              </w:rPr>
            </w:pPr>
            <w:r w:rsidRPr="00BD77D8">
              <w:rPr>
                <w:b/>
                <w:bCs/>
                <w:sz w:val="18"/>
                <w:szCs w:val="18"/>
              </w:rPr>
              <w:t xml:space="preserve">       1,946 </w:t>
            </w:r>
          </w:p>
        </w:tc>
      </w:tr>
      <w:tr w:rsidR="00BD77D8" w:rsidRPr="00BD77D8" w14:paraId="165563B6" w14:textId="77777777" w:rsidTr="00760ABD">
        <w:trPr>
          <w:trHeight w:val="279"/>
        </w:trPr>
        <w:tc>
          <w:tcPr>
            <w:tcW w:w="7954" w:type="dxa"/>
            <w:tcBorders>
              <w:top w:val="nil"/>
              <w:left w:val="nil"/>
              <w:bottom w:val="nil"/>
              <w:right w:val="nil"/>
            </w:tcBorders>
            <w:shd w:val="clear" w:color="000000" w:fill="FFFFFF"/>
            <w:vAlign w:val="center"/>
            <w:hideMark/>
          </w:tcPr>
          <w:p w14:paraId="0E3CAC6C" w14:textId="77777777" w:rsidR="00B9311E" w:rsidRPr="00BD77D8" w:rsidRDefault="00B9311E" w:rsidP="00B9311E">
            <w:pPr>
              <w:spacing w:after="0" w:line="240" w:lineRule="auto"/>
              <w:rPr>
                <w:b/>
                <w:bCs/>
                <w:sz w:val="18"/>
                <w:szCs w:val="18"/>
              </w:rPr>
            </w:pPr>
            <w:r w:rsidRPr="00BD77D8">
              <w:rPr>
                <w:b/>
                <w:bCs/>
                <w:sz w:val="18"/>
                <w:szCs w:val="18"/>
              </w:rPr>
              <w:t xml:space="preserve"> Capital works in progress </w:t>
            </w:r>
          </w:p>
        </w:tc>
        <w:tc>
          <w:tcPr>
            <w:tcW w:w="1146" w:type="dxa"/>
            <w:tcBorders>
              <w:top w:val="nil"/>
              <w:left w:val="nil"/>
              <w:bottom w:val="nil"/>
              <w:right w:val="nil"/>
            </w:tcBorders>
            <w:shd w:val="clear" w:color="auto" w:fill="auto"/>
            <w:noWrap/>
            <w:vAlign w:val="bottom"/>
            <w:hideMark/>
          </w:tcPr>
          <w:p w14:paraId="48AF5C03" w14:textId="77777777" w:rsidR="00B9311E" w:rsidRPr="00BD77D8" w:rsidRDefault="00B9311E" w:rsidP="00B9311E">
            <w:pPr>
              <w:spacing w:after="0" w:line="240" w:lineRule="auto"/>
              <w:jc w:val="right"/>
              <w:rPr>
                <w:b/>
                <w:bCs/>
                <w:sz w:val="18"/>
                <w:szCs w:val="18"/>
              </w:rPr>
            </w:pPr>
            <w:r w:rsidRPr="00BD77D8">
              <w:rPr>
                <w:b/>
                <w:bCs/>
                <w:sz w:val="18"/>
                <w:szCs w:val="18"/>
              </w:rPr>
              <w:t xml:space="preserve">   </w:t>
            </w:r>
          </w:p>
        </w:tc>
        <w:tc>
          <w:tcPr>
            <w:tcW w:w="1306" w:type="dxa"/>
            <w:tcBorders>
              <w:top w:val="nil"/>
              <w:left w:val="nil"/>
              <w:bottom w:val="nil"/>
              <w:right w:val="nil"/>
            </w:tcBorders>
            <w:shd w:val="clear" w:color="auto" w:fill="auto"/>
            <w:noWrap/>
            <w:vAlign w:val="bottom"/>
            <w:hideMark/>
          </w:tcPr>
          <w:p w14:paraId="0A69C273" w14:textId="77777777" w:rsidR="00B9311E" w:rsidRPr="00BD77D8" w:rsidRDefault="00B9311E" w:rsidP="00B9311E">
            <w:pPr>
              <w:spacing w:after="0" w:line="240" w:lineRule="auto"/>
              <w:jc w:val="right"/>
              <w:rPr>
                <w:b/>
                <w:bCs/>
                <w:sz w:val="18"/>
                <w:szCs w:val="18"/>
              </w:rPr>
            </w:pPr>
            <w:r w:rsidRPr="00BD77D8">
              <w:rPr>
                <w:b/>
                <w:bCs/>
                <w:sz w:val="18"/>
                <w:szCs w:val="18"/>
              </w:rPr>
              <w:t xml:space="preserve">   </w:t>
            </w:r>
          </w:p>
        </w:tc>
      </w:tr>
      <w:tr w:rsidR="00BD77D8" w:rsidRPr="00BD77D8" w14:paraId="2F8A2276" w14:textId="77777777" w:rsidTr="00760ABD">
        <w:trPr>
          <w:trHeight w:val="279"/>
        </w:trPr>
        <w:tc>
          <w:tcPr>
            <w:tcW w:w="7954" w:type="dxa"/>
            <w:tcBorders>
              <w:top w:val="nil"/>
              <w:left w:val="nil"/>
              <w:bottom w:val="nil"/>
              <w:right w:val="nil"/>
            </w:tcBorders>
            <w:shd w:val="clear" w:color="000000" w:fill="FFFFFF"/>
            <w:noWrap/>
            <w:vAlign w:val="bottom"/>
            <w:hideMark/>
          </w:tcPr>
          <w:p w14:paraId="64DEFDDA" w14:textId="77777777" w:rsidR="00B9311E" w:rsidRPr="00BD77D8" w:rsidRDefault="00B9311E" w:rsidP="00B9311E">
            <w:pPr>
              <w:spacing w:after="0" w:line="240" w:lineRule="auto"/>
              <w:rPr>
                <w:sz w:val="18"/>
                <w:szCs w:val="18"/>
              </w:rPr>
            </w:pPr>
            <w:r w:rsidRPr="00BD77D8">
              <w:rPr>
                <w:sz w:val="18"/>
                <w:szCs w:val="18"/>
              </w:rPr>
              <w:t xml:space="preserve"> At cost </w:t>
            </w:r>
          </w:p>
        </w:tc>
        <w:tc>
          <w:tcPr>
            <w:tcW w:w="1146" w:type="dxa"/>
            <w:tcBorders>
              <w:top w:val="nil"/>
              <w:left w:val="nil"/>
              <w:bottom w:val="nil"/>
              <w:right w:val="nil"/>
            </w:tcBorders>
            <w:shd w:val="clear" w:color="auto" w:fill="auto"/>
            <w:noWrap/>
            <w:vAlign w:val="bottom"/>
            <w:hideMark/>
          </w:tcPr>
          <w:p w14:paraId="59BD9200" w14:textId="77777777" w:rsidR="00B9311E" w:rsidRPr="00BD77D8" w:rsidRDefault="00B9311E" w:rsidP="00B9311E">
            <w:pPr>
              <w:spacing w:after="0" w:line="240" w:lineRule="auto"/>
              <w:jc w:val="right"/>
              <w:rPr>
                <w:sz w:val="18"/>
                <w:szCs w:val="18"/>
              </w:rPr>
            </w:pPr>
            <w:r w:rsidRPr="00BD77D8">
              <w:rPr>
                <w:sz w:val="18"/>
                <w:szCs w:val="18"/>
              </w:rPr>
              <w:t xml:space="preserve">       1,350 </w:t>
            </w:r>
          </w:p>
        </w:tc>
        <w:tc>
          <w:tcPr>
            <w:tcW w:w="1306" w:type="dxa"/>
            <w:tcBorders>
              <w:top w:val="nil"/>
              <w:left w:val="nil"/>
              <w:bottom w:val="nil"/>
              <w:right w:val="nil"/>
            </w:tcBorders>
            <w:shd w:val="clear" w:color="auto" w:fill="auto"/>
            <w:noWrap/>
            <w:vAlign w:val="bottom"/>
            <w:hideMark/>
          </w:tcPr>
          <w:p w14:paraId="5896E2DD" w14:textId="77777777" w:rsidR="00B9311E" w:rsidRPr="00BD77D8" w:rsidRDefault="00B9311E" w:rsidP="00B9311E">
            <w:pPr>
              <w:spacing w:after="0" w:line="240" w:lineRule="auto"/>
              <w:jc w:val="right"/>
              <w:rPr>
                <w:sz w:val="18"/>
                <w:szCs w:val="18"/>
              </w:rPr>
            </w:pPr>
            <w:r w:rsidRPr="00BD77D8">
              <w:rPr>
                <w:sz w:val="18"/>
                <w:szCs w:val="18"/>
              </w:rPr>
              <w:t xml:space="preserve">           469 </w:t>
            </w:r>
          </w:p>
        </w:tc>
      </w:tr>
      <w:tr w:rsidR="00BD77D8" w:rsidRPr="00BD77D8" w14:paraId="764F6143" w14:textId="77777777" w:rsidTr="00760ABD">
        <w:trPr>
          <w:trHeight w:val="279"/>
        </w:trPr>
        <w:tc>
          <w:tcPr>
            <w:tcW w:w="7954" w:type="dxa"/>
            <w:tcBorders>
              <w:top w:val="nil"/>
              <w:left w:val="nil"/>
              <w:bottom w:val="nil"/>
              <w:right w:val="nil"/>
            </w:tcBorders>
            <w:shd w:val="clear" w:color="000000" w:fill="FFFFFF"/>
            <w:noWrap/>
            <w:vAlign w:val="bottom"/>
            <w:hideMark/>
          </w:tcPr>
          <w:p w14:paraId="6158CB1A" w14:textId="77777777" w:rsidR="00B9311E" w:rsidRPr="00BD77D8" w:rsidRDefault="00B9311E" w:rsidP="00B9311E">
            <w:pPr>
              <w:spacing w:after="0" w:line="240" w:lineRule="auto"/>
              <w:rPr>
                <w:sz w:val="18"/>
                <w:szCs w:val="18"/>
              </w:rPr>
            </w:pPr>
            <w:r w:rsidRPr="00BD77D8">
              <w:rPr>
                <w:sz w:val="18"/>
                <w:szCs w:val="18"/>
              </w:rPr>
              <w:t xml:space="preserve">   </w:t>
            </w:r>
          </w:p>
        </w:tc>
        <w:tc>
          <w:tcPr>
            <w:tcW w:w="1146" w:type="dxa"/>
            <w:tcBorders>
              <w:top w:val="single" w:sz="4" w:space="0" w:color="auto"/>
              <w:left w:val="nil"/>
              <w:bottom w:val="single" w:sz="4" w:space="0" w:color="auto"/>
              <w:right w:val="nil"/>
            </w:tcBorders>
            <w:shd w:val="clear" w:color="auto" w:fill="auto"/>
            <w:noWrap/>
            <w:vAlign w:val="bottom"/>
            <w:hideMark/>
          </w:tcPr>
          <w:p w14:paraId="2674942A" w14:textId="77777777" w:rsidR="00B9311E" w:rsidRPr="00BD77D8" w:rsidRDefault="00B9311E" w:rsidP="00B9311E">
            <w:pPr>
              <w:spacing w:after="0" w:line="240" w:lineRule="auto"/>
              <w:jc w:val="right"/>
              <w:rPr>
                <w:b/>
                <w:bCs/>
                <w:sz w:val="18"/>
                <w:szCs w:val="18"/>
              </w:rPr>
            </w:pPr>
            <w:r w:rsidRPr="00BD77D8">
              <w:rPr>
                <w:b/>
                <w:bCs/>
                <w:sz w:val="18"/>
                <w:szCs w:val="18"/>
              </w:rPr>
              <w:t xml:space="preserve">       1,350 </w:t>
            </w:r>
          </w:p>
        </w:tc>
        <w:tc>
          <w:tcPr>
            <w:tcW w:w="1306" w:type="dxa"/>
            <w:tcBorders>
              <w:top w:val="single" w:sz="4" w:space="0" w:color="auto"/>
              <w:left w:val="nil"/>
              <w:bottom w:val="single" w:sz="4" w:space="0" w:color="auto"/>
              <w:right w:val="nil"/>
            </w:tcBorders>
            <w:shd w:val="clear" w:color="auto" w:fill="auto"/>
            <w:noWrap/>
            <w:vAlign w:val="bottom"/>
            <w:hideMark/>
          </w:tcPr>
          <w:p w14:paraId="6164E26D" w14:textId="77777777" w:rsidR="00B9311E" w:rsidRPr="00BD77D8" w:rsidRDefault="00B9311E" w:rsidP="00B9311E">
            <w:pPr>
              <w:spacing w:after="0" w:line="240" w:lineRule="auto"/>
              <w:jc w:val="right"/>
              <w:rPr>
                <w:b/>
                <w:bCs/>
                <w:sz w:val="18"/>
                <w:szCs w:val="18"/>
              </w:rPr>
            </w:pPr>
            <w:r w:rsidRPr="00BD77D8">
              <w:rPr>
                <w:b/>
                <w:bCs/>
                <w:sz w:val="18"/>
                <w:szCs w:val="18"/>
              </w:rPr>
              <w:t xml:space="preserve">           469 </w:t>
            </w:r>
          </w:p>
        </w:tc>
      </w:tr>
      <w:tr w:rsidR="00BD77D8" w:rsidRPr="00BD77D8" w14:paraId="3F66DA7A" w14:textId="77777777" w:rsidTr="00760ABD">
        <w:trPr>
          <w:trHeight w:val="279"/>
        </w:trPr>
        <w:tc>
          <w:tcPr>
            <w:tcW w:w="7954" w:type="dxa"/>
            <w:tcBorders>
              <w:top w:val="nil"/>
              <w:left w:val="nil"/>
              <w:bottom w:val="nil"/>
              <w:right w:val="nil"/>
            </w:tcBorders>
            <w:shd w:val="clear" w:color="000000" w:fill="FFFFFF"/>
            <w:noWrap/>
            <w:vAlign w:val="bottom"/>
            <w:hideMark/>
          </w:tcPr>
          <w:p w14:paraId="5E53363B"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46" w:type="dxa"/>
            <w:tcBorders>
              <w:top w:val="nil"/>
              <w:left w:val="nil"/>
              <w:bottom w:val="single" w:sz="4" w:space="0" w:color="auto"/>
              <w:right w:val="nil"/>
            </w:tcBorders>
            <w:shd w:val="clear" w:color="auto" w:fill="auto"/>
            <w:noWrap/>
            <w:vAlign w:val="bottom"/>
            <w:hideMark/>
          </w:tcPr>
          <w:p w14:paraId="39546F0B" w14:textId="77777777" w:rsidR="00B9311E" w:rsidRPr="00BD77D8" w:rsidRDefault="00B9311E" w:rsidP="00B9311E">
            <w:pPr>
              <w:spacing w:after="0" w:line="240" w:lineRule="auto"/>
              <w:jc w:val="right"/>
              <w:rPr>
                <w:b/>
                <w:bCs/>
                <w:sz w:val="18"/>
                <w:szCs w:val="18"/>
              </w:rPr>
            </w:pPr>
            <w:r w:rsidRPr="00BD77D8">
              <w:rPr>
                <w:b/>
                <w:bCs/>
                <w:sz w:val="18"/>
                <w:szCs w:val="18"/>
              </w:rPr>
              <w:t xml:space="preserve">   205,173 </w:t>
            </w:r>
          </w:p>
        </w:tc>
        <w:tc>
          <w:tcPr>
            <w:tcW w:w="1306" w:type="dxa"/>
            <w:tcBorders>
              <w:top w:val="nil"/>
              <w:left w:val="nil"/>
              <w:bottom w:val="single" w:sz="4" w:space="0" w:color="auto"/>
              <w:right w:val="nil"/>
            </w:tcBorders>
            <w:shd w:val="clear" w:color="auto" w:fill="auto"/>
            <w:noWrap/>
            <w:vAlign w:val="bottom"/>
            <w:hideMark/>
          </w:tcPr>
          <w:p w14:paraId="7734CB44" w14:textId="77777777" w:rsidR="00B9311E" w:rsidRPr="00BD77D8" w:rsidRDefault="00B9311E" w:rsidP="00B9311E">
            <w:pPr>
              <w:spacing w:after="0" w:line="240" w:lineRule="auto"/>
              <w:jc w:val="right"/>
              <w:rPr>
                <w:b/>
                <w:bCs/>
                <w:sz w:val="18"/>
                <w:szCs w:val="18"/>
              </w:rPr>
            </w:pPr>
            <w:r w:rsidRPr="00BD77D8">
              <w:rPr>
                <w:b/>
                <w:bCs/>
                <w:sz w:val="18"/>
                <w:szCs w:val="18"/>
              </w:rPr>
              <w:t xml:space="preserve">   181,296 </w:t>
            </w:r>
          </w:p>
        </w:tc>
      </w:tr>
    </w:tbl>
    <w:p w14:paraId="7035C52B" w14:textId="4F0B1DC5" w:rsidR="00F35846" w:rsidRPr="00BD77D8" w:rsidRDefault="00F35846" w:rsidP="00C3515C">
      <w:pPr>
        <w:spacing w:before="1680" w:after="0" w:line="240" w:lineRule="auto"/>
        <w:rPr>
          <w:rFonts w:eastAsia="PMingLiU"/>
          <w:sz w:val="18"/>
          <w:szCs w:val="22"/>
          <w:lang w:eastAsia="en-US"/>
        </w:rPr>
        <w:sectPr w:rsidR="00F35846" w:rsidRPr="00BD77D8" w:rsidSect="000160CF">
          <w:type w:val="nextColumn"/>
          <w:pgSz w:w="11909" w:h="16838"/>
          <w:pgMar w:top="794" w:right="794" w:bottom="794" w:left="794" w:header="720" w:footer="720" w:gutter="0"/>
          <w:cols w:space="720"/>
        </w:sectPr>
      </w:pP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r>
      <w:r w:rsidRPr="00BD77D8">
        <w:rPr>
          <w:rFonts w:eastAsia="PMingLiU"/>
          <w:sz w:val="18"/>
          <w:szCs w:val="22"/>
          <w:lang w:eastAsia="en-US"/>
        </w:rPr>
        <w:tab/>
        <w:t>Page 21 of 45</w:t>
      </w:r>
    </w:p>
    <w:p w14:paraId="59D9FB08"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A8037D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3EB66C9"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38D2F686"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41C32F72" w14:textId="77777777" w:rsidR="00B9311E" w:rsidRPr="00BD77D8" w:rsidRDefault="00B9311E" w:rsidP="00E47A6E">
      <w:pPr>
        <w:spacing w:before="240" w:line="240" w:lineRule="auto"/>
        <w:rPr>
          <w:rFonts w:eastAsia="Arial"/>
          <w:sz w:val="22"/>
          <w:szCs w:val="22"/>
          <w:lang w:val="en-US" w:eastAsia="en-US"/>
        </w:rPr>
      </w:pPr>
      <w:r w:rsidRPr="00BD77D8">
        <w:rPr>
          <w:rFonts w:eastAsia="Arial"/>
          <w:b/>
          <w:bCs/>
          <w:sz w:val="22"/>
          <w:szCs w:val="22"/>
          <w:lang w:val="en-US" w:eastAsia="en-US"/>
        </w:rPr>
        <w:t>C4 Property, Plant and Equipment (continued)</w:t>
      </w:r>
    </w:p>
    <w:p w14:paraId="30E805DE" w14:textId="77777777" w:rsidR="00B9311E" w:rsidRPr="00BD77D8" w:rsidRDefault="00B9311E" w:rsidP="00760ABD">
      <w:pPr>
        <w:spacing w:line="205" w:lineRule="exact"/>
        <w:textAlignment w:val="baseline"/>
        <w:rPr>
          <w:rFonts w:eastAsia="PMingLiU"/>
          <w:b/>
          <w:bCs/>
          <w:sz w:val="18"/>
          <w:szCs w:val="22"/>
          <w:lang w:val="en-US" w:eastAsia="en-US"/>
        </w:rPr>
      </w:pPr>
      <w:r w:rsidRPr="00BD77D8">
        <w:rPr>
          <w:rFonts w:eastAsia="Arial"/>
          <w:b/>
          <w:bCs/>
          <w:spacing w:val="1"/>
          <w:sz w:val="18"/>
          <w:szCs w:val="18"/>
          <w:lang w:eastAsia="en-US"/>
        </w:rPr>
        <w:t>C4-1 Closing Balances and Reconciliations of Carrying Amount (continued</w:t>
      </w:r>
      <w:r w:rsidRPr="00BD77D8">
        <w:rPr>
          <w:rFonts w:eastAsia="PMingLiU"/>
          <w:b/>
          <w:bCs/>
          <w:sz w:val="18"/>
          <w:szCs w:val="22"/>
          <w:lang w:val="en-US" w:eastAsia="en-US"/>
        </w:rPr>
        <w:t>)</w:t>
      </w:r>
    </w:p>
    <w:tbl>
      <w:tblPr>
        <w:tblW w:w="10332" w:type="dxa"/>
        <w:tblLayout w:type="fixed"/>
        <w:tblCellMar>
          <w:top w:w="28" w:type="dxa"/>
          <w:left w:w="0" w:type="dxa"/>
          <w:bottom w:w="28" w:type="dxa"/>
          <w:right w:w="0" w:type="dxa"/>
        </w:tblCellMar>
        <w:tblLook w:val="04A0" w:firstRow="1" w:lastRow="0" w:firstColumn="1" w:lastColumn="0" w:noHBand="0" w:noVBand="1"/>
      </w:tblPr>
      <w:tblGrid>
        <w:gridCol w:w="5404"/>
        <w:gridCol w:w="852"/>
        <w:gridCol w:w="996"/>
        <w:gridCol w:w="995"/>
        <w:gridCol w:w="1137"/>
        <w:gridCol w:w="948"/>
      </w:tblGrid>
      <w:tr w:rsidR="00BD77D8" w:rsidRPr="00BD77D8" w14:paraId="63C3A691" w14:textId="77777777" w:rsidTr="003057FB">
        <w:trPr>
          <w:trHeight w:val="21"/>
        </w:trPr>
        <w:tc>
          <w:tcPr>
            <w:tcW w:w="5404" w:type="dxa"/>
            <w:tcBorders>
              <w:top w:val="nil"/>
              <w:left w:val="nil"/>
              <w:bottom w:val="nil"/>
              <w:right w:val="nil"/>
            </w:tcBorders>
            <w:shd w:val="clear" w:color="auto" w:fill="auto"/>
            <w:noWrap/>
            <w:vAlign w:val="bottom"/>
            <w:hideMark/>
          </w:tcPr>
          <w:p w14:paraId="3EA4B1EE" w14:textId="77777777" w:rsidR="00B9311E" w:rsidRPr="00BD77D8" w:rsidRDefault="00B9311E" w:rsidP="00B9311E">
            <w:pPr>
              <w:spacing w:after="0" w:line="240" w:lineRule="auto"/>
              <w:rPr>
                <w:rFonts w:ascii="Times New Roman" w:hAnsi="Times New Roman" w:cs="Times New Roman"/>
                <w:sz w:val="24"/>
                <w:szCs w:val="24"/>
              </w:rPr>
            </w:pPr>
          </w:p>
        </w:tc>
        <w:tc>
          <w:tcPr>
            <w:tcW w:w="852" w:type="dxa"/>
            <w:tcBorders>
              <w:top w:val="nil"/>
              <w:left w:val="nil"/>
              <w:bottom w:val="nil"/>
              <w:right w:val="nil"/>
            </w:tcBorders>
            <w:shd w:val="clear" w:color="auto" w:fill="auto"/>
            <w:vAlign w:val="bottom"/>
            <w:hideMark/>
          </w:tcPr>
          <w:p w14:paraId="4F4ACA1B" w14:textId="77777777" w:rsidR="00B9311E" w:rsidRPr="00BD77D8" w:rsidRDefault="00B9311E" w:rsidP="00B9311E">
            <w:pPr>
              <w:spacing w:after="0" w:line="240" w:lineRule="auto"/>
              <w:jc w:val="right"/>
              <w:rPr>
                <w:b/>
                <w:bCs/>
                <w:sz w:val="18"/>
                <w:szCs w:val="18"/>
              </w:rPr>
            </w:pPr>
            <w:r w:rsidRPr="00BD77D8">
              <w:rPr>
                <w:b/>
                <w:bCs/>
                <w:sz w:val="18"/>
                <w:szCs w:val="18"/>
              </w:rPr>
              <w:t xml:space="preserve"> Land </w:t>
            </w:r>
          </w:p>
        </w:tc>
        <w:tc>
          <w:tcPr>
            <w:tcW w:w="996" w:type="dxa"/>
            <w:tcBorders>
              <w:top w:val="nil"/>
              <w:left w:val="nil"/>
              <w:bottom w:val="nil"/>
              <w:right w:val="nil"/>
            </w:tcBorders>
            <w:shd w:val="clear" w:color="auto" w:fill="auto"/>
            <w:vAlign w:val="bottom"/>
            <w:hideMark/>
          </w:tcPr>
          <w:p w14:paraId="03385510" w14:textId="77777777" w:rsidR="00B9311E" w:rsidRPr="00BD77D8" w:rsidRDefault="00B9311E" w:rsidP="00B9311E">
            <w:pPr>
              <w:spacing w:after="0" w:line="240" w:lineRule="auto"/>
              <w:jc w:val="right"/>
              <w:rPr>
                <w:b/>
                <w:bCs/>
                <w:sz w:val="18"/>
                <w:szCs w:val="18"/>
              </w:rPr>
            </w:pPr>
            <w:r w:rsidRPr="00BD77D8">
              <w:rPr>
                <w:b/>
                <w:bCs/>
                <w:sz w:val="18"/>
                <w:szCs w:val="18"/>
              </w:rPr>
              <w:t xml:space="preserve"> Buildings </w:t>
            </w:r>
          </w:p>
        </w:tc>
        <w:tc>
          <w:tcPr>
            <w:tcW w:w="995" w:type="dxa"/>
            <w:tcBorders>
              <w:top w:val="nil"/>
              <w:left w:val="nil"/>
              <w:bottom w:val="nil"/>
              <w:right w:val="nil"/>
            </w:tcBorders>
            <w:shd w:val="clear" w:color="auto" w:fill="auto"/>
            <w:vAlign w:val="bottom"/>
            <w:hideMark/>
          </w:tcPr>
          <w:p w14:paraId="232405D4" w14:textId="77777777" w:rsidR="00B9311E" w:rsidRPr="00BD77D8" w:rsidRDefault="00B9311E" w:rsidP="00B9311E">
            <w:pPr>
              <w:spacing w:after="0" w:line="240" w:lineRule="auto"/>
              <w:jc w:val="right"/>
              <w:rPr>
                <w:b/>
                <w:bCs/>
                <w:sz w:val="18"/>
                <w:szCs w:val="18"/>
              </w:rPr>
            </w:pPr>
            <w:r w:rsidRPr="00BD77D8">
              <w:rPr>
                <w:b/>
                <w:bCs/>
                <w:sz w:val="18"/>
                <w:szCs w:val="18"/>
              </w:rPr>
              <w:t xml:space="preserve"> Plant and equipment </w:t>
            </w:r>
          </w:p>
        </w:tc>
        <w:tc>
          <w:tcPr>
            <w:tcW w:w="1137" w:type="dxa"/>
            <w:tcBorders>
              <w:top w:val="nil"/>
              <w:left w:val="nil"/>
              <w:bottom w:val="nil"/>
              <w:right w:val="nil"/>
            </w:tcBorders>
            <w:shd w:val="clear" w:color="auto" w:fill="auto"/>
            <w:vAlign w:val="bottom"/>
            <w:hideMark/>
          </w:tcPr>
          <w:p w14:paraId="380066A4" w14:textId="77777777" w:rsidR="00B9311E" w:rsidRPr="00BD77D8" w:rsidRDefault="00B9311E" w:rsidP="00B9311E">
            <w:pPr>
              <w:spacing w:after="0" w:line="240" w:lineRule="auto"/>
              <w:jc w:val="right"/>
              <w:rPr>
                <w:b/>
                <w:bCs/>
                <w:sz w:val="18"/>
                <w:szCs w:val="18"/>
              </w:rPr>
            </w:pPr>
            <w:r w:rsidRPr="00BD77D8">
              <w:rPr>
                <w:b/>
                <w:bCs/>
                <w:sz w:val="18"/>
                <w:szCs w:val="18"/>
              </w:rPr>
              <w:t xml:space="preserve"> Capital works in progress </w:t>
            </w:r>
          </w:p>
        </w:tc>
        <w:tc>
          <w:tcPr>
            <w:tcW w:w="948" w:type="dxa"/>
            <w:tcBorders>
              <w:top w:val="nil"/>
              <w:left w:val="nil"/>
              <w:bottom w:val="nil"/>
              <w:right w:val="nil"/>
            </w:tcBorders>
            <w:shd w:val="clear" w:color="auto" w:fill="auto"/>
            <w:vAlign w:val="bottom"/>
            <w:hideMark/>
          </w:tcPr>
          <w:p w14:paraId="026E7D25" w14:textId="77777777" w:rsidR="00B9311E" w:rsidRPr="00BD77D8" w:rsidRDefault="00B9311E" w:rsidP="00B9311E">
            <w:pPr>
              <w:spacing w:after="0" w:line="240" w:lineRule="auto"/>
              <w:jc w:val="right"/>
              <w:rPr>
                <w:b/>
                <w:bCs/>
                <w:sz w:val="18"/>
                <w:szCs w:val="18"/>
              </w:rPr>
            </w:pPr>
            <w:r w:rsidRPr="00BD77D8">
              <w:rPr>
                <w:b/>
                <w:bCs/>
                <w:sz w:val="18"/>
                <w:szCs w:val="18"/>
              </w:rPr>
              <w:t xml:space="preserve"> Total </w:t>
            </w:r>
          </w:p>
        </w:tc>
      </w:tr>
      <w:tr w:rsidR="00BD77D8" w:rsidRPr="00BD77D8" w14:paraId="0DD68C59" w14:textId="77777777" w:rsidTr="003057FB">
        <w:trPr>
          <w:trHeight w:val="21"/>
        </w:trPr>
        <w:tc>
          <w:tcPr>
            <w:tcW w:w="5404" w:type="dxa"/>
            <w:tcBorders>
              <w:top w:val="nil"/>
              <w:left w:val="nil"/>
              <w:bottom w:val="nil"/>
              <w:right w:val="nil"/>
            </w:tcBorders>
            <w:shd w:val="clear" w:color="auto" w:fill="auto"/>
            <w:noWrap/>
            <w:vAlign w:val="bottom"/>
            <w:hideMark/>
          </w:tcPr>
          <w:p w14:paraId="63D9F65F" w14:textId="77777777" w:rsidR="00B9311E" w:rsidRPr="00BD77D8" w:rsidRDefault="00B9311E" w:rsidP="00B9311E">
            <w:pPr>
              <w:spacing w:after="0" w:line="240" w:lineRule="auto"/>
              <w:rPr>
                <w:b/>
                <w:bCs/>
                <w:sz w:val="18"/>
                <w:szCs w:val="18"/>
              </w:rPr>
            </w:pPr>
            <w:r w:rsidRPr="00BD77D8">
              <w:rPr>
                <w:b/>
                <w:bCs/>
                <w:sz w:val="18"/>
                <w:szCs w:val="18"/>
              </w:rPr>
              <w:t xml:space="preserve"> Represented by Movements in Carrying Amount: </w:t>
            </w:r>
          </w:p>
        </w:tc>
        <w:tc>
          <w:tcPr>
            <w:tcW w:w="852" w:type="dxa"/>
            <w:tcBorders>
              <w:top w:val="nil"/>
              <w:left w:val="nil"/>
              <w:bottom w:val="single" w:sz="4" w:space="0" w:color="auto"/>
              <w:right w:val="nil"/>
            </w:tcBorders>
            <w:shd w:val="clear" w:color="auto" w:fill="auto"/>
            <w:noWrap/>
            <w:vAlign w:val="bottom"/>
            <w:hideMark/>
          </w:tcPr>
          <w:p w14:paraId="3BCD885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96" w:type="dxa"/>
            <w:tcBorders>
              <w:top w:val="nil"/>
              <w:left w:val="nil"/>
              <w:bottom w:val="single" w:sz="4" w:space="0" w:color="auto"/>
              <w:right w:val="nil"/>
            </w:tcBorders>
            <w:shd w:val="clear" w:color="auto" w:fill="auto"/>
            <w:noWrap/>
            <w:vAlign w:val="bottom"/>
            <w:hideMark/>
          </w:tcPr>
          <w:p w14:paraId="56F4EFD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95" w:type="dxa"/>
            <w:tcBorders>
              <w:top w:val="nil"/>
              <w:left w:val="nil"/>
              <w:bottom w:val="single" w:sz="4" w:space="0" w:color="auto"/>
              <w:right w:val="nil"/>
            </w:tcBorders>
            <w:shd w:val="clear" w:color="auto" w:fill="auto"/>
            <w:noWrap/>
            <w:vAlign w:val="bottom"/>
            <w:hideMark/>
          </w:tcPr>
          <w:p w14:paraId="0DA1CA5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37" w:type="dxa"/>
            <w:tcBorders>
              <w:top w:val="nil"/>
              <w:left w:val="nil"/>
              <w:bottom w:val="single" w:sz="4" w:space="0" w:color="auto"/>
              <w:right w:val="nil"/>
            </w:tcBorders>
            <w:shd w:val="clear" w:color="auto" w:fill="auto"/>
            <w:noWrap/>
            <w:vAlign w:val="bottom"/>
            <w:hideMark/>
          </w:tcPr>
          <w:p w14:paraId="12DC778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48" w:type="dxa"/>
            <w:tcBorders>
              <w:top w:val="nil"/>
              <w:left w:val="nil"/>
              <w:bottom w:val="single" w:sz="4" w:space="0" w:color="auto"/>
              <w:right w:val="nil"/>
            </w:tcBorders>
            <w:shd w:val="clear" w:color="auto" w:fill="auto"/>
            <w:noWrap/>
            <w:vAlign w:val="bottom"/>
            <w:hideMark/>
          </w:tcPr>
          <w:p w14:paraId="2EE121B3"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38785249" w14:textId="77777777" w:rsidTr="003057FB">
        <w:trPr>
          <w:trHeight w:val="21"/>
        </w:trPr>
        <w:tc>
          <w:tcPr>
            <w:tcW w:w="5404" w:type="dxa"/>
            <w:tcBorders>
              <w:top w:val="nil"/>
              <w:left w:val="nil"/>
              <w:bottom w:val="nil"/>
              <w:right w:val="nil"/>
            </w:tcBorders>
            <w:shd w:val="clear" w:color="auto" w:fill="auto"/>
            <w:noWrap/>
            <w:vAlign w:val="bottom"/>
            <w:hideMark/>
          </w:tcPr>
          <w:p w14:paraId="7AD2EE45"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2020 </w:t>
            </w:r>
          </w:p>
        </w:tc>
        <w:tc>
          <w:tcPr>
            <w:tcW w:w="852" w:type="dxa"/>
            <w:tcBorders>
              <w:top w:val="nil"/>
              <w:left w:val="nil"/>
              <w:bottom w:val="nil"/>
              <w:right w:val="nil"/>
            </w:tcBorders>
            <w:shd w:val="clear" w:color="auto" w:fill="auto"/>
            <w:vAlign w:val="bottom"/>
            <w:hideMark/>
          </w:tcPr>
          <w:p w14:paraId="090BD943" w14:textId="77777777" w:rsidR="00B9311E" w:rsidRPr="00BD77D8" w:rsidRDefault="00B9311E" w:rsidP="00B9311E">
            <w:pPr>
              <w:spacing w:after="0" w:line="240" w:lineRule="auto"/>
              <w:jc w:val="right"/>
              <w:rPr>
                <w:b/>
                <w:bCs/>
                <w:sz w:val="18"/>
                <w:szCs w:val="18"/>
              </w:rPr>
            </w:pPr>
            <w:r w:rsidRPr="00BD77D8">
              <w:rPr>
                <w:b/>
                <w:bCs/>
                <w:sz w:val="18"/>
                <w:szCs w:val="18"/>
              </w:rPr>
              <w:t xml:space="preserve">    82,986 </w:t>
            </w:r>
          </w:p>
        </w:tc>
        <w:tc>
          <w:tcPr>
            <w:tcW w:w="996" w:type="dxa"/>
            <w:tcBorders>
              <w:top w:val="nil"/>
              <w:left w:val="nil"/>
              <w:bottom w:val="nil"/>
              <w:right w:val="nil"/>
            </w:tcBorders>
            <w:shd w:val="clear" w:color="auto" w:fill="auto"/>
            <w:vAlign w:val="bottom"/>
            <w:hideMark/>
          </w:tcPr>
          <w:p w14:paraId="269A8D1F" w14:textId="77777777" w:rsidR="00B9311E" w:rsidRPr="00BD77D8" w:rsidRDefault="00B9311E" w:rsidP="00B9311E">
            <w:pPr>
              <w:spacing w:after="0" w:line="240" w:lineRule="auto"/>
              <w:jc w:val="right"/>
              <w:rPr>
                <w:b/>
                <w:bCs/>
                <w:sz w:val="18"/>
                <w:szCs w:val="18"/>
              </w:rPr>
            </w:pPr>
            <w:r w:rsidRPr="00BD77D8">
              <w:rPr>
                <w:b/>
                <w:bCs/>
                <w:sz w:val="18"/>
                <w:szCs w:val="18"/>
              </w:rPr>
              <w:t xml:space="preserve">  189,745 </w:t>
            </w:r>
          </w:p>
        </w:tc>
        <w:tc>
          <w:tcPr>
            <w:tcW w:w="995" w:type="dxa"/>
            <w:tcBorders>
              <w:top w:val="nil"/>
              <w:left w:val="nil"/>
              <w:bottom w:val="nil"/>
              <w:right w:val="nil"/>
            </w:tcBorders>
            <w:shd w:val="clear" w:color="auto" w:fill="auto"/>
            <w:vAlign w:val="bottom"/>
            <w:hideMark/>
          </w:tcPr>
          <w:p w14:paraId="1224B76E" w14:textId="77777777" w:rsidR="00B9311E" w:rsidRPr="00BD77D8" w:rsidRDefault="00B9311E" w:rsidP="00B9311E">
            <w:pPr>
              <w:spacing w:after="0" w:line="240" w:lineRule="auto"/>
              <w:jc w:val="right"/>
              <w:rPr>
                <w:b/>
                <w:bCs/>
                <w:sz w:val="18"/>
                <w:szCs w:val="18"/>
              </w:rPr>
            </w:pPr>
            <w:r w:rsidRPr="00BD77D8">
              <w:rPr>
                <w:b/>
                <w:bCs/>
                <w:sz w:val="18"/>
                <w:szCs w:val="18"/>
              </w:rPr>
              <w:t xml:space="preserve">         2,017 </w:t>
            </w:r>
          </w:p>
        </w:tc>
        <w:tc>
          <w:tcPr>
            <w:tcW w:w="1137" w:type="dxa"/>
            <w:tcBorders>
              <w:top w:val="nil"/>
              <w:left w:val="nil"/>
              <w:bottom w:val="nil"/>
              <w:right w:val="nil"/>
            </w:tcBorders>
            <w:shd w:val="clear" w:color="auto" w:fill="auto"/>
            <w:vAlign w:val="bottom"/>
            <w:hideMark/>
          </w:tcPr>
          <w:p w14:paraId="259DB048" w14:textId="77777777" w:rsidR="00B9311E" w:rsidRPr="00BD77D8" w:rsidRDefault="00B9311E" w:rsidP="00B9311E">
            <w:pPr>
              <w:spacing w:after="0" w:line="240" w:lineRule="auto"/>
              <w:jc w:val="right"/>
              <w:rPr>
                <w:b/>
                <w:bCs/>
                <w:sz w:val="18"/>
                <w:szCs w:val="18"/>
              </w:rPr>
            </w:pPr>
            <w:r w:rsidRPr="00BD77D8">
              <w:rPr>
                <w:b/>
                <w:bCs/>
                <w:sz w:val="18"/>
                <w:szCs w:val="18"/>
              </w:rPr>
              <w:t xml:space="preserve">      9,177 </w:t>
            </w:r>
          </w:p>
        </w:tc>
        <w:tc>
          <w:tcPr>
            <w:tcW w:w="948" w:type="dxa"/>
            <w:tcBorders>
              <w:top w:val="nil"/>
              <w:left w:val="nil"/>
              <w:bottom w:val="nil"/>
              <w:right w:val="nil"/>
            </w:tcBorders>
            <w:shd w:val="clear" w:color="auto" w:fill="auto"/>
            <w:vAlign w:val="bottom"/>
            <w:hideMark/>
          </w:tcPr>
          <w:p w14:paraId="2D809246" w14:textId="77777777" w:rsidR="00B9311E" w:rsidRPr="00BD77D8" w:rsidRDefault="00B9311E" w:rsidP="00B9311E">
            <w:pPr>
              <w:spacing w:after="0" w:line="240" w:lineRule="auto"/>
              <w:jc w:val="right"/>
              <w:rPr>
                <w:b/>
                <w:bCs/>
                <w:sz w:val="18"/>
                <w:szCs w:val="18"/>
              </w:rPr>
            </w:pPr>
            <w:r w:rsidRPr="00BD77D8">
              <w:rPr>
                <w:b/>
                <w:bCs/>
                <w:sz w:val="18"/>
                <w:szCs w:val="18"/>
              </w:rPr>
              <w:t xml:space="preserve">   283,925 </w:t>
            </w:r>
          </w:p>
        </w:tc>
      </w:tr>
      <w:tr w:rsidR="00BD77D8" w:rsidRPr="00BD77D8" w14:paraId="33B631D1" w14:textId="77777777" w:rsidTr="003057FB">
        <w:trPr>
          <w:trHeight w:val="21"/>
        </w:trPr>
        <w:tc>
          <w:tcPr>
            <w:tcW w:w="5404" w:type="dxa"/>
            <w:tcBorders>
              <w:top w:val="nil"/>
              <w:left w:val="nil"/>
              <w:bottom w:val="nil"/>
              <w:right w:val="nil"/>
            </w:tcBorders>
            <w:shd w:val="clear" w:color="auto" w:fill="auto"/>
            <w:noWrap/>
            <w:vAlign w:val="bottom"/>
            <w:hideMark/>
          </w:tcPr>
          <w:p w14:paraId="7AF97F9A" w14:textId="77777777" w:rsidR="00B9311E" w:rsidRPr="00BD77D8" w:rsidRDefault="00B9311E" w:rsidP="00B9311E">
            <w:pPr>
              <w:spacing w:after="0" w:line="240" w:lineRule="auto"/>
              <w:rPr>
                <w:sz w:val="18"/>
                <w:szCs w:val="18"/>
              </w:rPr>
            </w:pPr>
            <w:r w:rsidRPr="00BD77D8">
              <w:rPr>
                <w:sz w:val="18"/>
                <w:szCs w:val="18"/>
              </w:rPr>
              <w:t xml:space="preserve"> Acquisition </w:t>
            </w:r>
          </w:p>
        </w:tc>
        <w:tc>
          <w:tcPr>
            <w:tcW w:w="852" w:type="dxa"/>
            <w:tcBorders>
              <w:top w:val="nil"/>
              <w:left w:val="nil"/>
              <w:bottom w:val="nil"/>
              <w:right w:val="nil"/>
            </w:tcBorders>
            <w:shd w:val="clear" w:color="auto" w:fill="auto"/>
            <w:vAlign w:val="bottom"/>
            <w:hideMark/>
          </w:tcPr>
          <w:p w14:paraId="50A122E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vAlign w:val="bottom"/>
            <w:hideMark/>
          </w:tcPr>
          <w:p w14:paraId="50C56178" w14:textId="77777777" w:rsidR="00B9311E" w:rsidRPr="00BD77D8" w:rsidRDefault="00B9311E" w:rsidP="00B9311E">
            <w:pPr>
              <w:spacing w:after="0" w:line="240" w:lineRule="auto"/>
              <w:jc w:val="right"/>
              <w:rPr>
                <w:sz w:val="18"/>
                <w:szCs w:val="18"/>
              </w:rPr>
            </w:pPr>
            <w:r w:rsidRPr="00BD77D8">
              <w:rPr>
                <w:sz w:val="18"/>
                <w:szCs w:val="18"/>
              </w:rPr>
              <w:t xml:space="preserve">          119 </w:t>
            </w:r>
          </w:p>
        </w:tc>
        <w:tc>
          <w:tcPr>
            <w:tcW w:w="995" w:type="dxa"/>
            <w:tcBorders>
              <w:top w:val="nil"/>
              <w:left w:val="nil"/>
              <w:bottom w:val="nil"/>
              <w:right w:val="nil"/>
            </w:tcBorders>
            <w:shd w:val="clear" w:color="auto" w:fill="auto"/>
            <w:vAlign w:val="bottom"/>
            <w:hideMark/>
          </w:tcPr>
          <w:p w14:paraId="3F39191A" w14:textId="77777777" w:rsidR="00B9311E" w:rsidRPr="00BD77D8" w:rsidRDefault="00B9311E" w:rsidP="00B9311E">
            <w:pPr>
              <w:spacing w:after="0" w:line="240" w:lineRule="auto"/>
              <w:jc w:val="right"/>
              <w:rPr>
                <w:sz w:val="18"/>
                <w:szCs w:val="18"/>
              </w:rPr>
            </w:pPr>
            <w:r w:rsidRPr="00BD77D8">
              <w:rPr>
                <w:sz w:val="18"/>
                <w:szCs w:val="18"/>
              </w:rPr>
              <w:t xml:space="preserve">               48 </w:t>
            </w:r>
          </w:p>
        </w:tc>
        <w:tc>
          <w:tcPr>
            <w:tcW w:w="1137" w:type="dxa"/>
            <w:tcBorders>
              <w:top w:val="nil"/>
              <w:left w:val="nil"/>
              <w:bottom w:val="nil"/>
              <w:right w:val="nil"/>
            </w:tcBorders>
            <w:shd w:val="clear" w:color="auto" w:fill="auto"/>
            <w:vAlign w:val="bottom"/>
            <w:hideMark/>
          </w:tcPr>
          <w:p w14:paraId="0C84D27D" w14:textId="77777777" w:rsidR="00B9311E" w:rsidRPr="00BD77D8" w:rsidRDefault="00B9311E" w:rsidP="00B9311E">
            <w:pPr>
              <w:spacing w:after="0" w:line="240" w:lineRule="auto"/>
              <w:jc w:val="right"/>
              <w:rPr>
                <w:sz w:val="18"/>
                <w:szCs w:val="18"/>
              </w:rPr>
            </w:pPr>
            <w:r w:rsidRPr="00BD77D8">
              <w:rPr>
                <w:sz w:val="18"/>
                <w:szCs w:val="18"/>
              </w:rPr>
              <w:t xml:space="preserve">    14,020 </w:t>
            </w:r>
          </w:p>
        </w:tc>
        <w:tc>
          <w:tcPr>
            <w:tcW w:w="948" w:type="dxa"/>
            <w:tcBorders>
              <w:top w:val="nil"/>
              <w:left w:val="nil"/>
              <w:bottom w:val="nil"/>
              <w:right w:val="nil"/>
            </w:tcBorders>
            <w:shd w:val="clear" w:color="auto" w:fill="auto"/>
            <w:vAlign w:val="bottom"/>
            <w:hideMark/>
          </w:tcPr>
          <w:p w14:paraId="5E8BC94B" w14:textId="77777777" w:rsidR="00B9311E" w:rsidRPr="00BD77D8" w:rsidRDefault="00B9311E" w:rsidP="00B9311E">
            <w:pPr>
              <w:spacing w:after="0" w:line="240" w:lineRule="auto"/>
              <w:jc w:val="right"/>
              <w:rPr>
                <w:b/>
                <w:bCs/>
                <w:sz w:val="18"/>
                <w:szCs w:val="18"/>
              </w:rPr>
            </w:pPr>
            <w:r w:rsidRPr="00BD77D8">
              <w:rPr>
                <w:b/>
                <w:bCs/>
                <w:sz w:val="18"/>
                <w:szCs w:val="18"/>
              </w:rPr>
              <w:t xml:space="preserve">      14,187 </w:t>
            </w:r>
          </w:p>
        </w:tc>
      </w:tr>
      <w:tr w:rsidR="00BD77D8" w:rsidRPr="00BD77D8" w14:paraId="69EE0047" w14:textId="77777777" w:rsidTr="003057FB">
        <w:trPr>
          <w:trHeight w:val="21"/>
        </w:trPr>
        <w:tc>
          <w:tcPr>
            <w:tcW w:w="5404" w:type="dxa"/>
            <w:tcBorders>
              <w:top w:val="nil"/>
              <w:left w:val="nil"/>
              <w:bottom w:val="nil"/>
              <w:right w:val="nil"/>
            </w:tcBorders>
            <w:shd w:val="clear" w:color="auto" w:fill="auto"/>
            <w:noWrap/>
            <w:vAlign w:val="bottom"/>
            <w:hideMark/>
          </w:tcPr>
          <w:p w14:paraId="6FA1E428" w14:textId="77777777" w:rsidR="00B9311E" w:rsidRPr="00BD77D8" w:rsidRDefault="00B9311E" w:rsidP="00B9311E">
            <w:pPr>
              <w:spacing w:after="0" w:line="240" w:lineRule="auto"/>
              <w:rPr>
                <w:sz w:val="18"/>
                <w:szCs w:val="18"/>
              </w:rPr>
            </w:pPr>
            <w:r w:rsidRPr="00BD77D8">
              <w:rPr>
                <w:sz w:val="18"/>
                <w:szCs w:val="18"/>
              </w:rPr>
              <w:t xml:space="preserve"> Disposals </w:t>
            </w:r>
          </w:p>
        </w:tc>
        <w:tc>
          <w:tcPr>
            <w:tcW w:w="852" w:type="dxa"/>
            <w:tcBorders>
              <w:top w:val="nil"/>
              <w:left w:val="nil"/>
              <w:bottom w:val="nil"/>
              <w:right w:val="nil"/>
            </w:tcBorders>
            <w:shd w:val="clear" w:color="auto" w:fill="auto"/>
            <w:vAlign w:val="bottom"/>
            <w:hideMark/>
          </w:tcPr>
          <w:p w14:paraId="30BACC71" w14:textId="77777777" w:rsidR="00B9311E" w:rsidRPr="00BD77D8" w:rsidRDefault="00B9311E" w:rsidP="00B9311E">
            <w:pPr>
              <w:spacing w:after="0" w:line="240" w:lineRule="auto"/>
              <w:jc w:val="right"/>
              <w:rPr>
                <w:sz w:val="18"/>
                <w:szCs w:val="18"/>
              </w:rPr>
            </w:pPr>
            <w:r w:rsidRPr="00BD77D8">
              <w:rPr>
                <w:sz w:val="18"/>
                <w:szCs w:val="18"/>
              </w:rPr>
              <w:t xml:space="preserve">     (1,037)</w:t>
            </w:r>
          </w:p>
        </w:tc>
        <w:tc>
          <w:tcPr>
            <w:tcW w:w="996" w:type="dxa"/>
            <w:tcBorders>
              <w:top w:val="nil"/>
              <w:left w:val="nil"/>
              <w:bottom w:val="nil"/>
              <w:right w:val="nil"/>
            </w:tcBorders>
            <w:shd w:val="clear" w:color="auto" w:fill="auto"/>
            <w:vAlign w:val="bottom"/>
            <w:hideMark/>
          </w:tcPr>
          <w:p w14:paraId="0941D2E9" w14:textId="77777777" w:rsidR="00B9311E" w:rsidRPr="00BD77D8" w:rsidRDefault="00B9311E" w:rsidP="00B9311E">
            <w:pPr>
              <w:spacing w:after="0" w:line="240" w:lineRule="auto"/>
              <w:jc w:val="right"/>
              <w:rPr>
                <w:sz w:val="18"/>
                <w:szCs w:val="18"/>
              </w:rPr>
            </w:pPr>
            <w:r w:rsidRPr="00BD77D8">
              <w:rPr>
                <w:sz w:val="18"/>
                <w:szCs w:val="18"/>
              </w:rPr>
              <w:t xml:space="preserve">     (3,786)</w:t>
            </w:r>
          </w:p>
        </w:tc>
        <w:tc>
          <w:tcPr>
            <w:tcW w:w="995" w:type="dxa"/>
            <w:tcBorders>
              <w:top w:val="nil"/>
              <w:left w:val="nil"/>
              <w:bottom w:val="nil"/>
              <w:right w:val="nil"/>
            </w:tcBorders>
            <w:shd w:val="clear" w:color="auto" w:fill="auto"/>
            <w:vAlign w:val="bottom"/>
            <w:hideMark/>
          </w:tcPr>
          <w:p w14:paraId="3D44EF8A" w14:textId="77777777" w:rsidR="00B9311E" w:rsidRPr="00BD77D8" w:rsidRDefault="00B9311E" w:rsidP="00B9311E">
            <w:pPr>
              <w:spacing w:after="0" w:line="240" w:lineRule="auto"/>
              <w:jc w:val="right"/>
              <w:rPr>
                <w:sz w:val="18"/>
                <w:szCs w:val="18"/>
              </w:rPr>
            </w:pPr>
            <w:r w:rsidRPr="00BD77D8">
              <w:rPr>
                <w:sz w:val="18"/>
                <w:szCs w:val="18"/>
              </w:rPr>
              <w:t xml:space="preserve">               (6)</w:t>
            </w:r>
          </w:p>
        </w:tc>
        <w:tc>
          <w:tcPr>
            <w:tcW w:w="1137" w:type="dxa"/>
            <w:tcBorders>
              <w:top w:val="nil"/>
              <w:left w:val="nil"/>
              <w:bottom w:val="nil"/>
              <w:right w:val="nil"/>
            </w:tcBorders>
            <w:shd w:val="clear" w:color="auto" w:fill="auto"/>
            <w:vAlign w:val="bottom"/>
            <w:hideMark/>
          </w:tcPr>
          <w:p w14:paraId="18A6522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3FA9A364" w14:textId="77777777" w:rsidR="00B9311E" w:rsidRPr="00BD77D8" w:rsidRDefault="00B9311E" w:rsidP="00B9311E">
            <w:pPr>
              <w:spacing w:after="0" w:line="240" w:lineRule="auto"/>
              <w:jc w:val="right"/>
              <w:rPr>
                <w:b/>
                <w:bCs/>
                <w:sz w:val="18"/>
                <w:szCs w:val="18"/>
              </w:rPr>
            </w:pPr>
            <w:r w:rsidRPr="00BD77D8">
              <w:rPr>
                <w:b/>
                <w:bCs/>
                <w:sz w:val="18"/>
                <w:szCs w:val="18"/>
              </w:rPr>
              <w:t xml:space="preserve">      (4,829)</w:t>
            </w:r>
          </w:p>
        </w:tc>
      </w:tr>
      <w:tr w:rsidR="00BD77D8" w:rsidRPr="00BD77D8" w14:paraId="0A7F583D" w14:textId="77777777" w:rsidTr="003057FB">
        <w:trPr>
          <w:trHeight w:val="21"/>
        </w:trPr>
        <w:tc>
          <w:tcPr>
            <w:tcW w:w="5404" w:type="dxa"/>
            <w:tcBorders>
              <w:top w:val="nil"/>
              <w:left w:val="nil"/>
              <w:bottom w:val="nil"/>
              <w:right w:val="nil"/>
            </w:tcBorders>
            <w:shd w:val="clear" w:color="auto" w:fill="auto"/>
            <w:noWrap/>
            <w:vAlign w:val="bottom"/>
            <w:hideMark/>
          </w:tcPr>
          <w:p w14:paraId="6A8D9289" w14:textId="77777777" w:rsidR="00B9311E" w:rsidRPr="00BD77D8" w:rsidRDefault="00B9311E" w:rsidP="00B9311E">
            <w:pPr>
              <w:spacing w:after="0" w:line="240" w:lineRule="auto"/>
              <w:rPr>
                <w:sz w:val="18"/>
                <w:szCs w:val="18"/>
              </w:rPr>
            </w:pPr>
            <w:r w:rsidRPr="00BD77D8">
              <w:rPr>
                <w:sz w:val="18"/>
                <w:szCs w:val="18"/>
              </w:rPr>
              <w:t xml:space="preserve"> Transfers in from other Queensland Government entities </w:t>
            </w:r>
            <w:proofErr w:type="spellStart"/>
            <w:r w:rsidRPr="00BD77D8">
              <w:rPr>
                <w:sz w:val="18"/>
                <w:szCs w:val="18"/>
              </w:rPr>
              <w:t>MoG</w:t>
            </w:r>
            <w:proofErr w:type="spellEnd"/>
            <w:r w:rsidRPr="00BD77D8">
              <w:rPr>
                <w:sz w:val="18"/>
                <w:szCs w:val="18"/>
              </w:rPr>
              <w:t xml:space="preserve"> </w:t>
            </w:r>
          </w:p>
        </w:tc>
        <w:tc>
          <w:tcPr>
            <w:tcW w:w="852" w:type="dxa"/>
            <w:tcBorders>
              <w:top w:val="nil"/>
              <w:left w:val="nil"/>
              <w:bottom w:val="nil"/>
              <w:right w:val="nil"/>
            </w:tcBorders>
            <w:shd w:val="clear" w:color="auto" w:fill="auto"/>
            <w:vAlign w:val="bottom"/>
            <w:hideMark/>
          </w:tcPr>
          <w:p w14:paraId="543B7D71" w14:textId="77777777" w:rsidR="00B9311E" w:rsidRPr="00BD77D8" w:rsidRDefault="00B9311E" w:rsidP="00B9311E">
            <w:pPr>
              <w:spacing w:after="0" w:line="240" w:lineRule="auto"/>
              <w:jc w:val="right"/>
              <w:rPr>
                <w:sz w:val="18"/>
                <w:szCs w:val="18"/>
              </w:rPr>
            </w:pPr>
            <w:r w:rsidRPr="00BD77D8">
              <w:rPr>
                <w:sz w:val="18"/>
                <w:szCs w:val="18"/>
              </w:rPr>
              <w:t xml:space="preserve">      1,410 </w:t>
            </w:r>
          </w:p>
        </w:tc>
        <w:tc>
          <w:tcPr>
            <w:tcW w:w="996" w:type="dxa"/>
            <w:tcBorders>
              <w:top w:val="nil"/>
              <w:left w:val="nil"/>
              <w:bottom w:val="nil"/>
              <w:right w:val="nil"/>
            </w:tcBorders>
            <w:shd w:val="clear" w:color="auto" w:fill="auto"/>
            <w:vAlign w:val="bottom"/>
            <w:hideMark/>
          </w:tcPr>
          <w:p w14:paraId="09483291" w14:textId="77777777" w:rsidR="00B9311E" w:rsidRPr="00BD77D8" w:rsidRDefault="00B9311E" w:rsidP="00B9311E">
            <w:pPr>
              <w:spacing w:after="0" w:line="240" w:lineRule="auto"/>
              <w:jc w:val="right"/>
              <w:rPr>
                <w:sz w:val="18"/>
                <w:szCs w:val="18"/>
              </w:rPr>
            </w:pPr>
            <w:r w:rsidRPr="00BD77D8">
              <w:rPr>
                <w:sz w:val="18"/>
                <w:szCs w:val="18"/>
              </w:rPr>
              <w:t xml:space="preserve">    14,316 </w:t>
            </w:r>
          </w:p>
        </w:tc>
        <w:tc>
          <w:tcPr>
            <w:tcW w:w="995" w:type="dxa"/>
            <w:tcBorders>
              <w:top w:val="nil"/>
              <w:left w:val="nil"/>
              <w:bottom w:val="nil"/>
              <w:right w:val="nil"/>
            </w:tcBorders>
            <w:shd w:val="clear" w:color="auto" w:fill="auto"/>
            <w:vAlign w:val="bottom"/>
            <w:hideMark/>
          </w:tcPr>
          <w:p w14:paraId="31C8A856" w14:textId="77777777" w:rsidR="00B9311E" w:rsidRPr="00BD77D8" w:rsidRDefault="00B9311E" w:rsidP="00B9311E">
            <w:pPr>
              <w:spacing w:after="0" w:line="240" w:lineRule="auto"/>
              <w:jc w:val="right"/>
              <w:rPr>
                <w:sz w:val="18"/>
                <w:szCs w:val="18"/>
              </w:rPr>
            </w:pPr>
            <w:r w:rsidRPr="00BD77D8">
              <w:rPr>
                <w:sz w:val="18"/>
                <w:szCs w:val="18"/>
              </w:rPr>
              <w:t xml:space="preserve">            491 </w:t>
            </w:r>
          </w:p>
        </w:tc>
        <w:tc>
          <w:tcPr>
            <w:tcW w:w="1137" w:type="dxa"/>
            <w:tcBorders>
              <w:top w:val="nil"/>
              <w:left w:val="nil"/>
              <w:bottom w:val="nil"/>
              <w:right w:val="nil"/>
            </w:tcBorders>
            <w:shd w:val="clear" w:color="auto" w:fill="auto"/>
            <w:vAlign w:val="bottom"/>
            <w:hideMark/>
          </w:tcPr>
          <w:p w14:paraId="79EEC5E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582B26E1" w14:textId="77777777" w:rsidR="00B9311E" w:rsidRPr="00BD77D8" w:rsidRDefault="00B9311E" w:rsidP="00B9311E">
            <w:pPr>
              <w:spacing w:after="0" w:line="240" w:lineRule="auto"/>
              <w:jc w:val="right"/>
              <w:rPr>
                <w:b/>
                <w:bCs/>
                <w:sz w:val="18"/>
                <w:szCs w:val="18"/>
              </w:rPr>
            </w:pPr>
            <w:r w:rsidRPr="00BD77D8">
              <w:rPr>
                <w:b/>
                <w:bCs/>
                <w:sz w:val="18"/>
                <w:szCs w:val="18"/>
              </w:rPr>
              <w:t xml:space="preserve">      16,217 </w:t>
            </w:r>
          </w:p>
        </w:tc>
      </w:tr>
      <w:tr w:rsidR="00BD77D8" w:rsidRPr="00BD77D8" w14:paraId="489A8C56" w14:textId="77777777" w:rsidTr="003057FB">
        <w:trPr>
          <w:trHeight w:val="21"/>
        </w:trPr>
        <w:tc>
          <w:tcPr>
            <w:tcW w:w="5404" w:type="dxa"/>
            <w:tcBorders>
              <w:top w:val="nil"/>
              <w:left w:val="nil"/>
              <w:bottom w:val="nil"/>
              <w:right w:val="nil"/>
            </w:tcBorders>
            <w:shd w:val="clear" w:color="auto" w:fill="auto"/>
            <w:noWrap/>
            <w:vAlign w:val="bottom"/>
            <w:hideMark/>
          </w:tcPr>
          <w:p w14:paraId="5268CF1C" w14:textId="77777777" w:rsidR="00B9311E" w:rsidRPr="00BD77D8" w:rsidRDefault="00B9311E" w:rsidP="00B9311E">
            <w:pPr>
              <w:spacing w:after="0" w:line="240" w:lineRule="auto"/>
              <w:rPr>
                <w:sz w:val="18"/>
                <w:szCs w:val="18"/>
              </w:rPr>
            </w:pPr>
            <w:r w:rsidRPr="00BD77D8">
              <w:rPr>
                <w:sz w:val="18"/>
                <w:szCs w:val="18"/>
              </w:rPr>
              <w:t xml:space="preserve"> Transfers out to other Queensland Government entities </w:t>
            </w:r>
            <w:proofErr w:type="spellStart"/>
            <w:r w:rsidRPr="00BD77D8">
              <w:rPr>
                <w:sz w:val="18"/>
                <w:szCs w:val="18"/>
              </w:rPr>
              <w:t>MoG</w:t>
            </w:r>
            <w:proofErr w:type="spellEnd"/>
            <w:r w:rsidRPr="00BD77D8">
              <w:rPr>
                <w:sz w:val="18"/>
                <w:szCs w:val="18"/>
              </w:rPr>
              <w:t xml:space="preserve"> </w:t>
            </w:r>
          </w:p>
        </w:tc>
        <w:tc>
          <w:tcPr>
            <w:tcW w:w="852" w:type="dxa"/>
            <w:tcBorders>
              <w:top w:val="nil"/>
              <w:left w:val="nil"/>
              <w:bottom w:val="nil"/>
              <w:right w:val="nil"/>
            </w:tcBorders>
            <w:shd w:val="clear" w:color="auto" w:fill="auto"/>
            <w:vAlign w:val="bottom"/>
            <w:hideMark/>
          </w:tcPr>
          <w:p w14:paraId="19DE52CB" w14:textId="77777777" w:rsidR="00B9311E" w:rsidRPr="00BD77D8" w:rsidRDefault="00B9311E" w:rsidP="00B9311E">
            <w:pPr>
              <w:spacing w:after="0" w:line="240" w:lineRule="auto"/>
              <w:jc w:val="right"/>
              <w:rPr>
                <w:sz w:val="18"/>
                <w:szCs w:val="18"/>
              </w:rPr>
            </w:pPr>
            <w:r w:rsidRPr="00BD77D8">
              <w:rPr>
                <w:sz w:val="18"/>
                <w:szCs w:val="18"/>
              </w:rPr>
              <w:t xml:space="preserve">  (32,840)</w:t>
            </w:r>
          </w:p>
        </w:tc>
        <w:tc>
          <w:tcPr>
            <w:tcW w:w="996" w:type="dxa"/>
            <w:tcBorders>
              <w:top w:val="nil"/>
              <w:left w:val="nil"/>
              <w:bottom w:val="nil"/>
              <w:right w:val="nil"/>
            </w:tcBorders>
            <w:shd w:val="clear" w:color="auto" w:fill="auto"/>
            <w:vAlign w:val="bottom"/>
            <w:hideMark/>
          </w:tcPr>
          <w:p w14:paraId="011B05A0" w14:textId="77777777" w:rsidR="00B9311E" w:rsidRPr="00BD77D8" w:rsidRDefault="00B9311E" w:rsidP="00B9311E">
            <w:pPr>
              <w:spacing w:after="0" w:line="240" w:lineRule="auto"/>
              <w:jc w:val="right"/>
              <w:rPr>
                <w:sz w:val="18"/>
                <w:szCs w:val="18"/>
              </w:rPr>
            </w:pPr>
            <w:r w:rsidRPr="00BD77D8">
              <w:rPr>
                <w:sz w:val="18"/>
                <w:szCs w:val="18"/>
              </w:rPr>
              <w:t xml:space="preserve">  (76,683)</w:t>
            </w:r>
          </w:p>
        </w:tc>
        <w:tc>
          <w:tcPr>
            <w:tcW w:w="995" w:type="dxa"/>
            <w:tcBorders>
              <w:top w:val="nil"/>
              <w:left w:val="nil"/>
              <w:bottom w:val="nil"/>
              <w:right w:val="nil"/>
            </w:tcBorders>
            <w:shd w:val="clear" w:color="auto" w:fill="auto"/>
            <w:vAlign w:val="bottom"/>
            <w:hideMark/>
          </w:tcPr>
          <w:p w14:paraId="04B3705E" w14:textId="77777777" w:rsidR="00B9311E" w:rsidRPr="00BD77D8" w:rsidRDefault="00B9311E" w:rsidP="00B9311E">
            <w:pPr>
              <w:spacing w:after="0" w:line="240" w:lineRule="auto"/>
              <w:jc w:val="right"/>
              <w:rPr>
                <w:sz w:val="18"/>
                <w:szCs w:val="18"/>
              </w:rPr>
            </w:pPr>
            <w:r w:rsidRPr="00BD77D8">
              <w:rPr>
                <w:sz w:val="18"/>
                <w:szCs w:val="18"/>
              </w:rPr>
              <w:t xml:space="preserve">           (195)</w:t>
            </w:r>
          </w:p>
        </w:tc>
        <w:tc>
          <w:tcPr>
            <w:tcW w:w="1137" w:type="dxa"/>
            <w:tcBorders>
              <w:top w:val="nil"/>
              <w:left w:val="nil"/>
              <w:bottom w:val="nil"/>
              <w:right w:val="nil"/>
            </w:tcBorders>
            <w:shd w:val="clear" w:color="auto" w:fill="auto"/>
            <w:vAlign w:val="bottom"/>
            <w:hideMark/>
          </w:tcPr>
          <w:p w14:paraId="72EA8430" w14:textId="77777777" w:rsidR="00B9311E" w:rsidRPr="00BD77D8" w:rsidRDefault="00B9311E" w:rsidP="00B9311E">
            <w:pPr>
              <w:spacing w:after="0" w:line="240" w:lineRule="auto"/>
              <w:jc w:val="right"/>
              <w:rPr>
                <w:sz w:val="18"/>
                <w:szCs w:val="18"/>
              </w:rPr>
            </w:pPr>
            <w:r w:rsidRPr="00BD77D8">
              <w:rPr>
                <w:sz w:val="18"/>
                <w:szCs w:val="18"/>
              </w:rPr>
              <w:t xml:space="preserve">  (14,952)</w:t>
            </w:r>
          </w:p>
        </w:tc>
        <w:tc>
          <w:tcPr>
            <w:tcW w:w="948" w:type="dxa"/>
            <w:tcBorders>
              <w:top w:val="nil"/>
              <w:left w:val="nil"/>
              <w:bottom w:val="nil"/>
              <w:right w:val="nil"/>
            </w:tcBorders>
            <w:shd w:val="clear" w:color="auto" w:fill="auto"/>
            <w:vAlign w:val="bottom"/>
            <w:hideMark/>
          </w:tcPr>
          <w:p w14:paraId="29DE1A0F" w14:textId="77777777" w:rsidR="00B9311E" w:rsidRPr="00BD77D8" w:rsidRDefault="00B9311E" w:rsidP="00B9311E">
            <w:pPr>
              <w:spacing w:after="0" w:line="240" w:lineRule="auto"/>
              <w:jc w:val="right"/>
              <w:rPr>
                <w:b/>
                <w:bCs/>
                <w:sz w:val="18"/>
                <w:szCs w:val="18"/>
              </w:rPr>
            </w:pPr>
            <w:r w:rsidRPr="00BD77D8">
              <w:rPr>
                <w:b/>
                <w:bCs/>
                <w:sz w:val="18"/>
                <w:szCs w:val="18"/>
              </w:rPr>
              <w:t xml:space="preserve">  (124,670)</w:t>
            </w:r>
          </w:p>
        </w:tc>
      </w:tr>
      <w:tr w:rsidR="00BD77D8" w:rsidRPr="00BD77D8" w14:paraId="7CA5707E" w14:textId="77777777" w:rsidTr="003057FB">
        <w:trPr>
          <w:trHeight w:val="21"/>
        </w:trPr>
        <w:tc>
          <w:tcPr>
            <w:tcW w:w="5404" w:type="dxa"/>
            <w:tcBorders>
              <w:top w:val="nil"/>
              <w:left w:val="nil"/>
              <w:bottom w:val="nil"/>
              <w:right w:val="nil"/>
            </w:tcBorders>
            <w:shd w:val="clear" w:color="auto" w:fill="auto"/>
            <w:noWrap/>
            <w:vAlign w:val="bottom"/>
            <w:hideMark/>
          </w:tcPr>
          <w:p w14:paraId="6C06A5BE" w14:textId="77777777" w:rsidR="00B9311E" w:rsidRPr="00BD77D8" w:rsidRDefault="00B9311E" w:rsidP="00B9311E">
            <w:pPr>
              <w:spacing w:after="0" w:line="240" w:lineRule="auto"/>
              <w:rPr>
                <w:sz w:val="18"/>
                <w:szCs w:val="18"/>
              </w:rPr>
            </w:pPr>
            <w:r w:rsidRPr="00BD77D8">
              <w:rPr>
                <w:sz w:val="18"/>
                <w:szCs w:val="18"/>
              </w:rPr>
              <w:t xml:space="preserve"> Transfers between asset classes </w:t>
            </w:r>
          </w:p>
        </w:tc>
        <w:tc>
          <w:tcPr>
            <w:tcW w:w="852" w:type="dxa"/>
            <w:tcBorders>
              <w:top w:val="nil"/>
              <w:left w:val="nil"/>
              <w:bottom w:val="nil"/>
              <w:right w:val="nil"/>
            </w:tcBorders>
            <w:shd w:val="clear" w:color="auto" w:fill="auto"/>
            <w:vAlign w:val="bottom"/>
            <w:hideMark/>
          </w:tcPr>
          <w:p w14:paraId="5611567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vAlign w:val="bottom"/>
            <w:hideMark/>
          </w:tcPr>
          <w:p w14:paraId="722E26F5" w14:textId="77777777" w:rsidR="00B9311E" w:rsidRPr="00BD77D8" w:rsidRDefault="00B9311E" w:rsidP="00B9311E">
            <w:pPr>
              <w:spacing w:after="0" w:line="240" w:lineRule="auto"/>
              <w:jc w:val="right"/>
              <w:rPr>
                <w:sz w:val="18"/>
                <w:szCs w:val="18"/>
              </w:rPr>
            </w:pPr>
            <w:r w:rsidRPr="00BD77D8">
              <w:rPr>
                <w:sz w:val="18"/>
                <w:szCs w:val="18"/>
              </w:rPr>
              <w:t xml:space="preserve">      7,663 </w:t>
            </w:r>
          </w:p>
        </w:tc>
        <w:tc>
          <w:tcPr>
            <w:tcW w:w="995" w:type="dxa"/>
            <w:tcBorders>
              <w:top w:val="nil"/>
              <w:left w:val="nil"/>
              <w:bottom w:val="nil"/>
              <w:right w:val="nil"/>
            </w:tcBorders>
            <w:shd w:val="clear" w:color="auto" w:fill="auto"/>
            <w:vAlign w:val="bottom"/>
            <w:hideMark/>
          </w:tcPr>
          <w:p w14:paraId="6F997325" w14:textId="77777777" w:rsidR="00B9311E" w:rsidRPr="00BD77D8" w:rsidRDefault="00B9311E" w:rsidP="00B9311E">
            <w:pPr>
              <w:spacing w:after="0" w:line="240" w:lineRule="auto"/>
              <w:jc w:val="right"/>
              <w:rPr>
                <w:sz w:val="18"/>
                <w:szCs w:val="18"/>
              </w:rPr>
            </w:pPr>
            <w:r w:rsidRPr="00BD77D8">
              <w:rPr>
                <w:sz w:val="18"/>
                <w:szCs w:val="18"/>
              </w:rPr>
              <w:t xml:space="preserve">            113 </w:t>
            </w:r>
          </w:p>
        </w:tc>
        <w:tc>
          <w:tcPr>
            <w:tcW w:w="1137" w:type="dxa"/>
            <w:tcBorders>
              <w:top w:val="nil"/>
              <w:left w:val="nil"/>
              <w:bottom w:val="nil"/>
              <w:right w:val="nil"/>
            </w:tcBorders>
            <w:shd w:val="clear" w:color="auto" w:fill="auto"/>
            <w:vAlign w:val="bottom"/>
            <w:hideMark/>
          </w:tcPr>
          <w:p w14:paraId="6CE3533E" w14:textId="77777777" w:rsidR="00B9311E" w:rsidRPr="00BD77D8" w:rsidRDefault="00B9311E" w:rsidP="00B9311E">
            <w:pPr>
              <w:spacing w:after="0" w:line="240" w:lineRule="auto"/>
              <w:jc w:val="right"/>
              <w:rPr>
                <w:sz w:val="18"/>
                <w:szCs w:val="18"/>
              </w:rPr>
            </w:pPr>
            <w:r w:rsidRPr="00BD77D8">
              <w:rPr>
                <w:sz w:val="18"/>
                <w:szCs w:val="18"/>
              </w:rPr>
              <w:t xml:space="preserve">     (7,776)</w:t>
            </w:r>
          </w:p>
        </w:tc>
        <w:tc>
          <w:tcPr>
            <w:tcW w:w="948" w:type="dxa"/>
            <w:tcBorders>
              <w:top w:val="nil"/>
              <w:left w:val="nil"/>
              <w:bottom w:val="nil"/>
              <w:right w:val="nil"/>
            </w:tcBorders>
            <w:shd w:val="clear" w:color="auto" w:fill="auto"/>
            <w:vAlign w:val="bottom"/>
            <w:hideMark/>
          </w:tcPr>
          <w:p w14:paraId="67FD54A7"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0E4EAE9B" w14:textId="77777777" w:rsidTr="003057FB">
        <w:trPr>
          <w:trHeight w:val="21"/>
        </w:trPr>
        <w:tc>
          <w:tcPr>
            <w:tcW w:w="5404" w:type="dxa"/>
            <w:tcBorders>
              <w:top w:val="nil"/>
              <w:left w:val="nil"/>
              <w:bottom w:val="nil"/>
              <w:right w:val="nil"/>
            </w:tcBorders>
            <w:shd w:val="clear" w:color="auto" w:fill="auto"/>
            <w:noWrap/>
            <w:vAlign w:val="bottom"/>
            <w:hideMark/>
          </w:tcPr>
          <w:p w14:paraId="71D98C34" w14:textId="77777777" w:rsidR="00B9311E" w:rsidRPr="00BD77D8" w:rsidRDefault="00B9311E" w:rsidP="00B9311E">
            <w:pPr>
              <w:spacing w:after="0" w:line="240" w:lineRule="auto"/>
              <w:rPr>
                <w:sz w:val="18"/>
                <w:szCs w:val="18"/>
              </w:rPr>
            </w:pPr>
            <w:r w:rsidRPr="00BD77D8">
              <w:rPr>
                <w:sz w:val="18"/>
                <w:szCs w:val="18"/>
              </w:rPr>
              <w:t xml:space="preserve"> Net revaluation increments recognised in Operating Result </w:t>
            </w:r>
          </w:p>
        </w:tc>
        <w:tc>
          <w:tcPr>
            <w:tcW w:w="852" w:type="dxa"/>
            <w:tcBorders>
              <w:top w:val="nil"/>
              <w:left w:val="nil"/>
              <w:bottom w:val="nil"/>
              <w:right w:val="nil"/>
            </w:tcBorders>
            <w:shd w:val="clear" w:color="auto" w:fill="auto"/>
            <w:vAlign w:val="bottom"/>
            <w:hideMark/>
          </w:tcPr>
          <w:p w14:paraId="41E49F9A" w14:textId="77777777" w:rsidR="00B9311E" w:rsidRPr="00BD77D8" w:rsidRDefault="00B9311E" w:rsidP="00B9311E">
            <w:pPr>
              <w:spacing w:after="0" w:line="240" w:lineRule="auto"/>
              <w:jc w:val="right"/>
              <w:rPr>
                <w:sz w:val="18"/>
                <w:szCs w:val="18"/>
              </w:rPr>
            </w:pPr>
            <w:r w:rsidRPr="00BD77D8">
              <w:rPr>
                <w:sz w:val="18"/>
                <w:szCs w:val="18"/>
              </w:rPr>
              <w:t xml:space="preserve">          144 </w:t>
            </w:r>
          </w:p>
        </w:tc>
        <w:tc>
          <w:tcPr>
            <w:tcW w:w="996" w:type="dxa"/>
            <w:tcBorders>
              <w:top w:val="nil"/>
              <w:left w:val="nil"/>
              <w:bottom w:val="nil"/>
              <w:right w:val="nil"/>
            </w:tcBorders>
            <w:shd w:val="clear" w:color="auto" w:fill="auto"/>
            <w:vAlign w:val="bottom"/>
            <w:hideMark/>
          </w:tcPr>
          <w:p w14:paraId="7ACBA265" w14:textId="77777777" w:rsidR="00B9311E" w:rsidRPr="00BD77D8" w:rsidRDefault="00B9311E" w:rsidP="00B9311E">
            <w:pPr>
              <w:spacing w:after="0" w:line="240" w:lineRule="auto"/>
              <w:jc w:val="right"/>
              <w:rPr>
                <w:sz w:val="18"/>
                <w:szCs w:val="18"/>
              </w:rPr>
            </w:pPr>
            <w:r w:rsidRPr="00BD77D8">
              <w:rPr>
                <w:sz w:val="18"/>
                <w:szCs w:val="18"/>
              </w:rPr>
              <w:t xml:space="preserve">      1,078 </w:t>
            </w:r>
          </w:p>
        </w:tc>
        <w:tc>
          <w:tcPr>
            <w:tcW w:w="995" w:type="dxa"/>
            <w:tcBorders>
              <w:top w:val="nil"/>
              <w:left w:val="nil"/>
              <w:bottom w:val="nil"/>
              <w:right w:val="nil"/>
            </w:tcBorders>
            <w:shd w:val="clear" w:color="auto" w:fill="auto"/>
            <w:vAlign w:val="bottom"/>
            <w:hideMark/>
          </w:tcPr>
          <w:p w14:paraId="7121F98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7" w:type="dxa"/>
            <w:tcBorders>
              <w:top w:val="nil"/>
              <w:left w:val="nil"/>
              <w:bottom w:val="nil"/>
              <w:right w:val="nil"/>
            </w:tcBorders>
            <w:shd w:val="clear" w:color="auto" w:fill="auto"/>
            <w:vAlign w:val="bottom"/>
            <w:hideMark/>
          </w:tcPr>
          <w:p w14:paraId="3F6E54D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06B9506A" w14:textId="77777777" w:rsidR="00B9311E" w:rsidRPr="00BD77D8" w:rsidRDefault="00B9311E" w:rsidP="00B9311E">
            <w:pPr>
              <w:spacing w:after="0" w:line="240" w:lineRule="auto"/>
              <w:jc w:val="right"/>
              <w:rPr>
                <w:b/>
                <w:bCs/>
                <w:sz w:val="18"/>
                <w:szCs w:val="18"/>
              </w:rPr>
            </w:pPr>
            <w:r w:rsidRPr="00BD77D8">
              <w:rPr>
                <w:b/>
                <w:bCs/>
                <w:sz w:val="18"/>
                <w:szCs w:val="18"/>
              </w:rPr>
              <w:t xml:space="preserve">        1,222 </w:t>
            </w:r>
          </w:p>
        </w:tc>
      </w:tr>
      <w:tr w:rsidR="00BD77D8" w:rsidRPr="00BD77D8" w14:paraId="60F38D70" w14:textId="77777777" w:rsidTr="003057FB">
        <w:trPr>
          <w:trHeight w:val="21"/>
        </w:trPr>
        <w:tc>
          <w:tcPr>
            <w:tcW w:w="5404" w:type="dxa"/>
            <w:tcBorders>
              <w:top w:val="nil"/>
              <w:left w:val="nil"/>
              <w:bottom w:val="nil"/>
              <w:right w:val="nil"/>
            </w:tcBorders>
            <w:shd w:val="clear" w:color="auto" w:fill="auto"/>
            <w:noWrap/>
            <w:vAlign w:val="bottom"/>
            <w:hideMark/>
          </w:tcPr>
          <w:p w14:paraId="7B8D1758" w14:textId="77777777" w:rsidR="00B9311E" w:rsidRPr="00BD77D8" w:rsidRDefault="00B9311E" w:rsidP="00B9311E">
            <w:pPr>
              <w:spacing w:after="0" w:line="240" w:lineRule="auto"/>
              <w:rPr>
                <w:sz w:val="18"/>
                <w:szCs w:val="18"/>
              </w:rPr>
            </w:pPr>
            <w:r w:rsidRPr="00BD77D8">
              <w:rPr>
                <w:sz w:val="18"/>
                <w:szCs w:val="18"/>
              </w:rPr>
              <w:t xml:space="preserve"> Depreciation charge </w:t>
            </w:r>
          </w:p>
        </w:tc>
        <w:tc>
          <w:tcPr>
            <w:tcW w:w="852" w:type="dxa"/>
            <w:tcBorders>
              <w:top w:val="nil"/>
              <w:left w:val="nil"/>
              <w:bottom w:val="nil"/>
              <w:right w:val="nil"/>
            </w:tcBorders>
            <w:shd w:val="clear" w:color="auto" w:fill="auto"/>
            <w:vAlign w:val="bottom"/>
            <w:hideMark/>
          </w:tcPr>
          <w:p w14:paraId="6EC57D2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vAlign w:val="bottom"/>
            <w:hideMark/>
          </w:tcPr>
          <w:p w14:paraId="295F60D8" w14:textId="77777777" w:rsidR="00B9311E" w:rsidRPr="00BD77D8" w:rsidRDefault="00B9311E" w:rsidP="00B9311E">
            <w:pPr>
              <w:spacing w:after="0" w:line="240" w:lineRule="auto"/>
              <w:jc w:val="right"/>
              <w:rPr>
                <w:sz w:val="18"/>
                <w:szCs w:val="18"/>
              </w:rPr>
            </w:pPr>
            <w:r w:rsidRPr="00BD77D8">
              <w:rPr>
                <w:sz w:val="18"/>
                <w:szCs w:val="18"/>
              </w:rPr>
              <w:t xml:space="preserve">     (4,234)</w:t>
            </w:r>
          </w:p>
        </w:tc>
        <w:tc>
          <w:tcPr>
            <w:tcW w:w="995" w:type="dxa"/>
            <w:tcBorders>
              <w:top w:val="nil"/>
              <w:left w:val="nil"/>
              <w:bottom w:val="nil"/>
              <w:right w:val="nil"/>
            </w:tcBorders>
            <w:shd w:val="clear" w:color="auto" w:fill="auto"/>
            <w:vAlign w:val="bottom"/>
            <w:hideMark/>
          </w:tcPr>
          <w:p w14:paraId="4B12F4F1" w14:textId="77777777" w:rsidR="00B9311E" w:rsidRPr="00BD77D8" w:rsidRDefault="00B9311E" w:rsidP="00B9311E">
            <w:pPr>
              <w:spacing w:after="0" w:line="240" w:lineRule="auto"/>
              <w:jc w:val="right"/>
              <w:rPr>
                <w:sz w:val="18"/>
                <w:szCs w:val="18"/>
              </w:rPr>
            </w:pPr>
            <w:r w:rsidRPr="00BD77D8">
              <w:rPr>
                <w:sz w:val="18"/>
                <w:szCs w:val="18"/>
              </w:rPr>
              <w:t xml:space="preserve">           (522)</w:t>
            </w:r>
          </w:p>
        </w:tc>
        <w:tc>
          <w:tcPr>
            <w:tcW w:w="1137" w:type="dxa"/>
            <w:tcBorders>
              <w:top w:val="nil"/>
              <w:left w:val="nil"/>
              <w:bottom w:val="nil"/>
              <w:right w:val="nil"/>
            </w:tcBorders>
            <w:shd w:val="clear" w:color="auto" w:fill="auto"/>
            <w:vAlign w:val="bottom"/>
            <w:hideMark/>
          </w:tcPr>
          <w:p w14:paraId="314B9D6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3CE2B982" w14:textId="77777777" w:rsidR="00B9311E" w:rsidRPr="00BD77D8" w:rsidRDefault="00B9311E" w:rsidP="00B9311E">
            <w:pPr>
              <w:spacing w:after="0" w:line="240" w:lineRule="auto"/>
              <w:jc w:val="right"/>
              <w:rPr>
                <w:b/>
                <w:bCs/>
                <w:sz w:val="18"/>
                <w:szCs w:val="18"/>
              </w:rPr>
            </w:pPr>
            <w:r w:rsidRPr="00BD77D8">
              <w:rPr>
                <w:b/>
                <w:bCs/>
                <w:sz w:val="18"/>
                <w:szCs w:val="18"/>
              </w:rPr>
              <w:t xml:space="preserve">      (4,756)</w:t>
            </w:r>
          </w:p>
        </w:tc>
      </w:tr>
      <w:tr w:rsidR="00BD77D8" w:rsidRPr="00BD77D8" w14:paraId="79552447" w14:textId="77777777" w:rsidTr="003057FB">
        <w:trPr>
          <w:trHeight w:val="21"/>
        </w:trPr>
        <w:tc>
          <w:tcPr>
            <w:tcW w:w="5404" w:type="dxa"/>
            <w:tcBorders>
              <w:top w:val="nil"/>
              <w:left w:val="nil"/>
              <w:bottom w:val="nil"/>
              <w:right w:val="nil"/>
            </w:tcBorders>
            <w:shd w:val="clear" w:color="auto" w:fill="auto"/>
            <w:noWrap/>
            <w:vAlign w:val="bottom"/>
            <w:hideMark/>
          </w:tcPr>
          <w:p w14:paraId="7A85DA06"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2021 </w:t>
            </w:r>
          </w:p>
        </w:tc>
        <w:tc>
          <w:tcPr>
            <w:tcW w:w="852" w:type="dxa"/>
            <w:tcBorders>
              <w:top w:val="single" w:sz="4" w:space="0" w:color="auto"/>
              <w:left w:val="nil"/>
              <w:bottom w:val="single" w:sz="4" w:space="0" w:color="auto"/>
              <w:right w:val="nil"/>
            </w:tcBorders>
            <w:shd w:val="clear" w:color="auto" w:fill="auto"/>
            <w:vAlign w:val="bottom"/>
            <w:hideMark/>
          </w:tcPr>
          <w:p w14:paraId="7C0A1E4C" w14:textId="77777777" w:rsidR="00B9311E" w:rsidRPr="00BD77D8" w:rsidRDefault="00B9311E" w:rsidP="00B9311E">
            <w:pPr>
              <w:spacing w:after="0" w:line="240" w:lineRule="auto"/>
              <w:jc w:val="right"/>
              <w:rPr>
                <w:b/>
                <w:bCs/>
                <w:sz w:val="18"/>
                <w:szCs w:val="18"/>
              </w:rPr>
            </w:pPr>
            <w:r w:rsidRPr="00BD77D8">
              <w:rPr>
                <w:b/>
                <w:bCs/>
                <w:sz w:val="18"/>
                <w:szCs w:val="18"/>
              </w:rPr>
              <w:t xml:space="preserve">    50,663 </w:t>
            </w:r>
          </w:p>
        </w:tc>
        <w:tc>
          <w:tcPr>
            <w:tcW w:w="996" w:type="dxa"/>
            <w:tcBorders>
              <w:top w:val="single" w:sz="4" w:space="0" w:color="auto"/>
              <w:left w:val="nil"/>
              <w:bottom w:val="single" w:sz="4" w:space="0" w:color="auto"/>
              <w:right w:val="nil"/>
            </w:tcBorders>
            <w:shd w:val="clear" w:color="auto" w:fill="auto"/>
            <w:vAlign w:val="bottom"/>
            <w:hideMark/>
          </w:tcPr>
          <w:p w14:paraId="2B394F35" w14:textId="77777777" w:rsidR="00B9311E" w:rsidRPr="00BD77D8" w:rsidRDefault="00B9311E" w:rsidP="00B9311E">
            <w:pPr>
              <w:spacing w:after="0" w:line="240" w:lineRule="auto"/>
              <w:jc w:val="right"/>
              <w:rPr>
                <w:b/>
                <w:bCs/>
                <w:sz w:val="18"/>
                <w:szCs w:val="18"/>
              </w:rPr>
            </w:pPr>
            <w:r w:rsidRPr="00BD77D8">
              <w:rPr>
                <w:b/>
                <w:bCs/>
                <w:sz w:val="18"/>
                <w:szCs w:val="18"/>
              </w:rPr>
              <w:t xml:space="preserve">  128,218 </w:t>
            </w:r>
          </w:p>
        </w:tc>
        <w:tc>
          <w:tcPr>
            <w:tcW w:w="995" w:type="dxa"/>
            <w:tcBorders>
              <w:top w:val="single" w:sz="4" w:space="0" w:color="auto"/>
              <w:left w:val="nil"/>
              <w:bottom w:val="single" w:sz="4" w:space="0" w:color="auto"/>
              <w:right w:val="nil"/>
            </w:tcBorders>
            <w:shd w:val="clear" w:color="auto" w:fill="auto"/>
            <w:vAlign w:val="bottom"/>
            <w:hideMark/>
          </w:tcPr>
          <w:p w14:paraId="50A078FF" w14:textId="77777777" w:rsidR="00B9311E" w:rsidRPr="00BD77D8" w:rsidRDefault="00B9311E" w:rsidP="00B9311E">
            <w:pPr>
              <w:spacing w:after="0" w:line="240" w:lineRule="auto"/>
              <w:jc w:val="right"/>
              <w:rPr>
                <w:b/>
                <w:bCs/>
                <w:sz w:val="18"/>
                <w:szCs w:val="18"/>
              </w:rPr>
            </w:pPr>
            <w:r w:rsidRPr="00BD77D8">
              <w:rPr>
                <w:b/>
                <w:bCs/>
                <w:sz w:val="18"/>
                <w:szCs w:val="18"/>
              </w:rPr>
              <w:t xml:space="preserve">         1,946 </w:t>
            </w:r>
          </w:p>
        </w:tc>
        <w:tc>
          <w:tcPr>
            <w:tcW w:w="1137" w:type="dxa"/>
            <w:tcBorders>
              <w:top w:val="single" w:sz="4" w:space="0" w:color="auto"/>
              <w:left w:val="nil"/>
              <w:bottom w:val="single" w:sz="4" w:space="0" w:color="auto"/>
              <w:right w:val="nil"/>
            </w:tcBorders>
            <w:shd w:val="clear" w:color="auto" w:fill="auto"/>
            <w:vAlign w:val="bottom"/>
            <w:hideMark/>
          </w:tcPr>
          <w:p w14:paraId="374EB930" w14:textId="77777777" w:rsidR="00B9311E" w:rsidRPr="00BD77D8" w:rsidRDefault="00B9311E" w:rsidP="00B9311E">
            <w:pPr>
              <w:spacing w:after="0" w:line="240" w:lineRule="auto"/>
              <w:jc w:val="right"/>
              <w:rPr>
                <w:b/>
                <w:bCs/>
                <w:sz w:val="18"/>
                <w:szCs w:val="18"/>
              </w:rPr>
            </w:pPr>
            <w:r w:rsidRPr="00BD77D8">
              <w:rPr>
                <w:b/>
                <w:bCs/>
                <w:sz w:val="18"/>
                <w:szCs w:val="18"/>
              </w:rPr>
              <w:t xml:space="preserve">          469 </w:t>
            </w:r>
          </w:p>
        </w:tc>
        <w:tc>
          <w:tcPr>
            <w:tcW w:w="948" w:type="dxa"/>
            <w:tcBorders>
              <w:top w:val="single" w:sz="4" w:space="0" w:color="auto"/>
              <w:left w:val="nil"/>
              <w:bottom w:val="single" w:sz="4" w:space="0" w:color="auto"/>
              <w:right w:val="nil"/>
            </w:tcBorders>
            <w:shd w:val="clear" w:color="auto" w:fill="auto"/>
            <w:vAlign w:val="bottom"/>
            <w:hideMark/>
          </w:tcPr>
          <w:p w14:paraId="62232527" w14:textId="77777777" w:rsidR="00B9311E" w:rsidRPr="00BD77D8" w:rsidRDefault="00B9311E" w:rsidP="00B9311E">
            <w:pPr>
              <w:spacing w:after="0" w:line="240" w:lineRule="auto"/>
              <w:jc w:val="right"/>
              <w:rPr>
                <w:b/>
                <w:bCs/>
                <w:sz w:val="18"/>
                <w:szCs w:val="18"/>
              </w:rPr>
            </w:pPr>
            <w:r w:rsidRPr="00BD77D8">
              <w:rPr>
                <w:b/>
                <w:bCs/>
                <w:sz w:val="18"/>
                <w:szCs w:val="18"/>
              </w:rPr>
              <w:t xml:space="preserve">   181,296 </w:t>
            </w:r>
          </w:p>
        </w:tc>
      </w:tr>
      <w:tr w:rsidR="00BD77D8" w:rsidRPr="00BD77D8" w14:paraId="31C30993" w14:textId="77777777" w:rsidTr="003057FB">
        <w:trPr>
          <w:trHeight w:val="21"/>
        </w:trPr>
        <w:tc>
          <w:tcPr>
            <w:tcW w:w="5404" w:type="dxa"/>
            <w:tcBorders>
              <w:top w:val="nil"/>
              <w:left w:val="nil"/>
              <w:bottom w:val="nil"/>
              <w:right w:val="nil"/>
            </w:tcBorders>
            <w:shd w:val="clear" w:color="auto" w:fill="auto"/>
            <w:noWrap/>
            <w:vAlign w:val="bottom"/>
            <w:hideMark/>
          </w:tcPr>
          <w:p w14:paraId="525DB333" w14:textId="77777777" w:rsidR="00B9311E" w:rsidRPr="00BD77D8" w:rsidRDefault="00B9311E" w:rsidP="00B9311E">
            <w:pPr>
              <w:spacing w:after="0" w:line="240" w:lineRule="auto"/>
              <w:jc w:val="right"/>
              <w:rPr>
                <w:b/>
                <w:bCs/>
                <w:sz w:val="18"/>
                <w:szCs w:val="18"/>
              </w:rPr>
            </w:pPr>
          </w:p>
        </w:tc>
        <w:tc>
          <w:tcPr>
            <w:tcW w:w="852" w:type="dxa"/>
            <w:tcBorders>
              <w:top w:val="nil"/>
              <w:left w:val="nil"/>
              <w:bottom w:val="nil"/>
              <w:right w:val="nil"/>
            </w:tcBorders>
            <w:shd w:val="clear" w:color="auto" w:fill="auto"/>
            <w:noWrap/>
            <w:vAlign w:val="bottom"/>
            <w:hideMark/>
          </w:tcPr>
          <w:p w14:paraId="6FB08BA8" w14:textId="77777777" w:rsidR="00B9311E" w:rsidRPr="00BD77D8" w:rsidRDefault="00B9311E" w:rsidP="00B9311E">
            <w:pPr>
              <w:spacing w:after="0" w:line="240" w:lineRule="auto"/>
              <w:rPr>
                <w:rFonts w:ascii="Times New Roman" w:hAnsi="Times New Roman" w:cs="Times New Roman"/>
                <w:sz w:val="20"/>
                <w:szCs w:val="20"/>
              </w:rPr>
            </w:pPr>
          </w:p>
        </w:tc>
        <w:tc>
          <w:tcPr>
            <w:tcW w:w="996" w:type="dxa"/>
            <w:tcBorders>
              <w:top w:val="nil"/>
              <w:left w:val="nil"/>
              <w:bottom w:val="nil"/>
              <w:right w:val="nil"/>
            </w:tcBorders>
            <w:shd w:val="clear" w:color="auto" w:fill="auto"/>
            <w:noWrap/>
            <w:vAlign w:val="bottom"/>
            <w:hideMark/>
          </w:tcPr>
          <w:p w14:paraId="62EAADF5"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995" w:type="dxa"/>
            <w:tcBorders>
              <w:top w:val="nil"/>
              <w:left w:val="nil"/>
              <w:bottom w:val="nil"/>
              <w:right w:val="nil"/>
            </w:tcBorders>
            <w:shd w:val="clear" w:color="auto" w:fill="auto"/>
            <w:noWrap/>
            <w:vAlign w:val="bottom"/>
            <w:hideMark/>
          </w:tcPr>
          <w:p w14:paraId="602068A4"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1137" w:type="dxa"/>
            <w:tcBorders>
              <w:top w:val="nil"/>
              <w:left w:val="nil"/>
              <w:bottom w:val="nil"/>
              <w:right w:val="nil"/>
            </w:tcBorders>
            <w:shd w:val="clear" w:color="auto" w:fill="auto"/>
            <w:noWrap/>
            <w:vAlign w:val="bottom"/>
            <w:hideMark/>
          </w:tcPr>
          <w:p w14:paraId="565B5735"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948" w:type="dxa"/>
            <w:tcBorders>
              <w:top w:val="nil"/>
              <w:left w:val="nil"/>
              <w:bottom w:val="nil"/>
              <w:right w:val="nil"/>
            </w:tcBorders>
            <w:shd w:val="clear" w:color="auto" w:fill="auto"/>
            <w:noWrap/>
            <w:vAlign w:val="bottom"/>
            <w:hideMark/>
          </w:tcPr>
          <w:p w14:paraId="092D8138"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5EBD7C89" w14:textId="77777777" w:rsidTr="003057FB">
        <w:trPr>
          <w:trHeight w:val="21"/>
        </w:trPr>
        <w:tc>
          <w:tcPr>
            <w:tcW w:w="5404" w:type="dxa"/>
            <w:tcBorders>
              <w:top w:val="nil"/>
              <w:left w:val="nil"/>
              <w:bottom w:val="nil"/>
              <w:right w:val="nil"/>
            </w:tcBorders>
            <w:shd w:val="clear" w:color="auto" w:fill="auto"/>
            <w:noWrap/>
            <w:vAlign w:val="bottom"/>
            <w:hideMark/>
          </w:tcPr>
          <w:p w14:paraId="22532A24"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2021 </w:t>
            </w:r>
          </w:p>
        </w:tc>
        <w:tc>
          <w:tcPr>
            <w:tcW w:w="852" w:type="dxa"/>
            <w:tcBorders>
              <w:top w:val="nil"/>
              <w:left w:val="nil"/>
              <w:bottom w:val="nil"/>
              <w:right w:val="nil"/>
            </w:tcBorders>
            <w:shd w:val="clear" w:color="auto" w:fill="auto"/>
            <w:vAlign w:val="bottom"/>
            <w:hideMark/>
          </w:tcPr>
          <w:p w14:paraId="6B846378" w14:textId="77777777" w:rsidR="00B9311E" w:rsidRPr="00BD77D8" w:rsidRDefault="00B9311E" w:rsidP="00B9311E">
            <w:pPr>
              <w:spacing w:after="0" w:line="240" w:lineRule="auto"/>
              <w:jc w:val="right"/>
              <w:rPr>
                <w:b/>
                <w:bCs/>
                <w:sz w:val="18"/>
                <w:szCs w:val="18"/>
              </w:rPr>
            </w:pPr>
            <w:r w:rsidRPr="00BD77D8">
              <w:rPr>
                <w:b/>
                <w:bCs/>
                <w:sz w:val="18"/>
                <w:szCs w:val="18"/>
              </w:rPr>
              <w:t xml:space="preserve">    50,663 </w:t>
            </w:r>
          </w:p>
        </w:tc>
        <w:tc>
          <w:tcPr>
            <w:tcW w:w="996" w:type="dxa"/>
            <w:tcBorders>
              <w:top w:val="nil"/>
              <w:left w:val="nil"/>
              <w:bottom w:val="nil"/>
              <w:right w:val="nil"/>
            </w:tcBorders>
            <w:shd w:val="clear" w:color="auto" w:fill="auto"/>
            <w:vAlign w:val="bottom"/>
            <w:hideMark/>
          </w:tcPr>
          <w:p w14:paraId="50E8DBDE" w14:textId="77777777" w:rsidR="00B9311E" w:rsidRPr="00BD77D8" w:rsidRDefault="00B9311E" w:rsidP="00B9311E">
            <w:pPr>
              <w:spacing w:after="0" w:line="240" w:lineRule="auto"/>
              <w:jc w:val="right"/>
              <w:rPr>
                <w:b/>
                <w:bCs/>
                <w:sz w:val="18"/>
                <w:szCs w:val="18"/>
              </w:rPr>
            </w:pPr>
            <w:r w:rsidRPr="00BD77D8">
              <w:rPr>
                <w:b/>
                <w:bCs/>
                <w:sz w:val="18"/>
                <w:szCs w:val="18"/>
              </w:rPr>
              <w:t xml:space="preserve">  128,218 </w:t>
            </w:r>
          </w:p>
        </w:tc>
        <w:tc>
          <w:tcPr>
            <w:tcW w:w="995" w:type="dxa"/>
            <w:tcBorders>
              <w:top w:val="nil"/>
              <w:left w:val="nil"/>
              <w:bottom w:val="nil"/>
              <w:right w:val="nil"/>
            </w:tcBorders>
            <w:shd w:val="clear" w:color="auto" w:fill="auto"/>
            <w:vAlign w:val="bottom"/>
            <w:hideMark/>
          </w:tcPr>
          <w:p w14:paraId="1047B56F" w14:textId="77777777" w:rsidR="00B9311E" w:rsidRPr="00BD77D8" w:rsidRDefault="00B9311E" w:rsidP="00B9311E">
            <w:pPr>
              <w:spacing w:after="0" w:line="240" w:lineRule="auto"/>
              <w:jc w:val="right"/>
              <w:rPr>
                <w:b/>
                <w:bCs/>
                <w:sz w:val="18"/>
                <w:szCs w:val="18"/>
              </w:rPr>
            </w:pPr>
            <w:r w:rsidRPr="00BD77D8">
              <w:rPr>
                <w:b/>
                <w:bCs/>
                <w:sz w:val="18"/>
                <w:szCs w:val="18"/>
              </w:rPr>
              <w:t xml:space="preserve">         1,946 </w:t>
            </w:r>
          </w:p>
        </w:tc>
        <w:tc>
          <w:tcPr>
            <w:tcW w:w="1137" w:type="dxa"/>
            <w:tcBorders>
              <w:top w:val="nil"/>
              <w:left w:val="nil"/>
              <w:bottom w:val="nil"/>
              <w:right w:val="nil"/>
            </w:tcBorders>
            <w:shd w:val="clear" w:color="auto" w:fill="auto"/>
            <w:vAlign w:val="bottom"/>
            <w:hideMark/>
          </w:tcPr>
          <w:p w14:paraId="2A081860" w14:textId="77777777" w:rsidR="00B9311E" w:rsidRPr="00BD77D8" w:rsidRDefault="00B9311E" w:rsidP="00B9311E">
            <w:pPr>
              <w:spacing w:after="0" w:line="240" w:lineRule="auto"/>
              <w:jc w:val="right"/>
              <w:rPr>
                <w:b/>
                <w:bCs/>
                <w:sz w:val="18"/>
                <w:szCs w:val="18"/>
              </w:rPr>
            </w:pPr>
            <w:r w:rsidRPr="00BD77D8">
              <w:rPr>
                <w:b/>
                <w:bCs/>
                <w:sz w:val="18"/>
                <w:szCs w:val="18"/>
              </w:rPr>
              <w:t xml:space="preserve">          469 </w:t>
            </w:r>
          </w:p>
        </w:tc>
        <w:tc>
          <w:tcPr>
            <w:tcW w:w="948" w:type="dxa"/>
            <w:tcBorders>
              <w:top w:val="nil"/>
              <w:left w:val="nil"/>
              <w:bottom w:val="nil"/>
              <w:right w:val="nil"/>
            </w:tcBorders>
            <w:shd w:val="clear" w:color="auto" w:fill="auto"/>
            <w:vAlign w:val="bottom"/>
            <w:hideMark/>
          </w:tcPr>
          <w:p w14:paraId="139BE56F" w14:textId="77777777" w:rsidR="00B9311E" w:rsidRPr="00BD77D8" w:rsidRDefault="00B9311E" w:rsidP="00B9311E">
            <w:pPr>
              <w:spacing w:after="0" w:line="240" w:lineRule="auto"/>
              <w:jc w:val="right"/>
              <w:rPr>
                <w:b/>
                <w:bCs/>
                <w:sz w:val="18"/>
                <w:szCs w:val="18"/>
              </w:rPr>
            </w:pPr>
            <w:r w:rsidRPr="00BD77D8">
              <w:rPr>
                <w:b/>
                <w:bCs/>
                <w:sz w:val="18"/>
                <w:szCs w:val="18"/>
              </w:rPr>
              <w:t xml:space="preserve">   181,296 </w:t>
            </w:r>
          </w:p>
        </w:tc>
      </w:tr>
      <w:tr w:rsidR="00BD77D8" w:rsidRPr="00BD77D8" w14:paraId="2C31F4C2" w14:textId="77777777" w:rsidTr="003057FB">
        <w:trPr>
          <w:trHeight w:val="21"/>
        </w:trPr>
        <w:tc>
          <w:tcPr>
            <w:tcW w:w="5404" w:type="dxa"/>
            <w:tcBorders>
              <w:top w:val="nil"/>
              <w:left w:val="nil"/>
              <w:bottom w:val="nil"/>
              <w:right w:val="nil"/>
            </w:tcBorders>
            <w:shd w:val="clear" w:color="auto" w:fill="auto"/>
            <w:noWrap/>
            <w:vAlign w:val="bottom"/>
            <w:hideMark/>
          </w:tcPr>
          <w:p w14:paraId="265F69DD" w14:textId="77777777" w:rsidR="00B9311E" w:rsidRPr="00BD77D8" w:rsidRDefault="00B9311E" w:rsidP="00B9311E">
            <w:pPr>
              <w:spacing w:after="0" w:line="240" w:lineRule="auto"/>
              <w:rPr>
                <w:sz w:val="18"/>
                <w:szCs w:val="18"/>
              </w:rPr>
            </w:pPr>
            <w:r w:rsidRPr="00BD77D8">
              <w:rPr>
                <w:sz w:val="18"/>
                <w:szCs w:val="18"/>
              </w:rPr>
              <w:t xml:space="preserve"> Acquisition </w:t>
            </w:r>
          </w:p>
        </w:tc>
        <w:tc>
          <w:tcPr>
            <w:tcW w:w="852" w:type="dxa"/>
            <w:tcBorders>
              <w:top w:val="nil"/>
              <w:left w:val="nil"/>
              <w:bottom w:val="nil"/>
              <w:right w:val="nil"/>
            </w:tcBorders>
            <w:shd w:val="clear" w:color="auto" w:fill="auto"/>
            <w:noWrap/>
            <w:vAlign w:val="bottom"/>
            <w:hideMark/>
          </w:tcPr>
          <w:p w14:paraId="356D11D0"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345119D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5" w:type="dxa"/>
            <w:tcBorders>
              <w:top w:val="nil"/>
              <w:left w:val="nil"/>
              <w:bottom w:val="nil"/>
              <w:right w:val="nil"/>
            </w:tcBorders>
            <w:shd w:val="clear" w:color="auto" w:fill="auto"/>
            <w:noWrap/>
            <w:vAlign w:val="bottom"/>
            <w:hideMark/>
          </w:tcPr>
          <w:p w14:paraId="2658958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7" w:type="dxa"/>
            <w:tcBorders>
              <w:top w:val="nil"/>
              <w:left w:val="nil"/>
              <w:bottom w:val="nil"/>
              <w:right w:val="nil"/>
            </w:tcBorders>
            <w:shd w:val="clear" w:color="auto" w:fill="auto"/>
            <w:noWrap/>
            <w:vAlign w:val="bottom"/>
            <w:hideMark/>
          </w:tcPr>
          <w:p w14:paraId="2F6C7E9C" w14:textId="77777777" w:rsidR="00B9311E" w:rsidRPr="00BD77D8" w:rsidRDefault="00B9311E" w:rsidP="00B9311E">
            <w:pPr>
              <w:spacing w:after="0" w:line="240" w:lineRule="auto"/>
              <w:jc w:val="right"/>
              <w:rPr>
                <w:sz w:val="18"/>
                <w:szCs w:val="18"/>
              </w:rPr>
            </w:pPr>
            <w:r w:rsidRPr="00BD77D8">
              <w:rPr>
                <w:sz w:val="18"/>
                <w:szCs w:val="18"/>
              </w:rPr>
              <w:t xml:space="preserve">      2,323 </w:t>
            </w:r>
          </w:p>
        </w:tc>
        <w:tc>
          <w:tcPr>
            <w:tcW w:w="948" w:type="dxa"/>
            <w:tcBorders>
              <w:top w:val="nil"/>
              <w:left w:val="nil"/>
              <w:bottom w:val="nil"/>
              <w:right w:val="nil"/>
            </w:tcBorders>
            <w:shd w:val="clear" w:color="auto" w:fill="auto"/>
            <w:vAlign w:val="bottom"/>
            <w:hideMark/>
          </w:tcPr>
          <w:p w14:paraId="7041ED1A" w14:textId="77777777" w:rsidR="00B9311E" w:rsidRPr="00BD77D8" w:rsidRDefault="00B9311E" w:rsidP="00B9311E">
            <w:pPr>
              <w:spacing w:after="0" w:line="240" w:lineRule="auto"/>
              <w:jc w:val="right"/>
              <w:rPr>
                <w:b/>
                <w:bCs/>
                <w:sz w:val="18"/>
                <w:szCs w:val="18"/>
              </w:rPr>
            </w:pPr>
            <w:r w:rsidRPr="00BD77D8">
              <w:rPr>
                <w:b/>
                <w:bCs/>
                <w:sz w:val="18"/>
                <w:szCs w:val="18"/>
              </w:rPr>
              <w:t xml:space="preserve">        2,323 </w:t>
            </w:r>
          </w:p>
        </w:tc>
      </w:tr>
      <w:tr w:rsidR="00BD77D8" w:rsidRPr="00BD77D8" w14:paraId="179EE17B" w14:textId="77777777" w:rsidTr="003057FB">
        <w:trPr>
          <w:trHeight w:val="21"/>
        </w:trPr>
        <w:tc>
          <w:tcPr>
            <w:tcW w:w="5404" w:type="dxa"/>
            <w:tcBorders>
              <w:top w:val="nil"/>
              <w:left w:val="nil"/>
              <w:bottom w:val="nil"/>
              <w:right w:val="nil"/>
            </w:tcBorders>
            <w:shd w:val="clear" w:color="auto" w:fill="auto"/>
            <w:noWrap/>
            <w:vAlign w:val="bottom"/>
            <w:hideMark/>
          </w:tcPr>
          <w:p w14:paraId="13878920" w14:textId="77777777" w:rsidR="00B9311E" w:rsidRPr="00BD77D8" w:rsidRDefault="00B9311E" w:rsidP="00B9311E">
            <w:pPr>
              <w:spacing w:after="0" w:line="240" w:lineRule="auto"/>
              <w:rPr>
                <w:sz w:val="18"/>
                <w:szCs w:val="18"/>
              </w:rPr>
            </w:pPr>
            <w:r w:rsidRPr="00BD77D8">
              <w:rPr>
                <w:sz w:val="18"/>
                <w:szCs w:val="18"/>
              </w:rPr>
              <w:t xml:space="preserve"> Disposals # </w:t>
            </w:r>
          </w:p>
        </w:tc>
        <w:tc>
          <w:tcPr>
            <w:tcW w:w="852" w:type="dxa"/>
            <w:tcBorders>
              <w:top w:val="nil"/>
              <w:left w:val="nil"/>
              <w:bottom w:val="nil"/>
              <w:right w:val="nil"/>
            </w:tcBorders>
            <w:shd w:val="clear" w:color="auto" w:fill="auto"/>
            <w:noWrap/>
            <w:vAlign w:val="bottom"/>
            <w:hideMark/>
          </w:tcPr>
          <w:p w14:paraId="51A4518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27D7F3F8" w14:textId="77777777" w:rsidR="00B9311E" w:rsidRPr="00BD77D8" w:rsidRDefault="00B9311E" w:rsidP="00B9311E">
            <w:pPr>
              <w:spacing w:after="0" w:line="240" w:lineRule="auto"/>
              <w:jc w:val="right"/>
              <w:rPr>
                <w:sz w:val="18"/>
                <w:szCs w:val="18"/>
              </w:rPr>
            </w:pPr>
            <w:r w:rsidRPr="00BD77D8">
              <w:rPr>
                <w:sz w:val="18"/>
                <w:szCs w:val="18"/>
              </w:rPr>
              <w:t xml:space="preserve">        (814)</w:t>
            </w:r>
          </w:p>
        </w:tc>
        <w:tc>
          <w:tcPr>
            <w:tcW w:w="995" w:type="dxa"/>
            <w:tcBorders>
              <w:top w:val="nil"/>
              <w:left w:val="nil"/>
              <w:bottom w:val="nil"/>
              <w:right w:val="nil"/>
            </w:tcBorders>
            <w:shd w:val="clear" w:color="auto" w:fill="auto"/>
            <w:noWrap/>
            <w:vAlign w:val="bottom"/>
            <w:hideMark/>
          </w:tcPr>
          <w:p w14:paraId="22B741B8" w14:textId="77777777" w:rsidR="00B9311E" w:rsidRPr="00BD77D8" w:rsidRDefault="00B9311E" w:rsidP="00B9311E">
            <w:pPr>
              <w:spacing w:after="0" w:line="240" w:lineRule="auto"/>
              <w:jc w:val="right"/>
              <w:rPr>
                <w:sz w:val="18"/>
                <w:szCs w:val="18"/>
              </w:rPr>
            </w:pPr>
            <w:r w:rsidRPr="00BD77D8">
              <w:rPr>
                <w:sz w:val="18"/>
                <w:szCs w:val="18"/>
              </w:rPr>
              <w:t xml:space="preserve">               (3)</w:t>
            </w:r>
          </w:p>
        </w:tc>
        <w:tc>
          <w:tcPr>
            <w:tcW w:w="1137" w:type="dxa"/>
            <w:tcBorders>
              <w:top w:val="nil"/>
              <w:left w:val="nil"/>
              <w:bottom w:val="nil"/>
              <w:right w:val="nil"/>
            </w:tcBorders>
            <w:shd w:val="clear" w:color="auto" w:fill="auto"/>
            <w:noWrap/>
            <w:vAlign w:val="bottom"/>
            <w:hideMark/>
          </w:tcPr>
          <w:p w14:paraId="6B60F46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018CF4FB" w14:textId="77777777" w:rsidR="00B9311E" w:rsidRPr="00BD77D8" w:rsidRDefault="00B9311E" w:rsidP="00B9311E">
            <w:pPr>
              <w:spacing w:after="0" w:line="240" w:lineRule="auto"/>
              <w:jc w:val="right"/>
              <w:rPr>
                <w:b/>
                <w:bCs/>
                <w:sz w:val="18"/>
                <w:szCs w:val="18"/>
              </w:rPr>
            </w:pPr>
            <w:r w:rsidRPr="00BD77D8">
              <w:rPr>
                <w:b/>
                <w:bCs/>
                <w:sz w:val="18"/>
                <w:szCs w:val="18"/>
              </w:rPr>
              <w:t xml:space="preserve">          (817)</w:t>
            </w:r>
          </w:p>
        </w:tc>
      </w:tr>
      <w:tr w:rsidR="00BD77D8" w:rsidRPr="00BD77D8" w14:paraId="19EF03C8" w14:textId="77777777" w:rsidTr="003057FB">
        <w:trPr>
          <w:trHeight w:val="21"/>
        </w:trPr>
        <w:tc>
          <w:tcPr>
            <w:tcW w:w="5404" w:type="dxa"/>
            <w:tcBorders>
              <w:top w:val="nil"/>
              <w:left w:val="nil"/>
              <w:bottom w:val="nil"/>
              <w:right w:val="nil"/>
            </w:tcBorders>
            <w:shd w:val="clear" w:color="auto" w:fill="auto"/>
            <w:noWrap/>
            <w:vAlign w:val="bottom"/>
            <w:hideMark/>
          </w:tcPr>
          <w:p w14:paraId="453CEA2D" w14:textId="77777777" w:rsidR="00B9311E" w:rsidRPr="00BD77D8" w:rsidRDefault="00B9311E" w:rsidP="00B9311E">
            <w:pPr>
              <w:spacing w:after="0" w:line="240" w:lineRule="auto"/>
              <w:rPr>
                <w:sz w:val="18"/>
                <w:szCs w:val="18"/>
              </w:rPr>
            </w:pPr>
            <w:r w:rsidRPr="00BD77D8">
              <w:rPr>
                <w:sz w:val="18"/>
                <w:szCs w:val="18"/>
              </w:rPr>
              <w:t xml:space="preserve"> Transfers out to other Queensland Government entities </w:t>
            </w:r>
            <w:proofErr w:type="spellStart"/>
            <w:r w:rsidRPr="00BD77D8">
              <w:rPr>
                <w:sz w:val="18"/>
                <w:szCs w:val="18"/>
              </w:rPr>
              <w:t>MoG</w:t>
            </w:r>
            <w:proofErr w:type="spellEnd"/>
            <w:r w:rsidRPr="00BD77D8">
              <w:rPr>
                <w:sz w:val="18"/>
                <w:szCs w:val="18"/>
              </w:rPr>
              <w:t xml:space="preserve"> ^ </w:t>
            </w:r>
          </w:p>
        </w:tc>
        <w:tc>
          <w:tcPr>
            <w:tcW w:w="852" w:type="dxa"/>
            <w:tcBorders>
              <w:top w:val="nil"/>
              <w:left w:val="nil"/>
              <w:bottom w:val="nil"/>
              <w:right w:val="nil"/>
            </w:tcBorders>
            <w:shd w:val="clear" w:color="auto" w:fill="auto"/>
            <w:noWrap/>
            <w:vAlign w:val="bottom"/>
            <w:hideMark/>
          </w:tcPr>
          <w:p w14:paraId="4CF0920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4420132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5" w:type="dxa"/>
            <w:tcBorders>
              <w:top w:val="nil"/>
              <w:left w:val="nil"/>
              <w:bottom w:val="nil"/>
              <w:right w:val="nil"/>
            </w:tcBorders>
            <w:shd w:val="clear" w:color="auto" w:fill="auto"/>
            <w:noWrap/>
            <w:vAlign w:val="bottom"/>
            <w:hideMark/>
          </w:tcPr>
          <w:p w14:paraId="1D8C9B5D" w14:textId="77777777" w:rsidR="00B9311E" w:rsidRPr="00BD77D8" w:rsidRDefault="00B9311E" w:rsidP="00B9311E">
            <w:pPr>
              <w:spacing w:after="0" w:line="240" w:lineRule="auto"/>
              <w:jc w:val="right"/>
              <w:rPr>
                <w:sz w:val="18"/>
                <w:szCs w:val="18"/>
              </w:rPr>
            </w:pPr>
            <w:r w:rsidRPr="00BD77D8">
              <w:rPr>
                <w:sz w:val="18"/>
                <w:szCs w:val="18"/>
              </w:rPr>
              <w:t xml:space="preserve">             (13)</w:t>
            </w:r>
          </w:p>
        </w:tc>
        <w:tc>
          <w:tcPr>
            <w:tcW w:w="1137" w:type="dxa"/>
            <w:tcBorders>
              <w:top w:val="nil"/>
              <w:left w:val="nil"/>
              <w:bottom w:val="nil"/>
              <w:right w:val="nil"/>
            </w:tcBorders>
            <w:shd w:val="clear" w:color="auto" w:fill="auto"/>
            <w:noWrap/>
            <w:vAlign w:val="bottom"/>
            <w:hideMark/>
          </w:tcPr>
          <w:p w14:paraId="3630F57C"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0F466074" w14:textId="77777777" w:rsidR="00B9311E" w:rsidRPr="00BD77D8" w:rsidRDefault="00B9311E" w:rsidP="00B9311E">
            <w:pPr>
              <w:spacing w:after="0" w:line="240" w:lineRule="auto"/>
              <w:jc w:val="right"/>
              <w:rPr>
                <w:b/>
                <w:bCs/>
                <w:sz w:val="18"/>
                <w:szCs w:val="18"/>
              </w:rPr>
            </w:pPr>
            <w:r w:rsidRPr="00BD77D8">
              <w:rPr>
                <w:b/>
                <w:bCs/>
                <w:sz w:val="18"/>
                <w:szCs w:val="18"/>
              </w:rPr>
              <w:t xml:space="preserve">            (13)</w:t>
            </w:r>
          </w:p>
        </w:tc>
      </w:tr>
      <w:tr w:rsidR="00BD77D8" w:rsidRPr="00BD77D8" w14:paraId="3884AEDB" w14:textId="77777777" w:rsidTr="003057FB">
        <w:trPr>
          <w:trHeight w:val="21"/>
        </w:trPr>
        <w:tc>
          <w:tcPr>
            <w:tcW w:w="5404" w:type="dxa"/>
            <w:tcBorders>
              <w:top w:val="nil"/>
              <w:left w:val="nil"/>
              <w:bottom w:val="nil"/>
              <w:right w:val="nil"/>
            </w:tcBorders>
            <w:shd w:val="clear" w:color="auto" w:fill="auto"/>
            <w:noWrap/>
            <w:vAlign w:val="bottom"/>
            <w:hideMark/>
          </w:tcPr>
          <w:p w14:paraId="0170C7A2" w14:textId="77777777" w:rsidR="00B9311E" w:rsidRPr="00BD77D8" w:rsidRDefault="00B9311E" w:rsidP="00B9311E">
            <w:pPr>
              <w:spacing w:after="0" w:line="240" w:lineRule="auto"/>
              <w:rPr>
                <w:sz w:val="18"/>
                <w:szCs w:val="18"/>
              </w:rPr>
            </w:pPr>
            <w:r w:rsidRPr="00BD77D8">
              <w:rPr>
                <w:sz w:val="18"/>
                <w:szCs w:val="18"/>
              </w:rPr>
              <w:t xml:space="preserve"> Assets reclassified as held for sale </w:t>
            </w:r>
          </w:p>
        </w:tc>
        <w:tc>
          <w:tcPr>
            <w:tcW w:w="852" w:type="dxa"/>
            <w:tcBorders>
              <w:top w:val="nil"/>
              <w:left w:val="nil"/>
              <w:bottom w:val="nil"/>
              <w:right w:val="nil"/>
            </w:tcBorders>
            <w:shd w:val="clear" w:color="auto" w:fill="auto"/>
            <w:noWrap/>
            <w:vAlign w:val="bottom"/>
            <w:hideMark/>
          </w:tcPr>
          <w:p w14:paraId="5EA73943" w14:textId="77777777" w:rsidR="00B9311E" w:rsidRPr="00BD77D8" w:rsidRDefault="00B9311E" w:rsidP="00B9311E">
            <w:pPr>
              <w:spacing w:after="0" w:line="240" w:lineRule="auto"/>
              <w:jc w:val="right"/>
              <w:rPr>
                <w:sz w:val="18"/>
                <w:szCs w:val="18"/>
              </w:rPr>
            </w:pPr>
            <w:r w:rsidRPr="00BD77D8">
              <w:rPr>
                <w:sz w:val="18"/>
                <w:szCs w:val="18"/>
              </w:rPr>
              <w:t xml:space="preserve">        (500)</w:t>
            </w:r>
          </w:p>
        </w:tc>
        <w:tc>
          <w:tcPr>
            <w:tcW w:w="996" w:type="dxa"/>
            <w:tcBorders>
              <w:top w:val="nil"/>
              <w:left w:val="nil"/>
              <w:bottom w:val="nil"/>
              <w:right w:val="nil"/>
            </w:tcBorders>
            <w:shd w:val="clear" w:color="auto" w:fill="auto"/>
            <w:noWrap/>
            <w:vAlign w:val="bottom"/>
            <w:hideMark/>
          </w:tcPr>
          <w:p w14:paraId="504CAE02" w14:textId="77777777" w:rsidR="00B9311E" w:rsidRPr="00BD77D8" w:rsidRDefault="00B9311E" w:rsidP="00B9311E">
            <w:pPr>
              <w:spacing w:after="0" w:line="240" w:lineRule="auto"/>
              <w:jc w:val="right"/>
              <w:rPr>
                <w:sz w:val="18"/>
                <w:szCs w:val="18"/>
              </w:rPr>
            </w:pPr>
            <w:r w:rsidRPr="00BD77D8">
              <w:rPr>
                <w:sz w:val="18"/>
                <w:szCs w:val="18"/>
              </w:rPr>
              <w:t xml:space="preserve">        (380)</w:t>
            </w:r>
          </w:p>
        </w:tc>
        <w:tc>
          <w:tcPr>
            <w:tcW w:w="995" w:type="dxa"/>
            <w:tcBorders>
              <w:top w:val="nil"/>
              <w:left w:val="nil"/>
              <w:bottom w:val="nil"/>
              <w:right w:val="nil"/>
            </w:tcBorders>
            <w:shd w:val="clear" w:color="auto" w:fill="auto"/>
            <w:noWrap/>
            <w:vAlign w:val="bottom"/>
            <w:hideMark/>
          </w:tcPr>
          <w:p w14:paraId="28BC72E5" w14:textId="77777777" w:rsidR="00B9311E" w:rsidRPr="00BD77D8" w:rsidRDefault="00B9311E" w:rsidP="00B9311E">
            <w:pPr>
              <w:spacing w:after="0" w:line="240" w:lineRule="auto"/>
              <w:jc w:val="right"/>
              <w:rPr>
                <w:sz w:val="18"/>
                <w:szCs w:val="18"/>
              </w:rPr>
            </w:pPr>
          </w:p>
        </w:tc>
        <w:tc>
          <w:tcPr>
            <w:tcW w:w="1137" w:type="dxa"/>
            <w:tcBorders>
              <w:top w:val="nil"/>
              <w:left w:val="nil"/>
              <w:bottom w:val="nil"/>
              <w:right w:val="nil"/>
            </w:tcBorders>
            <w:shd w:val="clear" w:color="auto" w:fill="auto"/>
            <w:noWrap/>
            <w:vAlign w:val="bottom"/>
            <w:hideMark/>
          </w:tcPr>
          <w:p w14:paraId="609091CF"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948" w:type="dxa"/>
            <w:tcBorders>
              <w:top w:val="nil"/>
              <w:left w:val="nil"/>
              <w:bottom w:val="nil"/>
              <w:right w:val="nil"/>
            </w:tcBorders>
            <w:shd w:val="clear" w:color="auto" w:fill="auto"/>
            <w:vAlign w:val="bottom"/>
            <w:hideMark/>
          </w:tcPr>
          <w:p w14:paraId="25368B24" w14:textId="77777777" w:rsidR="00B9311E" w:rsidRPr="00BD77D8" w:rsidRDefault="00B9311E" w:rsidP="00B9311E">
            <w:pPr>
              <w:spacing w:after="0" w:line="240" w:lineRule="auto"/>
              <w:jc w:val="right"/>
              <w:rPr>
                <w:b/>
                <w:bCs/>
                <w:sz w:val="18"/>
                <w:szCs w:val="18"/>
              </w:rPr>
            </w:pPr>
            <w:r w:rsidRPr="00BD77D8">
              <w:rPr>
                <w:b/>
                <w:bCs/>
                <w:sz w:val="18"/>
                <w:szCs w:val="18"/>
              </w:rPr>
              <w:t xml:space="preserve">          (880)</w:t>
            </w:r>
          </w:p>
        </w:tc>
      </w:tr>
      <w:tr w:rsidR="00BD77D8" w:rsidRPr="00BD77D8" w14:paraId="1CA08124" w14:textId="77777777" w:rsidTr="003057FB">
        <w:trPr>
          <w:trHeight w:val="21"/>
        </w:trPr>
        <w:tc>
          <w:tcPr>
            <w:tcW w:w="5404" w:type="dxa"/>
            <w:tcBorders>
              <w:top w:val="nil"/>
              <w:left w:val="nil"/>
              <w:bottom w:val="nil"/>
              <w:right w:val="nil"/>
            </w:tcBorders>
            <w:shd w:val="clear" w:color="auto" w:fill="auto"/>
            <w:noWrap/>
            <w:vAlign w:val="bottom"/>
            <w:hideMark/>
          </w:tcPr>
          <w:p w14:paraId="5534EC09" w14:textId="77777777" w:rsidR="00B9311E" w:rsidRPr="00BD77D8" w:rsidRDefault="00B9311E" w:rsidP="00B9311E">
            <w:pPr>
              <w:spacing w:after="0" w:line="240" w:lineRule="auto"/>
              <w:rPr>
                <w:sz w:val="18"/>
                <w:szCs w:val="18"/>
              </w:rPr>
            </w:pPr>
            <w:r w:rsidRPr="00BD77D8">
              <w:rPr>
                <w:sz w:val="18"/>
                <w:szCs w:val="18"/>
              </w:rPr>
              <w:t xml:space="preserve"> Transfers between asset classes </w:t>
            </w:r>
          </w:p>
        </w:tc>
        <w:tc>
          <w:tcPr>
            <w:tcW w:w="852" w:type="dxa"/>
            <w:tcBorders>
              <w:top w:val="nil"/>
              <w:left w:val="nil"/>
              <w:bottom w:val="nil"/>
              <w:right w:val="nil"/>
            </w:tcBorders>
            <w:shd w:val="clear" w:color="auto" w:fill="auto"/>
            <w:noWrap/>
            <w:vAlign w:val="bottom"/>
            <w:hideMark/>
          </w:tcPr>
          <w:p w14:paraId="6A50055C"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1AEA9070" w14:textId="77777777" w:rsidR="00B9311E" w:rsidRPr="00BD77D8" w:rsidRDefault="00B9311E" w:rsidP="00B9311E">
            <w:pPr>
              <w:spacing w:after="0" w:line="240" w:lineRule="auto"/>
              <w:jc w:val="right"/>
              <w:rPr>
                <w:sz w:val="18"/>
                <w:szCs w:val="18"/>
              </w:rPr>
            </w:pPr>
            <w:r w:rsidRPr="00BD77D8">
              <w:rPr>
                <w:sz w:val="18"/>
                <w:szCs w:val="18"/>
              </w:rPr>
              <w:t xml:space="preserve">      1,420 </w:t>
            </w:r>
          </w:p>
        </w:tc>
        <w:tc>
          <w:tcPr>
            <w:tcW w:w="995" w:type="dxa"/>
            <w:tcBorders>
              <w:top w:val="nil"/>
              <w:left w:val="nil"/>
              <w:bottom w:val="nil"/>
              <w:right w:val="nil"/>
            </w:tcBorders>
            <w:shd w:val="clear" w:color="auto" w:fill="auto"/>
            <w:noWrap/>
            <w:vAlign w:val="bottom"/>
            <w:hideMark/>
          </w:tcPr>
          <w:p w14:paraId="33B3CF63" w14:textId="77777777" w:rsidR="00B9311E" w:rsidRPr="00BD77D8" w:rsidRDefault="00B9311E" w:rsidP="00B9311E">
            <w:pPr>
              <w:spacing w:after="0" w:line="240" w:lineRule="auto"/>
              <w:jc w:val="right"/>
              <w:rPr>
                <w:sz w:val="18"/>
                <w:szCs w:val="18"/>
              </w:rPr>
            </w:pPr>
            <w:r w:rsidRPr="00BD77D8">
              <w:rPr>
                <w:sz w:val="18"/>
                <w:szCs w:val="18"/>
              </w:rPr>
              <w:t xml:space="preserve">               22 </w:t>
            </w:r>
          </w:p>
        </w:tc>
        <w:tc>
          <w:tcPr>
            <w:tcW w:w="1137" w:type="dxa"/>
            <w:tcBorders>
              <w:top w:val="nil"/>
              <w:left w:val="nil"/>
              <w:bottom w:val="nil"/>
              <w:right w:val="nil"/>
            </w:tcBorders>
            <w:shd w:val="clear" w:color="auto" w:fill="auto"/>
            <w:noWrap/>
            <w:vAlign w:val="bottom"/>
            <w:hideMark/>
          </w:tcPr>
          <w:p w14:paraId="1427D35F" w14:textId="77777777" w:rsidR="00B9311E" w:rsidRPr="00BD77D8" w:rsidRDefault="00B9311E" w:rsidP="00B9311E">
            <w:pPr>
              <w:spacing w:after="0" w:line="240" w:lineRule="auto"/>
              <w:jc w:val="right"/>
              <w:rPr>
                <w:sz w:val="18"/>
                <w:szCs w:val="18"/>
              </w:rPr>
            </w:pPr>
            <w:r w:rsidRPr="00BD77D8">
              <w:rPr>
                <w:sz w:val="18"/>
                <w:szCs w:val="18"/>
              </w:rPr>
              <w:t xml:space="preserve">     (1,442)</w:t>
            </w:r>
          </w:p>
        </w:tc>
        <w:tc>
          <w:tcPr>
            <w:tcW w:w="948" w:type="dxa"/>
            <w:tcBorders>
              <w:top w:val="nil"/>
              <w:left w:val="nil"/>
              <w:bottom w:val="nil"/>
              <w:right w:val="nil"/>
            </w:tcBorders>
            <w:shd w:val="clear" w:color="auto" w:fill="auto"/>
            <w:vAlign w:val="bottom"/>
            <w:hideMark/>
          </w:tcPr>
          <w:p w14:paraId="56E4A526"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10C39912" w14:textId="77777777" w:rsidTr="003057FB">
        <w:trPr>
          <w:trHeight w:val="21"/>
        </w:trPr>
        <w:tc>
          <w:tcPr>
            <w:tcW w:w="5404" w:type="dxa"/>
            <w:tcBorders>
              <w:top w:val="nil"/>
              <w:left w:val="nil"/>
              <w:bottom w:val="nil"/>
              <w:right w:val="nil"/>
            </w:tcBorders>
            <w:shd w:val="clear" w:color="auto" w:fill="auto"/>
            <w:noWrap/>
            <w:vAlign w:val="bottom"/>
            <w:hideMark/>
          </w:tcPr>
          <w:p w14:paraId="54870FDA" w14:textId="77777777" w:rsidR="00B9311E" w:rsidRPr="00BD77D8" w:rsidRDefault="00B9311E" w:rsidP="00B9311E">
            <w:pPr>
              <w:spacing w:after="0" w:line="240" w:lineRule="auto"/>
              <w:rPr>
                <w:sz w:val="18"/>
                <w:szCs w:val="18"/>
              </w:rPr>
            </w:pPr>
            <w:r w:rsidRPr="00BD77D8">
              <w:rPr>
                <w:sz w:val="18"/>
                <w:szCs w:val="18"/>
              </w:rPr>
              <w:t xml:space="preserve"> Net revaluation increments recognised in Operating Result </w:t>
            </w:r>
          </w:p>
        </w:tc>
        <w:tc>
          <w:tcPr>
            <w:tcW w:w="852" w:type="dxa"/>
            <w:tcBorders>
              <w:top w:val="nil"/>
              <w:left w:val="nil"/>
              <w:bottom w:val="nil"/>
              <w:right w:val="nil"/>
            </w:tcBorders>
            <w:shd w:val="clear" w:color="auto" w:fill="auto"/>
            <w:noWrap/>
            <w:vAlign w:val="bottom"/>
            <w:hideMark/>
          </w:tcPr>
          <w:p w14:paraId="5C780CDD" w14:textId="77777777" w:rsidR="00B9311E" w:rsidRPr="00BD77D8" w:rsidRDefault="00B9311E" w:rsidP="00B9311E">
            <w:pPr>
              <w:spacing w:after="0" w:line="240" w:lineRule="auto"/>
              <w:jc w:val="right"/>
              <w:rPr>
                <w:sz w:val="18"/>
                <w:szCs w:val="18"/>
              </w:rPr>
            </w:pPr>
            <w:r w:rsidRPr="00BD77D8">
              <w:rPr>
                <w:sz w:val="18"/>
                <w:szCs w:val="18"/>
              </w:rPr>
              <w:t xml:space="preserve">      6,296 </w:t>
            </w:r>
          </w:p>
        </w:tc>
        <w:tc>
          <w:tcPr>
            <w:tcW w:w="996" w:type="dxa"/>
            <w:tcBorders>
              <w:top w:val="nil"/>
              <w:left w:val="nil"/>
              <w:bottom w:val="nil"/>
              <w:right w:val="nil"/>
            </w:tcBorders>
            <w:shd w:val="clear" w:color="auto" w:fill="auto"/>
            <w:noWrap/>
            <w:vAlign w:val="bottom"/>
            <w:hideMark/>
          </w:tcPr>
          <w:p w14:paraId="04925EFE" w14:textId="77777777" w:rsidR="00B9311E" w:rsidRPr="00BD77D8" w:rsidRDefault="00B9311E" w:rsidP="00B9311E">
            <w:pPr>
              <w:spacing w:after="0" w:line="240" w:lineRule="auto"/>
              <w:jc w:val="right"/>
              <w:rPr>
                <w:sz w:val="18"/>
                <w:szCs w:val="18"/>
              </w:rPr>
            </w:pPr>
            <w:r w:rsidRPr="00BD77D8">
              <w:rPr>
                <w:sz w:val="18"/>
                <w:szCs w:val="18"/>
              </w:rPr>
              <w:t xml:space="preserve">    22,273 </w:t>
            </w:r>
          </w:p>
        </w:tc>
        <w:tc>
          <w:tcPr>
            <w:tcW w:w="995" w:type="dxa"/>
            <w:tcBorders>
              <w:top w:val="nil"/>
              <w:left w:val="nil"/>
              <w:bottom w:val="nil"/>
              <w:right w:val="nil"/>
            </w:tcBorders>
            <w:shd w:val="clear" w:color="auto" w:fill="auto"/>
            <w:noWrap/>
            <w:vAlign w:val="bottom"/>
            <w:hideMark/>
          </w:tcPr>
          <w:p w14:paraId="7E52EE8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7" w:type="dxa"/>
            <w:tcBorders>
              <w:top w:val="nil"/>
              <w:left w:val="nil"/>
              <w:bottom w:val="nil"/>
              <w:right w:val="nil"/>
            </w:tcBorders>
            <w:shd w:val="clear" w:color="auto" w:fill="auto"/>
            <w:noWrap/>
            <w:vAlign w:val="bottom"/>
            <w:hideMark/>
          </w:tcPr>
          <w:p w14:paraId="4E96342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735B4DC6" w14:textId="77777777" w:rsidR="00B9311E" w:rsidRPr="00BD77D8" w:rsidRDefault="00B9311E" w:rsidP="00B9311E">
            <w:pPr>
              <w:spacing w:after="0" w:line="240" w:lineRule="auto"/>
              <w:jc w:val="right"/>
              <w:rPr>
                <w:b/>
                <w:bCs/>
                <w:sz w:val="18"/>
                <w:szCs w:val="18"/>
              </w:rPr>
            </w:pPr>
            <w:r w:rsidRPr="00BD77D8">
              <w:rPr>
                <w:b/>
                <w:bCs/>
                <w:sz w:val="18"/>
                <w:szCs w:val="18"/>
              </w:rPr>
              <w:t xml:space="preserve">      28,569 </w:t>
            </w:r>
          </w:p>
        </w:tc>
      </w:tr>
      <w:tr w:rsidR="00BD77D8" w:rsidRPr="00BD77D8" w14:paraId="4FD2B0FA" w14:textId="77777777" w:rsidTr="003057FB">
        <w:trPr>
          <w:trHeight w:val="21"/>
        </w:trPr>
        <w:tc>
          <w:tcPr>
            <w:tcW w:w="5404" w:type="dxa"/>
            <w:tcBorders>
              <w:top w:val="nil"/>
              <w:left w:val="nil"/>
              <w:bottom w:val="nil"/>
              <w:right w:val="nil"/>
            </w:tcBorders>
            <w:shd w:val="clear" w:color="auto" w:fill="auto"/>
            <w:noWrap/>
            <w:vAlign w:val="bottom"/>
            <w:hideMark/>
          </w:tcPr>
          <w:p w14:paraId="3AD40FFF" w14:textId="77777777" w:rsidR="00B9311E" w:rsidRPr="00BD77D8" w:rsidRDefault="00B9311E" w:rsidP="00B9311E">
            <w:pPr>
              <w:spacing w:after="0" w:line="240" w:lineRule="auto"/>
              <w:rPr>
                <w:sz w:val="18"/>
                <w:szCs w:val="18"/>
              </w:rPr>
            </w:pPr>
            <w:r w:rsidRPr="00BD77D8">
              <w:rPr>
                <w:sz w:val="18"/>
                <w:szCs w:val="18"/>
              </w:rPr>
              <w:t xml:space="preserve"> Transfer of assets to other entities * </w:t>
            </w:r>
          </w:p>
        </w:tc>
        <w:tc>
          <w:tcPr>
            <w:tcW w:w="852" w:type="dxa"/>
            <w:tcBorders>
              <w:top w:val="nil"/>
              <w:left w:val="nil"/>
              <w:bottom w:val="nil"/>
              <w:right w:val="nil"/>
            </w:tcBorders>
            <w:shd w:val="clear" w:color="auto" w:fill="auto"/>
            <w:noWrap/>
            <w:vAlign w:val="bottom"/>
            <w:hideMark/>
          </w:tcPr>
          <w:p w14:paraId="747675E9" w14:textId="77777777" w:rsidR="00B9311E" w:rsidRPr="00BD77D8" w:rsidRDefault="00B9311E" w:rsidP="00B9311E">
            <w:pPr>
              <w:spacing w:after="0" w:line="240" w:lineRule="auto"/>
              <w:jc w:val="right"/>
              <w:rPr>
                <w:sz w:val="18"/>
                <w:szCs w:val="18"/>
              </w:rPr>
            </w:pPr>
            <w:r w:rsidRPr="00BD77D8">
              <w:rPr>
                <w:sz w:val="18"/>
                <w:szCs w:val="18"/>
              </w:rPr>
              <w:t xml:space="preserve">        (495)</w:t>
            </w:r>
          </w:p>
        </w:tc>
        <w:tc>
          <w:tcPr>
            <w:tcW w:w="996" w:type="dxa"/>
            <w:tcBorders>
              <w:top w:val="nil"/>
              <w:left w:val="nil"/>
              <w:bottom w:val="nil"/>
              <w:right w:val="nil"/>
            </w:tcBorders>
            <w:shd w:val="clear" w:color="auto" w:fill="auto"/>
            <w:noWrap/>
            <w:vAlign w:val="bottom"/>
            <w:hideMark/>
          </w:tcPr>
          <w:p w14:paraId="7F966866" w14:textId="77777777" w:rsidR="00B9311E" w:rsidRPr="00BD77D8" w:rsidRDefault="00B9311E" w:rsidP="00B9311E">
            <w:pPr>
              <w:spacing w:after="0" w:line="240" w:lineRule="auto"/>
              <w:jc w:val="right"/>
              <w:rPr>
                <w:sz w:val="18"/>
                <w:szCs w:val="18"/>
              </w:rPr>
            </w:pPr>
            <w:r w:rsidRPr="00BD77D8">
              <w:rPr>
                <w:sz w:val="18"/>
                <w:szCs w:val="18"/>
              </w:rPr>
              <w:t xml:space="preserve">     (1,109)</w:t>
            </w:r>
          </w:p>
        </w:tc>
        <w:tc>
          <w:tcPr>
            <w:tcW w:w="995" w:type="dxa"/>
            <w:tcBorders>
              <w:top w:val="nil"/>
              <w:left w:val="nil"/>
              <w:bottom w:val="nil"/>
              <w:right w:val="nil"/>
            </w:tcBorders>
            <w:shd w:val="clear" w:color="auto" w:fill="auto"/>
            <w:noWrap/>
            <w:vAlign w:val="bottom"/>
            <w:hideMark/>
          </w:tcPr>
          <w:p w14:paraId="482FFB8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7" w:type="dxa"/>
            <w:tcBorders>
              <w:top w:val="nil"/>
              <w:left w:val="nil"/>
              <w:bottom w:val="nil"/>
              <w:right w:val="nil"/>
            </w:tcBorders>
            <w:shd w:val="clear" w:color="auto" w:fill="auto"/>
            <w:noWrap/>
            <w:vAlign w:val="bottom"/>
            <w:hideMark/>
          </w:tcPr>
          <w:p w14:paraId="73D1483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nil"/>
              <w:right w:val="nil"/>
            </w:tcBorders>
            <w:shd w:val="clear" w:color="auto" w:fill="auto"/>
            <w:vAlign w:val="bottom"/>
            <w:hideMark/>
          </w:tcPr>
          <w:p w14:paraId="3ECCBF46" w14:textId="77777777" w:rsidR="00B9311E" w:rsidRPr="00BD77D8" w:rsidRDefault="00B9311E" w:rsidP="00B9311E">
            <w:pPr>
              <w:spacing w:after="0" w:line="240" w:lineRule="auto"/>
              <w:jc w:val="right"/>
              <w:rPr>
                <w:b/>
                <w:bCs/>
                <w:sz w:val="18"/>
                <w:szCs w:val="18"/>
              </w:rPr>
            </w:pPr>
            <w:r w:rsidRPr="00BD77D8">
              <w:rPr>
                <w:b/>
                <w:bCs/>
                <w:sz w:val="18"/>
                <w:szCs w:val="18"/>
              </w:rPr>
              <w:t xml:space="preserve">      (1,604)</w:t>
            </w:r>
          </w:p>
        </w:tc>
      </w:tr>
      <w:tr w:rsidR="00BD77D8" w:rsidRPr="00BD77D8" w14:paraId="419CFD9A" w14:textId="77777777" w:rsidTr="003057FB">
        <w:trPr>
          <w:trHeight w:val="21"/>
        </w:trPr>
        <w:tc>
          <w:tcPr>
            <w:tcW w:w="5404" w:type="dxa"/>
            <w:tcBorders>
              <w:top w:val="nil"/>
              <w:left w:val="nil"/>
              <w:bottom w:val="nil"/>
              <w:right w:val="nil"/>
            </w:tcBorders>
            <w:shd w:val="clear" w:color="auto" w:fill="auto"/>
            <w:noWrap/>
            <w:vAlign w:val="bottom"/>
            <w:hideMark/>
          </w:tcPr>
          <w:p w14:paraId="60DC4AC6" w14:textId="77777777" w:rsidR="00B9311E" w:rsidRPr="00BD77D8" w:rsidRDefault="00B9311E" w:rsidP="00B9311E">
            <w:pPr>
              <w:spacing w:after="0" w:line="240" w:lineRule="auto"/>
              <w:rPr>
                <w:sz w:val="18"/>
                <w:szCs w:val="18"/>
              </w:rPr>
            </w:pPr>
            <w:r w:rsidRPr="00BD77D8">
              <w:rPr>
                <w:sz w:val="18"/>
                <w:szCs w:val="18"/>
              </w:rPr>
              <w:t xml:space="preserve"> Depreciation charge </w:t>
            </w:r>
          </w:p>
        </w:tc>
        <w:tc>
          <w:tcPr>
            <w:tcW w:w="852" w:type="dxa"/>
            <w:tcBorders>
              <w:top w:val="nil"/>
              <w:left w:val="nil"/>
              <w:bottom w:val="nil"/>
              <w:right w:val="nil"/>
            </w:tcBorders>
            <w:shd w:val="clear" w:color="auto" w:fill="auto"/>
            <w:noWrap/>
            <w:vAlign w:val="bottom"/>
            <w:hideMark/>
          </w:tcPr>
          <w:p w14:paraId="7E2D739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6" w:type="dxa"/>
            <w:tcBorders>
              <w:top w:val="nil"/>
              <w:left w:val="nil"/>
              <w:bottom w:val="nil"/>
              <w:right w:val="nil"/>
            </w:tcBorders>
            <w:shd w:val="clear" w:color="auto" w:fill="auto"/>
            <w:noWrap/>
            <w:vAlign w:val="bottom"/>
            <w:hideMark/>
          </w:tcPr>
          <w:p w14:paraId="30B8EDCE" w14:textId="77777777" w:rsidR="00B9311E" w:rsidRPr="00BD77D8" w:rsidRDefault="00B9311E" w:rsidP="00B9311E">
            <w:pPr>
              <w:spacing w:after="0" w:line="240" w:lineRule="auto"/>
              <w:jc w:val="right"/>
              <w:rPr>
                <w:sz w:val="18"/>
                <w:szCs w:val="18"/>
              </w:rPr>
            </w:pPr>
            <w:r w:rsidRPr="00BD77D8">
              <w:rPr>
                <w:sz w:val="18"/>
                <w:szCs w:val="18"/>
              </w:rPr>
              <w:t xml:space="preserve">     (3,222)</w:t>
            </w:r>
          </w:p>
        </w:tc>
        <w:tc>
          <w:tcPr>
            <w:tcW w:w="995" w:type="dxa"/>
            <w:tcBorders>
              <w:top w:val="nil"/>
              <w:left w:val="nil"/>
              <w:bottom w:val="nil"/>
              <w:right w:val="nil"/>
            </w:tcBorders>
            <w:shd w:val="clear" w:color="auto" w:fill="auto"/>
            <w:noWrap/>
            <w:vAlign w:val="bottom"/>
            <w:hideMark/>
          </w:tcPr>
          <w:p w14:paraId="4187D246" w14:textId="77777777" w:rsidR="00B9311E" w:rsidRPr="00BD77D8" w:rsidRDefault="00B9311E" w:rsidP="00B9311E">
            <w:pPr>
              <w:spacing w:after="0" w:line="240" w:lineRule="auto"/>
              <w:jc w:val="right"/>
              <w:rPr>
                <w:sz w:val="18"/>
                <w:szCs w:val="18"/>
              </w:rPr>
            </w:pPr>
            <w:r w:rsidRPr="00BD77D8">
              <w:rPr>
                <w:sz w:val="18"/>
                <w:szCs w:val="18"/>
              </w:rPr>
              <w:t xml:space="preserve">           (479)</w:t>
            </w:r>
          </w:p>
        </w:tc>
        <w:tc>
          <w:tcPr>
            <w:tcW w:w="1137" w:type="dxa"/>
            <w:tcBorders>
              <w:top w:val="nil"/>
              <w:left w:val="nil"/>
              <w:bottom w:val="nil"/>
              <w:right w:val="nil"/>
            </w:tcBorders>
            <w:shd w:val="clear" w:color="auto" w:fill="auto"/>
            <w:noWrap/>
            <w:vAlign w:val="bottom"/>
            <w:hideMark/>
          </w:tcPr>
          <w:p w14:paraId="129AAA7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48" w:type="dxa"/>
            <w:tcBorders>
              <w:top w:val="nil"/>
              <w:left w:val="nil"/>
              <w:bottom w:val="single" w:sz="4" w:space="0" w:color="auto"/>
              <w:right w:val="nil"/>
            </w:tcBorders>
            <w:shd w:val="clear" w:color="auto" w:fill="auto"/>
            <w:vAlign w:val="bottom"/>
            <w:hideMark/>
          </w:tcPr>
          <w:p w14:paraId="528B35D5" w14:textId="77777777" w:rsidR="00B9311E" w:rsidRPr="00BD77D8" w:rsidRDefault="00B9311E" w:rsidP="00B9311E">
            <w:pPr>
              <w:spacing w:after="0" w:line="240" w:lineRule="auto"/>
              <w:jc w:val="right"/>
              <w:rPr>
                <w:b/>
                <w:bCs/>
                <w:sz w:val="18"/>
                <w:szCs w:val="18"/>
              </w:rPr>
            </w:pPr>
            <w:r w:rsidRPr="00BD77D8">
              <w:rPr>
                <w:b/>
                <w:bCs/>
                <w:sz w:val="18"/>
                <w:szCs w:val="18"/>
              </w:rPr>
              <w:t xml:space="preserve">      (3,701)</w:t>
            </w:r>
          </w:p>
        </w:tc>
      </w:tr>
      <w:tr w:rsidR="00BD77D8" w:rsidRPr="00BD77D8" w14:paraId="0FFE9A0C" w14:textId="77777777" w:rsidTr="003057FB">
        <w:trPr>
          <w:trHeight w:val="21"/>
        </w:trPr>
        <w:tc>
          <w:tcPr>
            <w:tcW w:w="5404" w:type="dxa"/>
            <w:tcBorders>
              <w:top w:val="nil"/>
              <w:left w:val="nil"/>
              <w:bottom w:val="nil"/>
              <w:right w:val="nil"/>
            </w:tcBorders>
            <w:shd w:val="clear" w:color="auto" w:fill="auto"/>
            <w:noWrap/>
            <w:vAlign w:val="bottom"/>
            <w:hideMark/>
          </w:tcPr>
          <w:p w14:paraId="3EB9D2E3"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2022 </w:t>
            </w:r>
          </w:p>
        </w:tc>
        <w:tc>
          <w:tcPr>
            <w:tcW w:w="852" w:type="dxa"/>
            <w:tcBorders>
              <w:top w:val="single" w:sz="4" w:space="0" w:color="auto"/>
              <w:left w:val="nil"/>
              <w:bottom w:val="single" w:sz="4" w:space="0" w:color="auto"/>
              <w:right w:val="nil"/>
            </w:tcBorders>
            <w:shd w:val="clear" w:color="auto" w:fill="auto"/>
            <w:vAlign w:val="bottom"/>
            <w:hideMark/>
          </w:tcPr>
          <w:p w14:paraId="79DC356A" w14:textId="77777777" w:rsidR="00B9311E" w:rsidRPr="00BD77D8" w:rsidRDefault="00B9311E" w:rsidP="00B9311E">
            <w:pPr>
              <w:spacing w:after="0" w:line="240" w:lineRule="auto"/>
              <w:jc w:val="right"/>
              <w:rPr>
                <w:b/>
                <w:bCs/>
                <w:sz w:val="18"/>
                <w:szCs w:val="18"/>
              </w:rPr>
            </w:pPr>
            <w:r w:rsidRPr="00BD77D8">
              <w:rPr>
                <w:b/>
                <w:bCs/>
                <w:sz w:val="18"/>
                <w:szCs w:val="18"/>
              </w:rPr>
              <w:t xml:space="preserve">    55,964 </w:t>
            </w:r>
          </w:p>
        </w:tc>
        <w:tc>
          <w:tcPr>
            <w:tcW w:w="996" w:type="dxa"/>
            <w:tcBorders>
              <w:top w:val="single" w:sz="4" w:space="0" w:color="auto"/>
              <w:left w:val="nil"/>
              <w:bottom w:val="single" w:sz="4" w:space="0" w:color="auto"/>
              <w:right w:val="nil"/>
            </w:tcBorders>
            <w:shd w:val="clear" w:color="auto" w:fill="auto"/>
            <w:vAlign w:val="bottom"/>
            <w:hideMark/>
          </w:tcPr>
          <w:p w14:paraId="0FFA1361" w14:textId="77777777" w:rsidR="00B9311E" w:rsidRPr="00BD77D8" w:rsidRDefault="00B9311E" w:rsidP="00B9311E">
            <w:pPr>
              <w:spacing w:after="0" w:line="240" w:lineRule="auto"/>
              <w:jc w:val="right"/>
              <w:rPr>
                <w:b/>
                <w:bCs/>
                <w:sz w:val="18"/>
                <w:szCs w:val="18"/>
              </w:rPr>
            </w:pPr>
            <w:r w:rsidRPr="00BD77D8">
              <w:rPr>
                <w:b/>
                <w:bCs/>
                <w:sz w:val="18"/>
                <w:szCs w:val="18"/>
              </w:rPr>
              <w:t xml:space="preserve">  146,386 </w:t>
            </w:r>
          </w:p>
        </w:tc>
        <w:tc>
          <w:tcPr>
            <w:tcW w:w="995" w:type="dxa"/>
            <w:tcBorders>
              <w:top w:val="single" w:sz="4" w:space="0" w:color="auto"/>
              <w:left w:val="nil"/>
              <w:bottom w:val="single" w:sz="4" w:space="0" w:color="auto"/>
              <w:right w:val="nil"/>
            </w:tcBorders>
            <w:shd w:val="clear" w:color="auto" w:fill="auto"/>
            <w:vAlign w:val="bottom"/>
            <w:hideMark/>
          </w:tcPr>
          <w:p w14:paraId="07C62B10" w14:textId="77777777" w:rsidR="00B9311E" w:rsidRPr="00BD77D8" w:rsidRDefault="00B9311E" w:rsidP="00B9311E">
            <w:pPr>
              <w:spacing w:after="0" w:line="240" w:lineRule="auto"/>
              <w:jc w:val="right"/>
              <w:rPr>
                <w:b/>
                <w:bCs/>
                <w:sz w:val="18"/>
                <w:szCs w:val="18"/>
              </w:rPr>
            </w:pPr>
            <w:r w:rsidRPr="00BD77D8">
              <w:rPr>
                <w:b/>
                <w:bCs/>
                <w:sz w:val="18"/>
                <w:szCs w:val="18"/>
              </w:rPr>
              <w:t xml:space="preserve">         1,473 </w:t>
            </w:r>
          </w:p>
        </w:tc>
        <w:tc>
          <w:tcPr>
            <w:tcW w:w="1137" w:type="dxa"/>
            <w:tcBorders>
              <w:top w:val="single" w:sz="4" w:space="0" w:color="auto"/>
              <w:left w:val="nil"/>
              <w:bottom w:val="single" w:sz="4" w:space="0" w:color="auto"/>
              <w:right w:val="nil"/>
            </w:tcBorders>
            <w:shd w:val="clear" w:color="auto" w:fill="auto"/>
            <w:vAlign w:val="bottom"/>
            <w:hideMark/>
          </w:tcPr>
          <w:p w14:paraId="586EA87A" w14:textId="77777777" w:rsidR="00B9311E" w:rsidRPr="00BD77D8" w:rsidRDefault="00B9311E" w:rsidP="00B9311E">
            <w:pPr>
              <w:spacing w:after="0" w:line="240" w:lineRule="auto"/>
              <w:jc w:val="right"/>
              <w:rPr>
                <w:b/>
                <w:bCs/>
                <w:sz w:val="18"/>
                <w:szCs w:val="18"/>
              </w:rPr>
            </w:pPr>
            <w:r w:rsidRPr="00BD77D8">
              <w:rPr>
                <w:b/>
                <w:bCs/>
                <w:sz w:val="18"/>
                <w:szCs w:val="18"/>
              </w:rPr>
              <w:t xml:space="preserve">      1,350 </w:t>
            </w:r>
          </w:p>
        </w:tc>
        <w:tc>
          <w:tcPr>
            <w:tcW w:w="948" w:type="dxa"/>
            <w:tcBorders>
              <w:top w:val="single" w:sz="4" w:space="0" w:color="auto"/>
              <w:left w:val="nil"/>
              <w:bottom w:val="single" w:sz="4" w:space="0" w:color="auto"/>
              <w:right w:val="nil"/>
            </w:tcBorders>
            <w:shd w:val="clear" w:color="auto" w:fill="auto"/>
            <w:vAlign w:val="bottom"/>
            <w:hideMark/>
          </w:tcPr>
          <w:p w14:paraId="28423BD8" w14:textId="77777777" w:rsidR="00B9311E" w:rsidRPr="00BD77D8" w:rsidRDefault="00B9311E" w:rsidP="00B9311E">
            <w:pPr>
              <w:spacing w:after="0" w:line="240" w:lineRule="auto"/>
              <w:jc w:val="right"/>
              <w:rPr>
                <w:b/>
                <w:bCs/>
                <w:sz w:val="18"/>
                <w:szCs w:val="18"/>
              </w:rPr>
            </w:pPr>
            <w:r w:rsidRPr="00BD77D8">
              <w:rPr>
                <w:b/>
                <w:bCs/>
                <w:sz w:val="18"/>
                <w:szCs w:val="18"/>
              </w:rPr>
              <w:t xml:space="preserve">   205,173 </w:t>
            </w:r>
          </w:p>
        </w:tc>
      </w:tr>
    </w:tbl>
    <w:p w14:paraId="068D0642" w14:textId="77777777" w:rsidR="00B9311E" w:rsidRPr="00BD77D8" w:rsidRDefault="00B9311E" w:rsidP="00760ABD">
      <w:pPr>
        <w:spacing w:before="200" w:line="205" w:lineRule="exact"/>
        <w:textAlignment w:val="baseline"/>
        <w:rPr>
          <w:rFonts w:eastAsia="PMingLiU"/>
          <w:b/>
          <w:bCs/>
          <w:sz w:val="16"/>
          <w:szCs w:val="20"/>
          <w:lang w:eastAsia="en-US"/>
        </w:rPr>
      </w:pPr>
      <w:bookmarkStart w:id="504" w:name="_Hlk108627203"/>
      <w:r w:rsidRPr="00BD77D8">
        <w:rPr>
          <w:rFonts w:eastAsia="PMingLiU"/>
          <w:sz w:val="16"/>
          <w:szCs w:val="20"/>
          <w:lang w:eastAsia="en-US"/>
        </w:rPr>
        <w:t># Refer to Note B2-5 for further information.</w:t>
      </w:r>
    </w:p>
    <w:p w14:paraId="08B6C6E3" w14:textId="77777777" w:rsidR="00B9311E" w:rsidRPr="00BD77D8" w:rsidRDefault="00B9311E" w:rsidP="00760ABD">
      <w:pPr>
        <w:spacing w:line="205" w:lineRule="exact"/>
        <w:textAlignment w:val="baseline"/>
        <w:rPr>
          <w:rFonts w:eastAsia="PMingLiU"/>
          <w:b/>
          <w:bCs/>
          <w:sz w:val="16"/>
          <w:szCs w:val="20"/>
          <w:lang w:eastAsia="en-US"/>
        </w:rPr>
      </w:pPr>
      <w:r w:rsidRPr="00BD77D8">
        <w:rPr>
          <w:rFonts w:eastAsia="PMingLiU"/>
          <w:sz w:val="16"/>
          <w:szCs w:val="20"/>
          <w:lang w:eastAsia="en-US"/>
        </w:rPr>
        <w:t>^</w:t>
      </w:r>
      <w:r w:rsidRPr="00BD77D8">
        <w:rPr>
          <w:rFonts w:eastAsia="PMingLiU"/>
          <w:sz w:val="18"/>
          <w:szCs w:val="22"/>
          <w:lang w:eastAsia="en-US"/>
        </w:rPr>
        <w:t xml:space="preserve"> </w:t>
      </w:r>
      <w:r w:rsidRPr="00BD77D8">
        <w:rPr>
          <w:rFonts w:eastAsia="PMingLiU"/>
          <w:sz w:val="16"/>
          <w:szCs w:val="20"/>
          <w:lang w:eastAsia="en-US"/>
        </w:rPr>
        <w:t>Final transfer of assets to the Department of Communities, Housing and Digital Economy. Refer to note A4 Machinery-of-Government (</w:t>
      </w:r>
      <w:proofErr w:type="spellStart"/>
      <w:r w:rsidRPr="00BD77D8">
        <w:rPr>
          <w:rFonts w:eastAsia="PMingLiU"/>
          <w:sz w:val="16"/>
          <w:szCs w:val="20"/>
          <w:lang w:eastAsia="en-US"/>
        </w:rPr>
        <w:t>MoG</w:t>
      </w:r>
      <w:proofErr w:type="spellEnd"/>
      <w:r w:rsidRPr="00BD77D8">
        <w:rPr>
          <w:rFonts w:eastAsia="PMingLiU"/>
          <w:sz w:val="16"/>
          <w:szCs w:val="20"/>
          <w:lang w:eastAsia="en-US"/>
        </w:rPr>
        <w:t>) Changes.</w:t>
      </w:r>
    </w:p>
    <w:p w14:paraId="6A59735C" w14:textId="77777777" w:rsidR="00B9311E" w:rsidRPr="00BD77D8" w:rsidRDefault="00B9311E" w:rsidP="00B9311E">
      <w:pPr>
        <w:spacing w:after="0" w:line="205" w:lineRule="exact"/>
        <w:textAlignment w:val="baseline"/>
        <w:rPr>
          <w:rFonts w:eastAsia="PMingLiU"/>
          <w:b/>
          <w:bCs/>
          <w:sz w:val="16"/>
          <w:szCs w:val="20"/>
          <w:lang w:eastAsia="en-US"/>
        </w:rPr>
      </w:pPr>
      <w:r w:rsidRPr="00BD77D8">
        <w:rPr>
          <w:rFonts w:eastAsia="Arial"/>
          <w:iCs/>
          <w:spacing w:val="-3"/>
          <w:sz w:val="16"/>
          <w:szCs w:val="16"/>
          <w:lang w:eastAsia="en-US"/>
        </w:rPr>
        <w:t xml:space="preserve">*The department transferred land </w:t>
      </w:r>
      <w:r w:rsidRPr="00BD77D8">
        <w:rPr>
          <w:rFonts w:eastAsia="PMingLiU"/>
          <w:sz w:val="16"/>
          <w:szCs w:val="20"/>
          <w:lang w:eastAsia="en-US"/>
        </w:rPr>
        <w:t xml:space="preserve">and building, </w:t>
      </w:r>
      <w:proofErr w:type="spellStart"/>
      <w:r w:rsidRPr="00BD77D8">
        <w:rPr>
          <w:rFonts w:eastAsia="PMingLiU"/>
          <w:sz w:val="16"/>
          <w:szCs w:val="20"/>
          <w:lang w:eastAsia="en-US"/>
        </w:rPr>
        <w:t>Olandi</w:t>
      </w:r>
      <w:proofErr w:type="spellEnd"/>
      <w:r w:rsidRPr="00BD77D8">
        <w:rPr>
          <w:rFonts w:eastAsia="PMingLiU"/>
          <w:sz w:val="16"/>
          <w:szCs w:val="20"/>
          <w:lang w:eastAsia="en-US"/>
        </w:rPr>
        <w:t xml:space="preserve"> Hall, to the Torres Shire Council. The transaction has been recognised as a reduction in Controlled Equity and recognition of the asset transfer as an Administered Grant. Refer to the Statement of Changes in Equity and Note G1-6 for further information.</w:t>
      </w:r>
    </w:p>
    <w:bookmarkEnd w:id="504"/>
    <w:p w14:paraId="5B24F5EB" w14:textId="620451DE" w:rsidR="00B9311E" w:rsidRPr="00BD77D8" w:rsidRDefault="00F35846" w:rsidP="00C3515C">
      <w:pPr>
        <w:spacing w:before="180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22 of 45</w:t>
      </w:r>
      <w:r w:rsidR="00B9311E" w:rsidRPr="00BD77D8">
        <w:rPr>
          <w:rFonts w:eastAsia="Arial"/>
          <w:sz w:val="18"/>
          <w:szCs w:val="18"/>
          <w:lang w:eastAsia="en-US"/>
        </w:rPr>
        <w:br w:type="page"/>
      </w:r>
    </w:p>
    <w:p w14:paraId="33FB30A2" w14:textId="77777777" w:rsidR="00B9311E" w:rsidRPr="00BD77D8" w:rsidRDefault="00B9311E" w:rsidP="00B9311E">
      <w:pPr>
        <w:spacing w:after="0" w:line="240" w:lineRule="auto"/>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6857EC8" w14:textId="77777777" w:rsidR="00B9311E" w:rsidRPr="00BD77D8" w:rsidRDefault="00B9311E" w:rsidP="00F70507">
      <w:pPr>
        <w:spacing w:after="0" w:line="240" w:lineRule="auto"/>
        <w:rPr>
          <w:rFonts w:eastAsia="Arial"/>
          <w:b/>
          <w:bCs/>
          <w:sz w:val="18"/>
          <w:szCs w:val="18"/>
          <w:lang w:eastAsia="en-US"/>
        </w:rPr>
      </w:pPr>
      <w:r w:rsidRPr="00BD77D8">
        <w:rPr>
          <w:rFonts w:eastAsia="Arial"/>
          <w:b/>
          <w:bCs/>
          <w:sz w:val="18"/>
          <w:szCs w:val="18"/>
          <w:lang w:eastAsia="en-US"/>
        </w:rPr>
        <w:t>Notes to the Financial Statements</w:t>
      </w:r>
    </w:p>
    <w:p w14:paraId="0A5DA6E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5D7F8FA"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470D9503" w14:textId="77777777" w:rsidR="00B9311E" w:rsidRPr="00BD77D8" w:rsidRDefault="00B9311E" w:rsidP="00E47A6E">
      <w:pPr>
        <w:spacing w:before="240" w:line="180" w:lineRule="atLeas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6403949D" w14:textId="77777777"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b/>
          <w:bCs/>
          <w:sz w:val="18"/>
          <w:szCs w:val="18"/>
          <w:lang w:eastAsia="en-US"/>
        </w:rPr>
        <w:t>C4-2 Recognition and Acquisition</w:t>
      </w:r>
    </w:p>
    <w:p w14:paraId="77F451CC" w14:textId="77777777"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b/>
          <w:bCs/>
          <w:sz w:val="18"/>
          <w:szCs w:val="18"/>
          <w:lang w:eastAsia="en-US"/>
        </w:rPr>
        <w:t>Accounting policy – Recognition</w:t>
      </w:r>
    </w:p>
    <w:p w14:paraId="6F89EE30" w14:textId="5CE2C8C8"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b/>
          <w:bCs/>
          <w:sz w:val="18"/>
          <w:szCs w:val="18"/>
          <w:lang w:eastAsia="en-US"/>
        </w:rPr>
        <w:t>Basis of Capitalisation and Recognition Thresholds</w:t>
      </w:r>
    </w:p>
    <w:p w14:paraId="65F4C7AD" w14:textId="77777777"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sz w:val="18"/>
          <w:szCs w:val="18"/>
          <w:lang w:eastAsia="en-US"/>
        </w:rPr>
        <w:t>Items of property, plant and equipment with a historical cost or other value equal to or in excess of the following thresholds are recognised as assets for financial reporting purposes in the year of acquisition:</w:t>
      </w:r>
    </w:p>
    <w:tbl>
      <w:tblPr>
        <w:tblW w:w="0" w:type="auto"/>
        <w:tblLayout w:type="fixed"/>
        <w:tblCellMar>
          <w:left w:w="0" w:type="dxa"/>
          <w:right w:w="0" w:type="dxa"/>
        </w:tblCellMar>
        <w:tblLook w:val="04A0" w:firstRow="1" w:lastRow="0" w:firstColumn="1" w:lastColumn="0" w:noHBand="0" w:noVBand="1"/>
      </w:tblPr>
      <w:tblGrid>
        <w:gridCol w:w="4712"/>
        <w:gridCol w:w="4328"/>
      </w:tblGrid>
      <w:tr w:rsidR="00BD77D8" w:rsidRPr="00BD77D8" w14:paraId="3C7E7331" w14:textId="77777777" w:rsidTr="003057FB">
        <w:trPr>
          <w:trHeight w:hRule="exact" w:val="259"/>
        </w:trPr>
        <w:tc>
          <w:tcPr>
            <w:tcW w:w="4712" w:type="dxa"/>
            <w:tcBorders>
              <w:top w:val="none" w:sz="0" w:space="0" w:color="020000"/>
              <w:left w:val="none" w:sz="0" w:space="0" w:color="020000"/>
              <w:bottom w:val="none" w:sz="0" w:space="0" w:color="020000"/>
              <w:right w:val="none" w:sz="0" w:space="0" w:color="020000"/>
            </w:tcBorders>
            <w:vAlign w:val="center"/>
          </w:tcPr>
          <w:p w14:paraId="7793F4E8" w14:textId="77777777" w:rsidR="00B9311E" w:rsidRPr="00BD77D8" w:rsidRDefault="00B9311E" w:rsidP="00B9311E">
            <w:pPr>
              <w:spacing w:after="0" w:line="180" w:lineRule="atLeast"/>
              <w:ind w:left="1145"/>
              <w:textAlignment w:val="baseline"/>
              <w:rPr>
                <w:rFonts w:eastAsia="Arial"/>
                <w:b/>
                <w:bCs/>
                <w:sz w:val="18"/>
                <w:szCs w:val="18"/>
                <w:lang w:eastAsia="en-US"/>
              </w:rPr>
            </w:pPr>
            <w:r w:rsidRPr="00BD77D8">
              <w:rPr>
                <w:rFonts w:eastAsia="Arial"/>
                <w:sz w:val="18"/>
                <w:szCs w:val="18"/>
                <w:lang w:eastAsia="en-US"/>
              </w:rPr>
              <w:t>Buildings (including land improvements)</w:t>
            </w:r>
          </w:p>
        </w:tc>
        <w:tc>
          <w:tcPr>
            <w:tcW w:w="4328" w:type="dxa"/>
            <w:tcBorders>
              <w:top w:val="none" w:sz="0" w:space="0" w:color="020000"/>
              <w:left w:val="none" w:sz="0" w:space="0" w:color="020000"/>
              <w:bottom w:val="none" w:sz="0" w:space="0" w:color="020000"/>
              <w:right w:val="none" w:sz="0" w:space="0" w:color="020000"/>
            </w:tcBorders>
            <w:vAlign w:val="center"/>
          </w:tcPr>
          <w:p w14:paraId="022765F1" w14:textId="77777777" w:rsidR="00B9311E" w:rsidRPr="00BD77D8" w:rsidRDefault="00B9311E" w:rsidP="00B9311E">
            <w:pPr>
              <w:spacing w:after="0" w:line="180" w:lineRule="atLeast"/>
              <w:ind w:left="398"/>
              <w:textAlignment w:val="baseline"/>
              <w:rPr>
                <w:rFonts w:eastAsia="Arial"/>
                <w:b/>
                <w:bCs/>
                <w:sz w:val="18"/>
                <w:szCs w:val="18"/>
                <w:lang w:eastAsia="en-US"/>
              </w:rPr>
            </w:pPr>
            <w:r w:rsidRPr="00BD77D8">
              <w:rPr>
                <w:rFonts w:eastAsia="Arial"/>
                <w:sz w:val="18"/>
                <w:szCs w:val="18"/>
                <w:lang w:eastAsia="en-US"/>
              </w:rPr>
              <w:t>$10,000</w:t>
            </w:r>
          </w:p>
        </w:tc>
      </w:tr>
      <w:tr w:rsidR="00BD77D8" w:rsidRPr="00BD77D8" w14:paraId="506CADE3" w14:textId="77777777" w:rsidTr="003057FB">
        <w:trPr>
          <w:trHeight w:hRule="exact" w:val="207"/>
        </w:trPr>
        <w:tc>
          <w:tcPr>
            <w:tcW w:w="4712" w:type="dxa"/>
            <w:tcBorders>
              <w:top w:val="none" w:sz="0" w:space="0" w:color="020000"/>
              <w:left w:val="none" w:sz="0" w:space="0" w:color="020000"/>
              <w:bottom w:val="none" w:sz="0" w:space="0" w:color="020000"/>
              <w:right w:val="none" w:sz="0" w:space="0" w:color="020000"/>
            </w:tcBorders>
            <w:vAlign w:val="center"/>
          </w:tcPr>
          <w:p w14:paraId="5A15F1D3" w14:textId="77777777" w:rsidR="00B9311E" w:rsidRPr="00BD77D8" w:rsidRDefault="00B9311E" w:rsidP="00B9311E">
            <w:pPr>
              <w:spacing w:after="0" w:line="180" w:lineRule="atLeast"/>
              <w:ind w:left="1145"/>
              <w:textAlignment w:val="baseline"/>
              <w:rPr>
                <w:rFonts w:eastAsia="Arial"/>
                <w:b/>
                <w:bCs/>
                <w:sz w:val="18"/>
                <w:szCs w:val="18"/>
                <w:lang w:eastAsia="en-US"/>
              </w:rPr>
            </w:pPr>
            <w:r w:rsidRPr="00BD77D8">
              <w:rPr>
                <w:rFonts w:eastAsia="Arial"/>
                <w:sz w:val="18"/>
                <w:szCs w:val="18"/>
                <w:lang w:eastAsia="en-US"/>
              </w:rPr>
              <w:t>Land</w:t>
            </w:r>
          </w:p>
        </w:tc>
        <w:tc>
          <w:tcPr>
            <w:tcW w:w="4328" w:type="dxa"/>
            <w:tcBorders>
              <w:top w:val="none" w:sz="0" w:space="0" w:color="020000"/>
              <w:left w:val="none" w:sz="0" w:space="0" w:color="020000"/>
              <w:bottom w:val="none" w:sz="0" w:space="0" w:color="020000"/>
              <w:right w:val="none" w:sz="0" w:space="0" w:color="020000"/>
            </w:tcBorders>
            <w:vAlign w:val="center"/>
          </w:tcPr>
          <w:p w14:paraId="16EB0006" w14:textId="77777777" w:rsidR="00B9311E" w:rsidRPr="00BD77D8" w:rsidRDefault="00B9311E" w:rsidP="00B9311E">
            <w:pPr>
              <w:spacing w:after="0" w:line="180" w:lineRule="atLeast"/>
              <w:ind w:left="398"/>
              <w:textAlignment w:val="baseline"/>
              <w:rPr>
                <w:rFonts w:eastAsia="Arial"/>
                <w:b/>
                <w:bCs/>
                <w:sz w:val="18"/>
                <w:szCs w:val="18"/>
                <w:lang w:eastAsia="en-US"/>
              </w:rPr>
            </w:pPr>
            <w:r w:rsidRPr="00BD77D8">
              <w:rPr>
                <w:rFonts w:eastAsia="Arial"/>
                <w:sz w:val="18"/>
                <w:szCs w:val="18"/>
                <w:lang w:eastAsia="en-US"/>
              </w:rPr>
              <w:t>$1</w:t>
            </w:r>
          </w:p>
        </w:tc>
      </w:tr>
      <w:tr w:rsidR="00BD77D8" w:rsidRPr="00BD77D8" w14:paraId="404C12B4" w14:textId="77777777" w:rsidTr="003057FB">
        <w:trPr>
          <w:trHeight w:hRule="exact" w:val="207"/>
        </w:trPr>
        <w:tc>
          <w:tcPr>
            <w:tcW w:w="4712" w:type="dxa"/>
            <w:tcBorders>
              <w:top w:val="none" w:sz="0" w:space="0" w:color="020000"/>
              <w:left w:val="none" w:sz="0" w:space="0" w:color="020000"/>
              <w:bottom w:val="none" w:sz="0" w:space="0" w:color="020000"/>
              <w:right w:val="none" w:sz="0" w:space="0" w:color="020000"/>
            </w:tcBorders>
            <w:vAlign w:val="center"/>
          </w:tcPr>
          <w:p w14:paraId="7457B0C8" w14:textId="77777777" w:rsidR="00B9311E" w:rsidRPr="00BD77D8" w:rsidRDefault="00B9311E" w:rsidP="00B9311E">
            <w:pPr>
              <w:spacing w:after="0" w:line="180" w:lineRule="atLeast"/>
              <w:ind w:left="1145"/>
              <w:textAlignment w:val="baseline"/>
              <w:rPr>
                <w:rFonts w:eastAsia="Arial"/>
                <w:b/>
                <w:bCs/>
                <w:sz w:val="18"/>
                <w:szCs w:val="18"/>
                <w:lang w:eastAsia="en-US"/>
              </w:rPr>
            </w:pPr>
            <w:r w:rsidRPr="00BD77D8">
              <w:rPr>
                <w:rFonts w:eastAsia="Arial"/>
                <w:sz w:val="18"/>
                <w:szCs w:val="18"/>
                <w:lang w:eastAsia="en-US"/>
              </w:rPr>
              <w:t>Plant and equipment</w:t>
            </w:r>
          </w:p>
        </w:tc>
        <w:tc>
          <w:tcPr>
            <w:tcW w:w="4328" w:type="dxa"/>
            <w:tcBorders>
              <w:top w:val="none" w:sz="0" w:space="0" w:color="020000"/>
              <w:left w:val="none" w:sz="0" w:space="0" w:color="020000"/>
              <w:bottom w:val="none" w:sz="0" w:space="0" w:color="020000"/>
              <w:right w:val="none" w:sz="0" w:space="0" w:color="020000"/>
            </w:tcBorders>
            <w:vAlign w:val="center"/>
          </w:tcPr>
          <w:p w14:paraId="6325E842" w14:textId="77777777" w:rsidR="00B9311E" w:rsidRPr="00BD77D8" w:rsidRDefault="00B9311E" w:rsidP="00B9311E">
            <w:pPr>
              <w:spacing w:after="0" w:line="180" w:lineRule="atLeast"/>
              <w:ind w:left="398"/>
              <w:textAlignment w:val="baseline"/>
              <w:rPr>
                <w:rFonts w:eastAsia="Arial"/>
                <w:b/>
                <w:bCs/>
                <w:sz w:val="18"/>
                <w:szCs w:val="18"/>
                <w:lang w:eastAsia="en-US"/>
              </w:rPr>
            </w:pPr>
            <w:r w:rsidRPr="00BD77D8">
              <w:rPr>
                <w:rFonts w:eastAsia="Arial"/>
                <w:sz w:val="18"/>
                <w:szCs w:val="18"/>
                <w:lang w:eastAsia="en-US"/>
              </w:rPr>
              <w:t>$5,000</w:t>
            </w:r>
          </w:p>
        </w:tc>
      </w:tr>
      <w:tr w:rsidR="00B9311E" w:rsidRPr="00BD77D8" w14:paraId="4ABD838F" w14:textId="77777777" w:rsidTr="003057FB">
        <w:trPr>
          <w:trHeight w:hRule="exact" w:val="288"/>
        </w:trPr>
        <w:tc>
          <w:tcPr>
            <w:tcW w:w="4712" w:type="dxa"/>
            <w:tcBorders>
              <w:top w:val="none" w:sz="0" w:space="0" w:color="020000"/>
              <w:left w:val="none" w:sz="0" w:space="0" w:color="020000"/>
              <w:bottom w:val="none" w:sz="0" w:space="0" w:color="020000"/>
              <w:right w:val="none" w:sz="0" w:space="0" w:color="020000"/>
            </w:tcBorders>
            <w:vAlign w:val="center"/>
          </w:tcPr>
          <w:p w14:paraId="41765E5B" w14:textId="77777777" w:rsidR="00B9311E" w:rsidRPr="00BD77D8" w:rsidRDefault="00B9311E" w:rsidP="00B9311E">
            <w:pPr>
              <w:spacing w:after="0" w:line="180" w:lineRule="atLeast"/>
              <w:ind w:left="1145"/>
              <w:textAlignment w:val="baseline"/>
              <w:rPr>
                <w:rFonts w:eastAsia="Arial"/>
                <w:b/>
                <w:bCs/>
                <w:sz w:val="18"/>
                <w:szCs w:val="18"/>
                <w:lang w:eastAsia="en-US"/>
              </w:rPr>
            </w:pPr>
          </w:p>
        </w:tc>
        <w:tc>
          <w:tcPr>
            <w:tcW w:w="4328" w:type="dxa"/>
            <w:tcBorders>
              <w:top w:val="none" w:sz="0" w:space="0" w:color="020000"/>
              <w:left w:val="none" w:sz="0" w:space="0" w:color="020000"/>
              <w:bottom w:val="none" w:sz="0" w:space="0" w:color="020000"/>
              <w:right w:val="none" w:sz="0" w:space="0" w:color="020000"/>
            </w:tcBorders>
            <w:vAlign w:val="center"/>
          </w:tcPr>
          <w:p w14:paraId="750E902A" w14:textId="77777777" w:rsidR="00B9311E" w:rsidRPr="00BD77D8" w:rsidRDefault="00B9311E" w:rsidP="00B9311E">
            <w:pPr>
              <w:spacing w:after="0" w:line="180" w:lineRule="atLeast"/>
              <w:ind w:left="398"/>
              <w:textAlignment w:val="baseline"/>
              <w:rPr>
                <w:rFonts w:eastAsia="Arial"/>
                <w:b/>
                <w:bCs/>
                <w:sz w:val="18"/>
                <w:szCs w:val="18"/>
                <w:lang w:eastAsia="en-US"/>
              </w:rPr>
            </w:pPr>
          </w:p>
        </w:tc>
      </w:tr>
    </w:tbl>
    <w:p w14:paraId="636CD8CB" w14:textId="77777777" w:rsidR="00B9311E" w:rsidRPr="00BD77D8" w:rsidRDefault="00B9311E" w:rsidP="00B9311E">
      <w:pPr>
        <w:spacing w:after="0" w:line="20" w:lineRule="exact"/>
        <w:rPr>
          <w:rFonts w:eastAsia="PMingLiU"/>
          <w:b/>
          <w:bCs/>
          <w:sz w:val="18"/>
          <w:szCs w:val="18"/>
          <w:lang w:eastAsia="en-US"/>
        </w:rPr>
      </w:pPr>
    </w:p>
    <w:p w14:paraId="61C5C766"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sz w:val="18"/>
          <w:szCs w:val="18"/>
          <w:lang w:eastAsia="en-US"/>
        </w:rPr>
        <w:t>Items with a lesser value are expensed in the year of acquisition.</w:t>
      </w:r>
    </w:p>
    <w:p w14:paraId="66005552" w14:textId="77777777" w:rsidR="00B9311E" w:rsidRPr="00BD77D8" w:rsidRDefault="00B9311E" w:rsidP="00760ABD">
      <w:pPr>
        <w:spacing w:line="180" w:lineRule="atLeast"/>
        <w:ind w:right="216"/>
        <w:textAlignment w:val="baseline"/>
        <w:rPr>
          <w:rFonts w:eastAsia="Arial"/>
          <w:b/>
          <w:bCs/>
          <w:sz w:val="18"/>
          <w:szCs w:val="18"/>
          <w:lang w:eastAsia="en-US"/>
        </w:rPr>
      </w:pPr>
      <w:r w:rsidRPr="00BD77D8">
        <w:rPr>
          <w:rFonts w:eastAsia="Arial"/>
          <w:sz w:val="18"/>
          <w:szCs w:val="18"/>
          <w:lang w:eastAsia="en-US"/>
        </w:rPr>
        <w:t>Expenditure on property, plant and equipment is capitalised where it is probable that it will increase the service potential or useful life of the existing asset. Maintenance expenditure that merely restores original service potential (lost through ordinary wear and tear) is expensed.</w:t>
      </w:r>
    </w:p>
    <w:p w14:paraId="7419A57F"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sz w:val="18"/>
          <w:szCs w:val="18"/>
          <w:lang w:eastAsia="en-US"/>
        </w:rPr>
        <w:t>Separately identified components of assets are measured on the same basis as the assets to which they relate.</w:t>
      </w:r>
    </w:p>
    <w:p w14:paraId="64B8C033"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 - Cost of Acquisition</w:t>
      </w:r>
    </w:p>
    <w:p w14:paraId="3C53912B" w14:textId="77777777" w:rsidR="00B9311E" w:rsidRPr="00BD77D8" w:rsidRDefault="00B9311E" w:rsidP="00760ABD">
      <w:pPr>
        <w:spacing w:line="180" w:lineRule="atLeast"/>
        <w:ind w:right="144"/>
        <w:textAlignment w:val="baseline"/>
        <w:rPr>
          <w:rFonts w:eastAsia="Arial"/>
          <w:b/>
          <w:sz w:val="18"/>
          <w:szCs w:val="18"/>
          <w:lang w:eastAsia="en-US"/>
        </w:rPr>
      </w:pPr>
      <w:r w:rsidRPr="00BD77D8">
        <w:rPr>
          <w:rFonts w:eastAsia="Arial"/>
          <w:sz w:val="18"/>
          <w:szCs w:val="18"/>
          <w:lang w:eastAsia="en-US"/>
        </w:rPr>
        <w:t>Historical cost is used for the initial recording of all property, plant and equipment acquisitions. Historical cost is determined as the value given as consideration and costs incidental to the acquisition (such as architect's fees and engineering design fees), plus all other costs incurred in getting the assets ready for use.</w:t>
      </w:r>
    </w:p>
    <w:p w14:paraId="0AAAD28A" w14:textId="77777777" w:rsidR="00B9311E" w:rsidRPr="00BD77D8" w:rsidRDefault="00B9311E" w:rsidP="00760ABD">
      <w:pPr>
        <w:spacing w:line="180" w:lineRule="atLeast"/>
        <w:ind w:right="360"/>
        <w:textAlignment w:val="baseline"/>
        <w:rPr>
          <w:rFonts w:eastAsia="Arial"/>
          <w:b/>
          <w:sz w:val="18"/>
          <w:szCs w:val="18"/>
          <w:lang w:eastAsia="en-US"/>
        </w:rPr>
      </w:pPr>
      <w:r w:rsidRPr="00BD77D8">
        <w:rPr>
          <w:rFonts w:eastAsia="Arial"/>
          <w:sz w:val="18"/>
          <w:szCs w:val="18"/>
          <w:lang w:eastAsia="en-US"/>
        </w:rPr>
        <w:t>Where assets are received free of charge from another State Government entity, whether as a result of a Machinery-of-Government change, or other involuntary transfer, the acquisition is recognised as the carrying amount in the books of the other entity immediately prior to the transfer.</w:t>
      </w:r>
    </w:p>
    <w:p w14:paraId="6AFE6D8E" w14:textId="77777777" w:rsidR="00760ABD"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 xml:space="preserve">C4-3 Measurement Using Historical Cost </w:t>
      </w:r>
    </w:p>
    <w:p w14:paraId="3807F1C2" w14:textId="3DF7EAFB"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w:t>
      </w:r>
    </w:p>
    <w:p w14:paraId="5A432417" w14:textId="77777777" w:rsidR="00B9311E" w:rsidRPr="00BD77D8" w:rsidRDefault="00B9311E" w:rsidP="00760ABD">
      <w:pPr>
        <w:spacing w:line="180" w:lineRule="atLeast"/>
        <w:ind w:right="144"/>
        <w:textAlignment w:val="baseline"/>
        <w:rPr>
          <w:rFonts w:eastAsia="Arial"/>
          <w:b/>
          <w:sz w:val="18"/>
          <w:szCs w:val="18"/>
          <w:lang w:eastAsia="en-US"/>
        </w:rPr>
      </w:pPr>
      <w:r w:rsidRPr="00BD77D8">
        <w:rPr>
          <w:rFonts w:eastAsia="Arial"/>
          <w:sz w:val="18"/>
          <w:szCs w:val="18"/>
          <w:lang w:eastAsia="en-US"/>
        </w:rPr>
        <w:t>Plant and equipment are measured at historical cost in accordance with the Queensland Treasury’s Non-Current Asset Policies (NCAP) for the Queensland Public Sector. The carrying amounts for such plant and equipment is not materially different from their fair value.</w:t>
      </w:r>
    </w:p>
    <w:p w14:paraId="2AE8E96D" w14:textId="77777777"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 xml:space="preserve">C4-4 Measurement Using Fair Value </w:t>
      </w:r>
    </w:p>
    <w:p w14:paraId="444FD7A9" w14:textId="6CD388C0" w:rsidR="00B9311E" w:rsidRPr="00BD77D8" w:rsidRDefault="00B9311E" w:rsidP="00760ABD">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w:t>
      </w:r>
    </w:p>
    <w:p w14:paraId="1DBCD21D" w14:textId="77777777" w:rsidR="00B9311E" w:rsidRPr="00BD77D8" w:rsidRDefault="00B9311E" w:rsidP="00B9311E">
      <w:pPr>
        <w:spacing w:after="0" w:line="180" w:lineRule="atLeast"/>
        <w:textAlignment w:val="baseline"/>
        <w:rPr>
          <w:rFonts w:eastAsia="Arial"/>
          <w:b/>
          <w:sz w:val="18"/>
          <w:szCs w:val="18"/>
          <w:lang w:eastAsia="en-US"/>
        </w:rPr>
      </w:pPr>
      <w:r w:rsidRPr="00BD77D8">
        <w:rPr>
          <w:rFonts w:eastAsia="Arial"/>
          <w:sz w:val="18"/>
          <w:szCs w:val="18"/>
          <w:lang w:eastAsia="en-US"/>
        </w:rPr>
        <w:t xml:space="preserve">Land, buildings, infrastructure, major plant and equipment and heritage and cultural assets are measured at fair value as </w:t>
      </w:r>
    </w:p>
    <w:p w14:paraId="6FD55A81" w14:textId="77777777" w:rsidR="00B9311E" w:rsidRPr="00BD77D8" w:rsidRDefault="00B9311E" w:rsidP="00B9311E">
      <w:pPr>
        <w:spacing w:after="0" w:line="180" w:lineRule="atLeast"/>
        <w:textAlignment w:val="baseline"/>
        <w:rPr>
          <w:rFonts w:eastAsia="Arial"/>
          <w:b/>
          <w:sz w:val="18"/>
          <w:szCs w:val="18"/>
          <w:lang w:eastAsia="en-US"/>
        </w:rPr>
      </w:pPr>
      <w:r w:rsidRPr="00BD77D8">
        <w:rPr>
          <w:rFonts w:eastAsia="Arial"/>
          <w:sz w:val="18"/>
          <w:szCs w:val="18"/>
          <w:lang w:eastAsia="en-US"/>
        </w:rPr>
        <w:t xml:space="preserve">required by Queensland Treasury’s Non-Current Asset Policies for the Queensland Public Sector. These assets are reported at </w:t>
      </w:r>
    </w:p>
    <w:p w14:paraId="66FDFB00" w14:textId="77777777" w:rsidR="00B9311E" w:rsidRPr="00BD77D8" w:rsidRDefault="00B9311E" w:rsidP="00760ABD">
      <w:pPr>
        <w:spacing w:after="240" w:line="180" w:lineRule="atLeast"/>
        <w:textAlignment w:val="baseline"/>
        <w:rPr>
          <w:rFonts w:eastAsia="Arial"/>
          <w:b/>
          <w:sz w:val="18"/>
          <w:szCs w:val="18"/>
          <w:lang w:eastAsia="en-US"/>
        </w:rPr>
      </w:pPr>
      <w:r w:rsidRPr="00BD77D8">
        <w:rPr>
          <w:rFonts w:eastAsia="Arial"/>
          <w:sz w:val="18"/>
          <w:szCs w:val="18"/>
          <w:lang w:eastAsia="en-US"/>
        </w:rPr>
        <w:t>their revalued amounts, being the fair value at the date of valuation, less any subsequent accumulated depreciation (refer to Note C4-1).</w:t>
      </w:r>
    </w:p>
    <w:p w14:paraId="7EEBCD90" w14:textId="77777777" w:rsidR="00B9311E" w:rsidRPr="00BD77D8" w:rsidRDefault="00B9311E" w:rsidP="00760ABD">
      <w:pPr>
        <w:spacing w:after="240" w:line="180" w:lineRule="atLeast"/>
        <w:textAlignment w:val="baseline"/>
        <w:rPr>
          <w:rFonts w:eastAsia="Arial"/>
          <w:b/>
          <w:sz w:val="18"/>
          <w:szCs w:val="18"/>
          <w:lang w:eastAsia="en-US"/>
        </w:rPr>
      </w:pPr>
      <w:r w:rsidRPr="00BD77D8">
        <w:rPr>
          <w:rFonts w:eastAsia="Arial"/>
          <w:sz w:val="18"/>
          <w:szCs w:val="18"/>
          <w:lang w:eastAsia="en-US"/>
        </w:rPr>
        <w:t>The cost of items acquired during the financial year has been judged by management to materially represent their fair value at the end of the reporting period.</w:t>
      </w:r>
    </w:p>
    <w:p w14:paraId="48A118A6" w14:textId="77777777" w:rsidR="00B9311E" w:rsidRPr="00BD77D8" w:rsidRDefault="00B9311E" w:rsidP="00760ABD">
      <w:pPr>
        <w:spacing w:after="240" w:line="180" w:lineRule="atLeast"/>
        <w:textAlignment w:val="baseline"/>
        <w:rPr>
          <w:rFonts w:eastAsia="Arial"/>
          <w:b/>
          <w:sz w:val="18"/>
          <w:szCs w:val="18"/>
          <w:lang w:eastAsia="en-US"/>
        </w:rPr>
      </w:pPr>
      <w:r w:rsidRPr="00BD77D8">
        <w:rPr>
          <w:rFonts w:eastAsia="Arial"/>
          <w:sz w:val="18"/>
          <w:szCs w:val="18"/>
          <w:lang w:eastAsia="en-US"/>
        </w:rPr>
        <w:t>Comprehensive revaluations using independent professional valuers are undertaken at least once every five years, with the application of appropriate and relevant asset market indices in interceding years. However, if a particular asset class experiences significant and volatile changes in fair value, the class is subject to specific appraisal in the reporting period, where practicable, regardless of the timing of the last specific appraisal.</w:t>
      </w:r>
    </w:p>
    <w:p w14:paraId="6F3A9FBD" w14:textId="77777777" w:rsidR="00B9311E" w:rsidRPr="00BD77D8" w:rsidRDefault="00B9311E" w:rsidP="00760ABD">
      <w:pPr>
        <w:spacing w:after="240" w:line="180" w:lineRule="atLeast"/>
        <w:textAlignment w:val="baseline"/>
        <w:rPr>
          <w:rFonts w:eastAsia="Arial"/>
          <w:b/>
          <w:sz w:val="18"/>
          <w:szCs w:val="18"/>
          <w:lang w:eastAsia="en-US"/>
        </w:rPr>
      </w:pPr>
      <w:r w:rsidRPr="00BD77D8">
        <w:rPr>
          <w:rFonts w:eastAsia="Arial"/>
          <w:sz w:val="18"/>
          <w:szCs w:val="18"/>
          <w:lang w:eastAsia="en-US"/>
        </w:rPr>
        <w:t>The fair values reported by the department are based on appropriate valuation techniques that maximise the use of available and relevant observable inputs and minimise the use of unobservable inputs. Materiality is considered in determining whether the difference between the carrying amount and the fair value of an asset is material (in which case revaluation is warranted).</w:t>
      </w:r>
    </w:p>
    <w:p w14:paraId="58003A07" w14:textId="210D7092" w:rsidR="00B9311E" w:rsidRPr="00BD77D8" w:rsidRDefault="00F35846" w:rsidP="00B9311E">
      <w:pPr>
        <w:spacing w:after="0" w:line="199"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23 of 45</w:t>
      </w:r>
    </w:p>
    <w:p w14:paraId="44CFA71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6D4924C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2A1575F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45C104D" w14:textId="77777777" w:rsidR="00B9311E" w:rsidRPr="00BD77D8" w:rsidRDefault="00B9311E" w:rsidP="00B9311E">
      <w:pPr>
        <w:pBdr>
          <w:bottom w:val="single" w:sz="4" w:space="1" w:color="auto"/>
        </w:pBdr>
        <w:spacing w:after="0" w:line="250" w:lineRule="exact"/>
        <w:textAlignment w:val="baseline"/>
        <w:rPr>
          <w:rFonts w:eastAsia="Arial"/>
          <w:b/>
          <w:sz w:val="18"/>
          <w:szCs w:val="18"/>
          <w:lang w:eastAsia="en-US"/>
        </w:rPr>
      </w:pPr>
    </w:p>
    <w:p w14:paraId="73BEBC28" w14:textId="77777777" w:rsidR="00B9311E" w:rsidRPr="00BD77D8" w:rsidRDefault="00B9311E" w:rsidP="00E47A6E">
      <w:pPr>
        <w:spacing w:before="240" w:line="180" w:lineRule="atLeas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3784C927"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C4-4 Measurement Using Fair Value (continued)</w:t>
      </w:r>
    </w:p>
    <w:p w14:paraId="4BB732BF"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Use of Specific Appraisals</w:t>
      </w:r>
    </w:p>
    <w:p w14:paraId="2221B6A4" w14:textId="77777777" w:rsidR="00B9311E" w:rsidRPr="00BD77D8" w:rsidRDefault="00B9311E" w:rsidP="00140059">
      <w:pPr>
        <w:spacing w:line="240" w:lineRule="auto"/>
        <w:rPr>
          <w:rFonts w:eastAsia="PMingLiU"/>
          <w:b/>
          <w:sz w:val="18"/>
          <w:szCs w:val="18"/>
          <w:lang w:eastAsia="en-US"/>
        </w:rPr>
      </w:pPr>
      <w:r w:rsidRPr="00BD77D8">
        <w:rPr>
          <w:rFonts w:eastAsia="PMingLiU"/>
          <w:sz w:val="18"/>
          <w:szCs w:val="18"/>
          <w:lang w:eastAsia="en-US"/>
        </w:rPr>
        <w:t>The department’s land and buildings were revalued by independent professional valuers, APV Valuers &amp; Asset Management (APV) valuers certificates 2962 and 4079, in the current financial year. The effective date of the revaluation is 30 June 2022. Management have confirmed there has been no significant shift in the values since then.</w:t>
      </w:r>
    </w:p>
    <w:p w14:paraId="7C554099" w14:textId="77777777" w:rsidR="00B9311E" w:rsidRPr="00BD77D8" w:rsidRDefault="00B9311E" w:rsidP="00140059">
      <w:pPr>
        <w:spacing w:line="180" w:lineRule="atLeast"/>
        <w:rPr>
          <w:rFonts w:eastAsia="PMingLiU"/>
          <w:b/>
          <w:bCs/>
          <w:sz w:val="18"/>
          <w:szCs w:val="18"/>
          <w:lang w:eastAsia="en-US"/>
        </w:rPr>
      </w:pPr>
      <w:r w:rsidRPr="00BD77D8">
        <w:rPr>
          <w:rFonts w:eastAsia="PMingLiU"/>
          <w:b/>
          <w:bCs/>
          <w:sz w:val="18"/>
          <w:szCs w:val="18"/>
          <w:lang w:eastAsia="en-US"/>
        </w:rPr>
        <w:t>Use of Indices</w:t>
      </w:r>
    </w:p>
    <w:p w14:paraId="184E0676" w14:textId="77777777" w:rsidR="00B9311E" w:rsidRPr="00BD77D8" w:rsidRDefault="00B9311E" w:rsidP="00140059">
      <w:pPr>
        <w:spacing w:line="180" w:lineRule="atLeast"/>
        <w:rPr>
          <w:rFonts w:eastAsia="PMingLiU"/>
          <w:b/>
          <w:sz w:val="18"/>
          <w:szCs w:val="18"/>
          <w:lang w:eastAsia="en-US"/>
        </w:rPr>
      </w:pPr>
      <w:r w:rsidRPr="00BD77D8">
        <w:rPr>
          <w:rFonts w:eastAsia="PMingLiU"/>
          <w:sz w:val="18"/>
          <w:szCs w:val="18"/>
          <w:lang w:eastAsia="en-US"/>
        </w:rPr>
        <w:t>APV undertook specific appraisals of land and building assets supporting the Aboriginal and Torres Strait Islander Partnerships Service Area and undertook a desktop revaluation of land and building supporting the Disability Services and Seniors Services Service Areas. Both revaluation processes included the application of relevant land and building industry indices in the assessment of the asset values (refer to Note C4-7).</w:t>
      </w:r>
    </w:p>
    <w:p w14:paraId="221289A0" w14:textId="77777777" w:rsidR="00B9311E" w:rsidRPr="00BD77D8" w:rsidRDefault="00B9311E" w:rsidP="00140059">
      <w:pPr>
        <w:spacing w:line="180" w:lineRule="atLeast"/>
        <w:rPr>
          <w:rFonts w:eastAsia="Arial"/>
          <w:bCs/>
          <w:sz w:val="18"/>
          <w:szCs w:val="18"/>
          <w:lang w:eastAsia="en-US"/>
        </w:rPr>
      </w:pPr>
      <w:r w:rsidRPr="00BD77D8">
        <w:rPr>
          <w:rFonts w:eastAsia="PMingLiU"/>
          <w:sz w:val="18"/>
          <w:szCs w:val="18"/>
          <w:lang w:eastAsia="en-US"/>
        </w:rPr>
        <w:t>APV provides assurance of the robustness, validity and appropriateness of the indices for application to the relevant assets. Management assesses and confirms the relevance and suitability of indices provided by APV based on the department's own particular circumstances.</w:t>
      </w:r>
    </w:p>
    <w:p w14:paraId="3C367F30" w14:textId="527734CC"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Accounting for Changes in Fair Value</w:t>
      </w:r>
    </w:p>
    <w:p w14:paraId="304BB76C" w14:textId="77777777" w:rsidR="00B9311E" w:rsidRPr="00BD77D8" w:rsidRDefault="00B9311E" w:rsidP="00140059">
      <w:pPr>
        <w:spacing w:line="180" w:lineRule="atLeast"/>
        <w:ind w:right="72"/>
        <w:textAlignment w:val="baseline"/>
        <w:rPr>
          <w:rFonts w:eastAsia="Arial"/>
          <w:b/>
          <w:sz w:val="18"/>
          <w:szCs w:val="18"/>
          <w:lang w:eastAsia="en-US"/>
        </w:rPr>
      </w:pPr>
      <w:r w:rsidRPr="00BD77D8">
        <w:rPr>
          <w:rFonts w:eastAsia="Arial"/>
          <w:sz w:val="18"/>
          <w:szCs w:val="18"/>
          <w:lang w:eastAsia="en-US"/>
        </w:rPr>
        <w:t>Any revaluation increment arising on the revaluation of an asset is credited to the asset revaluation surplus of the appropriate class, except to the extent it reverses a revaluation decrement for the class previously recognised as an expense. A decrease in the carrying amount of an asset on revaluation is charged as an expense, to the extent it exceeds the balance if any, in the revaluation surplus relating to the asset class.</w:t>
      </w:r>
    </w:p>
    <w:p w14:paraId="1AB12A6B" w14:textId="77777777" w:rsidR="00B9311E" w:rsidRPr="00BD77D8" w:rsidRDefault="00B9311E" w:rsidP="00140059">
      <w:pPr>
        <w:spacing w:line="180" w:lineRule="atLeast"/>
        <w:ind w:right="72"/>
        <w:textAlignment w:val="baseline"/>
        <w:rPr>
          <w:rFonts w:eastAsia="Arial"/>
          <w:b/>
          <w:spacing w:val="1"/>
          <w:sz w:val="18"/>
          <w:szCs w:val="18"/>
          <w:lang w:eastAsia="en-US"/>
        </w:rPr>
      </w:pPr>
      <w:r w:rsidRPr="00BD77D8">
        <w:rPr>
          <w:rFonts w:eastAsia="Arial"/>
          <w:spacing w:val="1"/>
          <w:sz w:val="18"/>
          <w:szCs w:val="18"/>
          <w:lang w:eastAsia="en-US"/>
        </w:rPr>
        <w:t>The department depleted its asset revaluation reserve in the 2011-12 financial year and a $201.000M revaluation decrement was recognised. The decrement was due to the revaluation of rental housing stock at fair value prior to the asset transfer to the former Department of Housing and Public Works. The fair value of the housing stock was significantly lower than the book value due to economic factors impacting on the property market at that time.</w:t>
      </w:r>
    </w:p>
    <w:p w14:paraId="51E1733C" w14:textId="77777777" w:rsidR="00B9311E" w:rsidRPr="00BD77D8" w:rsidRDefault="00B9311E" w:rsidP="00140059">
      <w:pPr>
        <w:spacing w:line="180" w:lineRule="atLeast"/>
        <w:ind w:right="144"/>
        <w:textAlignment w:val="baseline"/>
        <w:rPr>
          <w:rFonts w:eastAsia="Arial"/>
          <w:b/>
          <w:sz w:val="18"/>
          <w:szCs w:val="18"/>
          <w:lang w:eastAsia="en-US"/>
        </w:rPr>
      </w:pPr>
      <w:r w:rsidRPr="00BD77D8">
        <w:rPr>
          <w:rFonts w:eastAsia="Arial"/>
          <w:sz w:val="18"/>
          <w:szCs w:val="18"/>
          <w:lang w:eastAsia="en-US"/>
        </w:rPr>
        <w:t>In accordance with Australian Accounting Standards, the revaluation increment on the department’s land and buildings in 2021-22 has been recognised as revenue in the statement of comprehensive income, as a reversal of the revaluation decrement.</w:t>
      </w:r>
    </w:p>
    <w:p w14:paraId="377B9550" w14:textId="77777777" w:rsidR="00B9311E" w:rsidRPr="00BD77D8" w:rsidRDefault="00B9311E" w:rsidP="00140059">
      <w:pPr>
        <w:spacing w:line="180" w:lineRule="atLeast"/>
        <w:ind w:right="792"/>
        <w:textAlignment w:val="baseline"/>
        <w:rPr>
          <w:rFonts w:eastAsia="Arial"/>
          <w:b/>
          <w:sz w:val="18"/>
          <w:szCs w:val="18"/>
          <w:lang w:eastAsia="en-US"/>
        </w:rPr>
      </w:pPr>
      <w:r w:rsidRPr="00BD77D8">
        <w:rPr>
          <w:rFonts w:eastAsia="Arial"/>
          <w:sz w:val="18"/>
          <w:szCs w:val="18"/>
          <w:lang w:eastAsia="en-US"/>
        </w:rPr>
        <w:t>As at 30 June 2022, the carrying amount of the asset revaluation decrements were $64.892M (2020-21: $71.187M) for land and $53.1201M (2020-21: $75.394M) for buildings.</w:t>
      </w:r>
    </w:p>
    <w:p w14:paraId="33946803" w14:textId="77777777" w:rsidR="00140059"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C4-5 Depreciation Expense</w:t>
      </w:r>
    </w:p>
    <w:p w14:paraId="532C8EE9" w14:textId="20172934"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w:t>
      </w:r>
    </w:p>
    <w:p w14:paraId="3688A28C" w14:textId="77777777" w:rsidR="00B9311E" w:rsidRPr="00BD77D8" w:rsidRDefault="00B9311E" w:rsidP="00140059">
      <w:pPr>
        <w:spacing w:line="180" w:lineRule="atLeast"/>
        <w:ind w:right="360"/>
        <w:textAlignment w:val="baseline"/>
        <w:rPr>
          <w:rFonts w:eastAsia="Arial"/>
          <w:b/>
          <w:sz w:val="18"/>
          <w:szCs w:val="18"/>
          <w:lang w:eastAsia="en-US"/>
        </w:rPr>
      </w:pPr>
      <w:r w:rsidRPr="00BD77D8">
        <w:rPr>
          <w:rFonts w:eastAsia="Arial"/>
          <w:sz w:val="18"/>
          <w:szCs w:val="18"/>
          <w:lang w:eastAsia="en-US"/>
        </w:rPr>
        <w:t>Property, plant and equipment is depreciated on a straight-line basis so as to allocate the net cost or revalued amount of each asset, less any estimated residual value, progressively over its estimated useful life to the department. The remaining useful lives of buildings, plant and equipment are reviewed annually.</w:t>
      </w:r>
    </w:p>
    <w:p w14:paraId="0BB0D05B"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Land is not depreciated as it has an unlimited useful life.</w:t>
      </w:r>
    </w:p>
    <w:p w14:paraId="461E8D51" w14:textId="77777777" w:rsidR="00B9311E" w:rsidRPr="00BD77D8" w:rsidRDefault="00B9311E" w:rsidP="00140059">
      <w:pPr>
        <w:spacing w:line="180" w:lineRule="atLeast"/>
        <w:ind w:right="360"/>
        <w:textAlignment w:val="baseline"/>
        <w:rPr>
          <w:rFonts w:eastAsia="Arial"/>
          <w:b/>
          <w:sz w:val="18"/>
          <w:szCs w:val="18"/>
          <w:lang w:eastAsia="en-US"/>
        </w:rPr>
      </w:pPr>
      <w:r w:rsidRPr="00BD77D8">
        <w:rPr>
          <w:rFonts w:eastAsia="Arial"/>
          <w:sz w:val="18"/>
          <w:szCs w:val="18"/>
          <w:lang w:eastAsia="en-US"/>
        </w:rPr>
        <w:t>Straight line depreciation is used as that is consistent with the even consumption of service potential of these assets over their useful life to the department.</w:t>
      </w:r>
    </w:p>
    <w:p w14:paraId="79780D3B" w14:textId="77777777" w:rsidR="00B9311E" w:rsidRPr="00BD77D8" w:rsidRDefault="00B9311E" w:rsidP="00140059">
      <w:pPr>
        <w:spacing w:line="180" w:lineRule="atLeast"/>
        <w:ind w:right="144"/>
        <w:textAlignment w:val="baseline"/>
        <w:rPr>
          <w:rFonts w:eastAsia="Arial"/>
          <w:b/>
          <w:sz w:val="18"/>
          <w:szCs w:val="18"/>
          <w:lang w:eastAsia="en-US"/>
        </w:rPr>
      </w:pPr>
      <w:r w:rsidRPr="00BD77D8">
        <w:rPr>
          <w:rFonts w:eastAsia="Arial"/>
          <w:sz w:val="18"/>
          <w:szCs w:val="18"/>
          <w:lang w:eastAsia="en-US"/>
        </w:rPr>
        <w:t>Assets under construction (work-in-progress) are not depreciated until construction is complete and the asset is put to use or is ready for its intended use, whichever is the earlier. These assets are then reclassified to the relevant class within property, plant and equipment.</w:t>
      </w:r>
    </w:p>
    <w:p w14:paraId="645DC903" w14:textId="77777777" w:rsidR="00B9311E" w:rsidRPr="00BD77D8" w:rsidRDefault="00B9311E" w:rsidP="00140059">
      <w:pPr>
        <w:spacing w:after="240" w:line="180" w:lineRule="atLeast"/>
        <w:ind w:right="216"/>
        <w:textAlignment w:val="baseline"/>
        <w:rPr>
          <w:rFonts w:eastAsia="Arial"/>
          <w:b/>
          <w:sz w:val="18"/>
          <w:szCs w:val="18"/>
          <w:lang w:eastAsia="en-US"/>
        </w:rPr>
      </w:pPr>
      <w:r w:rsidRPr="00BD77D8">
        <w:rPr>
          <w:rFonts w:eastAsia="Arial"/>
          <w:sz w:val="18"/>
          <w:szCs w:val="18"/>
          <w:lang w:eastAsia="en-US"/>
        </w:rPr>
        <w:t xml:space="preserve">The depreciable </w:t>
      </w:r>
      <w:proofErr w:type="gramStart"/>
      <w:r w:rsidRPr="00BD77D8">
        <w:rPr>
          <w:rFonts w:eastAsia="Arial"/>
          <w:sz w:val="18"/>
          <w:szCs w:val="18"/>
          <w:lang w:eastAsia="en-US"/>
        </w:rPr>
        <w:t>amount</w:t>
      </w:r>
      <w:proofErr w:type="gramEnd"/>
      <w:r w:rsidRPr="00BD77D8">
        <w:rPr>
          <w:rFonts w:eastAsia="Arial"/>
          <w:sz w:val="18"/>
          <w:szCs w:val="18"/>
          <w:lang w:eastAsia="en-US"/>
        </w:rPr>
        <w:t xml:space="preserve"> of improvements to or on leasehold land is allocated progressively over the estimated useful lives of the improvements or the unexpired period of the lease, whichever is the shorter. The unexpired period of a lease includes any option period where exercise of the option is probable.</w:t>
      </w:r>
    </w:p>
    <w:p w14:paraId="3ADB4F06" w14:textId="0A736D67" w:rsidR="00CC5C24" w:rsidRPr="00BD77D8" w:rsidRDefault="00B9311E" w:rsidP="00140059">
      <w:pPr>
        <w:spacing w:after="240" w:line="180" w:lineRule="atLeast"/>
        <w:ind w:right="72"/>
        <w:textAlignment w:val="baseline"/>
        <w:rPr>
          <w:rFonts w:eastAsia="Arial"/>
          <w:sz w:val="18"/>
          <w:szCs w:val="18"/>
          <w:lang w:eastAsia="en-US"/>
        </w:rPr>
      </w:pPr>
      <w:r w:rsidRPr="00BD77D8">
        <w:rPr>
          <w:rFonts w:eastAsia="Arial"/>
          <w:sz w:val="18"/>
          <w:szCs w:val="18"/>
          <w:lang w:eastAsia="en-US"/>
        </w:rPr>
        <w:t>For the department's depreciable assets, the estimated amount to be received on the disposal at the end of their useful life (residual value) is determined to be zero.</w:t>
      </w:r>
    </w:p>
    <w:p w14:paraId="617E8700" w14:textId="054D6AA2" w:rsidR="00CC5C24" w:rsidRPr="00BD77D8" w:rsidRDefault="00CC5C24" w:rsidP="00B9311E">
      <w:pPr>
        <w:spacing w:after="0" w:line="180" w:lineRule="atLeast"/>
        <w:ind w:right="72"/>
        <w:textAlignment w:val="baseline"/>
        <w:rPr>
          <w:rFonts w:eastAsia="Arial"/>
          <w:bCs/>
          <w:sz w:val="18"/>
          <w:szCs w:val="18"/>
          <w:lang w:eastAsia="en-US"/>
        </w:rPr>
      </w:pP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Pr="00BD77D8">
        <w:rPr>
          <w:rFonts w:eastAsia="Arial"/>
          <w:b/>
          <w:sz w:val="18"/>
          <w:szCs w:val="18"/>
          <w:lang w:eastAsia="en-US"/>
        </w:rPr>
        <w:tab/>
      </w:r>
      <w:r w:rsidR="0040288C" w:rsidRPr="00BD77D8">
        <w:rPr>
          <w:rFonts w:eastAsia="Arial"/>
          <w:bCs/>
          <w:sz w:val="18"/>
          <w:szCs w:val="18"/>
          <w:lang w:eastAsia="en-US"/>
        </w:rPr>
        <w:t>Page 24 of 45</w:t>
      </w:r>
    </w:p>
    <w:p w14:paraId="3568622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00897A3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3522248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9DF8696"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6996CD54" w14:textId="77777777" w:rsidR="00B9311E" w:rsidRPr="00BD77D8" w:rsidRDefault="00B9311E" w:rsidP="00E47A6E">
      <w:pPr>
        <w:spacing w:before="240" w:line="250" w:lineRule="exac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6A8FB007"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C4-5 Depreciation Expense (continued)</w:t>
      </w:r>
    </w:p>
    <w:p w14:paraId="14686197"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Depreciation Rates</w:t>
      </w:r>
    </w:p>
    <w:p w14:paraId="28856C3C"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Key Estimates: Depreciation rates for each class of depreciable asset (including significant identifiable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268"/>
        <w:gridCol w:w="2551"/>
      </w:tblGrid>
      <w:tr w:rsidR="00BD77D8" w:rsidRPr="00BD77D8" w14:paraId="7BFABC30" w14:textId="77777777" w:rsidTr="00140059">
        <w:tc>
          <w:tcPr>
            <w:tcW w:w="3114" w:type="dxa"/>
          </w:tcPr>
          <w:p w14:paraId="4D7BF14A" w14:textId="713E5041"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Asset</w:t>
            </w:r>
          </w:p>
        </w:tc>
        <w:tc>
          <w:tcPr>
            <w:tcW w:w="2268" w:type="dxa"/>
          </w:tcPr>
          <w:p w14:paraId="26E4806C" w14:textId="4F5202AF"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Range of Useful Life</w:t>
            </w:r>
          </w:p>
        </w:tc>
        <w:tc>
          <w:tcPr>
            <w:tcW w:w="2551" w:type="dxa"/>
          </w:tcPr>
          <w:p w14:paraId="271F6F3A" w14:textId="00EA15FB"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Average Useful Life</w:t>
            </w:r>
          </w:p>
        </w:tc>
      </w:tr>
      <w:tr w:rsidR="00BD77D8" w:rsidRPr="00BD77D8" w14:paraId="2A51A4E0" w14:textId="77777777" w:rsidTr="00140059">
        <w:tc>
          <w:tcPr>
            <w:tcW w:w="3114" w:type="dxa"/>
          </w:tcPr>
          <w:p w14:paraId="5D127F83" w14:textId="02BC2BB5"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Buildings</w:t>
            </w:r>
          </w:p>
        </w:tc>
        <w:tc>
          <w:tcPr>
            <w:tcW w:w="2268" w:type="dxa"/>
          </w:tcPr>
          <w:p w14:paraId="29B2AB05" w14:textId="39DD834D"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23 – 97 years</w:t>
            </w:r>
            <w:r w:rsidRPr="00BD77D8">
              <w:rPr>
                <w:rFonts w:ascii="Arial" w:eastAsia="Arial" w:hAnsi="Arial"/>
                <w:sz w:val="18"/>
                <w:szCs w:val="18"/>
                <w:lang w:eastAsia="en-US"/>
              </w:rPr>
              <w:tab/>
            </w:r>
          </w:p>
        </w:tc>
        <w:tc>
          <w:tcPr>
            <w:tcW w:w="2551" w:type="dxa"/>
          </w:tcPr>
          <w:p w14:paraId="46579DE8" w14:textId="44664495"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58</w:t>
            </w:r>
          </w:p>
        </w:tc>
      </w:tr>
      <w:tr w:rsidR="00BD77D8" w:rsidRPr="00BD77D8" w14:paraId="1BC1FAF0" w14:textId="77777777" w:rsidTr="00140059">
        <w:tc>
          <w:tcPr>
            <w:tcW w:w="3114" w:type="dxa"/>
          </w:tcPr>
          <w:p w14:paraId="192EE5D1" w14:textId="4FAB40F4"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Plant and Equipment</w:t>
            </w:r>
          </w:p>
        </w:tc>
        <w:tc>
          <w:tcPr>
            <w:tcW w:w="2268" w:type="dxa"/>
          </w:tcPr>
          <w:p w14:paraId="37333E7F" w14:textId="4876FD32"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2 – 19 years</w:t>
            </w:r>
          </w:p>
        </w:tc>
        <w:tc>
          <w:tcPr>
            <w:tcW w:w="2551" w:type="dxa"/>
          </w:tcPr>
          <w:p w14:paraId="43F1511F" w14:textId="6E252924" w:rsidR="00140059" w:rsidRPr="00BD77D8" w:rsidRDefault="00140059" w:rsidP="00B9311E">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12</w:t>
            </w:r>
          </w:p>
        </w:tc>
      </w:tr>
    </w:tbl>
    <w:p w14:paraId="0FF3314D" w14:textId="77777777" w:rsidR="00B9311E" w:rsidRPr="00BD77D8" w:rsidRDefault="00B9311E" w:rsidP="00140059">
      <w:pPr>
        <w:spacing w:before="200" w:line="180" w:lineRule="atLeast"/>
        <w:textAlignment w:val="baseline"/>
        <w:rPr>
          <w:rFonts w:eastAsia="Arial"/>
          <w:b/>
          <w:bCs/>
          <w:spacing w:val="4"/>
          <w:sz w:val="18"/>
          <w:szCs w:val="18"/>
          <w:lang w:eastAsia="en-US"/>
        </w:rPr>
      </w:pPr>
      <w:r w:rsidRPr="00BD77D8">
        <w:rPr>
          <w:rFonts w:eastAsia="Arial"/>
          <w:b/>
          <w:bCs/>
          <w:spacing w:val="4"/>
          <w:sz w:val="18"/>
          <w:szCs w:val="18"/>
          <w:lang w:eastAsia="en-US"/>
        </w:rPr>
        <w:t>C4-6 Impairment</w:t>
      </w:r>
    </w:p>
    <w:p w14:paraId="2DFB99B9"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 - Property, Plant and Equipment</w:t>
      </w:r>
    </w:p>
    <w:p w14:paraId="7FCDA9A6" w14:textId="77777777" w:rsidR="00B9311E" w:rsidRPr="00BD77D8" w:rsidRDefault="00B9311E" w:rsidP="00140059">
      <w:pPr>
        <w:spacing w:line="180" w:lineRule="atLeast"/>
        <w:textAlignment w:val="baseline"/>
        <w:rPr>
          <w:rFonts w:eastAsia="Arial"/>
          <w:bCs/>
          <w:sz w:val="18"/>
          <w:szCs w:val="18"/>
          <w:lang w:eastAsia="en-US"/>
        </w:rPr>
      </w:pPr>
      <w:r w:rsidRPr="00BD77D8">
        <w:rPr>
          <w:rFonts w:eastAsia="Arial"/>
          <w:sz w:val="18"/>
          <w:szCs w:val="18"/>
          <w:lang w:eastAsia="en-US"/>
        </w:rPr>
        <w:t>Indicators of Impairment and Determining Recoverable Amount</w:t>
      </w:r>
    </w:p>
    <w:p w14:paraId="5C5B9E3B" w14:textId="77777777" w:rsidR="00B9311E" w:rsidRPr="00BD77D8" w:rsidRDefault="00B9311E" w:rsidP="00140059">
      <w:pPr>
        <w:spacing w:line="180" w:lineRule="atLeast"/>
        <w:ind w:right="144"/>
        <w:textAlignment w:val="baseline"/>
        <w:rPr>
          <w:rFonts w:eastAsia="Arial"/>
          <w:b/>
          <w:spacing w:val="-1"/>
          <w:sz w:val="18"/>
          <w:szCs w:val="18"/>
          <w:lang w:eastAsia="en-US"/>
        </w:rPr>
      </w:pPr>
      <w:r w:rsidRPr="00BD77D8">
        <w:rPr>
          <w:rFonts w:eastAsia="Arial"/>
          <w:spacing w:val="-1"/>
          <w:sz w:val="18"/>
          <w:szCs w:val="18"/>
          <w:lang w:eastAsia="en-US"/>
        </w:rPr>
        <w:t xml:space="preserve">All property, plant and equipment assets are assessed for indicators of impairment on an annual basis or, where the asset is measured at fair value, for indicators of a change in fair value/service potential since the last valuation was completed. </w:t>
      </w:r>
    </w:p>
    <w:p w14:paraId="3609F0A0" w14:textId="77777777" w:rsidR="00B9311E" w:rsidRPr="00BD77D8" w:rsidRDefault="00B9311E" w:rsidP="00140059">
      <w:pPr>
        <w:spacing w:line="180" w:lineRule="atLeast"/>
        <w:ind w:right="144"/>
        <w:textAlignment w:val="baseline"/>
        <w:rPr>
          <w:rFonts w:eastAsia="Arial"/>
          <w:b/>
          <w:spacing w:val="-1"/>
          <w:sz w:val="18"/>
          <w:szCs w:val="18"/>
          <w:lang w:eastAsia="en-US"/>
        </w:rPr>
      </w:pPr>
      <w:r w:rsidRPr="00BD77D8">
        <w:rPr>
          <w:rFonts w:eastAsia="Arial"/>
          <w:spacing w:val="-1"/>
          <w:sz w:val="18"/>
          <w:szCs w:val="18"/>
          <w:lang w:eastAsia="en-US"/>
        </w:rPr>
        <w:t xml:space="preserve">Where indicators of a material change in fair value or service potential since the last valuation arise, the asset is revalued at the reporting date under AASB 13 </w:t>
      </w:r>
      <w:r w:rsidRPr="00BD77D8">
        <w:rPr>
          <w:rFonts w:eastAsia="Arial"/>
          <w:i/>
          <w:spacing w:val="-1"/>
          <w:sz w:val="18"/>
          <w:szCs w:val="18"/>
          <w:lang w:eastAsia="en-US"/>
        </w:rPr>
        <w:t xml:space="preserve">Fair Value Measurement. </w:t>
      </w:r>
      <w:r w:rsidRPr="00BD77D8">
        <w:rPr>
          <w:rFonts w:eastAsia="Arial"/>
          <w:spacing w:val="-1"/>
          <w:sz w:val="18"/>
          <w:szCs w:val="18"/>
          <w:lang w:eastAsia="en-US"/>
        </w:rPr>
        <w:t xml:space="preserve">If an indicator of possible impairment exists, the department determines the asset's recoverable amount under AASB 136 </w:t>
      </w:r>
      <w:r w:rsidRPr="00BD77D8">
        <w:rPr>
          <w:rFonts w:eastAsia="Arial"/>
          <w:i/>
          <w:spacing w:val="-1"/>
          <w:sz w:val="18"/>
          <w:szCs w:val="18"/>
          <w:lang w:eastAsia="en-US"/>
        </w:rPr>
        <w:t>Impairment of Assets</w:t>
      </w:r>
      <w:r w:rsidRPr="00BD77D8">
        <w:rPr>
          <w:rFonts w:eastAsia="Arial"/>
          <w:spacing w:val="-1"/>
          <w:sz w:val="18"/>
          <w:szCs w:val="18"/>
          <w:lang w:eastAsia="en-US"/>
        </w:rPr>
        <w:t>. Recoverable amount is equal to the higher of the fair value less costs of disposal.</w:t>
      </w:r>
    </w:p>
    <w:p w14:paraId="41E217EA" w14:textId="77777777" w:rsidR="00B9311E" w:rsidRPr="00BD77D8" w:rsidRDefault="00B9311E" w:rsidP="00140059">
      <w:pPr>
        <w:spacing w:line="180" w:lineRule="atLeast"/>
        <w:textAlignment w:val="baseline"/>
        <w:rPr>
          <w:rFonts w:eastAsia="Arial"/>
          <w:b/>
          <w:bCs/>
          <w:spacing w:val="2"/>
          <w:sz w:val="18"/>
          <w:szCs w:val="18"/>
          <w:lang w:eastAsia="en-US"/>
        </w:rPr>
      </w:pPr>
      <w:r w:rsidRPr="00BD77D8">
        <w:rPr>
          <w:rFonts w:eastAsia="Arial"/>
          <w:b/>
          <w:bCs/>
          <w:spacing w:val="2"/>
          <w:sz w:val="18"/>
          <w:szCs w:val="18"/>
          <w:lang w:eastAsia="en-US"/>
        </w:rPr>
        <w:t>C4-7 Fair Value Measurement</w:t>
      </w:r>
    </w:p>
    <w:p w14:paraId="64386560" w14:textId="77777777" w:rsidR="00B9311E" w:rsidRPr="00BD77D8" w:rsidRDefault="00B9311E" w:rsidP="00140059">
      <w:pPr>
        <w:spacing w:line="180" w:lineRule="atLeast"/>
        <w:textAlignment w:val="baseline"/>
        <w:rPr>
          <w:rFonts w:eastAsia="Arial"/>
          <w:b/>
          <w:bCs/>
          <w:sz w:val="18"/>
          <w:szCs w:val="18"/>
          <w:lang w:eastAsia="en-US"/>
        </w:rPr>
      </w:pPr>
      <w:r w:rsidRPr="00BD77D8">
        <w:rPr>
          <w:rFonts w:eastAsia="Arial"/>
          <w:b/>
          <w:bCs/>
          <w:sz w:val="18"/>
          <w:szCs w:val="18"/>
          <w:lang w:eastAsia="en-US"/>
        </w:rPr>
        <w:t>Fair Value Measurement Hierarchy</w:t>
      </w:r>
    </w:p>
    <w:p w14:paraId="316AC200" w14:textId="77777777" w:rsidR="00B9311E" w:rsidRPr="00BD77D8" w:rsidRDefault="00B9311E" w:rsidP="00140059">
      <w:pPr>
        <w:spacing w:line="180" w:lineRule="atLeast"/>
        <w:ind w:right="576"/>
        <w:textAlignment w:val="baseline"/>
        <w:rPr>
          <w:rFonts w:eastAsia="Arial"/>
          <w:b/>
          <w:sz w:val="18"/>
          <w:szCs w:val="18"/>
          <w:lang w:eastAsia="en-US"/>
        </w:rPr>
      </w:pPr>
      <w:r w:rsidRPr="00BD77D8">
        <w:rPr>
          <w:rFonts w:eastAsia="Arial"/>
          <w:sz w:val="18"/>
          <w:szCs w:val="18"/>
          <w:lang w:eastAsia="en-US"/>
        </w:rPr>
        <w:t>All assets of the department for which fair value is measured are categorised within the following fair value hierarchy:</w:t>
      </w:r>
    </w:p>
    <w:p w14:paraId="322B9B83" w14:textId="77777777" w:rsidR="00B9311E" w:rsidRPr="00BD77D8" w:rsidRDefault="00B9311E" w:rsidP="003954C5">
      <w:pPr>
        <w:numPr>
          <w:ilvl w:val="0"/>
          <w:numId w:val="74"/>
        </w:numPr>
        <w:spacing w:line="180" w:lineRule="atLeast"/>
        <w:ind w:left="720" w:right="576" w:hanging="720"/>
        <w:textAlignment w:val="baseline"/>
        <w:rPr>
          <w:rFonts w:eastAsia="Arial"/>
          <w:b/>
          <w:sz w:val="18"/>
          <w:szCs w:val="18"/>
          <w:lang w:eastAsia="en-US"/>
        </w:rPr>
      </w:pPr>
      <w:r w:rsidRPr="00BD77D8">
        <w:rPr>
          <w:rFonts w:eastAsia="Arial"/>
          <w:sz w:val="18"/>
          <w:szCs w:val="18"/>
          <w:lang w:eastAsia="en-US"/>
        </w:rPr>
        <w:t>level 1 - represents fair value measurements that reflect unadjusted quoted market prices in active markets for identical assets and liabilities;</w:t>
      </w:r>
    </w:p>
    <w:p w14:paraId="024AD5F9" w14:textId="77777777" w:rsidR="00B9311E" w:rsidRPr="00BD77D8" w:rsidRDefault="00B9311E" w:rsidP="003954C5">
      <w:pPr>
        <w:numPr>
          <w:ilvl w:val="0"/>
          <w:numId w:val="74"/>
        </w:numPr>
        <w:spacing w:line="180" w:lineRule="atLeast"/>
        <w:ind w:left="720" w:right="576" w:hanging="720"/>
        <w:textAlignment w:val="baseline"/>
        <w:rPr>
          <w:rFonts w:eastAsia="Arial"/>
          <w:b/>
          <w:sz w:val="18"/>
          <w:szCs w:val="18"/>
          <w:lang w:eastAsia="en-US"/>
        </w:rPr>
      </w:pPr>
      <w:r w:rsidRPr="00BD77D8">
        <w:rPr>
          <w:rFonts w:eastAsia="Arial"/>
          <w:sz w:val="18"/>
          <w:szCs w:val="18"/>
          <w:lang w:eastAsia="en-US"/>
        </w:rPr>
        <w:t>level 2 - represents fair value measurements that are substantially derived from inputs (other than quoted prices included within level 1) that are observable, either directly or indirectly; and</w:t>
      </w:r>
    </w:p>
    <w:p w14:paraId="6142C5D0" w14:textId="77777777" w:rsidR="00B9311E" w:rsidRPr="00BD77D8" w:rsidRDefault="00B9311E" w:rsidP="003954C5">
      <w:pPr>
        <w:numPr>
          <w:ilvl w:val="0"/>
          <w:numId w:val="74"/>
        </w:numPr>
        <w:spacing w:line="180" w:lineRule="atLeast"/>
        <w:ind w:left="720" w:right="288" w:hanging="720"/>
        <w:textAlignment w:val="baseline"/>
        <w:rPr>
          <w:rFonts w:eastAsia="Arial"/>
          <w:b/>
          <w:spacing w:val="-1"/>
          <w:sz w:val="18"/>
          <w:szCs w:val="18"/>
          <w:lang w:eastAsia="en-US"/>
        </w:rPr>
      </w:pPr>
      <w:r w:rsidRPr="00BD77D8">
        <w:rPr>
          <w:rFonts w:eastAsia="Arial"/>
          <w:spacing w:val="-1"/>
          <w:sz w:val="18"/>
          <w:szCs w:val="18"/>
          <w:lang w:eastAsia="en-US"/>
        </w:rPr>
        <w:t xml:space="preserve">level 3 - represents fair value measurements that are substantially derived from unobservable inputs. </w:t>
      </w:r>
    </w:p>
    <w:p w14:paraId="2AE872B6" w14:textId="77777777" w:rsidR="00B9311E" w:rsidRPr="00BD77D8" w:rsidRDefault="00B9311E" w:rsidP="00140059">
      <w:pPr>
        <w:tabs>
          <w:tab w:val="left" w:pos="720"/>
        </w:tabs>
        <w:spacing w:line="180" w:lineRule="atLeast"/>
        <w:ind w:right="288"/>
        <w:textAlignment w:val="baseline"/>
        <w:rPr>
          <w:rFonts w:eastAsia="Arial"/>
          <w:b/>
          <w:spacing w:val="-1"/>
          <w:sz w:val="18"/>
          <w:szCs w:val="18"/>
          <w:lang w:eastAsia="en-US"/>
        </w:rPr>
      </w:pPr>
      <w:r w:rsidRPr="00BD77D8">
        <w:rPr>
          <w:rFonts w:eastAsia="Arial"/>
          <w:spacing w:val="-1"/>
          <w:sz w:val="18"/>
          <w:szCs w:val="18"/>
          <w:lang w:eastAsia="en-US"/>
        </w:rPr>
        <w:t>None of the department’s valuations of assets or liabilities are eligible for categorisation into level 1.</w:t>
      </w:r>
    </w:p>
    <w:p w14:paraId="46A5DDB6" w14:textId="77777777" w:rsidR="00B9311E" w:rsidRPr="00BD77D8" w:rsidRDefault="00B9311E" w:rsidP="00140059">
      <w:pPr>
        <w:spacing w:line="206" w:lineRule="exact"/>
        <w:textAlignment w:val="baseline"/>
        <w:rPr>
          <w:rFonts w:eastAsia="Arial"/>
          <w:b/>
          <w:bCs/>
          <w:sz w:val="18"/>
          <w:szCs w:val="18"/>
          <w:lang w:eastAsia="en-US"/>
        </w:rPr>
      </w:pPr>
      <w:r w:rsidRPr="00BD77D8">
        <w:rPr>
          <w:rFonts w:eastAsia="Arial"/>
          <w:b/>
          <w:bCs/>
          <w:sz w:val="18"/>
          <w:szCs w:val="18"/>
          <w:lang w:eastAsia="en-US"/>
        </w:rPr>
        <w:t>Categorisation of Assets Measured at Fair Value</w:t>
      </w:r>
    </w:p>
    <w:tbl>
      <w:tblPr>
        <w:tblW w:w="0" w:type="auto"/>
        <w:tblCellMar>
          <w:left w:w="0" w:type="dxa"/>
          <w:right w:w="0" w:type="dxa"/>
        </w:tblCellMar>
        <w:tblLook w:val="04A0" w:firstRow="1" w:lastRow="0" w:firstColumn="1" w:lastColumn="0" w:noHBand="0" w:noVBand="1"/>
      </w:tblPr>
      <w:tblGrid>
        <w:gridCol w:w="1302"/>
        <w:gridCol w:w="280"/>
        <w:gridCol w:w="1454"/>
        <w:gridCol w:w="1455"/>
        <w:gridCol w:w="1510"/>
        <w:gridCol w:w="1522"/>
        <w:gridCol w:w="1399"/>
        <w:gridCol w:w="1399"/>
      </w:tblGrid>
      <w:tr w:rsidR="00BD77D8" w:rsidRPr="00BD77D8" w14:paraId="349AF094" w14:textId="77777777" w:rsidTr="00140059">
        <w:trPr>
          <w:trHeight w:val="271"/>
        </w:trPr>
        <w:tc>
          <w:tcPr>
            <w:tcW w:w="1303" w:type="dxa"/>
            <w:tcBorders>
              <w:top w:val="nil"/>
              <w:left w:val="nil"/>
              <w:bottom w:val="nil"/>
              <w:right w:val="nil"/>
            </w:tcBorders>
            <w:shd w:val="clear" w:color="auto" w:fill="auto"/>
            <w:noWrap/>
            <w:vAlign w:val="center"/>
            <w:hideMark/>
          </w:tcPr>
          <w:p w14:paraId="3E887C3E" w14:textId="77777777" w:rsidR="00B9311E" w:rsidRPr="00BD77D8" w:rsidRDefault="00B9311E" w:rsidP="00B9311E">
            <w:pPr>
              <w:spacing w:after="0" w:line="240" w:lineRule="auto"/>
              <w:rPr>
                <w:rFonts w:ascii="Times New Roman" w:hAnsi="Times New Roman" w:cs="Times New Roman"/>
                <w:sz w:val="24"/>
                <w:szCs w:val="24"/>
              </w:rPr>
            </w:pPr>
          </w:p>
        </w:tc>
        <w:tc>
          <w:tcPr>
            <w:tcW w:w="267" w:type="dxa"/>
            <w:tcBorders>
              <w:top w:val="nil"/>
              <w:left w:val="nil"/>
              <w:bottom w:val="nil"/>
              <w:right w:val="nil"/>
            </w:tcBorders>
            <w:shd w:val="clear" w:color="auto" w:fill="auto"/>
            <w:noWrap/>
            <w:vAlign w:val="center"/>
            <w:hideMark/>
          </w:tcPr>
          <w:p w14:paraId="151330F7" w14:textId="77777777" w:rsidR="00B9311E" w:rsidRPr="00BD77D8" w:rsidRDefault="00B9311E" w:rsidP="00B9311E">
            <w:pPr>
              <w:spacing w:after="0" w:line="240" w:lineRule="auto"/>
              <w:ind w:firstLineChars="1500" w:firstLine="3000"/>
              <w:rPr>
                <w:rFonts w:ascii="Times New Roman" w:hAnsi="Times New Roman" w:cs="Times New Roman"/>
                <w:sz w:val="20"/>
                <w:szCs w:val="20"/>
              </w:rPr>
            </w:pPr>
          </w:p>
        </w:tc>
        <w:tc>
          <w:tcPr>
            <w:tcW w:w="2913" w:type="dxa"/>
            <w:gridSpan w:val="2"/>
            <w:tcBorders>
              <w:top w:val="nil"/>
              <w:left w:val="nil"/>
              <w:bottom w:val="nil"/>
              <w:right w:val="nil"/>
            </w:tcBorders>
            <w:shd w:val="clear" w:color="auto" w:fill="auto"/>
            <w:noWrap/>
            <w:vAlign w:val="center"/>
            <w:hideMark/>
          </w:tcPr>
          <w:p w14:paraId="1C4A306D" w14:textId="77777777" w:rsidR="00B9311E" w:rsidRPr="00BD77D8" w:rsidRDefault="00B9311E" w:rsidP="00B9311E">
            <w:pPr>
              <w:spacing w:after="0" w:line="240" w:lineRule="auto"/>
              <w:jc w:val="center"/>
              <w:rPr>
                <w:b/>
                <w:bCs/>
                <w:sz w:val="18"/>
                <w:szCs w:val="18"/>
              </w:rPr>
            </w:pPr>
            <w:r w:rsidRPr="00BD77D8">
              <w:rPr>
                <w:b/>
                <w:bCs/>
                <w:sz w:val="18"/>
                <w:szCs w:val="18"/>
              </w:rPr>
              <w:t xml:space="preserve"> Level 2 </w:t>
            </w:r>
          </w:p>
        </w:tc>
        <w:tc>
          <w:tcPr>
            <w:tcW w:w="3038" w:type="dxa"/>
            <w:gridSpan w:val="2"/>
            <w:tcBorders>
              <w:top w:val="nil"/>
              <w:left w:val="nil"/>
              <w:bottom w:val="nil"/>
              <w:right w:val="nil"/>
            </w:tcBorders>
            <w:shd w:val="clear" w:color="auto" w:fill="auto"/>
            <w:noWrap/>
            <w:vAlign w:val="center"/>
            <w:hideMark/>
          </w:tcPr>
          <w:p w14:paraId="65307E04" w14:textId="77777777" w:rsidR="00B9311E" w:rsidRPr="00BD77D8" w:rsidRDefault="00B9311E" w:rsidP="00B9311E">
            <w:pPr>
              <w:spacing w:after="0" w:line="240" w:lineRule="auto"/>
              <w:jc w:val="center"/>
              <w:rPr>
                <w:b/>
                <w:bCs/>
                <w:sz w:val="18"/>
                <w:szCs w:val="18"/>
              </w:rPr>
            </w:pPr>
            <w:r w:rsidRPr="00BD77D8">
              <w:rPr>
                <w:b/>
                <w:bCs/>
                <w:sz w:val="18"/>
                <w:szCs w:val="18"/>
              </w:rPr>
              <w:t xml:space="preserve"> Level 3 </w:t>
            </w:r>
          </w:p>
        </w:tc>
        <w:tc>
          <w:tcPr>
            <w:tcW w:w="2800" w:type="dxa"/>
            <w:gridSpan w:val="2"/>
            <w:tcBorders>
              <w:top w:val="nil"/>
              <w:left w:val="nil"/>
              <w:bottom w:val="nil"/>
              <w:right w:val="nil"/>
            </w:tcBorders>
            <w:shd w:val="clear" w:color="auto" w:fill="auto"/>
            <w:noWrap/>
            <w:vAlign w:val="center"/>
            <w:hideMark/>
          </w:tcPr>
          <w:p w14:paraId="105F570B" w14:textId="77777777" w:rsidR="00B9311E" w:rsidRPr="00BD77D8" w:rsidRDefault="00B9311E" w:rsidP="00B9311E">
            <w:pPr>
              <w:spacing w:after="0" w:line="240" w:lineRule="auto"/>
              <w:jc w:val="center"/>
              <w:rPr>
                <w:b/>
                <w:bCs/>
                <w:sz w:val="18"/>
                <w:szCs w:val="18"/>
              </w:rPr>
            </w:pPr>
            <w:r w:rsidRPr="00BD77D8">
              <w:rPr>
                <w:b/>
                <w:bCs/>
                <w:sz w:val="18"/>
                <w:szCs w:val="18"/>
              </w:rPr>
              <w:t xml:space="preserve"> Total Carrying Amount </w:t>
            </w:r>
          </w:p>
        </w:tc>
      </w:tr>
      <w:tr w:rsidR="00BD77D8" w:rsidRPr="00BD77D8" w14:paraId="69DDDA67" w14:textId="77777777" w:rsidTr="00140059">
        <w:trPr>
          <w:trHeight w:val="303"/>
        </w:trPr>
        <w:tc>
          <w:tcPr>
            <w:tcW w:w="1303" w:type="dxa"/>
            <w:tcBorders>
              <w:top w:val="nil"/>
              <w:left w:val="nil"/>
              <w:bottom w:val="nil"/>
              <w:right w:val="nil"/>
            </w:tcBorders>
            <w:shd w:val="clear" w:color="auto" w:fill="auto"/>
            <w:noWrap/>
            <w:vAlign w:val="center"/>
            <w:hideMark/>
          </w:tcPr>
          <w:p w14:paraId="370C1E5B" w14:textId="77777777" w:rsidR="00B9311E" w:rsidRPr="00BD77D8" w:rsidRDefault="00B9311E" w:rsidP="00B9311E">
            <w:pPr>
              <w:spacing w:after="0" w:line="240" w:lineRule="auto"/>
              <w:jc w:val="center"/>
              <w:rPr>
                <w:sz w:val="18"/>
                <w:szCs w:val="18"/>
              </w:rPr>
            </w:pPr>
          </w:p>
        </w:tc>
        <w:tc>
          <w:tcPr>
            <w:tcW w:w="267" w:type="dxa"/>
            <w:tcBorders>
              <w:top w:val="nil"/>
              <w:left w:val="nil"/>
              <w:bottom w:val="nil"/>
              <w:right w:val="nil"/>
            </w:tcBorders>
            <w:shd w:val="clear" w:color="auto" w:fill="auto"/>
            <w:noWrap/>
            <w:vAlign w:val="center"/>
            <w:hideMark/>
          </w:tcPr>
          <w:p w14:paraId="66F55290" w14:textId="77777777" w:rsidR="00B9311E" w:rsidRPr="00BD77D8" w:rsidRDefault="00B9311E" w:rsidP="00B9311E">
            <w:pPr>
              <w:spacing w:after="0" w:line="240" w:lineRule="auto"/>
              <w:ind w:firstLineChars="1500" w:firstLine="3000"/>
              <w:rPr>
                <w:rFonts w:ascii="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14:paraId="6C6D3F6B"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457" w:type="dxa"/>
            <w:tcBorders>
              <w:top w:val="nil"/>
              <w:left w:val="nil"/>
              <w:bottom w:val="nil"/>
              <w:right w:val="nil"/>
            </w:tcBorders>
            <w:shd w:val="clear" w:color="auto" w:fill="auto"/>
            <w:noWrap/>
            <w:vAlign w:val="bottom"/>
            <w:hideMark/>
          </w:tcPr>
          <w:p w14:paraId="3626D54C" w14:textId="77777777" w:rsidR="00B9311E" w:rsidRPr="00BD77D8" w:rsidRDefault="00B9311E" w:rsidP="00B9311E">
            <w:pPr>
              <w:spacing w:after="0" w:line="240" w:lineRule="auto"/>
              <w:jc w:val="right"/>
              <w:rPr>
                <w:b/>
                <w:bCs/>
                <w:sz w:val="18"/>
                <w:szCs w:val="18"/>
              </w:rPr>
            </w:pPr>
            <w:r w:rsidRPr="00BD77D8">
              <w:rPr>
                <w:b/>
                <w:bCs/>
                <w:sz w:val="18"/>
                <w:szCs w:val="18"/>
              </w:rPr>
              <w:t>2021</w:t>
            </w:r>
          </w:p>
        </w:tc>
        <w:tc>
          <w:tcPr>
            <w:tcW w:w="1513" w:type="dxa"/>
            <w:tcBorders>
              <w:top w:val="nil"/>
              <w:left w:val="nil"/>
              <w:bottom w:val="nil"/>
              <w:right w:val="nil"/>
            </w:tcBorders>
            <w:shd w:val="clear" w:color="auto" w:fill="auto"/>
            <w:noWrap/>
            <w:vAlign w:val="bottom"/>
            <w:hideMark/>
          </w:tcPr>
          <w:p w14:paraId="0AD18DF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525" w:type="dxa"/>
            <w:tcBorders>
              <w:top w:val="nil"/>
              <w:left w:val="nil"/>
              <w:bottom w:val="nil"/>
              <w:right w:val="nil"/>
            </w:tcBorders>
            <w:shd w:val="clear" w:color="auto" w:fill="auto"/>
            <w:noWrap/>
            <w:vAlign w:val="bottom"/>
            <w:hideMark/>
          </w:tcPr>
          <w:p w14:paraId="24400FE7" w14:textId="77777777" w:rsidR="00B9311E" w:rsidRPr="00BD77D8" w:rsidRDefault="00B9311E" w:rsidP="00B9311E">
            <w:pPr>
              <w:spacing w:after="0" w:line="240" w:lineRule="auto"/>
              <w:jc w:val="right"/>
              <w:rPr>
                <w:b/>
                <w:bCs/>
                <w:sz w:val="18"/>
                <w:szCs w:val="18"/>
              </w:rPr>
            </w:pPr>
            <w:r w:rsidRPr="00BD77D8">
              <w:rPr>
                <w:b/>
                <w:bCs/>
                <w:sz w:val="18"/>
                <w:szCs w:val="18"/>
              </w:rPr>
              <w:t>2021</w:t>
            </w:r>
          </w:p>
        </w:tc>
        <w:tc>
          <w:tcPr>
            <w:tcW w:w="1400" w:type="dxa"/>
            <w:tcBorders>
              <w:top w:val="nil"/>
              <w:left w:val="nil"/>
              <w:bottom w:val="nil"/>
              <w:right w:val="nil"/>
            </w:tcBorders>
            <w:shd w:val="clear" w:color="auto" w:fill="auto"/>
            <w:noWrap/>
            <w:vAlign w:val="bottom"/>
            <w:hideMark/>
          </w:tcPr>
          <w:p w14:paraId="48AEDC3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400" w:type="dxa"/>
            <w:tcBorders>
              <w:top w:val="nil"/>
              <w:left w:val="nil"/>
              <w:bottom w:val="nil"/>
              <w:right w:val="nil"/>
            </w:tcBorders>
            <w:shd w:val="clear" w:color="auto" w:fill="auto"/>
            <w:noWrap/>
            <w:vAlign w:val="bottom"/>
            <w:hideMark/>
          </w:tcPr>
          <w:p w14:paraId="77433F3C"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5046FCAF" w14:textId="77777777" w:rsidTr="00140059">
        <w:trPr>
          <w:trHeight w:val="303"/>
        </w:trPr>
        <w:tc>
          <w:tcPr>
            <w:tcW w:w="1303" w:type="dxa"/>
            <w:tcBorders>
              <w:top w:val="nil"/>
              <w:left w:val="nil"/>
              <w:bottom w:val="nil"/>
              <w:right w:val="nil"/>
            </w:tcBorders>
            <w:shd w:val="clear" w:color="auto" w:fill="auto"/>
            <w:noWrap/>
            <w:vAlign w:val="center"/>
            <w:hideMark/>
          </w:tcPr>
          <w:p w14:paraId="7F109A20" w14:textId="77777777" w:rsidR="00B9311E" w:rsidRPr="00BD77D8" w:rsidRDefault="00B9311E" w:rsidP="00B9311E">
            <w:pPr>
              <w:spacing w:after="0" w:line="240" w:lineRule="auto"/>
              <w:jc w:val="right"/>
              <w:rPr>
                <w:sz w:val="18"/>
                <w:szCs w:val="18"/>
              </w:rPr>
            </w:pPr>
          </w:p>
        </w:tc>
        <w:tc>
          <w:tcPr>
            <w:tcW w:w="267" w:type="dxa"/>
            <w:tcBorders>
              <w:top w:val="nil"/>
              <w:left w:val="nil"/>
              <w:bottom w:val="nil"/>
              <w:right w:val="nil"/>
            </w:tcBorders>
            <w:shd w:val="clear" w:color="auto" w:fill="auto"/>
            <w:noWrap/>
            <w:vAlign w:val="center"/>
            <w:hideMark/>
          </w:tcPr>
          <w:p w14:paraId="3AF5AF5E" w14:textId="77777777" w:rsidR="00B9311E" w:rsidRPr="00BD77D8" w:rsidRDefault="00B9311E" w:rsidP="00B9311E">
            <w:pPr>
              <w:spacing w:after="0" w:line="240" w:lineRule="auto"/>
              <w:ind w:firstLineChars="1500" w:firstLine="3000"/>
              <w:rPr>
                <w:rFonts w:ascii="Times New Roman" w:hAnsi="Times New Roman" w:cs="Times New Roman"/>
                <w:sz w:val="20"/>
                <w:szCs w:val="20"/>
              </w:rPr>
            </w:pPr>
          </w:p>
        </w:tc>
        <w:tc>
          <w:tcPr>
            <w:tcW w:w="1456" w:type="dxa"/>
            <w:tcBorders>
              <w:top w:val="nil"/>
              <w:left w:val="nil"/>
              <w:bottom w:val="single" w:sz="4" w:space="0" w:color="auto"/>
              <w:right w:val="nil"/>
            </w:tcBorders>
            <w:shd w:val="clear" w:color="auto" w:fill="auto"/>
            <w:vAlign w:val="center"/>
            <w:hideMark/>
          </w:tcPr>
          <w:p w14:paraId="7E5578C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457" w:type="dxa"/>
            <w:tcBorders>
              <w:top w:val="nil"/>
              <w:left w:val="nil"/>
              <w:bottom w:val="single" w:sz="4" w:space="0" w:color="auto"/>
              <w:right w:val="nil"/>
            </w:tcBorders>
            <w:shd w:val="clear" w:color="auto" w:fill="auto"/>
            <w:vAlign w:val="center"/>
            <w:hideMark/>
          </w:tcPr>
          <w:p w14:paraId="3008072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513" w:type="dxa"/>
            <w:tcBorders>
              <w:top w:val="nil"/>
              <w:left w:val="nil"/>
              <w:bottom w:val="single" w:sz="4" w:space="0" w:color="auto"/>
              <w:right w:val="nil"/>
            </w:tcBorders>
            <w:shd w:val="clear" w:color="auto" w:fill="auto"/>
            <w:vAlign w:val="center"/>
            <w:hideMark/>
          </w:tcPr>
          <w:p w14:paraId="3F07ED8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525" w:type="dxa"/>
            <w:tcBorders>
              <w:top w:val="nil"/>
              <w:left w:val="nil"/>
              <w:bottom w:val="single" w:sz="4" w:space="0" w:color="auto"/>
              <w:right w:val="nil"/>
            </w:tcBorders>
            <w:shd w:val="clear" w:color="auto" w:fill="auto"/>
            <w:vAlign w:val="center"/>
            <w:hideMark/>
          </w:tcPr>
          <w:p w14:paraId="2E3096B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400" w:type="dxa"/>
            <w:tcBorders>
              <w:top w:val="nil"/>
              <w:left w:val="nil"/>
              <w:bottom w:val="single" w:sz="4" w:space="0" w:color="auto"/>
              <w:right w:val="nil"/>
            </w:tcBorders>
            <w:shd w:val="clear" w:color="auto" w:fill="auto"/>
            <w:vAlign w:val="center"/>
            <w:hideMark/>
          </w:tcPr>
          <w:p w14:paraId="191273D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400" w:type="dxa"/>
            <w:tcBorders>
              <w:top w:val="nil"/>
              <w:left w:val="nil"/>
              <w:bottom w:val="single" w:sz="4" w:space="0" w:color="auto"/>
              <w:right w:val="nil"/>
            </w:tcBorders>
            <w:shd w:val="clear" w:color="auto" w:fill="auto"/>
            <w:vAlign w:val="center"/>
            <w:hideMark/>
          </w:tcPr>
          <w:p w14:paraId="73F31A5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03536842" w14:textId="77777777" w:rsidTr="00140059">
        <w:trPr>
          <w:trHeight w:val="303"/>
        </w:trPr>
        <w:tc>
          <w:tcPr>
            <w:tcW w:w="1303" w:type="dxa"/>
            <w:tcBorders>
              <w:top w:val="nil"/>
              <w:left w:val="nil"/>
              <w:bottom w:val="nil"/>
              <w:right w:val="nil"/>
            </w:tcBorders>
            <w:shd w:val="clear" w:color="auto" w:fill="auto"/>
            <w:noWrap/>
            <w:vAlign w:val="center"/>
            <w:hideMark/>
          </w:tcPr>
          <w:p w14:paraId="4E58A781" w14:textId="77777777" w:rsidR="00B9311E" w:rsidRPr="00BD77D8" w:rsidRDefault="00B9311E" w:rsidP="00B9311E">
            <w:pPr>
              <w:spacing w:after="0" w:line="240" w:lineRule="auto"/>
              <w:rPr>
                <w:sz w:val="18"/>
                <w:szCs w:val="18"/>
              </w:rPr>
            </w:pPr>
            <w:r w:rsidRPr="00BD77D8">
              <w:rPr>
                <w:sz w:val="18"/>
                <w:szCs w:val="18"/>
              </w:rPr>
              <w:t xml:space="preserve"> Land * </w:t>
            </w:r>
          </w:p>
        </w:tc>
        <w:tc>
          <w:tcPr>
            <w:tcW w:w="267" w:type="dxa"/>
            <w:tcBorders>
              <w:top w:val="nil"/>
              <w:left w:val="nil"/>
              <w:bottom w:val="nil"/>
              <w:right w:val="nil"/>
            </w:tcBorders>
            <w:shd w:val="clear" w:color="auto" w:fill="auto"/>
            <w:noWrap/>
            <w:vAlign w:val="center"/>
            <w:hideMark/>
          </w:tcPr>
          <w:p w14:paraId="3A1EE937" w14:textId="77777777" w:rsidR="00B9311E" w:rsidRPr="00BD77D8" w:rsidRDefault="00B9311E" w:rsidP="00B9311E">
            <w:pPr>
              <w:spacing w:after="0" w:line="240" w:lineRule="auto"/>
              <w:rPr>
                <w:sz w:val="18"/>
                <w:szCs w:val="18"/>
              </w:rPr>
            </w:pPr>
          </w:p>
        </w:tc>
        <w:tc>
          <w:tcPr>
            <w:tcW w:w="1456" w:type="dxa"/>
            <w:tcBorders>
              <w:top w:val="single" w:sz="4" w:space="0" w:color="auto"/>
              <w:left w:val="nil"/>
              <w:bottom w:val="nil"/>
              <w:right w:val="nil"/>
            </w:tcBorders>
            <w:shd w:val="clear" w:color="auto" w:fill="auto"/>
            <w:noWrap/>
            <w:vAlign w:val="bottom"/>
            <w:hideMark/>
          </w:tcPr>
          <w:p w14:paraId="4EE5A54B" w14:textId="77777777" w:rsidR="00B9311E" w:rsidRPr="00BD77D8" w:rsidRDefault="00B9311E" w:rsidP="00B9311E">
            <w:pPr>
              <w:spacing w:after="0" w:line="240" w:lineRule="auto"/>
              <w:jc w:val="right"/>
              <w:rPr>
                <w:b/>
                <w:bCs/>
                <w:sz w:val="18"/>
                <w:szCs w:val="18"/>
              </w:rPr>
            </w:pPr>
            <w:r w:rsidRPr="00BD77D8">
              <w:rPr>
                <w:b/>
                <w:bCs/>
                <w:sz w:val="18"/>
                <w:szCs w:val="18"/>
              </w:rPr>
              <w:t xml:space="preserve">         55,964 </w:t>
            </w:r>
          </w:p>
        </w:tc>
        <w:tc>
          <w:tcPr>
            <w:tcW w:w="1457" w:type="dxa"/>
            <w:tcBorders>
              <w:top w:val="single" w:sz="4" w:space="0" w:color="auto"/>
              <w:left w:val="nil"/>
              <w:bottom w:val="nil"/>
              <w:right w:val="nil"/>
            </w:tcBorders>
            <w:shd w:val="clear" w:color="auto" w:fill="auto"/>
            <w:noWrap/>
            <w:vAlign w:val="bottom"/>
            <w:hideMark/>
          </w:tcPr>
          <w:p w14:paraId="5B02FE91" w14:textId="77777777" w:rsidR="00B9311E" w:rsidRPr="00BD77D8" w:rsidRDefault="00B9311E" w:rsidP="00B9311E">
            <w:pPr>
              <w:spacing w:after="0" w:line="240" w:lineRule="auto"/>
              <w:jc w:val="right"/>
              <w:rPr>
                <w:sz w:val="18"/>
                <w:szCs w:val="18"/>
              </w:rPr>
            </w:pPr>
            <w:r w:rsidRPr="00BD77D8">
              <w:rPr>
                <w:sz w:val="18"/>
                <w:szCs w:val="18"/>
              </w:rPr>
              <w:t xml:space="preserve">         50,663 </w:t>
            </w:r>
          </w:p>
        </w:tc>
        <w:tc>
          <w:tcPr>
            <w:tcW w:w="1513" w:type="dxa"/>
            <w:tcBorders>
              <w:top w:val="single" w:sz="4" w:space="0" w:color="auto"/>
              <w:left w:val="nil"/>
              <w:bottom w:val="nil"/>
              <w:right w:val="nil"/>
            </w:tcBorders>
            <w:shd w:val="clear" w:color="auto" w:fill="auto"/>
            <w:noWrap/>
            <w:vAlign w:val="bottom"/>
            <w:hideMark/>
          </w:tcPr>
          <w:p w14:paraId="1CECF617"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525" w:type="dxa"/>
            <w:tcBorders>
              <w:top w:val="single" w:sz="4" w:space="0" w:color="auto"/>
              <w:left w:val="nil"/>
              <w:bottom w:val="nil"/>
              <w:right w:val="nil"/>
            </w:tcBorders>
            <w:shd w:val="clear" w:color="auto" w:fill="auto"/>
            <w:noWrap/>
            <w:vAlign w:val="bottom"/>
            <w:hideMark/>
          </w:tcPr>
          <w:p w14:paraId="49A99C0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400" w:type="dxa"/>
            <w:tcBorders>
              <w:top w:val="single" w:sz="4" w:space="0" w:color="auto"/>
              <w:left w:val="nil"/>
              <w:bottom w:val="nil"/>
              <w:right w:val="nil"/>
            </w:tcBorders>
            <w:shd w:val="clear" w:color="auto" w:fill="auto"/>
            <w:noWrap/>
            <w:vAlign w:val="bottom"/>
            <w:hideMark/>
          </w:tcPr>
          <w:p w14:paraId="0AD3CA48" w14:textId="77777777" w:rsidR="00B9311E" w:rsidRPr="00BD77D8" w:rsidRDefault="00B9311E" w:rsidP="00B9311E">
            <w:pPr>
              <w:spacing w:after="0" w:line="240" w:lineRule="auto"/>
              <w:jc w:val="right"/>
              <w:rPr>
                <w:b/>
                <w:bCs/>
                <w:sz w:val="18"/>
                <w:szCs w:val="18"/>
              </w:rPr>
            </w:pPr>
            <w:r w:rsidRPr="00BD77D8">
              <w:rPr>
                <w:b/>
                <w:bCs/>
                <w:sz w:val="18"/>
                <w:szCs w:val="18"/>
              </w:rPr>
              <w:t xml:space="preserve">         55,964 </w:t>
            </w:r>
          </w:p>
        </w:tc>
        <w:tc>
          <w:tcPr>
            <w:tcW w:w="1400" w:type="dxa"/>
            <w:tcBorders>
              <w:top w:val="single" w:sz="4" w:space="0" w:color="auto"/>
              <w:left w:val="nil"/>
              <w:bottom w:val="nil"/>
              <w:right w:val="nil"/>
            </w:tcBorders>
            <w:shd w:val="clear" w:color="auto" w:fill="auto"/>
            <w:noWrap/>
            <w:vAlign w:val="bottom"/>
            <w:hideMark/>
          </w:tcPr>
          <w:p w14:paraId="7A03EACB" w14:textId="77777777" w:rsidR="00B9311E" w:rsidRPr="00BD77D8" w:rsidRDefault="00B9311E" w:rsidP="00B9311E">
            <w:pPr>
              <w:spacing w:after="0" w:line="240" w:lineRule="auto"/>
              <w:jc w:val="right"/>
              <w:rPr>
                <w:b/>
                <w:bCs/>
                <w:sz w:val="18"/>
                <w:szCs w:val="18"/>
              </w:rPr>
            </w:pPr>
            <w:r w:rsidRPr="00BD77D8">
              <w:rPr>
                <w:b/>
                <w:bCs/>
                <w:sz w:val="18"/>
                <w:szCs w:val="18"/>
              </w:rPr>
              <w:t xml:space="preserve">         50,663 </w:t>
            </w:r>
          </w:p>
        </w:tc>
      </w:tr>
      <w:tr w:rsidR="00BD77D8" w:rsidRPr="00BD77D8" w14:paraId="23B1F7B6" w14:textId="77777777" w:rsidTr="00140059">
        <w:trPr>
          <w:trHeight w:val="303"/>
        </w:trPr>
        <w:tc>
          <w:tcPr>
            <w:tcW w:w="1303" w:type="dxa"/>
            <w:tcBorders>
              <w:top w:val="nil"/>
              <w:left w:val="nil"/>
              <w:bottom w:val="nil"/>
              <w:right w:val="nil"/>
            </w:tcBorders>
            <w:shd w:val="clear" w:color="auto" w:fill="auto"/>
            <w:noWrap/>
            <w:vAlign w:val="center"/>
            <w:hideMark/>
          </w:tcPr>
          <w:p w14:paraId="31D35EDB" w14:textId="77777777" w:rsidR="00B9311E" w:rsidRPr="00BD77D8" w:rsidRDefault="00B9311E" w:rsidP="00B9311E">
            <w:pPr>
              <w:spacing w:after="0" w:line="240" w:lineRule="auto"/>
              <w:rPr>
                <w:sz w:val="18"/>
                <w:szCs w:val="18"/>
              </w:rPr>
            </w:pPr>
            <w:r w:rsidRPr="00BD77D8">
              <w:rPr>
                <w:sz w:val="18"/>
                <w:szCs w:val="18"/>
              </w:rPr>
              <w:t xml:space="preserve"> Buildings ^ </w:t>
            </w:r>
          </w:p>
        </w:tc>
        <w:tc>
          <w:tcPr>
            <w:tcW w:w="267" w:type="dxa"/>
            <w:tcBorders>
              <w:top w:val="nil"/>
              <w:left w:val="nil"/>
              <w:bottom w:val="nil"/>
              <w:right w:val="nil"/>
            </w:tcBorders>
            <w:shd w:val="clear" w:color="auto" w:fill="auto"/>
            <w:noWrap/>
            <w:vAlign w:val="center"/>
            <w:hideMark/>
          </w:tcPr>
          <w:p w14:paraId="14EAB7DA" w14:textId="77777777" w:rsidR="00B9311E" w:rsidRPr="00BD77D8" w:rsidRDefault="00B9311E" w:rsidP="00B9311E">
            <w:pPr>
              <w:spacing w:after="0" w:line="240" w:lineRule="auto"/>
              <w:rPr>
                <w:sz w:val="18"/>
                <w:szCs w:val="18"/>
              </w:rPr>
            </w:pPr>
          </w:p>
        </w:tc>
        <w:tc>
          <w:tcPr>
            <w:tcW w:w="1456" w:type="dxa"/>
            <w:tcBorders>
              <w:top w:val="nil"/>
              <w:left w:val="nil"/>
              <w:bottom w:val="single" w:sz="4" w:space="0" w:color="auto"/>
              <w:right w:val="nil"/>
            </w:tcBorders>
            <w:shd w:val="clear" w:color="auto" w:fill="auto"/>
            <w:noWrap/>
            <w:vAlign w:val="bottom"/>
            <w:hideMark/>
          </w:tcPr>
          <w:p w14:paraId="0B9BEAD5" w14:textId="77777777" w:rsidR="00B9311E" w:rsidRPr="00BD77D8" w:rsidRDefault="00B9311E" w:rsidP="00B9311E">
            <w:pPr>
              <w:spacing w:after="0" w:line="240" w:lineRule="auto"/>
              <w:jc w:val="right"/>
              <w:rPr>
                <w:b/>
                <w:bCs/>
                <w:sz w:val="18"/>
                <w:szCs w:val="18"/>
              </w:rPr>
            </w:pPr>
            <w:r w:rsidRPr="00BD77D8">
              <w:rPr>
                <w:b/>
                <w:bCs/>
                <w:sz w:val="18"/>
                <w:szCs w:val="18"/>
              </w:rPr>
              <w:t xml:space="preserve">            9,052 </w:t>
            </w:r>
          </w:p>
        </w:tc>
        <w:tc>
          <w:tcPr>
            <w:tcW w:w="1457" w:type="dxa"/>
            <w:tcBorders>
              <w:top w:val="nil"/>
              <w:left w:val="nil"/>
              <w:bottom w:val="single" w:sz="4" w:space="0" w:color="auto"/>
              <w:right w:val="nil"/>
            </w:tcBorders>
            <w:shd w:val="clear" w:color="auto" w:fill="auto"/>
            <w:noWrap/>
            <w:vAlign w:val="bottom"/>
            <w:hideMark/>
          </w:tcPr>
          <w:p w14:paraId="778CAF8A" w14:textId="77777777" w:rsidR="00B9311E" w:rsidRPr="00BD77D8" w:rsidRDefault="00B9311E" w:rsidP="00B9311E">
            <w:pPr>
              <w:spacing w:after="0" w:line="240" w:lineRule="auto"/>
              <w:jc w:val="right"/>
              <w:rPr>
                <w:sz w:val="18"/>
                <w:szCs w:val="18"/>
              </w:rPr>
            </w:pPr>
            <w:r w:rsidRPr="00BD77D8">
              <w:rPr>
                <w:sz w:val="18"/>
                <w:szCs w:val="18"/>
              </w:rPr>
              <w:t xml:space="preserve">            8,728 </w:t>
            </w:r>
          </w:p>
        </w:tc>
        <w:tc>
          <w:tcPr>
            <w:tcW w:w="1513" w:type="dxa"/>
            <w:tcBorders>
              <w:top w:val="nil"/>
              <w:left w:val="nil"/>
              <w:bottom w:val="single" w:sz="4" w:space="0" w:color="auto"/>
              <w:right w:val="nil"/>
            </w:tcBorders>
            <w:shd w:val="clear" w:color="auto" w:fill="auto"/>
            <w:noWrap/>
            <w:vAlign w:val="bottom"/>
            <w:hideMark/>
          </w:tcPr>
          <w:p w14:paraId="6B3729E1" w14:textId="77777777" w:rsidR="00B9311E" w:rsidRPr="00BD77D8" w:rsidRDefault="00B9311E" w:rsidP="00B9311E">
            <w:pPr>
              <w:spacing w:after="0" w:line="240" w:lineRule="auto"/>
              <w:jc w:val="right"/>
              <w:rPr>
                <w:b/>
                <w:bCs/>
                <w:sz w:val="18"/>
                <w:szCs w:val="18"/>
              </w:rPr>
            </w:pPr>
            <w:r w:rsidRPr="00BD77D8">
              <w:rPr>
                <w:b/>
                <w:bCs/>
                <w:sz w:val="18"/>
                <w:szCs w:val="18"/>
              </w:rPr>
              <w:t xml:space="preserve">       137,334 </w:t>
            </w:r>
          </w:p>
        </w:tc>
        <w:tc>
          <w:tcPr>
            <w:tcW w:w="1525" w:type="dxa"/>
            <w:tcBorders>
              <w:top w:val="nil"/>
              <w:left w:val="nil"/>
              <w:bottom w:val="single" w:sz="4" w:space="0" w:color="auto"/>
              <w:right w:val="nil"/>
            </w:tcBorders>
            <w:shd w:val="clear" w:color="auto" w:fill="auto"/>
            <w:noWrap/>
            <w:vAlign w:val="bottom"/>
            <w:hideMark/>
          </w:tcPr>
          <w:p w14:paraId="3E4E9A8B" w14:textId="77777777" w:rsidR="00B9311E" w:rsidRPr="00BD77D8" w:rsidRDefault="00B9311E" w:rsidP="00B9311E">
            <w:pPr>
              <w:spacing w:after="0" w:line="240" w:lineRule="auto"/>
              <w:jc w:val="right"/>
              <w:rPr>
                <w:sz w:val="18"/>
                <w:szCs w:val="18"/>
              </w:rPr>
            </w:pPr>
            <w:r w:rsidRPr="00BD77D8">
              <w:rPr>
                <w:sz w:val="18"/>
                <w:szCs w:val="18"/>
              </w:rPr>
              <w:t xml:space="preserve">       119,490 </w:t>
            </w:r>
          </w:p>
        </w:tc>
        <w:tc>
          <w:tcPr>
            <w:tcW w:w="1400" w:type="dxa"/>
            <w:tcBorders>
              <w:top w:val="nil"/>
              <w:left w:val="nil"/>
              <w:bottom w:val="single" w:sz="4" w:space="0" w:color="auto"/>
              <w:right w:val="nil"/>
            </w:tcBorders>
            <w:shd w:val="clear" w:color="auto" w:fill="auto"/>
            <w:noWrap/>
            <w:vAlign w:val="bottom"/>
            <w:hideMark/>
          </w:tcPr>
          <w:p w14:paraId="688B9F6F" w14:textId="77777777" w:rsidR="00B9311E" w:rsidRPr="00BD77D8" w:rsidRDefault="00B9311E" w:rsidP="00B9311E">
            <w:pPr>
              <w:spacing w:after="0" w:line="240" w:lineRule="auto"/>
              <w:jc w:val="right"/>
              <w:rPr>
                <w:b/>
                <w:bCs/>
                <w:sz w:val="18"/>
                <w:szCs w:val="18"/>
              </w:rPr>
            </w:pPr>
            <w:r w:rsidRPr="00BD77D8">
              <w:rPr>
                <w:b/>
                <w:bCs/>
                <w:sz w:val="18"/>
                <w:szCs w:val="18"/>
              </w:rPr>
              <w:t xml:space="preserve">       146,386 </w:t>
            </w:r>
          </w:p>
        </w:tc>
        <w:tc>
          <w:tcPr>
            <w:tcW w:w="1400" w:type="dxa"/>
            <w:tcBorders>
              <w:top w:val="nil"/>
              <w:left w:val="nil"/>
              <w:bottom w:val="single" w:sz="4" w:space="0" w:color="auto"/>
              <w:right w:val="nil"/>
            </w:tcBorders>
            <w:shd w:val="clear" w:color="auto" w:fill="auto"/>
            <w:noWrap/>
            <w:vAlign w:val="bottom"/>
            <w:hideMark/>
          </w:tcPr>
          <w:p w14:paraId="4F705677" w14:textId="77777777" w:rsidR="00B9311E" w:rsidRPr="00BD77D8" w:rsidRDefault="00B9311E" w:rsidP="00B9311E">
            <w:pPr>
              <w:spacing w:after="0" w:line="240" w:lineRule="auto"/>
              <w:jc w:val="right"/>
              <w:rPr>
                <w:b/>
                <w:bCs/>
                <w:sz w:val="18"/>
                <w:szCs w:val="18"/>
              </w:rPr>
            </w:pPr>
            <w:r w:rsidRPr="00BD77D8">
              <w:rPr>
                <w:b/>
                <w:bCs/>
                <w:sz w:val="18"/>
                <w:szCs w:val="18"/>
              </w:rPr>
              <w:t xml:space="preserve">       128,218 </w:t>
            </w:r>
          </w:p>
        </w:tc>
      </w:tr>
    </w:tbl>
    <w:p w14:paraId="1E0AB67C" w14:textId="77777777" w:rsidR="00B9311E" w:rsidRPr="00BD77D8" w:rsidRDefault="00B9311E" w:rsidP="00140059">
      <w:pPr>
        <w:spacing w:before="240" w:after="0" w:line="240" w:lineRule="auto"/>
        <w:rPr>
          <w:rFonts w:eastAsia="PMingLiU"/>
          <w:b/>
          <w:sz w:val="16"/>
          <w:szCs w:val="20"/>
          <w:lang w:val="en-US" w:eastAsia="en-US"/>
        </w:rPr>
      </w:pPr>
      <w:r w:rsidRPr="00BD77D8">
        <w:rPr>
          <w:rFonts w:eastAsia="PMingLiU"/>
          <w:sz w:val="16"/>
          <w:szCs w:val="20"/>
          <w:lang w:val="en-US" w:eastAsia="en-US"/>
        </w:rPr>
        <w:t xml:space="preserve">* Level 2 Land assets primarily reflect land under buildings supporting disability services. </w:t>
      </w:r>
    </w:p>
    <w:p w14:paraId="1C0769D2" w14:textId="77777777" w:rsidR="00B9311E" w:rsidRPr="00BD77D8" w:rsidRDefault="00B9311E" w:rsidP="00B9311E">
      <w:pPr>
        <w:spacing w:after="0" w:line="240" w:lineRule="auto"/>
        <w:rPr>
          <w:rFonts w:eastAsia="PMingLiU"/>
          <w:b/>
          <w:sz w:val="16"/>
          <w:szCs w:val="20"/>
          <w:lang w:val="en-US" w:eastAsia="en-US"/>
        </w:rPr>
      </w:pPr>
      <w:r w:rsidRPr="00BD77D8">
        <w:rPr>
          <w:rFonts w:eastAsia="PMingLiU"/>
          <w:sz w:val="16"/>
          <w:szCs w:val="20"/>
          <w:lang w:val="en-US" w:eastAsia="en-US"/>
        </w:rPr>
        <w:t xml:space="preserve">^ Level 2 Building assets primarily reflect houses to support disability services that are assessed as having a market value within the general real estate market due to their limited specific design features compared to more special purpose facilities (which are assessed as Level 3 buildings). </w:t>
      </w:r>
    </w:p>
    <w:p w14:paraId="63736EA9" w14:textId="77777777" w:rsidR="00B9311E" w:rsidRPr="00BD77D8" w:rsidRDefault="00B9311E" w:rsidP="00B9311E">
      <w:pPr>
        <w:spacing w:after="0" w:line="240" w:lineRule="auto"/>
        <w:rPr>
          <w:rFonts w:eastAsia="PMingLiU"/>
          <w:b/>
          <w:sz w:val="16"/>
          <w:szCs w:val="20"/>
          <w:lang w:val="en-US" w:eastAsia="en-US"/>
        </w:rPr>
      </w:pPr>
      <w:r w:rsidRPr="00BD77D8">
        <w:rPr>
          <w:rFonts w:eastAsia="PMingLiU"/>
          <w:sz w:val="16"/>
          <w:szCs w:val="20"/>
          <w:lang w:val="en-US" w:eastAsia="en-US"/>
        </w:rPr>
        <w:t>* Level 3 The department is the trustee of various reserve lands which are valued at a nominal value of $1 per parcel as land is held in trust for the local community – refer Note C4-7.</w:t>
      </w:r>
    </w:p>
    <w:p w14:paraId="5E692D46" w14:textId="77777777" w:rsidR="00B9311E" w:rsidRPr="00BD77D8" w:rsidRDefault="00B9311E" w:rsidP="00B9311E">
      <w:pPr>
        <w:spacing w:after="0" w:line="240" w:lineRule="auto"/>
        <w:rPr>
          <w:rFonts w:eastAsia="PMingLiU"/>
          <w:b/>
          <w:sz w:val="16"/>
          <w:szCs w:val="20"/>
          <w:lang w:val="en-US" w:eastAsia="en-US"/>
        </w:rPr>
      </w:pPr>
      <w:r w:rsidRPr="00BD77D8">
        <w:rPr>
          <w:rFonts w:eastAsia="PMingLiU"/>
          <w:sz w:val="16"/>
          <w:szCs w:val="20"/>
          <w:lang w:val="en-US" w:eastAsia="en-US"/>
        </w:rPr>
        <w:t xml:space="preserve">^ Level 3 Buildings include special purpose designed houses and facilities to support disability services, and special purpose buildings to support Retail Stores operations in remote discrete communities </w:t>
      </w:r>
    </w:p>
    <w:p w14:paraId="725B5753" w14:textId="74DC92DA" w:rsidR="0040288C" w:rsidRPr="00BD77D8" w:rsidRDefault="0040288C" w:rsidP="00C3515C">
      <w:pPr>
        <w:spacing w:before="840" w:after="0" w:line="199"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25 of 45</w:t>
      </w:r>
    </w:p>
    <w:p w14:paraId="6646B03C" w14:textId="77777777" w:rsidR="00C3515C" w:rsidRPr="00BD77D8" w:rsidRDefault="00C3515C">
      <w:pPr>
        <w:spacing w:after="0" w:line="240" w:lineRule="auto"/>
        <w:rPr>
          <w:rFonts w:eastAsia="Arial"/>
          <w:b/>
          <w:bCs/>
          <w:sz w:val="18"/>
          <w:szCs w:val="18"/>
          <w:lang w:eastAsia="en-US"/>
        </w:rPr>
      </w:pPr>
      <w:r w:rsidRPr="00BD77D8">
        <w:rPr>
          <w:rFonts w:eastAsia="Arial"/>
          <w:b/>
          <w:bCs/>
          <w:sz w:val="18"/>
          <w:szCs w:val="18"/>
          <w:lang w:eastAsia="en-US"/>
        </w:rPr>
        <w:br w:type="page"/>
      </w:r>
    </w:p>
    <w:p w14:paraId="0EA41907" w14:textId="3F9F888F"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860D61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60130AD"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36B54945"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250301F3" w14:textId="77777777" w:rsidR="00B9311E" w:rsidRPr="00BD77D8" w:rsidRDefault="00B9311E" w:rsidP="00E47A6E">
      <w:pPr>
        <w:spacing w:before="240" w:line="180" w:lineRule="atLeas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4D1767E5" w14:textId="77777777" w:rsidR="00B9311E" w:rsidRPr="00BD77D8" w:rsidRDefault="00B9311E" w:rsidP="00B9311E">
      <w:pPr>
        <w:spacing w:after="0" w:line="180" w:lineRule="atLeast"/>
        <w:textAlignment w:val="baseline"/>
        <w:rPr>
          <w:rFonts w:eastAsia="Arial"/>
          <w:b/>
          <w:bCs/>
          <w:sz w:val="18"/>
          <w:szCs w:val="18"/>
          <w:lang w:eastAsia="en-US"/>
        </w:rPr>
      </w:pPr>
      <w:r w:rsidRPr="00BD77D8">
        <w:rPr>
          <w:rFonts w:eastAsia="Arial"/>
          <w:b/>
          <w:bCs/>
          <w:sz w:val="18"/>
          <w:szCs w:val="18"/>
          <w:lang w:eastAsia="en-US"/>
        </w:rPr>
        <w:t xml:space="preserve">C4-7 Fair Value Measurement (continued) </w:t>
      </w:r>
    </w:p>
    <w:tbl>
      <w:tblPr>
        <w:tblW w:w="10145" w:type="dxa"/>
        <w:tblCellMar>
          <w:left w:w="0" w:type="dxa"/>
          <w:right w:w="0" w:type="dxa"/>
        </w:tblCellMar>
        <w:tblLook w:val="04A0" w:firstRow="1" w:lastRow="0" w:firstColumn="1" w:lastColumn="0" w:noHBand="0" w:noVBand="1"/>
      </w:tblPr>
      <w:tblGrid>
        <w:gridCol w:w="5845"/>
        <w:gridCol w:w="1066"/>
        <w:gridCol w:w="1078"/>
        <w:gridCol w:w="1078"/>
        <w:gridCol w:w="1078"/>
      </w:tblGrid>
      <w:tr w:rsidR="00BD77D8" w:rsidRPr="00BD77D8" w14:paraId="2CA1972D" w14:textId="77777777" w:rsidTr="003057FB">
        <w:trPr>
          <w:trHeight w:val="366"/>
        </w:trPr>
        <w:tc>
          <w:tcPr>
            <w:tcW w:w="0" w:type="auto"/>
            <w:tcBorders>
              <w:top w:val="nil"/>
              <w:left w:val="nil"/>
              <w:bottom w:val="nil"/>
              <w:right w:val="nil"/>
            </w:tcBorders>
            <w:shd w:val="clear" w:color="auto" w:fill="auto"/>
            <w:noWrap/>
            <w:vAlign w:val="center"/>
            <w:hideMark/>
          </w:tcPr>
          <w:p w14:paraId="15F9A6D1"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shd w:val="clear" w:color="auto" w:fill="auto"/>
            <w:noWrap/>
            <w:vAlign w:val="center"/>
            <w:hideMark/>
          </w:tcPr>
          <w:p w14:paraId="2581659C" w14:textId="77777777" w:rsidR="00B9311E" w:rsidRPr="00BD77D8" w:rsidRDefault="00B9311E" w:rsidP="00B9311E">
            <w:pPr>
              <w:spacing w:after="0" w:line="240" w:lineRule="auto"/>
              <w:jc w:val="center"/>
              <w:rPr>
                <w:b/>
                <w:bCs/>
                <w:sz w:val="18"/>
                <w:szCs w:val="18"/>
              </w:rPr>
            </w:pPr>
            <w:r w:rsidRPr="00BD77D8">
              <w:rPr>
                <w:b/>
                <w:bCs/>
                <w:sz w:val="18"/>
                <w:szCs w:val="18"/>
              </w:rPr>
              <w:t xml:space="preserve"> Land </w:t>
            </w:r>
          </w:p>
        </w:tc>
        <w:tc>
          <w:tcPr>
            <w:tcW w:w="0" w:type="auto"/>
            <w:gridSpan w:val="2"/>
            <w:tcBorders>
              <w:top w:val="nil"/>
              <w:left w:val="nil"/>
              <w:bottom w:val="nil"/>
              <w:right w:val="nil"/>
            </w:tcBorders>
            <w:shd w:val="clear" w:color="auto" w:fill="auto"/>
            <w:noWrap/>
            <w:vAlign w:val="center"/>
            <w:hideMark/>
          </w:tcPr>
          <w:p w14:paraId="7023E8A9" w14:textId="77777777" w:rsidR="00B9311E" w:rsidRPr="00BD77D8" w:rsidRDefault="00B9311E" w:rsidP="00B9311E">
            <w:pPr>
              <w:spacing w:after="0" w:line="240" w:lineRule="auto"/>
              <w:jc w:val="center"/>
              <w:rPr>
                <w:b/>
                <w:bCs/>
                <w:sz w:val="18"/>
                <w:szCs w:val="18"/>
              </w:rPr>
            </w:pPr>
            <w:r w:rsidRPr="00BD77D8">
              <w:rPr>
                <w:b/>
                <w:bCs/>
                <w:sz w:val="18"/>
                <w:szCs w:val="18"/>
              </w:rPr>
              <w:t xml:space="preserve"> Buildings </w:t>
            </w:r>
          </w:p>
        </w:tc>
      </w:tr>
      <w:tr w:rsidR="00BD77D8" w:rsidRPr="00BD77D8" w14:paraId="3ABC4113" w14:textId="77777777" w:rsidTr="003057FB">
        <w:trPr>
          <w:trHeight w:val="366"/>
        </w:trPr>
        <w:tc>
          <w:tcPr>
            <w:tcW w:w="0" w:type="auto"/>
            <w:tcBorders>
              <w:top w:val="nil"/>
              <w:left w:val="nil"/>
              <w:bottom w:val="nil"/>
              <w:right w:val="nil"/>
            </w:tcBorders>
            <w:shd w:val="clear" w:color="auto" w:fill="auto"/>
            <w:noWrap/>
            <w:vAlign w:val="center"/>
            <w:hideMark/>
          </w:tcPr>
          <w:p w14:paraId="4E3175E2" w14:textId="77777777" w:rsidR="00B9311E" w:rsidRPr="00BD77D8" w:rsidRDefault="00B9311E" w:rsidP="00B9311E">
            <w:pPr>
              <w:spacing w:after="0" w:line="240" w:lineRule="auto"/>
              <w:rPr>
                <w:b/>
                <w:bCs/>
                <w:sz w:val="18"/>
                <w:szCs w:val="18"/>
              </w:rPr>
            </w:pPr>
            <w:r w:rsidRPr="00BD77D8">
              <w:rPr>
                <w:b/>
                <w:bCs/>
                <w:sz w:val="18"/>
                <w:szCs w:val="18"/>
              </w:rPr>
              <w:t xml:space="preserve"> Level 3 Fair Value Measurement - Reconciliation </w:t>
            </w:r>
          </w:p>
        </w:tc>
        <w:tc>
          <w:tcPr>
            <w:tcW w:w="0" w:type="auto"/>
            <w:tcBorders>
              <w:top w:val="nil"/>
              <w:left w:val="nil"/>
              <w:bottom w:val="nil"/>
              <w:right w:val="nil"/>
            </w:tcBorders>
            <w:shd w:val="clear" w:color="auto" w:fill="auto"/>
            <w:noWrap/>
            <w:vAlign w:val="bottom"/>
            <w:hideMark/>
          </w:tcPr>
          <w:p w14:paraId="5A844574"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bottom"/>
            <w:hideMark/>
          </w:tcPr>
          <w:p w14:paraId="1F6951A1" w14:textId="77777777" w:rsidR="00B9311E" w:rsidRPr="00BD77D8" w:rsidRDefault="00B9311E" w:rsidP="00B9311E">
            <w:pPr>
              <w:spacing w:after="0" w:line="240" w:lineRule="auto"/>
              <w:jc w:val="right"/>
              <w:rPr>
                <w:b/>
                <w:bCs/>
                <w:sz w:val="18"/>
                <w:szCs w:val="18"/>
              </w:rPr>
            </w:pPr>
            <w:r w:rsidRPr="00BD77D8">
              <w:rPr>
                <w:b/>
                <w:bCs/>
                <w:sz w:val="18"/>
                <w:szCs w:val="18"/>
              </w:rPr>
              <w:t>2021</w:t>
            </w:r>
          </w:p>
        </w:tc>
        <w:tc>
          <w:tcPr>
            <w:tcW w:w="0" w:type="auto"/>
            <w:tcBorders>
              <w:top w:val="nil"/>
              <w:left w:val="nil"/>
              <w:bottom w:val="nil"/>
              <w:right w:val="nil"/>
            </w:tcBorders>
            <w:shd w:val="clear" w:color="auto" w:fill="auto"/>
            <w:noWrap/>
            <w:vAlign w:val="bottom"/>
            <w:hideMark/>
          </w:tcPr>
          <w:p w14:paraId="266D42D7"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bottom"/>
            <w:hideMark/>
          </w:tcPr>
          <w:p w14:paraId="48A9F22B"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78278B6" w14:textId="77777777" w:rsidTr="003057FB">
        <w:trPr>
          <w:trHeight w:val="366"/>
        </w:trPr>
        <w:tc>
          <w:tcPr>
            <w:tcW w:w="0" w:type="auto"/>
            <w:tcBorders>
              <w:top w:val="nil"/>
              <w:left w:val="nil"/>
              <w:bottom w:val="nil"/>
              <w:right w:val="nil"/>
            </w:tcBorders>
            <w:shd w:val="clear" w:color="000000" w:fill="FFFFFF"/>
            <w:noWrap/>
            <w:vAlign w:val="bottom"/>
            <w:hideMark/>
          </w:tcPr>
          <w:p w14:paraId="63194D7E" w14:textId="77777777" w:rsidR="00B9311E" w:rsidRPr="00BD77D8" w:rsidRDefault="00B9311E" w:rsidP="00B9311E">
            <w:pPr>
              <w:spacing w:after="0" w:line="240" w:lineRule="auto"/>
              <w:rPr>
                <w:b/>
                <w:bCs/>
                <w:sz w:val="18"/>
                <w:szCs w:val="18"/>
              </w:rPr>
            </w:pPr>
            <w:r w:rsidRPr="00BD77D8">
              <w:rPr>
                <w:b/>
                <w:bCs/>
                <w:sz w:val="18"/>
                <w:szCs w:val="18"/>
              </w:rPr>
              <w:t> </w:t>
            </w:r>
          </w:p>
        </w:tc>
        <w:tc>
          <w:tcPr>
            <w:tcW w:w="0" w:type="auto"/>
            <w:tcBorders>
              <w:top w:val="nil"/>
              <w:left w:val="nil"/>
              <w:bottom w:val="single" w:sz="4" w:space="0" w:color="auto"/>
              <w:right w:val="nil"/>
            </w:tcBorders>
            <w:shd w:val="clear" w:color="auto" w:fill="auto"/>
            <w:vAlign w:val="center"/>
            <w:hideMark/>
          </w:tcPr>
          <w:p w14:paraId="5CBEC193"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center"/>
            <w:hideMark/>
          </w:tcPr>
          <w:p w14:paraId="1D15065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center"/>
            <w:hideMark/>
          </w:tcPr>
          <w:p w14:paraId="4AA0D43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center"/>
            <w:hideMark/>
          </w:tcPr>
          <w:p w14:paraId="16FA9DB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62378C5E" w14:textId="77777777" w:rsidTr="003057FB">
        <w:trPr>
          <w:trHeight w:val="366"/>
        </w:trPr>
        <w:tc>
          <w:tcPr>
            <w:tcW w:w="0" w:type="auto"/>
            <w:tcBorders>
              <w:top w:val="nil"/>
              <w:left w:val="nil"/>
              <w:bottom w:val="nil"/>
              <w:right w:val="nil"/>
            </w:tcBorders>
            <w:shd w:val="clear" w:color="auto" w:fill="auto"/>
            <w:noWrap/>
            <w:vAlign w:val="center"/>
            <w:hideMark/>
          </w:tcPr>
          <w:p w14:paraId="535DAD2A"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2021 </w:t>
            </w:r>
          </w:p>
        </w:tc>
        <w:tc>
          <w:tcPr>
            <w:tcW w:w="0" w:type="auto"/>
            <w:tcBorders>
              <w:top w:val="nil"/>
              <w:left w:val="nil"/>
              <w:bottom w:val="nil"/>
              <w:right w:val="nil"/>
            </w:tcBorders>
            <w:shd w:val="clear" w:color="auto" w:fill="auto"/>
            <w:vAlign w:val="bottom"/>
            <w:hideMark/>
          </w:tcPr>
          <w:p w14:paraId="4BC9164C"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nil"/>
              <w:left w:val="nil"/>
              <w:bottom w:val="nil"/>
              <w:right w:val="nil"/>
            </w:tcBorders>
            <w:shd w:val="clear" w:color="auto" w:fill="auto"/>
            <w:vAlign w:val="bottom"/>
            <w:hideMark/>
          </w:tcPr>
          <w:p w14:paraId="7C694CFA" w14:textId="77777777" w:rsidR="00B9311E" w:rsidRPr="00BD77D8" w:rsidRDefault="00B9311E" w:rsidP="00B9311E">
            <w:pPr>
              <w:spacing w:after="0" w:line="240" w:lineRule="auto"/>
              <w:jc w:val="right"/>
              <w:rPr>
                <w:b/>
                <w:bCs/>
                <w:sz w:val="18"/>
                <w:szCs w:val="18"/>
              </w:rPr>
            </w:pPr>
            <w:r w:rsidRPr="00BD77D8">
              <w:rPr>
                <w:b/>
                <w:bCs/>
                <w:sz w:val="18"/>
                <w:szCs w:val="18"/>
              </w:rPr>
              <w:t xml:space="preserve">            170 </w:t>
            </w:r>
          </w:p>
        </w:tc>
        <w:tc>
          <w:tcPr>
            <w:tcW w:w="0" w:type="auto"/>
            <w:tcBorders>
              <w:top w:val="nil"/>
              <w:left w:val="nil"/>
              <w:bottom w:val="nil"/>
              <w:right w:val="nil"/>
            </w:tcBorders>
            <w:shd w:val="clear" w:color="auto" w:fill="auto"/>
            <w:noWrap/>
            <w:vAlign w:val="bottom"/>
            <w:hideMark/>
          </w:tcPr>
          <w:p w14:paraId="6EBB1E2F" w14:textId="77777777" w:rsidR="00B9311E" w:rsidRPr="00BD77D8" w:rsidRDefault="00B9311E" w:rsidP="00B9311E">
            <w:pPr>
              <w:spacing w:after="0" w:line="240" w:lineRule="auto"/>
              <w:jc w:val="right"/>
              <w:rPr>
                <w:b/>
                <w:bCs/>
                <w:sz w:val="18"/>
                <w:szCs w:val="18"/>
              </w:rPr>
            </w:pPr>
            <w:r w:rsidRPr="00BD77D8">
              <w:rPr>
                <w:b/>
                <w:bCs/>
                <w:sz w:val="18"/>
                <w:szCs w:val="18"/>
              </w:rPr>
              <w:t xml:space="preserve">    119,490 </w:t>
            </w:r>
          </w:p>
        </w:tc>
        <w:tc>
          <w:tcPr>
            <w:tcW w:w="0" w:type="auto"/>
            <w:tcBorders>
              <w:top w:val="nil"/>
              <w:left w:val="nil"/>
              <w:bottom w:val="nil"/>
              <w:right w:val="nil"/>
            </w:tcBorders>
            <w:shd w:val="clear" w:color="auto" w:fill="auto"/>
            <w:vAlign w:val="bottom"/>
            <w:hideMark/>
          </w:tcPr>
          <w:p w14:paraId="1B81EB96" w14:textId="77777777" w:rsidR="00B9311E" w:rsidRPr="00BD77D8" w:rsidRDefault="00B9311E" w:rsidP="00B9311E">
            <w:pPr>
              <w:spacing w:after="0" w:line="240" w:lineRule="auto"/>
              <w:jc w:val="right"/>
              <w:rPr>
                <w:b/>
                <w:bCs/>
                <w:sz w:val="18"/>
                <w:szCs w:val="18"/>
              </w:rPr>
            </w:pPr>
            <w:r w:rsidRPr="00BD77D8">
              <w:rPr>
                <w:b/>
                <w:bCs/>
                <w:sz w:val="18"/>
                <w:szCs w:val="18"/>
              </w:rPr>
              <w:t xml:space="preserve">    181,610 </w:t>
            </w:r>
          </w:p>
        </w:tc>
      </w:tr>
      <w:tr w:rsidR="00BD77D8" w:rsidRPr="00BD77D8" w14:paraId="69FB4B3A" w14:textId="77777777" w:rsidTr="003057FB">
        <w:trPr>
          <w:trHeight w:val="366"/>
        </w:trPr>
        <w:tc>
          <w:tcPr>
            <w:tcW w:w="0" w:type="auto"/>
            <w:tcBorders>
              <w:top w:val="nil"/>
              <w:left w:val="nil"/>
              <w:bottom w:val="nil"/>
              <w:right w:val="nil"/>
            </w:tcBorders>
            <w:shd w:val="clear" w:color="auto" w:fill="auto"/>
            <w:noWrap/>
            <w:vAlign w:val="center"/>
            <w:hideMark/>
          </w:tcPr>
          <w:p w14:paraId="0810D8CE" w14:textId="77777777" w:rsidR="00B9311E" w:rsidRPr="00BD77D8" w:rsidRDefault="00B9311E" w:rsidP="00B9311E">
            <w:pPr>
              <w:spacing w:after="0" w:line="240" w:lineRule="auto"/>
              <w:rPr>
                <w:sz w:val="18"/>
                <w:szCs w:val="18"/>
              </w:rPr>
            </w:pPr>
            <w:r w:rsidRPr="00BD77D8">
              <w:rPr>
                <w:sz w:val="18"/>
                <w:szCs w:val="18"/>
              </w:rPr>
              <w:t xml:space="preserve"> Acquisitions </w:t>
            </w:r>
          </w:p>
        </w:tc>
        <w:tc>
          <w:tcPr>
            <w:tcW w:w="0" w:type="auto"/>
            <w:tcBorders>
              <w:top w:val="nil"/>
              <w:left w:val="nil"/>
              <w:bottom w:val="nil"/>
              <w:right w:val="nil"/>
            </w:tcBorders>
            <w:shd w:val="clear" w:color="auto" w:fill="auto"/>
            <w:vAlign w:val="bottom"/>
            <w:hideMark/>
          </w:tcPr>
          <w:p w14:paraId="095A0479"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5D6A3AD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4F5F723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1BAD7F59" w14:textId="77777777" w:rsidR="00B9311E" w:rsidRPr="00BD77D8" w:rsidRDefault="00B9311E" w:rsidP="00B9311E">
            <w:pPr>
              <w:spacing w:after="0" w:line="240" w:lineRule="auto"/>
              <w:jc w:val="right"/>
              <w:rPr>
                <w:sz w:val="18"/>
                <w:szCs w:val="18"/>
              </w:rPr>
            </w:pPr>
            <w:r w:rsidRPr="00BD77D8">
              <w:rPr>
                <w:sz w:val="18"/>
                <w:szCs w:val="18"/>
              </w:rPr>
              <w:t xml:space="preserve">            119 </w:t>
            </w:r>
          </w:p>
        </w:tc>
      </w:tr>
      <w:tr w:rsidR="00BD77D8" w:rsidRPr="00BD77D8" w14:paraId="083662AD" w14:textId="77777777" w:rsidTr="003057FB">
        <w:trPr>
          <w:trHeight w:val="366"/>
        </w:trPr>
        <w:tc>
          <w:tcPr>
            <w:tcW w:w="0" w:type="auto"/>
            <w:tcBorders>
              <w:top w:val="nil"/>
              <w:left w:val="nil"/>
              <w:bottom w:val="nil"/>
              <w:right w:val="nil"/>
            </w:tcBorders>
            <w:shd w:val="clear" w:color="auto" w:fill="auto"/>
            <w:noWrap/>
            <w:vAlign w:val="center"/>
            <w:hideMark/>
          </w:tcPr>
          <w:p w14:paraId="6881DE5D" w14:textId="77777777" w:rsidR="00B9311E" w:rsidRPr="00BD77D8" w:rsidRDefault="00B9311E" w:rsidP="00B9311E">
            <w:pPr>
              <w:spacing w:after="0" w:line="240" w:lineRule="auto"/>
              <w:rPr>
                <w:sz w:val="18"/>
                <w:szCs w:val="18"/>
              </w:rPr>
            </w:pPr>
            <w:r w:rsidRPr="00BD77D8">
              <w:rPr>
                <w:sz w:val="18"/>
                <w:szCs w:val="18"/>
              </w:rPr>
              <w:t xml:space="preserve"> Disposals </w:t>
            </w:r>
          </w:p>
        </w:tc>
        <w:tc>
          <w:tcPr>
            <w:tcW w:w="0" w:type="auto"/>
            <w:tcBorders>
              <w:top w:val="nil"/>
              <w:left w:val="nil"/>
              <w:bottom w:val="nil"/>
              <w:right w:val="nil"/>
            </w:tcBorders>
            <w:shd w:val="clear" w:color="auto" w:fill="auto"/>
            <w:vAlign w:val="bottom"/>
            <w:hideMark/>
          </w:tcPr>
          <w:p w14:paraId="593C7E02"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00BB05F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21E0BC82" w14:textId="77777777" w:rsidR="00B9311E" w:rsidRPr="00BD77D8" w:rsidRDefault="00B9311E" w:rsidP="00B9311E">
            <w:pPr>
              <w:spacing w:after="0" w:line="240" w:lineRule="auto"/>
              <w:jc w:val="right"/>
              <w:rPr>
                <w:sz w:val="18"/>
                <w:szCs w:val="18"/>
              </w:rPr>
            </w:pPr>
            <w:r w:rsidRPr="00BD77D8">
              <w:rPr>
                <w:sz w:val="18"/>
                <w:szCs w:val="18"/>
              </w:rPr>
              <w:t xml:space="preserve">          (814)</w:t>
            </w:r>
          </w:p>
        </w:tc>
        <w:tc>
          <w:tcPr>
            <w:tcW w:w="0" w:type="auto"/>
            <w:tcBorders>
              <w:top w:val="nil"/>
              <w:left w:val="nil"/>
              <w:bottom w:val="nil"/>
              <w:right w:val="nil"/>
            </w:tcBorders>
            <w:shd w:val="clear" w:color="auto" w:fill="auto"/>
            <w:vAlign w:val="bottom"/>
            <w:hideMark/>
          </w:tcPr>
          <w:p w14:paraId="45AC90A8" w14:textId="77777777" w:rsidR="00B9311E" w:rsidRPr="00BD77D8" w:rsidRDefault="00B9311E" w:rsidP="00B9311E">
            <w:pPr>
              <w:spacing w:after="0" w:line="240" w:lineRule="auto"/>
              <w:jc w:val="right"/>
              <w:rPr>
                <w:sz w:val="18"/>
                <w:szCs w:val="18"/>
              </w:rPr>
            </w:pPr>
            <w:r w:rsidRPr="00BD77D8">
              <w:rPr>
                <w:sz w:val="18"/>
                <w:szCs w:val="18"/>
              </w:rPr>
              <w:t xml:space="preserve">       (2,928)</w:t>
            </w:r>
          </w:p>
        </w:tc>
      </w:tr>
      <w:tr w:rsidR="00BD77D8" w:rsidRPr="00BD77D8" w14:paraId="530BEDAC" w14:textId="77777777" w:rsidTr="003057FB">
        <w:trPr>
          <w:trHeight w:val="327"/>
        </w:trPr>
        <w:tc>
          <w:tcPr>
            <w:tcW w:w="0" w:type="auto"/>
            <w:tcBorders>
              <w:top w:val="nil"/>
              <w:left w:val="nil"/>
              <w:bottom w:val="nil"/>
              <w:right w:val="nil"/>
            </w:tcBorders>
            <w:shd w:val="clear" w:color="auto" w:fill="auto"/>
            <w:noWrap/>
            <w:vAlign w:val="center"/>
            <w:hideMark/>
          </w:tcPr>
          <w:p w14:paraId="2974365B" w14:textId="77777777" w:rsidR="00B9311E" w:rsidRPr="00BD77D8" w:rsidRDefault="00B9311E" w:rsidP="00B9311E">
            <w:pPr>
              <w:spacing w:after="0" w:line="240" w:lineRule="auto"/>
              <w:rPr>
                <w:sz w:val="18"/>
                <w:szCs w:val="18"/>
              </w:rPr>
            </w:pPr>
            <w:r w:rsidRPr="00BD77D8">
              <w:rPr>
                <w:sz w:val="18"/>
                <w:szCs w:val="18"/>
              </w:rPr>
              <w:t xml:space="preserve"> Transfers in from other Queensland Government entities </w:t>
            </w:r>
            <w:proofErr w:type="spellStart"/>
            <w:r w:rsidRPr="00BD77D8">
              <w:rPr>
                <w:sz w:val="18"/>
                <w:szCs w:val="18"/>
              </w:rPr>
              <w:t>MoG</w:t>
            </w:r>
            <w:proofErr w:type="spellEnd"/>
            <w:r w:rsidRPr="00BD77D8">
              <w:rPr>
                <w:sz w:val="18"/>
                <w:szCs w:val="18"/>
              </w:rPr>
              <w:t xml:space="preserve"> </w:t>
            </w:r>
          </w:p>
        </w:tc>
        <w:tc>
          <w:tcPr>
            <w:tcW w:w="0" w:type="auto"/>
            <w:tcBorders>
              <w:top w:val="nil"/>
              <w:left w:val="nil"/>
              <w:bottom w:val="nil"/>
              <w:right w:val="nil"/>
            </w:tcBorders>
            <w:shd w:val="clear" w:color="auto" w:fill="auto"/>
            <w:vAlign w:val="bottom"/>
            <w:hideMark/>
          </w:tcPr>
          <w:p w14:paraId="6A55FAAD"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7F7EB2D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3A9F9C7A"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1842BAFB" w14:textId="77777777" w:rsidR="00B9311E" w:rsidRPr="00BD77D8" w:rsidRDefault="00B9311E" w:rsidP="00B9311E">
            <w:pPr>
              <w:spacing w:after="0" w:line="240" w:lineRule="auto"/>
              <w:jc w:val="right"/>
              <w:rPr>
                <w:sz w:val="18"/>
                <w:szCs w:val="18"/>
              </w:rPr>
            </w:pPr>
            <w:r w:rsidRPr="00BD77D8">
              <w:rPr>
                <w:sz w:val="18"/>
                <w:szCs w:val="18"/>
              </w:rPr>
              <w:t xml:space="preserve">      12,082 </w:t>
            </w:r>
          </w:p>
        </w:tc>
      </w:tr>
      <w:tr w:rsidR="00BD77D8" w:rsidRPr="00BD77D8" w14:paraId="0ADCD175" w14:textId="77777777" w:rsidTr="003057FB">
        <w:trPr>
          <w:trHeight w:val="366"/>
        </w:trPr>
        <w:tc>
          <w:tcPr>
            <w:tcW w:w="0" w:type="auto"/>
            <w:tcBorders>
              <w:top w:val="nil"/>
              <w:left w:val="nil"/>
              <w:bottom w:val="nil"/>
              <w:right w:val="nil"/>
            </w:tcBorders>
            <w:shd w:val="clear" w:color="auto" w:fill="auto"/>
            <w:noWrap/>
            <w:vAlign w:val="center"/>
            <w:hideMark/>
          </w:tcPr>
          <w:p w14:paraId="0BA9CC0F" w14:textId="77777777" w:rsidR="00B9311E" w:rsidRPr="00BD77D8" w:rsidRDefault="00B9311E" w:rsidP="00B9311E">
            <w:pPr>
              <w:spacing w:after="0" w:line="240" w:lineRule="auto"/>
              <w:rPr>
                <w:sz w:val="18"/>
                <w:szCs w:val="18"/>
              </w:rPr>
            </w:pPr>
            <w:r w:rsidRPr="00BD77D8">
              <w:rPr>
                <w:sz w:val="18"/>
                <w:szCs w:val="18"/>
              </w:rPr>
              <w:t xml:space="preserve"> Transfers out to other Queensland Government entities </w:t>
            </w:r>
            <w:proofErr w:type="spellStart"/>
            <w:r w:rsidRPr="00BD77D8">
              <w:rPr>
                <w:sz w:val="18"/>
                <w:szCs w:val="18"/>
              </w:rPr>
              <w:t>MoG</w:t>
            </w:r>
            <w:proofErr w:type="spellEnd"/>
            <w:r w:rsidRPr="00BD77D8">
              <w:rPr>
                <w:sz w:val="18"/>
                <w:szCs w:val="18"/>
              </w:rPr>
              <w:t xml:space="preserve"> </w:t>
            </w:r>
          </w:p>
        </w:tc>
        <w:tc>
          <w:tcPr>
            <w:tcW w:w="0" w:type="auto"/>
            <w:tcBorders>
              <w:top w:val="nil"/>
              <w:left w:val="nil"/>
              <w:bottom w:val="nil"/>
              <w:right w:val="nil"/>
            </w:tcBorders>
            <w:shd w:val="clear" w:color="auto" w:fill="auto"/>
            <w:vAlign w:val="bottom"/>
            <w:hideMark/>
          </w:tcPr>
          <w:p w14:paraId="0C06167F"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6099BEB5" w14:textId="77777777" w:rsidR="00B9311E" w:rsidRPr="00BD77D8" w:rsidRDefault="00B9311E" w:rsidP="00B9311E">
            <w:pPr>
              <w:spacing w:after="0" w:line="240" w:lineRule="auto"/>
              <w:jc w:val="right"/>
              <w:rPr>
                <w:sz w:val="18"/>
                <w:szCs w:val="18"/>
              </w:rPr>
            </w:pPr>
            <w:r w:rsidRPr="00BD77D8">
              <w:rPr>
                <w:sz w:val="18"/>
                <w:szCs w:val="18"/>
              </w:rPr>
              <w:t xml:space="preserve">          (170)</w:t>
            </w:r>
          </w:p>
        </w:tc>
        <w:tc>
          <w:tcPr>
            <w:tcW w:w="0" w:type="auto"/>
            <w:tcBorders>
              <w:top w:val="nil"/>
              <w:left w:val="nil"/>
              <w:bottom w:val="nil"/>
              <w:right w:val="nil"/>
            </w:tcBorders>
            <w:shd w:val="clear" w:color="auto" w:fill="auto"/>
            <w:noWrap/>
            <w:vAlign w:val="bottom"/>
            <w:hideMark/>
          </w:tcPr>
          <w:p w14:paraId="053604EB"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046752B6" w14:textId="77777777" w:rsidR="00B9311E" w:rsidRPr="00BD77D8" w:rsidRDefault="00B9311E" w:rsidP="00B9311E">
            <w:pPr>
              <w:spacing w:after="0" w:line="240" w:lineRule="auto"/>
              <w:jc w:val="right"/>
              <w:rPr>
                <w:sz w:val="18"/>
                <w:szCs w:val="18"/>
              </w:rPr>
            </w:pPr>
            <w:r w:rsidRPr="00BD77D8">
              <w:rPr>
                <w:sz w:val="18"/>
                <w:szCs w:val="18"/>
              </w:rPr>
              <w:t xml:space="preserve">    (75,733)</w:t>
            </w:r>
          </w:p>
        </w:tc>
      </w:tr>
      <w:tr w:rsidR="00BD77D8" w:rsidRPr="00BD77D8" w14:paraId="388AE88E" w14:textId="77777777" w:rsidTr="003057FB">
        <w:trPr>
          <w:trHeight w:val="366"/>
        </w:trPr>
        <w:tc>
          <w:tcPr>
            <w:tcW w:w="0" w:type="auto"/>
            <w:tcBorders>
              <w:top w:val="nil"/>
              <w:left w:val="nil"/>
              <w:bottom w:val="nil"/>
              <w:right w:val="nil"/>
            </w:tcBorders>
            <w:shd w:val="clear" w:color="auto" w:fill="auto"/>
            <w:noWrap/>
            <w:vAlign w:val="center"/>
            <w:hideMark/>
          </w:tcPr>
          <w:p w14:paraId="545C37F7" w14:textId="77777777" w:rsidR="00B9311E" w:rsidRPr="00BD77D8" w:rsidRDefault="00B9311E" w:rsidP="00B9311E">
            <w:pPr>
              <w:spacing w:after="0" w:line="240" w:lineRule="auto"/>
              <w:rPr>
                <w:sz w:val="18"/>
                <w:szCs w:val="18"/>
              </w:rPr>
            </w:pPr>
            <w:r w:rsidRPr="00BD77D8">
              <w:rPr>
                <w:sz w:val="18"/>
                <w:szCs w:val="18"/>
              </w:rPr>
              <w:t xml:space="preserve"> Transfers between asset classes </w:t>
            </w:r>
          </w:p>
        </w:tc>
        <w:tc>
          <w:tcPr>
            <w:tcW w:w="0" w:type="auto"/>
            <w:tcBorders>
              <w:top w:val="nil"/>
              <w:left w:val="nil"/>
              <w:bottom w:val="nil"/>
              <w:right w:val="nil"/>
            </w:tcBorders>
            <w:shd w:val="clear" w:color="auto" w:fill="auto"/>
            <w:vAlign w:val="bottom"/>
            <w:hideMark/>
          </w:tcPr>
          <w:p w14:paraId="70DBDCFD"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3DB9C31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1A7DC922" w14:textId="77777777" w:rsidR="00B9311E" w:rsidRPr="00BD77D8" w:rsidRDefault="00B9311E" w:rsidP="00B9311E">
            <w:pPr>
              <w:spacing w:after="0" w:line="240" w:lineRule="auto"/>
              <w:jc w:val="right"/>
              <w:rPr>
                <w:sz w:val="18"/>
                <w:szCs w:val="18"/>
              </w:rPr>
            </w:pPr>
            <w:r w:rsidRPr="00BD77D8">
              <w:rPr>
                <w:sz w:val="18"/>
                <w:szCs w:val="18"/>
              </w:rPr>
              <w:t xml:space="preserve">        1,193 </w:t>
            </w:r>
          </w:p>
        </w:tc>
        <w:tc>
          <w:tcPr>
            <w:tcW w:w="0" w:type="auto"/>
            <w:tcBorders>
              <w:top w:val="nil"/>
              <w:left w:val="nil"/>
              <w:bottom w:val="nil"/>
              <w:right w:val="nil"/>
            </w:tcBorders>
            <w:shd w:val="clear" w:color="auto" w:fill="auto"/>
            <w:vAlign w:val="bottom"/>
            <w:hideMark/>
          </w:tcPr>
          <w:p w14:paraId="6699E249" w14:textId="77777777" w:rsidR="00B9311E" w:rsidRPr="00BD77D8" w:rsidRDefault="00B9311E" w:rsidP="00B9311E">
            <w:pPr>
              <w:spacing w:after="0" w:line="240" w:lineRule="auto"/>
              <w:jc w:val="right"/>
              <w:rPr>
                <w:sz w:val="18"/>
                <w:szCs w:val="18"/>
              </w:rPr>
            </w:pPr>
            <w:r w:rsidRPr="00BD77D8">
              <w:rPr>
                <w:sz w:val="18"/>
                <w:szCs w:val="18"/>
              </w:rPr>
              <w:t xml:space="preserve">        7,637 </w:t>
            </w:r>
          </w:p>
        </w:tc>
      </w:tr>
      <w:tr w:rsidR="00BD77D8" w:rsidRPr="00BD77D8" w14:paraId="6B441E07" w14:textId="77777777" w:rsidTr="003057FB">
        <w:trPr>
          <w:trHeight w:val="366"/>
        </w:trPr>
        <w:tc>
          <w:tcPr>
            <w:tcW w:w="0" w:type="auto"/>
            <w:tcBorders>
              <w:top w:val="nil"/>
              <w:left w:val="nil"/>
              <w:bottom w:val="nil"/>
              <w:right w:val="nil"/>
            </w:tcBorders>
            <w:shd w:val="clear" w:color="auto" w:fill="auto"/>
            <w:noWrap/>
            <w:vAlign w:val="center"/>
            <w:hideMark/>
          </w:tcPr>
          <w:p w14:paraId="440867DA" w14:textId="77777777" w:rsidR="00B9311E" w:rsidRPr="00BD77D8" w:rsidRDefault="00B9311E" w:rsidP="00B9311E">
            <w:pPr>
              <w:spacing w:after="0" w:line="240" w:lineRule="auto"/>
              <w:rPr>
                <w:sz w:val="18"/>
                <w:szCs w:val="18"/>
              </w:rPr>
            </w:pPr>
            <w:r w:rsidRPr="00BD77D8">
              <w:rPr>
                <w:sz w:val="18"/>
                <w:szCs w:val="18"/>
              </w:rPr>
              <w:t xml:space="preserve"> Net revaluation increments in operating surplus </w:t>
            </w:r>
          </w:p>
        </w:tc>
        <w:tc>
          <w:tcPr>
            <w:tcW w:w="0" w:type="auto"/>
            <w:tcBorders>
              <w:top w:val="nil"/>
              <w:left w:val="nil"/>
              <w:bottom w:val="nil"/>
              <w:right w:val="nil"/>
            </w:tcBorders>
            <w:shd w:val="clear" w:color="auto" w:fill="auto"/>
            <w:vAlign w:val="bottom"/>
            <w:hideMark/>
          </w:tcPr>
          <w:p w14:paraId="1184EEFD"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33D11CC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7848DE78" w14:textId="77777777" w:rsidR="00B9311E" w:rsidRPr="00BD77D8" w:rsidRDefault="00B9311E" w:rsidP="00B9311E">
            <w:pPr>
              <w:spacing w:after="0" w:line="240" w:lineRule="auto"/>
              <w:jc w:val="right"/>
              <w:rPr>
                <w:sz w:val="18"/>
                <w:szCs w:val="18"/>
              </w:rPr>
            </w:pPr>
            <w:r w:rsidRPr="00BD77D8">
              <w:rPr>
                <w:sz w:val="18"/>
                <w:szCs w:val="18"/>
              </w:rPr>
              <w:t xml:space="preserve">      20,512 </w:t>
            </w:r>
          </w:p>
        </w:tc>
        <w:tc>
          <w:tcPr>
            <w:tcW w:w="0" w:type="auto"/>
            <w:tcBorders>
              <w:top w:val="nil"/>
              <w:left w:val="nil"/>
              <w:bottom w:val="nil"/>
              <w:right w:val="nil"/>
            </w:tcBorders>
            <w:shd w:val="clear" w:color="auto" w:fill="auto"/>
            <w:vAlign w:val="bottom"/>
            <w:hideMark/>
          </w:tcPr>
          <w:p w14:paraId="1E8B90F1" w14:textId="77777777" w:rsidR="00B9311E" w:rsidRPr="00BD77D8" w:rsidRDefault="00B9311E" w:rsidP="00B9311E">
            <w:pPr>
              <w:spacing w:after="0" w:line="240" w:lineRule="auto"/>
              <w:jc w:val="right"/>
              <w:rPr>
                <w:sz w:val="18"/>
                <w:szCs w:val="18"/>
              </w:rPr>
            </w:pPr>
            <w:r w:rsidRPr="00BD77D8">
              <w:rPr>
                <w:sz w:val="18"/>
                <w:szCs w:val="18"/>
              </w:rPr>
              <w:t xml:space="preserve">            714 </w:t>
            </w:r>
          </w:p>
        </w:tc>
      </w:tr>
      <w:tr w:rsidR="00BD77D8" w:rsidRPr="00BD77D8" w14:paraId="0EF69A7E" w14:textId="77777777" w:rsidTr="003057FB">
        <w:trPr>
          <w:trHeight w:val="366"/>
        </w:trPr>
        <w:tc>
          <w:tcPr>
            <w:tcW w:w="0" w:type="auto"/>
            <w:tcBorders>
              <w:top w:val="nil"/>
              <w:left w:val="nil"/>
              <w:bottom w:val="nil"/>
              <w:right w:val="nil"/>
            </w:tcBorders>
            <w:shd w:val="clear" w:color="auto" w:fill="auto"/>
            <w:noWrap/>
            <w:vAlign w:val="center"/>
            <w:hideMark/>
          </w:tcPr>
          <w:p w14:paraId="2F40E064" w14:textId="77777777" w:rsidR="00B9311E" w:rsidRPr="00BD77D8" w:rsidRDefault="00B9311E" w:rsidP="00B9311E">
            <w:pPr>
              <w:spacing w:after="0" w:line="240" w:lineRule="auto"/>
              <w:rPr>
                <w:sz w:val="18"/>
                <w:szCs w:val="18"/>
              </w:rPr>
            </w:pPr>
            <w:r w:rsidRPr="00BD77D8">
              <w:rPr>
                <w:sz w:val="18"/>
                <w:szCs w:val="18"/>
              </w:rPr>
              <w:t xml:space="preserve"> Depreciation </w:t>
            </w:r>
          </w:p>
        </w:tc>
        <w:tc>
          <w:tcPr>
            <w:tcW w:w="0" w:type="auto"/>
            <w:tcBorders>
              <w:top w:val="nil"/>
              <w:left w:val="nil"/>
              <w:bottom w:val="nil"/>
              <w:right w:val="nil"/>
            </w:tcBorders>
            <w:shd w:val="clear" w:color="auto" w:fill="auto"/>
            <w:noWrap/>
            <w:vAlign w:val="bottom"/>
            <w:hideMark/>
          </w:tcPr>
          <w:p w14:paraId="66ED1AE4"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312D905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3C08436F" w14:textId="77777777" w:rsidR="00B9311E" w:rsidRPr="00BD77D8" w:rsidRDefault="00B9311E" w:rsidP="00B9311E">
            <w:pPr>
              <w:spacing w:after="0" w:line="240" w:lineRule="auto"/>
              <w:jc w:val="right"/>
              <w:rPr>
                <w:sz w:val="18"/>
                <w:szCs w:val="18"/>
              </w:rPr>
            </w:pPr>
            <w:r w:rsidRPr="00BD77D8">
              <w:rPr>
                <w:sz w:val="18"/>
                <w:szCs w:val="18"/>
              </w:rPr>
              <w:t xml:space="preserve">       (3,047)</w:t>
            </w:r>
          </w:p>
        </w:tc>
        <w:tc>
          <w:tcPr>
            <w:tcW w:w="0" w:type="auto"/>
            <w:tcBorders>
              <w:top w:val="nil"/>
              <w:left w:val="nil"/>
              <w:bottom w:val="nil"/>
              <w:right w:val="nil"/>
            </w:tcBorders>
            <w:shd w:val="clear" w:color="auto" w:fill="auto"/>
            <w:vAlign w:val="bottom"/>
            <w:hideMark/>
          </w:tcPr>
          <w:p w14:paraId="240FD8A3" w14:textId="77777777" w:rsidR="00B9311E" w:rsidRPr="00BD77D8" w:rsidRDefault="00B9311E" w:rsidP="00B9311E">
            <w:pPr>
              <w:spacing w:after="0" w:line="240" w:lineRule="auto"/>
              <w:jc w:val="right"/>
              <w:rPr>
                <w:sz w:val="18"/>
                <w:szCs w:val="18"/>
              </w:rPr>
            </w:pPr>
            <w:r w:rsidRPr="00BD77D8">
              <w:rPr>
                <w:sz w:val="18"/>
                <w:szCs w:val="18"/>
              </w:rPr>
              <w:t xml:space="preserve">       (4,011)</w:t>
            </w:r>
          </w:p>
        </w:tc>
      </w:tr>
      <w:tr w:rsidR="00BD77D8" w:rsidRPr="00BD77D8" w14:paraId="67DEC53C" w14:textId="77777777" w:rsidTr="003057FB">
        <w:trPr>
          <w:trHeight w:val="366"/>
        </w:trPr>
        <w:tc>
          <w:tcPr>
            <w:tcW w:w="0" w:type="auto"/>
            <w:tcBorders>
              <w:top w:val="nil"/>
              <w:left w:val="nil"/>
              <w:bottom w:val="nil"/>
              <w:right w:val="nil"/>
            </w:tcBorders>
            <w:shd w:val="clear" w:color="auto" w:fill="auto"/>
            <w:noWrap/>
            <w:vAlign w:val="center"/>
            <w:hideMark/>
          </w:tcPr>
          <w:p w14:paraId="25918CDF"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2022 </w:t>
            </w:r>
          </w:p>
        </w:tc>
        <w:tc>
          <w:tcPr>
            <w:tcW w:w="0" w:type="auto"/>
            <w:tcBorders>
              <w:top w:val="single" w:sz="4" w:space="0" w:color="auto"/>
              <w:left w:val="nil"/>
              <w:bottom w:val="single" w:sz="4" w:space="0" w:color="auto"/>
              <w:right w:val="nil"/>
            </w:tcBorders>
            <w:shd w:val="clear" w:color="auto" w:fill="auto"/>
            <w:noWrap/>
            <w:vAlign w:val="bottom"/>
            <w:hideMark/>
          </w:tcPr>
          <w:p w14:paraId="5BD60A39"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single" w:sz="4" w:space="0" w:color="auto"/>
              <w:left w:val="nil"/>
              <w:bottom w:val="single" w:sz="4" w:space="0" w:color="auto"/>
              <w:right w:val="nil"/>
            </w:tcBorders>
            <w:shd w:val="clear" w:color="auto" w:fill="auto"/>
            <w:noWrap/>
            <w:vAlign w:val="bottom"/>
            <w:hideMark/>
          </w:tcPr>
          <w:p w14:paraId="3D5303ED"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single" w:sz="4" w:space="0" w:color="auto"/>
              <w:left w:val="nil"/>
              <w:bottom w:val="single" w:sz="4" w:space="0" w:color="auto"/>
              <w:right w:val="nil"/>
            </w:tcBorders>
            <w:shd w:val="clear" w:color="auto" w:fill="auto"/>
            <w:noWrap/>
            <w:vAlign w:val="bottom"/>
            <w:hideMark/>
          </w:tcPr>
          <w:p w14:paraId="34CA5F0F" w14:textId="77777777" w:rsidR="00B9311E" w:rsidRPr="00BD77D8" w:rsidRDefault="00B9311E" w:rsidP="00B9311E">
            <w:pPr>
              <w:spacing w:after="0" w:line="240" w:lineRule="auto"/>
              <w:jc w:val="right"/>
              <w:rPr>
                <w:b/>
                <w:bCs/>
                <w:sz w:val="18"/>
                <w:szCs w:val="18"/>
              </w:rPr>
            </w:pPr>
            <w:r w:rsidRPr="00BD77D8">
              <w:rPr>
                <w:b/>
                <w:bCs/>
                <w:sz w:val="18"/>
                <w:szCs w:val="18"/>
              </w:rPr>
              <w:t xml:space="preserve">    137,334 </w:t>
            </w:r>
          </w:p>
        </w:tc>
        <w:tc>
          <w:tcPr>
            <w:tcW w:w="0" w:type="auto"/>
            <w:tcBorders>
              <w:top w:val="single" w:sz="4" w:space="0" w:color="auto"/>
              <w:left w:val="nil"/>
              <w:bottom w:val="single" w:sz="4" w:space="0" w:color="auto"/>
              <w:right w:val="nil"/>
            </w:tcBorders>
            <w:shd w:val="clear" w:color="auto" w:fill="auto"/>
            <w:noWrap/>
            <w:vAlign w:val="bottom"/>
            <w:hideMark/>
          </w:tcPr>
          <w:p w14:paraId="52AD929F" w14:textId="77777777" w:rsidR="00B9311E" w:rsidRPr="00BD77D8" w:rsidRDefault="00B9311E" w:rsidP="00B9311E">
            <w:pPr>
              <w:spacing w:after="0" w:line="240" w:lineRule="auto"/>
              <w:jc w:val="right"/>
              <w:rPr>
                <w:b/>
                <w:bCs/>
                <w:sz w:val="18"/>
                <w:szCs w:val="18"/>
              </w:rPr>
            </w:pPr>
            <w:r w:rsidRPr="00BD77D8">
              <w:rPr>
                <w:b/>
                <w:bCs/>
                <w:sz w:val="18"/>
                <w:szCs w:val="18"/>
              </w:rPr>
              <w:t xml:space="preserve">    119,490 </w:t>
            </w:r>
          </w:p>
        </w:tc>
      </w:tr>
    </w:tbl>
    <w:p w14:paraId="3534AEE4" w14:textId="77777777" w:rsidR="00B9311E" w:rsidRPr="00BD77D8" w:rsidRDefault="00B9311E" w:rsidP="00140059">
      <w:pPr>
        <w:spacing w:before="200" w:line="180" w:lineRule="atLeast"/>
        <w:textAlignment w:val="baseline"/>
        <w:rPr>
          <w:rFonts w:eastAsia="Arial"/>
          <w:b/>
          <w:i/>
          <w:sz w:val="18"/>
          <w:szCs w:val="18"/>
          <w:u w:val="single"/>
          <w:lang w:eastAsia="en-US"/>
        </w:rPr>
      </w:pPr>
      <w:r w:rsidRPr="00BD77D8">
        <w:rPr>
          <w:rFonts w:eastAsia="Arial"/>
          <w:i/>
          <w:sz w:val="18"/>
          <w:szCs w:val="18"/>
          <w:u w:val="single"/>
          <w:lang w:eastAsia="en-US"/>
        </w:rPr>
        <w:t>Basis for Fair Values of Assets</w:t>
      </w:r>
    </w:p>
    <w:p w14:paraId="6FA04694"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 xml:space="preserve">APV undertook specific appraisals of land and building assets supporting the Aboriginal and Torres Strait Islander Partnerships Service Area and undertook a desktop revaluation of land and building assets supporting the Disability Services and Seniors Services Service Areas. </w:t>
      </w:r>
    </w:p>
    <w:p w14:paraId="6182B265"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 xml:space="preserve">The valuation approach for the department's land assets is a market-based assessment where a commercial market exists. Inputs for this assessment include publicly available data on recently sold properties which are of a similar type. This comparison is adjusted to take into consideration the characteristics of the land, such as size, zoning, topography and configuration etc. </w:t>
      </w:r>
    </w:p>
    <w:p w14:paraId="789E6B59"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The department's general-purpose buildings (level 2 category) also reflect a market-based assessment as their valuation approach. This included residential properties where the relevant inputs were able to be observed from current market evidence. The residential properties fair value has been derived from sales prices of comparable properties after adjusting for differences in key attributes such as property size.</w:t>
      </w:r>
    </w:p>
    <w:p w14:paraId="5A871E23"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The department's special purpose buildings (level 3 category) as well as buildings where due to external circumstances there was no evidence to support a market-based approach, are valued using current replacement cost as their valuation approach. Under this approach the cost to replace the asset is calculated and then adjusted to take account of any obsolescence. Key inputs used in this approach include the condition of the building assets, legal and commercial obsolescence. Current replacement cost is estimated based on data from construction guides including Rawlinson’s Construction Guide and the Cordell Construction Cost Index, data from the Australian Bureau of Statistics, and APV Valuers internal research.</w:t>
      </w:r>
    </w:p>
    <w:p w14:paraId="5889D35C" w14:textId="77777777" w:rsidR="00B9311E" w:rsidRPr="00BD77D8" w:rsidRDefault="00B9311E" w:rsidP="00B9311E">
      <w:pPr>
        <w:spacing w:after="0" w:line="180" w:lineRule="atLeast"/>
        <w:textAlignment w:val="baseline"/>
        <w:rPr>
          <w:rFonts w:eastAsia="Arial"/>
          <w:b/>
          <w:sz w:val="18"/>
          <w:szCs w:val="18"/>
          <w:lang w:eastAsia="en-US"/>
        </w:rPr>
      </w:pPr>
      <w:r w:rsidRPr="00BD77D8">
        <w:rPr>
          <w:rFonts w:eastAsia="Arial"/>
          <w:sz w:val="18"/>
          <w:szCs w:val="18"/>
          <w:lang w:eastAsia="en-US"/>
        </w:rPr>
        <w:t>The department is the trustee of various reserve lands which are valued at a nominal value of $1 per parcel as land is held in trust for the local community - Deed of Grant in Trust (DOGIT) Land.  The department controls buildings on those reserve lands, including Retail Stores and other buildings (refer Note C4-8). As there is no active market for departmentally owned buildings on DOGIT land, the current replacement cost approach is used.</w:t>
      </w:r>
    </w:p>
    <w:p w14:paraId="67A493AC" w14:textId="73FF7AF9" w:rsidR="0040288C" w:rsidRPr="00BD77D8" w:rsidRDefault="0040288C" w:rsidP="00C3515C">
      <w:pPr>
        <w:spacing w:before="1800" w:after="0" w:line="199"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26 of 45</w:t>
      </w:r>
    </w:p>
    <w:p w14:paraId="4A3B14E9" w14:textId="77777777" w:rsidR="00B9311E" w:rsidRPr="00BD77D8" w:rsidRDefault="00B9311E" w:rsidP="00B9311E">
      <w:pPr>
        <w:spacing w:after="0" w:line="240" w:lineRule="auto"/>
        <w:rPr>
          <w:rFonts w:eastAsia="Arial"/>
          <w:bCs/>
          <w:sz w:val="18"/>
          <w:szCs w:val="18"/>
          <w:lang w:eastAsia="en-US"/>
        </w:rPr>
      </w:pPr>
      <w:r w:rsidRPr="00BD77D8">
        <w:rPr>
          <w:rFonts w:eastAsia="Arial"/>
          <w:sz w:val="18"/>
          <w:szCs w:val="18"/>
          <w:lang w:eastAsia="en-US"/>
        </w:rPr>
        <w:br w:type="page"/>
      </w:r>
    </w:p>
    <w:p w14:paraId="579E0C2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6545286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292B06E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2B39FF4" w14:textId="77777777" w:rsidR="00B9311E" w:rsidRPr="00BD77D8" w:rsidRDefault="00B9311E" w:rsidP="00B9311E">
      <w:pPr>
        <w:pBdr>
          <w:bottom w:val="single" w:sz="4" w:space="1" w:color="auto"/>
        </w:pBdr>
        <w:spacing w:after="0" w:line="250" w:lineRule="exact"/>
        <w:textAlignment w:val="baseline"/>
        <w:rPr>
          <w:rFonts w:eastAsia="Arial"/>
          <w:b/>
          <w:sz w:val="18"/>
          <w:szCs w:val="18"/>
          <w:lang w:eastAsia="en-US"/>
        </w:rPr>
      </w:pPr>
    </w:p>
    <w:p w14:paraId="24BFAE38" w14:textId="77777777" w:rsidR="00B9311E" w:rsidRPr="00BD77D8" w:rsidRDefault="00B9311E" w:rsidP="00E47A6E">
      <w:pPr>
        <w:spacing w:before="240" w:line="180" w:lineRule="atLeast"/>
        <w:textAlignment w:val="baseline"/>
        <w:rPr>
          <w:rFonts w:eastAsia="Arial"/>
          <w:b/>
          <w:bCs/>
          <w:sz w:val="22"/>
          <w:szCs w:val="22"/>
          <w:lang w:eastAsia="en-US"/>
        </w:rPr>
      </w:pPr>
      <w:r w:rsidRPr="00BD77D8">
        <w:rPr>
          <w:rFonts w:eastAsia="Arial"/>
          <w:b/>
          <w:bCs/>
          <w:sz w:val="22"/>
          <w:szCs w:val="22"/>
          <w:lang w:eastAsia="en-US"/>
        </w:rPr>
        <w:t>C4 Property, Plant and Equipment (continued)</w:t>
      </w:r>
    </w:p>
    <w:p w14:paraId="46881CAE" w14:textId="77777777" w:rsidR="00B9311E" w:rsidRPr="00BD77D8" w:rsidRDefault="00B9311E" w:rsidP="00140059">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C4-8 Retail Stores and Community Facilities Divestment Program</w:t>
      </w:r>
    </w:p>
    <w:p w14:paraId="02048CBA" w14:textId="77777777" w:rsidR="00B9311E" w:rsidRPr="00BD77D8" w:rsidRDefault="00B9311E" w:rsidP="00140059">
      <w:pPr>
        <w:spacing w:line="180" w:lineRule="atLeast"/>
        <w:ind w:right="72"/>
        <w:textAlignment w:val="baseline"/>
        <w:rPr>
          <w:rFonts w:eastAsia="Arial"/>
          <w:b/>
          <w:sz w:val="18"/>
          <w:szCs w:val="18"/>
          <w:lang w:eastAsia="en-US"/>
        </w:rPr>
      </w:pPr>
      <w:r w:rsidRPr="00BD77D8">
        <w:rPr>
          <w:rFonts w:eastAsia="Arial"/>
          <w:sz w:val="18"/>
          <w:szCs w:val="18"/>
          <w:lang w:eastAsia="en-US"/>
        </w:rPr>
        <w:t>The department is the trustee of various reserve lands located within discrete indigenous communities, urban communities and islands in the Torres Strait, some of which have community facilities attached used by the local communities. The department is assessing options to transfer these assets to Traditional Owners or local councils, and there is no certainty as to likely outcomes over the foreseeable future. Until agreement is reached with the Traditional Owners and relevant local councils for these prospective transfers, the department will continue to control these assets.</w:t>
      </w:r>
    </w:p>
    <w:p w14:paraId="607294BA" w14:textId="77777777" w:rsidR="00B9311E" w:rsidRPr="00BD77D8" w:rsidRDefault="00B9311E" w:rsidP="00140059">
      <w:pPr>
        <w:spacing w:line="180" w:lineRule="atLeast"/>
        <w:textAlignment w:val="baseline"/>
        <w:rPr>
          <w:rFonts w:eastAsia="Arial"/>
          <w:b/>
          <w:sz w:val="18"/>
          <w:szCs w:val="18"/>
          <w:lang w:eastAsia="en-US"/>
        </w:rPr>
      </w:pPr>
      <w:r w:rsidRPr="00BD77D8">
        <w:rPr>
          <w:rFonts w:eastAsia="Arial"/>
          <w:sz w:val="18"/>
          <w:szCs w:val="18"/>
          <w:lang w:eastAsia="en-US"/>
        </w:rPr>
        <w:t>These assets include:</w:t>
      </w:r>
    </w:p>
    <w:p w14:paraId="42F36B28" w14:textId="77777777" w:rsidR="00B9311E" w:rsidRPr="00BD77D8" w:rsidRDefault="00B9311E" w:rsidP="003954C5">
      <w:pPr>
        <w:numPr>
          <w:ilvl w:val="0"/>
          <w:numId w:val="74"/>
        </w:numPr>
        <w:spacing w:line="180" w:lineRule="atLeast"/>
        <w:ind w:left="720" w:hanging="720"/>
        <w:textAlignment w:val="baseline"/>
        <w:rPr>
          <w:rFonts w:eastAsia="Arial"/>
          <w:b/>
          <w:sz w:val="18"/>
          <w:szCs w:val="18"/>
          <w:lang w:eastAsia="en-US"/>
        </w:rPr>
      </w:pPr>
      <w:r w:rsidRPr="00BD77D8">
        <w:rPr>
          <w:rFonts w:eastAsia="Arial"/>
          <w:sz w:val="18"/>
          <w:szCs w:val="18"/>
          <w:lang w:eastAsia="en-US"/>
        </w:rPr>
        <w:t xml:space="preserve">Mona </w:t>
      </w:r>
      <w:proofErr w:type="spellStart"/>
      <w:r w:rsidRPr="00BD77D8">
        <w:rPr>
          <w:rFonts w:eastAsia="Arial"/>
          <w:sz w:val="18"/>
          <w:szCs w:val="18"/>
          <w:lang w:eastAsia="en-US"/>
        </w:rPr>
        <w:t>Mona</w:t>
      </w:r>
      <w:proofErr w:type="spellEnd"/>
      <w:r w:rsidRPr="00BD77D8">
        <w:rPr>
          <w:rFonts w:eastAsia="Arial"/>
          <w:sz w:val="18"/>
          <w:szCs w:val="18"/>
          <w:lang w:eastAsia="en-US"/>
        </w:rPr>
        <w:t xml:space="preserve"> (land held in trust and a meeting shed) - value $0.892M</w:t>
      </w:r>
    </w:p>
    <w:p w14:paraId="58C2AD73" w14:textId="77777777" w:rsidR="00B9311E" w:rsidRPr="00BD77D8" w:rsidRDefault="00B9311E" w:rsidP="003954C5">
      <w:pPr>
        <w:numPr>
          <w:ilvl w:val="0"/>
          <w:numId w:val="74"/>
        </w:numPr>
        <w:spacing w:line="180" w:lineRule="atLeast"/>
        <w:ind w:left="720" w:hanging="720"/>
        <w:textAlignment w:val="baseline"/>
        <w:rPr>
          <w:rFonts w:eastAsia="Arial"/>
          <w:b/>
          <w:sz w:val="18"/>
          <w:szCs w:val="18"/>
          <w:lang w:eastAsia="en-US"/>
        </w:rPr>
      </w:pPr>
      <w:r w:rsidRPr="00BD77D8">
        <w:rPr>
          <w:rFonts w:eastAsia="Arial"/>
          <w:sz w:val="18"/>
          <w:szCs w:val="18"/>
          <w:lang w:eastAsia="en-US"/>
        </w:rPr>
        <w:t>Residential dwellings and land held in trust, Irvinebank - value $0.245M</w:t>
      </w:r>
    </w:p>
    <w:p w14:paraId="6CD3B1C3" w14:textId="77777777" w:rsidR="00B9311E" w:rsidRPr="00BD77D8" w:rsidRDefault="00B9311E" w:rsidP="003954C5">
      <w:pPr>
        <w:numPr>
          <w:ilvl w:val="0"/>
          <w:numId w:val="74"/>
        </w:numPr>
        <w:spacing w:line="180" w:lineRule="atLeast"/>
        <w:ind w:left="720" w:right="72" w:hanging="720"/>
        <w:textAlignment w:val="baseline"/>
        <w:rPr>
          <w:rFonts w:eastAsia="Arial"/>
          <w:bCs/>
          <w:sz w:val="18"/>
          <w:szCs w:val="18"/>
          <w:lang w:eastAsia="en-US"/>
        </w:rPr>
      </w:pPr>
      <w:r w:rsidRPr="00BD77D8">
        <w:rPr>
          <w:rFonts w:eastAsia="Arial"/>
          <w:sz w:val="18"/>
          <w:szCs w:val="18"/>
          <w:lang w:eastAsia="en-US"/>
        </w:rPr>
        <w:t>A number of reserves in remote locations in the Torres Strait and on the mainland. The majority of these reserves are valued at $1 in accordance with The Land Act 1994 which enables unallocated state land held in trust for the local community to be valued at a nominal amount.</w:t>
      </w:r>
    </w:p>
    <w:p w14:paraId="06CCDC32" w14:textId="77777777" w:rsidR="00B9311E" w:rsidRPr="00BD77D8" w:rsidRDefault="00B9311E" w:rsidP="00140059">
      <w:pPr>
        <w:tabs>
          <w:tab w:val="left" w:pos="7485"/>
        </w:tabs>
        <w:spacing w:line="180" w:lineRule="atLeast"/>
        <w:textAlignment w:val="baseline"/>
        <w:rPr>
          <w:rFonts w:eastAsia="Arial"/>
          <w:b/>
          <w:bCs/>
          <w:sz w:val="18"/>
          <w:szCs w:val="18"/>
          <w:lang w:eastAsia="en-US"/>
        </w:rPr>
      </w:pPr>
      <w:r w:rsidRPr="00BD77D8">
        <w:rPr>
          <w:rFonts w:eastAsia="Arial"/>
          <w:sz w:val="18"/>
          <w:szCs w:val="18"/>
          <w:lang w:eastAsia="en-US"/>
        </w:rPr>
        <w:t xml:space="preserve">The department transferred </w:t>
      </w:r>
      <w:proofErr w:type="spellStart"/>
      <w:r w:rsidRPr="00BD77D8">
        <w:rPr>
          <w:rFonts w:eastAsia="Arial"/>
          <w:sz w:val="18"/>
          <w:szCs w:val="18"/>
          <w:lang w:eastAsia="en-US"/>
        </w:rPr>
        <w:t>Olandi</w:t>
      </w:r>
      <w:proofErr w:type="spellEnd"/>
      <w:r w:rsidRPr="00BD77D8">
        <w:rPr>
          <w:rFonts w:eastAsia="Arial"/>
          <w:sz w:val="18"/>
          <w:szCs w:val="18"/>
          <w:lang w:eastAsia="en-US"/>
        </w:rPr>
        <w:t xml:space="preserve"> Hall (land net book value of $0.495 million and a building net book value of $1.109 million) to the Torres Shire Council during 2021-22. The transaction has been recognised as a reduction in Controlled Equity and recognition of the asset transfer as an Administered Grant ($1.604 million). Refer to the Statement of Changes in Equity and Note G1-6 for further information.</w:t>
      </w:r>
    </w:p>
    <w:p w14:paraId="29A71285" w14:textId="77777777" w:rsidR="00B9311E" w:rsidRPr="00BD77D8" w:rsidRDefault="00B9311E" w:rsidP="00140059">
      <w:pPr>
        <w:spacing w:line="180" w:lineRule="atLeast"/>
        <w:ind w:right="288"/>
        <w:textAlignment w:val="baseline"/>
        <w:rPr>
          <w:rFonts w:eastAsia="Arial"/>
          <w:b/>
          <w:bCs/>
          <w:sz w:val="18"/>
          <w:szCs w:val="18"/>
          <w:lang w:eastAsia="en-US"/>
        </w:rPr>
      </w:pPr>
      <w:r w:rsidRPr="00BD77D8">
        <w:rPr>
          <w:rFonts w:eastAsia="Arial"/>
          <w:sz w:val="18"/>
          <w:szCs w:val="18"/>
          <w:lang w:eastAsia="en-US"/>
        </w:rPr>
        <w:t>The department currently controls a number of Retail Stores and associated housing assets in remote communities. These assets are valued at $10.302M. Community Enterprise Queensland currently operates the Retail Stores on behalf of the department under memorandum of understanding arrangements whereby Community Enterprise Queensland reimburses the department's depreciation expenses. The department also controls the Lockhart River Multi-Tenant Service Centre $1.997M.</w:t>
      </w:r>
    </w:p>
    <w:p w14:paraId="1B0C244E" w14:textId="4D9CB5E9" w:rsidR="00B9311E" w:rsidRPr="00BD77D8" w:rsidRDefault="00B9311E" w:rsidP="009D387F">
      <w:pPr>
        <w:rPr>
          <w:rFonts w:eastAsia="PMingLiU"/>
          <w:b/>
          <w:bCs/>
          <w:sz w:val="18"/>
          <w:szCs w:val="22"/>
          <w:lang w:eastAsia="en-US"/>
        </w:rPr>
      </w:pPr>
      <w:bookmarkStart w:id="505" w:name="_Toc111494812"/>
      <w:bookmarkStart w:id="506" w:name="_Toc111540684"/>
      <w:bookmarkStart w:id="507" w:name="_Toc111559247"/>
      <w:bookmarkStart w:id="508" w:name="_Toc113196519"/>
      <w:bookmarkStart w:id="509" w:name="_Toc113196867"/>
      <w:bookmarkStart w:id="510" w:name="_Toc113261997"/>
      <w:bookmarkStart w:id="511" w:name="_Toc113349151"/>
      <w:bookmarkStart w:id="512" w:name="_Toc113358076"/>
      <w:bookmarkStart w:id="513" w:name="_Hlk100236797"/>
      <w:r w:rsidRPr="00BD77D8">
        <w:rPr>
          <w:rFonts w:eastAsia="Arial"/>
          <w:b/>
          <w:bCs/>
          <w:sz w:val="22"/>
          <w:szCs w:val="22"/>
          <w:lang w:eastAsia="en-US"/>
        </w:rPr>
        <w:t>C5 Intangibles</w:t>
      </w:r>
      <w:bookmarkEnd w:id="505"/>
      <w:bookmarkEnd w:id="506"/>
      <w:bookmarkEnd w:id="507"/>
      <w:bookmarkEnd w:id="508"/>
      <w:bookmarkEnd w:id="509"/>
      <w:bookmarkEnd w:id="510"/>
      <w:bookmarkEnd w:id="511"/>
      <w:bookmarkEnd w:id="512"/>
    </w:p>
    <w:p w14:paraId="3BD98620" w14:textId="77777777" w:rsidR="00B9311E" w:rsidRPr="00BD77D8" w:rsidRDefault="00B9311E" w:rsidP="00140059">
      <w:pPr>
        <w:spacing w:after="240" w:line="240" w:lineRule="auto"/>
        <w:rPr>
          <w:rFonts w:eastAsia="PMingLiU"/>
          <w:b/>
          <w:bCs/>
          <w:sz w:val="18"/>
          <w:szCs w:val="22"/>
          <w:lang w:eastAsia="en-US"/>
        </w:rPr>
      </w:pPr>
      <w:r w:rsidRPr="00BD77D8">
        <w:rPr>
          <w:rFonts w:eastAsia="PMingLiU"/>
          <w:b/>
          <w:bCs/>
          <w:sz w:val="18"/>
          <w:szCs w:val="22"/>
          <w:lang w:eastAsia="en-US"/>
        </w:rPr>
        <w:t>C5-1 Closing Balances and Reconciliations of Carrying Amount</w:t>
      </w:r>
    </w:p>
    <w:tbl>
      <w:tblPr>
        <w:tblW w:w="10321" w:type="dxa"/>
        <w:tblCellMar>
          <w:left w:w="0" w:type="dxa"/>
          <w:right w:w="0" w:type="dxa"/>
        </w:tblCellMar>
        <w:tblLook w:val="04A0" w:firstRow="1" w:lastRow="0" w:firstColumn="1" w:lastColumn="0" w:noHBand="0" w:noVBand="1"/>
      </w:tblPr>
      <w:tblGrid>
        <w:gridCol w:w="8218"/>
        <w:gridCol w:w="872"/>
        <w:gridCol w:w="1231"/>
      </w:tblGrid>
      <w:tr w:rsidR="00BD77D8" w:rsidRPr="00BD77D8" w14:paraId="3D588BB3" w14:textId="77777777" w:rsidTr="00140059">
        <w:trPr>
          <w:trHeight w:val="266"/>
        </w:trPr>
        <w:tc>
          <w:tcPr>
            <w:tcW w:w="8240" w:type="dxa"/>
            <w:tcBorders>
              <w:top w:val="nil"/>
              <w:left w:val="nil"/>
              <w:bottom w:val="nil"/>
              <w:right w:val="nil"/>
            </w:tcBorders>
            <w:shd w:val="clear" w:color="auto" w:fill="auto"/>
            <w:noWrap/>
            <w:vAlign w:val="center"/>
            <w:hideMark/>
          </w:tcPr>
          <w:p w14:paraId="1BC1304E" w14:textId="77777777" w:rsidR="00B9311E" w:rsidRPr="00BD77D8" w:rsidRDefault="00B9311E" w:rsidP="00B9311E">
            <w:pPr>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auto"/>
            <w:noWrap/>
            <w:vAlign w:val="bottom"/>
            <w:hideMark/>
          </w:tcPr>
          <w:p w14:paraId="5D66E964"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221" w:type="dxa"/>
            <w:tcBorders>
              <w:top w:val="nil"/>
              <w:left w:val="nil"/>
              <w:bottom w:val="nil"/>
              <w:right w:val="nil"/>
            </w:tcBorders>
            <w:shd w:val="clear" w:color="auto" w:fill="auto"/>
            <w:noWrap/>
            <w:vAlign w:val="bottom"/>
            <w:hideMark/>
          </w:tcPr>
          <w:p w14:paraId="50147EFD"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95EE40B" w14:textId="77777777" w:rsidTr="00140059">
        <w:trPr>
          <w:trHeight w:val="266"/>
        </w:trPr>
        <w:tc>
          <w:tcPr>
            <w:tcW w:w="8240" w:type="dxa"/>
            <w:tcBorders>
              <w:top w:val="nil"/>
              <w:left w:val="nil"/>
              <w:bottom w:val="nil"/>
              <w:right w:val="nil"/>
            </w:tcBorders>
            <w:shd w:val="clear" w:color="auto" w:fill="auto"/>
            <w:noWrap/>
            <w:vAlign w:val="center"/>
            <w:hideMark/>
          </w:tcPr>
          <w:p w14:paraId="08F41910" w14:textId="77777777" w:rsidR="00B9311E" w:rsidRPr="00BD77D8" w:rsidRDefault="00B9311E" w:rsidP="00B9311E">
            <w:pPr>
              <w:spacing w:after="0" w:line="240" w:lineRule="auto"/>
              <w:jc w:val="right"/>
              <w:rPr>
                <w:sz w:val="18"/>
                <w:szCs w:val="18"/>
              </w:rPr>
            </w:pPr>
          </w:p>
        </w:tc>
        <w:tc>
          <w:tcPr>
            <w:tcW w:w="860" w:type="dxa"/>
            <w:tcBorders>
              <w:top w:val="nil"/>
              <w:left w:val="nil"/>
              <w:bottom w:val="single" w:sz="4" w:space="0" w:color="auto"/>
              <w:right w:val="nil"/>
            </w:tcBorders>
            <w:shd w:val="clear" w:color="auto" w:fill="auto"/>
            <w:vAlign w:val="center"/>
            <w:hideMark/>
          </w:tcPr>
          <w:p w14:paraId="177235C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21" w:type="dxa"/>
            <w:tcBorders>
              <w:top w:val="nil"/>
              <w:left w:val="nil"/>
              <w:bottom w:val="single" w:sz="4" w:space="0" w:color="auto"/>
              <w:right w:val="nil"/>
            </w:tcBorders>
            <w:shd w:val="clear" w:color="auto" w:fill="auto"/>
            <w:vAlign w:val="center"/>
            <w:hideMark/>
          </w:tcPr>
          <w:p w14:paraId="138611A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5422BCEB" w14:textId="77777777" w:rsidTr="00140059">
        <w:trPr>
          <w:trHeight w:val="266"/>
        </w:trPr>
        <w:tc>
          <w:tcPr>
            <w:tcW w:w="8240" w:type="dxa"/>
            <w:tcBorders>
              <w:top w:val="nil"/>
              <w:left w:val="nil"/>
              <w:bottom w:val="nil"/>
              <w:right w:val="nil"/>
            </w:tcBorders>
            <w:shd w:val="clear" w:color="auto" w:fill="auto"/>
            <w:vAlign w:val="center"/>
            <w:hideMark/>
          </w:tcPr>
          <w:p w14:paraId="685F4752" w14:textId="77777777" w:rsidR="00B9311E" w:rsidRPr="00BD77D8" w:rsidRDefault="00B9311E" w:rsidP="00B9311E">
            <w:pPr>
              <w:spacing w:after="0" w:line="240" w:lineRule="auto"/>
              <w:rPr>
                <w:b/>
                <w:bCs/>
                <w:sz w:val="18"/>
                <w:szCs w:val="18"/>
              </w:rPr>
            </w:pPr>
            <w:r w:rsidRPr="00BD77D8">
              <w:rPr>
                <w:b/>
                <w:bCs/>
                <w:sz w:val="18"/>
                <w:szCs w:val="18"/>
              </w:rPr>
              <w:t xml:space="preserve"> Intangible Assets Reconciliation at 30 June 2022 </w:t>
            </w:r>
          </w:p>
        </w:tc>
        <w:tc>
          <w:tcPr>
            <w:tcW w:w="860" w:type="dxa"/>
            <w:tcBorders>
              <w:top w:val="nil"/>
              <w:left w:val="nil"/>
              <w:bottom w:val="nil"/>
              <w:right w:val="nil"/>
            </w:tcBorders>
            <w:shd w:val="clear" w:color="auto" w:fill="auto"/>
            <w:vAlign w:val="center"/>
            <w:hideMark/>
          </w:tcPr>
          <w:p w14:paraId="2A400003" w14:textId="77777777" w:rsidR="00B9311E" w:rsidRPr="00BD77D8" w:rsidRDefault="00B9311E" w:rsidP="00B9311E">
            <w:pPr>
              <w:spacing w:after="0" w:line="240" w:lineRule="auto"/>
              <w:rPr>
                <w:b/>
                <w:bCs/>
                <w:sz w:val="18"/>
                <w:szCs w:val="18"/>
              </w:rPr>
            </w:pPr>
          </w:p>
        </w:tc>
        <w:tc>
          <w:tcPr>
            <w:tcW w:w="1221" w:type="dxa"/>
            <w:tcBorders>
              <w:top w:val="nil"/>
              <w:left w:val="nil"/>
              <w:bottom w:val="nil"/>
              <w:right w:val="nil"/>
            </w:tcBorders>
            <w:shd w:val="clear" w:color="auto" w:fill="auto"/>
            <w:noWrap/>
            <w:vAlign w:val="bottom"/>
            <w:hideMark/>
          </w:tcPr>
          <w:p w14:paraId="744D4A2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11B39A02" w14:textId="77777777" w:rsidTr="00140059">
        <w:trPr>
          <w:trHeight w:val="266"/>
        </w:trPr>
        <w:tc>
          <w:tcPr>
            <w:tcW w:w="8240" w:type="dxa"/>
            <w:tcBorders>
              <w:top w:val="nil"/>
              <w:left w:val="nil"/>
              <w:bottom w:val="nil"/>
              <w:right w:val="nil"/>
            </w:tcBorders>
            <w:shd w:val="clear" w:color="auto" w:fill="auto"/>
            <w:vAlign w:val="center"/>
            <w:hideMark/>
          </w:tcPr>
          <w:p w14:paraId="53B65BDC" w14:textId="77777777" w:rsidR="00B9311E" w:rsidRPr="00BD77D8" w:rsidRDefault="00B9311E" w:rsidP="00B9311E">
            <w:pPr>
              <w:spacing w:after="0" w:line="240" w:lineRule="auto"/>
              <w:rPr>
                <w:sz w:val="18"/>
                <w:szCs w:val="18"/>
              </w:rPr>
            </w:pPr>
            <w:r w:rsidRPr="00BD77D8">
              <w:rPr>
                <w:sz w:val="18"/>
                <w:szCs w:val="18"/>
              </w:rPr>
              <w:t xml:space="preserve"> Internally Generated </w:t>
            </w:r>
          </w:p>
        </w:tc>
        <w:tc>
          <w:tcPr>
            <w:tcW w:w="860" w:type="dxa"/>
            <w:tcBorders>
              <w:top w:val="nil"/>
              <w:left w:val="nil"/>
              <w:bottom w:val="nil"/>
              <w:right w:val="nil"/>
            </w:tcBorders>
            <w:shd w:val="clear" w:color="auto" w:fill="auto"/>
            <w:noWrap/>
            <w:vAlign w:val="bottom"/>
            <w:hideMark/>
          </w:tcPr>
          <w:p w14:paraId="15EEF49F" w14:textId="77777777" w:rsidR="00B9311E" w:rsidRPr="00BD77D8" w:rsidRDefault="00B9311E" w:rsidP="00B9311E">
            <w:pPr>
              <w:spacing w:after="0" w:line="240" w:lineRule="auto"/>
              <w:rPr>
                <w:sz w:val="18"/>
                <w:szCs w:val="18"/>
              </w:rPr>
            </w:pPr>
          </w:p>
        </w:tc>
        <w:tc>
          <w:tcPr>
            <w:tcW w:w="1221" w:type="dxa"/>
            <w:tcBorders>
              <w:top w:val="nil"/>
              <w:left w:val="nil"/>
              <w:bottom w:val="nil"/>
              <w:right w:val="nil"/>
            </w:tcBorders>
            <w:shd w:val="clear" w:color="auto" w:fill="auto"/>
            <w:noWrap/>
            <w:vAlign w:val="bottom"/>
            <w:hideMark/>
          </w:tcPr>
          <w:p w14:paraId="0B2B283E" w14:textId="77777777" w:rsidR="00B9311E" w:rsidRPr="00BD77D8" w:rsidRDefault="00B9311E" w:rsidP="00B9311E">
            <w:pPr>
              <w:spacing w:after="0" w:line="240" w:lineRule="auto"/>
              <w:rPr>
                <w:rFonts w:ascii="Times New Roman" w:hAnsi="Times New Roman" w:cs="Times New Roman"/>
                <w:sz w:val="20"/>
                <w:szCs w:val="20"/>
              </w:rPr>
            </w:pPr>
          </w:p>
        </w:tc>
      </w:tr>
      <w:tr w:rsidR="00BD77D8" w:rsidRPr="00BD77D8" w14:paraId="788F5437" w14:textId="77777777" w:rsidTr="00140059">
        <w:trPr>
          <w:trHeight w:val="266"/>
        </w:trPr>
        <w:tc>
          <w:tcPr>
            <w:tcW w:w="8240" w:type="dxa"/>
            <w:tcBorders>
              <w:top w:val="nil"/>
              <w:left w:val="nil"/>
              <w:bottom w:val="nil"/>
              <w:right w:val="nil"/>
            </w:tcBorders>
            <w:shd w:val="clear" w:color="auto" w:fill="auto"/>
            <w:vAlign w:val="center"/>
            <w:hideMark/>
          </w:tcPr>
          <w:p w14:paraId="3227FD25" w14:textId="77777777" w:rsidR="00B9311E" w:rsidRPr="00BD77D8" w:rsidRDefault="00B9311E" w:rsidP="00B9311E">
            <w:pPr>
              <w:spacing w:after="0" w:line="240" w:lineRule="auto"/>
              <w:rPr>
                <w:sz w:val="18"/>
                <w:szCs w:val="18"/>
              </w:rPr>
            </w:pPr>
            <w:r w:rsidRPr="00BD77D8">
              <w:rPr>
                <w:sz w:val="18"/>
                <w:szCs w:val="18"/>
              </w:rPr>
              <w:t xml:space="preserve"> Software - internally generated (at cost) </w:t>
            </w:r>
          </w:p>
        </w:tc>
        <w:tc>
          <w:tcPr>
            <w:tcW w:w="860" w:type="dxa"/>
            <w:tcBorders>
              <w:top w:val="nil"/>
              <w:left w:val="nil"/>
              <w:bottom w:val="nil"/>
              <w:right w:val="nil"/>
            </w:tcBorders>
            <w:shd w:val="clear" w:color="auto" w:fill="auto"/>
            <w:vAlign w:val="center"/>
            <w:hideMark/>
          </w:tcPr>
          <w:p w14:paraId="432733AE" w14:textId="77777777" w:rsidR="00B9311E" w:rsidRPr="00BD77D8" w:rsidRDefault="00B9311E" w:rsidP="00B9311E">
            <w:pPr>
              <w:spacing w:after="0" w:line="240" w:lineRule="auto"/>
              <w:jc w:val="right"/>
              <w:rPr>
                <w:sz w:val="18"/>
                <w:szCs w:val="18"/>
              </w:rPr>
            </w:pPr>
            <w:r w:rsidRPr="00BD77D8">
              <w:rPr>
                <w:sz w:val="18"/>
                <w:szCs w:val="18"/>
              </w:rPr>
              <w:t xml:space="preserve">         871 </w:t>
            </w:r>
          </w:p>
        </w:tc>
        <w:tc>
          <w:tcPr>
            <w:tcW w:w="1221" w:type="dxa"/>
            <w:tcBorders>
              <w:top w:val="nil"/>
              <w:left w:val="nil"/>
              <w:bottom w:val="nil"/>
              <w:right w:val="nil"/>
            </w:tcBorders>
            <w:shd w:val="clear" w:color="auto" w:fill="auto"/>
            <w:vAlign w:val="center"/>
            <w:hideMark/>
          </w:tcPr>
          <w:p w14:paraId="51F67FBD" w14:textId="77777777" w:rsidR="00B9311E" w:rsidRPr="00BD77D8" w:rsidRDefault="00B9311E" w:rsidP="00B9311E">
            <w:pPr>
              <w:spacing w:after="0" w:line="240" w:lineRule="auto"/>
              <w:jc w:val="right"/>
              <w:rPr>
                <w:sz w:val="18"/>
                <w:szCs w:val="18"/>
              </w:rPr>
            </w:pPr>
            <w:r w:rsidRPr="00BD77D8">
              <w:rPr>
                <w:sz w:val="18"/>
                <w:szCs w:val="18"/>
              </w:rPr>
              <w:t xml:space="preserve">       1,215 </w:t>
            </w:r>
          </w:p>
        </w:tc>
      </w:tr>
      <w:tr w:rsidR="00BD77D8" w:rsidRPr="00BD77D8" w14:paraId="762C2055" w14:textId="77777777" w:rsidTr="00140059">
        <w:trPr>
          <w:trHeight w:val="266"/>
        </w:trPr>
        <w:tc>
          <w:tcPr>
            <w:tcW w:w="8240" w:type="dxa"/>
            <w:tcBorders>
              <w:top w:val="nil"/>
              <w:left w:val="nil"/>
              <w:bottom w:val="nil"/>
              <w:right w:val="nil"/>
            </w:tcBorders>
            <w:shd w:val="clear" w:color="auto" w:fill="auto"/>
            <w:vAlign w:val="center"/>
            <w:hideMark/>
          </w:tcPr>
          <w:p w14:paraId="2D9ECB07" w14:textId="77777777" w:rsidR="00B9311E" w:rsidRPr="00BD77D8" w:rsidRDefault="00B9311E" w:rsidP="00B9311E">
            <w:pPr>
              <w:spacing w:after="0" w:line="240" w:lineRule="auto"/>
              <w:rPr>
                <w:sz w:val="18"/>
                <w:szCs w:val="18"/>
              </w:rPr>
            </w:pPr>
            <w:r w:rsidRPr="00BD77D8">
              <w:rPr>
                <w:sz w:val="18"/>
                <w:szCs w:val="18"/>
              </w:rPr>
              <w:t xml:space="preserve"> Less accumulated amortisation </w:t>
            </w:r>
          </w:p>
        </w:tc>
        <w:tc>
          <w:tcPr>
            <w:tcW w:w="860" w:type="dxa"/>
            <w:tcBorders>
              <w:top w:val="nil"/>
              <w:left w:val="nil"/>
              <w:bottom w:val="nil"/>
              <w:right w:val="nil"/>
            </w:tcBorders>
            <w:shd w:val="clear" w:color="auto" w:fill="auto"/>
            <w:vAlign w:val="center"/>
            <w:hideMark/>
          </w:tcPr>
          <w:p w14:paraId="3FDF8790" w14:textId="77777777" w:rsidR="00B9311E" w:rsidRPr="00BD77D8" w:rsidRDefault="00B9311E" w:rsidP="00B9311E">
            <w:pPr>
              <w:spacing w:after="0" w:line="240" w:lineRule="auto"/>
              <w:jc w:val="right"/>
              <w:rPr>
                <w:sz w:val="18"/>
                <w:szCs w:val="18"/>
              </w:rPr>
            </w:pPr>
            <w:r w:rsidRPr="00BD77D8">
              <w:rPr>
                <w:sz w:val="18"/>
                <w:szCs w:val="18"/>
              </w:rPr>
              <w:t xml:space="preserve">        (433)</w:t>
            </w:r>
          </w:p>
        </w:tc>
        <w:tc>
          <w:tcPr>
            <w:tcW w:w="1221" w:type="dxa"/>
            <w:tcBorders>
              <w:top w:val="nil"/>
              <w:left w:val="nil"/>
              <w:bottom w:val="nil"/>
              <w:right w:val="nil"/>
            </w:tcBorders>
            <w:shd w:val="clear" w:color="auto" w:fill="auto"/>
            <w:vAlign w:val="center"/>
            <w:hideMark/>
          </w:tcPr>
          <w:p w14:paraId="7D6065BE" w14:textId="77777777" w:rsidR="00B9311E" w:rsidRPr="00BD77D8" w:rsidRDefault="00B9311E" w:rsidP="00B9311E">
            <w:pPr>
              <w:spacing w:after="0" w:line="240" w:lineRule="auto"/>
              <w:jc w:val="right"/>
              <w:rPr>
                <w:sz w:val="18"/>
                <w:szCs w:val="18"/>
              </w:rPr>
            </w:pPr>
            <w:r w:rsidRPr="00BD77D8">
              <w:rPr>
                <w:sz w:val="18"/>
                <w:szCs w:val="18"/>
              </w:rPr>
              <w:t xml:space="preserve">        (606)</w:t>
            </w:r>
          </w:p>
        </w:tc>
      </w:tr>
      <w:tr w:rsidR="00BD77D8" w:rsidRPr="00BD77D8" w14:paraId="3A43CB70" w14:textId="77777777" w:rsidTr="00140059">
        <w:trPr>
          <w:trHeight w:val="266"/>
        </w:trPr>
        <w:tc>
          <w:tcPr>
            <w:tcW w:w="8240" w:type="dxa"/>
            <w:tcBorders>
              <w:top w:val="nil"/>
              <w:left w:val="nil"/>
              <w:bottom w:val="nil"/>
              <w:right w:val="nil"/>
            </w:tcBorders>
            <w:shd w:val="clear" w:color="auto" w:fill="auto"/>
            <w:vAlign w:val="center"/>
            <w:hideMark/>
          </w:tcPr>
          <w:p w14:paraId="15E155E4"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860" w:type="dxa"/>
            <w:tcBorders>
              <w:top w:val="nil"/>
              <w:left w:val="nil"/>
              <w:bottom w:val="single" w:sz="4" w:space="0" w:color="auto"/>
              <w:right w:val="nil"/>
            </w:tcBorders>
            <w:shd w:val="clear" w:color="auto" w:fill="auto"/>
            <w:vAlign w:val="center"/>
            <w:hideMark/>
          </w:tcPr>
          <w:p w14:paraId="00A8CCCC" w14:textId="77777777" w:rsidR="00B9311E" w:rsidRPr="00BD77D8" w:rsidRDefault="00B9311E" w:rsidP="00B9311E">
            <w:pPr>
              <w:spacing w:after="0" w:line="240" w:lineRule="auto"/>
              <w:jc w:val="right"/>
              <w:rPr>
                <w:b/>
                <w:bCs/>
                <w:sz w:val="18"/>
                <w:szCs w:val="18"/>
              </w:rPr>
            </w:pPr>
            <w:r w:rsidRPr="00BD77D8">
              <w:rPr>
                <w:b/>
                <w:bCs/>
                <w:sz w:val="18"/>
                <w:szCs w:val="18"/>
              </w:rPr>
              <w:t xml:space="preserve">         438 </w:t>
            </w:r>
          </w:p>
        </w:tc>
        <w:tc>
          <w:tcPr>
            <w:tcW w:w="1221" w:type="dxa"/>
            <w:tcBorders>
              <w:top w:val="nil"/>
              <w:left w:val="nil"/>
              <w:bottom w:val="single" w:sz="4" w:space="0" w:color="auto"/>
              <w:right w:val="nil"/>
            </w:tcBorders>
            <w:shd w:val="clear" w:color="auto" w:fill="auto"/>
            <w:vAlign w:val="center"/>
            <w:hideMark/>
          </w:tcPr>
          <w:p w14:paraId="66C54DBA"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r>
    </w:tbl>
    <w:p w14:paraId="0B12ACA6" w14:textId="3FD8492E" w:rsidR="00B9311E" w:rsidRPr="00BD77D8" w:rsidRDefault="0040288C" w:rsidP="00C3515C">
      <w:pPr>
        <w:spacing w:before="252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27 of 45</w:t>
      </w:r>
      <w:r w:rsidR="00B9311E" w:rsidRPr="00BD77D8">
        <w:rPr>
          <w:rFonts w:eastAsia="Arial"/>
          <w:sz w:val="18"/>
          <w:szCs w:val="18"/>
          <w:lang w:eastAsia="en-US"/>
        </w:rPr>
        <w:br w:type="page"/>
      </w:r>
    </w:p>
    <w:p w14:paraId="667621B0"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5CF73E6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42274C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08E6AAF9"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05A7E7CE" w14:textId="77777777" w:rsidR="00B9311E" w:rsidRPr="00BD77D8" w:rsidRDefault="00B9311E" w:rsidP="00E47A6E">
      <w:pPr>
        <w:spacing w:before="240" w:line="199" w:lineRule="exact"/>
        <w:textAlignment w:val="baseline"/>
        <w:rPr>
          <w:rFonts w:eastAsia="Arial"/>
          <w:b/>
          <w:bCs/>
          <w:sz w:val="22"/>
          <w:szCs w:val="22"/>
          <w:lang w:eastAsia="en-US"/>
        </w:rPr>
      </w:pPr>
      <w:r w:rsidRPr="00BD77D8">
        <w:rPr>
          <w:rFonts w:eastAsia="Arial"/>
          <w:b/>
          <w:bCs/>
          <w:sz w:val="22"/>
          <w:szCs w:val="22"/>
          <w:lang w:eastAsia="en-US"/>
        </w:rPr>
        <w:t>Intangibles (continued)</w:t>
      </w:r>
    </w:p>
    <w:p w14:paraId="3020A16F" w14:textId="77777777" w:rsidR="00B9311E" w:rsidRPr="00BD77D8" w:rsidRDefault="00B9311E" w:rsidP="00140059">
      <w:pPr>
        <w:spacing w:line="180" w:lineRule="atLeast"/>
        <w:textAlignment w:val="baseline"/>
        <w:rPr>
          <w:rFonts w:eastAsia="Arial"/>
          <w:b/>
          <w:bCs/>
          <w:sz w:val="18"/>
          <w:szCs w:val="22"/>
          <w:lang w:eastAsia="en-US"/>
        </w:rPr>
      </w:pPr>
      <w:bookmarkStart w:id="514" w:name="_Hlk100228926"/>
      <w:bookmarkEnd w:id="513"/>
      <w:r w:rsidRPr="00BD77D8">
        <w:rPr>
          <w:rFonts w:eastAsia="Arial"/>
          <w:b/>
          <w:bCs/>
          <w:sz w:val="18"/>
          <w:szCs w:val="22"/>
          <w:lang w:eastAsia="en-US"/>
        </w:rPr>
        <w:t>C5-1 Closing Balances and Reconciliations of Carrying Amount (continued)</w:t>
      </w:r>
    </w:p>
    <w:p w14:paraId="54EEAEF4" w14:textId="77777777" w:rsidR="00B9311E" w:rsidRPr="00BD77D8" w:rsidRDefault="00B9311E" w:rsidP="00B9311E">
      <w:pPr>
        <w:spacing w:after="0" w:line="180" w:lineRule="atLeast"/>
        <w:textAlignment w:val="baseline"/>
        <w:rPr>
          <w:rFonts w:eastAsia="Arial"/>
          <w:sz w:val="18"/>
          <w:szCs w:val="18"/>
          <w:lang w:val="en-GB" w:eastAsia="en-US"/>
        </w:rPr>
      </w:pPr>
      <w:r w:rsidRPr="00BD77D8">
        <w:rPr>
          <w:rFonts w:eastAsia="Arial"/>
          <w:b/>
          <w:bCs/>
          <w:sz w:val="18"/>
          <w:szCs w:val="22"/>
          <w:lang w:eastAsia="en-US"/>
        </w:rPr>
        <w:t>Represented by Movements in Carrying Amount</w:t>
      </w:r>
      <w:r w:rsidRPr="00BD77D8">
        <w:rPr>
          <w:rFonts w:eastAsia="Arial"/>
          <w:sz w:val="18"/>
          <w:szCs w:val="22"/>
          <w:lang w:eastAsia="en-US"/>
        </w:rPr>
        <w:t>:</w:t>
      </w:r>
    </w:p>
    <w:tbl>
      <w:tblPr>
        <w:tblW w:w="0" w:type="auto"/>
        <w:tblCellMar>
          <w:left w:w="0" w:type="dxa"/>
          <w:right w:w="0" w:type="dxa"/>
        </w:tblCellMar>
        <w:tblLook w:val="04A0" w:firstRow="1" w:lastRow="0" w:firstColumn="1" w:lastColumn="0" w:noHBand="0" w:noVBand="1"/>
      </w:tblPr>
      <w:tblGrid>
        <w:gridCol w:w="7006"/>
        <w:gridCol w:w="1308"/>
        <w:gridCol w:w="1032"/>
        <w:gridCol w:w="975"/>
      </w:tblGrid>
      <w:tr w:rsidR="00BD77D8" w:rsidRPr="00BD77D8" w14:paraId="5A429844" w14:textId="77777777" w:rsidTr="003057FB">
        <w:trPr>
          <w:trHeight w:val="722"/>
        </w:trPr>
        <w:tc>
          <w:tcPr>
            <w:tcW w:w="7034" w:type="dxa"/>
            <w:tcBorders>
              <w:top w:val="nil"/>
              <w:left w:val="nil"/>
              <w:bottom w:val="nil"/>
              <w:right w:val="nil"/>
            </w:tcBorders>
            <w:shd w:val="clear" w:color="000000" w:fill="FFFFFF"/>
            <w:noWrap/>
            <w:vAlign w:val="bottom"/>
            <w:hideMark/>
          </w:tcPr>
          <w:p w14:paraId="63BAB469" w14:textId="77777777" w:rsidR="00B9311E" w:rsidRPr="00BD77D8" w:rsidRDefault="00B9311E" w:rsidP="00B9311E">
            <w:pPr>
              <w:spacing w:after="0" w:line="240" w:lineRule="auto"/>
              <w:rPr>
                <w:sz w:val="18"/>
                <w:szCs w:val="18"/>
              </w:rPr>
            </w:pPr>
            <w:r w:rsidRPr="00BD77D8">
              <w:rPr>
                <w:sz w:val="18"/>
                <w:szCs w:val="18"/>
              </w:rPr>
              <w:t> </w:t>
            </w:r>
          </w:p>
        </w:tc>
        <w:tc>
          <w:tcPr>
            <w:tcW w:w="1300" w:type="dxa"/>
            <w:tcBorders>
              <w:top w:val="nil"/>
              <w:left w:val="nil"/>
              <w:bottom w:val="nil"/>
              <w:right w:val="nil"/>
            </w:tcBorders>
            <w:shd w:val="clear" w:color="auto" w:fill="auto"/>
            <w:vAlign w:val="center"/>
            <w:hideMark/>
          </w:tcPr>
          <w:p w14:paraId="0CA7FDF5" w14:textId="77777777" w:rsidR="00B9311E" w:rsidRPr="00BD77D8" w:rsidRDefault="00B9311E" w:rsidP="00B9311E">
            <w:pPr>
              <w:spacing w:after="0" w:line="240" w:lineRule="auto"/>
              <w:jc w:val="right"/>
              <w:rPr>
                <w:b/>
                <w:bCs/>
                <w:sz w:val="18"/>
                <w:szCs w:val="18"/>
              </w:rPr>
            </w:pPr>
            <w:r w:rsidRPr="00BD77D8">
              <w:rPr>
                <w:b/>
                <w:bCs/>
                <w:sz w:val="18"/>
                <w:szCs w:val="18"/>
              </w:rPr>
              <w:t xml:space="preserve"> Software internally generated </w:t>
            </w:r>
          </w:p>
        </w:tc>
        <w:tc>
          <w:tcPr>
            <w:tcW w:w="1022" w:type="dxa"/>
            <w:tcBorders>
              <w:top w:val="nil"/>
              <w:left w:val="nil"/>
              <w:bottom w:val="nil"/>
              <w:right w:val="nil"/>
            </w:tcBorders>
            <w:shd w:val="clear" w:color="auto" w:fill="auto"/>
            <w:vAlign w:val="center"/>
            <w:hideMark/>
          </w:tcPr>
          <w:p w14:paraId="23C6635E" w14:textId="77777777" w:rsidR="00B9311E" w:rsidRPr="00BD77D8" w:rsidRDefault="00B9311E" w:rsidP="00B9311E">
            <w:pPr>
              <w:spacing w:after="0" w:line="240" w:lineRule="auto"/>
              <w:jc w:val="right"/>
              <w:rPr>
                <w:b/>
                <w:bCs/>
                <w:sz w:val="18"/>
                <w:szCs w:val="18"/>
              </w:rPr>
            </w:pPr>
            <w:r w:rsidRPr="00BD77D8">
              <w:rPr>
                <w:b/>
                <w:bCs/>
                <w:sz w:val="18"/>
                <w:szCs w:val="18"/>
              </w:rPr>
              <w:t xml:space="preserve"> Software works in progress </w:t>
            </w:r>
          </w:p>
        </w:tc>
        <w:tc>
          <w:tcPr>
            <w:tcW w:w="965" w:type="dxa"/>
            <w:tcBorders>
              <w:top w:val="nil"/>
              <w:left w:val="nil"/>
              <w:bottom w:val="nil"/>
              <w:right w:val="nil"/>
            </w:tcBorders>
            <w:shd w:val="clear" w:color="auto" w:fill="auto"/>
            <w:vAlign w:val="center"/>
            <w:hideMark/>
          </w:tcPr>
          <w:p w14:paraId="0CDECBF1" w14:textId="77777777" w:rsidR="00B9311E" w:rsidRPr="00BD77D8" w:rsidRDefault="00B9311E" w:rsidP="00B9311E">
            <w:pPr>
              <w:spacing w:after="0" w:line="240" w:lineRule="auto"/>
              <w:jc w:val="right"/>
              <w:rPr>
                <w:b/>
                <w:bCs/>
                <w:sz w:val="18"/>
                <w:szCs w:val="18"/>
              </w:rPr>
            </w:pPr>
            <w:r w:rsidRPr="00BD77D8">
              <w:rPr>
                <w:b/>
                <w:bCs/>
                <w:sz w:val="18"/>
                <w:szCs w:val="18"/>
              </w:rPr>
              <w:t xml:space="preserve"> Total </w:t>
            </w:r>
          </w:p>
        </w:tc>
      </w:tr>
      <w:tr w:rsidR="00BD77D8" w:rsidRPr="00BD77D8" w14:paraId="16732F32" w14:textId="77777777" w:rsidTr="003057FB">
        <w:trPr>
          <w:trHeight w:val="285"/>
        </w:trPr>
        <w:tc>
          <w:tcPr>
            <w:tcW w:w="7034" w:type="dxa"/>
            <w:tcBorders>
              <w:top w:val="nil"/>
              <w:left w:val="nil"/>
              <w:bottom w:val="nil"/>
              <w:right w:val="nil"/>
            </w:tcBorders>
            <w:shd w:val="clear" w:color="auto" w:fill="auto"/>
            <w:noWrap/>
            <w:vAlign w:val="bottom"/>
            <w:hideMark/>
          </w:tcPr>
          <w:p w14:paraId="47D85FFD" w14:textId="77777777" w:rsidR="00B9311E" w:rsidRPr="00BD77D8" w:rsidRDefault="00B9311E" w:rsidP="00B9311E">
            <w:pPr>
              <w:spacing w:after="0" w:line="240" w:lineRule="auto"/>
              <w:rPr>
                <w:sz w:val="18"/>
                <w:szCs w:val="18"/>
              </w:rPr>
            </w:pPr>
            <w:r w:rsidRPr="00BD77D8">
              <w:rPr>
                <w:sz w:val="18"/>
                <w:szCs w:val="18"/>
              </w:rPr>
              <w:t> </w:t>
            </w:r>
          </w:p>
        </w:tc>
        <w:tc>
          <w:tcPr>
            <w:tcW w:w="1300" w:type="dxa"/>
            <w:tcBorders>
              <w:top w:val="nil"/>
              <w:left w:val="nil"/>
              <w:bottom w:val="single" w:sz="4" w:space="0" w:color="auto"/>
              <w:right w:val="nil"/>
            </w:tcBorders>
            <w:shd w:val="clear" w:color="auto" w:fill="auto"/>
            <w:noWrap/>
            <w:vAlign w:val="bottom"/>
            <w:hideMark/>
          </w:tcPr>
          <w:p w14:paraId="52E74D5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22" w:type="dxa"/>
            <w:tcBorders>
              <w:top w:val="nil"/>
              <w:left w:val="nil"/>
              <w:bottom w:val="single" w:sz="4" w:space="0" w:color="auto"/>
              <w:right w:val="nil"/>
            </w:tcBorders>
            <w:shd w:val="clear" w:color="auto" w:fill="auto"/>
            <w:noWrap/>
            <w:vAlign w:val="bottom"/>
            <w:hideMark/>
          </w:tcPr>
          <w:p w14:paraId="0E8EFA0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65" w:type="dxa"/>
            <w:tcBorders>
              <w:top w:val="nil"/>
              <w:left w:val="nil"/>
              <w:bottom w:val="single" w:sz="4" w:space="0" w:color="auto"/>
              <w:right w:val="nil"/>
            </w:tcBorders>
            <w:shd w:val="clear" w:color="auto" w:fill="auto"/>
            <w:noWrap/>
            <w:vAlign w:val="bottom"/>
            <w:hideMark/>
          </w:tcPr>
          <w:p w14:paraId="1E1B400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6DDF4161" w14:textId="77777777" w:rsidTr="003057FB">
        <w:trPr>
          <w:trHeight w:val="255"/>
        </w:trPr>
        <w:tc>
          <w:tcPr>
            <w:tcW w:w="7034" w:type="dxa"/>
            <w:tcBorders>
              <w:top w:val="nil"/>
              <w:left w:val="nil"/>
              <w:bottom w:val="nil"/>
              <w:right w:val="nil"/>
            </w:tcBorders>
            <w:shd w:val="clear" w:color="auto" w:fill="auto"/>
            <w:noWrap/>
            <w:vAlign w:val="bottom"/>
            <w:hideMark/>
          </w:tcPr>
          <w:p w14:paraId="5BE659EB"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2020 </w:t>
            </w:r>
          </w:p>
        </w:tc>
        <w:tc>
          <w:tcPr>
            <w:tcW w:w="1300" w:type="dxa"/>
            <w:tcBorders>
              <w:top w:val="nil"/>
              <w:left w:val="nil"/>
              <w:bottom w:val="nil"/>
              <w:right w:val="nil"/>
            </w:tcBorders>
            <w:shd w:val="clear" w:color="auto" w:fill="auto"/>
            <w:vAlign w:val="center"/>
            <w:hideMark/>
          </w:tcPr>
          <w:p w14:paraId="2F147486" w14:textId="77777777" w:rsidR="00B9311E" w:rsidRPr="00BD77D8" w:rsidRDefault="00B9311E" w:rsidP="00B9311E">
            <w:pPr>
              <w:spacing w:after="0" w:line="240" w:lineRule="auto"/>
              <w:jc w:val="right"/>
              <w:rPr>
                <w:b/>
                <w:bCs/>
                <w:sz w:val="18"/>
                <w:szCs w:val="18"/>
              </w:rPr>
            </w:pPr>
            <w:r w:rsidRPr="00BD77D8">
              <w:rPr>
                <w:b/>
                <w:bCs/>
                <w:sz w:val="18"/>
                <w:szCs w:val="18"/>
              </w:rPr>
              <w:t xml:space="preserve">        2,148 </w:t>
            </w:r>
          </w:p>
        </w:tc>
        <w:tc>
          <w:tcPr>
            <w:tcW w:w="1022" w:type="dxa"/>
            <w:tcBorders>
              <w:top w:val="nil"/>
              <w:left w:val="nil"/>
              <w:bottom w:val="nil"/>
              <w:right w:val="nil"/>
            </w:tcBorders>
            <w:shd w:val="clear" w:color="auto" w:fill="auto"/>
            <w:vAlign w:val="center"/>
            <w:hideMark/>
          </w:tcPr>
          <w:p w14:paraId="3EC6FE97" w14:textId="77777777" w:rsidR="00B9311E" w:rsidRPr="00BD77D8" w:rsidRDefault="00B9311E" w:rsidP="00B9311E">
            <w:pPr>
              <w:spacing w:after="0" w:line="240" w:lineRule="auto"/>
              <w:jc w:val="right"/>
              <w:rPr>
                <w:b/>
                <w:bCs/>
                <w:sz w:val="18"/>
                <w:szCs w:val="18"/>
              </w:rPr>
            </w:pPr>
            <w:r w:rsidRPr="00BD77D8">
              <w:rPr>
                <w:b/>
                <w:bCs/>
                <w:sz w:val="18"/>
                <w:szCs w:val="18"/>
              </w:rPr>
              <w:t xml:space="preserve">           571 </w:t>
            </w:r>
          </w:p>
        </w:tc>
        <w:tc>
          <w:tcPr>
            <w:tcW w:w="965" w:type="dxa"/>
            <w:tcBorders>
              <w:top w:val="nil"/>
              <w:left w:val="nil"/>
              <w:bottom w:val="nil"/>
              <w:right w:val="nil"/>
            </w:tcBorders>
            <w:shd w:val="clear" w:color="auto" w:fill="auto"/>
            <w:noWrap/>
            <w:vAlign w:val="center"/>
            <w:hideMark/>
          </w:tcPr>
          <w:p w14:paraId="7321AC63" w14:textId="77777777" w:rsidR="00B9311E" w:rsidRPr="00BD77D8" w:rsidRDefault="00B9311E" w:rsidP="00B9311E">
            <w:pPr>
              <w:spacing w:after="0" w:line="240" w:lineRule="auto"/>
              <w:jc w:val="right"/>
              <w:rPr>
                <w:b/>
                <w:bCs/>
                <w:sz w:val="18"/>
                <w:szCs w:val="18"/>
              </w:rPr>
            </w:pPr>
            <w:r w:rsidRPr="00BD77D8">
              <w:rPr>
                <w:b/>
                <w:bCs/>
                <w:sz w:val="18"/>
                <w:szCs w:val="18"/>
              </w:rPr>
              <w:t xml:space="preserve">   2,719 </w:t>
            </w:r>
          </w:p>
        </w:tc>
      </w:tr>
      <w:tr w:rsidR="00BD77D8" w:rsidRPr="00BD77D8" w14:paraId="0A1F3759" w14:textId="77777777" w:rsidTr="003057FB">
        <w:trPr>
          <w:trHeight w:val="255"/>
        </w:trPr>
        <w:tc>
          <w:tcPr>
            <w:tcW w:w="7034" w:type="dxa"/>
            <w:tcBorders>
              <w:top w:val="nil"/>
              <w:left w:val="nil"/>
              <w:bottom w:val="nil"/>
              <w:right w:val="nil"/>
            </w:tcBorders>
            <w:shd w:val="clear" w:color="auto" w:fill="auto"/>
            <w:noWrap/>
            <w:vAlign w:val="bottom"/>
            <w:hideMark/>
          </w:tcPr>
          <w:p w14:paraId="28DC2A57" w14:textId="77777777" w:rsidR="00B9311E" w:rsidRPr="00BD77D8" w:rsidRDefault="00B9311E" w:rsidP="00B9311E">
            <w:pPr>
              <w:spacing w:after="0" w:line="240" w:lineRule="auto"/>
              <w:rPr>
                <w:sz w:val="18"/>
                <w:szCs w:val="18"/>
              </w:rPr>
            </w:pPr>
            <w:r w:rsidRPr="00BD77D8">
              <w:rPr>
                <w:sz w:val="18"/>
                <w:szCs w:val="18"/>
              </w:rPr>
              <w:t xml:space="preserve"> Additions </w:t>
            </w:r>
          </w:p>
        </w:tc>
        <w:tc>
          <w:tcPr>
            <w:tcW w:w="1300" w:type="dxa"/>
            <w:tcBorders>
              <w:top w:val="nil"/>
              <w:left w:val="nil"/>
              <w:bottom w:val="nil"/>
              <w:right w:val="nil"/>
            </w:tcBorders>
            <w:shd w:val="clear" w:color="auto" w:fill="auto"/>
            <w:vAlign w:val="center"/>
            <w:hideMark/>
          </w:tcPr>
          <w:p w14:paraId="2151081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022" w:type="dxa"/>
            <w:tcBorders>
              <w:top w:val="nil"/>
              <w:left w:val="nil"/>
              <w:bottom w:val="nil"/>
              <w:right w:val="nil"/>
            </w:tcBorders>
            <w:shd w:val="clear" w:color="auto" w:fill="auto"/>
            <w:vAlign w:val="center"/>
            <w:hideMark/>
          </w:tcPr>
          <w:p w14:paraId="3CAF8AC8" w14:textId="77777777" w:rsidR="00B9311E" w:rsidRPr="00BD77D8" w:rsidRDefault="00B9311E" w:rsidP="00B9311E">
            <w:pPr>
              <w:spacing w:after="0" w:line="240" w:lineRule="auto"/>
              <w:jc w:val="right"/>
              <w:rPr>
                <w:sz w:val="18"/>
                <w:szCs w:val="18"/>
              </w:rPr>
            </w:pPr>
            <w:r w:rsidRPr="00BD77D8">
              <w:rPr>
                <w:sz w:val="18"/>
                <w:szCs w:val="18"/>
              </w:rPr>
              <w:t xml:space="preserve">             13 </w:t>
            </w:r>
          </w:p>
        </w:tc>
        <w:tc>
          <w:tcPr>
            <w:tcW w:w="965" w:type="dxa"/>
            <w:tcBorders>
              <w:top w:val="nil"/>
              <w:left w:val="nil"/>
              <w:bottom w:val="nil"/>
              <w:right w:val="nil"/>
            </w:tcBorders>
            <w:shd w:val="clear" w:color="auto" w:fill="auto"/>
            <w:noWrap/>
            <w:vAlign w:val="center"/>
            <w:hideMark/>
          </w:tcPr>
          <w:p w14:paraId="356BF83E" w14:textId="77777777" w:rsidR="00B9311E" w:rsidRPr="00BD77D8" w:rsidRDefault="00B9311E" w:rsidP="00B9311E">
            <w:pPr>
              <w:spacing w:after="0" w:line="240" w:lineRule="auto"/>
              <w:jc w:val="right"/>
              <w:rPr>
                <w:sz w:val="18"/>
                <w:szCs w:val="18"/>
              </w:rPr>
            </w:pPr>
            <w:r w:rsidRPr="00BD77D8">
              <w:rPr>
                <w:sz w:val="18"/>
                <w:szCs w:val="18"/>
              </w:rPr>
              <w:t xml:space="preserve">         13 </w:t>
            </w:r>
          </w:p>
        </w:tc>
      </w:tr>
      <w:tr w:rsidR="00BD77D8" w:rsidRPr="00BD77D8" w14:paraId="5E0DA05F" w14:textId="77777777" w:rsidTr="003057FB">
        <w:trPr>
          <w:trHeight w:val="255"/>
        </w:trPr>
        <w:tc>
          <w:tcPr>
            <w:tcW w:w="7034" w:type="dxa"/>
            <w:tcBorders>
              <w:top w:val="nil"/>
              <w:left w:val="nil"/>
              <w:bottom w:val="nil"/>
              <w:right w:val="nil"/>
            </w:tcBorders>
            <w:shd w:val="clear" w:color="auto" w:fill="auto"/>
            <w:noWrap/>
            <w:vAlign w:val="bottom"/>
            <w:hideMark/>
          </w:tcPr>
          <w:p w14:paraId="6A9AF61F" w14:textId="77777777" w:rsidR="00B9311E" w:rsidRPr="00BD77D8" w:rsidRDefault="00B9311E" w:rsidP="00B9311E">
            <w:pPr>
              <w:spacing w:after="0" w:line="240" w:lineRule="auto"/>
              <w:rPr>
                <w:sz w:val="18"/>
                <w:szCs w:val="18"/>
              </w:rPr>
            </w:pPr>
            <w:r w:rsidRPr="00BD77D8">
              <w:rPr>
                <w:sz w:val="18"/>
                <w:szCs w:val="18"/>
              </w:rPr>
              <w:t xml:space="preserve"> Transfer in from other Queensland Government Entities </w:t>
            </w:r>
            <w:proofErr w:type="spellStart"/>
            <w:r w:rsidRPr="00BD77D8">
              <w:rPr>
                <w:sz w:val="18"/>
                <w:szCs w:val="18"/>
              </w:rPr>
              <w:t>MoG</w:t>
            </w:r>
            <w:proofErr w:type="spellEnd"/>
            <w:r w:rsidRPr="00BD77D8">
              <w:rPr>
                <w:sz w:val="18"/>
                <w:szCs w:val="18"/>
              </w:rPr>
              <w:t xml:space="preserve"> </w:t>
            </w:r>
          </w:p>
        </w:tc>
        <w:tc>
          <w:tcPr>
            <w:tcW w:w="1300" w:type="dxa"/>
            <w:tcBorders>
              <w:top w:val="nil"/>
              <w:left w:val="nil"/>
              <w:bottom w:val="nil"/>
              <w:right w:val="nil"/>
            </w:tcBorders>
            <w:shd w:val="clear" w:color="auto" w:fill="auto"/>
            <w:vAlign w:val="center"/>
            <w:hideMark/>
          </w:tcPr>
          <w:p w14:paraId="55E0E438" w14:textId="77777777" w:rsidR="00B9311E" w:rsidRPr="00BD77D8" w:rsidRDefault="00B9311E" w:rsidP="00B9311E">
            <w:pPr>
              <w:spacing w:after="0" w:line="240" w:lineRule="auto"/>
              <w:jc w:val="right"/>
              <w:rPr>
                <w:sz w:val="18"/>
                <w:szCs w:val="18"/>
              </w:rPr>
            </w:pPr>
            <w:r w:rsidRPr="00BD77D8">
              <w:rPr>
                <w:sz w:val="18"/>
                <w:szCs w:val="18"/>
              </w:rPr>
              <w:t xml:space="preserve">            142 </w:t>
            </w:r>
          </w:p>
        </w:tc>
        <w:tc>
          <w:tcPr>
            <w:tcW w:w="1022" w:type="dxa"/>
            <w:tcBorders>
              <w:top w:val="nil"/>
              <w:left w:val="nil"/>
              <w:bottom w:val="nil"/>
              <w:right w:val="nil"/>
            </w:tcBorders>
            <w:shd w:val="clear" w:color="auto" w:fill="auto"/>
            <w:vAlign w:val="center"/>
            <w:hideMark/>
          </w:tcPr>
          <w:p w14:paraId="2FA013D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2B25A3E7" w14:textId="77777777" w:rsidR="00B9311E" w:rsidRPr="00BD77D8" w:rsidRDefault="00B9311E" w:rsidP="00B9311E">
            <w:pPr>
              <w:spacing w:after="0" w:line="240" w:lineRule="auto"/>
              <w:jc w:val="right"/>
              <w:rPr>
                <w:sz w:val="18"/>
                <w:szCs w:val="18"/>
              </w:rPr>
            </w:pPr>
            <w:r w:rsidRPr="00BD77D8">
              <w:rPr>
                <w:sz w:val="18"/>
                <w:szCs w:val="18"/>
              </w:rPr>
              <w:t xml:space="preserve">       142 </w:t>
            </w:r>
          </w:p>
        </w:tc>
      </w:tr>
      <w:tr w:rsidR="00BD77D8" w:rsidRPr="00BD77D8" w14:paraId="39870892" w14:textId="77777777" w:rsidTr="003057FB">
        <w:trPr>
          <w:trHeight w:val="255"/>
        </w:trPr>
        <w:tc>
          <w:tcPr>
            <w:tcW w:w="7034" w:type="dxa"/>
            <w:tcBorders>
              <w:top w:val="nil"/>
              <w:left w:val="nil"/>
              <w:bottom w:val="nil"/>
              <w:right w:val="nil"/>
            </w:tcBorders>
            <w:shd w:val="clear" w:color="auto" w:fill="auto"/>
            <w:noWrap/>
            <w:vAlign w:val="bottom"/>
            <w:hideMark/>
          </w:tcPr>
          <w:p w14:paraId="4BCE32FB" w14:textId="77777777" w:rsidR="00B9311E" w:rsidRPr="00BD77D8" w:rsidRDefault="00B9311E" w:rsidP="00B9311E">
            <w:pPr>
              <w:spacing w:after="0" w:line="240" w:lineRule="auto"/>
              <w:rPr>
                <w:sz w:val="18"/>
                <w:szCs w:val="18"/>
              </w:rPr>
            </w:pPr>
            <w:r w:rsidRPr="00BD77D8">
              <w:rPr>
                <w:sz w:val="18"/>
                <w:szCs w:val="18"/>
              </w:rPr>
              <w:t xml:space="preserve"> Adjustments </w:t>
            </w:r>
            <w:proofErr w:type="spellStart"/>
            <w:r w:rsidRPr="00BD77D8">
              <w:rPr>
                <w:sz w:val="18"/>
                <w:szCs w:val="18"/>
              </w:rPr>
              <w:t>MoG</w:t>
            </w:r>
            <w:proofErr w:type="spellEnd"/>
            <w:r w:rsidRPr="00BD77D8">
              <w:rPr>
                <w:sz w:val="18"/>
                <w:szCs w:val="18"/>
              </w:rPr>
              <w:t xml:space="preserve"> </w:t>
            </w:r>
          </w:p>
        </w:tc>
        <w:tc>
          <w:tcPr>
            <w:tcW w:w="1300" w:type="dxa"/>
            <w:tcBorders>
              <w:top w:val="nil"/>
              <w:left w:val="nil"/>
              <w:bottom w:val="nil"/>
              <w:right w:val="nil"/>
            </w:tcBorders>
            <w:shd w:val="clear" w:color="auto" w:fill="auto"/>
            <w:vAlign w:val="center"/>
            <w:hideMark/>
          </w:tcPr>
          <w:p w14:paraId="40869230" w14:textId="77777777" w:rsidR="00B9311E" w:rsidRPr="00BD77D8" w:rsidRDefault="00B9311E" w:rsidP="00B9311E">
            <w:pPr>
              <w:spacing w:after="0" w:line="240" w:lineRule="auto"/>
              <w:jc w:val="right"/>
              <w:rPr>
                <w:sz w:val="18"/>
                <w:szCs w:val="18"/>
              </w:rPr>
            </w:pPr>
            <w:r w:rsidRPr="00BD77D8">
              <w:rPr>
                <w:sz w:val="18"/>
                <w:szCs w:val="18"/>
              </w:rPr>
              <w:t xml:space="preserve">               (3)</w:t>
            </w:r>
          </w:p>
        </w:tc>
        <w:tc>
          <w:tcPr>
            <w:tcW w:w="1022" w:type="dxa"/>
            <w:tcBorders>
              <w:top w:val="nil"/>
              <w:left w:val="nil"/>
              <w:bottom w:val="nil"/>
              <w:right w:val="nil"/>
            </w:tcBorders>
            <w:shd w:val="clear" w:color="auto" w:fill="auto"/>
            <w:vAlign w:val="center"/>
            <w:hideMark/>
          </w:tcPr>
          <w:p w14:paraId="05A30E7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5B6E823B" w14:textId="77777777" w:rsidR="00B9311E" w:rsidRPr="00BD77D8" w:rsidRDefault="00B9311E" w:rsidP="00B9311E">
            <w:pPr>
              <w:spacing w:after="0" w:line="240" w:lineRule="auto"/>
              <w:jc w:val="right"/>
              <w:rPr>
                <w:sz w:val="18"/>
                <w:szCs w:val="18"/>
              </w:rPr>
            </w:pPr>
            <w:r w:rsidRPr="00BD77D8">
              <w:rPr>
                <w:sz w:val="18"/>
                <w:szCs w:val="18"/>
              </w:rPr>
              <w:t xml:space="preserve">          (3)</w:t>
            </w:r>
          </w:p>
        </w:tc>
      </w:tr>
      <w:tr w:rsidR="00BD77D8" w:rsidRPr="00BD77D8" w14:paraId="77D23D18" w14:textId="77777777" w:rsidTr="003057FB">
        <w:trPr>
          <w:trHeight w:val="255"/>
        </w:trPr>
        <w:tc>
          <w:tcPr>
            <w:tcW w:w="7034" w:type="dxa"/>
            <w:tcBorders>
              <w:top w:val="nil"/>
              <w:left w:val="nil"/>
              <w:bottom w:val="nil"/>
              <w:right w:val="nil"/>
            </w:tcBorders>
            <w:shd w:val="clear" w:color="auto" w:fill="auto"/>
            <w:noWrap/>
            <w:vAlign w:val="bottom"/>
            <w:hideMark/>
          </w:tcPr>
          <w:p w14:paraId="0C609B8A" w14:textId="77777777" w:rsidR="00B9311E" w:rsidRPr="00BD77D8" w:rsidRDefault="00B9311E" w:rsidP="00B9311E">
            <w:pPr>
              <w:spacing w:after="0" w:line="240" w:lineRule="auto"/>
              <w:rPr>
                <w:sz w:val="18"/>
                <w:szCs w:val="18"/>
              </w:rPr>
            </w:pPr>
            <w:r w:rsidRPr="00BD77D8">
              <w:rPr>
                <w:sz w:val="18"/>
                <w:szCs w:val="18"/>
              </w:rPr>
              <w:t xml:space="preserve"> Transfers between classes </w:t>
            </w:r>
          </w:p>
        </w:tc>
        <w:tc>
          <w:tcPr>
            <w:tcW w:w="1300" w:type="dxa"/>
            <w:tcBorders>
              <w:top w:val="nil"/>
              <w:left w:val="nil"/>
              <w:bottom w:val="nil"/>
              <w:right w:val="nil"/>
            </w:tcBorders>
            <w:shd w:val="clear" w:color="auto" w:fill="auto"/>
            <w:vAlign w:val="center"/>
            <w:hideMark/>
          </w:tcPr>
          <w:p w14:paraId="713BB015" w14:textId="77777777" w:rsidR="00B9311E" w:rsidRPr="00BD77D8" w:rsidRDefault="00B9311E" w:rsidP="00B9311E">
            <w:pPr>
              <w:spacing w:after="0" w:line="240" w:lineRule="auto"/>
              <w:jc w:val="right"/>
              <w:rPr>
                <w:sz w:val="18"/>
                <w:szCs w:val="18"/>
              </w:rPr>
            </w:pPr>
            <w:r w:rsidRPr="00BD77D8">
              <w:rPr>
                <w:sz w:val="18"/>
                <w:szCs w:val="18"/>
              </w:rPr>
              <w:t xml:space="preserve">            584 </w:t>
            </w:r>
          </w:p>
        </w:tc>
        <w:tc>
          <w:tcPr>
            <w:tcW w:w="1022" w:type="dxa"/>
            <w:tcBorders>
              <w:top w:val="nil"/>
              <w:left w:val="nil"/>
              <w:bottom w:val="nil"/>
              <w:right w:val="nil"/>
            </w:tcBorders>
            <w:shd w:val="clear" w:color="auto" w:fill="auto"/>
            <w:vAlign w:val="center"/>
            <w:hideMark/>
          </w:tcPr>
          <w:p w14:paraId="19DF0340" w14:textId="77777777" w:rsidR="00B9311E" w:rsidRPr="00BD77D8" w:rsidRDefault="00B9311E" w:rsidP="00B9311E">
            <w:pPr>
              <w:spacing w:after="0" w:line="240" w:lineRule="auto"/>
              <w:jc w:val="right"/>
              <w:rPr>
                <w:sz w:val="18"/>
                <w:szCs w:val="18"/>
              </w:rPr>
            </w:pPr>
            <w:r w:rsidRPr="00BD77D8">
              <w:rPr>
                <w:sz w:val="18"/>
                <w:szCs w:val="18"/>
              </w:rPr>
              <w:t xml:space="preserve">         (584)</w:t>
            </w:r>
          </w:p>
        </w:tc>
        <w:tc>
          <w:tcPr>
            <w:tcW w:w="965" w:type="dxa"/>
            <w:tcBorders>
              <w:top w:val="nil"/>
              <w:left w:val="nil"/>
              <w:bottom w:val="nil"/>
              <w:right w:val="nil"/>
            </w:tcBorders>
            <w:shd w:val="clear" w:color="auto" w:fill="auto"/>
            <w:noWrap/>
            <w:vAlign w:val="center"/>
            <w:hideMark/>
          </w:tcPr>
          <w:p w14:paraId="1B8C7E33"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FAB3E62" w14:textId="77777777" w:rsidTr="003057FB">
        <w:trPr>
          <w:trHeight w:val="255"/>
        </w:trPr>
        <w:tc>
          <w:tcPr>
            <w:tcW w:w="7034" w:type="dxa"/>
            <w:tcBorders>
              <w:top w:val="nil"/>
              <w:left w:val="nil"/>
              <w:bottom w:val="nil"/>
              <w:right w:val="nil"/>
            </w:tcBorders>
            <w:shd w:val="clear" w:color="auto" w:fill="auto"/>
            <w:noWrap/>
            <w:vAlign w:val="bottom"/>
            <w:hideMark/>
          </w:tcPr>
          <w:p w14:paraId="577EC85D" w14:textId="77777777" w:rsidR="00B9311E" w:rsidRPr="00BD77D8" w:rsidRDefault="00B9311E" w:rsidP="00B9311E">
            <w:pPr>
              <w:spacing w:after="0" w:line="240" w:lineRule="auto"/>
              <w:rPr>
                <w:sz w:val="18"/>
                <w:szCs w:val="18"/>
              </w:rPr>
            </w:pPr>
            <w:r w:rsidRPr="00BD77D8">
              <w:rPr>
                <w:sz w:val="18"/>
                <w:szCs w:val="18"/>
              </w:rPr>
              <w:t xml:space="preserve"> Transfers out to other Queensland Government entities </w:t>
            </w:r>
            <w:proofErr w:type="spellStart"/>
            <w:r w:rsidRPr="00BD77D8">
              <w:rPr>
                <w:sz w:val="18"/>
                <w:szCs w:val="18"/>
              </w:rPr>
              <w:t>MoG</w:t>
            </w:r>
            <w:proofErr w:type="spellEnd"/>
            <w:r w:rsidRPr="00BD77D8">
              <w:rPr>
                <w:sz w:val="18"/>
                <w:szCs w:val="18"/>
              </w:rPr>
              <w:t xml:space="preserve"> </w:t>
            </w:r>
          </w:p>
        </w:tc>
        <w:tc>
          <w:tcPr>
            <w:tcW w:w="1300" w:type="dxa"/>
            <w:tcBorders>
              <w:top w:val="nil"/>
              <w:left w:val="nil"/>
              <w:bottom w:val="nil"/>
              <w:right w:val="nil"/>
            </w:tcBorders>
            <w:shd w:val="clear" w:color="auto" w:fill="auto"/>
            <w:vAlign w:val="center"/>
            <w:hideMark/>
          </w:tcPr>
          <w:p w14:paraId="35D9815C" w14:textId="77777777" w:rsidR="00B9311E" w:rsidRPr="00BD77D8" w:rsidRDefault="00B9311E" w:rsidP="00B9311E">
            <w:pPr>
              <w:spacing w:after="0" w:line="240" w:lineRule="auto"/>
              <w:jc w:val="right"/>
              <w:rPr>
                <w:sz w:val="18"/>
                <w:szCs w:val="18"/>
              </w:rPr>
            </w:pPr>
            <w:r w:rsidRPr="00BD77D8">
              <w:rPr>
                <w:sz w:val="18"/>
                <w:szCs w:val="18"/>
              </w:rPr>
              <w:t xml:space="preserve">       (1,989)</w:t>
            </w:r>
          </w:p>
        </w:tc>
        <w:tc>
          <w:tcPr>
            <w:tcW w:w="1022" w:type="dxa"/>
            <w:tcBorders>
              <w:top w:val="nil"/>
              <w:left w:val="nil"/>
              <w:bottom w:val="nil"/>
              <w:right w:val="nil"/>
            </w:tcBorders>
            <w:shd w:val="clear" w:color="auto" w:fill="auto"/>
            <w:vAlign w:val="center"/>
            <w:hideMark/>
          </w:tcPr>
          <w:p w14:paraId="74447DA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0294C08B" w14:textId="77777777" w:rsidR="00B9311E" w:rsidRPr="00BD77D8" w:rsidRDefault="00B9311E" w:rsidP="00B9311E">
            <w:pPr>
              <w:spacing w:after="0" w:line="240" w:lineRule="auto"/>
              <w:jc w:val="right"/>
              <w:rPr>
                <w:sz w:val="18"/>
                <w:szCs w:val="18"/>
              </w:rPr>
            </w:pPr>
            <w:r w:rsidRPr="00BD77D8">
              <w:rPr>
                <w:sz w:val="18"/>
                <w:szCs w:val="18"/>
              </w:rPr>
              <w:t xml:space="preserve">  (1,989)</w:t>
            </w:r>
          </w:p>
        </w:tc>
      </w:tr>
      <w:tr w:rsidR="00BD77D8" w:rsidRPr="00BD77D8" w14:paraId="5D692CBF" w14:textId="77777777" w:rsidTr="003057FB">
        <w:trPr>
          <w:trHeight w:val="255"/>
        </w:trPr>
        <w:tc>
          <w:tcPr>
            <w:tcW w:w="7034" w:type="dxa"/>
            <w:tcBorders>
              <w:top w:val="nil"/>
              <w:left w:val="nil"/>
              <w:bottom w:val="nil"/>
              <w:right w:val="nil"/>
            </w:tcBorders>
            <w:shd w:val="clear" w:color="auto" w:fill="auto"/>
            <w:noWrap/>
            <w:vAlign w:val="bottom"/>
            <w:hideMark/>
          </w:tcPr>
          <w:p w14:paraId="0784FDB0" w14:textId="77777777" w:rsidR="00B9311E" w:rsidRPr="00BD77D8" w:rsidRDefault="00B9311E" w:rsidP="00B9311E">
            <w:pPr>
              <w:spacing w:after="0" w:line="240" w:lineRule="auto"/>
              <w:rPr>
                <w:sz w:val="18"/>
                <w:szCs w:val="18"/>
              </w:rPr>
            </w:pPr>
            <w:r w:rsidRPr="00BD77D8">
              <w:rPr>
                <w:sz w:val="18"/>
                <w:szCs w:val="18"/>
              </w:rPr>
              <w:t xml:space="preserve"> Amortisation </w:t>
            </w:r>
          </w:p>
        </w:tc>
        <w:tc>
          <w:tcPr>
            <w:tcW w:w="1300" w:type="dxa"/>
            <w:tcBorders>
              <w:top w:val="nil"/>
              <w:left w:val="nil"/>
              <w:bottom w:val="nil"/>
              <w:right w:val="nil"/>
            </w:tcBorders>
            <w:shd w:val="clear" w:color="auto" w:fill="auto"/>
            <w:vAlign w:val="center"/>
            <w:hideMark/>
          </w:tcPr>
          <w:p w14:paraId="14050961" w14:textId="77777777" w:rsidR="00B9311E" w:rsidRPr="00BD77D8" w:rsidRDefault="00B9311E" w:rsidP="00B9311E">
            <w:pPr>
              <w:spacing w:after="0" w:line="240" w:lineRule="auto"/>
              <w:jc w:val="right"/>
              <w:rPr>
                <w:sz w:val="18"/>
                <w:szCs w:val="18"/>
              </w:rPr>
            </w:pPr>
            <w:r w:rsidRPr="00BD77D8">
              <w:rPr>
                <w:sz w:val="18"/>
                <w:szCs w:val="18"/>
              </w:rPr>
              <w:t xml:space="preserve">          (273)</w:t>
            </w:r>
          </w:p>
        </w:tc>
        <w:tc>
          <w:tcPr>
            <w:tcW w:w="1022" w:type="dxa"/>
            <w:tcBorders>
              <w:top w:val="nil"/>
              <w:left w:val="nil"/>
              <w:bottom w:val="nil"/>
              <w:right w:val="nil"/>
            </w:tcBorders>
            <w:shd w:val="clear" w:color="auto" w:fill="auto"/>
            <w:vAlign w:val="center"/>
            <w:hideMark/>
          </w:tcPr>
          <w:p w14:paraId="204589CF"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26C48D30" w14:textId="77777777" w:rsidR="00B9311E" w:rsidRPr="00BD77D8" w:rsidRDefault="00B9311E" w:rsidP="00B9311E">
            <w:pPr>
              <w:spacing w:after="0" w:line="240" w:lineRule="auto"/>
              <w:jc w:val="right"/>
              <w:rPr>
                <w:sz w:val="18"/>
                <w:szCs w:val="18"/>
              </w:rPr>
            </w:pPr>
            <w:r w:rsidRPr="00BD77D8">
              <w:rPr>
                <w:sz w:val="18"/>
                <w:szCs w:val="18"/>
              </w:rPr>
              <w:t xml:space="preserve">     (273)</w:t>
            </w:r>
          </w:p>
        </w:tc>
      </w:tr>
      <w:tr w:rsidR="00BD77D8" w:rsidRPr="00BD77D8" w14:paraId="47CDFDEE" w14:textId="77777777" w:rsidTr="003057FB">
        <w:trPr>
          <w:trHeight w:val="255"/>
        </w:trPr>
        <w:tc>
          <w:tcPr>
            <w:tcW w:w="7034" w:type="dxa"/>
            <w:tcBorders>
              <w:top w:val="nil"/>
              <w:left w:val="nil"/>
              <w:bottom w:val="nil"/>
              <w:right w:val="nil"/>
            </w:tcBorders>
            <w:shd w:val="clear" w:color="auto" w:fill="auto"/>
            <w:noWrap/>
            <w:vAlign w:val="bottom"/>
            <w:hideMark/>
          </w:tcPr>
          <w:p w14:paraId="26E69213"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2021 </w:t>
            </w:r>
          </w:p>
        </w:tc>
        <w:tc>
          <w:tcPr>
            <w:tcW w:w="1300" w:type="dxa"/>
            <w:tcBorders>
              <w:top w:val="single" w:sz="4" w:space="0" w:color="auto"/>
              <w:left w:val="nil"/>
              <w:bottom w:val="single" w:sz="4" w:space="0" w:color="auto"/>
              <w:right w:val="nil"/>
            </w:tcBorders>
            <w:shd w:val="clear" w:color="auto" w:fill="auto"/>
            <w:vAlign w:val="center"/>
            <w:hideMark/>
          </w:tcPr>
          <w:p w14:paraId="767EB1F3"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c>
          <w:tcPr>
            <w:tcW w:w="1022" w:type="dxa"/>
            <w:tcBorders>
              <w:top w:val="single" w:sz="4" w:space="0" w:color="auto"/>
              <w:left w:val="nil"/>
              <w:bottom w:val="single" w:sz="4" w:space="0" w:color="auto"/>
              <w:right w:val="nil"/>
            </w:tcBorders>
            <w:shd w:val="clear" w:color="auto" w:fill="auto"/>
            <w:vAlign w:val="center"/>
            <w:hideMark/>
          </w:tcPr>
          <w:p w14:paraId="757DA951"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965" w:type="dxa"/>
            <w:tcBorders>
              <w:top w:val="single" w:sz="4" w:space="0" w:color="auto"/>
              <w:left w:val="nil"/>
              <w:bottom w:val="single" w:sz="4" w:space="0" w:color="auto"/>
              <w:right w:val="nil"/>
            </w:tcBorders>
            <w:shd w:val="clear" w:color="auto" w:fill="auto"/>
            <w:vAlign w:val="center"/>
            <w:hideMark/>
          </w:tcPr>
          <w:p w14:paraId="70D573F2"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r>
      <w:tr w:rsidR="00BD77D8" w:rsidRPr="00BD77D8" w14:paraId="13FD1F9E" w14:textId="77777777" w:rsidTr="003057FB">
        <w:trPr>
          <w:trHeight w:val="255"/>
        </w:trPr>
        <w:tc>
          <w:tcPr>
            <w:tcW w:w="7034" w:type="dxa"/>
            <w:tcBorders>
              <w:top w:val="nil"/>
              <w:left w:val="nil"/>
              <w:bottom w:val="nil"/>
              <w:right w:val="nil"/>
            </w:tcBorders>
            <w:shd w:val="clear" w:color="auto" w:fill="auto"/>
            <w:noWrap/>
            <w:vAlign w:val="bottom"/>
            <w:hideMark/>
          </w:tcPr>
          <w:p w14:paraId="44936668" w14:textId="77777777" w:rsidR="00B9311E" w:rsidRPr="00BD77D8" w:rsidRDefault="00B9311E" w:rsidP="00B9311E">
            <w:pPr>
              <w:spacing w:after="0" w:line="240" w:lineRule="auto"/>
              <w:rPr>
                <w:sz w:val="18"/>
                <w:szCs w:val="18"/>
              </w:rPr>
            </w:pPr>
            <w:r w:rsidRPr="00BD77D8">
              <w:rPr>
                <w:sz w:val="18"/>
                <w:szCs w:val="18"/>
              </w:rPr>
              <w:t> </w:t>
            </w:r>
          </w:p>
        </w:tc>
        <w:tc>
          <w:tcPr>
            <w:tcW w:w="1300" w:type="dxa"/>
            <w:tcBorders>
              <w:top w:val="nil"/>
              <w:left w:val="nil"/>
              <w:bottom w:val="nil"/>
              <w:right w:val="nil"/>
            </w:tcBorders>
            <w:shd w:val="clear" w:color="auto" w:fill="auto"/>
            <w:vAlign w:val="center"/>
            <w:hideMark/>
          </w:tcPr>
          <w:p w14:paraId="65CC808A" w14:textId="77777777" w:rsidR="00B9311E" w:rsidRPr="00BD77D8" w:rsidRDefault="00B9311E" w:rsidP="00B9311E">
            <w:pPr>
              <w:spacing w:after="0" w:line="240" w:lineRule="auto"/>
              <w:jc w:val="right"/>
              <w:rPr>
                <w:sz w:val="18"/>
                <w:szCs w:val="18"/>
              </w:rPr>
            </w:pPr>
          </w:p>
        </w:tc>
        <w:tc>
          <w:tcPr>
            <w:tcW w:w="1022" w:type="dxa"/>
            <w:tcBorders>
              <w:top w:val="nil"/>
              <w:left w:val="nil"/>
              <w:bottom w:val="nil"/>
              <w:right w:val="nil"/>
            </w:tcBorders>
            <w:shd w:val="clear" w:color="auto" w:fill="auto"/>
            <w:vAlign w:val="center"/>
            <w:hideMark/>
          </w:tcPr>
          <w:p w14:paraId="716C2963"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965" w:type="dxa"/>
            <w:tcBorders>
              <w:top w:val="nil"/>
              <w:left w:val="nil"/>
              <w:bottom w:val="nil"/>
              <w:right w:val="nil"/>
            </w:tcBorders>
            <w:shd w:val="clear" w:color="auto" w:fill="auto"/>
            <w:noWrap/>
            <w:vAlign w:val="center"/>
            <w:hideMark/>
          </w:tcPr>
          <w:p w14:paraId="5D7CB373"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0F58596E" w14:textId="77777777" w:rsidTr="003057FB">
        <w:trPr>
          <w:trHeight w:val="255"/>
        </w:trPr>
        <w:tc>
          <w:tcPr>
            <w:tcW w:w="7034" w:type="dxa"/>
            <w:tcBorders>
              <w:top w:val="nil"/>
              <w:left w:val="nil"/>
              <w:bottom w:val="nil"/>
              <w:right w:val="nil"/>
            </w:tcBorders>
            <w:shd w:val="clear" w:color="auto" w:fill="auto"/>
            <w:noWrap/>
            <w:vAlign w:val="bottom"/>
            <w:hideMark/>
          </w:tcPr>
          <w:p w14:paraId="70B2A5E5"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1 July 2021 </w:t>
            </w:r>
          </w:p>
        </w:tc>
        <w:tc>
          <w:tcPr>
            <w:tcW w:w="1300" w:type="dxa"/>
            <w:tcBorders>
              <w:top w:val="nil"/>
              <w:left w:val="nil"/>
              <w:bottom w:val="nil"/>
              <w:right w:val="nil"/>
            </w:tcBorders>
            <w:shd w:val="clear" w:color="auto" w:fill="auto"/>
            <w:noWrap/>
            <w:vAlign w:val="center"/>
            <w:hideMark/>
          </w:tcPr>
          <w:p w14:paraId="1093368F"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c>
          <w:tcPr>
            <w:tcW w:w="1022" w:type="dxa"/>
            <w:tcBorders>
              <w:top w:val="nil"/>
              <w:left w:val="nil"/>
              <w:bottom w:val="nil"/>
              <w:right w:val="nil"/>
            </w:tcBorders>
            <w:shd w:val="clear" w:color="auto" w:fill="auto"/>
            <w:noWrap/>
            <w:vAlign w:val="center"/>
            <w:hideMark/>
          </w:tcPr>
          <w:p w14:paraId="7AA0C2D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965" w:type="dxa"/>
            <w:tcBorders>
              <w:top w:val="nil"/>
              <w:left w:val="nil"/>
              <w:bottom w:val="nil"/>
              <w:right w:val="nil"/>
            </w:tcBorders>
            <w:shd w:val="clear" w:color="auto" w:fill="auto"/>
            <w:noWrap/>
            <w:vAlign w:val="center"/>
            <w:hideMark/>
          </w:tcPr>
          <w:p w14:paraId="0460C453" w14:textId="77777777" w:rsidR="00B9311E" w:rsidRPr="00BD77D8" w:rsidRDefault="00B9311E" w:rsidP="00B9311E">
            <w:pPr>
              <w:spacing w:after="0" w:line="240" w:lineRule="auto"/>
              <w:jc w:val="right"/>
              <w:rPr>
                <w:b/>
                <w:bCs/>
                <w:sz w:val="18"/>
                <w:szCs w:val="18"/>
              </w:rPr>
            </w:pPr>
            <w:r w:rsidRPr="00BD77D8">
              <w:rPr>
                <w:b/>
                <w:bCs/>
                <w:sz w:val="18"/>
                <w:szCs w:val="18"/>
              </w:rPr>
              <w:t xml:space="preserve">       609 </w:t>
            </w:r>
          </w:p>
        </w:tc>
      </w:tr>
      <w:tr w:rsidR="00BD77D8" w:rsidRPr="00BD77D8" w14:paraId="2C8396D0" w14:textId="77777777" w:rsidTr="003057FB">
        <w:trPr>
          <w:trHeight w:val="255"/>
        </w:trPr>
        <w:tc>
          <w:tcPr>
            <w:tcW w:w="7034" w:type="dxa"/>
            <w:tcBorders>
              <w:top w:val="nil"/>
              <w:left w:val="nil"/>
              <w:bottom w:val="nil"/>
              <w:right w:val="nil"/>
            </w:tcBorders>
            <w:shd w:val="clear" w:color="auto" w:fill="auto"/>
            <w:noWrap/>
            <w:vAlign w:val="bottom"/>
            <w:hideMark/>
          </w:tcPr>
          <w:p w14:paraId="4B6B8A0E" w14:textId="77777777" w:rsidR="00B9311E" w:rsidRPr="00BD77D8" w:rsidRDefault="00B9311E" w:rsidP="00B9311E">
            <w:pPr>
              <w:spacing w:after="0" w:line="240" w:lineRule="auto"/>
              <w:rPr>
                <w:sz w:val="18"/>
                <w:szCs w:val="18"/>
              </w:rPr>
            </w:pPr>
            <w:r w:rsidRPr="00BD77D8">
              <w:rPr>
                <w:sz w:val="18"/>
                <w:szCs w:val="18"/>
              </w:rPr>
              <w:t xml:space="preserve"> Disposals </w:t>
            </w:r>
          </w:p>
        </w:tc>
        <w:tc>
          <w:tcPr>
            <w:tcW w:w="1300" w:type="dxa"/>
            <w:tcBorders>
              <w:top w:val="nil"/>
              <w:left w:val="nil"/>
              <w:bottom w:val="nil"/>
              <w:right w:val="nil"/>
            </w:tcBorders>
            <w:shd w:val="clear" w:color="auto" w:fill="auto"/>
            <w:noWrap/>
            <w:vAlign w:val="center"/>
            <w:hideMark/>
          </w:tcPr>
          <w:p w14:paraId="779C24A8" w14:textId="77777777" w:rsidR="00B9311E" w:rsidRPr="00BD77D8" w:rsidRDefault="00B9311E" w:rsidP="00B9311E">
            <w:pPr>
              <w:spacing w:after="0" w:line="240" w:lineRule="auto"/>
              <w:jc w:val="right"/>
              <w:rPr>
                <w:sz w:val="18"/>
                <w:szCs w:val="18"/>
              </w:rPr>
            </w:pPr>
            <w:r w:rsidRPr="00BD77D8">
              <w:rPr>
                <w:sz w:val="18"/>
                <w:szCs w:val="18"/>
              </w:rPr>
              <w:t xml:space="preserve">            (88)</w:t>
            </w:r>
          </w:p>
        </w:tc>
        <w:tc>
          <w:tcPr>
            <w:tcW w:w="1022" w:type="dxa"/>
            <w:tcBorders>
              <w:top w:val="nil"/>
              <w:left w:val="nil"/>
              <w:bottom w:val="nil"/>
              <w:right w:val="nil"/>
            </w:tcBorders>
            <w:shd w:val="clear" w:color="auto" w:fill="auto"/>
            <w:noWrap/>
            <w:vAlign w:val="center"/>
            <w:hideMark/>
          </w:tcPr>
          <w:p w14:paraId="3C373E9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2E69D0FF" w14:textId="77777777" w:rsidR="00B9311E" w:rsidRPr="00BD77D8" w:rsidRDefault="00B9311E" w:rsidP="00B9311E">
            <w:pPr>
              <w:spacing w:after="0" w:line="240" w:lineRule="auto"/>
              <w:jc w:val="right"/>
              <w:rPr>
                <w:sz w:val="18"/>
                <w:szCs w:val="18"/>
              </w:rPr>
            </w:pPr>
            <w:r w:rsidRPr="00BD77D8">
              <w:rPr>
                <w:sz w:val="18"/>
                <w:szCs w:val="18"/>
              </w:rPr>
              <w:t xml:space="preserve">       (88)</w:t>
            </w:r>
          </w:p>
        </w:tc>
      </w:tr>
      <w:tr w:rsidR="00BD77D8" w:rsidRPr="00BD77D8" w14:paraId="4E757E06" w14:textId="77777777" w:rsidTr="003057FB">
        <w:trPr>
          <w:trHeight w:val="255"/>
        </w:trPr>
        <w:tc>
          <w:tcPr>
            <w:tcW w:w="7034" w:type="dxa"/>
            <w:tcBorders>
              <w:top w:val="nil"/>
              <w:left w:val="nil"/>
              <w:bottom w:val="nil"/>
              <w:right w:val="nil"/>
            </w:tcBorders>
            <w:shd w:val="clear" w:color="auto" w:fill="auto"/>
            <w:noWrap/>
            <w:vAlign w:val="bottom"/>
            <w:hideMark/>
          </w:tcPr>
          <w:p w14:paraId="4F3D6AAD" w14:textId="77777777" w:rsidR="00B9311E" w:rsidRPr="00BD77D8" w:rsidRDefault="00B9311E" w:rsidP="00B9311E">
            <w:pPr>
              <w:spacing w:after="0" w:line="240" w:lineRule="auto"/>
              <w:rPr>
                <w:sz w:val="18"/>
                <w:szCs w:val="18"/>
              </w:rPr>
            </w:pPr>
            <w:r w:rsidRPr="00BD77D8">
              <w:rPr>
                <w:sz w:val="18"/>
                <w:szCs w:val="18"/>
              </w:rPr>
              <w:t xml:space="preserve"> Amortisation </w:t>
            </w:r>
          </w:p>
        </w:tc>
        <w:tc>
          <w:tcPr>
            <w:tcW w:w="1300" w:type="dxa"/>
            <w:tcBorders>
              <w:top w:val="nil"/>
              <w:left w:val="nil"/>
              <w:bottom w:val="nil"/>
              <w:right w:val="nil"/>
            </w:tcBorders>
            <w:shd w:val="clear" w:color="auto" w:fill="auto"/>
            <w:noWrap/>
            <w:vAlign w:val="center"/>
            <w:hideMark/>
          </w:tcPr>
          <w:p w14:paraId="023242C5" w14:textId="77777777" w:rsidR="00B9311E" w:rsidRPr="00BD77D8" w:rsidRDefault="00B9311E" w:rsidP="00B9311E">
            <w:pPr>
              <w:spacing w:after="0" w:line="240" w:lineRule="auto"/>
              <w:jc w:val="right"/>
              <w:rPr>
                <w:sz w:val="18"/>
                <w:szCs w:val="18"/>
              </w:rPr>
            </w:pPr>
            <w:r w:rsidRPr="00BD77D8">
              <w:rPr>
                <w:sz w:val="18"/>
                <w:szCs w:val="18"/>
              </w:rPr>
              <w:t xml:space="preserve">            (83)</w:t>
            </w:r>
          </w:p>
        </w:tc>
        <w:tc>
          <w:tcPr>
            <w:tcW w:w="1022" w:type="dxa"/>
            <w:tcBorders>
              <w:top w:val="nil"/>
              <w:left w:val="nil"/>
              <w:bottom w:val="nil"/>
              <w:right w:val="nil"/>
            </w:tcBorders>
            <w:shd w:val="clear" w:color="auto" w:fill="auto"/>
            <w:noWrap/>
            <w:vAlign w:val="center"/>
            <w:hideMark/>
          </w:tcPr>
          <w:p w14:paraId="5D3843D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65" w:type="dxa"/>
            <w:tcBorders>
              <w:top w:val="nil"/>
              <w:left w:val="nil"/>
              <w:bottom w:val="nil"/>
              <w:right w:val="nil"/>
            </w:tcBorders>
            <w:shd w:val="clear" w:color="auto" w:fill="auto"/>
            <w:noWrap/>
            <w:vAlign w:val="center"/>
            <w:hideMark/>
          </w:tcPr>
          <w:p w14:paraId="528EE1B3" w14:textId="77777777" w:rsidR="00B9311E" w:rsidRPr="00BD77D8" w:rsidRDefault="00B9311E" w:rsidP="00B9311E">
            <w:pPr>
              <w:spacing w:after="0" w:line="240" w:lineRule="auto"/>
              <w:jc w:val="right"/>
              <w:rPr>
                <w:sz w:val="18"/>
                <w:szCs w:val="18"/>
              </w:rPr>
            </w:pPr>
            <w:r w:rsidRPr="00BD77D8">
              <w:rPr>
                <w:sz w:val="18"/>
                <w:szCs w:val="18"/>
              </w:rPr>
              <w:t xml:space="preserve">       (83)</w:t>
            </w:r>
          </w:p>
        </w:tc>
      </w:tr>
      <w:tr w:rsidR="00BD77D8" w:rsidRPr="00BD77D8" w14:paraId="20264D5D" w14:textId="77777777" w:rsidTr="003057FB">
        <w:trPr>
          <w:trHeight w:val="285"/>
        </w:trPr>
        <w:tc>
          <w:tcPr>
            <w:tcW w:w="7034" w:type="dxa"/>
            <w:tcBorders>
              <w:top w:val="nil"/>
              <w:left w:val="nil"/>
              <w:bottom w:val="nil"/>
              <w:right w:val="nil"/>
            </w:tcBorders>
            <w:shd w:val="clear" w:color="auto" w:fill="auto"/>
            <w:noWrap/>
            <w:vAlign w:val="bottom"/>
            <w:hideMark/>
          </w:tcPr>
          <w:p w14:paraId="0C707889" w14:textId="77777777" w:rsidR="00B9311E" w:rsidRPr="00BD77D8" w:rsidRDefault="00B9311E" w:rsidP="00B9311E">
            <w:pPr>
              <w:spacing w:after="0" w:line="240" w:lineRule="auto"/>
              <w:rPr>
                <w:b/>
                <w:bCs/>
                <w:sz w:val="18"/>
                <w:szCs w:val="18"/>
              </w:rPr>
            </w:pPr>
            <w:r w:rsidRPr="00BD77D8">
              <w:rPr>
                <w:b/>
                <w:bCs/>
                <w:sz w:val="18"/>
                <w:szCs w:val="18"/>
              </w:rPr>
              <w:t xml:space="preserve"> Carrying amount at 30 June 2022 </w:t>
            </w:r>
          </w:p>
        </w:tc>
        <w:tc>
          <w:tcPr>
            <w:tcW w:w="1300" w:type="dxa"/>
            <w:tcBorders>
              <w:top w:val="single" w:sz="4" w:space="0" w:color="auto"/>
              <w:left w:val="nil"/>
              <w:bottom w:val="single" w:sz="4" w:space="0" w:color="auto"/>
              <w:right w:val="nil"/>
            </w:tcBorders>
            <w:shd w:val="clear" w:color="auto" w:fill="auto"/>
            <w:vAlign w:val="center"/>
            <w:hideMark/>
          </w:tcPr>
          <w:p w14:paraId="51CCD6C4" w14:textId="77777777" w:rsidR="00B9311E" w:rsidRPr="00BD77D8" w:rsidRDefault="00B9311E" w:rsidP="00B9311E">
            <w:pPr>
              <w:spacing w:after="0" w:line="240" w:lineRule="auto"/>
              <w:jc w:val="right"/>
              <w:rPr>
                <w:b/>
                <w:bCs/>
                <w:sz w:val="18"/>
                <w:szCs w:val="18"/>
              </w:rPr>
            </w:pPr>
            <w:r w:rsidRPr="00BD77D8">
              <w:rPr>
                <w:b/>
                <w:bCs/>
                <w:sz w:val="18"/>
                <w:szCs w:val="18"/>
              </w:rPr>
              <w:t xml:space="preserve">            438 </w:t>
            </w:r>
          </w:p>
        </w:tc>
        <w:tc>
          <w:tcPr>
            <w:tcW w:w="1022" w:type="dxa"/>
            <w:tcBorders>
              <w:top w:val="single" w:sz="4" w:space="0" w:color="auto"/>
              <w:left w:val="nil"/>
              <w:bottom w:val="single" w:sz="4" w:space="0" w:color="auto"/>
              <w:right w:val="nil"/>
            </w:tcBorders>
            <w:shd w:val="clear" w:color="auto" w:fill="auto"/>
            <w:vAlign w:val="center"/>
            <w:hideMark/>
          </w:tcPr>
          <w:p w14:paraId="3A58037B"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965" w:type="dxa"/>
            <w:tcBorders>
              <w:top w:val="single" w:sz="4" w:space="0" w:color="auto"/>
              <w:left w:val="nil"/>
              <w:bottom w:val="single" w:sz="4" w:space="0" w:color="auto"/>
              <w:right w:val="nil"/>
            </w:tcBorders>
            <w:shd w:val="clear" w:color="auto" w:fill="auto"/>
            <w:vAlign w:val="center"/>
            <w:hideMark/>
          </w:tcPr>
          <w:p w14:paraId="5D8A5D33" w14:textId="77777777" w:rsidR="00B9311E" w:rsidRPr="00BD77D8" w:rsidRDefault="00B9311E" w:rsidP="00B9311E">
            <w:pPr>
              <w:spacing w:after="0" w:line="240" w:lineRule="auto"/>
              <w:jc w:val="right"/>
              <w:rPr>
                <w:b/>
                <w:bCs/>
                <w:sz w:val="18"/>
                <w:szCs w:val="18"/>
              </w:rPr>
            </w:pPr>
            <w:r w:rsidRPr="00BD77D8">
              <w:rPr>
                <w:b/>
                <w:bCs/>
                <w:sz w:val="18"/>
                <w:szCs w:val="18"/>
              </w:rPr>
              <w:t xml:space="preserve">       438 </w:t>
            </w:r>
          </w:p>
        </w:tc>
      </w:tr>
    </w:tbl>
    <w:p w14:paraId="61B612EE" w14:textId="77777777" w:rsidR="00B9311E" w:rsidRPr="00BD77D8" w:rsidRDefault="00B9311E" w:rsidP="00140059">
      <w:pPr>
        <w:spacing w:before="200" w:line="180" w:lineRule="atLeast"/>
        <w:textAlignment w:val="baseline"/>
        <w:rPr>
          <w:rFonts w:eastAsia="Arial"/>
          <w:b/>
          <w:bCs/>
          <w:sz w:val="18"/>
          <w:szCs w:val="18"/>
          <w:lang w:eastAsia="en-US"/>
        </w:rPr>
      </w:pPr>
      <w:r w:rsidRPr="00BD77D8">
        <w:rPr>
          <w:rFonts w:eastAsia="Arial"/>
          <w:b/>
          <w:bCs/>
          <w:sz w:val="18"/>
          <w:szCs w:val="18"/>
          <w:lang w:eastAsia="en-US"/>
        </w:rPr>
        <w:t>C5-2 – Recognition and Measurement</w:t>
      </w:r>
    </w:p>
    <w:p w14:paraId="435191D5"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w:t>
      </w:r>
    </w:p>
    <w:p w14:paraId="5F2ABCFC" w14:textId="77777777" w:rsidR="00B9311E" w:rsidRPr="00BD77D8" w:rsidRDefault="00B9311E" w:rsidP="006226A9">
      <w:pPr>
        <w:spacing w:line="180" w:lineRule="atLeast"/>
        <w:ind w:right="432"/>
        <w:textAlignment w:val="baseline"/>
        <w:rPr>
          <w:rFonts w:eastAsia="Arial"/>
          <w:b/>
          <w:bCs/>
          <w:spacing w:val="-2"/>
          <w:sz w:val="18"/>
          <w:szCs w:val="18"/>
          <w:lang w:eastAsia="en-US"/>
        </w:rPr>
      </w:pPr>
      <w:r w:rsidRPr="00BD77D8">
        <w:rPr>
          <w:rFonts w:eastAsia="Arial"/>
          <w:spacing w:val="-2"/>
          <w:sz w:val="18"/>
          <w:szCs w:val="18"/>
          <w:lang w:eastAsia="en-US"/>
        </w:rPr>
        <w:t>Intangible assets of the department comprise internally developed software and software works in progress. Intangible assets with a historical cost or other value equal to or greater than $100,000 are recognised in the financial statements. Items with a lesser value are expensed. Any training costs are expensed as incurred.</w:t>
      </w:r>
    </w:p>
    <w:p w14:paraId="09710947" w14:textId="77777777" w:rsidR="00B9311E" w:rsidRPr="00BD77D8" w:rsidRDefault="00B9311E" w:rsidP="006226A9">
      <w:pPr>
        <w:spacing w:line="180" w:lineRule="atLeast"/>
        <w:ind w:right="144"/>
        <w:textAlignment w:val="baseline"/>
        <w:rPr>
          <w:rFonts w:eastAsia="Arial"/>
          <w:b/>
          <w:bCs/>
          <w:sz w:val="18"/>
          <w:szCs w:val="18"/>
          <w:lang w:eastAsia="en-US"/>
        </w:rPr>
      </w:pPr>
      <w:r w:rsidRPr="00BD77D8">
        <w:rPr>
          <w:rFonts w:eastAsia="Arial"/>
          <w:sz w:val="18"/>
          <w:szCs w:val="18"/>
          <w:lang w:eastAsia="en-US"/>
        </w:rPr>
        <w:t>There is no active market for any of the department's intangible assets. As such, the assets are recognised and carried at historical cost less accumulated amortisation and accumulated impairment losses.</w:t>
      </w:r>
    </w:p>
    <w:p w14:paraId="7F0047CD" w14:textId="77777777" w:rsidR="00B9311E" w:rsidRPr="00BD77D8" w:rsidRDefault="00B9311E" w:rsidP="006226A9">
      <w:pPr>
        <w:spacing w:line="252" w:lineRule="exact"/>
        <w:textAlignment w:val="baseline"/>
        <w:rPr>
          <w:rFonts w:eastAsia="Arial"/>
          <w:b/>
          <w:bCs/>
          <w:sz w:val="18"/>
          <w:szCs w:val="18"/>
          <w:lang w:eastAsia="en-US"/>
        </w:rPr>
      </w:pPr>
      <w:r w:rsidRPr="00BD77D8">
        <w:rPr>
          <w:rFonts w:eastAsia="Arial"/>
          <w:b/>
          <w:bCs/>
          <w:sz w:val="18"/>
          <w:szCs w:val="18"/>
          <w:lang w:eastAsia="en-US"/>
        </w:rPr>
        <w:t>Refer to Note F3-1 for accounting policy on Cloud Computing Arrangements.</w:t>
      </w:r>
    </w:p>
    <w:p w14:paraId="5D65854C" w14:textId="77777777" w:rsidR="00B9311E" w:rsidRPr="00BD77D8" w:rsidRDefault="00B9311E" w:rsidP="006226A9">
      <w:pPr>
        <w:spacing w:line="180" w:lineRule="atLeast"/>
        <w:textAlignment w:val="baseline"/>
        <w:rPr>
          <w:rFonts w:eastAsia="Arial"/>
          <w:b/>
          <w:bCs/>
          <w:spacing w:val="2"/>
          <w:sz w:val="18"/>
          <w:szCs w:val="18"/>
          <w:lang w:eastAsia="en-US"/>
        </w:rPr>
      </w:pPr>
      <w:r w:rsidRPr="00BD77D8">
        <w:rPr>
          <w:rFonts w:eastAsia="Arial"/>
          <w:b/>
          <w:bCs/>
          <w:spacing w:val="2"/>
          <w:sz w:val="18"/>
          <w:szCs w:val="18"/>
          <w:lang w:eastAsia="en-US"/>
        </w:rPr>
        <w:t>C5-3 Amortisation Expense</w:t>
      </w:r>
    </w:p>
    <w:p w14:paraId="1286D96C" w14:textId="77777777" w:rsidR="00B9311E" w:rsidRPr="00BD77D8" w:rsidRDefault="00B9311E" w:rsidP="00B9311E">
      <w:pPr>
        <w:spacing w:after="0" w:line="180" w:lineRule="atLeast"/>
        <w:textAlignment w:val="baseline"/>
        <w:rPr>
          <w:rFonts w:eastAsia="Arial"/>
          <w:b/>
          <w:bCs/>
          <w:sz w:val="18"/>
          <w:szCs w:val="18"/>
          <w:lang w:eastAsia="en-US"/>
        </w:rPr>
      </w:pPr>
      <w:r w:rsidRPr="00BD77D8">
        <w:rPr>
          <w:rFonts w:eastAsia="Arial"/>
          <w:sz w:val="18"/>
          <w:szCs w:val="18"/>
          <w:lang w:eastAsia="en-US"/>
        </w:rPr>
        <w:t>All intangible assets of the department have finite useful lives and are amortised on a straight-line basis over their estimated useful life to the department. Straight line amortisation is used reflecting the expected consumption of economic benefits on a progressive basis over the intangible’s useful life. The residual value of all the department's intangible assets is nil.</w:t>
      </w:r>
    </w:p>
    <w:p w14:paraId="5A4FBAA2" w14:textId="4B05F52D" w:rsidR="00B9311E" w:rsidRPr="00BD77D8" w:rsidRDefault="00B9311E" w:rsidP="006226A9">
      <w:pPr>
        <w:spacing w:line="180" w:lineRule="atLeast"/>
        <w:textAlignment w:val="baseline"/>
        <w:rPr>
          <w:rFonts w:eastAsia="Arial"/>
          <w:sz w:val="18"/>
          <w:szCs w:val="18"/>
          <w:lang w:eastAsia="en-US"/>
        </w:rPr>
      </w:pPr>
      <w:r w:rsidRPr="00BD77D8">
        <w:rPr>
          <w:rFonts w:eastAsia="Arial"/>
          <w:sz w:val="18"/>
          <w:szCs w:val="18"/>
          <w:lang w:eastAsia="en-US"/>
        </w:rPr>
        <w:t>For each class of intangible asset, the following amortisation useful lives are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18"/>
      </w:tblGrid>
      <w:tr w:rsidR="00BD77D8" w:rsidRPr="00BD77D8" w14:paraId="50778FA6" w14:textId="77777777" w:rsidTr="006226A9">
        <w:trPr>
          <w:trHeight w:val="274"/>
        </w:trPr>
        <w:tc>
          <w:tcPr>
            <w:tcW w:w="3256" w:type="dxa"/>
          </w:tcPr>
          <w:p w14:paraId="010C882A" w14:textId="341725CA" w:rsidR="006226A9" w:rsidRPr="00BD77D8" w:rsidRDefault="006226A9" w:rsidP="006226A9">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Asset</w:t>
            </w:r>
          </w:p>
        </w:tc>
        <w:tc>
          <w:tcPr>
            <w:tcW w:w="3118" w:type="dxa"/>
          </w:tcPr>
          <w:p w14:paraId="58D07724" w14:textId="3B7E46FD" w:rsidR="006226A9" w:rsidRPr="00BD77D8" w:rsidRDefault="006226A9" w:rsidP="006226A9">
            <w:pPr>
              <w:spacing w:after="0" w:line="180" w:lineRule="atLeast"/>
              <w:textAlignment w:val="baseline"/>
              <w:rPr>
                <w:rFonts w:ascii="Arial" w:eastAsia="Arial" w:hAnsi="Arial"/>
                <w:b/>
                <w:bCs/>
                <w:sz w:val="18"/>
                <w:szCs w:val="18"/>
                <w:lang w:eastAsia="en-US"/>
              </w:rPr>
            </w:pPr>
            <w:r w:rsidRPr="00BD77D8">
              <w:rPr>
                <w:rFonts w:ascii="Arial" w:eastAsia="Arial" w:hAnsi="Arial"/>
                <w:b/>
                <w:bCs/>
                <w:sz w:val="18"/>
                <w:szCs w:val="18"/>
                <w:lang w:eastAsia="en-US"/>
              </w:rPr>
              <w:t>Useful Life</w:t>
            </w:r>
          </w:p>
        </w:tc>
      </w:tr>
      <w:tr w:rsidR="00BD77D8" w:rsidRPr="00BD77D8" w14:paraId="64FB5943" w14:textId="77777777" w:rsidTr="006226A9">
        <w:tc>
          <w:tcPr>
            <w:tcW w:w="3256" w:type="dxa"/>
          </w:tcPr>
          <w:p w14:paraId="15CEA401" w14:textId="3CC60B4E" w:rsidR="006226A9" w:rsidRPr="00BD77D8" w:rsidRDefault="006226A9" w:rsidP="006226A9">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Software Internally Generated</w:t>
            </w:r>
          </w:p>
        </w:tc>
        <w:tc>
          <w:tcPr>
            <w:tcW w:w="3118" w:type="dxa"/>
          </w:tcPr>
          <w:p w14:paraId="337685E4" w14:textId="53BFD018" w:rsidR="006226A9" w:rsidRPr="00BD77D8" w:rsidRDefault="006226A9" w:rsidP="006226A9">
            <w:pPr>
              <w:spacing w:after="0" w:line="180" w:lineRule="atLeast"/>
              <w:textAlignment w:val="baseline"/>
              <w:rPr>
                <w:rFonts w:ascii="Arial" w:eastAsia="Arial" w:hAnsi="Arial"/>
                <w:b/>
                <w:bCs/>
                <w:sz w:val="18"/>
                <w:szCs w:val="18"/>
                <w:lang w:eastAsia="en-US"/>
              </w:rPr>
            </w:pPr>
            <w:r w:rsidRPr="00BD77D8">
              <w:rPr>
                <w:rFonts w:ascii="Arial" w:eastAsia="Arial" w:hAnsi="Arial"/>
                <w:sz w:val="18"/>
                <w:szCs w:val="18"/>
                <w:lang w:eastAsia="en-US"/>
              </w:rPr>
              <w:t>7 years</w:t>
            </w:r>
          </w:p>
        </w:tc>
      </w:tr>
    </w:tbl>
    <w:p w14:paraId="1F5AE1DA" w14:textId="77777777" w:rsidR="00B9311E" w:rsidRPr="00BD77D8" w:rsidRDefault="00B9311E" w:rsidP="006226A9">
      <w:pPr>
        <w:spacing w:before="240" w:line="180" w:lineRule="atLeast"/>
        <w:textAlignment w:val="baseline"/>
        <w:rPr>
          <w:rFonts w:eastAsia="Arial"/>
          <w:b/>
          <w:bCs/>
          <w:spacing w:val="4"/>
          <w:sz w:val="18"/>
          <w:szCs w:val="18"/>
          <w:lang w:eastAsia="en-US"/>
        </w:rPr>
      </w:pPr>
      <w:r w:rsidRPr="00BD77D8">
        <w:rPr>
          <w:rFonts w:eastAsia="Arial"/>
          <w:b/>
          <w:bCs/>
          <w:spacing w:val="4"/>
          <w:sz w:val="18"/>
          <w:szCs w:val="18"/>
          <w:lang w:eastAsia="en-US"/>
        </w:rPr>
        <w:t>C5-4 Impairment</w:t>
      </w:r>
    </w:p>
    <w:p w14:paraId="4C8EC156"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b/>
          <w:bCs/>
          <w:sz w:val="18"/>
          <w:szCs w:val="18"/>
          <w:lang w:eastAsia="en-US"/>
        </w:rPr>
        <w:t>Accounting policy – Intangibles</w:t>
      </w:r>
    </w:p>
    <w:p w14:paraId="45F01EF4" w14:textId="77777777" w:rsidR="00B9311E" w:rsidRPr="00BD77D8" w:rsidRDefault="00B9311E" w:rsidP="006226A9">
      <w:pPr>
        <w:spacing w:line="180" w:lineRule="atLeast"/>
        <w:ind w:right="72"/>
        <w:textAlignment w:val="baseline"/>
        <w:rPr>
          <w:rFonts w:eastAsia="Arial"/>
          <w:b/>
          <w:bCs/>
          <w:sz w:val="18"/>
          <w:szCs w:val="18"/>
          <w:lang w:eastAsia="en-US"/>
        </w:rPr>
      </w:pPr>
      <w:r w:rsidRPr="00BD77D8">
        <w:rPr>
          <w:rFonts w:eastAsia="Arial"/>
          <w:sz w:val="18"/>
          <w:szCs w:val="18"/>
          <w:lang w:eastAsia="en-US"/>
        </w:rPr>
        <w:t>All intangible assets are assessed for indicators of impairment on an annual basis. If an indicator of possible impairment exists, the department determines the asset's recoverable amount. Any amount by which the asset's carrying amount exceeds the recoverable amount is recorded as an impairment loss.</w:t>
      </w:r>
    </w:p>
    <w:p w14:paraId="65C0F63B" w14:textId="77777777" w:rsidR="00B9311E" w:rsidRPr="00BD77D8" w:rsidRDefault="00B9311E" w:rsidP="006226A9">
      <w:pPr>
        <w:spacing w:line="180" w:lineRule="atLeast"/>
        <w:ind w:right="72"/>
        <w:textAlignment w:val="baseline"/>
        <w:rPr>
          <w:rFonts w:eastAsia="Arial"/>
          <w:sz w:val="18"/>
          <w:szCs w:val="18"/>
          <w:lang w:eastAsia="en-US"/>
        </w:rPr>
      </w:pPr>
      <w:r w:rsidRPr="00BD77D8">
        <w:rPr>
          <w:rFonts w:eastAsia="Arial"/>
          <w:sz w:val="18"/>
          <w:szCs w:val="18"/>
          <w:lang w:eastAsia="en-US"/>
        </w:rPr>
        <w:t xml:space="preserve">Intangible assets are principally assessed for impairment by reference to the actual and expected continuing use of the asset by the department, including discontinuing the use of the software or patent. Recoverable amount is determined as the higher of the asset's fair value less costs to sell and its value-in-use. </w:t>
      </w:r>
    </w:p>
    <w:p w14:paraId="2C364D07" w14:textId="046B591C" w:rsidR="0040288C" w:rsidRPr="00BD77D8" w:rsidRDefault="0040288C" w:rsidP="00B9311E">
      <w:pPr>
        <w:spacing w:after="0" w:line="240" w:lineRule="auto"/>
        <w:rPr>
          <w:rFonts w:eastAsia="PMingLiU"/>
          <w:sz w:val="18"/>
          <w:szCs w:val="18"/>
          <w:lang w:eastAsia="en-US"/>
        </w:rPr>
      </w:pP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r>
      <w:r w:rsidRPr="00BD77D8">
        <w:rPr>
          <w:rFonts w:eastAsia="PMingLiU"/>
          <w:sz w:val="18"/>
          <w:szCs w:val="18"/>
          <w:lang w:eastAsia="en-US"/>
        </w:rPr>
        <w:tab/>
        <w:t>Page 28 of 45</w:t>
      </w:r>
    </w:p>
    <w:p w14:paraId="3EA81135" w14:textId="77777777" w:rsidR="0040288C" w:rsidRPr="00BD77D8" w:rsidRDefault="0040288C" w:rsidP="00B9311E">
      <w:pPr>
        <w:spacing w:after="0" w:line="240" w:lineRule="auto"/>
        <w:rPr>
          <w:rFonts w:eastAsia="PMingLiU"/>
          <w:sz w:val="18"/>
          <w:szCs w:val="18"/>
          <w:lang w:eastAsia="en-US"/>
        </w:rPr>
      </w:pPr>
    </w:p>
    <w:p w14:paraId="36B31A5D" w14:textId="3FF1982A" w:rsidR="0040288C" w:rsidRPr="00BD77D8" w:rsidRDefault="0040288C" w:rsidP="00B9311E">
      <w:pPr>
        <w:spacing w:after="0" w:line="240" w:lineRule="auto"/>
        <w:rPr>
          <w:rFonts w:eastAsia="PMingLiU"/>
          <w:sz w:val="18"/>
          <w:szCs w:val="18"/>
          <w:lang w:eastAsia="en-US"/>
        </w:rPr>
        <w:sectPr w:rsidR="0040288C" w:rsidRPr="00BD77D8" w:rsidSect="000160CF">
          <w:type w:val="nextColumn"/>
          <w:pgSz w:w="11909" w:h="16838"/>
          <w:pgMar w:top="794" w:right="794" w:bottom="794" w:left="794" w:header="720" w:footer="720" w:gutter="0"/>
          <w:cols w:space="720"/>
        </w:sectPr>
      </w:pPr>
    </w:p>
    <w:bookmarkEnd w:id="495"/>
    <w:bookmarkEnd w:id="514"/>
    <w:p w14:paraId="10072EF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EA170A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26B95F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4657375"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5F157CF1" w14:textId="77777777" w:rsidR="00B9311E" w:rsidRPr="00BD77D8" w:rsidRDefault="00B9311E" w:rsidP="00E47A6E">
      <w:pPr>
        <w:spacing w:before="240"/>
        <w:rPr>
          <w:rFonts w:ascii="Calibri Light" w:hAnsi="Calibri Light" w:cs="Times New Roman"/>
          <w:b/>
          <w:bCs/>
          <w:sz w:val="22"/>
          <w:szCs w:val="22"/>
          <w:lang w:val="en-US" w:eastAsia="en-US"/>
        </w:rPr>
      </w:pPr>
      <w:bookmarkStart w:id="515" w:name="_Toc111494813"/>
      <w:bookmarkStart w:id="516" w:name="_Toc111540685"/>
      <w:bookmarkStart w:id="517" w:name="_Toc111559248"/>
      <w:bookmarkStart w:id="518" w:name="_Toc113196520"/>
      <w:bookmarkStart w:id="519" w:name="_Toc113196868"/>
      <w:bookmarkStart w:id="520" w:name="_Toc113261998"/>
      <w:bookmarkStart w:id="521" w:name="_Toc113349152"/>
      <w:bookmarkStart w:id="522" w:name="_Toc113358077"/>
      <w:r w:rsidRPr="00BD77D8">
        <w:rPr>
          <w:rFonts w:eastAsia="Arial"/>
          <w:b/>
          <w:bCs/>
          <w:sz w:val="22"/>
          <w:szCs w:val="22"/>
          <w:lang w:eastAsia="en-US"/>
        </w:rPr>
        <w:t>C6 Payables</w:t>
      </w:r>
      <w:bookmarkEnd w:id="515"/>
      <w:bookmarkEnd w:id="516"/>
      <w:bookmarkEnd w:id="517"/>
      <w:bookmarkEnd w:id="518"/>
      <w:bookmarkEnd w:id="519"/>
      <w:bookmarkEnd w:id="520"/>
      <w:bookmarkEnd w:id="521"/>
      <w:bookmarkEnd w:id="522"/>
    </w:p>
    <w:tbl>
      <w:tblPr>
        <w:tblW w:w="10206" w:type="dxa"/>
        <w:tblCellMar>
          <w:left w:w="0" w:type="dxa"/>
          <w:right w:w="0" w:type="dxa"/>
        </w:tblCellMar>
        <w:tblLook w:val="04A0" w:firstRow="1" w:lastRow="0" w:firstColumn="1" w:lastColumn="0" w:noHBand="0" w:noVBand="1"/>
      </w:tblPr>
      <w:tblGrid>
        <w:gridCol w:w="8016"/>
        <w:gridCol w:w="1166"/>
        <w:gridCol w:w="1024"/>
      </w:tblGrid>
      <w:tr w:rsidR="00BD77D8" w:rsidRPr="00BD77D8" w14:paraId="474471E4" w14:textId="77777777" w:rsidTr="003057FB">
        <w:trPr>
          <w:trHeight w:val="268"/>
        </w:trPr>
        <w:tc>
          <w:tcPr>
            <w:tcW w:w="8048" w:type="dxa"/>
            <w:vMerge w:val="restart"/>
            <w:tcBorders>
              <w:top w:val="nil"/>
              <w:left w:val="nil"/>
              <w:bottom w:val="nil"/>
              <w:right w:val="nil"/>
            </w:tcBorders>
            <w:shd w:val="clear" w:color="auto" w:fill="auto"/>
            <w:vAlign w:val="center"/>
            <w:hideMark/>
          </w:tcPr>
          <w:p w14:paraId="566700C5" w14:textId="77777777" w:rsidR="00B9311E" w:rsidRPr="00BD77D8" w:rsidRDefault="00B9311E" w:rsidP="00B9311E">
            <w:pPr>
              <w:spacing w:after="0" w:line="240" w:lineRule="auto"/>
              <w:rPr>
                <w:rFonts w:ascii="Times New Roman" w:hAnsi="Times New Roman" w:cs="Times New Roman"/>
                <w:sz w:val="24"/>
                <w:szCs w:val="24"/>
              </w:rPr>
            </w:pPr>
          </w:p>
        </w:tc>
        <w:tc>
          <w:tcPr>
            <w:tcW w:w="1150" w:type="dxa"/>
            <w:tcBorders>
              <w:top w:val="nil"/>
              <w:left w:val="nil"/>
              <w:bottom w:val="nil"/>
              <w:right w:val="nil"/>
            </w:tcBorders>
            <w:shd w:val="clear" w:color="auto" w:fill="auto"/>
            <w:noWrap/>
            <w:vAlign w:val="bottom"/>
            <w:hideMark/>
          </w:tcPr>
          <w:p w14:paraId="48956087"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08" w:type="dxa"/>
            <w:tcBorders>
              <w:top w:val="nil"/>
              <w:left w:val="nil"/>
              <w:bottom w:val="nil"/>
              <w:right w:val="nil"/>
            </w:tcBorders>
            <w:shd w:val="clear" w:color="auto" w:fill="auto"/>
            <w:noWrap/>
            <w:vAlign w:val="bottom"/>
            <w:hideMark/>
          </w:tcPr>
          <w:p w14:paraId="25A50884"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472D1BB8" w14:textId="77777777" w:rsidTr="003057FB">
        <w:trPr>
          <w:trHeight w:val="268"/>
        </w:trPr>
        <w:tc>
          <w:tcPr>
            <w:tcW w:w="8048" w:type="dxa"/>
            <w:vMerge/>
            <w:tcBorders>
              <w:top w:val="nil"/>
              <w:left w:val="nil"/>
              <w:bottom w:val="nil"/>
              <w:right w:val="nil"/>
            </w:tcBorders>
            <w:vAlign w:val="center"/>
            <w:hideMark/>
          </w:tcPr>
          <w:p w14:paraId="27D20BAD" w14:textId="77777777" w:rsidR="00B9311E" w:rsidRPr="00BD77D8" w:rsidRDefault="00B9311E" w:rsidP="00B9311E">
            <w:pPr>
              <w:spacing w:after="0" w:line="240" w:lineRule="auto"/>
              <w:rPr>
                <w:rFonts w:ascii="Times New Roman" w:hAnsi="Times New Roman" w:cs="Times New Roman"/>
                <w:sz w:val="24"/>
                <w:szCs w:val="24"/>
              </w:rPr>
            </w:pPr>
          </w:p>
        </w:tc>
        <w:tc>
          <w:tcPr>
            <w:tcW w:w="1150" w:type="dxa"/>
            <w:tcBorders>
              <w:top w:val="nil"/>
              <w:left w:val="nil"/>
              <w:bottom w:val="single" w:sz="4" w:space="0" w:color="auto"/>
              <w:right w:val="nil"/>
            </w:tcBorders>
            <w:shd w:val="clear" w:color="auto" w:fill="auto"/>
            <w:vAlign w:val="center"/>
            <w:hideMark/>
          </w:tcPr>
          <w:p w14:paraId="4016A924"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08" w:type="dxa"/>
            <w:tcBorders>
              <w:top w:val="nil"/>
              <w:left w:val="nil"/>
              <w:bottom w:val="single" w:sz="4" w:space="0" w:color="auto"/>
              <w:right w:val="nil"/>
            </w:tcBorders>
            <w:shd w:val="clear" w:color="auto" w:fill="auto"/>
            <w:vAlign w:val="center"/>
            <w:hideMark/>
          </w:tcPr>
          <w:p w14:paraId="406393E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35395B96" w14:textId="77777777" w:rsidTr="003057FB">
        <w:trPr>
          <w:trHeight w:val="268"/>
        </w:trPr>
        <w:tc>
          <w:tcPr>
            <w:tcW w:w="8048" w:type="dxa"/>
            <w:tcBorders>
              <w:top w:val="nil"/>
              <w:left w:val="nil"/>
              <w:bottom w:val="nil"/>
              <w:right w:val="nil"/>
            </w:tcBorders>
            <w:shd w:val="clear" w:color="auto" w:fill="auto"/>
            <w:vAlign w:val="center"/>
            <w:hideMark/>
          </w:tcPr>
          <w:p w14:paraId="288D3AC9" w14:textId="77777777" w:rsidR="00B9311E" w:rsidRPr="00BD77D8" w:rsidRDefault="00B9311E" w:rsidP="00B9311E">
            <w:pPr>
              <w:spacing w:after="0" w:line="240" w:lineRule="auto"/>
              <w:rPr>
                <w:b/>
                <w:bCs/>
                <w:sz w:val="18"/>
                <w:szCs w:val="18"/>
              </w:rPr>
            </w:pPr>
            <w:r w:rsidRPr="00BD77D8">
              <w:rPr>
                <w:b/>
                <w:bCs/>
                <w:sz w:val="18"/>
                <w:szCs w:val="18"/>
              </w:rPr>
              <w:t xml:space="preserve"> Current </w:t>
            </w:r>
          </w:p>
        </w:tc>
        <w:tc>
          <w:tcPr>
            <w:tcW w:w="1150" w:type="dxa"/>
            <w:tcBorders>
              <w:top w:val="nil"/>
              <w:left w:val="nil"/>
              <w:bottom w:val="nil"/>
              <w:right w:val="nil"/>
            </w:tcBorders>
            <w:shd w:val="clear" w:color="auto" w:fill="auto"/>
            <w:vAlign w:val="center"/>
            <w:hideMark/>
          </w:tcPr>
          <w:p w14:paraId="4D14FBCC" w14:textId="77777777" w:rsidR="00B9311E" w:rsidRPr="00BD77D8" w:rsidRDefault="00B9311E" w:rsidP="00B9311E">
            <w:pPr>
              <w:spacing w:after="0" w:line="240" w:lineRule="auto"/>
              <w:rPr>
                <w:b/>
                <w:bCs/>
                <w:sz w:val="18"/>
                <w:szCs w:val="18"/>
              </w:rPr>
            </w:pPr>
          </w:p>
        </w:tc>
        <w:tc>
          <w:tcPr>
            <w:tcW w:w="1008" w:type="dxa"/>
            <w:tcBorders>
              <w:top w:val="nil"/>
              <w:left w:val="nil"/>
              <w:bottom w:val="nil"/>
              <w:right w:val="nil"/>
            </w:tcBorders>
            <w:shd w:val="clear" w:color="auto" w:fill="auto"/>
            <w:vAlign w:val="center"/>
            <w:hideMark/>
          </w:tcPr>
          <w:p w14:paraId="390CA59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1CBAB86E" w14:textId="77777777" w:rsidTr="003057FB">
        <w:trPr>
          <w:trHeight w:val="268"/>
        </w:trPr>
        <w:tc>
          <w:tcPr>
            <w:tcW w:w="8048" w:type="dxa"/>
            <w:tcBorders>
              <w:top w:val="nil"/>
              <w:left w:val="nil"/>
              <w:bottom w:val="nil"/>
              <w:right w:val="nil"/>
            </w:tcBorders>
            <w:shd w:val="clear" w:color="auto" w:fill="auto"/>
            <w:vAlign w:val="center"/>
            <w:hideMark/>
          </w:tcPr>
          <w:p w14:paraId="747B5923" w14:textId="77777777" w:rsidR="00B9311E" w:rsidRPr="00BD77D8" w:rsidRDefault="00B9311E" w:rsidP="00B9311E">
            <w:pPr>
              <w:spacing w:after="0" w:line="240" w:lineRule="auto"/>
              <w:rPr>
                <w:sz w:val="18"/>
                <w:szCs w:val="18"/>
              </w:rPr>
            </w:pPr>
            <w:r w:rsidRPr="00BD77D8">
              <w:rPr>
                <w:sz w:val="18"/>
                <w:szCs w:val="18"/>
              </w:rPr>
              <w:t xml:space="preserve"> Trade creditors and accruals </w:t>
            </w:r>
          </w:p>
        </w:tc>
        <w:tc>
          <w:tcPr>
            <w:tcW w:w="1150" w:type="dxa"/>
            <w:tcBorders>
              <w:top w:val="nil"/>
              <w:left w:val="nil"/>
              <w:bottom w:val="nil"/>
              <w:right w:val="nil"/>
            </w:tcBorders>
            <w:shd w:val="clear" w:color="auto" w:fill="auto"/>
            <w:vAlign w:val="center"/>
            <w:hideMark/>
          </w:tcPr>
          <w:p w14:paraId="3B179724" w14:textId="77777777" w:rsidR="00B9311E" w:rsidRPr="00BD77D8" w:rsidRDefault="00B9311E" w:rsidP="00B9311E">
            <w:pPr>
              <w:spacing w:after="0" w:line="240" w:lineRule="auto"/>
              <w:jc w:val="right"/>
              <w:rPr>
                <w:sz w:val="18"/>
                <w:szCs w:val="18"/>
              </w:rPr>
            </w:pPr>
            <w:r w:rsidRPr="00BD77D8">
              <w:rPr>
                <w:sz w:val="18"/>
                <w:szCs w:val="18"/>
              </w:rPr>
              <w:t xml:space="preserve">         4,943 </w:t>
            </w:r>
          </w:p>
        </w:tc>
        <w:tc>
          <w:tcPr>
            <w:tcW w:w="1008" w:type="dxa"/>
            <w:tcBorders>
              <w:top w:val="nil"/>
              <w:left w:val="nil"/>
              <w:bottom w:val="nil"/>
              <w:right w:val="nil"/>
            </w:tcBorders>
            <w:shd w:val="clear" w:color="auto" w:fill="auto"/>
            <w:vAlign w:val="center"/>
            <w:hideMark/>
          </w:tcPr>
          <w:p w14:paraId="130E0AA3" w14:textId="77777777" w:rsidR="00B9311E" w:rsidRPr="00BD77D8" w:rsidRDefault="00B9311E" w:rsidP="00B9311E">
            <w:pPr>
              <w:spacing w:after="0" w:line="240" w:lineRule="auto"/>
              <w:jc w:val="right"/>
              <w:rPr>
                <w:sz w:val="18"/>
                <w:szCs w:val="18"/>
              </w:rPr>
            </w:pPr>
            <w:r w:rsidRPr="00BD77D8">
              <w:rPr>
                <w:sz w:val="18"/>
                <w:szCs w:val="18"/>
              </w:rPr>
              <w:t xml:space="preserve">         8,074 </w:t>
            </w:r>
          </w:p>
        </w:tc>
      </w:tr>
      <w:tr w:rsidR="00BD77D8" w:rsidRPr="00BD77D8" w14:paraId="73AF36B9" w14:textId="77777777" w:rsidTr="003057FB">
        <w:trPr>
          <w:trHeight w:val="268"/>
        </w:trPr>
        <w:tc>
          <w:tcPr>
            <w:tcW w:w="8048" w:type="dxa"/>
            <w:tcBorders>
              <w:top w:val="nil"/>
              <w:left w:val="nil"/>
              <w:bottom w:val="nil"/>
              <w:right w:val="nil"/>
            </w:tcBorders>
            <w:shd w:val="clear" w:color="auto" w:fill="auto"/>
            <w:vAlign w:val="center"/>
            <w:hideMark/>
          </w:tcPr>
          <w:p w14:paraId="424203B1" w14:textId="77777777" w:rsidR="00B9311E" w:rsidRPr="00BD77D8" w:rsidRDefault="00B9311E" w:rsidP="00B9311E">
            <w:pPr>
              <w:spacing w:after="0" w:line="240" w:lineRule="auto"/>
              <w:rPr>
                <w:sz w:val="18"/>
                <w:szCs w:val="18"/>
              </w:rPr>
            </w:pPr>
            <w:r w:rsidRPr="00BD77D8">
              <w:rPr>
                <w:sz w:val="18"/>
                <w:szCs w:val="18"/>
              </w:rPr>
              <w:t xml:space="preserve"> Grants and subsidies payable </w:t>
            </w:r>
          </w:p>
        </w:tc>
        <w:tc>
          <w:tcPr>
            <w:tcW w:w="1150" w:type="dxa"/>
            <w:tcBorders>
              <w:top w:val="nil"/>
              <w:left w:val="nil"/>
              <w:bottom w:val="nil"/>
              <w:right w:val="nil"/>
            </w:tcBorders>
            <w:shd w:val="clear" w:color="auto" w:fill="auto"/>
            <w:vAlign w:val="center"/>
            <w:hideMark/>
          </w:tcPr>
          <w:p w14:paraId="79946BD3" w14:textId="77777777" w:rsidR="00B9311E" w:rsidRPr="00BD77D8" w:rsidRDefault="00B9311E" w:rsidP="00B9311E">
            <w:pPr>
              <w:spacing w:after="0" w:line="240" w:lineRule="auto"/>
              <w:jc w:val="right"/>
              <w:rPr>
                <w:sz w:val="18"/>
                <w:szCs w:val="18"/>
              </w:rPr>
            </w:pPr>
            <w:r w:rsidRPr="00BD77D8">
              <w:rPr>
                <w:sz w:val="18"/>
                <w:szCs w:val="18"/>
              </w:rPr>
              <w:t xml:space="preserve">         1,619 </w:t>
            </w:r>
          </w:p>
        </w:tc>
        <w:tc>
          <w:tcPr>
            <w:tcW w:w="1008" w:type="dxa"/>
            <w:tcBorders>
              <w:top w:val="nil"/>
              <w:left w:val="nil"/>
              <w:bottom w:val="nil"/>
              <w:right w:val="nil"/>
            </w:tcBorders>
            <w:shd w:val="clear" w:color="auto" w:fill="auto"/>
            <w:vAlign w:val="center"/>
            <w:hideMark/>
          </w:tcPr>
          <w:p w14:paraId="4DF96547" w14:textId="77777777" w:rsidR="00B9311E" w:rsidRPr="00BD77D8" w:rsidRDefault="00B9311E" w:rsidP="00B9311E">
            <w:pPr>
              <w:spacing w:after="0" w:line="240" w:lineRule="auto"/>
              <w:jc w:val="right"/>
              <w:rPr>
                <w:sz w:val="18"/>
                <w:szCs w:val="18"/>
              </w:rPr>
            </w:pPr>
            <w:r w:rsidRPr="00BD77D8">
              <w:rPr>
                <w:sz w:val="18"/>
                <w:szCs w:val="18"/>
              </w:rPr>
              <w:t xml:space="preserve">         1,359 </w:t>
            </w:r>
          </w:p>
        </w:tc>
      </w:tr>
      <w:tr w:rsidR="00BD77D8" w:rsidRPr="00BD77D8" w14:paraId="0BC43EBE" w14:textId="77777777" w:rsidTr="003057FB">
        <w:trPr>
          <w:trHeight w:val="268"/>
        </w:trPr>
        <w:tc>
          <w:tcPr>
            <w:tcW w:w="8048" w:type="dxa"/>
            <w:tcBorders>
              <w:top w:val="nil"/>
              <w:left w:val="nil"/>
              <w:bottom w:val="nil"/>
              <w:right w:val="nil"/>
            </w:tcBorders>
            <w:shd w:val="clear" w:color="auto" w:fill="auto"/>
            <w:vAlign w:val="center"/>
            <w:hideMark/>
          </w:tcPr>
          <w:p w14:paraId="23D3408F" w14:textId="77777777" w:rsidR="00B9311E" w:rsidRPr="00BD77D8" w:rsidRDefault="00B9311E" w:rsidP="00B9311E">
            <w:pPr>
              <w:spacing w:after="0" w:line="240" w:lineRule="auto"/>
              <w:rPr>
                <w:sz w:val="18"/>
                <w:szCs w:val="18"/>
              </w:rPr>
            </w:pPr>
            <w:r w:rsidRPr="00BD77D8">
              <w:rPr>
                <w:sz w:val="18"/>
                <w:szCs w:val="18"/>
              </w:rPr>
              <w:t xml:space="preserve"> Deferred appropriation payable to Consolidated Fund </w:t>
            </w:r>
          </w:p>
        </w:tc>
        <w:tc>
          <w:tcPr>
            <w:tcW w:w="1150" w:type="dxa"/>
            <w:tcBorders>
              <w:top w:val="nil"/>
              <w:left w:val="nil"/>
              <w:bottom w:val="nil"/>
              <w:right w:val="nil"/>
            </w:tcBorders>
            <w:shd w:val="clear" w:color="auto" w:fill="auto"/>
            <w:vAlign w:val="center"/>
            <w:hideMark/>
          </w:tcPr>
          <w:p w14:paraId="7A607068" w14:textId="77777777" w:rsidR="00B9311E" w:rsidRPr="00BD77D8" w:rsidRDefault="00B9311E" w:rsidP="00B9311E">
            <w:pPr>
              <w:spacing w:after="0" w:line="240" w:lineRule="auto"/>
              <w:jc w:val="right"/>
              <w:rPr>
                <w:sz w:val="18"/>
                <w:szCs w:val="18"/>
              </w:rPr>
            </w:pPr>
            <w:r w:rsidRPr="00BD77D8">
              <w:rPr>
                <w:sz w:val="18"/>
                <w:szCs w:val="18"/>
              </w:rPr>
              <w:t xml:space="preserve">      19,836 </w:t>
            </w:r>
          </w:p>
        </w:tc>
        <w:tc>
          <w:tcPr>
            <w:tcW w:w="1008" w:type="dxa"/>
            <w:tcBorders>
              <w:top w:val="nil"/>
              <w:left w:val="nil"/>
              <w:bottom w:val="nil"/>
              <w:right w:val="nil"/>
            </w:tcBorders>
            <w:shd w:val="clear" w:color="auto" w:fill="auto"/>
            <w:vAlign w:val="center"/>
            <w:hideMark/>
          </w:tcPr>
          <w:p w14:paraId="60C54A67" w14:textId="77777777" w:rsidR="00B9311E" w:rsidRPr="00BD77D8" w:rsidRDefault="00B9311E" w:rsidP="00B9311E">
            <w:pPr>
              <w:spacing w:after="0" w:line="240" w:lineRule="auto"/>
              <w:jc w:val="right"/>
              <w:rPr>
                <w:sz w:val="18"/>
                <w:szCs w:val="18"/>
              </w:rPr>
            </w:pPr>
            <w:r w:rsidRPr="00BD77D8">
              <w:rPr>
                <w:sz w:val="18"/>
                <w:szCs w:val="18"/>
              </w:rPr>
              <w:t xml:space="preserve">       28,263 </w:t>
            </w:r>
          </w:p>
        </w:tc>
      </w:tr>
      <w:tr w:rsidR="00BD77D8" w:rsidRPr="00BD77D8" w14:paraId="1D7E009A" w14:textId="77777777" w:rsidTr="003057FB">
        <w:trPr>
          <w:trHeight w:val="268"/>
        </w:trPr>
        <w:tc>
          <w:tcPr>
            <w:tcW w:w="8048" w:type="dxa"/>
            <w:tcBorders>
              <w:top w:val="nil"/>
              <w:left w:val="nil"/>
              <w:bottom w:val="nil"/>
              <w:right w:val="nil"/>
            </w:tcBorders>
            <w:shd w:val="clear" w:color="auto" w:fill="auto"/>
            <w:vAlign w:val="center"/>
            <w:hideMark/>
          </w:tcPr>
          <w:p w14:paraId="02A7B307" w14:textId="77777777" w:rsidR="00B9311E" w:rsidRPr="00BD77D8" w:rsidRDefault="00B9311E" w:rsidP="00B9311E">
            <w:pPr>
              <w:spacing w:after="0" w:line="240" w:lineRule="auto"/>
              <w:rPr>
                <w:sz w:val="18"/>
                <w:szCs w:val="18"/>
              </w:rPr>
            </w:pPr>
            <w:r w:rsidRPr="00BD77D8">
              <w:rPr>
                <w:sz w:val="18"/>
                <w:szCs w:val="18"/>
              </w:rPr>
              <w:t xml:space="preserve"> Other </w:t>
            </w:r>
          </w:p>
        </w:tc>
        <w:tc>
          <w:tcPr>
            <w:tcW w:w="1150" w:type="dxa"/>
            <w:tcBorders>
              <w:top w:val="nil"/>
              <w:left w:val="nil"/>
              <w:bottom w:val="nil"/>
              <w:right w:val="nil"/>
            </w:tcBorders>
            <w:shd w:val="clear" w:color="auto" w:fill="auto"/>
            <w:vAlign w:val="center"/>
            <w:hideMark/>
          </w:tcPr>
          <w:p w14:paraId="768BC943" w14:textId="77777777" w:rsidR="00B9311E" w:rsidRPr="00BD77D8" w:rsidRDefault="00B9311E" w:rsidP="00B9311E">
            <w:pPr>
              <w:spacing w:after="0" w:line="240" w:lineRule="auto"/>
              <w:jc w:val="right"/>
              <w:rPr>
                <w:sz w:val="18"/>
                <w:szCs w:val="18"/>
              </w:rPr>
            </w:pPr>
            <w:r w:rsidRPr="00BD77D8">
              <w:rPr>
                <w:sz w:val="18"/>
                <w:szCs w:val="18"/>
              </w:rPr>
              <w:t xml:space="preserve">              84 </w:t>
            </w:r>
          </w:p>
        </w:tc>
        <w:tc>
          <w:tcPr>
            <w:tcW w:w="1008" w:type="dxa"/>
            <w:tcBorders>
              <w:top w:val="nil"/>
              <w:left w:val="nil"/>
              <w:bottom w:val="nil"/>
              <w:right w:val="nil"/>
            </w:tcBorders>
            <w:shd w:val="clear" w:color="auto" w:fill="auto"/>
            <w:vAlign w:val="center"/>
            <w:hideMark/>
          </w:tcPr>
          <w:p w14:paraId="6BB5189C" w14:textId="77777777" w:rsidR="00B9311E" w:rsidRPr="00BD77D8" w:rsidRDefault="00B9311E" w:rsidP="00B9311E">
            <w:pPr>
              <w:spacing w:after="0" w:line="240" w:lineRule="auto"/>
              <w:jc w:val="right"/>
              <w:rPr>
                <w:sz w:val="18"/>
                <w:szCs w:val="18"/>
              </w:rPr>
            </w:pPr>
            <w:r w:rsidRPr="00BD77D8">
              <w:rPr>
                <w:sz w:val="18"/>
                <w:szCs w:val="18"/>
              </w:rPr>
              <w:t xml:space="preserve">            230 </w:t>
            </w:r>
          </w:p>
        </w:tc>
      </w:tr>
      <w:tr w:rsidR="00BD77D8" w:rsidRPr="00BD77D8" w14:paraId="1C047A4C" w14:textId="77777777" w:rsidTr="003057FB">
        <w:trPr>
          <w:trHeight w:val="268"/>
        </w:trPr>
        <w:tc>
          <w:tcPr>
            <w:tcW w:w="8048" w:type="dxa"/>
            <w:tcBorders>
              <w:top w:val="nil"/>
              <w:left w:val="nil"/>
              <w:bottom w:val="nil"/>
              <w:right w:val="nil"/>
            </w:tcBorders>
            <w:shd w:val="clear" w:color="auto" w:fill="auto"/>
            <w:vAlign w:val="center"/>
            <w:hideMark/>
          </w:tcPr>
          <w:p w14:paraId="05E9C507"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50" w:type="dxa"/>
            <w:tcBorders>
              <w:top w:val="single" w:sz="4" w:space="0" w:color="auto"/>
              <w:left w:val="nil"/>
              <w:bottom w:val="single" w:sz="4" w:space="0" w:color="auto"/>
              <w:right w:val="nil"/>
            </w:tcBorders>
            <w:shd w:val="clear" w:color="auto" w:fill="auto"/>
            <w:vAlign w:val="center"/>
            <w:hideMark/>
          </w:tcPr>
          <w:p w14:paraId="7438500B" w14:textId="77777777" w:rsidR="00B9311E" w:rsidRPr="00BD77D8" w:rsidRDefault="00B9311E" w:rsidP="00B9311E">
            <w:pPr>
              <w:spacing w:after="0" w:line="240" w:lineRule="auto"/>
              <w:jc w:val="right"/>
              <w:rPr>
                <w:b/>
                <w:bCs/>
                <w:sz w:val="18"/>
                <w:szCs w:val="18"/>
              </w:rPr>
            </w:pPr>
            <w:r w:rsidRPr="00BD77D8">
              <w:rPr>
                <w:b/>
                <w:bCs/>
                <w:sz w:val="18"/>
                <w:szCs w:val="18"/>
              </w:rPr>
              <w:t xml:space="preserve">      26,482 </w:t>
            </w:r>
          </w:p>
        </w:tc>
        <w:tc>
          <w:tcPr>
            <w:tcW w:w="1008" w:type="dxa"/>
            <w:tcBorders>
              <w:top w:val="single" w:sz="4" w:space="0" w:color="auto"/>
              <w:left w:val="nil"/>
              <w:bottom w:val="single" w:sz="4" w:space="0" w:color="auto"/>
              <w:right w:val="nil"/>
            </w:tcBorders>
            <w:shd w:val="clear" w:color="auto" w:fill="auto"/>
            <w:vAlign w:val="center"/>
            <w:hideMark/>
          </w:tcPr>
          <w:p w14:paraId="2F63A02C" w14:textId="77777777" w:rsidR="00B9311E" w:rsidRPr="00BD77D8" w:rsidRDefault="00B9311E" w:rsidP="00B9311E">
            <w:pPr>
              <w:spacing w:after="0" w:line="240" w:lineRule="auto"/>
              <w:jc w:val="right"/>
              <w:rPr>
                <w:b/>
                <w:bCs/>
                <w:sz w:val="18"/>
                <w:szCs w:val="18"/>
              </w:rPr>
            </w:pPr>
            <w:r w:rsidRPr="00BD77D8">
              <w:rPr>
                <w:b/>
                <w:bCs/>
                <w:sz w:val="18"/>
                <w:szCs w:val="18"/>
              </w:rPr>
              <w:t xml:space="preserve">       37,926 </w:t>
            </w:r>
          </w:p>
        </w:tc>
      </w:tr>
    </w:tbl>
    <w:p w14:paraId="5E22F0DF" w14:textId="77777777" w:rsidR="00B9311E" w:rsidRPr="00BD77D8" w:rsidRDefault="00B9311E" w:rsidP="006226A9">
      <w:pPr>
        <w:spacing w:before="200" w:line="206" w:lineRule="exact"/>
        <w:ind w:right="289"/>
        <w:textAlignment w:val="baseline"/>
        <w:rPr>
          <w:rFonts w:eastAsia="Arial"/>
          <w:b/>
          <w:bCs/>
          <w:spacing w:val="-1"/>
          <w:sz w:val="18"/>
          <w:szCs w:val="18"/>
          <w:lang w:eastAsia="en-US"/>
        </w:rPr>
      </w:pPr>
      <w:r w:rsidRPr="00BD77D8">
        <w:rPr>
          <w:rFonts w:eastAsia="Arial"/>
          <w:b/>
          <w:bCs/>
          <w:spacing w:val="-1"/>
          <w:sz w:val="18"/>
          <w:szCs w:val="18"/>
          <w:lang w:eastAsia="en-US"/>
        </w:rPr>
        <w:t>Accounting policy – Payables</w:t>
      </w:r>
    </w:p>
    <w:p w14:paraId="2155F6F8" w14:textId="77777777" w:rsidR="00B9311E" w:rsidRPr="00BD77D8" w:rsidRDefault="00B9311E" w:rsidP="006226A9">
      <w:pPr>
        <w:spacing w:line="206" w:lineRule="exact"/>
        <w:ind w:right="288"/>
        <w:textAlignment w:val="baseline"/>
        <w:rPr>
          <w:rFonts w:eastAsia="Arial"/>
          <w:b/>
          <w:spacing w:val="-1"/>
          <w:sz w:val="18"/>
          <w:szCs w:val="18"/>
          <w:lang w:eastAsia="en-US"/>
        </w:rPr>
      </w:pPr>
      <w:r w:rsidRPr="00BD77D8">
        <w:rPr>
          <w:rFonts w:eastAsia="Arial"/>
          <w:spacing w:val="-1"/>
          <w:sz w:val="18"/>
          <w:szCs w:val="18"/>
          <w:lang w:eastAsia="en-US"/>
        </w:rPr>
        <w:t>Trade creditors are recognised upon receipt of the goods or services ordered and are measured at the agreed purchase or contract price, gross of applicable trade and other discounts. Amounts owing are unsecured.</w:t>
      </w:r>
    </w:p>
    <w:p w14:paraId="113E154C" w14:textId="77777777" w:rsidR="00B9311E" w:rsidRPr="00BD77D8" w:rsidRDefault="00B9311E" w:rsidP="006226A9">
      <w:pPr>
        <w:spacing w:line="200" w:lineRule="exact"/>
        <w:textAlignment w:val="baseline"/>
        <w:rPr>
          <w:rFonts w:eastAsia="Arial"/>
          <w:b/>
          <w:bCs/>
          <w:sz w:val="18"/>
          <w:szCs w:val="18"/>
          <w:lang w:eastAsia="en-US"/>
        </w:rPr>
      </w:pPr>
      <w:r w:rsidRPr="00BD77D8">
        <w:rPr>
          <w:rFonts w:eastAsia="Arial"/>
          <w:b/>
          <w:bCs/>
          <w:sz w:val="18"/>
          <w:szCs w:val="18"/>
          <w:lang w:eastAsia="en-US"/>
        </w:rPr>
        <w:t>Disclosure - COVID-19 pandemic impact</w:t>
      </w:r>
    </w:p>
    <w:p w14:paraId="146248A9" w14:textId="77777777" w:rsidR="00B9311E" w:rsidRPr="00BD77D8" w:rsidRDefault="00B9311E" w:rsidP="006226A9">
      <w:pPr>
        <w:spacing w:line="208" w:lineRule="exact"/>
        <w:textAlignment w:val="baseline"/>
        <w:rPr>
          <w:rFonts w:eastAsia="Arial"/>
          <w:b/>
          <w:sz w:val="18"/>
          <w:szCs w:val="18"/>
          <w:lang w:eastAsia="en-US"/>
        </w:rPr>
      </w:pPr>
      <w:r w:rsidRPr="00BD77D8">
        <w:rPr>
          <w:rFonts w:eastAsia="Arial"/>
          <w:sz w:val="18"/>
          <w:szCs w:val="18"/>
          <w:lang w:eastAsia="en-US"/>
        </w:rPr>
        <w:t>In response to COVID-19 the State Government announced a new payment policy to assist suppliers with the financial impact of the pandemic. The department now pays suppliers as soon as possible after the goods or services are received and following receipt of a tax invoice. There is no cash risk to the department. The department continues to monitor the financial viability of major non-government suppliers annually to identify risks to provision of government services.</w:t>
      </w:r>
    </w:p>
    <w:p w14:paraId="68B00A97" w14:textId="77777777" w:rsidR="00B9311E" w:rsidRPr="00BD77D8" w:rsidRDefault="00B9311E" w:rsidP="009D387F">
      <w:pPr>
        <w:rPr>
          <w:rFonts w:ascii="Calibri Light" w:hAnsi="Calibri Light" w:cs="Times New Roman"/>
          <w:b/>
          <w:bCs/>
          <w:sz w:val="22"/>
          <w:szCs w:val="22"/>
          <w:lang w:val="en-US" w:eastAsia="en-US"/>
        </w:rPr>
      </w:pPr>
      <w:bookmarkStart w:id="523" w:name="_Toc111494814"/>
      <w:bookmarkStart w:id="524" w:name="_Toc111540686"/>
      <w:bookmarkStart w:id="525" w:name="_Toc111559249"/>
      <w:bookmarkStart w:id="526" w:name="_Toc113196521"/>
      <w:bookmarkStart w:id="527" w:name="_Toc113196869"/>
      <w:bookmarkStart w:id="528" w:name="_Toc113261999"/>
      <w:bookmarkStart w:id="529" w:name="_Toc113349153"/>
      <w:bookmarkStart w:id="530" w:name="_Toc113358078"/>
      <w:r w:rsidRPr="00BD77D8">
        <w:rPr>
          <w:rFonts w:eastAsia="Arial"/>
          <w:b/>
          <w:bCs/>
          <w:sz w:val="22"/>
          <w:szCs w:val="22"/>
          <w:lang w:eastAsia="en-US"/>
        </w:rPr>
        <w:t>C7 Accrued Employee Benefits</w:t>
      </w:r>
      <w:bookmarkEnd w:id="523"/>
      <w:bookmarkEnd w:id="524"/>
      <w:bookmarkEnd w:id="525"/>
      <w:bookmarkEnd w:id="526"/>
      <w:bookmarkEnd w:id="527"/>
      <w:bookmarkEnd w:id="528"/>
      <w:bookmarkEnd w:id="529"/>
      <w:bookmarkEnd w:id="530"/>
    </w:p>
    <w:tbl>
      <w:tblPr>
        <w:tblW w:w="10206" w:type="dxa"/>
        <w:tblCellMar>
          <w:left w:w="0" w:type="dxa"/>
          <w:right w:w="0" w:type="dxa"/>
        </w:tblCellMar>
        <w:tblLook w:val="04A0" w:firstRow="1" w:lastRow="0" w:firstColumn="1" w:lastColumn="0" w:noHBand="0" w:noVBand="1"/>
      </w:tblPr>
      <w:tblGrid>
        <w:gridCol w:w="8016"/>
        <w:gridCol w:w="1166"/>
        <w:gridCol w:w="1024"/>
      </w:tblGrid>
      <w:tr w:rsidR="00BD77D8" w:rsidRPr="00BD77D8" w14:paraId="231C2274" w14:textId="77777777" w:rsidTr="003057FB">
        <w:trPr>
          <w:trHeight w:val="267"/>
        </w:trPr>
        <w:tc>
          <w:tcPr>
            <w:tcW w:w="8048" w:type="dxa"/>
            <w:vMerge w:val="restart"/>
            <w:tcBorders>
              <w:top w:val="nil"/>
              <w:left w:val="nil"/>
              <w:bottom w:val="nil"/>
              <w:right w:val="nil"/>
            </w:tcBorders>
            <w:shd w:val="clear" w:color="auto" w:fill="auto"/>
            <w:vAlign w:val="center"/>
            <w:hideMark/>
          </w:tcPr>
          <w:p w14:paraId="44933712" w14:textId="77777777" w:rsidR="00B9311E" w:rsidRPr="00BD77D8" w:rsidRDefault="00B9311E" w:rsidP="00B9311E">
            <w:pPr>
              <w:spacing w:after="0" w:line="240" w:lineRule="auto"/>
              <w:rPr>
                <w:rFonts w:ascii="Times New Roman" w:hAnsi="Times New Roman" w:cs="Times New Roman"/>
                <w:sz w:val="24"/>
                <w:szCs w:val="24"/>
              </w:rPr>
            </w:pPr>
          </w:p>
        </w:tc>
        <w:tc>
          <w:tcPr>
            <w:tcW w:w="1150" w:type="dxa"/>
            <w:tcBorders>
              <w:top w:val="nil"/>
              <w:left w:val="nil"/>
              <w:bottom w:val="nil"/>
              <w:right w:val="nil"/>
            </w:tcBorders>
            <w:shd w:val="clear" w:color="auto" w:fill="auto"/>
            <w:noWrap/>
            <w:vAlign w:val="bottom"/>
            <w:hideMark/>
          </w:tcPr>
          <w:p w14:paraId="5EB47CD0"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08" w:type="dxa"/>
            <w:tcBorders>
              <w:top w:val="nil"/>
              <w:left w:val="nil"/>
              <w:bottom w:val="nil"/>
              <w:right w:val="nil"/>
            </w:tcBorders>
            <w:shd w:val="clear" w:color="auto" w:fill="auto"/>
            <w:noWrap/>
            <w:vAlign w:val="bottom"/>
            <w:hideMark/>
          </w:tcPr>
          <w:p w14:paraId="4D251825"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706A3AF0" w14:textId="77777777" w:rsidTr="003057FB">
        <w:trPr>
          <w:trHeight w:val="267"/>
        </w:trPr>
        <w:tc>
          <w:tcPr>
            <w:tcW w:w="8048" w:type="dxa"/>
            <w:vMerge/>
            <w:tcBorders>
              <w:top w:val="nil"/>
              <w:left w:val="nil"/>
              <w:bottom w:val="nil"/>
              <w:right w:val="nil"/>
            </w:tcBorders>
            <w:vAlign w:val="center"/>
            <w:hideMark/>
          </w:tcPr>
          <w:p w14:paraId="09627BE9" w14:textId="77777777" w:rsidR="00B9311E" w:rsidRPr="00BD77D8" w:rsidRDefault="00B9311E" w:rsidP="00B9311E">
            <w:pPr>
              <w:spacing w:after="0" w:line="240" w:lineRule="auto"/>
              <w:rPr>
                <w:rFonts w:ascii="Times New Roman" w:hAnsi="Times New Roman" w:cs="Times New Roman"/>
                <w:sz w:val="24"/>
                <w:szCs w:val="24"/>
              </w:rPr>
            </w:pPr>
          </w:p>
        </w:tc>
        <w:tc>
          <w:tcPr>
            <w:tcW w:w="1150" w:type="dxa"/>
            <w:tcBorders>
              <w:top w:val="nil"/>
              <w:left w:val="nil"/>
              <w:bottom w:val="single" w:sz="4" w:space="0" w:color="auto"/>
              <w:right w:val="nil"/>
            </w:tcBorders>
            <w:shd w:val="clear" w:color="auto" w:fill="auto"/>
            <w:vAlign w:val="center"/>
            <w:hideMark/>
          </w:tcPr>
          <w:p w14:paraId="22383CD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08" w:type="dxa"/>
            <w:tcBorders>
              <w:top w:val="nil"/>
              <w:left w:val="nil"/>
              <w:bottom w:val="single" w:sz="4" w:space="0" w:color="auto"/>
              <w:right w:val="nil"/>
            </w:tcBorders>
            <w:shd w:val="clear" w:color="auto" w:fill="auto"/>
            <w:vAlign w:val="center"/>
            <w:hideMark/>
          </w:tcPr>
          <w:p w14:paraId="6283ABF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20C648A6" w14:textId="77777777" w:rsidTr="003057FB">
        <w:trPr>
          <w:trHeight w:val="267"/>
        </w:trPr>
        <w:tc>
          <w:tcPr>
            <w:tcW w:w="8048" w:type="dxa"/>
            <w:tcBorders>
              <w:top w:val="nil"/>
              <w:left w:val="nil"/>
              <w:bottom w:val="nil"/>
              <w:right w:val="nil"/>
            </w:tcBorders>
            <w:shd w:val="clear" w:color="auto" w:fill="auto"/>
            <w:vAlign w:val="center"/>
            <w:hideMark/>
          </w:tcPr>
          <w:p w14:paraId="3663F935" w14:textId="77777777" w:rsidR="00B9311E" w:rsidRPr="00BD77D8" w:rsidRDefault="00B9311E" w:rsidP="00B9311E">
            <w:pPr>
              <w:spacing w:after="0" w:line="240" w:lineRule="auto"/>
              <w:rPr>
                <w:sz w:val="18"/>
                <w:szCs w:val="18"/>
              </w:rPr>
            </w:pPr>
            <w:r w:rsidRPr="00BD77D8">
              <w:rPr>
                <w:sz w:val="18"/>
                <w:szCs w:val="18"/>
              </w:rPr>
              <w:t xml:space="preserve"> Salaries and wages payable </w:t>
            </w:r>
          </w:p>
        </w:tc>
        <w:tc>
          <w:tcPr>
            <w:tcW w:w="1150" w:type="dxa"/>
            <w:tcBorders>
              <w:top w:val="nil"/>
              <w:left w:val="nil"/>
              <w:bottom w:val="nil"/>
              <w:right w:val="nil"/>
            </w:tcBorders>
            <w:shd w:val="clear" w:color="auto" w:fill="auto"/>
            <w:vAlign w:val="center"/>
            <w:hideMark/>
          </w:tcPr>
          <w:p w14:paraId="345C2F03" w14:textId="77777777" w:rsidR="00B9311E" w:rsidRPr="00BD77D8" w:rsidRDefault="00B9311E" w:rsidP="00B9311E">
            <w:pPr>
              <w:spacing w:after="0" w:line="240" w:lineRule="auto"/>
              <w:jc w:val="right"/>
              <w:rPr>
                <w:sz w:val="18"/>
                <w:szCs w:val="18"/>
              </w:rPr>
            </w:pPr>
            <w:r w:rsidRPr="00BD77D8">
              <w:rPr>
                <w:sz w:val="18"/>
                <w:szCs w:val="18"/>
              </w:rPr>
              <w:t xml:space="preserve">     3,160 </w:t>
            </w:r>
          </w:p>
        </w:tc>
        <w:tc>
          <w:tcPr>
            <w:tcW w:w="1008" w:type="dxa"/>
            <w:tcBorders>
              <w:top w:val="nil"/>
              <w:left w:val="nil"/>
              <w:bottom w:val="nil"/>
              <w:right w:val="nil"/>
            </w:tcBorders>
            <w:shd w:val="clear" w:color="auto" w:fill="auto"/>
            <w:vAlign w:val="center"/>
            <w:hideMark/>
          </w:tcPr>
          <w:p w14:paraId="4F8447E0" w14:textId="77777777" w:rsidR="00B9311E" w:rsidRPr="00BD77D8" w:rsidRDefault="00B9311E" w:rsidP="00B9311E">
            <w:pPr>
              <w:spacing w:after="0" w:line="240" w:lineRule="auto"/>
              <w:jc w:val="right"/>
              <w:rPr>
                <w:sz w:val="18"/>
                <w:szCs w:val="18"/>
              </w:rPr>
            </w:pPr>
            <w:r w:rsidRPr="00BD77D8">
              <w:rPr>
                <w:sz w:val="18"/>
                <w:szCs w:val="18"/>
              </w:rPr>
              <w:t xml:space="preserve">       2,943 </w:t>
            </w:r>
          </w:p>
        </w:tc>
      </w:tr>
      <w:tr w:rsidR="00BD77D8" w:rsidRPr="00BD77D8" w14:paraId="0AE8873F" w14:textId="77777777" w:rsidTr="003057FB">
        <w:trPr>
          <w:trHeight w:val="267"/>
        </w:trPr>
        <w:tc>
          <w:tcPr>
            <w:tcW w:w="8048" w:type="dxa"/>
            <w:tcBorders>
              <w:top w:val="nil"/>
              <w:left w:val="nil"/>
              <w:bottom w:val="nil"/>
              <w:right w:val="nil"/>
            </w:tcBorders>
            <w:shd w:val="clear" w:color="auto" w:fill="auto"/>
            <w:vAlign w:val="center"/>
            <w:hideMark/>
          </w:tcPr>
          <w:p w14:paraId="71DDCDD6" w14:textId="77777777" w:rsidR="00B9311E" w:rsidRPr="00BD77D8" w:rsidRDefault="00B9311E" w:rsidP="00B9311E">
            <w:pPr>
              <w:spacing w:after="0" w:line="240" w:lineRule="auto"/>
              <w:rPr>
                <w:sz w:val="18"/>
                <w:szCs w:val="18"/>
              </w:rPr>
            </w:pPr>
            <w:r w:rsidRPr="00BD77D8">
              <w:rPr>
                <w:sz w:val="18"/>
                <w:szCs w:val="18"/>
              </w:rPr>
              <w:t xml:space="preserve"> Annual leave levy payable </w:t>
            </w:r>
          </w:p>
        </w:tc>
        <w:tc>
          <w:tcPr>
            <w:tcW w:w="1150" w:type="dxa"/>
            <w:tcBorders>
              <w:top w:val="nil"/>
              <w:left w:val="nil"/>
              <w:bottom w:val="nil"/>
              <w:right w:val="nil"/>
            </w:tcBorders>
            <w:shd w:val="clear" w:color="auto" w:fill="auto"/>
            <w:vAlign w:val="center"/>
            <w:hideMark/>
          </w:tcPr>
          <w:p w14:paraId="652E7A29" w14:textId="77777777" w:rsidR="00B9311E" w:rsidRPr="00BD77D8" w:rsidRDefault="00B9311E" w:rsidP="00B9311E">
            <w:pPr>
              <w:spacing w:after="0" w:line="240" w:lineRule="auto"/>
              <w:jc w:val="right"/>
              <w:rPr>
                <w:sz w:val="18"/>
                <w:szCs w:val="18"/>
              </w:rPr>
            </w:pPr>
            <w:r w:rsidRPr="00BD77D8">
              <w:rPr>
                <w:sz w:val="18"/>
                <w:szCs w:val="18"/>
              </w:rPr>
              <w:t xml:space="preserve">     4,862 </w:t>
            </w:r>
          </w:p>
        </w:tc>
        <w:tc>
          <w:tcPr>
            <w:tcW w:w="1008" w:type="dxa"/>
            <w:tcBorders>
              <w:top w:val="nil"/>
              <w:left w:val="nil"/>
              <w:bottom w:val="nil"/>
              <w:right w:val="nil"/>
            </w:tcBorders>
            <w:shd w:val="clear" w:color="auto" w:fill="auto"/>
            <w:vAlign w:val="center"/>
            <w:hideMark/>
          </w:tcPr>
          <w:p w14:paraId="431154A1" w14:textId="77777777" w:rsidR="00B9311E" w:rsidRPr="00BD77D8" w:rsidRDefault="00B9311E" w:rsidP="00B9311E">
            <w:pPr>
              <w:spacing w:after="0" w:line="240" w:lineRule="auto"/>
              <w:jc w:val="right"/>
              <w:rPr>
                <w:sz w:val="18"/>
                <w:szCs w:val="18"/>
              </w:rPr>
            </w:pPr>
            <w:r w:rsidRPr="00BD77D8">
              <w:rPr>
                <w:sz w:val="18"/>
                <w:szCs w:val="18"/>
              </w:rPr>
              <w:t xml:space="preserve">       4,759 </w:t>
            </w:r>
          </w:p>
        </w:tc>
      </w:tr>
      <w:tr w:rsidR="00BD77D8" w:rsidRPr="00BD77D8" w14:paraId="7C3B5A2F" w14:textId="77777777" w:rsidTr="003057FB">
        <w:trPr>
          <w:trHeight w:val="267"/>
        </w:trPr>
        <w:tc>
          <w:tcPr>
            <w:tcW w:w="8048" w:type="dxa"/>
            <w:tcBorders>
              <w:top w:val="nil"/>
              <w:left w:val="nil"/>
              <w:bottom w:val="nil"/>
              <w:right w:val="nil"/>
            </w:tcBorders>
            <w:shd w:val="clear" w:color="auto" w:fill="auto"/>
            <w:vAlign w:val="center"/>
            <w:hideMark/>
          </w:tcPr>
          <w:p w14:paraId="15993ECD" w14:textId="77777777" w:rsidR="00B9311E" w:rsidRPr="00BD77D8" w:rsidRDefault="00B9311E" w:rsidP="00B9311E">
            <w:pPr>
              <w:spacing w:after="0" w:line="240" w:lineRule="auto"/>
              <w:rPr>
                <w:sz w:val="18"/>
                <w:szCs w:val="18"/>
              </w:rPr>
            </w:pPr>
            <w:r w:rsidRPr="00BD77D8">
              <w:rPr>
                <w:sz w:val="18"/>
                <w:szCs w:val="18"/>
              </w:rPr>
              <w:t xml:space="preserve"> Long service leave levy payable </w:t>
            </w:r>
          </w:p>
        </w:tc>
        <w:tc>
          <w:tcPr>
            <w:tcW w:w="1150" w:type="dxa"/>
            <w:tcBorders>
              <w:top w:val="nil"/>
              <w:left w:val="nil"/>
              <w:bottom w:val="nil"/>
              <w:right w:val="nil"/>
            </w:tcBorders>
            <w:shd w:val="clear" w:color="auto" w:fill="auto"/>
            <w:vAlign w:val="center"/>
            <w:hideMark/>
          </w:tcPr>
          <w:p w14:paraId="330AF9D1" w14:textId="77777777" w:rsidR="00B9311E" w:rsidRPr="00BD77D8" w:rsidRDefault="00B9311E" w:rsidP="00B9311E">
            <w:pPr>
              <w:spacing w:after="0" w:line="240" w:lineRule="auto"/>
              <w:jc w:val="right"/>
              <w:rPr>
                <w:sz w:val="18"/>
                <w:szCs w:val="18"/>
              </w:rPr>
            </w:pPr>
            <w:r w:rsidRPr="00BD77D8">
              <w:rPr>
                <w:sz w:val="18"/>
                <w:szCs w:val="18"/>
              </w:rPr>
              <w:t xml:space="preserve">     1,239 </w:t>
            </w:r>
          </w:p>
        </w:tc>
        <w:tc>
          <w:tcPr>
            <w:tcW w:w="1008" w:type="dxa"/>
            <w:tcBorders>
              <w:top w:val="nil"/>
              <w:left w:val="nil"/>
              <w:bottom w:val="nil"/>
              <w:right w:val="nil"/>
            </w:tcBorders>
            <w:shd w:val="clear" w:color="auto" w:fill="auto"/>
            <w:vAlign w:val="center"/>
            <w:hideMark/>
          </w:tcPr>
          <w:p w14:paraId="471E9B5F" w14:textId="77777777" w:rsidR="00B9311E" w:rsidRPr="00BD77D8" w:rsidRDefault="00B9311E" w:rsidP="00B9311E">
            <w:pPr>
              <w:spacing w:after="0" w:line="240" w:lineRule="auto"/>
              <w:jc w:val="right"/>
              <w:rPr>
                <w:sz w:val="18"/>
                <w:szCs w:val="18"/>
              </w:rPr>
            </w:pPr>
            <w:r w:rsidRPr="00BD77D8">
              <w:rPr>
                <w:sz w:val="18"/>
                <w:szCs w:val="18"/>
              </w:rPr>
              <w:t xml:space="preserve">       1,109 </w:t>
            </w:r>
          </w:p>
        </w:tc>
      </w:tr>
      <w:tr w:rsidR="00BD77D8" w:rsidRPr="00BD77D8" w14:paraId="4D825316" w14:textId="77777777" w:rsidTr="003057FB">
        <w:trPr>
          <w:trHeight w:val="267"/>
        </w:trPr>
        <w:tc>
          <w:tcPr>
            <w:tcW w:w="8048" w:type="dxa"/>
            <w:tcBorders>
              <w:top w:val="nil"/>
              <w:left w:val="nil"/>
              <w:bottom w:val="nil"/>
              <w:right w:val="nil"/>
            </w:tcBorders>
            <w:shd w:val="clear" w:color="auto" w:fill="auto"/>
            <w:vAlign w:val="center"/>
            <w:hideMark/>
          </w:tcPr>
          <w:p w14:paraId="0BFFB2A4"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50" w:type="dxa"/>
            <w:tcBorders>
              <w:top w:val="single" w:sz="4" w:space="0" w:color="auto"/>
              <w:left w:val="nil"/>
              <w:bottom w:val="single" w:sz="4" w:space="0" w:color="auto"/>
              <w:right w:val="nil"/>
            </w:tcBorders>
            <w:shd w:val="clear" w:color="auto" w:fill="auto"/>
            <w:vAlign w:val="center"/>
            <w:hideMark/>
          </w:tcPr>
          <w:p w14:paraId="6B74F0E7" w14:textId="77777777" w:rsidR="00B9311E" w:rsidRPr="00BD77D8" w:rsidRDefault="00B9311E" w:rsidP="00B9311E">
            <w:pPr>
              <w:spacing w:after="0" w:line="240" w:lineRule="auto"/>
              <w:jc w:val="right"/>
              <w:rPr>
                <w:b/>
                <w:bCs/>
                <w:sz w:val="18"/>
                <w:szCs w:val="18"/>
              </w:rPr>
            </w:pPr>
            <w:r w:rsidRPr="00BD77D8">
              <w:rPr>
                <w:b/>
                <w:bCs/>
                <w:sz w:val="18"/>
                <w:szCs w:val="18"/>
              </w:rPr>
              <w:t xml:space="preserve">     9,261 </w:t>
            </w:r>
          </w:p>
        </w:tc>
        <w:tc>
          <w:tcPr>
            <w:tcW w:w="1008" w:type="dxa"/>
            <w:tcBorders>
              <w:top w:val="single" w:sz="4" w:space="0" w:color="auto"/>
              <w:left w:val="nil"/>
              <w:bottom w:val="single" w:sz="4" w:space="0" w:color="auto"/>
              <w:right w:val="nil"/>
            </w:tcBorders>
            <w:shd w:val="clear" w:color="auto" w:fill="auto"/>
            <w:vAlign w:val="center"/>
            <w:hideMark/>
          </w:tcPr>
          <w:p w14:paraId="004AB805" w14:textId="77777777" w:rsidR="00B9311E" w:rsidRPr="00BD77D8" w:rsidRDefault="00B9311E" w:rsidP="00B9311E">
            <w:pPr>
              <w:spacing w:after="0" w:line="240" w:lineRule="auto"/>
              <w:jc w:val="right"/>
              <w:rPr>
                <w:b/>
                <w:bCs/>
                <w:sz w:val="18"/>
                <w:szCs w:val="18"/>
              </w:rPr>
            </w:pPr>
            <w:r w:rsidRPr="00BD77D8">
              <w:rPr>
                <w:b/>
                <w:bCs/>
                <w:sz w:val="18"/>
                <w:szCs w:val="18"/>
              </w:rPr>
              <w:t xml:space="preserve">       8,811 </w:t>
            </w:r>
          </w:p>
        </w:tc>
      </w:tr>
    </w:tbl>
    <w:p w14:paraId="1084C853" w14:textId="77777777" w:rsidR="00B9311E" w:rsidRPr="00BD77D8" w:rsidRDefault="00B9311E" w:rsidP="006226A9">
      <w:pPr>
        <w:spacing w:before="360" w:line="180" w:lineRule="atLeast"/>
        <w:textAlignment w:val="baseline"/>
        <w:rPr>
          <w:rFonts w:eastAsia="Arial"/>
          <w:b/>
          <w:bCs/>
          <w:sz w:val="18"/>
          <w:szCs w:val="18"/>
          <w:lang w:eastAsia="en-US"/>
        </w:rPr>
      </w:pPr>
      <w:r w:rsidRPr="00BD77D8">
        <w:rPr>
          <w:rFonts w:eastAsia="Arial"/>
          <w:b/>
          <w:bCs/>
          <w:sz w:val="18"/>
          <w:szCs w:val="18"/>
          <w:lang w:eastAsia="en-US"/>
        </w:rPr>
        <w:t>Accounting policy - Accrued Employee Benefits</w:t>
      </w:r>
    </w:p>
    <w:p w14:paraId="690812A3" w14:textId="77777777" w:rsidR="00B9311E" w:rsidRPr="00BD77D8" w:rsidRDefault="00B9311E" w:rsidP="00B9311E">
      <w:pPr>
        <w:spacing w:after="0" w:line="180" w:lineRule="atLeast"/>
        <w:ind w:right="72"/>
        <w:textAlignment w:val="baseline"/>
        <w:rPr>
          <w:rFonts w:eastAsia="Arial"/>
          <w:b/>
          <w:sz w:val="18"/>
          <w:szCs w:val="18"/>
          <w:lang w:eastAsia="en-US"/>
        </w:rPr>
      </w:pPr>
      <w:r w:rsidRPr="00BD77D8">
        <w:rPr>
          <w:rFonts w:eastAsia="Arial"/>
          <w:sz w:val="18"/>
          <w:szCs w:val="18"/>
          <w:lang w:eastAsia="en-US"/>
        </w:rPr>
        <w:t xml:space="preserve">No provision for annual leave or long service leave is recognised in the department's financial statements as the liability is held </w:t>
      </w:r>
    </w:p>
    <w:p w14:paraId="75BFE97A" w14:textId="77777777" w:rsidR="00B9311E" w:rsidRPr="00BD77D8" w:rsidRDefault="00B9311E" w:rsidP="00B9311E">
      <w:pPr>
        <w:spacing w:after="0" w:line="180" w:lineRule="atLeast"/>
        <w:ind w:right="72"/>
        <w:textAlignment w:val="baseline"/>
        <w:rPr>
          <w:rFonts w:eastAsia="Arial"/>
          <w:b/>
          <w:i/>
          <w:iCs/>
          <w:sz w:val="18"/>
          <w:szCs w:val="18"/>
          <w:lang w:eastAsia="en-US"/>
        </w:rPr>
      </w:pPr>
      <w:r w:rsidRPr="00BD77D8">
        <w:rPr>
          <w:rFonts w:eastAsia="Arial"/>
          <w:sz w:val="18"/>
          <w:szCs w:val="18"/>
          <w:lang w:eastAsia="en-US"/>
        </w:rPr>
        <w:t xml:space="preserve">on a whole-of-government basis and reported in those financial statements pursuant to AASB 1049 </w:t>
      </w:r>
      <w:r w:rsidRPr="00BD77D8">
        <w:rPr>
          <w:rFonts w:eastAsia="Arial"/>
          <w:i/>
          <w:iCs/>
          <w:sz w:val="18"/>
          <w:szCs w:val="18"/>
          <w:lang w:eastAsia="en-US"/>
        </w:rPr>
        <w:t xml:space="preserve">Whole of Government and </w:t>
      </w:r>
    </w:p>
    <w:p w14:paraId="5E6CED99" w14:textId="77777777" w:rsidR="00B9311E" w:rsidRPr="00BD77D8" w:rsidRDefault="00B9311E" w:rsidP="006226A9">
      <w:pPr>
        <w:spacing w:line="180" w:lineRule="atLeast"/>
        <w:ind w:right="72"/>
        <w:textAlignment w:val="baseline"/>
        <w:rPr>
          <w:rFonts w:eastAsia="Arial"/>
          <w:b/>
          <w:i/>
          <w:iCs/>
          <w:sz w:val="18"/>
          <w:szCs w:val="18"/>
          <w:lang w:eastAsia="en-US"/>
        </w:rPr>
      </w:pPr>
      <w:r w:rsidRPr="00BD77D8">
        <w:rPr>
          <w:rFonts w:eastAsia="Arial"/>
          <w:i/>
          <w:iCs/>
          <w:sz w:val="18"/>
          <w:szCs w:val="18"/>
          <w:lang w:eastAsia="en-US"/>
        </w:rPr>
        <w:t>General Government Sector Financial Reporting.</w:t>
      </w:r>
    </w:p>
    <w:p w14:paraId="27F762FA" w14:textId="77777777" w:rsidR="00B9311E" w:rsidRPr="00BD77D8" w:rsidRDefault="00B9311E" w:rsidP="009D387F">
      <w:pPr>
        <w:rPr>
          <w:rFonts w:eastAsia="Arial"/>
          <w:b/>
          <w:bCs/>
          <w:sz w:val="22"/>
          <w:szCs w:val="22"/>
          <w:lang w:eastAsia="en-US"/>
        </w:rPr>
      </w:pPr>
      <w:bookmarkStart w:id="531" w:name="_Toc111494815"/>
      <w:bookmarkStart w:id="532" w:name="_Toc111540687"/>
      <w:bookmarkStart w:id="533" w:name="_Toc111559250"/>
      <w:bookmarkStart w:id="534" w:name="_Toc113196522"/>
      <w:bookmarkStart w:id="535" w:name="_Toc113196870"/>
      <w:bookmarkStart w:id="536" w:name="_Toc113262000"/>
      <w:bookmarkStart w:id="537" w:name="_Toc113349154"/>
      <w:bookmarkStart w:id="538" w:name="_Toc113358079"/>
      <w:r w:rsidRPr="00BD77D8">
        <w:rPr>
          <w:rFonts w:eastAsia="Arial"/>
          <w:b/>
          <w:bCs/>
          <w:sz w:val="22"/>
          <w:szCs w:val="22"/>
          <w:lang w:eastAsia="en-US"/>
        </w:rPr>
        <w:t>C8 Equity</w:t>
      </w:r>
      <w:bookmarkEnd w:id="531"/>
      <w:bookmarkEnd w:id="532"/>
      <w:bookmarkEnd w:id="533"/>
      <w:bookmarkEnd w:id="534"/>
      <w:bookmarkEnd w:id="535"/>
      <w:bookmarkEnd w:id="536"/>
      <w:bookmarkEnd w:id="537"/>
      <w:bookmarkEnd w:id="538"/>
    </w:p>
    <w:p w14:paraId="7F2AF802" w14:textId="77777777" w:rsidR="006226A9" w:rsidRPr="00BD77D8" w:rsidRDefault="00B9311E" w:rsidP="006226A9">
      <w:pPr>
        <w:spacing w:line="180" w:lineRule="atLeast"/>
        <w:textAlignment w:val="baseline"/>
        <w:rPr>
          <w:rFonts w:eastAsia="Arial"/>
          <w:b/>
          <w:bCs/>
          <w:sz w:val="18"/>
          <w:szCs w:val="18"/>
          <w:lang w:eastAsia="en-US"/>
        </w:rPr>
      </w:pPr>
      <w:r w:rsidRPr="00BD77D8">
        <w:rPr>
          <w:rFonts w:eastAsia="Arial"/>
          <w:b/>
          <w:bCs/>
          <w:sz w:val="18"/>
          <w:szCs w:val="18"/>
          <w:lang w:eastAsia="en-US"/>
        </w:rPr>
        <w:t xml:space="preserve">C8-1 Contributed Equity </w:t>
      </w:r>
    </w:p>
    <w:p w14:paraId="061C84F8" w14:textId="761ADA05" w:rsidR="00B9311E" w:rsidRPr="00BD77D8" w:rsidRDefault="00B9311E" w:rsidP="006226A9">
      <w:pPr>
        <w:spacing w:line="180" w:lineRule="atLeast"/>
        <w:textAlignment w:val="baseline"/>
        <w:rPr>
          <w:rFonts w:eastAsia="PMingLiU"/>
          <w:b/>
          <w:bCs/>
          <w:sz w:val="18"/>
          <w:szCs w:val="22"/>
          <w:lang w:eastAsia="en-US"/>
        </w:rPr>
      </w:pPr>
      <w:r w:rsidRPr="00BD77D8">
        <w:rPr>
          <w:rFonts w:eastAsia="PMingLiU"/>
          <w:sz w:val="18"/>
          <w:szCs w:val="22"/>
          <w:lang w:eastAsia="en-US"/>
        </w:rPr>
        <w:t>Interpretation 1038</w:t>
      </w:r>
      <w:r w:rsidRPr="00BD77D8">
        <w:rPr>
          <w:rFonts w:eastAsia="PMingLiU"/>
          <w:i/>
          <w:iCs/>
          <w:sz w:val="18"/>
          <w:szCs w:val="22"/>
          <w:lang w:eastAsia="en-US"/>
        </w:rPr>
        <w:t xml:space="preserve"> Contributions by Owners Made to Wholly-Owned Public Sector Entities</w:t>
      </w:r>
      <w:r w:rsidRPr="00BD77D8">
        <w:rPr>
          <w:rFonts w:eastAsia="PMingLiU"/>
          <w:sz w:val="18"/>
          <w:szCs w:val="22"/>
          <w:lang w:eastAsia="en-US"/>
        </w:rPr>
        <w:t xml:space="preserve"> specifies the principles for recognising contributed equity by the department. The following items are recognised as contributed equity by the department during the reporting and comparative years:</w:t>
      </w:r>
    </w:p>
    <w:p w14:paraId="3A3BB052" w14:textId="77777777" w:rsidR="00B9311E" w:rsidRPr="00BD77D8" w:rsidRDefault="00B9311E" w:rsidP="003954C5">
      <w:pPr>
        <w:numPr>
          <w:ilvl w:val="0"/>
          <w:numId w:val="78"/>
        </w:numPr>
        <w:spacing w:after="0" w:line="199" w:lineRule="exact"/>
        <w:contextualSpacing/>
        <w:textAlignment w:val="baseline"/>
        <w:rPr>
          <w:rFonts w:eastAsia="Arial"/>
          <w:b/>
          <w:sz w:val="18"/>
          <w:szCs w:val="18"/>
          <w:lang w:eastAsia="en-US"/>
        </w:rPr>
      </w:pPr>
      <w:r w:rsidRPr="00BD77D8">
        <w:rPr>
          <w:rFonts w:eastAsia="Arial"/>
          <w:sz w:val="18"/>
          <w:szCs w:val="18"/>
          <w:lang w:eastAsia="en-US"/>
        </w:rPr>
        <w:t xml:space="preserve">Appropriations for equity adjustments (refer Note C8-2); and </w:t>
      </w:r>
    </w:p>
    <w:p w14:paraId="1EE81B7F" w14:textId="77777777" w:rsidR="00B9311E" w:rsidRPr="00BD77D8" w:rsidRDefault="00B9311E" w:rsidP="003954C5">
      <w:pPr>
        <w:numPr>
          <w:ilvl w:val="0"/>
          <w:numId w:val="78"/>
        </w:numPr>
        <w:spacing w:after="0" w:line="199" w:lineRule="exact"/>
        <w:contextualSpacing/>
        <w:textAlignment w:val="baseline"/>
        <w:rPr>
          <w:rFonts w:eastAsia="Arial"/>
          <w:b/>
          <w:sz w:val="18"/>
          <w:szCs w:val="18"/>
          <w:lang w:eastAsia="en-US"/>
        </w:rPr>
      </w:pPr>
      <w:r w:rsidRPr="00BD77D8">
        <w:rPr>
          <w:rFonts w:eastAsia="Arial"/>
          <w:sz w:val="18"/>
          <w:szCs w:val="18"/>
          <w:lang w:eastAsia="en-US"/>
        </w:rPr>
        <w:t xml:space="preserve">Non-reciprocal transfers of assets and liabilities between Wholly-Owned Queensland State Public Sector entities as a result </w:t>
      </w:r>
    </w:p>
    <w:p w14:paraId="4973AB95" w14:textId="77777777" w:rsidR="00B9311E" w:rsidRPr="00BD77D8" w:rsidRDefault="00B9311E" w:rsidP="00B9311E">
      <w:pPr>
        <w:spacing w:after="0" w:line="199" w:lineRule="exact"/>
        <w:ind w:left="360"/>
        <w:contextualSpacing/>
        <w:textAlignment w:val="baseline"/>
        <w:rPr>
          <w:rFonts w:eastAsia="Arial"/>
          <w:b/>
          <w:sz w:val="18"/>
          <w:szCs w:val="18"/>
          <w:lang w:eastAsia="en-US"/>
        </w:rPr>
      </w:pPr>
      <w:r w:rsidRPr="00BD77D8">
        <w:rPr>
          <w:rFonts w:eastAsia="Arial"/>
          <w:sz w:val="18"/>
          <w:szCs w:val="18"/>
          <w:lang w:eastAsia="en-US"/>
        </w:rPr>
        <w:t>of Machinery-of-Government changes (refer Note A4).</w:t>
      </w:r>
    </w:p>
    <w:p w14:paraId="05430CD3" w14:textId="424F00DE" w:rsidR="00B9311E" w:rsidRPr="00BD77D8" w:rsidRDefault="0040288C" w:rsidP="00C3515C">
      <w:pPr>
        <w:spacing w:before="108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29 of 45</w:t>
      </w:r>
      <w:r w:rsidR="00B9311E" w:rsidRPr="00BD77D8">
        <w:rPr>
          <w:rFonts w:eastAsia="Arial"/>
          <w:sz w:val="18"/>
          <w:szCs w:val="18"/>
          <w:lang w:eastAsia="en-US"/>
        </w:rPr>
        <w:br w:type="page"/>
      </w:r>
    </w:p>
    <w:p w14:paraId="784FA31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2316CA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5D22D3EE"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C293C50"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6F024A82" w14:textId="77777777" w:rsidR="00B9311E" w:rsidRPr="00BD77D8" w:rsidRDefault="00B9311E" w:rsidP="00E47A6E">
      <w:pPr>
        <w:spacing w:before="240" w:after="0" w:line="180" w:lineRule="atLeast"/>
        <w:textAlignment w:val="baseline"/>
        <w:rPr>
          <w:rFonts w:eastAsia="Arial"/>
          <w:b/>
          <w:bCs/>
          <w:sz w:val="22"/>
          <w:szCs w:val="22"/>
          <w:lang w:eastAsia="en-US"/>
        </w:rPr>
      </w:pPr>
      <w:r w:rsidRPr="00BD77D8">
        <w:rPr>
          <w:rFonts w:eastAsia="Arial"/>
          <w:b/>
          <w:bCs/>
          <w:sz w:val="22"/>
          <w:szCs w:val="22"/>
          <w:lang w:eastAsia="en-US"/>
        </w:rPr>
        <w:t>C8 Equity (continued)</w:t>
      </w:r>
    </w:p>
    <w:p w14:paraId="571B9C66" w14:textId="77777777" w:rsidR="00B9311E" w:rsidRPr="00BD77D8" w:rsidRDefault="00B9311E" w:rsidP="006226A9">
      <w:pPr>
        <w:spacing w:before="200" w:after="0" w:line="180" w:lineRule="atLeast"/>
        <w:textAlignment w:val="baseline"/>
        <w:rPr>
          <w:rFonts w:eastAsia="PMingLiU"/>
          <w:b/>
          <w:bCs/>
          <w:sz w:val="18"/>
          <w:szCs w:val="22"/>
          <w:lang w:val="en-US" w:eastAsia="en-US"/>
        </w:rPr>
      </w:pPr>
      <w:bookmarkStart w:id="539" w:name="_Hlk110431092"/>
      <w:r w:rsidRPr="00BD77D8">
        <w:rPr>
          <w:rFonts w:eastAsia="Arial"/>
          <w:b/>
          <w:bCs/>
          <w:sz w:val="18"/>
          <w:szCs w:val="18"/>
          <w:lang w:eastAsia="en-US"/>
        </w:rPr>
        <w:t>C8-2 Appropriations Recognised in Equity</w:t>
      </w:r>
    </w:p>
    <w:tbl>
      <w:tblPr>
        <w:tblW w:w="10315" w:type="dxa"/>
        <w:tblCellMar>
          <w:left w:w="28" w:type="dxa"/>
          <w:right w:w="0" w:type="dxa"/>
        </w:tblCellMar>
        <w:tblLook w:val="04A0" w:firstRow="1" w:lastRow="0" w:firstColumn="1" w:lastColumn="0" w:noHBand="0" w:noVBand="1"/>
      </w:tblPr>
      <w:tblGrid>
        <w:gridCol w:w="8385"/>
        <w:gridCol w:w="965"/>
        <w:gridCol w:w="965"/>
      </w:tblGrid>
      <w:tr w:rsidR="00BD77D8" w:rsidRPr="00BD77D8" w14:paraId="623D9353" w14:textId="77777777" w:rsidTr="003057FB">
        <w:trPr>
          <w:trHeight w:val="267"/>
        </w:trPr>
        <w:tc>
          <w:tcPr>
            <w:tcW w:w="0" w:type="auto"/>
            <w:tcBorders>
              <w:top w:val="nil"/>
              <w:left w:val="nil"/>
              <w:bottom w:val="nil"/>
              <w:right w:val="nil"/>
            </w:tcBorders>
            <w:shd w:val="clear" w:color="auto" w:fill="auto"/>
            <w:vAlign w:val="center"/>
            <w:hideMark/>
          </w:tcPr>
          <w:p w14:paraId="594BCAEC" w14:textId="77777777" w:rsidR="00B9311E" w:rsidRPr="00BD77D8" w:rsidRDefault="00B9311E" w:rsidP="00B9311E">
            <w:pPr>
              <w:spacing w:after="0" w:line="240" w:lineRule="auto"/>
              <w:rPr>
                <w:rFonts w:ascii="Times New Roman" w:hAnsi="Times New Roman" w:cs="Times New Roman"/>
                <w:b/>
                <w:bCs/>
                <w:sz w:val="24"/>
                <w:szCs w:val="24"/>
              </w:rPr>
            </w:pPr>
          </w:p>
        </w:tc>
        <w:tc>
          <w:tcPr>
            <w:tcW w:w="0" w:type="auto"/>
            <w:tcBorders>
              <w:top w:val="nil"/>
              <w:left w:val="nil"/>
              <w:bottom w:val="nil"/>
              <w:right w:val="nil"/>
            </w:tcBorders>
            <w:shd w:val="clear" w:color="auto" w:fill="auto"/>
            <w:noWrap/>
            <w:vAlign w:val="bottom"/>
            <w:hideMark/>
          </w:tcPr>
          <w:p w14:paraId="4BB49FB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bottom"/>
            <w:hideMark/>
          </w:tcPr>
          <w:p w14:paraId="6B602378"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A94144A" w14:textId="77777777" w:rsidTr="003057FB">
        <w:trPr>
          <w:trHeight w:val="267"/>
        </w:trPr>
        <w:tc>
          <w:tcPr>
            <w:tcW w:w="0" w:type="auto"/>
            <w:tcBorders>
              <w:top w:val="nil"/>
              <w:left w:val="nil"/>
              <w:bottom w:val="nil"/>
              <w:right w:val="nil"/>
            </w:tcBorders>
            <w:shd w:val="clear" w:color="auto" w:fill="auto"/>
            <w:vAlign w:val="center"/>
            <w:hideMark/>
          </w:tcPr>
          <w:p w14:paraId="6F49C42C" w14:textId="77777777" w:rsidR="00B9311E" w:rsidRPr="00BD77D8" w:rsidRDefault="00B9311E" w:rsidP="00B9311E">
            <w:pPr>
              <w:spacing w:after="0" w:line="240" w:lineRule="auto"/>
              <w:rPr>
                <w:b/>
                <w:bCs/>
                <w:sz w:val="18"/>
                <w:szCs w:val="18"/>
              </w:rPr>
            </w:pPr>
            <w:r w:rsidRPr="00BD77D8">
              <w:rPr>
                <w:b/>
                <w:bCs/>
                <w:sz w:val="18"/>
                <w:szCs w:val="18"/>
              </w:rPr>
              <w:t xml:space="preserve"> Reconciliation of Payments from Consolidated Fund to Equity Adjustment </w:t>
            </w:r>
          </w:p>
        </w:tc>
        <w:tc>
          <w:tcPr>
            <w:tcW w:w="0" w:type="auto"/>
            <w:tcBorders>
              <w:top w:val="nil"/>
              <w:left w:val="nil"/>
              <w:bottom w:val="single" w:sz="4" w:space="0" w:color="auto"/>
              <w:right w:val="nil"/>
            </w:tcBorders>
            <w:shd w:val="clear" w:color="auto" w:fill="auto"/>
            <w:vAlign w:val="center"/>
            <w:hideMark/>
          </w:tcPr>
          <w:p w14:paraId="7BF7B0D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center"/>
            <w:hideMark/>
          </w:tcPr>
          <w:p w14:paraId="6847EE7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0CB45DBE" w14:textId="77777777" w:rsidTr="003057FB">
        <w:trPr>
          <w:trHeight w:val="267"/>
        </w:trPr>
        <w:tc>
          <w:tcPr>
            <w:tcW w:w="0" w:type="auto"/>
            <w:tcBorders>
              <w:top w:val="nil"/>
              <w:left w:val="nil"/>
              <w:bottom w:val="nil"/>
              <w:right w:val="nil"/>
            </w:tcBorders>
            <w:shd w:val="clear" w:color="auto" w:fill="auto"/>
            <w:vAlign w:val="center"/>
            <w:hideMark/>
          </w:tcPr>
          <w:p w14:paraId="0DDB122F" w14:textId="77777777" w:rsidR="00B9311E" w:rsidRPr="00BD77D8" w:rsidRDefault="00B9311E" w:rsidP="00B9311E">
            <w:pPr>
              <w:spacing w:after="0" w:line="240" w:lineRule="auto"/>
              <w:rPr>
                <w:sz w:val="18"/>
                <w:szCs w:val="18"/>
              </w:rPr>
            </w:pPr>
            <w:r w:rsidRPr="00BD77D8">
              <w:rPr>
                <w:sz w:val="18"/>
                <w:szCs w:val="18"/>
              </w:rPr>
              <w:t xml:space="preserve"> Budgeted equity adjustment appropriation </w:t>
            </w:r>
          </w:p>
        </w:tc>
        <w:tc>
          <w:tcPr>
            <w:tcW w:w="0" w:type="auto"/>
            <w:tcBorders>
              <w:top w:val="nil"/>
              <w:left w:val="nil"/>
              <w:bottom w:val="nil"/>
              <w:right w:val="nil"/>
            </w:tcBorders>
            <w:shd w:val="clear" w:color="auto" w:fill="auto"/>
            <w:vAlign w:val="center"/>
            <w:hideMark/>
          </w:tcPr>
          <w:p w14:paraId="28554A80" w14:textId="77777777" w:rsidR="00B9311E" w:rsidRPr="00BD77D8" w:rsidRDefault="00B9311E" w:rsidP="00B9311E">
            <w:pPr>
              <w:spacing w:after="0" w:line="240" w:lineRule="auto"/>
              <w:jc w:val="right"/>
              <w:rPr>
                <w:sz w:val="18"/>
                <w:szCs w:val="18"/>
              </w:rPr>
            </w:pPr>
            <w:r w:rsidRPr="00BD77D8">
              <w:rPr>
                <w:sz w:val="18"/>
                <w:szCs w:val="18"/>
              </w:rPr>
              <w:t xml:space="preserve">    6,670 </w:t>
            </w:r>
          </w:p>
        </w:tc>
        <w:tc>
          <w:tcPr>
            <w:tcW w:w="0" w:type="auto"/>
            <w:tcBorders>
              <w:top w:val="nil"/>
              <w:left w:val="nil"/>
              <w:bottom w:val="nil"/>
              <w:right w:val="nil"/>
            </w:tcBorders>
            <w:shd w:val="clear" w:color="auto" w:fill="auto"/>
            <w:vAlign w:val="center"/>
            <w:hideMark/>
          </w:tcPr>
          <w:p w14:paraId="6B17D788" w14:textId="77777777" w:rsidR="00B9311E" w:rsidRPr="00BD77D8" w:rsidRDefault="00B9311E" w:rsidP="00B9311E">
            <w:pPr>
              <w:spacing w:after="0" w:line="240" w:lineRule="auto"/>
              <w:jc w:val="right"/>
              <w:rPr>
                <w:sz w:val="18"/>
                <w:szCs w:val="18"/>
              </w:rPr>
            </w:pPr>
            <w:r w:rsidRPr="00BD77D8">
              <w:rPr>
                <w:sz w:val="18"/>
                <w:szCs w:val="18"/>
              </w:rPr>
              <w:t xml:space="preserve">    9,470 </w:t>
            </w:r>
          </w:p>
        </w:tc>
      </w:tr>
      <w:tr w:rsidR="00BD77D8" w:rsidRPr="00BD77D8" w14:paraId="77C841F9" w14:textId="77777777" w:rsidTr="003057FB">
        <w:trPr>
          <w:trHeight w:val="267"/>
        </w:trPr>
        <w:tc>
          <w:tcPr>
            <w:tcW w:w="0" w:type="auto"/>
            <w:tcBorders>
              <w:top w:val="nil"/>
              <w:left w:val="nil"/>
              <w:bottom w:val="nil"/>
              <w:right w:val="nil"/>
            </w:tcBorders>
            <w:shd w:val="clear" w:color="auto" w:fill="auto"/>
            <w:vAlign w:val="center"/>
            <w:hideMark/>
          </w:tcPr>
          <w:p w14:paraId="7E7CF3B3" w14:textId="77777777" w:rsidR="00B9311E" w:rsidRPr="00BD77D8" w:rsidRDefault="00B9311E" w:rsidP="00B9311E">
            <w:pPr>
              <w:spacing w:after="0" w:line="240" w:lineRule="auto"/>
              <w:rPr>
                <w:sz w:val="18"/>
                <w:szCs w:val="18"/>
              </w:rPr>
            </w:pPr>
            <w:r w:rsidRPr="00BD77D8">
              <w:rPr>
                <w:sz w:val="18"/>
                <w:szCs w:val="18"/>
              </w:rPr>
              <w:t xml:space="preserve"> Lapsed Appropriation s29 </w:t>
            </w:r>
          </w:p>
        </w:tc>
        <w:tc>
          <w:tcPr>
            <w:tcW w:w="0" w:type="auto"/>
            <w:tcBorders>
              <w:top w:val="nil"/>
              <w:left w:val="nil"/>
              <w:bottom w:val="nil"/>
              <w:right w:val="nil"/>
            </w:tcBorders>
            <w:shd w:val="clear" w:color="auto" w:fill="auto"/>
            <w:vAlign w:val="center"/>
            <w:hideMark/>
          </w:tcPr>
          <w:p w14:paraId="1A9E0447" w14:textId="77777777" w:rsidR="00B9311E" w:rsidRPr="00BD77D8" w:rsidRDefault="00B9311E" w:rsidP="00B9311E">
            <w:pPr>
              <w:spacing w:after="0" w:line="240" w:lineRule="auto"/>
              <w:jc w:val="right"/>
              <w:rPr>
                <w:sz w:val="18"/>
                <w:szCs w:val="18"/>
              </w:rPr>
            </w:pPr>
            <w:r w:rsidRPr="00BD77D8">
              <w:rPr>
                <w:sz w:val="18"/>
                <w:szCs w:val="18"/>
              </w:rPr>
              <w:t xml:space="preserve">  (4,609)</w:t>
            </w:r>
          </w:p>
        </w:tc>
        <w:tc>
          <w:tcPr>
            <w:tcW w:w="0" w:type="auto"/>
            <w:tcBorders>
              <w:top w:val="nil"/>
              <w:left w:val="nil"/>
              <w:bottom w:val="nil"/>
              <w:right w:val="nil"/>
            </w:tcBorders>
            <w:shd w:val="clear" w:color="auto" w:fill="auto"/>
            <w:vAlign w:val="center"/>
            <w:hideMark/>
          </w:tcPr>
          <w:p w14:paraId="3B16E126" w14:textId="77777777" w:rsidR="00B9311E" w:rsidRPr="00BD77D8" w:rsidRDefault="00B9311E" w:rsidP="00B9311E">
            <w:pPr>
              <w:spacing w:after="0" w:line="240" w:lineRule="auto"/>
              <w:jc w:val="right"/>
              <w:rPr>
                <w:sz w:val="18"/>
                <w:szCs w:val="18"/>
              </w:rPr>
            </w:pPr>
            <w:r w:rsidRPr="00BD77D8">
              <w:rPr>
                <w:sz w:val="18"/>
                <w:szCs w:val="18"/>
              </w:rPr>
              <w:t xml:space="preserve">  (4,520)</w:t>
            </w:r>
          </w:p>
        </w:tc>
      </w:tr>
      <w:tr w:rsidR="00BD77D8" w:rsidRPr="00BD77D8" w14:paraId="7F8D8A74" w14:textId="77777777" w:rsidTr="003057FB">
        <w:trPr>
          <w:trHeight w:val="267"/>
        </w:trPr>
        <w:tc>
          <w:tcPr>
            <w:tcW w:w="0" w:type="auto"/>
            <w:tcBorders>
              <w:top w:val="nil"/>
              <w:left w:val="nil"/>
              <w:bottom w:val="nil"/>
              <w:right w:val="nil"/>
            </w:tcBorders>
            <w:shd w:val="clear" w:color="auto" w:fill="auto"/>
            <w:vAlign w:val="center"/>
            <w:hideMark/>
          </w:tcPr>
          <w:p w14:paraId="5897DF1F" w14:textId="77777777" w:rsidR="00B9311E" w:rsidRPr="00BD77D8" w:rsidRDefault="00B9311E" w:rsidP="00B9311E">
            <w:pPr>
              <w:spacing w:after="0" w:line="240" w:lineRule="auto"/>
              <w:rPr>
                <w:b/>
                <w:bCs/>
                <w:sz w:val="18"/>
                <w:szCs w:val="18"/>
              </w:rPr>
            </w:pPr>
            <w:r w:rsidRPr="00BD77D8">
              <w:rPr>
                <w:b/>
                <w:bCs/>
                <w:sz w:val="18"/>
                <w:szCs w:val="18"/>
              </w:rPr>
              <w:t xml:space="preserve"> Equity Adjustment Receipts (Payments) </w:t>
            </w:r>
          </w:p>
        </w:tc>
        <w:tc>
          <w:tcPr>
            <w:tcW w:w="0" w:type="auto"/>
            <w:tcBorders>
              <w:top w:val="single" w:sz="4" w:space="0" w:color="auto"/>
              <w:left w:val="nil"/>
              <w:bottom w:val="single" w:sz="4" w:space="0" w:color="auto"/>
              <w:right w:val="nil"/>
            </w:tcBorders>
            <w:shd w:val="clear" w:color="auto" w:fill="auto"/>
            <w:vAlign w:val="center"/>
            <w:hideMark/>
          </w:tcPr>
          <w:p w14:paraId="5557973B" w14:textId="77777777" w:rsidR="00B9311E" w:rsidRPr="00BD77D8" w:rsidRDefault="00B9311E" w:rsidP="00B9311E">
            <w:pPr>
              <w:spacing w:after="0" w:line="240" w:lineRule="auto"/>
              <w:jc w:val="right"/>
              <w:rPr>
                <w:b/>
                <w:bCs/>
                <w:sz w:val="18"/>
                <w:szCs w:val="18"/>
              </w:rPr>
            </w:pPr>
            <w:r w:rsidRPr="00BD77D8">
              <w:rPr>
                <w:b/>
                <w:bCs/>
                <w:sz w:val="18"/>
                <w:szCs w:val="18"/>
              </w:rPr>
              <w:t xml:space="preserve">    2,061 </w:t>
            </w:r>
          </w:p>
        </w:tc>
        <w:tc>
          <w:tcPr>
            <w:tcW w:w="0" w:type="auto"/>
            <w:tcBorders>
              <w:top w:val="single" w:sz="4" w:space="0" w:color="auto"/>
              <w:left w:val="nil"/>
              <w:bottom w:val="single" w:sz="4" w:space="0" w:color="auto"/>
              <w:right w:val="nil"/>
            </w:tcBorders>
            <w:shd w:val="clear" w:color="auto" w:fill="auto"/>
            <w:vAlign w:val="center"/>
            <w:hideMark/>
          </w:tcPr>
          <w:p w14:paraId="1C518CA6" w14:textId="77777777" w:rsidR="00B9311E" w:rsidRPr="00BD77D8" w:rsidRDefault="00B9311E" w:rsidP="00B9311E">
            <w:pPr>
              <w:spacing w:after="0" w:line="240" w:lineRule="auto"/>
              <w:jc w:val="right"/>
              <w:rPr>
                <w:b/>
                <w:bCs/>
                <w:sz w:val="18"/>
                <w:szCs w:val="18"/>
              </w:rPr>
            </w:pPr>
            <w:r w:rsidRPr="00BD77D8">
              <w:rPr>
                <w:b/>
                <w:bCs/>
                <w:sz w:val="18"/>
                <w:szCs w:val="18"/>
              </w:rPr>
              <w:t xml:space="preserve">    4,950 </w:t>
            </w:r>
          </w:p>
        </w:tc>
      </w:tr>
      <w:tr w:rsidR="00BD77D8" w:rsidRPr="00BD77D8" w14:paraId="5C013BFE" w14:textId="77777777" w:rsidTr="003057FB">
        <w:trPr>
          <w:trHeight w:val="267"/>
        </w:trPr>
        <w:tc>
          <w:tcPr>
            <w:tcW w:w="0" w:type="auto"/>
            <w:tcBorders>
              <w:top w:val="nil"/>
              <w:left w:val="nil"/>
              <w:bottom w:val="nil"/>
              <w:right w:val="nil"/>
            </w:tcBorders>
            <w:shd w:val="clear" w:color="auto" w:fill="auto"/>
            <w:vAlign w:val="center"/>
            <w:hideMark/>
          </w:tcPr>
          <w:p w14:paraId="74056F49" w14:textId="77777777" w:rsidR="00B9311E" w:rsidRPr="00BD77D8" w:rsidRDefault="00B9311E" w:rsidP="00B9311E">
            <w:pPr>
              <w:spacing w:after="0" w:line="240" w:lineRule="auto"/>
              <w:rPr>
                <w:sz w:val="18"/>
                <w:szCs w:val="18"/>
              </w:rPr>
            </w:pPr>
            <w:r w:rsidRPr="00BD77D8">
              <w:rPr>
                <w:sz w:val="18"/>
                <w:szCs w:val="18"/>
              </w:rPr>
              <w:t xml:space="preserve"> Plus: Opening balance of equity adjustment payable </w:t>
            </w:r>
          </w:p>
        </w:tc>
        <w:tc>
          <w:tcPr>
            <w:tcW w:w="0" w:type="auto"/>
            <w:tcBorders>
              <w:top w:val="nil"/>
              <w:left w:val="nil"/>
              <w:bottom w:val="nil"/>
              <w:right w:val="nil"/>
            </w:tcBorders>
            <w:shd w:val="clear" w:color="auto" w:fill="auto"/>
            <w:vAlign w:val="center"/>
            <w:hideMark/>
          </w:tcPr>
          <w:p w14:paraId="0F8B3A22" w14:textId="77777777" w:rsidR="00B9311E" w:rsidRPr="00BD77D8" w:rsidRDefault="00B9311E" w:rsidP="00B9311E">
            <w:pPr>
              <w:spacing w:after="0" w:line="240" w:lineRule="auto"/>
              <w:jc w:val="right"/>
              <w:rPr>
                <w:sz w:val="18"/>
                <w:szCs w:val="18"/>
              </w:rPr>
            </w:pPr>
            <w:r w:rsidRPr="00BD77D8">
              <w:rPr>
                <w:sz w:val="18"/>
                <w:szCs w:val="18"/>
              </w:rPr>
              <w:t xml:space="preserve">       449 </w:t>
            </w:r>
          </w:p>
        </w:tc>
        <w:tc>
          <w:tcPr>
            <w:tcW w:w="0" w:type="auto"/>
            <w:tcBorders>
              <w:top w:val="nil"/>
              <w:left w:val="nil"/>
              <w:bottom w:val="nil"/>
              <w:right w:val="nil"/>
            </w:tcBorders>
            <w:shd w:val="clear" w:color="auto" w:fill="auto"/>
            <w:vAlign w:val="center"/>
            <w:hideMark/>
          </w:tcPr>
          <w:p w14:paraId="6B41F281"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372EC4DB" w14:textId="77777777" w:rsidTr="003057FB">
        <w:trPr>
          <w:trHeight w:val="267"/>
        </w:trPr>
        <w:tc>
          <w:tcPr>
            <w:tcW w:w="0" w:type="auto"/>
            <w:tcBorders>
              <w:top w:val="nil"/>
              <w:left w:val="nil"/>
              <w:bottom w:val="nil"/>
              <w:right w:val="nil"/>
            </w:tcBorders>
            <w:shd w:val="clear" w:color="auto" w:fill="auto"/>
            <w:vAlign w:val="center"/>
            <w:hideMark/>
          </w:tcPr>
          <w:p w14:paraId="3667664D" w14:textId="77777777" w:rsidR="00B9311E" w:rsidRPr="00BD77D8" w:rsidRDefault="00B9311E" w:rsidP="00B9311E">
            <w:pPr>
              <w:spacing w:after="0" w:line="240" w:lineRule="auto"/>
              <w:rPr>
                <w:sz w:val="18"/>
                <w:szCs w:val="18"/>
              </w:rPr>
            </w:pPr>
            <w:r w:rsidRPr="00BD77D8">
              <w:rPr>
                <w:sz w:val="18"/>
                <w:szCs w:val="18"/>
              </w:rPr>
              <w:t xml:space="preserve"> Less: Closing balance of equity adjustment payable </w:t>
            </w:r>
          </w:p>
        </w:tc>
        <w:tc>
          <w:tcPr>
            <w:tcW w:w="0" w:type="auto"/>
            <w:tcBorders>
              <w:top w:val="nil"/>
              <w:left w:val="nil"/>
              <w:bottom w:val="nil"/>
              <w:right w:val="nil"/>
            </w:tcBorders>
            <w:shd w:val="clear" w:color="auto" w:fill="auto"/>
            <w:vAlign w:val="center"/>
            <w:hideMark/>
          </w:tcPr>
          <w:p w14:paraId="37CC687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bottom"/>
            <w:hideMark/>
          </w:tcPr>
          <w:p w14:paraId="37CFBA67" w14:textId="77777777" w:rsidR="00B9311E" w:rsidRPr="00BD77D8" w:rsidRDefault="00B9311E" w:rsidP="00B9311E">
            <w:pPr>
              <w:spacing w:after="0" w:line="240" w:lineRule="auto"/>
              <w:jc w:val="right"/>
              <w:rPr>
                <w:sz w:val="18"/>
                <w:szCs w:val="18"/>
              </w:rPr>
            </w:pPr>
            <w:r w:rsidRPr="00BD77D8">
              <w:rPr>
                <w:sz w:val="18"/>
                <w:szCs w:val="18"/>
              </w:rPr>
              <w:t xml:space="preserve">     (449)</w:t>
            </w:r>
          </w:p>
        </w:tc>
      </w:tr>
      <w:tr w:rsidR="00BD77D8" w:rsidRPr="00BD77D8" w14:paraId="03315241" w14:textId="77777777" w:rsidTr="003057FB">
        <w:trPr>
          <w:trHeight w:val="267"/>
        </w:trPr>
        <w:tc>
          <w:tcPr>
            <w:tcW w:w="0" w:type="auto"/>
            <w:tcBorders>
              <w:top w:val="nil"/>
              <w:left w:val="nil"/>
              <w:bottom w:val="nil"/>
              <w:right w:val="nil"/>
            </w:tcBorders>
            <w:shd w:val="clear" w:color="auto" w:fill="auto"/>
            <w:vAlign w:val="center"/>
            <w:hideMark/>
          </w:tcPr>
          <w:p w14:paraId="1842CB52" w14:textId="77777777" w:rsidR="00B9311E" w:rsidRPr="00BD77D8" w:rsidRDefault="00B9311E" w:rsidP="00B9311E">
            <w:pPr>
              <w:spacing w:after="0" w:line="240" w:lineRule="auto"/>
              <w:rPr>
                <w:b/>
                <w:bCs/>
                <w:sz w:val="18"/>
                <w:szCs w:val="18"/>
              </w:rPr>
            </w:pPr>
            <w:r w:rsidRPr="00BD77D8">
              <w:rPr>
                <w:b/>
                <w:bCs/>
                <w:sz w:val="18"/>
                <w:szCs w:val="18"/>
              </w:rPr>
              <w:t xml:space="preserve"> Equity Adjustment Recognised in Contributed Equity </w:t>
            </w:r>
          </w:p>
        </w:tc>
        <w:tc>
          <w:tcPr>
            <w:tcW w:w="0" w:type="auto"/>
            <w:tcBorders>
              <w:top w:val="single" w:sz="4" w:space="0" w:color="auto"/>
              <w:left w:val="nil"/>
              <w:bottom w:val="single" w:sz="4" w:space="0" w:color="auto"/>
              <w:right w:val="nil"/>
            </w:tcBorders>
            <w:shd w:val="clear" w:color="auto" w:fill="auto"/>
            <w:vAlign w:val="center"/>
            <w:hideMark/>
          </w:tcPr>
          <w:p w14:paraId="557EC063" w14:textId="77777777" w:rsidR="00B9311E" w:rsidRPr="00BD77D8" w:rsidRDefault="00B9311E" w:rsidP="00B9311E">
            <w:pPr>
              <w:spacing w:after="0" w:line="240" w:lineRule="auto"/>
              <w:jc w:val="right"/>
              <w:rPr>
                <w:b/>
                <w:bCs/>
                <w:sz w:val="18"/>
                <w:szCs w:val="18"/>
              </w:rPr>
            </w:pPr>
            <w:r w:rsidRPr="00BD77D8">
              <w:rPr>
                <w:b/>
                <w:bCs/>
                <w:sz w:val="18"/>
                <w:szCs w:val="18"/>
              </w:rPr>
              <w:t xml:space="preserve">    2,510 </w:t>
            </w:r>
          </w:p>
        </w:tc>
        <w:tc>
          <w:tcPr>
            <w:tcW w:w="0" w:type="auto"/>
            <w:tcBorders>
              <w:top w:val="single" w:sz="4" w:space="0" w:color="auto"/>
              <w:left w:val="nil"/>
              <w:bottom w:val="single" w:sz="4" w:space="0" w:color="auto"/>
              <w:right w:val="nil"/>
            </w:tcBorders>
            <w:shd w:val="clear" w:color="auto" w:fill="auto"/>
            <w:vAlign w:val="center"/>
            <w:hideMark/>
          </w:tcPr>
          <w:p w14:paraId="7AA76742" w14:textId="77777777" w:rsidR="00B9311E" w:rsidRPr="00BD77D8" w:rsidRDefault="00B9311E" w:rsidP="00B9311E">
            <w:pPr>
              <w:spacing w:after="0" w:line="240" w:lineRule="auto"/>
              <w:jc w:val="right"/>
              <w:rPr>
                <w:b/>
                <w:bCs/>
                <w:sz w:val="18"/>
                <w:szCs w:val="18"/>
              </w:rPr>
            </w:pPr>
            <w:r w:rsidRPr="00BD77D8">
              <w:rPr>
                <w:b/>
                <w:bCs/>
                <w:sz w:val="18"/>
                <w:szCs w:val="18"/>
              </w:rPr>
              <w:t xml:space="preserve">    4,501 </w:t>
            </w:r>
          </w:p>
        </w:tc>
      </w:tr>
    </w:tbl>
    <w:p w14:paraId="5E22A6D0" w14:textId="509A36FD" w:rsidR="00B9311E" w:rsidRPr="00BD77D8" w:rsidRDefault="00B9311E" w:rsidP="006226A9">
      <w:pPr>
        <w:spacing w:before="200"/>
        <w:rPr>
          <w:rFonts w:eastAsia="PMingLiU"/>
          <w:sz w:val="18"/>
          <w:szCs w:val="22"/>
          <w:lang w:eastAsia="en-US"/>
        </w:rPr>
      </w:pPr>
      <w:bookmarkStart w:id="540" w:name="_Toc111559251"/>
      <w:bookmarkStart w:id="541" w:name="_Toc113196523"/>
      <w:bookmarkStart w:id="542" w:name="_Toc113196871"/>
      <w:bookmarkStart w:id="543" w:name="_Toc113262001"/>
      <w:bookmarkStart w:id="544" w:name="_Toc113349155"/>
      <w:bookmarkStart w:id="545" w:name="_Toc113358080"/>
      <w:bookmarkEnd w:id="539"/>
      <w:r w:rsidRPr="00BD77D8">
        <w:rPr>
          <w:rFonts w:eastAsia="Arial"/>
          <w:b/>
          <w:bCs/>
          <w:sz w:val="24"/>
          <w:szCs w:val="24"/>
          <w:lang w:eastAsia="en-US"/>
        </w:rPr>
        <w:t>Risks and Other Accounting Uncertainties</w:t>
      </w:r>
      <w:bookmarkEnd w:id="540"/>
      <w:bookmarkEnd w:id="541"/>
      <w:bookmarkEnd w:id="542"/>
      <w:bookmarkEnd w:id="543"/>
      <w:bookmarkEnd w:id="544"/>
      <w:bookmarkEnd w:id="545"/>
    </w:p>
    <w:p w14:paraId="72666BAD" w14:textId="77777777" w:rsidR="00B9311E" w:rsidRPr="00BD77D8" w:rsidRDefault="00B9311E" w:rsidP="009D387F">
      <w:pPr>
        <w:rPr>
          <w:rFonts w:eastAsia="Arial"/>
          <w:b/>
          <w:bCs/>
          <w:sz w:val="22"/>
          <w:szCs w:val="22"/>
          <w:lang w:eastAsia="en-US"/>
        </w:rPr>
      </w:pPr>
      <w:bookmarkStart w:id="546" w:name="_Toc111494816"/>
      <w:bookmarkStart w:id="547" w:name="_Toc111540688"/>
      <w:bookmarkStart w:id="548" w:name="_Toc111559252"/>
      <w:bookmarkStart w:id="549" w:name="_Toc113196524"/>
      <w:bookmarkStart w:id="550" w:name="_Toc113196872"/>
      <w:bookmarkStart w:id="551" w:name="_Toc113262002"/>
      <w:bookmarkStart w:id="552" w:name="_Toc113349156"/>
      <w:bookmarkStart w:id="553" w:name="_Toc113358081"/>
      <w:r w:rsidRPr="00BD77D8">
        <w:rPr>
          <w:rFonts w:eastAsia="Arial"/>
          <w:b/>
          <w:bCs/>
          <w:sz w:val="22"/>
          <w:szCs w:val="22"/>
          <w:lang w:eastAsia="en-US"/>
        </w:rPr>
        <w:t>D1 Financial Risk Disclosures</w:t>
      </w:r>
      <w:bookmarkEnd w:id="546"/>
      <w:bookmarkEnd w:id="547"/>
      <w:bookmarkEnd w:id="548"/>
      <w:bookmarkEnd w:id="549"/>
      <w:bookmarkEnd w:id="550"/>
      <w:bookmarkEnd w:id="551"/>
      <w:bookmarkEnd w:id="552"/>
      <w:bookmarkEnd w:id="553"/>
    </w:p>
    <w:p w14:paraId="01B61879" w14:textId="77777777" w:rsidR="00B9311E" w:rsidRPr="00BD77D8" w:rsidRDefault="00B9311E" w:rsidP="006226A9">
      <w:pPr>
        <w:spacing w:line="205" w:lineRule="exact"/>
        <w:textAlignment w:val="baseline"/>
        <w:rPr>
          <w:rFonts w:eastAsia="Arial"/>
          <w:b/>
          <w:bCs/>
          <w:spacing w:val="1"/>
          <w:sz w:val="18"/>
          <w:szCs w:val="18"/>
          <w:lang w:eastAsia="en-US"/>
        </w:rPr>
      </w:pPr>
      <w:r w:rsidRPr="00BD77D8">
        <w:rPr>
          <w:rFonts w:eastAsia="Arial"/>
          <w:b/>
          <w:bCs/>
          <w:spacing w:val="1"/>
          <w:sz w:val="18"/>
          <w:szCs w:val="18"/>
          <w:lang w:eastAsia="en-US"/>
        </w:rPr>
        <w:t>D1-1 Financial Instrument Categories</w:t>
      </w:r>
    </w:p>
    <w:p w14:paraId="39EA3E20" w14:textId="77777777" w:rsidR="00B9311E" w:rsidRPr="00BD77D8" w:rsidRDefault="00B9311E" w:rsidP="006226A9">
      <w:pPr>
        <w:spacing w:line="206" w:lineRule="exact"/>
        <w:ind w:right="288"/>
        <w:textAlignment w:val="baseline"/>
        <w:rPr>
          <w:rFonts w:eastAsia="Arial"/>
          <w:b/>
          <w:bCs/>
          <w:sz w:val="18"/>
          <w:szCs w:val="18"/>
          <w:lang w:eastAsia="en-US"/>
        </w:rPr>
      </w:pPr>
      <w:r w:rsidRPr="00BD77D8">
        <w:rPr>
          <w:rFonts w:eastAsia="Arial"/>
          <w:sz w:val="18"/>
          <w:szCs w:val="18"/>
          <w:lang w:eastAsia="en-US"/>
        </w:rPr>
        <w:t xml:space="preserve">Financial assets and financial liabilities are recognised in the statement of financial position when the department becomes party to the contractual provisions of the financial instrument. </w:t>
      </w:r>
    </w:p>
    <w:p w14:paraId="3B0F3662" w14:textId="77777777" w:rsidR="00B9311E" w:rsidRPr="00BD77D8" w:rsidRDefault="00B9311E" w:rsidP="00B9311E">
      <w:pPr>
        <w:spacing w:after="0" w:line="206" w:lineRule="exact"/>
        <w:ind w:right="288"/>
        <w:textAlignment w:val="baseline"/>
        <w:rPr>
          <w:rFonts w:eastAsia="PMingLiU"/>
          <w:sz w:val="18"/>
          <w:szCs w:val="22"/>
          <w:lang w:val="en-US" w:eastAsia="en-US"/>
        </w:rPr>
      </w:pPr>
      <w:r w:rsidRPr="00BD77D8">
        <w:rPr>
          <w:rFonts w:eastAsia="Arial"/>
          <w:sz w:val="18"/>
          <w:szCs w:val="18"/>
          <w:lang w:eastAsia="en-US"/>
        </w:rPr>
        <w:t>The department has the following categories of financial assets and financial liabilities:</w:t>
      </w:r>
    </w:p>
    <w:tbl>
      <w:tblPr>
        <w:tblW w:w="10206" w:type="dxa"/>
        <w:tblCellMar>
          <w:left w:w="0" w:type="dxa"/>
          <w:right w:w="0" w:type="dxa"/>
        </w:tblCellMar>
        <w:tblLook w:val="04A0" w:firstRow="1" w:lastRow="0" w:firstColumn="1" w:lastColumn="0" w:noHBand="0" w:noVBand="1"/>
      </w:tblPr>
      <w:tblGrid>
        <w:gridCol w:w="6342"/>
        <w:gridCol w:w="1848"/>
        <w:gridCol w:w="1118"/>
        <w:gridCol w:w="898"/>
      </w:tblGrid>
      <w:tr w:rsidR="00BD77D8" w:rsidRPr="00BD77D8" w14:paraId="2CE5E946" w14:textId="77777777" w:rsidTr="003057FB">
        <w:trPr>
          <w:trHeight w:val="267"/>
        </w:trPr>
        <w:tc>
          <w:tcPr>
            <w:tcW w:w="6367" w:type="dxa"/>
            <w:tcBorders>
              <w:top w:val="nil"/>
              <w:left w:val="nil"/>
              <w:bottom w:val="nil"/>
              <w:right w:val="nil"/>
            </w:tcBorders>
            <w:shd w:val="clear" w:color="auto" w:fill="auto"/>
            <w:vAlign w:val="center"/>
            <w:hideMark/>
          </w:tcPr>
          <w:p w14:paraId="51A62B30" w14:textId="77777777" w:rsidR="00B9311E" w:rsidRPr="00BD77D8" w:rsidRDefault="00B9311E" w:rsidP="00B9311E">
            <w:pPr>
              <w:spacing w:after="0" w:line="240" w:lineRule="auto"/>
              <w:rPr>
                <w:rFonts w:ascii="Times New Roman" w:hAnsi="Times New Roman" w:cs="Times New Roman"/>
                <w:sz w:val="24"/>
                <w:szCs w:val="24"/>
              </w:rPr>
            </w:pPr>
          </w:p>
        </w:tc>
        <w:tc>
          <w:tcPr>
            <w:tcW w:w="1855" w:type="dxa"/>
            <w:tcBorders>
              <w:top w:val="nil"/>
              <w:left w:val="nil"/>
              <w:bottom w:val="nil"/>
              <w:right w:val="nil"/>
            </w:tcBorders>
            <w:shd w:val="clear" w:color="auto" w:fill="auto"/>
            <w:vAlign w:val="center"/>
            <w:hideMark/>
          </w:tcPr>
          <w:p w14:paraId="6ED3A541" w14:textId="77777777" w:rsidR="00B9311E" w:rsidRPr="00BD77D8" w:rsidRDefault="00B9311E" w:rsidP="00B9311E">
            <w:pPr>
              <w:spacing w:after="0" w:line="240" w:lineRule="auto"/>
              <w:rPr>
                <w:rFonts w:ascii="Times New Roman" w:hAnsi="Times New Roman" w:cs="Times New Roman"/>
                <w:b/>
                <w:bCs/>
                <w:sz w:val="20"/>
                <w:szCs w:val="20"/>
              </w:rPr>
            </w:pPr>
          </w:p>
        </w:tc>
        <w:tc>
          <w:tcPr>
            <w:tcW w:w="1102" w:type="dxa"/>
            <w:tcBorders>
              <w:top w:val="nil"/>
              <w:left w:val="nil"/>
              <w:bottom w:val="nil"/>
              <w:right w:val="nil"/>
            </w:tcBorders>
            <w:shd w:val="clear" w:color="auto" w:fill="auto"/>
            <w:noWrap/>
            <w:vAlign w:val="bottom"/>
            <w:hideMark/>
          </w:tcPr>
          <w:p w14:paraId="4877A021"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882" w:type="dxa"/>
            <w:tcBorders>
              <w:top w:val="nil"/>
              <w:left w:val="nil"/>
              <w:bottom w:val="nil"/>
              <w:right w:val="nil"/>
            </w:tcBorders>
            <w:shd w:val="clear" w:color="auto" w:fill="auto"/>
            <w:noWrap/>
            <w:vAlign w:val="bottom"/>
            <w:hideMark/>
          </w:tcPr>
          <w:p w14:paraId="3046F306"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F485EC7" w14:textId="77777777" w:rsidTr="003057FB">
        <w:trPr>
          <w:trHeight w:val="267"/>
        </w:trPr>
        <w:tc>
          <w:tcPr>
            <w:tcW w:w="6367" w:type="dxa"/>
            <w:tcBorders>
              <w:top w:val="nil"/>
              <w:left w:val="nil"/>
              <w:bottom w:val="nil"/>
              <w:right w:val="nil"/>
            </w:tcBorders>
            <w:shd w:val="clear" w:color="auto" w:fill="auto"/>
            <w:vAlign w:val="center"/>
            <w:hideMark/>
          </w:tcPr>
          <w:p w14:paraId="0B32EFD6" w14:textId="77777777" w:rsidR="00B9311E" w:rsidRPr="00BD77D8" w:rsidRDefault="00B9311E" w:rsidP="00B9311E">
            <w:pPr>
              <w:spacing w:after="0" w:line="240" w:lineRule="auto"/>
              <w:jc w:val="right"/>
              <w:rPr>
                <w:sz w:val="18"/>
                <w:szCs w:val="18"/>
              </w:rPr>
            </w:pPr>
          </w:p>
        </w:tc>
        <w:tc>
          <w:tcPr>
            <w:tcW w:w="1855" w:type="dxa"/>
            <w:tcBorders>
              <w:top w:val="nil"/>
              <w:left w:val="nil"/>
              <w:bottom w:val="nil"/>
              <w:right w:val="nil"/>
            </w:tcBorders>
            <w:shd w:val="clear" w:color="auto" w:fill="auto"/>
            <w:vAlign w:val="center"/>
            <w:hideMark/>
          </w:tcPr>
          <w:p w14:paraId="3C278A35"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102" w:type="dxa"/>
            <w:tcBorders>
              <w:top w:val="nil"/>
              <w:left w:val="nil"/>
              <w:bottom w:val="single" w:sz="4" w:space="0" w:color="auto"/>
              <w:right w:val="nil"/>
            </w:tcBorders>
            <w:shd w:val="clear" w:color="auto" w:fill="auto"/>
            <w:vAlign w:val="center"/>
            <w:hideMark/>
          </w:tcPr>
          <w:p w14:paraId="53EDE633"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882" w:type="dxa"/>
            <w:tcBorders>
              <w:top w:val="nil"/>
              <w:left w:val="nil"/>
              <w:bottom w:val="single" w:sz="4" w:space="0" w:color="auto"/>
              <w:right w:val="nil"/>
            </w:tcBorders>
            <w:shd w:val="clear" w:color="auto" w:fill="auto"/>
            <w:vAlign w:val="center"/>
            <w:hideMark/>
          </w:tcPr>
          <w:p w14:paraId="68A50F4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1302A332" w14:textId="77777777" w:rsidTr="003057FB">
        <w:trPr>
          <w:trHeight w:val="267"/>
        </w:trPr>
        <w:tc>
          <w:tcPr>
            <w:tcW w:w="6367" w:type="dxa"/>
            <w:tcBorders>
              <w:top w:val="nil"/>
              <w:left w:val="nil"/>
              <w:bottom w:val="nil"/>
              <w:right w:val="nil"/>
            </w:tcBorders>
            <w:shd w:val="clear" w:color="auto" w:fill="auto"/>
            <w:vAlign w:val="center"/>
            <w:hideMark/>
          </w:tcPr>
          <w:p w14:paraId="3668CA6A" w14:textId="77777777" w:rsidR="00B9311E" w:rsidRPr="00BD77D8" w:rsidRDefault="00B9311E" w:rsidP="00B9311E">
            <w:pPr>
              <w:spacing w:after="0" w:line="240" w:lineRule="auto"/>
              <w:rPr>
                <w:b/>
                <w:bCs/>
                <w:sz w:val="18"/>
                <w:szCs w:val="18"/>
              </w:rPr>
            </w:pPr>
            <w:r w:rsidRPr="00BD77D8">
              <w:rPr>
                <w:b/>
                <w:bCs/>
                <w:sz w:val="18"/>
                <w:szCs w:val="18"/>
              </w:rPr>
              <w:t xml:space="preserve"> Financial Assets </w:t>
            </w:r>
          </w:p>
        </w:tc>
        <w:tc>
          <w:tcPr>
            <w:tcW w:w="1855" w:type="dxa"/>
            <w:tcBorders>
              <w:top w:val="nil"/>
              <w:left w:val="nil"/>
              <w:bottom w:val="nil"/>
              <w:right w:val="nil"/>
            </w:tcBorders>
            <w:shd w:val="clear" w:color="auto" w:fill="auto"/>
            <w:vAlign w:val="center"/>
            <w:hideMark/>
          </w:tcPr>
          <w:p w14:paraId="6D2A2157" w14:textId="77777777" w:rsidR="00B9311E" w:rsidRPr="00BD77D8" w:rsidRDefault="00B9311E" w:rsidP="00B9311E">
            <w:pPr>
              <w:spacing w:after="0" w:line="240" w:lineRule="auto"/>
              <w:rPr>
                <w:b/>
                <w:bCs/>
                <w:sz w:val="18"/>
                <w:szCs w:val="18"/>
              </w:rPr>
            </w:pPr>
          </w:p>
        </w:tc>
        <w:tc>
          <w:tcPr>
            <w:tcW w:w="1102" w:type="dxa"/>
            <w:tcBorders>
              <w:top w:val="nil"/>
              <w:left w:val="nil"/>
              <w:bottom w:val="nil"/>
              <w:right w:val="nil"/>
            </w:tcBorders>
            <w:shd w:val="clear" w:color="auto" w:fill="auto"/>
            <w:vAlign w:val="center"/>
            <w:hideMark/>
          </w:tcPr>
          <w:p w14:paraId="044E08D6"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882" w:type="dxa"/>
            <w:tcBorders>
              <w:top w:val="nil"/>
              <w:left w:val="nil"/>
              <w:bottom w:val="nil"/>
              <w:right w:val="nil"/>
            </w:tcBorders>
            <w:shd w:val="clear" w:color="auto" w:fill="auto"/>
            <w:vAlign w:val="center"/>
            <w:hideMark/>
          </w:tcPr>
          <w:p w14:paraId="40B5A18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37C43A7E" w14:textId="77777777" w:rsidTr="003057FB">
        <w:trPr>
          <w:trHeight w:val="267"/>
        </w:trPr>
        <w:tc>
          <w:tcPr>
            <w:tcW w:w="6367" w:type="dxa"/>
            <w:tcBorders>
              <w:top w:val="nil"/>
              <w:left w:val="nil"/>
              <w:bottom w:val="nil"/>
              <w:right w:val="nil"/>
            </w:tcBorders>
            <w:shd w:val="clear" w:color="auto" w:fill="auto"/>
            <w:vAlign w:val="center"/>
            <w:hideMark/>
          </w:tcPr>
          <w:p w14:paraId="673B5EE6" w14:textId="77777777" w:rsidR="00B9311E" w:rsidRPr="00BD77D8" w:rsidRDefault="00B9311E" w:rsidP="00B9311E">
            <w:pPr>
              <w:spacing w:after="0" w:line="240" w:lineRule="auto"/>
              <w:rPr>
                <w:sz w:val="18"/>
                <w:szCs w:val="18"/>
              </w:rPr>
            </w:pPr>
            <w:r w:rsidRPr="00BD77D8">
              <w:rPr>
                <w:sz w:val="18"/>
                <w:szCs w:val="18"/>
              </w:rPr>
              <w:t xml:space="preserve"> Cash and cash equivalents </w:t>
            </w:r>
          </w:p>
        </w:tc>
        <w:tc>
          <w:tcPr>
            <w:tcW w:w="1855" w:type="dxa"/>
            <w:tcBorders>
              <w:top w:val="nil"/>
              <w:left w:val="nil"/>
              <w:bottom w:val="nil"/>
              <w:right w:val="nil"/>
            </w:tcBorders>
            <w:shd w:val="clear" w:color="auto" w:fill="auto"/>
            <w:vAlign w:val="center"/>
            <w:hideMark/>
          </w:tcPr>
          <w:p w14:paraId="6BB47E0F" w14:textId="77777777" w:rsidR="00B9311E" w:rsidRPr="00BD77D8" w:rsidRDefault="00B9311E" w:rsidP="00B9311E">
            <w:pPr>
              <w:spacing w:after="0" w:line="240" w:lineRule="auto"/>
              <w:jc w:val="center"/>
              <w:rPr>
                <w:b/>
                <w:bCs/>
                <w:sz w:val="18"/>
                <w:szCs w:val="18"/>
              </w:rPr>
            </w:pPr>
            <w:r w:rsidRPr="00BD77D8">
              <w:rPr>
                <w:b/>
                <w:bCs/>
                <w:sz w:val="18"/>
                <w:szCs w:val="18"/>
              </w:rPr>
              <w:t xml:space="preserve"> C1 </w:t>
            </w:r>
          </w:p>
        </w:tc>
        <w:tc>
          <w:tcPr>
            <w:tcW w:w="1102" w:type="dxa"/>
            <w:tcBorders>
              <w:top w:val="nil"/>
              <w:left w:val="nil"/>
              <w:bottom w:val="nil"/>
              <w:right w:val="nil"/>
            </w:tcBorders>
            <w:shd w:val="clear" w:color="auto" w:fill="auto"/>
            <w:vAlign w:val="center"/>
            <w:hideMark/>
          </w:tcPr>
          <w:p w14:paraId="065503DB" w14:textId="77777777" w:rsidR="00B9311E" w:rsidRPr="00BD77D8" w:rsidRDefault="00B9311E" w:rsidP="00B9311E">
            <w:pPr>
              <w:spacing w:after="0" w:line="240" w:lineRule="auto"/>
              <w:jc w:val="right"/>
              <w:rPr>
                <w:sz w:val="18"/>
                <w:szCs w:val="18"/>
              </w:rPr>
            </w:pPr>
            <w:r w:rsidRPr="00BD77D8">
              <w:rPr>
                <w:sz w:val="18"/>
                <w:szCs w:val="18"/>
              </w:rPr>
              <w:t xml:space="preserve">    51,005 </w:t>
            </w:r>
          </w:p>
        </w:tc>
        <w:tc>
          <w:tcPr>
            <w:tcW w:w="882" w:type="dxa"/>
            <w:tcBorders>
              <w:top w:val="nil"/>
              <w:left w:val="nil"/>
              <w:bottom w:val="nil"/>
              <w:right w:val="nil"/>
            </w:tcBorders>
            <w:shd w:val="clear" w:color="auto" w:fill="auto"/>
            <w:vAlign w:val="center"/>
            <w:hideMark/>
          </w:tcPr>
          <w:p w14:paraId="0681AC86" w14:textId="77777777" w:rsidR="00B9311E" w:rsidRPr="00BD77D8" w:rsidRDefault="00B9311E" w:rsidP="00B9311E">
            <w:pPr>
              <w:spacing w:after="0" w:line="240" w:lineRule="auto"/>
              <w:jc w:val="right"/>
              <w:rPr>
                <w:sz w:val="18"/>
                <w:szCs w:val="18"/>
              </w:rPr>
            </w:pPr>
            <w:r w:rsidRPr="00BD77D8">
              <w:rPr>
                <w:sz w:val="18"/>
                <w:szCs w:val="18"/>
              </w:rPr>
              <w:t xml:space="preserve"> 54,840 </w:t>
            </w:r>
          </w:p>
        </w:tc>
      </w:tr>
      <w:tr w:rsidR="00BD77D8" w:rsidRPr="00BD77D8" w14:paraId="1FC4B71B" w14:textId="77777777" w:rsidTr="003057FB">
        <w:trPr>
          <w:trHeight w:val="267"/>
        </w:trPr>
        <w:tc>
          <w:tcPr>
            <w:tcW w:w="6367" w:type="dxa"/>
            <w:tcBorders>
              <w:top w:val="nil"/>
              <w:left w:val="nil"/>
              <w:bottom w:val="nil"/>
              <w:right w:val="nil"/>
            </w:tcBorders>
            <w:shd w:val="clear" w:color="auto" w:fill="auto"/>
            <w:vAlign w:val="center"/>
            <w:hideMark/>
          </w:tcPr>
          <w:p w14:paraId="7E04B4E2" w14:textId="77777777" w:rsidR="00B9311E" w:rsidRPr="00BD77D8" w:rsidRDefault="00B9311E" w:rsidP="00B9311E">
            <w:pPr>
              <w:spacing w:after="0" w:line="240" w:lineRule="auto"/>
              <w:rPr>
                <w:sz w:val="18"/>
                <w:szCs w:val="18"/>
              </w:rPr>
            </w:pPr>
            <w:r w:rsidRPr="00BD77D8">
              <w:rPr>
                <w:sz w:val="18"/>
                <w:szCs w:val="18"/>
              </w:rPr>
              <w:t xml:space="preserve"> Financial assets at amortised cost: </w:t>
            </w:r>
          </w:p>
        </w:tc>
        <w:tc>
          <w:tcPr>
            <w:tcW w:w="1855" w:type="dxa"/>
            <w:tcBorders>
              <w:top w:val="nil"/>
              <w:left w:val="nil"/>
              <w:bottom w:val="nil"/>
              <w:right w:val="nil"/>
            </w:tcBorders>
            <w:shd w:val="clear" w:color="auto" w:fill="auto"/>
            <w:vAlign w:val="center"/>
            <w:hideMark/>
          </w:tcPr>
          <w:p w14:paraId="159C3C63" w14:textId="77777777" w:rsidR="00B9311E" w:rsidRPr="00BD77D8" w:rsidRDefault="00B9311E" w:rsidP="00B9311E">
            <w:pPr>
              <w:spacing w:after="0" w:line="240" w:lineRule="auto"/>
              <w:rPr>
                <w:b/>
                <w:bCs/>
                <w:sz w:val="18"/>
                <w:szCs w:val="18"/>
              </w:rPr>
            </w:pPr>
          </w:p>
        </w:tc>
        <w:tc>
          <w:tcPr>
            <w:tcW w:w="1102" w:type="dxa"/>
            <w:tcBorders>
              <w:top w:val="nil"/>
              <w:left w:val="nil"/>
              <w:bottom w:val="nil"/>
              <w:right w:val="nil"/>
            </w:tcBorders>
            <w:shd w:val="clear" w:color="auto" w:fill="auto"/>
            <w:vAlign w:val="center"/>
            <w:hideMark/>
          </w:tcPr>
          <w:p w14:paraId="25C5663A"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82" w:type="dxa"/>
            <w:tcBorders>
              <w:top w:val="nil"/>
              <w:left w:val="nil"/>
              <w:bottom w:val="nil"/>
              <w:right w:val="nil"/>
            </w:tcBorders>
            <w:shd w:val="clear" w:color="auto" w:fill="auto"/>
            <w:vAlign w:val="center"/>
            <w:hideMark/>
          </w:tcPr>
          <w:p w14:paraId="20EF84C1"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57B55D73" w14:textId="77777777" w:rsidTr="003057FB">
        <w:trPr>
          <w:trHeight w:val="267"/>
        </w:trPr>
        <w:tc>
          <w:tcPr>
            <w:tcW w:w="6367" w:type="dxa"/>
            <w:tcBorders>
              <w:top w:val="nil"/>
              <w:left w:val="nil"/>
              <w:bottom w:val="nil"/>
              <w:right w:val="nil"/>
            </w:tcBorders>
            <w:shd w:val="clear" w:color="auto" w:fill="auto"/>
            <w:vAlign w:val="center"/>
            <w:hideMark/>
          </w:tcPr>
          <w:p w14:paraId="58B15C3A" w14:textId="77777777" w:rsidR="00B9311E" w:rsidRPr="00BD77D8" w:rsidRDefault="00B9311E" w:rsidP="00B9311E">
            <w:pPr>
              <w:spacing w:after="0" w:line="240" w:lineRule="auto"/>
              <w:rPr>
                <w:sz w:val="18"/>
                <w:szCs w:val="18"/>
              </w:rPr>
            </w:pPr>
            <w:r w:rsidRPr="00BD77D8">
              <w:rPr>
                <w:sz w:val="18"/>
                <w:szCs w:val="18"/>
              </w:rPr>
              <w:t xml:space="preserve"> Current Receivables </w:t>
            </w:r>
          </w:p>
        </w:tc>
        <w:tc>
          <w:tcPr>
            <w:tcW w:w="1855" w:type="dxa"/>
            <w:tcBorders>
              <w:top w:val="nil"/>
              <w:left w:val="nil"/>
              <w:bottom w:val="nil"/>
              <w:right w:val="nil"/>
            </w:tcBorders>
            <w:shd w:val="clear" w:color="auto" w:fill="auto"/>
            <w:vAlign w:val="center"/>
            <w:hideMark/>
          </w:tcPr>
          <w:p w14:paraId="272BF99C" w14:textId="77777777" w:rsidR="00B9311E" w:rsidRPr="00BD77D8" w:rsidRDefault="00B9311E" w:rsidP="00B9311E">
            <w:pPr>
              <w:spacing w:after="0" w:line="240" w:lineRule="auto"/>
              <w:jc w:val="center"/>
              <w:rPr>
                <w:b/>
                <w:bCs/>
                <w:sz w:val="18"/>
                <w:szCs w:val="18"/>
              </w:rPr>
            </w:pPr>
            <w:r w:rsidRPr="00BD77D8">
              <w:rPr>
                <w:b/>
                <w:bCs/>
                <w:sz w:val="18"/>
                <w:szCs w:val="18"/>
              </w:rPr>
              <w:t xml:space="preserve"> C2 </w:t>
            </w:r>
          </w:p>
        </w:tc>
        <w:tc>
          <w:tcPr>
            <w:tcW w:w="1102" w:type="dxa"/>
            <w:tcBorders>
              <w:top w:val="nil"/>
              <w:left w:val="nil"/>
              <w:bottom w:val="nil"/>
              <w:right w:val="nil"/>
            </w:tcBorders>
            <w:shd w:val="clear" w:color="auto" w:fill="auto"/>
            <w:vAlign w:val="center"/>
            <w:hideMark/>
          </w:tcPr>
          <w:p w14:paraId="5D1395A9" w14:textId="77777777" w:rsidR="00B9311E" w:rsidRPr="00BD77D8" w:rsidRDefault="00B9311E" w:rsidP="00B9311E">
            <w:pPr>
              <w:spacing w:after="0" w:line="240" w:lineRule="auto"/>
              <w:jc w:val="right"/>
              <w:rPr>
                <w:sz w:val="18"/>
                <w:szCs w:val="18"/>
              </w:rPr>
            </w:pPr>
            <w:r w:rsidRPr="00BD77D8">
              <w:rPr>
                <w:sz w:val="18"/>
                <w:szCs w:val="18"/>
              </w:rPr>
              <w:t xml:space="preserve">      7,510 </w:t>
            </w:r>
          </w:p>
        </w:tc>
        <w:tc>
          <w:tcPr>
            <w:tcW w:w="882" w:type="dxa"/>
            <w:tcBorders>
              <w:top w:val="nil"/>
              <w:left w:val="nil"/>
              <w:bottom w:val="nil"/>
              <w:right w:val="nil"/>
            </w:tcBorders>
            <w:shd w:val="clear" w:color="auto" w:fill="auto"/>
            <w:vAlign w:val="center"/>
            <w:hideMark/>
          </w:tcPr>
          <w:p w14:paraId="536152E1" w14:textId="77777777" w:rsidR="00B9311E" w:rsidRPr="00BD77D8" w:rsidRDefault="00B9311E" w:rsidP="00B9311E">
            <w:pPr>
              <w:spacing w:after="0" w:line="240" w:lineRule="auto"/>
              <w:jc w:val="right"/>
              <w:rPr>
                <w:sz w:val="18"/>
                <w:szCs w:val="18"/>
              </w:rPr>
            </w:pPr>
            <w:r w:rsidRPr="00BD77D8">
              <w:rPr>
                <w:sz w:val="18"/>
                <w:szCs w:val="18"/>
              </w:rPr>
              <w:t xml:space="preserve">    6,009 </w:t>
            </w:r>
          </w:p>
        </w:tc>
      </w:tr>
      <w:tr w:rsidR="00BD77D8" w:rsidRPr="00BD77D8" w14:paraId="2416F5AF" w14:textId="77777777" w:rsidTr="003057FB">
        <w:trPr>
          <w:trHeight w:val="267"/>
        </w:trPr>
        <w:tc>
          <w:tcPr>
            <w:tcW w:w="6367" w:type="dxa"/>
            <w:tcBorders>
              <w:top w:val="nil"/>
              <w:left w:val="nil"/>
              <w:bottom w:val="nil"/>
              <w:right w:val="nil"/>
            </w:tcBorders>
            <w:shd w:val="clear" w:color="auto" w:fill="auto"/>
            <w:vAlign w:val="center"/>
            <w:hideMark/>
          </w:tcPr>
          <w:p w14:paraId="63CEEB34" w14:textId="77777777" w:rsidR="00B9311E" w:rsidRPr="00BD77D8" w:rsidRDefault="00B9311E" w:rsidP="00B9311E">
            <w:pPr>
              <w:spacing w:after="0" w:line="240" w:lineRule="auto"/>
              <w:rPr>
                <w:b/>
                <w:bCs/>
                <w:sz w:val="18"/>
                <w:szCs w:val="18"/>
              </w:rPr>
            </w:pPr>
            <w:r w:rsidRPr="00BD77D8">
              <w:rPr>
                <w:b/>
                <w:bCs/>
                <w:sz w:val="18"/>
                <w:szCs w:val="18"/>
              </w:rPr>
              <w:t xml:space="preserve"> Total financial assets </w:t>
            </w:r>
          </w:p>
        </w:tc>
        <w:tc>
          <w:tcPr>
            <w:tcW w:w="1855" w:type="dxa"/>
            <w:tcBorders>
              <w:top w:val="nil"/>
              <w:left w:val="nil"/>
              <w:bottom w:val="nil"/>
              <w:right w:val="nil"/>
            </w:tcBorders>
            <w:shd w:val="clear" w:color="auto" w:fill="auto"/>
            <w:vAlign w:val="center"/>
            <w:hideMark/>
          </w:tcPr>
          <w:p w14:paraId="14220F59" w14:textId="77777777" w:rsidR="00B9311E" w:rsidRPr="00BD77D8" w:rsidRDefault="00B9311E" w:rsidP="00B9311E">
            <w:pPr>
              <w:spacing w:after="0" w:line="240" w:lineRule="auto"/>
              <w:rPr>
                <w:b/>
                <w:bCs/>
                <w:sz w:val="18"/>
                <w:szCs w:val="18"/>
              </w:rPr>
            </w:pPr>
          </w:p>
        </w:tc>
        <w:tc>
          <w:tcPr>
            <w:tcW w:w="1102" w:type="dxa"/>
            <w:tcBorders>
              <w:top w:val="single" w:sz="4" w:space="0" w:color="auto"/>
              <w:left w:val="nil"/>
              <w:bottom w:val="single" w:sz="4" w:space="0" w:color="auto"/>
              <w:right w:val="nil"/>
            </w:tcBorders>
            <w:shd w:val="clear" w:color="auto" w:fill="auto"/>
            <w:vAlign w:val="center"/>
            <w:hideMark/>
          </w:tcPr>
          <w:p w14:paraId="79B37A8F" w14:textId="77777777" w:rsidR="00B9311E" w:rsidRPr="00BD77D8" w:rsidRDefault="00B9311E" w:rsidP="00B9311E">
            <w:pPr>
              <w:spacing w:after="0" w:line="240" w:lineRule="auto"/>
              <w:jc w:val="right"/>
              <w:rPr>
                <w:b/>
                <w:bCs/>
                <w:sz w:val="18"/>
                <w:szCs w:val="18"/>
              </w:rPr>
            </w:pPr>
            <w:r w:rsidRPr="00BD77D8">
              <w:rPr>
                <w:b/>
                <w:bCs/>
                <w:sz w:val="18"/>
                <w:szCs w:val="18"/>
              </w:rPr>
              <w:t xml:space="preserve">    58,515 </w:t>
            </w:r>
          </w:p>
        </w:tc>
        <w:tc>
          <w:tcPr>
            <w:tcW w:w="882" w:type="dxa"/>
            <w:tcBorders>
              <w:top w:val="single" w:sz="4" w:space="0" w:color="auto"/>
              <w:left w:val="nil"/>
              <w:bottom w:val="single" w:sz="4" w:space="0" w:color="auto"/>
              <w:right w:val="nil"/>
            </w:tcBorders>
            <w:shd w:val="clear" w:color="auto" w:fill="auto"/>
            <w:vAlign w:val="center"/>
            <w:hideMark/>
          </w:tcPr>
          <w:p w14:paraId="7571A6BF" w14:textId="77777777" w:rsidR="00B9311E" w:rsidRPr="00BD77D8" w:rsidRDefault="00B9311E" w:rsidP="00B9311E">
            <w:pPr>
              <w:spacing w:after="0" w:line="240" w:lineRule="auto"/>
              <w:jc w:val="right"/>
              <w:rPr>
                <w:b/>
                <w:bCs/>
                <w:sz w:val="18"/>
                <w:szCs w:val="18"/>
              </w:rPr>
            </w:pPr>
            <w:r w:rsidRPr="00BD77D8">
              <w:rPr>
                <w:b/>
                <w:bCs/>
                <w:sz w:val="18"/>
                <w:szCs w:val="18"/>
              </w:rPr>
              <w:t xml:space="preserve"> 60,849 </w:t>
            </w:r>
          </w:p>
        </w:tc>
      </w:tr>
      <w:tr w:rsidR="00BD77D8" w:rsidRPr="00BD77D8" w14:paraId="0277DF11" w14:textId="77777777" w:rsidTr="003057FB">
        <w:trPr>
          <w:trHeight w:val="267"/>
        </w:trPr>
        <w:tc>
          <w:tcPr>
            <w:tcW w:w="6367" w:type="dxa"/>
            <w:tcBorders>
              <w:top w:val="nil"/>
              <w:left w:val="nil"/>
              <w:bottom w:val="nil"/>
              <w:right w:val="nil"/>
            </w:tcBorders>
            <w:shd w:val="clear" w:color="auto" w:fill="auto"/>
            <w:vAlign w:val="center"/>
            <w:hideMark/>
          </w:tcPr>
          <w:p w14:paraId="1FDBFDA3" w14:textId="77777777" w:rsidR="00B9311E" w:rsidRPr="00BD77D8" w:rsidRDefault="00B9311E" w:rsidP="00B9311E">
            <w:pPr>
              <w:spacing w:after="0" w:line="240" w:lineRule="auto"/>
              <w:rPr>
                <w:b/>
                <w:bCs/>
                <w:sz w:val="18"/>
                <w:szCs w:val="18"/>
              </w:rPr>
            </w:pPr>
            <w:r w:rsidRPr="00BD77D8">
              <w:rPr>
                <w:b/>
                <w:bCs/>
                <w:sz w:val="18"/>
                <w:szCs w:val="18"/>
              </w:rPr>
              <w:t xml:space="preserve"> Financial Liabilities </w:t>
            </w:r>
          </w:p>
        </w:tc>
        <w:tc>
          <w:tcPr>
            <w:tcW w:w="1855" w:type="dxa"/>
            <w:tcBorders>
              <w:top w:val="nil"/>
              <w:left w:val="nil"/>
              <w:bottom w:val="nil"/>
              <w:right w:val="nil"/>
            </w:tcBorders>
            <w:shd w:val="clear" w:color="auto" w:fill="auto"/>
            <w:vAlign w:val="center"/>
            <w:hideMark/>
          </w:tcPr>
          <w:p w14:paraId="559E1F7E" w14:textId="77777777" w:rsidR="00B9311E" w:rsidRPr="00BD77D8" w:rsidRDefault="00B9311E" w:rsidP="00B9311E">
            <w:pPr>
              <w:spacing w:after="0" w:line="240" w:lineRule="auto"/>
              <w:rPr>
                <w:b/>
                <w:bCs/>
                <w:sz w:val="18"/>
                <w:szCs w:val="18"/>
              </w:rPr>
            </w:pPr>
          </w:p>
        </w:tc>
        <w:tc>
          <w:tcPr>
            <w:tcW w:w="1102" w:type="dxa"/>
            <w:tcBorders>
              <w:top w:val="nil"/>
              <w:left w:val="nil"/>
              <w:bottom w:val="nil"/>
              <w:right w:val="nil"/>
            </w:tcBorders>
            <w:shd w:val="clear" w:color="auto" w:fill="auto"/>
            <w:vAlign w:val="center"/>
            <w:hideMark/>
          </w:tcPr>
          <w:p w14:paraId="2E2B1757"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882" w:type="dxa"/>
            <w:tcBorders>
              <w:top w:val="nil"/>
              <w:left w:val="nil"/>
              <w:bottom w:val="nil"/>
              <w:right w:val="nil"/>
            </w:tcBorders>
            <w:shd w:val="clear" w:color="auto" w:fill="auto"/>
            <w:vAlign w:val="center"/>
            <w:hideMark/>
          </w:tcPr>
          <w:p w14:paraId="462B340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5C2F7F6B" w14:textId="77777777" w:rsidTr="003057FB">
        <w:trPr>
          <w:trHeight w:val="267"/>
        </w:trPr>
        <w:tc>
          <w:tcPr>
            <w:tcW w:w="6367" w:type="dxa"/>
            <w:tcBorders>
              <w:top w:val="nil"/>
              <w:left w:val="nil"/>
              <w:bottom w:val="nil"/>
              <w:right w:val="nil"/>
            </w:tcBorders>
            <w:shd w:val="clear" w:color="auto" w:fill="auto"/>
            <w:vAlign w:val="center"/>
            <w:hideMark/>
          </w:tcPr>
          <w:p w14:paraId="4BB53F94" w14:textId="77777777" w:rsidR="00B9311E" w:rsidRPr="00BD77D8" w:rsidRDefault="00B9311E" w:rsidP="00B9311E">
            <w:pPr>
              <w:spacing w:after="0" w:line="240" w:lineRule="auto"/>
              <w:rPr>
                <w:sz w:val="18"/>
                <w:szCs w:val="18"/>
              </w:rPr>
            </w:pPr>
            <w:r w:rsidRPr="00BD77D8">
              <w:rPr>
                <w:sz w:val="18"/>
                <w:szCs w:val="18"/>
              </w:rPr>
              <w:t xml:space="preserve"> Financial liabilities at amortised cost: </w:t>
            </w:r>
          </w:p>
        </w:tc>
        <w:tc>
          <w:tcPr>
            <w:tcW w:w="1855" w:type="dxa"/>
            <w:tcBorders>
              <w:top w:val="nil"/>
              <w:left w:val="nil"/>
              <w:bottom w:val="nil"/>
              <w:right w:val="nil"/>
            </w:tcBorders>
            <w:shd w:val="clear" w:color="auto" w:fill="auto"/>
            <w:vAlign w:val="center"/>
            <w:hideMark/>
          </w:tcPr>
          <w:p w14:paraId="0354F7A6" w14:textId="77777777" w:rsidR="00B9311E" w:rsidRPr="00BD77D8" w:rsidRDefault="00B9311E" w:rsidP="00B9311E">
            <w:pPr>
              <w:spacing w:after="0" w:line="240" w:lineRule="auto"/>
              <w:rPr>
                <w:b/>
                <w:bCs/>
                <w:sz w:val="18"/>
                <w:szCs w:val="18"/>
              </w:rPr>
            </w:pPr>
          </w:p>
        </w:tc>
        <w:tc>
          <w:tcPr>
            <w:tcW w:w="1102" w:type="dxa"/>
            <w:tcBorders>
              <w:top w:val="nil"/>
              <w:left w:val="nil"/>
              <w:bottom w:val="nil"/>
              <w:right w:val="nil"/>
            </w:tcBorders>
            <w:shd w:val="clear" w:color="auto" w:fill="auto"/>
            <w:vAlign w:val="center"/>
            <w:hideMark/>
          </w:tcPr>
          <w:p w14:paraId="6DAD4E7A"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82" w:type="dxa"/>
            <w:tcBorders>
              <w:top w:val="nil"/>
              <w:left w:val="nil"/>
              <w:bottom w:val="nil"/>
              <w:right w:val="nil"/>
            </w:tcBorders>
            <w:shd w:val="clear" w:color="auto" w:fill="auto"/>
            <w:vAlign w:val="center"/>
            <w:hideMark/>
          </w:tcPr>
          <w:p w14:paraId="2CA8A0D9"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2F46E70C" w14:textId="77777777" w:rsidTr="003057FB">
        <w:trPr>
          <w:trHeight w:val="267"/>
        </w:trPr>
        <w:tc>
          <w:tcPr>
            <w:tcW w:w="6367" w:type="dxa"/>
            <w:tcBorders>
              <w:top w:val="nil"/>
              <w:left w:val="nil"/>
              <w:bottom w:val="nil"/>
              <w:right w:val="nil"/>
            </w:tcBorders>
            <w:shd w:val="clear" w:color="auto" w:fill="auto"/>
            <w:vAlign w:val="center"/>
            <w:hideMark/>
          </w:tcPr>
          <w:p w14:paraId="25381CDD" w14:textId="77777777" w:rsidR="00B9311E" w:rsidRPr="00BD77D8" w:rsidRDefault="00B9311E" w:rsidP="00B9311E">
            <w:pPr>
              <w:spacing w:after="0" w:line="240" w:lineRule="auto"/>
              <w:rPr>
                <w:sz w:val="18"/>
                <w:szCs w:val="18"/>
              </w:rPr>
            </w:pPr>
            <w:r w:rsidRPr="00BD77D8">
              <w:rPr>
                <w:sz w:val="18"/>
                <w:szCs w:val="18"/>
              </w:rPr>
              <w:t xml:space="preserve"> Payables </w:t>
            </w:r>
          </w:p>
        </w:tc>
        <w:tc>
          <w:tcPr>
            <w:tcW w:w="1855" w:type="dxa"/>
            <w:tcBorders>
              <w:top w:val="nil"/>
              <w:left w:val="nil"/>
              <w:bottom w:val="nil"/>
              <w:right w:val="nil"/>
            </w:tcBorders>
            <w:shd w:val="clear" w:color="auto" w:fill="auto"/>
            <w:vAlign w:val="center"/>
            <w:hideMark/>
          </w:tcPr>
          <w:p w14:paraId="74B820D3" w14:textId="77777777" w:rsidR="00B9311E" w:rsidRPr="00BD77D8" w:rsidRDefault="00B9311E" w:rsidP="00B9311E">
            <w:pPr>
              <w:spacing w:after="0" w:line="240" w:lineRule="auto"/>
              <w:jc w:val="center"/>
              <w:rPr>
                <w:b/>
                <w:bCs/>
                <w:sz w:val="18"/>
                <w:szCs w:val="18"/>
              </w:rPr>
            </w:pPr>
            <w:r w:rsidRPr="00BD77D8">
              <w:rPr>
                <w:b/>
                <w:bCs/>
                <w:sz w:val="18"/>
                <w:szCs w:val="18"/>
              </w:rPr>
              <w:t xml:space="preserve"> C6 </w:t>
            </w:r>
          </w:p>
        </w:tc>
        <w:tc>
          <w:tcPr>
            <w:tcW w:w="1102" w:type="dxa"/>
            <w:tcBorders>
              <w:top w:val="nil"/>
              <w:left w:val="nil"/>
              <w:bottom w:val="nil"/>
              <w:right w:val="nil"/>
            </w:tcBorders>
            <w:shd w:val="clear" w:color="auto" w:fill="auto"/>
            <w:vAlign w:val="center"/>
            <w:hideMark/>
          </w:tcPr>
          <w:p w14:paraId="56D036FC" w14:textId="77777777" w:rsidR="00B9311E" w:rsidRPr="00BD77D8" w:rsidRDefault="00B9311E" w:rsidP="00B9311E">
            <w:pPr>
              <w:spacing w:after="0" w:line="240" w:lineRule="auto"/>
              <w:jc w:val="right"/>
              <w:rPr>
                <w:sz w:val="18"/>
                <w:szCs w:val="18"/>
              </w:rPr>
            </w:pPr>
            <w:r w:rsidRPr="00BD77D8">
              <w:rPr>
                <w:sz w:val="18"/>
                <w:szCs w:val="18"/>
              </w:rPr>
              <w:t xml:space="preserve">    26,482 </w:t>
            </w:r>
          </w:p>
        </w:tc>
        <w:tc>
          <w:tcPr>
            <w:tcW w:w="882" w:type="dxa"/>
            <w:tcBorders>
              <w:top w:val="nil"/>
              <w:left w:val="nil"/>
              <w:bottom w:val="nil"/>
              <w:right w:val="nil"/>
            </w:tcBorders>
            <w:shd w:val="clear" w:color="auto" w:fill="auto"/>
            <w:vAlign w:val="center"/>
            <w:hideMark/>
          </w:tcPr>
          <w:p w14:paraId="0CDA56F7" w14:textId="77777777" w:rsidR="00B9311E" w:rsidRPr="00BD77D8" w:rsidRDefault="00B9311E" w:rsidP="00B9311E">
            <w:pPr>
              <w:spacing w:after="0" w:line="240" w:lineRule="auto"/>
              <w:jc w:val="right"/>
              <w:rPr>
                <w:sz w:val="18"/>
                <w:szCs w:val="18"/>
              </w:rPr>
            </w:pPr>
            <w:r w:rsidRPr="00BD77D8">
              <w:rPr>
                <w:sz w:val="18"/>
                <w:szCs w:val="18"/>
              </w:rPr>
              <w:t xml:space="preserve"> 37,926 </w:t>
            </w:r>
          </w:p>
        </w:tc>
      </w:tr>
      <w:tr w:rsidR="00BD77D8" w:rsidRPr="00BD77D8" w14:paraId="69A67DC0" w14:textId="77777777" w:rsidTr="003057FB">
        <w:trPr>
          <w:trHeight w:val="267"/>
        </w:trPr>
        <w:tc>
          <w:tcPr>
            <w:tcW w:w="6367" w:type="dxa"/>
            <w:tcBorders>
              <w:top w:val="nil"/>
              <w:left w:val="nil"/>
              <w:bottom w:val="nil"/>
              <w:right w:val="nil"/>
            </w:tcBorders>
            <w:shd w:val="clear" w:color="auto" w:fill="auto"/>
            <w:vAlign w:val="center"/>
            <w:hideMark/>
          </w:tcPr>
          <w:p w14:paraId="4E1A7C5E" w14:textId="77777777" w:rsidR="00B9311E" w:rsidRPr="00BD77D8" w:rsidRDefault="00B9311E" w:rsidP="00B9311E">
            <w:pPr>
              <w:spacing w:after="0" w:line="240" w:lineRule="auto"/>
              <w:rPr>
                <w:b/>
                <w:bCs/>
                <w:sz w:val="18"/>
                <w:szCs w:val="18"/>
              </w:rPr>
            </w:pPr>
            <w:r w:rsidRPr="00BD77D8">
              <w:rPr>
                <w:b/>
                <w:bCs/>
                <w:sz w:val="18"/>
                <w:szCs w:val="18"/>
              </w:rPr>
              <w:t xml:space="preserve"> Total financial liabilities at amortised cost </w:t>
            </w:r>
          </w:p>
        </w:tc>
        <w:tc>
          <w:tcPr>
            <w:tcW w:w="1855" w:type="dxa"/>
            <w:tcBorders>
              <w:top w:val="nil"/>
              <w:left w:val="nil"/>
              <w:bottom w:val="nil"/>
              <w:right w:val="nil"/>
            </w:tcBorders>
            <w:shd w:val="clear" w:color="auto" w:fill="auto"/>
            <w:vAlign w:val="center"/>
            <w:hideMark/>
          </w:tcPr>
          <w:p w14:paraId="69220726" w14:textId="77777777" w:rsidR="00B9311E" w:rsidRPr="00BD77D8" w:rsidRDefault="00B9311E" w:rsidP="00B9311E">
            <w:pPr>
              <w:spacing w:after="0" w:line="240" w:lineRule="auto"/>
              <w:rPr>
                <w:b/>
                <w:bCs/>
                <w:sz w:val="18"/>
                <w:szCs w:val="18"/>
              </w:rPr>
            </w:pPr>
          </w:p>
        </w:tc>
        <w:tc>
          <w:tcPr>
            <w:tcW w:w="1102" w:type="dxa"/>
            <w:tcBorders>
              <w:top w:val="single" w:sz="4" w:space="0" w:color="auto"/>
              <w:left w:val="nil"/>
              <w:bottom w:val="single" w:sz="4" w:space="0" w:color="auto"/>
              <w:right w:val="nil"/>
            </w:tcBorders>
            <w:shd w:val="clear" w:color="auto" w:fill="auto"/>
            <w:vAlign w:val="center"/>
            <w:hideMark/>
          </w:tcPr>
          <w:p w14:paraId="59793750" w14:textId="77777777" w:rsidR="00B9311E" w:rsidRPr="00BD77D8" w:rsidRDefault="00B9311E" w:rsidP="00B9311E">
            <w:pPr>
              <w:spacing w:after="0" w:line="240" w:lineRule="auto"/>
              <w:jc w:val="right"/>
              <w:rPr>
                <w:b/>
                <w:bCs/>
                <w:sz w:val="18"/>
                <w:szCs w:val="18"/>
              </w:rPr>
            </w:pPr>
            <w:r w:rsidRPr="00BD77D8">
              <w:rPr>
                <w:b/>
                <w:bCs/>
                <w:sz w:val="18"/>
                <w:szCs w:val="18"/>
              </w:rPr>
              <w:t xml:space="preserve">    26,482 </w:t>
            </w:r>
          </w:p>
        </w:tc>
        <w:tc>
          <w:tcPr>
            <w:tcW w:w="882" w:type="dxa"/>
            <w:tcBorders>
              <w:top w:val="single" w:sz="4" w:space="0" w:color="auto"/>
              <w:left w:val="nil"/>
              <w:bottom w:val="single" w:sz="4" w:space="0" w:color="auto"/>
              <w:right w:val="nil"/>
            </w:tcBorders>
            <w:shd w:val="clear" w:color="auto" w:fill="auto"/>
            <w:vAlign w:val="center"/>
            <w:hideMark/>
          </w:tcPr>
          <w:p w14:paraId="1A4BD13B" w14:textId="77777777" w:rsidR="00B9311E" w:rsidRPr="00BD77D8" w:rsidRDefault="00B9311E" w:rsidP="00B9311E">
            <w:pPr>
              <w:spacing w:after="0" w:line="240" w:lineRule="auto"/>
              <w:jc w:val="right"/>
              <w:rPr>
                <w:b/>
                <w:bCs/>
                <w:sz w:val="18"/>
                <w:szCs w:val="18"/>
              </w:rPr>
            </w:pPr>
            <w:r w:rsidRPr="00BD77D8">
              <w:rPr>
                <w:b/>
                <w:bCs/>
                <w:sz w:val="18"/>
                <w:szCs w:val="18"/>
              </w:rPr>
              <w:t xml:space="preserve"> 37,926 </w:t>
            </w:r>
          </w:p>
        </w:tc>
      </w:tr>
    </w:tbl>
    <w:p w14:paraId="4D5AFB49" w14:textId="77777777" w:rsidR="00B9311E" w:rsidRPr="00BD77D8" w:rsidRDefault="00B9311E" w:rsidP="006226A9">
      <w:pPr>
        <w:spacing w:before="200" w:line="206" w:lineRule="exact"/>
        <w:ind w:right="289"/>
        <w:textAlignment w:val="baseline"/>
        <w:rPr>
          <w:rFonts w:eastAsia="Arial"/>
          <w:b/>
          <w:bCs/>
          <w:sz w:val="18"/>
          <w:szCs w:val="18"/>
          <w:lang w:eastAsia="en-US"/>
        </w:rPr>
      </w:pPr>
      <w:r w:rsidRPr="00BD77D8">
        <w:rPr>
          <w:rFonts w:eastAsia="Arial"/>
          <w:b/>
          <w:bCs/>
          <w:sz w:val="18"/>
          <w:szCs w:val="18"/>
          <w:lang w:eastAsia="en-US"/>
        </w:rPr>
        <w:t>D1-2 Risks Arising from Financial Instruments</w:t>
      </w:r>
    </w:p>
    <w:p w14:paraId="2A1C91B4" w14:textId="77777777" w:rsidR="00B9311E" w:rsidRPr="00BD77D8" w:rsidRDefault="00B9311E" w:rsidP="00B9311E">
      <w:pPr>
        <w:spacing w:after="0" w:line="20" w:lineRule="exact"/>
        <w:rPr>
          <w:rFonts w:eastAsia="PMingLiU"/>
          <w:sz w:val="18"/>
          <w:szCs w:val="18"/>
          <w:lang w:eastAsia="en-US"/>
        </w:rPr>
      </w:pPr>
    </w:p>
    <w:p w14:paraId="250E766A" w14:textId="77777777" w:rsidR="00B9311E" w:rsidRPr="00BD77D8" w:rsidRDefault="00B9311E" w:rsidP="00B9311E">
      <w:pPr>
        <w:spacing w:after="0" w:line="203" w:lineRule="exact"/>
        <w:textAlignment w:val="baseline"/>
        <w:rPr>
          <w:rFonts w:eastAsia="Arial"/>
          <w:b/>
          <w:bCs/>
          <w:sz w:val="18"/>
          <w:szCs w:val="18"/>
          <w:lang w:eastAsia="en-US"/>
        </w:rPr>
      </w:pPr>
      <w:r w:rsidRPr="00BD77D8">
        <w:rPr>
          <w:rFonts w:eastAsia="Arial"/>
          <w:sz w:val="18"/>
          <w:szCs w:val="18"/>
          <w:lang w:eastAsia="en-US"/>
        </w:rPr>
        <w:t xml:space="preserve">Financial risk management is implemented pursuant to government and departmental policy. These policies focus on </w:t>
      </w:r>
    </w:p>
    <w:p w14:paraId="36E19A0C" w14:textId="77777777" w:rsidR="00B9311E" w:rsidRPr="00BD77D8" w:rsidRDefault="00B9311E" w:rsidP="00B9311E">
      <w:pPr>
        <w:spacing w:after="0" w:line="203" w:lineRule="exact"/>
        <w:textAlignment w:val="baseline"/>
        <w:rPr>
          <w:rFonts w:eastAsia="Arial"/>
          <w:b/>
          <w:bCs/>
          <w:sz w:val="18"/>
          <w:szCs w:val="18"/>
          <w:lang w:eastAsia="en-US"/>
        </w:rPr>
      </w:pPr>
      <w:r w:rsidRPr="00BD77D8">
        <w:rPr>
          <w:rFonts w:eastAsia="Arial"/>
          <w:sz w:val="18"/>
          <w:szCs w:val="18"/>
          <w:lang w:eastAsia="en-US"/>
        </w:rPr>
        <w:t xml:space="preserve">the unpredictability of financial markets and seek to minimise potential adverse effects on the financial performance of the </w:t>
      </w:r>
    </w:p>
    <w:p w14:paraId="07DF9A86" w14:textId="77777777" w:rsidR="00B9311E" w:rsidRPr="00BD77D8" w:rsidRDefault="00B9311E" w:rsidP="006226A9">
      <w:pPr>
        <w:spacing w:line="203" w:lineRule="exact"/>
        <w:textAlignment w:val="baseline"/>
        <w:rPr>
          <w:rFonts w:eastAsia="Arial"/>
          <w:b/>
          <w:bCs/>
          <w:sz w:val="18"/>
          <w:szCs w:val="18"/>
          <w:lang w:eastAsia="en-US"/>
        </w:rPr>
      </w:pPr>
      <w:r w:rsidRPr="00BD77D8">
        <w:rPr>
          <w:rFonts w:eastAsia="Arial"/>
          <w:sz w:val="18"/>
          <w:szCs w:val="18"/>
          <w:lang w:eastAsia="en-US"/>
        </w:rPr>
        <w:t xml:space="preserve">department. </w:t>
      </w:r>
    </w:p>
    <w:p w14:paraId="7F548686" w14:textId="77777777" w:rsidR="00B9311E" w:rsidRPr="00BD77D8" w:rsidRDefault="00B9311E" w:rsidP="00B9311E">
      <w:pPr>
        <w:spacing w:after="0" w:line="203" w:lineRule="exact"/>
        <w:textAlignment w:val="baseline"/>
        <w:rPr>
          <w:rFonts w:eastAsia="Arial"/>
          <w:b/>
          <w:bCs/>
          <w:sz w:val="18"/>
          <w:szCs w:val="18"/>
          <w:lang w:eastAsia="en-US"/>
        </w:rPr>
      </w:pPr>
      <w:r w:rsidRPr="00BD77D8">
        <w:rPr>
          <w:rFonts w:eastAsia="Arial"/>
          <w:sz w:val="18"/>
          <w:szCs w:val="18"/>
          <w:lang w:eastAsia="en-US"/>
        </w:rPr>
        <w:t xml:space="preserve">All financial risk is managed by the accounting and reporting division under policies approved by the department. </w:t>
      </w:r>
    </w:p>
    <w:p w14:paraId="68B9C2E1" w14:textId="77777777" w:rsidR="00B9311E" w:rsidRPr="00BD77D8" w:rsidRDefault="00B9311E" w:rsidP="006226A9">
      <w:pPr>
        <w:spacing w:line="203" w:lineRule="exact"/>
        <w:textAlignment w:val="baseline"/>
        <w:rPr>
          <w:rFonts w:eastAsia="Arial"/>
          <w:b/>
          <w:bCs/>
          <w:sz w:val="18"/>
          <w:szCs w:val="18"/>
          <w:lang w:eastAsia="en-US"/>
        </w:rPr>
      </w:pPr>
      <w:r w:rsidRPr="00BD77D8">
        <w:rPr>
          <w:rFonts w:eastAsia="Arial"/>
          <w:sz w:val="18"/>
          <w:szCs w:val="18"/>
          <w:lang w:eastAsia="en-US"/>
        </w:rPr>
        <w:t>The department provides written principles for overall risk management, as well as policies covering specific areas.</w:t>
      </w:r>
    </w:p>
    <w:p w14:paraId="05304A32" w14:textId="77777777" w:rsidR="00B9311E" w:rsidRPr="00BD77D8" w:rsidRDefault="00B9311E" w:rsidP="006226A9">
      <w:pPr>
        <w:spacing w:line="203" w:lineRule="exact"/>
        <w:textAlignment w:val="baseline"/>
        <w:rPr>
          <w:rFonts w:eastAsia="Arial"/>
          <w:b/>
          <w:bCs/>
          <w:sz w:val="18"/>
          <w:szCs w:val="18"/>
          <w:lang w:eastAsia="en-US"/>
        </w:rPr>
      </w:pPr>
      <w:r w:rsidRPr="00BD77D8">
        <w:rPr>
          <w:rFonts w:eastAsia="Arial"/>
          <w:sz w:val="18"/>
          <w:szCs w:val="18"/>
          <w:lang w:eastAsia="en-US"/>
        </w:rPr>
        <w:t>The department measures risk exposure using a variety of methods as follows:</w:t>
      </w:r>
    </w:p>
    <w:p w14:paraId="5DF1A768" w14:textId="77777777" w:rsidR="00B9311E" w:rsidRPr="00BD77D8" w:rsidRDefault="00B9311E" w:rsidP="00B9311E">
      <w:pPr>
        <w:tabs>
          <w:tab w:val="left" w:pos="2304"/>
        </w:tabs>
        <w:spacing w:after="0" w:line="203" w:lineRule="exact"/>
        <w:textAlignment w:val="baseline"/>
        <w:rPr>
          <w:rFonts w:eastAsia="Arial"/>
          <w:b/>
          <w:bCs/>
          <w:sz w:val="18"/>
          <w:szCs w:val="18"/>
          <w:lang w:eastAsia="en-US"/>
        </w:rPr>
      </w:pPr>
      <w:r w:rsidRPr="00BD77D8">
        <w:rPr>
          <w:rFonts w:eastAsia="Arial"/>
          <w:b/>
          <w:bCs/>
          <w:sz w:val="18"/>
          <w:szCs w:val="18"/>
          <w:lang w:eastAsia="en-US"/>
        </w:rPr>
        <w:t>Risk Exposure</w:t>
      </w:r>
      <w:r w:rsidRPr="00BD77D8">
        <w:rPr>
          <w:rFonts w:eastAsia="Arial"/>
          <w:b/>
          <w:bCs/>
          <w:sz w:val="18"/>
          <w:szCs w:val="18"/>
          <w:lang w:eastAsia="en-US"/>
        </w:rPr>
        <w:tab/>
        <w:t>Measurement Method</w:t>
      </w:r>
    </w:p>
    <w:p w14:paraId="1AB02F9A" w14:textId="77777777" w:rsidR="00B9311E" w:rsidRPr="00BD77D8" w:rsidRDefault="00B9311E" w:rsidP="00B9311E">
      <w:pPr>
        <w:tabs>
          <w:tab w:val="left" w:pos="2304"/>
        </w:tabs>
        <w:spacing w:after="0" w:line="202" w:lineRule="exact"/>
        <w:textAlignment w:val="baseline"/>
        <w:rPr>
          <w:rFonts w:eastAsia="Arial"/>
          <w:b/>
          <w:bCs/>
          <w:sz w:val="18"/>
          <w:szCs w:val="18"/>
          <w:lang w:eastAsia="en-US"/>
        </w:rPr>
      </w:pPr>
      <w:r w:rsidRPr="00BD77D8">
        <w:rPr>
          <w:rFonts w:eastAsia="Arial"/>
          <w:sz w:val="18"/>
          <w:szCs w:val="18"/>
          <w:lang w:eastAsia="en-US"/>
        </w:rPr>
        <w:t>Credit risk</w:t>
      </w:r>
      <w:r w:rsidRPr="00BD77D8">
        <w:rPr>
          <w:rFonts w:eastAsia="Arial"/>
          <w:sz w:val="18"/>
          <w:szCs w:val="18"/>
          <w:lang w:eastAsia="en-US"/>
        </w:rPr>
        <w:tab/>
        <w:t>Ageing analysis, earnings at risk</w:t>
      </w:r>
    </w:p>
    <w:p w14:paraId="741EF338" w14:textId="77777777" w:rsidR="00B9311E" w:rsidRPr="00BD77D8" w:rsidRDefault="00B9311E" w:rsidP="00B9311E">
      <w:pPr>
        <w:tabs>
          <w:tab w:val="left" w:pos="2304"/>
        </w:tabs>
        <w:spacing w:after="0" w:line="203" w:lineRule="exact"/>
        <w:textAlignment w:val="baseline"/>
        <w:rPr>
          <w:rFonts w:eastAsia="Arial"/>
          <w:b/>
          <w:bCs/>
          <w:sz w:val="18"/>
          <w:szCs w:val="18"/>
          <w:lang w:eastAsia="en-US"/>
        </w:rPr>
      </w:pPr>
      <w:r w:rsidRPr="00BD77D8">
        <w:rPr>
          <w:rFonts w:eastAsia="Arial"/>
          <w:sz w:val="18"/>
          <w:szCs w:val="18"/>
          <w:lang w:eastAsia="en-US"/>
        </w:rPr>
        <w:t>Liquidity risk</w:t>
      </w:r>
      <w:r w:rsidRPr="00BD77D8">
        <w:rPr>
          <w:rFonts w:eastAsia="Arial"/>
          <w:sz w:val="18"/>
          <w:szCs w:val="18"/>
          <w:lang w:eastAsia="en-US"/>
        </w:rPr>
        <w:tab/>
        <w:t xml:space="preserve">Sensitivity analysis, </w:t>
      </w:r>
      <w:proofErr w:type="gramStart"/>
      <w:r w:rsidRPr="00BD77D8">
        <w:rPr>
          <w:rFonts w:eastAsia="Arial"/>
          <w:sz w:val="18"/>
          <w:szCs w:val="18"/>
          <w:lang w:eastAsia="en-US"/>
        </w:rPr>
        <w:t>where</w:t>
      </w:r>
      <w:proofErr w:type="gramEnd"/>
      <w:r w:rsidRPr="00BD77D8">
        <w:rPr>
          <w:rFonts w:eastAsia="Arial"/>
          <w:sz w:val="18"/>
          <w:szCs w:val="18"/>
          <w:lang w:eastAsia="en-US"/>
        </w:rPr>
        <w:t xml:space="preserve"> material</w:t>
      </w:r>
    </w:p>
    <w:p w14:paraId="6265A819" w14:textId="77777777" w:rsidR="00B9311E" w:rsidRPr="00BD77D8" w:rsidRDefault="00B9311E" w:rsidP="00B9311E">
      <w:pPr>
        <w:tabs>
          <w:tab w:val="left" w:pos="2304"/>
        </w:tabs>
        <w:spacing w:after="0" w:line="203" w:lineRule="exact"/>
        <w:textAlignment w:val="baseline"/>
        <w:rPr>
          <w:rFonts w:eastAsia="Arial"/>
          <w:b/>
          <w:bCs/>
          <w:sz w:val="18"/>
          <w:szCs w:val="18"/>
          <w:lang w:eastAsia="en-US"/>
        </w:rPr>
      </w:pPr>
      <w:r w:rsidRPr="00BD77D8">
        <w:rPr>
          <w:rFonts w:eastAsia="Arial"/>
          <w:sz w:val="18"/>
          <w:szCs w:val="18"/>
          <w:lang w:eastAsia="en-US"/>
        </w:rPr>
        <w:t>Market risk</w:t>
      </w:r>
      <w:r w:rsidRPr="00BD77D8">
        <w:rPr>
          <w:rFonts w:eastAsia="Arial"/>
          <w:sz w:val="18"/>
          <w:szCs w:val="18"/>
          <w:lang w:eastAsia="en-US"/>
        </w:rPr>
        <w:tab/>
        <w:t xml:space="preserve">Interest rate sensitivity analysis, </w:t>
      </w:r>
      <w:proofErr w:type="gramStart"/>
      <w:r w:rsidRPr="00BD77D8">
        <w:rPr>
          <w:rFonts w:eastAsia="Arial"/>
          <w:sz w:val="18"/>
          <w:szCs w:val="18"/>
          <w:lang w:eastAsia="en-US"/>
        </w:rPr>
        <w:t>where</w:t>
      </w:r>
      <w:proofErr w:type="gramEnd"/>
      <w:r w:rsidRPr="00BD77D8">
        <w:rPr>
          <w:rFonts w:eastAsia="Arial"/>
          <w:sz w:val="18"/>
          <w:szCs w:val="18"/>
          <w:lang w:eastAsia="en-US"/>
        </w:rPr>
        <w:t xml:space="preserve"> material</w:t>
      </w:r>
    </w:p>
    <w:p w14:paraId="5907F55D" w14:textId="2039011B" w:rsidR="00B9311E" w:rsidRPr="00BD77D8" w:rsidRDefault="0040288C" w:rsidP="00C3515C">
      <w:pPr>
        <w:spacing w:before="1320" w:after="0" w:line="240" w:lineRule="auto"/>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30 of 45</w:t>
      </w:r>
      <w:r w:rsidR="00B9311E" w:rsidRPr="00BD77D8">
        <w:rPr>
          <w:rFonts w:eastAsia="Arial"/>
          <w:bCs/>
          <w:sz w:val="18"/>
          <w:szCs w:val="18"/>
          <w:lang w:eastAsia="en-US"/>
        </w:rPr>
        <w:br w:type="page"/>
      </w:r>
    </w:p>
    <w:p w14:paraId="215CCA1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FC20EB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52BADF4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613FF74"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1F920A91" w14:textId="77777777" w:rsidR="00B9311E" w:rsidRPr="00BD77D8" w:rsidRDefault="00B9311E" w:rsidP="00E47A6E">
      <w:pPr>
        <w:spacing w:before="240" w:after="0" w:line="203" w:lineRule="exact"/>
        <w:rPr>
          <w:rFonts w:eastAsia="PMingLiU"/>
          <w:b/>
          <w:bCs/>
          <w:sz w:val="18"/>
          <w:szCs w:val="18"/>
          <w:lang w:eastAsia="en-US"/>
        </w:rPr>
      </w:pPr>
      <w:r w:rsidRPr="00BD77D8">
        <w:rPr>
          <w:rFonts w:eastAsia="PMingLiU"/>
          <w:b/>
          <w:bCs/>
          <w:sz w:val="18"/>
          <w:szCs w:val="18"/>
          <w:lang w:eastAsia="en-US"/>
        </w:rPr>
        <w:t>D1-3 Credit Risk Disclosures</w:t>
      </w:r>
    </w:p>
    <w:p w14:paraId="28E820CF" w14:textId="77777777" w:rsidR="00B9311E" w:rsidRPr="00BD77D8" w:rsidRDefault="00B9311E" w:rsidP="006226A9">
      <w:pPr>
        <w:spacing w:before="200" w:line="203" w:lineRule="exact"/>
        <w:rPr>
          <w:rFonts w:eastAsia="PMingLiU"/>
          <w:b/>
          <w:bCs/>
          <w:sz w:val="18"/>
          <w:szCs w:val="18"/>
          <w:lang w:eastAsia="en-US"/>
        </w:rPr>
      </w:pPr>
      <w:r w:rsidRPr="00BD77D8">
        <w:rPr>
          <w:rFonts w:eastAsia="PMingLiU"/>
          <w:b/>
          <w:bCs/>
          <w:sz w:val="18"/>
          <w:szCs w:val="18"/>
          <w:lang w:eastAsia="en-US"/>
        </w:rPr>
        <w:t>Credit risk management practices</w:t>
      </w:r>
    </w:p>
    <w:p w14:paraId="58C32DC8" w14:textId="77777777" w:rsidR="00B9311E" w:rsidRPr="00BD77D8" w:rsidRDefault="00B9311E" w:rsidP="00B9311E">
      <w:pPr>
        <w:spacing w:after="0" w:line="203" w:lineRule="exact"/>
        <w:rPr>
          <w:rFonts w:eastAsia="PMingLiU"/>
          <w:b/>
          <w:bCs/>
          <w:sz w:val="18"/>
          <w:szCs w:val="18"/>
          <w:lang w:eastAsia="en-US"/>
        </w:rPr>
      </w:pPr>
      <w:r w:rsidRPr="00BD77D8">
        <w:rPr>
          <w:rFonts w:eastAsia="PMingLiU"/>
          <w:sz w:val="18"/>
          <w:szCs w:val="18"/>
          <w:lang w:eastAsia="en-US"/>
        </w:rPr>
        <w:t xml:space="preserve">The department typically considers a financial asset to be in default when it becomes 90 days past due. However, a financial </w:t>
      </w:r>
    </w:p>
    <w:p w14:paraId="52C03157" w14:textId="77777777" w:rsidR="00B9311E" w:rsidRPr="00BD77D8" w:rsidRDefault="00B9311E" w:rsidP="00B9311E">
      <w:pPr>
        <w:spacing w:after="0" w:line="203" w:lineRule="exact"/>
        <w:rPr>
          <w:rFonts w:eastAsia="PMingLiU"/>
          <w:b/>
          <w:bCs/>
          <w:sz w:val="18"/>
          <w:szCs w:val="18"/>
          <w:lang w:eastAsia="en-US"/>
        </w:rPr>
      </w:pPr>
      <w:r w:rsidRPr="00BD77D8">
        <w:rPr>
          <w:rFonts w:eastAsia="PMingLiU"/>
          <w:sz w:val="18"/>
          <w:szCs w:val="18"/>
          <w:lang w:eastAsia="en-US"/>
        </w:rPr>
        <w:t xml:space="preserve">asset can be in default before that point if information indicates that the department is unlikely to receive the outstanding </w:t>
      </w:r>
    </w:p>
    <w:p w14:paraId="3231AEB9" w14:textId="77777777" w:rsidR="00B9311E" w:rsidRPr="00BD77D8" w:rsidRDefault="00B9311E" w:rsidP="006226A9">
      <w:pPr>
        <w:spacing w:line="203" w:lineRule="exact"/>
        <w:rPr>
          <w:rFonts w:eastAsia="PMingLiU"/>
          <w:b/>
          <w:bCs/>
          <w:sz w:val="18"/>
          <w:szCs w:val="18"/>
          <w:lang w:eastAsia="en-US"/>
        </w:rPr>
      </w:pPr>
      <w:r w:rsidRPr="00BD77D8">
        <w:rPr>
          <w:rFonts w:eastAsia="PMingLiU"/>
          <w:sz w:val="18"/>
          <w:szCs w:val="18"/>
          <w:lang w:eastAsia="en-US"/>
        </w:rPr>
        <w:t>amounts in full. The department’s assessment of default does not take into account any collateral or other credit enhancements</w:t>
      </w:r>
    </w:p>
    <w:p w14:paraId="64D6BCE5" w14:textId="77777777" w:rsidR="00B9311E" w:rsidRPr="00BD77D8" w:rsidRDefault="00B9311E" w:rsidP="006226A9">
      <w:pPr>
        <w:spacing w:line="203" w:lineRule="exact"/>
        <w:rPr>
          <w:rFonts w:eastAsia="PMingLiU"/>
          <w:b/>
          <w:bCs/>
          <w:sz w:val="18"/>
          <w:szCs w:val="18"/>
          <w:lang w:eastAsia="en-US"/>
        </w:rPr>
      </w:pPr>
      <w:r w:rsidRPr="00BD77D8">
        <w:rPr>
          <w:rFonts w:eastAsia="PMingLiU"/>
          <w:b/>
          <w:bCs/>
          <w:sz w:val="18"/>
          <w:szCs w:val="18"/>
          <w:lang w:eastAsia="en-US"/>
        </w:rPr>
        <w:t>Credit risk exposure</w:t>
      </w:r>
    </w:p>
    <w:p w14:paraId="77AFE047" w14:textId="77777777" w:rsidR="00B9311E" w:rsidRPr="00BD77D8" w:rsidRDefault="00B9311E" w:rsidP="006226A9">
      <w:pPr>
        <w:spacing w:line="203" w:lineRule="exact"/>
        <w:rPr>
          <w:rFonts w:eastAsia="PMingLiU"/>
          <w:b/>
          <w:bCs/>
          <w:sz w:val="18"/>
          <w:szCs w:val="18"/>
          <w:lang w:eastAsia="en-US"/>
        </w:rPr>
      </w:pPr>
      <w:r w:rsidRPr="00BD77D8">
        <w:rPr>
          <w:rFonts w:eastAsia="PMingLiU"/>
          <w:sz w:val="18"/>
          <w:szCs w:val="22"/>
          <w:lang w:eastAsia="en-US"/>
        </w:rPr>
        <w:t>Credit risk exposure relating to receivables is disclosed in Note C2.</w:t>
      </w:r>
    </w:p>
    <w:p w14:paraId="66669FE6" w14:textId="77777777" w:rsidR="00B9311E" w:rsidRPr="00BD77D8" w:rsidRDefault="00B9311E" w:rsidP="006226A9">
      <w:pPr>
        <w:spacing w:line="207" w:lineRule="exact"/>
        <w:ind w:right="720"/>
        <w:textAlignment w:val="baseline"/>
        <w:rPr>
          <w:rFonts w:eastAsia="Arial"/>
          <w:b/>
          <w:bCs/>
          <w:sz w:val="18"/>
          <w:szCs w:val="18"/>
          <w:lang w:eastAsia="en-US"/>
        </w:rPr>
      </w:pPr>
      <w:r w:rsidRPr="00BD77D8">
        <w:rPr>
          <w:rFonts w:eastAsia="Arial"/>
          <w:b/>
          <w:bCs/>
          <w:sz w:val="18"/>
          <w:szCs w:val="18"/>
          <w:lang w:eastAsia="en-US"/>
        </w:rPr>
        <w:t>D1-4 Liquidity Risk</w:t>
      </w:r>
    </w:p>
    <w:p w14:paraId="4FBAB0A9" w14:textId="77777777" w:rsidR="00B9311E" w:rsidRPr="00BD77D8" w:rsidRDefault="00B9311E" w:rsidP="006226A9">
      <w:pPr>
        <w:spacing w:line="207" w:lineRule="exact"/>
        <w:ind w:right="720"/>
        <w:textAlignment w:val="baseline"/>
        <w:rPr>
          <w:rFonts w:eastAsia="Arial"/>
          <w:b/>
          <w:bCs/>
          <w:sz w:val="18"/>
          <w:szCs w:val="18"/>
          <w:lang w:eastAsia="en-US"/>
        </w:rPr>
      </w:pPr>
      <w:r w:rsidRPr="00BD77D8">
        <w:rPr>
          <w:rFonts w:eastAsia="Arial"/>
          <w:sz w:val="18"/>
          <w:szCs w:val="18"/>
          <w:lang w:eastAsia="en-US"/>
        </w:rPr>
        <w:t>There are no material liquidity, market and credit risks for the department. A sensitivity analysis has not been undertaken for the interest rate risk of the department as it has been determined that the possible impact on income from fluctuations in interest rates is immaterial.</w:t>
      </w:r>
    </w:p>
    <w:p w14:paraId="6034B7D2" w14:textId="77777777" w:rsidR="00B9311E" w:rsidRPr="00BD77D8" w:rsidRDefault="00B9311E" w:rsidP="006226A9">
      <w:pPr>
        <w:spacing w:line="207" w:lineRule="exact"/>
        <w:ind w:right="1152"/>
        <w:textAlignment w:val="baseline"/>
        <w:rPr>
          <w:rFonts w:eastAsia="Arial"/>
          <w:b/>
          <w:bCs/>
          <w:sz w:val="18"/>
          <w:szCs w:val="18"/>
          <w:lang w:eastAsia="en-US"/>
        </w:rPr>
      </w:pPr>
      <w:r w:rsidRPr="00BD77D8">
        <w:rPr>
          <w:rFonts w:eastAsia="Arial"/>
          <w:sz w:val="18"/>
          <w:szCs w:val="18"/>
          <w:lang w:eastAsia="en-US"/>
        </w:rPr>
        <w:t>Management review and follow up aged receivables monthly to minimise the credit risk exposure of the department.</w:t>
      </w:r>
    </w:p>
    <w:p w14:paraId="0E6E3ECA" w14:textId="77777777" w:rsidR="00B9311E" w:rsidRPr="00BD77D8" w:rsidRDefault="00B9311E" w:rsidP="009D387F">
      <w:pPr>
        <w:rPr>
          <w:rFonts w:eastAsia="Arial"/>
          <w:b/>
          <w:bCs/>
          <w:sz w:val="22"/>
          <w:szCs w:val="22"/>
          <w:lang w:eastAsia="en-US"/>
        </w:rPr>
      </w:pPr>
      <w:bookmarkStart w:id="554" w:name="_Toc111494817"/>
      <w:bookmarkStart w:id="555" w:name="_Toc111540689"/>
      <w:bookmarkStart w:id="556" w:name="_Toc111559253"/>
      <w:bookmarkStart w:id="557" w:name="_Toc113196525"/>
      <w:bookmarkStart w:id="558" w:name="_Toc113196873"/>
      <w:bookmarkStart w:id="559" w:name="_Toc113262003"/>
      <w:bookmarkStart w:id="560" w:name="_Toc113349157"/>
      <w:bookmarkStart w:id="561" w:name="_Toc113358082"/>
      <w:r w:rsidRPr="00BD77D8">
        <w:rPr>
          <w:rFonts w:eastAsia="Arial"/>
          <w:b/>
          <w:bCs/>
          <w:sz w:val="22"/>
          <w:szCs w:val="22"/>
          <w:lang w:eastAsia="en-US"/>
        </w:rPr>
        <w:t>D2 Contingencies</w:t>
      </w:r>
      <w:bookmarkEnd w:id="554"/>
      <w:bookmarkEnd w:id="555"/>
      <w:bookmarkEnd w:id="556"/>
      <w:bookmarkEnd w:id="557"/>
      <w:bookmarkEnd w:id="558"/>
      <w:bookmarkEnd w:id="559"/>
      <w:bookmarkEnd w:id="560"/>
      <w:bookmarkEnd w:id="561"/>
    </w:p>
    <w:p w14:paraId="55EE6415" w14:textId="77777777" w:rsidR="00B9311E" w:rsidRPr="00BD77D8" w:rsidRDefault="00B9311E" w:rsidP="006226A9">
      <w:pPr>
        <w:spacing w:line="180" w:lineRule="atLeast"/>
        <w:ind w:right="720"/>
        <w:textAlignment w:val="baseline"/>
        <w:rPr>
          <w:rFonts w:eastAsia="PMingLiU"/>
          <w:b/>
          <w:bCs/>
          <w:sz w:val="18"/>
          <w:szCs w:val="22"/>
          <w:lang w:eastAsia="en-US"/>
        </w:rPr>
      </w:pPr>
      <w:r w:rsidRPr="00BD77D8">
        <w:rPr>
          <w:rFonts w:eastAsia="PMingLiU"/>
          <w:b/>
          <w:bCs/>
          <w:sz w:val="18"/>
          <w:szCs w:val="22"/>
          <w:lang w:eastAsia="en-US"/>
        </w:rPr>
        <w:t>D2-1 Contingent Asset</w:t>
      </w:r>
    </w:p>
    <w:p w14:paraId="663E77F1" w14:textId="77777777" w:rsidR="00B9311E" w:rsidRPr="00BD77D8" w:rsidRDefault="00B9311E" w:rsidP="006226A9">
      <w:pPr>
        <w:spacing w:line="180" w:lineRule="atLeast"/>
        <w:ind w:right="720"/>
        <w:textAlignment w:val="baseline"/>
        <w:rPr>
          <w:rFonts w:eastAsia="PMingLiU"/>
          <w:b/>
          <w:bCs/>
          <w:sz w:val="18"/>
          <w:szCs w:val="22"/>
          <w:lang w:eastAsia="en-US"/>
        </w:rPr>
      </w:pPr>
      <w:r w:rsidRPr="00BD77D8">
        <w:rPr>
          <w:rFonts w:eastAsia="PMingLiU"/>
          <w:sz w:val="18"/>
          <w:szCs w:val="22"/>
          <w:lang w:eastAsia="en-US"/>
        </w:rPr>
        <w:t>Prior to the introduction of the NDIS, the department provided capital grant funds to some Non-Government Organisations (NGOs) for the purpose of provisioning property and facilities to support the delivery of disability services. Under these capital grant funding agreements, the Department retains a mortgage over the property to secure the payment of any money that may become owing to the Department should the conditions of the funding agreement not be met. The likelihood of these Agreements being breached is considered low and cannot be reliably measured.</w:t>
      </w:r>
    </w:p>
    <w:p w14:paraId="711F3959" w14:textId="77777777" w:rsidR="00B9311E" w:rsidRPr="00BD77D8" w:rsidRDefault="00B9311E" w:rsidP="006226A9">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 xml:space="preserve">D2-2 </w:t>
      </w:r>
      <w:bookmarkStart w:id="562" w:name="_Hlk107241491"/>
      <w:r w:rsidRPr="00BD77D8">
        <w:rPr>
          <w:rFonts w:eastAsia="Arial"/>
          <w:b/>
          <w:bCs/>
          <w:spacing w:val="1"/>
          <w:sz w:val="18"/>
          <w:szCs w:val="18"/>
          <w:lang w:eastAsia="en-US"/>
        </w:rPr>
        <w:t>Native Title Claims over Departmental Assets</w:t>
      </w:r>
      <w:bookmarkEnd w:id="562"/>
    </w:p>
    <w:p w14:paraId="3F5A97C2" w14:textId="77777777" w:rsidR="00B9311E" w:rsidRPr="00BD77D8" w:rsidRDefault="00B9311E" w:rsidP="006226A9">
      <w:pPr>
        <w:spacing w:line="180" w:lineRule="atLeast"/>
        <w:ind w:right="720"/>
        <w:textAlignment w:val="baseline"/>
        <w:rPr>
          <w:rFonts w:eastAsia="Arial"/>
          <w:b/>
          <w:bCs/>
          <w:sz w:val="18"/>
          <w:szCs w:val="18"/>
          <w:lang w:eastAsia="en-US"/>
        </w:rPr>
      </w:pPr>
      <w:r w:rsidRPr="00BD77D8">
        <w:rPr>
          <w:rFonts w:eastAsia="Arial"/>
          <w:sz w:val="18"/>
          <w:szCs w:val="18"/>
          <w:lang w:eastAsia="en-US"/>
        </w:rPr>
        <w:t>As at reporting date native title claims exist that covers departmental land with buildings and site improvements totalling $0.160M. At the reporting date it is not possible to make an estimate of any probable outcome of these claims, or any financial effects.</w:t>
      </w:r>
    </w:p>
    <w:p w14:paraId="7C58D030" w14:textId="77777777" w:rsidR="00B9311E" w:rsidRPr="00BD77D8" w:rsidRDefault="00B9311E" w:rsidP="009D387F">
      <w:pPr>
        <w:rPr>
          <w:rFonts w:eastAsia="Arial"/>
          <w:b/>
          <w:bCs/>
          <w:sz w:val="22"/>
          <w:szCs w:val="22"/>
          <w:lang w:eastAsia="en-US"/>
        </w:rPr>
      </w:pPr>
      <w:bookmarkStart w:id="563" w:name="_Toc111494818"/>
      <w:bookmarkStart w:id="564" w:name="_Toc111540690"/>
      <w:bookmarkStart w:id="565" w:name="_Toc111559254"/>
      <w:bookmarkStart w:id="566" w:name="_Toc113196526"/>
      <w:bookmarkStart w:id="567" w:name="_Toc113196874"/>
      <w:bookmarkStart w:id="568" w:name="_Toc113262004"/>
      <w:bookmarkStart w:id="569" w:name="_Toc113349158"/>
      <w:bookmarkStart w:id="570" w:name="_Toc113358083"/>
      <w:r w:rsidRPr="00BD77D8">
        <w:rPr>
          <w:rFonts w:eastAsia="Arial"/>
          <w:b/>
          <w:bCs/>
          <w:sz w:val="22"/>
          <w:szCs w:val="22"/>
          <w:lang w:eastAsia="en-US"/>
        </w:rPr>
        <w:t>D3 Commitments</w:t>
      </w:r>
      <w:bookmarkEnd w:id="563"/>
      <w:bookmarkEnd w:id="564"/>
      <w:bookmarkEnd w:id="565"/>
      <w:bookmarkEnd w:id="566"/>
      <w:bookmarkEnd w:id="567"/>
      <w:bookmarkEnd w:id="568"/>
      <w:bookmarkEnd w:id="569"/>
      <w:bookmarkEnd w:id="570"/>
    </w:p>
    <w:p w14:paraId="52C1F11F" w14:textId="77777777" w:rsidR="00B9311E" w:rsidRPr="00BD77D8" w:rsidRDefault="00B9311E" w:rsidP="006226A9">
      <w:pPr>
        <w:spacing w:line="180" w:lineRule="atLeast"/>
        <w:textAlignment w:val="baseline"/>
        <w:rPr>
          <w:rFonts w:eastAsia="Arial"/>
          <w:b/>
          <w:bCs/>
          <w:spacing w:val="1"/>
          <w:sz w:val="18"/>
          <w:szCs w:val="18"/>
          <w:lang w:eastAsia="en-US"/>
        </w:rPr>
      </w:pPr>
      <w:r w:rsidRPr="00BD77D8">
        <w:rPr>
          <w:rFonts w:eastAsia="Arial"/>
          <w:b/>
          <w:bCs/>
          <w:spacing w:val="1"/>
          <w:sz w:val="18"/>
          <w:szCs w:val="18"/>
          <w:lang w:eastAsia="en-US"/>
        </w:rPr>
        <w:t>D3-1 Capital Commitments</w:t>
      </w:r>
    </w:p>
    <w:p w14:paraId="0372FC5C" w14:textId="77777777" w:rsidR="00B9311E" w:rsidRPr="00BD77D8" w:rsidRDefault="00B9311E" w:rsidP="006226A9">
      <w:pPr>
        <w:spacing w:line="180" w:lineRule="atLeast"/>
        <w:textAlignment w:val="baseline"/>
        <w:rPr>
          <w:rFonts w:eastAsia="Arial"/>
          <w:b/>
          <w:bCs/>
          <w:spacing w:val="1"/>
          <w:sz w:val="18"/>
          <w:szCs w:val="18"/>
          <w:lang w:eastAsia="en-US"/>
        </w:rPr>
      </w:pPr>
      <w:r w:rsidRPr="00BD77D8">
        <w:rPr>
          <w:rFonts w:eastAsia="Arial"/>
          <w:spacing w:val="1"/>
          <w:sz w:val="18"/>
          <w:szCs w:val="18"/>
          <w:lang w:eastAsia="en-US"/>
        </w:rPr>
        <w:t>Commitments for capital expenditure at reporting date (inclusive of non-recoverable GST input tax credits) are payable:</w:t>
      </w:r>
    </w:p>
    <w:tbl>
      <w:tblPr>
        <w:tblW w:w="10051" w:type="dxa"/>
        <w:tblCellMar>
          <w:left w:w="0" w:type="dxa"/>
          <w:right w:w="0" w:type="dxa"/>
        </w:tblCellMar>
        <w:tblLook w:val="04A0" w:firstRow="1" w:lastRow="0" w:firstColumn="1" w:lastColumn="0" w:noHBand="0" w:noVBand="1"/>
      </w:tblPr>
      <w:tblGrid>
        <w:gridCol w:w="2450"/>
        <w:gridCol w:w="1126"/>
        <w:gridCol w:w="1137"/>
        <w:gridCol w:w="1281"/>
        <w:gridCol w:w="864"/>
        <w:gridCol w:w="885"/>
        <w:gridCol w:w="908"/>
        <w:gridCol w:w="751"/>
        <w:gridCol w:w="761"/>
      </w:tblGrid>
      <w:tr w:rsidR="00BD77D8" w:rsidRPr="00BD77D8" w14:paraId="6179A449" w14:textId="77777777" w:rsidTr="006226A9">
        <w:trPr>
          <w:trHeight w:val="500"/>
        </w:trPr>
        <w:tc>
          <w:tcPr>
            <w:tcW w:w="2434" w:type="dxa"/>
            <w:tcBorders>
              <w:top w:val="nil"/>
              <w:left w:val="nil"/>
              <w:bottom w:val="nil"/>
              <w:right w:val="nil"/>
            </w:tcBorders>
            <w:shd w:val="clear" w:color="auto" w:fill="auto"/>
            <w:noWrap/>
            <w:vAlign w:val="center"/>
            <w:hideMark/>
          </w:tcPr>
          <w:p w14:paraId="0008AB8A" w14:textId="77777777" w:rsidR="00B9311E" w:rsidRPr="00BD77D8" w:rsidRDefault="00B9311E" w:rsidP="00B9311E">
            <w:pPr>
              <w:spacing w:after="0" w:line="240" w:lineRule="auto"/>
              <w:rPr>
                <w:rFonts w:ascii="Times New Roman" w:hAnsi="Times New Roman" w:cs="Times New Roman"/>
                <w:sz w:val="24"/>
                <w:szCs w:val="24"/>
              </w:rPr>
            </w:pPr>
          </w:p>
        </w:tc>
        <w:tc>
          <w:tcPr>
            <w:tcW w:w="2231" w:type="dxa"/>
            <w:gridSpan w:val="2"/>
            <w:tcBorders>
              <w:top w:val="nil"/>
              <w:left w:val="nil"/>
              <w:bottom w:val="nil"/>
              <w:right w:val="nil"/>
            </w:tcBorders>
            <w:shd w:val="clear" w:color="auto" w:fill="auto"/>
            <w:vAlign w:val="center"/>
            <w:hideMark/>
          </w:tcPr>
          <w:p w14:paraId="67A98ACC" w14:textId="77777777" w:rsidR="00B9311E" w:rsidRPr="00BD77D8" w:rsidRDefault="00B9311E" w:rsidP="00B9311E">
            <w:pPr>
              <w:spacing w:after="0" w:line="240" w:lineRule="auto"/>
              <w:jc w:val="center"/>
              <w:rPr>
                <w:b/>
                <w:bCs/>
                <w:sz w:val="18"/>
                <w:szCs w:val="18"/>
              </w:rPr>
            </w:pPr>
            <w:r w:rsidRPr="00BD77D8">
              <w:rPr>
                <w:b/>
                <w:bCs/>
                <w:sz w:val="18"/>
                <w:szCs w:val="18"/>
              </w:rPr>
              <w:t xml:space="preserve"> No later than one year </w:t>
            </w:r>
          </w:p>
        </w:tc>
        <w:tc>
          <w:tcPr>
            <w:tcW w:w="2113" w:type="dxa"/>
            <w:gridSpan w:val="2"/>
            <w:tcBorders>
              <w:top w:val="nil"/>
              <w:left w:val="nil"/>
              <w:bottom w:val="nil"/>
              <w:right w:val="nil"/>
            </w:tcBorders>
            <w:shd w:val="clear" w:color="auto" w:fill="auto"/>
            <w:vAlign w:val="center"/>
            <w:hideMark/>
          </w:tcPr>
          <w:p w14:paraId="6E3EA0C1" w14:textId="77777777" w:rsidR="00B9311E" w:rsidRPr="00BD77D8" w:rsidRDefault="00B9311E" w:rsidP="00B9311E">
            <w:pPr>
              <w:spacing w:after="0" w:line="240" w:lineRule="auto"/>
              <w:jc w:val="center"/>
              <w:rPr>
                <w:b/>
                <w:bCs/>
                <w:sz w:val="18"/>
                <w:szCs w:val="18"/>
              </w:rPr>
            </w:pPr>
            <w:r w:rsidRPr="00BD77D8">
              <w:rPr>
                <w:b/>
                <w:bCs/>
                <w:sz w:val="18"/>
                <w:szCs w:val="18"/>
              </w:rPr>
              <w:t xml:space="preserve"> Later than one year and not later than five years </w:t>
            </w:r>
          </w:p>
        </w:tc>
        <w:tc>
          <w:tcPr>
            <w:tcW w:w="1761" w:type="dxa"/>
            <w:gridSpan w:val="2"/>
            <w:tcBorders>
              <w:top w:val="nil"/>
              <w:left w:val="nil"/>
              <w:bottom w:val="nil"/>
              <w:right w:val="nil"/>
            </w:tcBorders>
            <w:shd w:val="clear" w:color="auto" w:fill="auto"/>
            <w:vAlign w:val="center"/>
            <w:hideMark/>
          </w:tcPr>
          <w:p w14:paraId="73AA021F" w14:textId="77777777" w:rsidR="00B9311E" w:rsidRPr="00BD77D8" w:rsidRDefault="00B9311E" w:rsidP="00B9311E">
            <w:pPr>
              <w:spacing w:after="0" w:line="240" w:lineRule="auto"/>
              <w:jc w:val="center"/>
              <w:rPr>
                <w:b/>
                <w:bCs/>
                <w:sz w:val="18"/>
                <w:szCs w:val="18"/>
              </w:rPr>
            </w:pPr>
            <w:r w:rsidRPr="00BD77D8">
              <w:rPr>
                <w:b/>
                <w:bCs/>
                <w:sz w:val="18"/>
                <w:szCs w:val="18"/>
              </w:rPr>
              <w:t xml:space="preserve"> Longer than five years </w:t>
            </w:r>
          </w:p>
        </w:tc>
        <w:tc>
          <w:tcPr>
            <w:tcW w:w="0" w:type="auto"/>
            <w:gridSpan w:val="2"/>
            <w:tcBorders>
              <w:top w:val="nil"/>
              <w:left w:val="nil"/>
              <w:bottom w:val="nil"/>
              <w:right w:val="nil"/>
            </w:tcBorders>
            <w:shd w:val="clear" w:color="auto" w:fill="auto"/>
            <w:vAlign w:val="center"/>
            <w:hideMark/>
          </w:tcPr>
          <w:p w14:paraId="5C2062C2" w14:textId="77777777" w:rsidR="00B9311E" w:rsidRPr="00BD77D8" w:rsidRDefault="00B9311E" w:rsidP="00B9311E">
            <w:pPr>
              <w:spacing w:after="0" w:line="240" w:lineRule="auto"/>
              <w:jc w:val="center"/>
              <w:rPr>
                <w:b/>
                <w:bCs/>
                <w:sz w:val="18"/>
                <w:szCs w:val="18"/>
              </w:rPr>
            </w:pPr>
            <w:r w:rsidRPr="00BD77D8">
              <w:rPr>
                <w:b/>
                <w:bCs/>
                <w:sz w:val="18"/>
                <w:szCs w:val="18"/>
              </w:rPr>
              <w:t xml:space="preserve"> Total </w:t>
            </w:r>
          </w:p>
        </w:tc>
      </w:tr>
      <w:tr w:rsidR="00BD77D8" w:rsidRPr="00BD77D8" w14:paraId="268F0641" w14:textId="77777777" w:rsidTr="006226A9">
        <w:trPr>
          <w:trHeight w:val="255"/>
        </w:trPr>
        <w:tc>
          <w:tcPr>
            <w:tcW w:w="2434" w:type="dxa"/>
            <w:tcBorders>
              <w:top w:val="nil"/>
              <w:left w:val="nil"/>
              <w:bottom w:val="nil"/>
              <w:right w:val="nil"/>
            </w:tcBorders>
            <w:shd w:val="clear" w:color="auto" w:fill="auto"/>
            <w:noWrap/>
            <w:vAlign w:val="center"/>
            <w:hideMark/>
          </w:tcPr>
          <w:p w14:paraId="12A06F5F" w14:textId="77777777" w:rsidR="00B9311E" w:rsidRPr="00BD77D8" w:rsidRDefault="00B9311E" w:rsidP="00B9311E">
            <w:pPr>
              <w:spacing w:after="0" w:line="240" w:lineRule="auto"/>
              <w:jc w:val="center"/>
              <w:rPr>
                <w:sz w:val="18"/>
                <w:szCs w:val="18"/>
              </w:rPr>
            </w:pPr>
          </w:p>
        </w:tc>
        <w:tc>
          <w:tcPr>
            <w:tcW w:w="1110" w:type="dxa"/>
            <w:tcBorders>
              <w:top w:val="nil"/>
              <w:left w:val="nil"/>
              <w:bottom w:val="nil"/>
              <w:right w:val="nil"/>
            </w:tcBorders>
            <w:shd w:val="clear" w:color="auto" w:fill="auto"/>
            <w:noWrap/>
            <w:vAlign w:val="center"/>
            <w:hideMark/>
          </w:tcPr>
          <w:p w14:paraId="2FDD43BD"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121" w:type="dxa"/>
            <w:tcBorders>
              <w:top w:val="nil"/>
              <w:left w:val="nil"/>
              <w:bottom w:val="nil"/>
              <w:right w:val="nil"/>
            </w:tcBorders>
            <w:shd w:val="clear" w:color="auto" w:fill="auto"/>
            <w:noWrap/>
            <w:vAlign w:val="center"/>
            <w:hideMark/>
          </w:tcPr>
          <w:p w14:paraId="567C744A" w14:textId="77777777" w:rsidR="00B9311E" w:rsidRPr="00BD77D8" w:rsidRDefault="00B9311E" w:rsidP="00B9311E">
            <w:pPr>
              <w:spacing w:after="0" w:line="240" w:lineRule="auto"/>
              <w:jc w:val="right"/>
              <w:rPr>
                <w:sz w:val="18"/>
                <w:szCs w:val="18"/>
              </w:rPr>
            </w:pPr>
            <w:r w:rsidRPr="00BD77D8">
              <w:rPr>
                <w:sz w:val="18"/>
                <w:szCs w:val="18"/>
              </w:rPr>
              <w:t>2021</w:t>
            </w:r>
          </w:p>
        </w:tc>
        <w:tc>
          <w:tcPr>
            <w:tcW w:w="1265" w:type="dxa"/>
            <w:tcBorders>
              <w:top w:val="nil"/>
              <w:left w:val="nil"/>
              <w:bottom w:val="nil"/>
              <w:right w:val="nil"/>
            </w:tcBorders>
            <w:shd w:val="clear" w:color="auto" w:fill="auto"/>
            <w:noWrap/>
            <w:vAlign w:val="center"/>
            <w:hideMark/>
          </w:tcPr>
          <w:p w14:paraId="7F86116C"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848" w:type="dxa"/>
            <w:tcBorders>
              <w:top w:val="nil"/>
              <w:left w:val="nil"/>
              <w:bottom w:val="nil"/>
              <w:right w:val="nil"/>
            </w:tcBorders>
            <w:shd w:val="clear" w:color="auto" w:fill="auto"/>
            <w:noWrap/>
            <w:vAlign w:val="center"/>
            <w:hideMark/>
          </w:tcPr>
          <w:p w14:paraId="55575491" w14:textId="77777777" w:rsidR="00B9311E" w:rsidRPr="00BD77D8" w:rsidRDefault="00B9311E" w:rsidP="00B9311E">
            <w:pPr>
              <w:spacing w:after="0" w:line="240" w:lineRule="auto"/>
              <w:jc w:val="right"/>
              <w:rPr>
                <w:sz w:val="18"/>
                <w:szCs w:val="18"/>
              </w:rPr>
            </w:pPr>
            <w:r w:rsidRPr="00BD77D8">
              <w:rPr>
                <w:sz w:val="18"/>
                <w:szCs w:val="18"/>
              </w:rPr>
              <w:t>2021</w:t>
            </w:r>
          </w:p>
        </w:tc>
        <w:tc>
          <w:tcPr>
            <w:tcW w:w="869" w:type="dxa"/>
            <w:tcBorders>
              <w:top w:val="nil"/>
              <w:left w:val="nil"/>
              <w:bottom w:val="nil"/>
              <w:right w:val="nil"/>
            </w:tcBorders>
            <w:shd w:val="clear" w:color="auto" w:fill="auto"/>
            <w:noWrap/>
            <w:vAlign w:val="center"/>
            <w:hideMark/>
          </w:tcPr>
          <w:p w14:paraId="12543417"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892" w:type="dxa"/>
            <w:tcBorders>
              <w:top w:val="nil"/>
              <w:left w:val="nil"/>
              <w:bottom w:val="nil"/>
              <w:right w:val="nil"/>
            </w:tcBorders>
            <w:shd w:val="clear" w:color="auto" w:fill="auto"/>
            <w:noWrap/>
            <w:vAlign w:val="center"/>
            <w:hideMark/>
          </w:tcPr>
          <w:p w14:paraId="435F2208" w14:textId="77777777" w:rsidR="00B9311E" w:rsidRPr="00BD77D8" w:rsidRDefault="00B9311E" w:rsidP="00B9311E">
            <w:pPr>
              <w:spacing w:after="0" w:line="240" w:lineRule="auto"/>
              <w:jc w:val="right"/>
              <w:rPr>
                <w:sz w:val="18"/>
                <w:szCs w:val="18"/>
              </w:rPr>
            </w:pPr>
            <w:r w:rsidRPr="00BD77D8">
              <w:rPr>
                <w:sz w:val="18"/>
                <w:szCs w:val="18"/>
              </w:rPr>
              <w:t>2021</w:t>
            </w:r>
          </w:p>
        </w:tc>
        <w:tc>
          <w:tcPr>
            <w:tcW w:w="0" w:type="auto"/>
            <w:tcBorders>
              <w:top w:val="nil"/>
              <w:left w:val="nil"/>
              <w:bottom w:val="nil"/>
              <w:right w:val="nil"/>
            </w:tcBorders>
            <w:shd w:val="clear" w:color="auto" w:fill="auto"/>
            <w:noWrap/>
            <w:vAlign w:val="center"/>
            <w:hideMark/>
          </w:tcPr>
          <w:p w14:paraId="33A97848"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0" w:type="auto"/>
            <w:tcBorders>
              <w:top w:val="nil"/>
              <w:left w:val="nil"/>
              <w:bottom w:val="nil"/>
              <w:right w:val="nil"/>
            </w:tcBorders>
            <w:shd w:val="clear" w:color="auto" w:fill="auto"/>
            <w:noWrap/>
            <w:vAlign w:val="center"/>
            <w:hideMark/>
          </w:tcPr>
          <w:p w14:paraId="077820CD" w14:textId="77777777" w:rsidR="00B9311E" w:rsidRPr="00BD77D8" w:rsidRDefault="00B9311E" w:rsidP="00B9311E">
            <w:pPr>
              <w:spacing w:after="0" w:line="240" w:lineRule="auto"/>
              <w:jc w:val="right"/>
              <w:rPr>
                <w:sz w:val="18"/>
                <w:szCs w:val="18"/>
              </w:rPr>
            </w:pPr>
            <w:r w:rsidRPr="00BD77D8">
              <w:rPr>
                <w:sz w:val="18"/>
                <w:szCs w:val="18"/>
              </w:rPr>
              <w:t>2021</w:t>
            </w:r>
          </w:p>
        </w:tc>
      </w:tr>
      <w:tr w:rsidR="00BD77D8" w:rsidRPr="00BD77D8" w14:paraId="1E84D6DF" w14:textId="77777777" w:rsidTr="006226A9">
        <w:trPr>
          <w:trHeight w:val="255"/>
        </w:trPr>
        <w:tc>
          <w:tcPr>
            <w:tcW w:w="2434" w:type="dxa"/>
            <w:tcBorders>
              <w:top w:val="nil"/>
              <w:left w:val="nil"/>
              <w:bottom w:val="nil"/>
              <w:right w:val="nil"/>
            </w:tcBorders>
            <w:shd w:val="clear" w:color="auto" w:fill="auto"/>
            <w:noWrap/>
            <w:vAlign w:val="center"/>
            <w:hideMark/>
          </w:tcPr>
          <w:p w14:paraId="57EFC4C7" w14:textId="77777777" w:rsidR="00B9311E" w:rsidRPr="00BD77D8" w:rsidRDefault="00B9311E" w:rsidP="00B9311E">
            <w:pPr>
              <w:spacing w:after="0" w:line="240" w:lineRule="auto"/>
              <w:jc w:val="right"/>
              <w:rPr>
                <w:sz w:val="18"/>
                <w:szCs w:val="18"/>
              </w:rPr>
            </w:pPr>
          </w:p>
        </w:tc>
        <w:tc>
          <w:tcPr>
            <w:tcW w:w="1110" w:type="dxa"/>
            <w:tcBorders>
              <w:top w:val="nil"/>
              <w:left w:val="nil"/>
              <w:bottom w:val="nil"/>
              <w:right w:val="nil"/>
            </w:tcBorders>
            <w:shd w:val="clear" w:color="auto" w:fill="auto"/>
            <w:vAlign w:val="center"/>
            <w:hideMark/>
          </w:tcPr>
          <w:p w14:paraId="245CE5F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21" w:type="dxa"/>
            <w:tcBorders>
              <w:top w:val="nil"/>
              <w:left w:val="nil"/>
              <w:bottom w:val="nil"/>
              <w:right w:val="nil"/>
            </w:tcBorders>
            <w:shd w:val="clear" w:color="auto" w:fill="auto"/>
            <w:vAlign w:val="center"/>
            <w:hideMark/>
          </w:tcPr>
          <w:p w14:paraId="1AEF7FF0" w14:textId="77777777" w:rsidR="00B9311E" w:rsidRPr="00BD77D8" w:rsidRDefault="00B9311E" w:rsidP="00B9311E">
            <w:pPr>
              <w:spacing w:after="0" w:line="240" w:lineRule="auto"/>
              <w:jc w:val="right"/>
              <w:rPr>
                <w:sz w:val="18"/>
                <w:szCs w:val="18"/>
              </w:rPr>
            </w:pPr>
            <w:r w:rsidRPr="00BD77D8">
              <w:rPr>
                <w:sz w:val="18"/>
                <w:szCs w:val="18"/>
              </w:rPr>
              <w:t xml:space="preserve"> $'000  </w:t>
            </w:r>
          </w:p>
        </w:tc>
        <w:tc>
          <w:tcPr>
            <w:tcW w:w="1265" w:type="dxa"/>
            <w:tcBorders>
              <w:top w:val="nil"/>
              <w:left w:val="nil"/>
              <w:bottom w:val="nil"/>
              <w:right w:val="nil"/>
            </w:tcBorders>
            <w:shd w:val="clear" w:color="auto" w:fill="auto"/>
            <w:vAlign w:val="center"/>
            <w:hideMark/>
          </w:tcPr>
          <w:p w14:paraId="710BE50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848" w:type="dxa"/>
            <w:tcBorders>
              <w:top w:val="nil"/>
              <w:left w:val="nil"/>
              <w:bottom w:val="nil"/>
              <w:right w:val="nil"/>
            </w:tcBorders>
            <w:shd w:val="clear" w:color="auto" w:fill="auto"/>
            <w:vAlign w:val="center"/>
            <w:hideMark/>
          </w:tcPr>
          <w:p w14:paraId="705E9C14" w14:textId="77777777" w:rsidR="00B9311E" w:rsidRPr="00BD77D8" w:rsidRDefault="00B9311E" w:rsidP="00B9311E">
            <w:pPr>
              <w:spacing w:after="0" w:line="240" w:lineRule="auto"/>
              <w:jc w:val="right"/>
              <w:rPr>
                <w:sz w:val="18"/>
                <w:szCs w:val="18"/>
              </w:rPr>
            </w:pPr>
            <w:r w:rsidRPr="00BD77D8">
              <w:rPr>
                <w:sz w:val="18"/>
                <w:szCs w:val="18"/>
              </w:rPr>
              <w:t xml:space="preserve">  $'000  </w:t>
            </w:r>
          </w:p>
        </w:tc>
        <w:tc>
          <w:tcPr>
            <w:tcW w:w="869" w:type="dxa"/>
            <w:tcBorders>
              <w:top w:val="nil"/>
              <w:left w:val="nil"/>
              <w:bottom w:val="nil"/>
              <w:right w:val="nil"/>
            </w:tcBorders>
            <w:shd w:val="clear" w:color="auto" w:fill="auto"/>
            <w:vAlign w:val="center"/>
            <w:hideMark/>
          </w:tcPr>
          <w:p w14:paraId="7896976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892" w:type="dxa"/>
            <w:tcBorders>
              <w:top w:val="nil"/>
              <w:left w:val="nil"/>
              <w:bottom w:val="nil"/>
              <w:right w:val="nil"/>
            </w:tcBorders>
            <w:shd w:val="clear" w:color="auto" w:fill="auto"/>
            <w:vAlign w:val="center"/>
            <w:hideMark/>
          </w:tcPr>
          <w:p w14:paraId="443A8F00" w14:textId="77777777" w:rsidR="00B9311E" w:rsidRPr="00BD77D8" w:rsidRDefault="00B9311E" w:rsidP="00B9311E">
            <w:pPr>
              <w:spacing w:after="0" w:line="240" w:lineRule="auto"/>
              <w:jc w:val="right"/>
              <w:rPr>
                <w:sz w:val="18"/>
                <w:szCs w:val="18"/>
              </w:rPr>
            </w:pPr>
            <w:r w:rsidRPr="00BD77D8">
              <w:rPr>
                <w:sz w:val="18"/>
                <w:szCs w:val="18"/>
              </w:rPr>
              <w:t xml:space="preserve">  $'000  </w:t>
            </w:r>
          </w:p>
        </w:tc>
        <w:tc>
          <w:tcPr>
            <w:tcW w:w="0" w:type="auto"/>
            <w:tcBorders>
              <w:top w:val="nil"/>
              <w:left w:val="nil"/>
              <w:bottom w:val="nil"/>
              <w:right w:val="nil"/>
            </w:tcBorders>
            <w:shd w:val="clear" w:color="auto" w:fill="auto"/>
            <w:vAlign w:val="center"/>
            <w:hideMark/>
          </w:tcPr>
          <w:p w14:paraId="158CCB5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nil"/>
              <w:right w:val="nil"/>
            </w:tcBorders>
            <w:shd w:val="clear" w:color="auto" w:fill="auto"/>
            <w:vAlign w:val="center"/>
            <w:hideMark/>
          </w:tcPr>
          <w:p w14:paraId="5561A85D" w14:textId="77777777" w:rsidR="00B9311E" w:rsidRPr="00BD77D8" w:rsidRDefault="00B9311E" w:rsidP="00B9311E">
            <w:pPr>
              <w:spacing w:after="0" w:line="240" w:lineRule="auto"/>
              <w:jc w:val="right"/>
              <w:rPr>
                <w:sz w:val="18"/>
                <w:szCs w:val="18"/>
              </w:rPr>
            </w:pPr>
            <w:r w:rsidRPr="00BD77D8">
              <w:rPr>
                <w:sz w:val="18"/>
                <w:szCs w:val="18"/>
              </w:rPr>
              <w:t xml:space="preserve">  $'000  </w:t>
            </w:r>
          </w:p>
        </w:tc>
      </w:tr>
      <w:tr w:rsidR="00BD77D8" w:rsidRPr="00BD77D8" w14:paraId="03227BE5" w14:textId="77777777" w:rsidTr="006226A9">
        <w:trPr>
          <w:trHeight w:val="255"/>
        </w:trPr>
        <w:tc>
          <w:tcPr>
            <w:tcW w:w="2434" w:type="dxa"/>
            <w:tcBorders>
              <w:top w:val="nil"/>
              <w:left w:val="nil"/>
              <w:bottom w:val="nil"/>
              <w:right w:val="nil"/>
            </w:tcBorders>
            <w:shd w:val="clear" w:color="auto" w:fill="auto"/>
            <w:noWrap/>
            <w:vAlign w:val="center"/>
            <w:hideMark/>
          </w:tcPr>
          <w:p w14:paraId="6933EFBE" w14:textId="77777777" w:rsidR="00B9311E" w:rsidRPr="00BD77D8" w:rsidRDefault="00B9311E" w:rsidP="00B9311E">
            <w:pPr>
              <w:spacing w:after="0" w:line="240" w:lineRule="auto"/>
              <w:rPr>
                <w:b/>
                <w:bCs/>
                <w:sz w:val="18"/>
                <w:szCs w:val="18"/>
              </w:rPr>
            </w:pPr>
            <w:r w:rsidRPr="00BD77D8">
              <w:rPr>
                <w:b/>
                <w:bCs/>
                <w:sz w:val="18"/>
                <w:szCs w:val="18"/>
              </w:rPr>
              <w:t xml:space="preserve"> Payable </w:t>
            </w:r>
          </w:p>
        </w:tc>
        <w:tc>
          <w:tcPr>
            <w:tcW w:w="1110" w:type="dxa"/>
            <w:tcBorders>
              <w:top w:val="nil"/>
              <w:left w:val="nil"/>
              <w:bottom w:val="nil"/>
              <w:right w:val="nil"/>
            </w:tcBorders>
            <w:shd w:val="clear" w:color="auto" w:fill="auto"/>
            <w:noWrap/>
            <w:vAlign w:val="center"/>
            <w:hideMark/>
          </w:tcPr>
          <w:p w14:paraId="088137D9" w14:textId="77777777" w:rsidR="00B9311E" w:rsidRPr="00BD77D8" w:rsidRDefault="00B9311E" w:rsidP="00B9311E">
            <w:pPr>
              <w:spacing w:after="0" w:line="240" w:lineRule="auto"/>
              <w:rPr>
                <w:b/>
                <w:bCs/>
                <w:sz w:val="18"/>
                <w:szCs w:val="18"/>
              </w:rPr>
            </w:pPr>
          </w:p>
        </w:tc>
        <w:tc>
          <w:tcPr>
            <w:tcW w:w="1121" w:type="dxa"/>
            <w:tcBorders>
              <w:top w:val="nil"/>
              <w:left w:val="nil"/>
              <w:bottom w:val="nil"/>
              <w:right w:val="nil"/>
            </w:tcBorders>
            <w:shd w:val="clear" w:color="auto" w:fill="auto"/>
            <w:vAlign w:val="center"/>
            <w:hideMark/>
          </w:tcPr>
          <w:p w14:paraId="604841EB" w14:textId="77777777" w:rsidR="00B9311E" w:rsidRPr="00BD77D8" w:rsidRDefault="00B9311E" w:rsidP="00B9311E">
            <w:pPr>
              <w:spacing w:after="0" w:line="240" w:lineRule="auto"/>
              <w:rPr>
                <w:rFonts w:ascii="Times New Roman" w:hAnsi="Times New Roman" w:cs="Times New Roman"/>
                <w:b/>
                <w:bCs/>
                <w:sz w:val="20"/>
                <w:szCs w:val="20"/>
              </w:rPr>
            </w:pPr>
          </w:p>
        </w:tc>
        <w:tc>
          <w:tcPr>
            <w:tcW w:w="1265" w:type="dxa"/>
            <w:tcBorders>
              <w:top w:val="nil"/>
              <w:left w:val="nil"/>
              <w:bottom w:val="nil"/>
              <w:right w:val="nil"/>
            </w:tcBorders>
            <w:shd w:val="clear" w:color="auto" w:fill="auto"/>
            <w:vAlign w:val="center"/>
            <w:hideMark/>
          </w:tcPr>
          <w:p w14:paraId="4F15B627" w14:textId="77777777" w:rsidR="00B9311E" w:rsidRPr="00BD77D8" w:rsidRDefault="00B9311E" w:rsidP="00B9311E">
            <w:pPr>
              <w:spacing w:after="0" w:line="240" w:lineRule="auto"/>
              <w:rPr>
                <w:rFonts w:ascii="Times New Roman" w:hAnsi="Times New Roman" w:cs="Times New Roman"/>
                <w:b/>
                <w:bCs/>
                <w:sz w:val="20"/>
                <w:szCs w:val="20"/>
              </w:rPr>
            </w:pPr>
          </w:p>
        </w:tc>
        <w:tc>
          <w:tcPr>
            <w:tcW w:w="848" w:type="dxa"/>
            <w:tcBorders>
              <w:top w:val="nil"/>
              <w:left w:val="nil"/>
              <w:bottom w:val="nil"/>
              <w:right w:val="nil"/>
            </w:tcBorders>
            <w:shd w:val="clear" w:color="auto" w:fill="auto"/>
            <w:vAlign w:val="center"/>
            <w:hideMark/>
          </w:tcPr>
          <w:p w14:paraId="0EF9D195" w14:textId="77777777" w:rsidR="00B9311E" w:rsidRPr="00BD77D8" w:rsidRDefault="00B9311E" w:rsidP="00B9311E">
            <w:pPr>
              <w:spacing w:after="0" w:line="240" w:lineRule="auto"/>
              <w:rPr>
                <w:rFonts w:ascii="Times New Roman" w:hAnsi="Times New Roman" w:cs="Times New Roman"/>
                <w:b/>
                <w:bCs/>
                <w:sz w:val="20"/>
                <w:szCs w:val="20"/>
              </w:rPr>
            </w:pPr>
          </w:p>
        </w:tc>
        <w:tc>
          <w:tcPr>
            <w:tcW w:w="869" w:type="dxa"/>
            <w:tcBorders>
              <w:top w:val="nil"/>
              <w:left w:val="nil"/>
              <w:bottom w:val="nil"/>
              <w:right w:val="nil"/>
            </w:tcBorders>
            <w:shd w:val="clear" w:color="auto" w:fill="auto"/>
            <w:vAlign w:val="center"/>
            <w:hideMark/>
          </w:tcPr>
          <w:p w14:paraId="20EA0BAF" w14:textId="77777777" w:rsidR="00B9311E" w:rsidRPr="00BD77D8" w:rsidRDefault="00B9311E" w:rsidP="00B9311E">
            <w:pPr>
              <w:spacing w:after="0" w:line="240" w:lineRule="auto"/>
              <w:rPr>
                <w:rFonts w:ascii="Times New Roman" w:hAnsi="Times New Roman" w:cs="Times New Roman"/>
                <w:b/>
                <w:bCs/>
                <w:sz w:val="20"/>
                <w:szCs w:val="20"/>
              </w:rPr>
            </w:pPr>
          </w:p>
        </w:tc>
        <w:tc>
          <w:tcPr>
            <w:tcW w:w="892" w:type="dxa"/>
            <w:tcBorders>
              <w:top w:val="nil"/>
              <w:left w:val="nil"/>
              <w:bottom w:val="nil"/>
              <w:right w:val="nil"/>
            </w:tcBorders>
            <w:shd w:val="clear" w:color="auto" w:fill="auto"/>
            <w:vAlign w:val="center"/>
            <w:hideMark/>
          </w:tcPr>
          <w:p w14:paraId="4DCF0826" w14:textId="77777777" w:rsidR="00B9311E" w:rsidRPr="00BD77D8" w:rsidRDefault="00B9311E" w:rsidP="00B9311E">
            <w:pPr>
              <w:spacing w:after="0" w:line="240" w:lineRule="auto"/>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center"/>
            <w:hideMark/>
          </w:tcPr>
          <w:p w14:paraId="1A786FE6" w14:textId="77777777" w:rsidR="00B9311E" w:rsidRPr="00BD77D8" w:rsidRDefault="00B9311E" w:rsidP="00B9311E">
            <w:pPr>
              <w:spacing w:after="0" w:line="240" w:lineRule="auto"/>
              <w:rPr>
                <w:rFonts w:ascii="Times New Roman" w:hAnsi="Times New Roman" w:cs="Times New Roman"/>
                <w:b/>
                <w:bCs/>
                <w:sz w:val="20"/>
                <w:szCs w:val="20"/>
              </w:rPr>
            </w:pPr>
          </w:p>
        </w:tc>
        <w:tc>
          <w:tcPr>
            <w:tcW w:w="0" w:type="auto"/>
            <w:tcBorders>
              <w:top w:val="nil"/>
              <w:left w:val="nil"/>
              <w:bottom w:val="nil"/>
              <w:right w:val="nil"/>
            </w:tcBorders>
            <w:shd w:val="clear" w:color="auto" w:fill="auto"/>
            <w:vAlign w:val="center"/>
            <w:hideMark/>
          </w:tcPr>
          <w:p w14:paraId="19699915" w14:textId="77777777" w:rsidR="00B9311E" w:rsidRPr="00BD77D8" w:rsidRDefault="00B9311E" w:rsidP="00B9311E">
            <w:pPr>
              <w:spacing w:after="0" w:line="240" w:lineRule="auto"/>
              <w:rPr>
                <w:rFonts w:ascii="Times New Roman" w:hAnsi="Times New Roman" w:cs="Times New Roman"/>
                <w:sz w:val="20"/>
                <w:szCs w:val="20"/>
              </w:rPr>
            </w:pPr>
          </w:p>
        </w:tc>
      </w:tr>
      <w:tr w:rsidR="00BD77D8" w:rsidRPr="00BD77D8" w14:paraId="32028470" w14:textId="77777777" w:rsidTr="006226A9">
        <w:trPr>
          <w:trHeight w:val="255"/>
        </w:trPr>
        <w:tc>
          <w:tcPr>
            <w:tcW w:w="2434" w:type="dxa"/>
            <w:tcBorders>
              <w:top w:val="nil"/>
              <w:left w:val="nil"/>
              <w:bottom w:val="nil"/>
              <w:right w:val="nil"/>
            </w:tcBorders>
            <w:shd w:val="clear" w:color="auto" w:fill="auto"/>
            <w:noWrap/>
            <w:vAlign w:val="center"/>
            <w:hideMark/>
          </w:tcPr>
          <w:p w14:paraId="5CF7BBAF" w14:textId="77777777" w:rsidR="00B9311E" w:rsidRPr="00BD77D8" w:rsidRDefault="00B9311E" w:rsidP="00B9311E">
            <w:pPr>
              <w:spacing w:after="0" w:line="240" w:lineRule="auto"/>
              <w:rPr>
                <w:sz w:val="18"/>
                <w:szCs w:val="18"/>
              </w:rPr>
            </w:pPr>
            <w:r w:rsidRPr="00BD77D8">
              <w:rPr>
                <w:sz w:val="18"/>
                <w:szCs w:val="18"/>
              </w:rPr>
              <w:t xml:space="preserve"> Land and buildings </w:t>
            </w:r>
          </w:p>
        </w:tc>
        <w:tc>
          <w:tcPr>
            <w:tcW w:w="1110" w:type="dxa"/>
            <w:tcBorders>
              <w:top w:val="nil"/>
              <w:left w:val="nil"/>
              <w:bottom w:val="nil"/>
              <w:right w:val="nil"/>
            </w:tcBorders>
            <w:shd w:val="clear" w:color="auto" w:fill="auto"/>
            <w:noWrap/>
            <w:vAlign w:val="center"/>
            <w:hideMark/>
          </w:tcPr>
          <w:p w14:paraId="26E80AF6" w14:textId="77777777" w:rsidR="00B9311E" w:rsidRPr="00BD77D8" w:rsidRDefault="00B9311E" w:rsidP="00B9311E">
            <w:pPr>
              <w:spacing w:after="0" w:line="240" w:lineRule="auto"/>
              <w:jc w:val="right"/>
              <w:rPr>
                <w:b/>
                <w:bCs/>
                <w:sz w:val="18"/>
                <w:szCs w:val="18"/>
              </w:rPr>
            </w:pPr>
            <w:r w:rsidRPr="00BD77D8">
              <w:rPr>
                <w:b/>
                <w:bCs/>
                <w:sz w:val="18"/>
                <w:szCs w:val="18"/>
              </w:rPr>
              <w:t xml:space="preserve">        257 </w:t>
            </w:r>
          </w:p>
        </w:tc>
        <w:tc>
          <w:tcPr>
            <w:tcW w:w="1121" w:type="dxa"/>
            <w:tcBorders>
              <w:top w:val="nil"/>
              <w:left w:val="nil"/>
              <w:bottom w:val="nil"/>
              <w:right w:val="nil"/>
            </w:tcBorders>
            <w:shd w:val="clear" w:color="auto" w:fill="auto"/>
            <w:noWrap/>
            <w:vAlign w:val="center"/>
            <w:hideMark/>
          </w:tcPr>
          <w:p w14:paraId="2EF93671" w14:textId="77777777" w:rsidR="00B9311E" w:rsidRPr="00BD77D8" w:rsidRDefault="00B9311E" w:rsidP="00B9311E">
            <w:pPr>
              <w:spacing w:after="0" w:line="240" w:lineRule="auto"/>
              <w:jc w:val="right"/>
              <w:rPr>
                <w:sz w:val="18"/>
                <w:szCs w:val="18"/>
              </w:rPr>
            </w:pPr>
            <w:r w:rsidRPr="00BD77D8">
              <w:rPr>
                <w:sz w:val="18"/>
                <w:szCs w:val="18"/>
              </w:rPr>
              <w:t xml:space="preserve">     1,287 </w:t>
            </w:r>
          </w:p>
        </w:tc>
        <w:tc>
          <w:tcPr>
            <w:tcW w:w="1265" w:type="dxa"/>
            <w:tcBorders>
              <w:top w:val="nil"/>
              <w:left w:val="nil"/>
              <w:bottom w:val="nil"/>
              <w:right w:val="nil"/>
            </w:tcBorders>
            <w:shd w:val="clear" w:color="auto" w:fill="auto"/>
            <w:noWrap/>
            <w:vAlign w:val="center"/>
            <w:hideMark/>
          </w:tcPr>
          <w:p w14:paraId="29AA53E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48" w:type="dxa"/>
            <w:tcBorders>
              <w:top w:val="nil"/>
              <w:left w:val="nil"/>
              <w:bottom w:val="nil"/>
              <w:right w:val="nil"/>
            </w:tcBorders>
            <w:shd w:val="clear" w:color="auto" w:fill="auto"/>
            <w:noWrap/>
            <w:vAlign w:val="center"/>
            <w:hideMark/>
          </w:tcPr>
          <w:p w14:paraId="0662CB3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869" w:type="dxa"/>
            <w:tcBorders>
              <w:top w:val="nil"/>
              <w:left w:val="nil"/>
              <w:bottom w:val="nil"/>
              <w:right w:val="nil"/>
            </w:tcBorders>
            <w:shd w:val="clear" w:color="auto" w:fill="auto"/>
            <w:noWrap/>
            <w:vAlign w:val="center"/>
            <w:hideMark/>
          </w:tcPr>
          <w:p w14:paraId="171B038E"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92" w:type="dxa"/>
            <w:tcBorders>
              <w:top w:val="nil"/>
              <w:left w:val="nil"/>
              <w:bottom w:val="nil"/>
              <w:right w:val="nil"/>
            </w:tcBorders>
            <w:shd w:val="clear" w:color="auto" w:fill="auto"/>
            <w:noWrap/>
            <w:vAlign w:val="center"/>
            <w:hideMark/>
          </w:tcPr>
          <w:p w14:paraId="02641AC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5563327B" w14:textId="77777777" w:rsidR="00B9311E" w:rsidRPr="00BD77D8" w:rsidRDefault="00B9311E" w:rsidP="00B9311E">
            <w:pPr>
              <w:spacing w:after="0" w:line="240" w:lineRule="auto"/>
              <w:jc w:val="right"/>
              <w:rPr>
                <w:b/>
                <w:bCs/>
                <w:sz w:val="18"/>
                <w:szCs w:val="18"/>
              </w:rPr>
            </w:pPr>
            <w:r w:rsidRPr="00BD77D8">
              <w:rPr>
                <w:b/>
                <w:bCs/>
                <w:sz w:val="18"/>
                <w:szCs w:val="18"/>
              </w:rPr>
              <w:t xml:space="preserve">        257 </w:t>
            </w:r>
          </w:p>
        </w:tc>
        <w:tc>
          <w:tcPr>
            <w:tcW w:w="0" w:type="auto"/>
            <w:tcBorders>
              <w:top w:val="nil"/>
              <w:left w:val="nil"/>
              <w:bottom w:val="nil"/>
              <w:right w:val="nil"/>
            </w:tcBorders>
            <w:shd w:val="clear" w:color="auto" w:fill="auto"/>
            <w:noWrap/>
            <w:vAlign w:val="center"/>
            <w:hideMark/>
          </w:tcPr>
          <w:p w14:paraId="599486C1" w14:textId="77777777" w:rsidR="00B9311E" w:rsidRPr="00BD77D8" w:rsidRDefault="00B9311E" w:rsidP="00B9311E">
            <w:pPr>
              <w:spacing w:after="0" w:line="240" w:lineRule="auto"/>
              <w:jc w:val="right"/>
              <w:rPr>
                <w:sz w:val="18"/>
                <w:szCs w:val="18"/>
              </w:rPr>
            </w:pPr>
            <w:r w:rsidRPr="00BD77D8">
              <w:rPr>
                <w:sz w:val="18"/>
                <w:szCs w:val="18"/>
              </w:rPr>
              <w:t xml:space="preserve">     1,287 </w:t>
            </w:r>
          </w:p>
        </w:tc>
      </w:tr>
      <w:tr w:rsidR="00BD77D8" w:rsidRPr="00BD77D8" w14:paraId="278A5C19" w14:textId="77777777" w:rsidTr="006226A9">
        <w:trPr>
          <w:trHeight w:val="255"/>
        </w:trPr>
        <w:tc>
          <w:tcPr>
            <w:tcW w:w="2434" w:type="dxa"/>
            <w:tcBorders>
              <w:top w:val="nil"/>
              <w:left w:val="nil"/>
              <w:bottom w:val="nil"/>
              <w:right w:val="nil"/>
            </w:tcBorders>
            <w:shd w:val="clear" w:color="auto" w:fill="auto"/>
            <w:noWrap/>
            <w:vAlign w:val="center"/>
            <w:hideMark/>
          </w:tcPr>
          <w:p w14:paraId="259F8CDD" w14:textId="77777777" w:rsidR="00B9311E" w:rsidRPr="00BD77D8" w:rsidRDefault="00B9311E" w:rsidP="00B9311E">
            <w:pPr>
              <w:spacing w:after="0" w:line="240" w:lineRule="auto"/>
              <w:rPr>
                <w:sz w:val="18"/>
                <w:szCs w:val="18"/>
              </w:rPr>
            </w:pPr>
            <w:r w:rsidRPr="00BD77D8">
              <w:rPr>
                <w:sz w:val="18"/>
                <w:szCs w:val="18"/>
              </w:rPr>
              <w:t xml:space="preserve"> Plant and equipment </w:t>
            </w:r>
          </w:p>
        </w:tc>
        <w:tc>
          <w:tcPr>
            <w:tcW w:w="1110" w:type="dxa"/>
            <w:tcBorders>
              <w:top w:val="nil"/>
              <w:left w:val="nil"/>
              <w:bottom w:val="nil"/>
              <w:right w:val="nil"/>
            </w:tcBorders>
            <w:shd w:val="clear" w:color="auto" w:fill="auto"/>
            <w:noWrap/>
            <w:vAlign w:val="center"/>
            <w:hideMark/>
          </w:tcPr>
          <w:p w14:paraId="74EBBB65" w14:textId="77777777" w:rsidR="00B9311E" w:rsidRPr="00BD77D8" w:rsidRDefault="00B9311E" w:rsidP="00B9311E">
            <w:pPr>
              <w:spacing w:after="0" w:line="240" w:lineRule="auto"/>
              <w:jc w:val="right"/>
              <w:rPr>
                <w:b/>
                <w:bCs/>
                <w:sz w:val="18"/>
                <w:szCs w:val="18"/>
              </w:rPr>
            </w:pPr>
            <w:r w:rsidRPr="00BD77D8">
              <w:rPr>
                <w:b/>
                <w:bCs/>
                <w:sz w:val="18"/>
                <w:szCs w:val="18"/>
              </w:rPr>
              <w:t xml:space="preserve">           83 </w:t>
            </w:r>
          </w:p>
        </w:tc>
        <w:tc>
          <w:tcPr>
            <w:tcW w:w="1121" w:type="dxa"/>
            <w:tcBorders>
              <w:top w:val="nil"/>
              <w:left w:val="nil"/>
              <w:bottom w:val="nil"/>
              <w:right w:val="nil"/>
            </w:tcBorders>
            <w:shd w:val="clear" w:color="auto" w:fill="auto"/>
            <w:noWrap/>
            <w:vAlign w:val="center"/>
            <w:hideMark/>
          </w:tcPr>
          <w:p w14:paraId="12810BF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265" w:type="dxa"/>
            <w:tcBorders>
              <w:top w:val="nil"/>
              <w:left w:val="nil"/>
              <w:bottom w:val="nil"/>
              <w:right w:val="nil"/>
            </w:tcBorders>
            <w:shd w:val="clear" w:color="auto" w:fill="auto"/>
            <w:noWrap/>
            <w:vAlign w:val="center"/>
            <w:hideMark/>
          </w:tcPr>
          <w:p w14:paraId="7BB53A14"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48" w:type="dxa"/>
            <w:tcBorders>
              <w:top w:val="nil"/>
              <w:left w:val="nil"/>
              <w:bottom w:val="nil"/>
              <w:right w:val="nil"/>
            </w:tcBorders>
            <w:shd w:val="clear" w:color="auto" w:fill="auto"/>
            <w:noWrap/>
            <w:vAlign w:val="center"/>
            <w:hideMark/>
          </w:tcPr>
          <w:p w14:paraId="7281FD4F"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869" w:type="dxa"/>
            <w:tcBorders>
              <w:top w:val="nil"/>
              <w:left w:val="nil"/>
              <w:bottom w:val="nil"/>
              <w:right w:val="nil"/>
            </w:tcBorders>
            <w:shd w:val="clear" w:color="auto" w:fill="auto"/>
            <w:noWrap/>
            <w:vAlign w:val="center"/>
            <w:hideMark/>
          </w:tcPr>
          <w:p w14:paraId="7FDFBD33"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92" w:type="dxa"/>
            <w:tcBorders>
              <w:top w:val="nil"/>
              <w:left w:val="nil"/>
              <w:bottom w:val="nil"/>
              <w:right w:val="nil"/>
            </w:tcBorders>
            <w:shd w:val="clear" w:color="auto" w:fill="auto"/>
            <w:noWrap/>
            <w:vAlign w:val="center"/>
            <w:hideMark/>
          </w:tcPr>
          <w:p w14:paraId="456A575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BA4C021" w14:textId="77777777" w:rsidR="00B9311E" w:rsidRPr="00BD77D8" w:rsidRDefault="00B9311E" w:rsidP="00B9311E">
            <w:pPr>
              <w:spacing w:after="0" w:line="240" w:lineRule="auto"/>
              <w:jc w:val="right"/>
              <w:rPr>
                <w:b/>
                <w:bCs/>
                <w:sz w:val="18"/>
                <w:szCs w:val="18"/>
              </w:rPr>
            </w:pPr>
            <w:r w:rsidRPr="00BD77D8">
              <w:rPr>
                <w:b/>
                <w:bCs/>
                <w:sz w:val="18"/>
                <w:szCs w:val="18"/>
              </w:rPr>
              <w:t xml:space="preserve">           83 </w:t>
            </w:r>
          </w:p>
        </w:tc>
        <w:tc>
          <w:tcPr>
            <w:tcW w:w="0" w:type="auto"/>
            <w:tcBorders>
              <w:top w:val="nil"/>
              <w:left w:val="nil"/>
              <w:bottom w:val="nil"/>
              <w:right w:val="nil"/>
            </w:tcBorders>
            <w:shd w:val="clear" w:color="auto" w:fill="auto"/>
            <w:noWrap/>
            <w:vAlign w:val="center"/>
            <w:hideMark/>
          </w:tcPr>
          <w:p w14:paraId="1A6B7594"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287EFD97" w14:textId="77777777" w:rsidTr="006226A9">
        <w:trPr>
          <w:trHeight w:val="390"/>
        </w:trPr>
        <w:tc>
          <w:tcPr>
            <w:tcW w:w="2434" w:type="dxa"/>
            <w:tcBorders>
              <w:top w:val="nil"/>
              <w:left w:val="nil"/>
              <w:bottom w:val="nil"/>
              <w:right w:val="nil"/>
            </w:tcBorders>
            <w:shd w:val="clear" w:color="auto" w:fill="auto"/>
            <w:noWrap/>
            <w:vAlign w:val="center"/>
            <w:hideMark/>
          </w:tcPr>
          <w:p w14:paraId="01FC00CE"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110" w:type="dxa"/>
            <w:tcBorders>
              <w:top w:val="single" w:sz="4" w:space="0" w:color="auto"/>
              <w:left w:val="nil"/>
              <w:bottom w:val="single" w:sz="4" w:space="0" w:color="auto"/>
              <w:right w:val="nil"/>
            </w:tcBorders>
            <w:shd w:val="clear" w:color="auto" w:fill="auto"/>
            <w:noWrap/>
            <w:vAlign w:val="center"/>
            <w:hideMark/>
          </w:tcPr>
          <w:p w14:paraId="3BB78A85" w14:textId="77777777" w:rsidR="00B9311E" w:rsidRPr="00BD77D8" w:rsidRDefault="00B9311E" w:rsidP="00B9311E">
            <w:pPr>
              <w:spacing w:after="0" w:line="240" w:lineRule="auto"/>
              <w:jc w:val="right"/>
              <w:rPr>
                <w:b/>
                <w:bCs/>
                <w:sz w:val="18"/>
                <w:szCs w:val="18"/>
              </w:rPr>
            </w:pPr>
            <w:r w:rsidRPr="00BD77D8">
              <w:rPr>
                <w:b/>
                <w:bCs/>
                <w:sz w:val="18"/>
                <w:szCs w:val="18"/>
              </w:rPr>
              <w:t xml:space="preserve">        340 </w:t>
            </w:r>
          </w:p>
        </w:tc>
        <w:tc>
          <w:tcPr>
            <w:tcW w:w="1121" w:type="dxa"/>
            <w:tcBorders>
              <w:top w:val="single" w:sz="4" w:space="0" w:color="auto"/>
              <w:left w:val="nil"/>
              <w:bottom w:val="single" w:sz="4" w:space="0" w:color="auto"/>
              <w:right w:val="nil"/>
            </w:tcBorders>
            <w:shd w:val="clear" w:color="auto" w:fill="auto"/>
            <w:noWrap/>
            <w:vAlign w:val="center"/>
            <w:hideMark/>
          </w:tcPr>
          <w:p w14:paraId="0B49E631" w14:textId="77777777" w:rsidR="00B9311E" w:rsidRPr="00BD77D8" w:rsidRDefault="00B9311E" w:rsidP="00B9311E">
            <w:pPr>
              <w:spacing w:after="0" w:line="240" w:lineRule="auto"/>
              <w:jc w:val="right"/>
              <w:rPr>
                <w:b/>
                <w:bCs/>
                <w:sz w:val="18"/>
                <w:szCs w:val="18"/>
              </w:rPr>
            </w:pPr>
            <w:r w:rsidRPr="00BD77D8">
              <w:rPr>
                <w:b/>
                <w:bCs/>
                <w:sz w:val="18"/>
                <w:szCs w:val="18"/>
              </w:rPr>
              <w:t xml:space="preserve">     1,287 </w:t>
            </w:r>
          </w:p>
        </w:tc>
        <w:tc>
          <w:tcPr>
            <w:tcW w:w="1265" w:type="dxa"/>
            <w:tcBorders>
              <w:top w:val="single" w:sz="4" w:space="0" w:color="auto"/>
              <w:left w:val="nil"/>
              <w:bottom w:val="single" w:sz="4" w:space="0" w:color="auto"/>
              <w:right w:val="nil"/>
            </w:tcBorders>
            <w:shd w:val="clear" w:color="auto" w:fill="auto"/>
            <w:noWrap/>
            <w:vAlign w:val="center"/>
            <w:hideMark/>
          </w:tcPr>
          <w:p w14:paraId="2D109010"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48" w:type="dxa"/>
            <w:tcBorders>
              <w:top w:val="single" w:sz="4" w:space="0" w:color="auto"/>
              <w:left w:val="nil"/>
              <w:bottom w:val="single" w:sz="4" w:space="0" w:color="auto"/>
              <w:right w:val="nil"/>
            </w:tcBorders>
            <w:shd w:val="clear" w:color="auto" w:fill="auto"/>
            <w:noWrap/>
            <w:vAlign w:val="center"/>
            <w:hideMark/>
          </w:tcPr>
          <w:p w14:paraId="6F737A5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69" w:type="dxa"/>
            <w:tcBorders>
              <w:top w:val="single" w:sz="4" w:space="0" w:color="auto"/>
              <w:left w:val="nil"/>
              <w:bottom w:val="single" w:sz="4" w:space="0" w:color="auto"/>
              <w:right w:val="nil"/>
            </w:tcBorders>
            <w:shd w:val="clear" w:color="auto" w:fill="auto"/>
            <w:noWrap/>
            <w:vAlign w:val="center"/>
            <w:hideMark/>
          </w:tcPr>
          <w:p w14:paraId="3C2A7012"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892" w:type="dxa"/>
            <w:tcBorders>
              <w:top w:val="single" w:sz="4" w:space="0" w:color="auto"/>
              <w:left w:val="nil"/>
              <w:bottom w:val="single" w:sz="4" w:space="0" w:color="auto"/>
              <w:right w:val="nil"/>
            </w:tcBorders>
            <w:shd w:val="clear" w:color="auto" w:fill="auto"/>
            <w:noWrap/>
            <w:vAlign w:val="center"/>
            <w:hideMark/>
          </w:tcPr>
          <w:p w14:paraId="431A2932"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single" w:sz="4" w:space="0" w:color="auto"/>
              <w:left w:val="nil"/>
              <w:bottom w:val="single" w:sz="4" w:space="0" w:color="auto"/>
              <w:right w:val="nil"/>
            </w:tcBorders>
            <w:shd w:val="clear" w:color="auto" w:fill="auto"/>
            <w:noWrap/>
            <w:vAlign w:val="center"/>
            <w:hideMark/>
          </w:tcPr>
          <w:p w14:paraId="5DAB4804" w14:textId="77777777" w:rsidR="00B9311E" w:rsidRPr="00BD77D8" w:rsidRDefault="00B9311E" w:rsidP="00B9311E">
            <w:pPr>
              <w:spacing w:after="0" w:line="240" w:lineRule="auto"/>
              <w:jc w:val="right"/>
              <w:rPr>
                <w:b/>
                <w:bCs/>
                <w:sz w:val="18"/>
                <w:szCs w:val="18"/>
              </w:rPr>
            </w:pPr>
            <w:r w:rsidRPr="00BD77D8">
              <w:rPr>
                <w:b/>
                <w:bCs/>
                <w:sz w:val="18"/>
                <w:szCs w:val="18"/>
              </w:rPr>
              <w:t xml:space="preserve">        340 </w:t>
            </w:r>
          </w:p>
        </w:tc>
        <w:tc>
          <w:tcPr>
            <w:tcW w:w="0" w:type="auto"/>
            <w:tcBorders>
              <w:top w:val="single" w:sz="4" w:space="0" w:color="auto"/>
              <w:left w:val="nil"/>
              <w:bottom w:val="single" w:sz="4" w:space="0" w:color="auto"/>
              <w:right w:val="nil"/>
            </w:tcBorders>
            <w:shd w:val="clear" w:color="auto" w:fill="auto"/>
            <w:noWrap/>
            <w:vAlign w:val="center"/>
            <w:hideMark/>
          </w:tcPr>
          <w:p w14:paraId="0EF6AE07" w14:textId="77777777" w:rsidR="00B9311E" w:rsidRPr="00BD77D8" w:rsidRDefault="00B9311E" w:rsidP="00B9311E">
            <w:pPr>
              <w:spacing w:after="0" w:line="240" w:lineRule="auto"/>
              <w:jc w:val="right"/>
              <w:rPr>
                <w:b/>
                <w:bCs/>
                <w:sz w:val="18"/>
                <w:szCs w:val="18"/>
              </w:rPr>
            </w:pPr>
            <w:r w:rsidRPr="00BD77D8">
              <w:rPr>
                <w:b/>
                <w:bCs/>
                <w:sz w:val="18"/>
                <w:szCs w:val="18"/>
              </w:rPr>
              <w:t xml:space="preserve">     1,287 </w:t>
            </w:r>
          </w:p>
        </w:tc>
      </w:tr>
    </w:tbl>
    <w:p w14:paraId="10D2E03A" w14:textId="381DB138" w:rsidR="00DD09A8" w:rsidRPr="00BD77D8" w:rsidRDefault="00DD09A8" w:rsidP="00C3515C">
      <w:pPr>
        <w:spacing w:before="1320" w:after="0" w:line="199"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31 of 45</w:t>
      </w:r>
    </w:p>
    <w:p w14:paraId="23E5EE56" w14:textId="77777777" w:rsidR="00B9311E" w:rsidRPr="00BD77D8" w:rsidRDefault="00B9311E" w:rsidP="00B9311E">
      <w:pPr>
        <w:spacing w:after="0" w:line="240" w:lineRule="auto"/>
        <w:rPr>
          <w:rFonts w:eastAsia="Arial"/>
          <w:bCs/>
          <w:sz w:val="18"/>
          <w:szCs w:val="18"/>
          <w:lang w:eastAsia="en-US"/>
        </w:rPr>
      </w:pPr>
      <w:r w:rsidRPr="00BD77D8">
        <w:rPr>
          <w:rFonts w:eastAsia="Arial"/>
          <w:bCs/>
          <w:sz w:val="18"/>
          <w:szCs w:val="18"/>
          <w:lang w:eastAsia="en-US"/>
        </w:rPr>
        <w:br w:type="page"/>
      </w:r>
    </w:p>
    <w:p w14:paraId="46F5200D"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44DB5F2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2EDE1923"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9770F83" w14:textId="77777777" w:rsidR="00B9311E" w:rsidRPr="00BD77D8" w:rsidRDefault="00B9311E" w:rsidP="00B9311E">
      <w:pPr>
        <w:pBdr>
          <w:bottom w:val="single" w:sz="4" w:space="1" w:color="auto"/>
        </w:pBdr>
        <w:spacing w:after="0" w:line="199" w:lineRule="exact"/>
        <w:textAlignment w:val="baseline"/>
        <w:rPr>
          <w:rFonts w:eastAsia="Arial"/>
          <w:bCs/>
          <w:sz w:val="18"/>
          <w:szCs w:val="18"/>
          <w:lang w:eastAsia="en-US"/>
        </w:rPr>
      </w:pPr>
    </w:p>
    <w:p w14:paraId="7A986E10" w14:textId="5617E2C8" w:rsidR="00B9311E" w:rsidRPr="00BD77D8" w:rsidRDefault="00B9311E" w:rsidP="00E47A6E">
      <w:pPr>
        <w:spacing w:before="240"/>
        <w:rPr>
          <w:rFonts w:eastAsia="PMingLiU"/>
          <w:sz w:val="18"/>
          <w:szCs w:val="18"/>
          <w:lang w:eastAsia="en-US"/>
        </w:rPr>
      </w:pPr>
      <w:bookmarkStart w:id="571" w:name="_Toc111494819"/>
      <w:bookmarkStart w:id="572" w:name="_Toc111540691"/>
      <w:bookmarkStart w:id="573" w:name="_Toc111559255"/>
      <w:bookmarkStart w:id="574" w:name="_Toc113196527"/>
      <w:bookmarkStart w:id="575" w:name="_Toc113196875"/>
      <w:bookmarkStart w:id="576" w:name="_Toc113262005"/>
      <w:bookmarkStart w:id="577" w:name="_Toc113349159"/>
      <w:bookmarkStart w:id="578" w:name="_Toc113358084"/>
      <w:r w:rsidRPr="00BD77D8">
        <w:rPr>
          <w:rFonts w:eastAsia="Arial"/>
          <w:b/>
          <w:bCs/>
          <w:sz w:val="22"/>
          <w:szCs w:val="22"/>
          <w:lang w:eastAsia="en-US"/>
        </w:rPr>
        <w:t>Performance compared to Budget</w:t>
      </w:r>
      <w:bookmarkEnd w:id="571"/>
      <w:bookmarkEnd w:id="572"/>
      <w:bookmarkEnd w:id="573"/>
      <w:bookmarkEnd w:id="574"/>
      <w:bookmarkEnd w:id="575"/>
      <w:bookmarkEnd w:id="576"/>
      <w:bookmarkEnd w:id="577"/>
      <w:bookmarkEnd w:id="578"/>
    </w:p>
    <w:p w14:paraId="44C346A9" w14:textId="77777777" w:rsidR="00B9311E" w:rsidRPr="00BD77D8" w:rsidRDefault="00B9311E" w:rsidP="009D387F">
      <w:pPr>
        <w:rPr>
          <w:rFonts w:eastAsia="Arial"/>
          <w:b/>
          <w:bCs/>
          <w:sz w:val="22"/>
          <w:szCs w:val="22"/>
          <w:lang w:eastAsia="en-US"/>
        </w:rPr>
      </w:pPr>
      <w:bookmarkStart w:id="579" w:name="_Toc111494820"/>
      <w:bookmarkStart w:id="580" w:name="_Toc111540692"/>
      <w:bookmarkStart w:id="581" w:name="_Toc111559256"/>
      <w:bookmarkStart w:id="582" w:name="_Toc113196528"/>
      <w:bookmarkStart w:id="583" w:name="_Toc113196876"/>
      <w:bookmarkStart w:id="584" w:name="_Toc113262006"/>
      <w:bookmarkStart w:id="585" w:name="_Toc113349160"/>
      <w:bookmarkStart w:id="586" w:name="_Toc113358085"/>
      <w:r w:rsidRPr="00BD77D8">
        <w:rPr>
          <w:rFonts w:eastAsia="Arial"/>
          <w:b/>
          <w:bCs/>
          <w:sz w:val="22"/>
          <w:szCs w:val="22"/>
          <w:lang w:eastAsia="en-US"/>
        </w:rPr>
        <w:t>E1 Budgetary Reporting Disclosures</w:t>
      </w:r>
      <w:bookmarkEnd w:id="579"/>
      <w:bookmarkEnd w:id="580"/>
      <w:bookmarkEnd w:id="581"/>
      <w:bookmarkEnd w:id="582"/>
      <w:bookmarkEnd w:id="583"/>
      <w:bookmarkEnd w:id="584"/>
      <w:bookmarkEnd w:id="585"/>
      <w:bookmarkEnd w:id="586"/>
    </w:p>
    <w:p w14:paraId="04C49CEC" w14:textId="77777777" w:rsidR="00B9311E" w:rsidRPr="00BD77D8" w:rsidRDefault="00B9311E" w:rsidP="006226A9">
      <w:pPr>
        <w:spacing w:line="180" w:lineRule="atLeast"/>
        <w:textAlignment w:val="baseline"/>
        <w:rPr>
          <w:rFonts w:eastAsia="Arial"/>
          <w:b/>
          <w:bCs/>
          <w:sz w:val="20"/>
          <w:szCs w:val="20"/>
          <w:lang w:eastAsia="en-US"/>
        </w:rPr>
      </w:pPr>
      <w:r w:rsidRPr="00BD77D8">
        <w:rPr>
          <w:rFonts w:eastAsia="Arial"/>
          <w:b/>
          <w:bCs/>
          <w:sz w:val="20"/>
          <w:szCs w:val="20"/>
          <w:lang w:eastAsia="en-US"/>
        </w:rPr>
        <w:t>E1-1 Explanation of Major Variances – Statement of comprehensive income</w:t>
      </w:r>
    </w:p>
    <w:p w14:paraId="7711020B" w14:textId="77777777" w:rsidR="006226A9" w:rsidRPr="00BD77D8" w:rsidRDefault="00B9311E" w:rsidP="006226A9">
      <w:pPr>
        <w:spacing w:line="180" w:lineRule="atLeast"/>
        <w:textAlignment w:val="baseline"/>
        <w:rPr>
          <w:rFonts w:eastAsia="Arial"/>
          <w:b/>
          <w:bCs/>
          <w:i/>
          <w:iCs/>
          <w:sz w:val="18"/>
          <w:szCs w:val="18"/>
          <w:lang w:eastAsia="en-US"/>
        </w:rPr>
      </w:pPr>
      <w:r w:rsidRPr="00BD77D8">
        <w:rPr>
          <w:rFonts w:eastAsia="Arial"/>
          <w:b/>
          <w:bCs/>
          <w:i/>
          <w:iCs/>
          <w:sz w:val="18"/>
          <w:szCs w:val="18"/>
          <w:lang w:eastAsia="en-US"/>
        </w:rPr>
        <w:t>Appropriation Revenue</w:t>
      </w:r>
      <w:bookmarkStart w:id="587" w:name="_Hlk111115373"/>
    </w:p>
    <w:p w14:paraId="7FEC471B" w14:textId="44226888" w:rsidR="00B9311E" w:rsidRPr="00BD77D8" w:rsidRDefault="00B9311E" w:rsidP="006226A9">
      <w:pPr>
        <w:spacing w:line="180" w:lineRule="atLeast"/>
        <w:textAlignment w:val="baseline"/>
        <w:rPr>
          <w:rFonts w:eastAsia="Arial"/>
          <w:b/>
          <w:bCs/>
          <w:sz w:val="18"/>
          <w:szCs w:val="18"/>
          <w:lang w:eastAsia="en-US"/>
        </w:rPr>
      </w:pPr>
      <w:r w:rsidRPr="00BD77D8">
        <w:rPr>
          <w:rFonts w:eastAsia="Arial"/>
          <w:sz w:val="18"/>
          <w:szCs w:val="18"/>
          <w:lang w:eastAsia="en-US"/>
        </w:rPr>
        <w:t xml:space="preserve">Appropriation revenue is $14.176M lower than the budget of $297.144M principally reflecting a reduction of $9M in Appropriation revenue to offset user charges revenue retained to fund the costs associated with the processing of Disability Worker Screening applications for individuals seeking to be engaged in roles that require either a NDIS or state based worker screening clearance; and reflecting a range of timing adjustments for initiatives including splash parks in remote communities and the alcohol management program. </w:t>
      </w:r>
    </w:p>
    <w:bookmarkEnd w:id="587"/>
    <w:p w14:paraId="5311F31C" w14:textId="77777777" w:rsidR="00B9311E" w:rsidRPr="00BD77D8" w:rsidRDefault="00B9311E" w:rsidP="006226A9">
      <w:pPr>
        <w:spacing w:line="180" w:lineRule="atLeast"/>
        <w:ind w:right="360"/>
        <w:textAlignment w:val="baseline"/>
        <w:rPr>
          <w:rFonts w:eastAsia="Arial"/>
          <w:b/>
          <w:bCs/>
          <w:i/>
          <w:sz w:val="18"/>
          <w:szCs w:val="18"/>
          <w:lang w:eastAsia="en-US"/>
        </w:rPr>
      </w:pPr>
      <w:r w:rsidRPr="00BD77D8">
        <w:rPr>
          <w:rFonts w:eastAsia="Arial"/>
          <w:b/>
          <w:bCs/>
          <w:i/>
          <w:sz w:val="18"/>
          <w:szCs w:val="18"/>
          <w:lang w:eastAsia="en-US"/>
        </w:rPr>
        <w:t>User charges and fees</w:t>
      </w:r>
    </w:p>
    <w:p w14:paraId="3CE49E84" w14:textId="77777777" w:rsidR="00B9311E" w:rsidRPr="00BD77D8" w:rsidRDefault="00B9311E" w:rsidP="006226A9">
      <w:pPr>
        <w:spacing w:line="180" w:lineRule="atLeast"/>
        <w:ind w:right="72"/>
        <w:textAlignment w:val="baseline"/>
        <w:rPr>
          <w:rFonts w:eastAsia="Arial"/>
          <w:b/>
          <w:bCs/>
          <w:iCs/>
          <w:sz w:val="18"/>
          <w:szCs w:val="18"/>
          <w:lang w:eastAsia="en-US"/>
        </w:rPr>
      </w:pPr>
      <w:r w:rsidRPr="00BD77D8">
        <w:rPr>
          <w:rFonts w:eastAsia="Arial"/>
          <w:sz w:val="18"/>
          <w:szCs w:val="18"/>
          <w:lang w:eastAsia="en-US"/>
        </w:rPr>
        <w:t>User charges and fees is $9.263M higher than the budget of $1.149M reflecting the retention of revenues to offset costs associated with the processing of Disability Worker Screening applications. The revenue was originally budgeted as Appropriation revenue.</w:t>
      </w:r>
    </w:p>
    <w:p w14:paraId="4C32B688"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Grants and other contributions</w:t>
      </w:r>
    </w:p>
    <w:p w14:paraId="76249482"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 xml:space="preserve">Grants and other contributions for 2021-22 includes revenue for the delivery of a range of disability support services for older Australians funded by the Commonwealth government. Revenue is $1.164M below the budget of $12.373M principally due to the number of clients supported by the department declining as they exit the department’s care. </w:t>
      </w:r>
    </w:p>
    <w:p w14:paraId="777318C7"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Reversal of revaluation decrement</w:t>
      </w:r>
    </w:p>
    <w:p w14:paraId="7D8B8BEB"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The balance of $28.569M represents the increment of the annual revaluation of land and building assets which reverses historical revaluation decrements. These asset movements are not budgeted for due to the uncertain outcomes of asset values across financial years.</w:t>
      </w:r>
    </w:p>
    <w:p w14:paraId="6E11B8FA"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Other revenue</w:t>
      </w:r>
    </w:p>
    <w:p w14:paraId="3F4D9347"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Other revenue is $2.105M higher than the budget of $0.864M principally reflecting the return of grant funds unspent from prior years of $1.484M and general expenditure recoveries of $0.431M which are not budgeted for due to the variable nature of these events.</w:t>
      </w:r>
    </w:p>
    <w:p w14:paraId="13DC2159"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Employee Expenses</w:t>
      </w:r>
    </w:p>
    <w:p w14:paraId="0DCAD21F" w14:textId="77777777" w:rsidR="00B9311E" w:rsidRPr="00BD77D8" w:rsidRDefault="00B9311E" w:rsidP="006226A9">
      <w:pPr>
        <w:spacing w:line="180" w:lineRule="atLeast"/>
        <w:textAlignment w:val="baseline"/>
        <w:rPr>
          <w:rFonts w:eastAsia="Arial"/>
          <w:iCs/>
          <w:sz w:val="18"/>
          <w:szCs w:val="18"/>
          <w:lang w:eastAsia="en-US"/>
        </w:rPr>
      </w:pPr>
      <w:r w:rsidRPr="00BD77D8">
        <w:rPr>
          <w:rFonts w:eastAsia="Arial"/>
          <w:iCs/>
          <w:sz w:val="18"/>
          <w:szCs w:val="18"/>
          <w:lang w:eastAsia="en-US"/>
        </w:rPr>
        <w:t>Employee expenses are $11.115M higher than the budget of $203.793M principally reflecting Enterprise Bargaining increases which were approved post the publication of the 2021-22 Budget, and the provision of disability support services by employees for older Australians which was originally budgeted for as service procurement.</w:t>
      </w:r>
    </w:p>
    <w:p w14:paraId="453062EA"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Supplies and services</w:t>
      </w:r>
    </w:p>
    <w:p w14:paraId="42E47C47" w14:textId="77777777" w:rsidR="00B9311E" w:rsidRPr="00BD77D8" w:rsidRDefault="00B9311E" w:rsidP="006226A9">
      <w:pPr>
        <w:spacing w:line="180" w:lineRule="atLeast"/>
        <w:textAlignment w:val="baseline"/>
        <w:rPr>
          <w:rFonts w:eastAsia="Arial"/>
          <w:i/>
          <w:sz w:val="18"/>
          <w:szCs w:val="18"/>
          <w:lang w:eastAsia="en-US"/>
        </w:rPr>
      </w:pPr>
      <w:r w:rsidRPr="00BD77D8">
        <w:rPr>
          <w:rFonts w:eastAsia="Arial"/>
          <w:iCs/>
          <w:sz w:val="18"/>
          <w:szCs w:val="18"/>
          <w:lang w:eastAsia="en-US"/>
        </w:rPr>
        <w:t xml:space="preserve">Supplies and services expenses were $22.449M lower than the budget of $90.085M. The original budget included estimated service procurement expenses of $10M for the delivery of disability support services for older Australians that were ultimately delivered by employees. Actual expenses are also lower, reflecting </w:t>
      </w:r>
      <w:r w:rsidRPr="00BD77D8">
        <w:rPr>
          <w:rFonts w:eastAsia="Arial"/>
          <w:sz w:val="18"/>
          <w:szCs w:val="18"/>
          <w:lang w:eastAsia="en-US"/>
        </w:rPr>
        <w:t xml:space="preserve">a range of timing adjustments for initiatives </w:t>
      </w:r>
      <w:r w:rsidRPr="00BD77D8">
        <w:rPr>
          <w:rFonts w:eastAsia="Arial"/>
          <w:iCs/>
          <w:sz w:val="18"/>
          <w:szCs w:val="18"/>
          <w:lang w:eastAsia="en-US"/>
        </w:rPr>
        <w:t xml:space="preserve">including land planning programs, with the ability to engage fully with local community and stakeholders impacted due to the ongoing effects of the COVID-19 pandemic. </w:t>
      </w:r>
      <w:bookmarkStart w:id="588" w:name="_Hlk111192213"/>
      <w:r w:rsidRPr="00BD77D8">
        <w:rPr>
          <w:rFonts w:eastAsia="Arial"/>
          <w:iCs/>
          <w:sz w:val="18"/>
          <w:szCs w:val="18"/>
          <w:lang w:eastAsia="en-US"/>
        </w:rPr>
        <w:t>The reclassification of several programs from supplies and services to grants and subsidies in accordance with accounting policy also reduced actual expenses in this category.</w:t>
      </w:r>
      <w:bookmarkEnd w:id="588"/>
    </w:p>
    <w:p w14:paraId="2929D225"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Grants and subsidies</w:t>
      </w:r>
    </w:p>
    <w:p w14:paraId="08F80D9D" w14:textId="77777777" w:rsidR="00B9311E" w:rsidRPr="00BD77D8" w:rsidRDefault="00B9311E" w:rsidP="00B9311E">
      <w:pPr>
        <w:spacing w:after="0" w:line="180" w:lineRule="atLeast"/>
        <w:textAlignment w:val="baseline"/>
        <w:rPr>
          <w:rFonts w:eastAsia="Arial"/>
          <w:i/>
          <w:sz w:val="18"/>
          <w:szCs w:val="18"/>
          <w:lang w:eastAsia="en-US"/>
        </w:rPr>
      </w:pPr>
      <w:r w:rsidRPr="00BD77D8">
        <w:rPr>
          <w:rFonts w:eastAsia="Arial"/>
          <w:iCs/>
          <w:sz w:val="18"/>
          <w:szCs w:val="18"/>
          <w:lang w:eastAsia="en-US"/>
        </w:rPr>
        <w:t>Grants and subsidies expenses were $6.751M higher than the budget of $9.112M reflecting initiatives rescheduled from 2020-21.  The associated funding was deferred from 2020-21, post the publication of the 2021-22 Budget. These programs were rescheduled because of the COVID-19 pandemic where the ability to engage fully with local communities and operationalise initiatives was affected. Expenses were also higher reflecting the reclassification of several programs from supplies and services to grants and subsidies in accordance with accounting policy.</w:t>
      </w:r>
    </w:p>
    <w:p w14:paraId="34B157C0" w14:textId="01BF4B4B" w:rsidR="00DD09A8" w:rsidRPr="00BD77D8" w:rsidRDefault="00DD09A8" w:rsidP="00B9311E">
      <w:pPr>
        <w:spacing w:after="0" w:line="180" w:lineRule="atLeast"/>
        <w:textAlignment w:val="baseline"/>
        <w:rPr>
          <w:rFonts w:eastAsia="Arial"/>
          <w:iCs/>
          <w:sz w:val="18"/>
          <w:szCs w:val="18"/>
          <w:lang w:eastAsia="en-US"/>
        </w:rPr>
        <w:sectPr w:rsidR="00DD09A8" w:rsidRPr="00BD77D8" w:rsidSect="000160CF">
          <w:type w:val="nextColumn"/>
          <w:pgSz w:w="11909" w:h="16838"/>
          <w:pgMar w:top="794" w:right="794" w:bottom="794" w:left="794" w:header="720" w:footer="720" w:gutter="0"/>
          <w:cols w:space="720"/>
        </w:sectPr>
      </w:pP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r>
      <w:r w:rsidRPr="00BD77D8">
        <w:rPr>
          <w:rFonts w:eastAsia="Arial"/>
          <w:iCs/>
          <w:sz w:val="18"/>
          <w:szCs w:val="18"/>
          <w:lang w:eastAsia="en-US"/>
        </w:rPr>
        <w:tab/>
        <w:t>Page 32 of 45</w:t>
      </w:r>
    </w:p>
    <w:p w14:paraId="128026A9"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5957E6ED"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C430185"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519E029D" w14:textId="77777777" w:rsidR="00B9311E" w:rsidRPr="00BD77D8" w:rsidRDefault="00B9311E" w:rsidP="00B9311E">
      <w:pPr>
        <w:pBdr>
          <w:bottom w:val="single" w:sz="4" w:space="1" w:color="auto"/>
        </w:pBdr>
        <w:spacing w:after="0" w:line="206" w:lineRule="exact"/>
        <w:textAlignment w:val="baseline"/>
        <w:rPr>
          <w:rFonts w:eastAsia="Arial"/>
          <w:b/>
          <w:sz w:val="18"/>
          <w:szCs w:val="18"/>
          <w:lang w:eastAsia="en-US"/>
        </w:rPr>
      </w:pPr>
    </w:p>
    <w:p w14:paraId="187991B0" w14:textId="77777777" w:rsidR="00B9311E" w:rsidRPr="00BD77D8" w:rsidRDefault="00B9311E" w:rsidP="006226A9">
      <w:pPr>
        <w:spacing w:before="240" w:line="180" w:lineRule="atLeast"/>
        <w:textAlignment w:val="baseline"/>
        <w:rPr>
          <w:rFonts w:eastAsia="Arial"/>
          <w:b/>
          <w:bCs/>
          <w:iCs/>
          <w:sz w:val="22"/>
          <w:szCs w:val="22"/>
          <w:lang w:eastAsia="en-US"/>
        </w:rPr>
      </w:pPr>
      <w:r w:rsidRPr="00BD77D8">
        <w:rPr>
          <w:rFonts w:eastAsia="Arial"/>
          <w:b/>
          <w:bCs/>
          <w:iCs/>
          <w:sz w:val="22"/>
          <w:szCs w:val="22"/>
          <w:lang w:eastAsia="en-US"/>
        </w:rPr>
        <w:t>E1 Budgetary Reporting Disclosures (continued)</w:t>
      </w:r>
    </w:p>
    <w:p w14:paraId="6CBFE73F" w14:textId="77777777" w:rsidR="00B9311E" w:rsidRPr="00BD77D8" w:rsidRDefault="00B9311E" w:rsidP="006226A9">
      <w:pPr>
        <w:spacing w:line="180" w:lineRule="atLeast"/>
        <w:textAlignment w:val="baseline"/>
        <w:rPr>
          <w:rFonts w:eastAsia="Arial"/>
          <w:b/>
          <w:bCs/>
          <w:iCs/>
          <w:sz w:val="20"/>
          <w:szCs w:val="20"/>
          <w:lang w:eastAsia="en-US"/>
        </w:rPr>
      </w:pPr>
      <w:r w:rsidRPr="00BD77D8">
        <w:rPr>
          <w:rFonts w:eastAsia="Arial"/>
          <w:b/>
          <w:bCs/>
          <w:iCs/>
          <w:sz w:val="20"/>
          <w:szCs w:val="20"/>
          <w:lang w:eastAsia="en-US"/>
        </w:rPr>
        <w:t xml:space="preserve">E1-1 Explanation of Major Variances – </w:t>
      </w:r>
      <w:r w:rsidRPr="00BD77D8">
        <w:rPr>
          <w:rFonts w:eastAsia="Arial"/>
          <w:b/>
          <w:bCs/>
          <w:sz w:val="20"/>
          <w:szCs w:val="20"/>
          <w:lang w:eastAsia="en-US"/>
        </w:rPr>
        <w:t>Statement of comprehensive income</w:t>
      </w:r>
      <w:r w:rsidRPr="00BD77D8">
        <w:rPr>
          <w:rFonts w:eastAsia="Arial"/>
          <w:b/>
          <w:bCs/>
          <w:iCs/>
          <w:sz w:val="20"/>
          <w:szCs w:val="20"/>
          <w:lang w:eastAsia="en-US"/>
        </w:rPr>
        <w:t xml:space="preserve"> (continued)</w:t>
      </w:r>
    </w:p>
    <w:p w14:paraId="2BDF2206"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Depreciation and amortisation</w:t>
      </w:r>
    </w:p>
    <w:p w14:paraId="03BE7BAD"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 xml:space="preserve">Depreciation and amortisation expenses were $3.176M lower than the budget of $6.960M, reflecting the recalibration of the asset portfolio and commensurate depreciation budget following the December 2020 Machinery-of-Government changes, and the </w:t>
      </w:r>
      <w:proofErr w:type="spellStart"/>
      <w:r w:rsidRPr="00BD77D8">
        <w:rPr>
          <w:rFonts w:eastAsia="Arial"/>
          <w:iCs/>
          <w:sz w:val="18"/>
          <w:szCs w:val="18"/>
          <w:lang w:eastAsia="en-US"/>
        </w:rPr>
        <w:t>relifing</w:t>
      </w:r>
      <w:proofErr w:type="spellEnd"/>
      <w:r w:rsidRPr="00BD77D8">
        <w:rPr>
          <w:rFonts w:eastAsia="Arial"/>
          <w:iCs/>
          <w:sz w:val="18"/>
          <w:szCs w:val="18"/>
          <w:lang w:eastAsia="en-US"/>
        </w:rPr>
        <w:t xml:space="preserve"> of non-current assets in the current year.</w:t>
      </w:r>
    </w:p>
    <w:p w14:paraId="0AAF0FC9"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Other expenses</w:t>
      </w:r>
    </w:p>
    <w:p w14:paraId="2637D822" w14:textId="77777777" w:rsidR="00B9311E" w:rsidRPr="00BD77D8" w:rsidRDefault="00B9311E" w:rsidP="006226A9">
      <w:pPr>
        <w:spacing w:line="180" w:lineRule="atLeast"/>
        <w:textAlignment w:val="baseline"/>
        <w:rPr>
          <w:rFonts w:eastAsia="Arial"/>
          <w:b/>
          <w:bCs/>
          <w:iCs/>
          <w:sz w:val="18"/>
          <w:szCs w:val="18"/>
          <w:lang w:eastAsia="en-US"/>
        </w:rPr>
      </w:pPr>
      <w:r w:rsidRPr="00BD77D8">
        <w:rPr>
          <w:rFonts w:eastAsia="Arial"/>
          <w:iCs/>
          <w:sz w:val="18"/>
          <w:szCs w:val="18"/>
          <w:lang w:eastAsia="en-US"/>
        </w:rPr>
        <w:t>Other expenses are $1.109M higher than the budget of $1.105M principally due to the recognition of a property loss as disclosed in Note B2-5.</w:t>
      </w:r>
    </w:p>
    <w:p w14:paraId="79666A10" w14:textId="77777777" w:rsidR="00B9311E" w:rsidRPr="00BD77D8" w:rsidRDefault="00B9311E" w:rsidP="006226A9">
      <w:pPr>
        <w:spacing w:line="180" w:lineRule="atLeast"/>
        <w:textAlignment w:val="baseline"/>
        <w:rPr>
          <w:rFonts w:eastAsia="Arial"/>
          <w:b/>
          <w:bCs/>
          <w:sz w:val="20"/>
          <w:szCs w:val="20"/>
          <w:lang w:eastAsia="en-US"/>
        </w:rPr>
      </w:pPr>
      <w:r w:rsidRPr="00BD77D8">
        <w:rPr>
          <w:rFonts w:eastAsia="Arial"/>
          <w:b/>
          <w:bCs/>
          <w:sz w:val="20"/>
          <w:szCs w:val="20"/>
          <w:lang w:eastAsia="en-US"/>
        </w:rPr>
        <w:t xml:space="preserve">E1-2 Explanation of Major Variances – </w:t>
      </w:r>
      <w:r w:rsidRPr="00BD77D8">
        <w:rPr>
          <w:rFonts w:eastAsia="Arial"/>
          <w:b/>
          <w:bCs/>
          <w:spacing w:val="3"/>
          <w:sz w:val="20"/>
          <w:szCs w:val="20"/>
          <w:lang w:eastAsia="en-US"/>
        </w:rPr>
        <w:t>Statement of financial performance</w:t>
      </w:r>
    </w:p>
    <w:p w14:paraId="3C57F47E"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Cash</w:t>
      </w:r>
    </w:p>
    <w:p w14:paraId="09072B8C"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sz w:val="18"/>
          <w:szCs w:val="18"/>
          <w:lang w:eastAsia="en-US"/>
        </w:rPr>
        <w:t xml:space="preserve">The Cash balance is $26.754M higher than the budget of $24.251M principally reflecting cash held of $19.836M which represents the Appropriation payable to be returned to the Consolidated Fund. </w:t>
      </w:r>
    </w:p>
    <w:p w14:paraId="6A02EB03"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Receivables</w:t>
      </w:r>
    </w:p>
    <w:p w14:paraId="22025088"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sz w:val="18"/>
          <w:szCs w:val="18"/>
          <w:lang w:eastAsia="en-US"/>
        </w:rPr>
        <w:t>Receivables are $2.966M higher than the budget of $4.544M principally reflecting a higher level of annual and long service leave claims receivable under the Queensland Government’s Annual Leave Central Scheme than forecast.</w:t>
      </w:r>
    </w:p>
    <w:p w14:paraId="791437DF" w14:textId="77777777" w:rsidR="00B9311E" w:rsidRPr="00BD77D8" w:rsidRDefault="00B9311E" w:rsidP="006226A9">
      <w:pPr>
        <w:spacing w:line="180" w:lineRule="atLeast"/>
        <w:textAlignment w:val="baseline"/>
        <w:rPr>
          <w:rFonts w:eastAsia="Arial"/>
          <w:b/>
          <w:bCs/>
          <w:i/>
          <w:sz w:val="18"/>
          <w:szCs w:val="18"/>
          <w:lang w:eastAsia="en-US"/>
        </w:rPr>
      </w:pPr>
      <w:r w:rsidRPr="00BD77D8">
        <w:rPr>
          <w:rFonts w:eastAsia="Arial"/>
          <w:b/>
          <w:bCs/>
          <w:i/>
          <w:sz w:val="18"/>
          <w:szCs w:val="18"/>
          <w:lang w:eastAsia="en-US"/>
        </w:rPr>
        <w:t>Property, Plant and Equipment</w:t>
      </w:r>
    </w:p>
    <w:p w14:paraId="65E956BE"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iCs/>
          <w:sz w:val="18"/>
          <w:szCs w:val="18"/>
          <w:lang w:eastAsia="en-US"/>
        </w:rPr>
        <w:t xml:space="preserve">Property, Plant </w:t>
      </w:r>
      <w:r w:rsidRPr="00BD77D8">
        <w:rPr>
          <w:rFonts w:eastAsia="Arial"/>
          <w:sz w:val="18"/>
          <w:szCs w:val="18"/>
          <w:lang w:eastAsia="en-US"/>
        </w:rPr>
        <w:t>and equipment is $21.385M higher than the budget of $183.788M reflecting asset revaluation increases as summarised in Note C4-1.</w:t>
      </w:r>
    </w:p>
    <w:p w14:paraId="102E8785" w14:textId="77777777" w:rsidR="00B9311E" w:rsidRPr="00BD77D8" w:rsidRDefault="00B9311E" w:rsidP="006226A9">
      <w:pPr>
        <w:spacing w:line="180" w:lineRule="atLeast"/>
        <w:textAlignment w:val="baseline"/>
        <w:rPr>
          <w:rFonts w:eastAsia="Arial"/>
          <w:b/>
          <w:bCs/>
          <w:i/>
          <w:iCs/>
          <w:sz w:val="18"/>
          <w:szCs w:val="18"/>
          <w:lang w:eastAsia="en-US"/>
        </w:rPr>
      </w:pPr>
      <w:r w:rsidRPr="00BD77D8">
        <w:rPr>
          <w:rFonts w:eastAsia="Arial"/>
          <w:b/>
          <w:bCs/>
          <w:i/>
          <w:iCs/>
          <w:sz w:val="18"/>
          <w:szCs w:val="18"/>
          <w:lang w:eastAsia="en-US"/>
        </w:rPr>
        <w:t>Payables</w:t>
      </w:r>
    </w:p>
    <w:p w14:paraId="134FEE3E" w14:textId="77777777" w:rsidR="00B9311E" w:rsidRPr="00BD77D8" w:rsidRDefault="00B9311E" w:rsidP="006226A9">
      <w:pPr>
        <w:spacing w:line="180" w:lineRule="atLeast"/>
        <w:textAlignment w:val="baseline"/>
        <w:rPr>
          <w:rFonts w:eastAsia="Arial"/>
          <w:b/>
          <w:bCs/>
          <w:sz w:val="18"/>
          <w:szCs w:val="18"/>
          <w:lang w:eastAsia="en-US"/>
        </w:rPr>
      </w:pPr>
      <w:r w:rsidRPr="00BD77D8">
        <w:rPr>
          <w:rFonts w:eastAsia="Arial"/>
          <w:iCs/>
          <w:sz w:val="18"/>
          <w:szCs w:val="18"/>
          <w:lang w:eastAsia="en-US"/>
        </w:rPr>
        <w:t>Payables are $22.092M higher than the budget of $4.390M principally reflecting the</w:t>
      </w:r>
      <w:r w:rsidRPr="00BD77D8">
        <w:rPr>
          <w:rFonts w:eastAsia="Arial"/>
          <w:sz w:val="18"/>
          <w:szCs w:val="18"/>
          <w:lang w:eastAsia="en-US"/>
        </w:rPr>
        <w:t xml:space="preserve"> $19.836M Appropriation payable to be returned to the Consolidated Fund.</w:t>
      </w:r>
    </w:p>
    <w:p w14:paraId="75D6C2EB" w14:textId="77777777" w:rsidR="00B9311E" w:rsidRPr="00BD77D8" w:rsidRDefault="00B9311E" w:rsidP="006226A9">
      <w:pPr>
        <w:spacing w:line="206" w:lineRule="exact"/>
        <w:rPr>
          <w:rFonts w:eastAsia="Arial"/>
          <w:b/>
          <w:bCs/>
          <w:sz w:val="20"/>
          <w:szCs w:val="20"/>
          <w:lang w:eastAsia="en-US"/>
        </w:rPr>
      </w:pPr>
      <w:r w:rsidRPr="00BD77D8">
        <w:rPr>
          <w:rFonts w:eastAsia="Arial"/>
          <w:b/>
          <w:bCs/>
          <w:sz w:val="20"/>
          <w:szCs w:val="20"/>
          <w:lang w:eastAsia="en-US"/>
        </w:rPr>
        <w:t>E1-3 Explanation of Major Variances – Statement of Cash Flows</w:t>
      </w:r>
    </w:p>
    <w:p w14:paraId="714ACCF2" w14:textId="77777777" w:rsidR="00B9311E" w:rsidRPr="00BD77D8" w:rsidRDefault="00B9311E" w:rsidP="006226A9">
      <w:pPr>
        <w:spacing w:line="240" w:lineRule="auto"/>
        <w:rPr>
          <w:rFonts w:eastAsia="PMingLiU"/>
          <w:b/>
          <w:bCs/>
          <w:i/>
          <w:iCs/>
          <w:sz w:val="18"/>
          <w:szCs w:val="18"/>
          <w:lang w:eastAsia="en-US"/>
        </w:rPr>
      </w:pPr>
      <w:r w:rsidRPr="00BD77D8">
        <w:rPr>
          <w:rFonts w:eastAsia="PMingLiU"/>
          <w:b/>
          <w:bCs/>
          <w:i/>
          <w:iCs/>
          <w:sz w:val="18"/>
          <w:szCs w:val="18"/>
          <w:lang w:eastAsia="en-US"/>
        </w:rPr>
        <w:t>Service appropriation receipts</w:t>
      </w:r>
    </w:p>
    <w:p w14:paraId="28ECF8AF" w14:textId="77777777" w:rsidR="00B9311E" w:rsidRPr="00BD77D8" w:rsidRDefault="00B9311E" w:rsidP="00B9311E">
      <w:pPr>
        <w:spacing w:after="0" w:line="180" w:lineRule="atLeast"/>
        <w:ind w:right="360"/>
        <w:textAlignment w:val="baseline"/>
        <w:rPr>
          <w:rFonts w:eastAsia="Arial"/>
          <w:sz w:val="18"/>
          <w:szCs w:val="18"/>
          <w:lang w:eastAsia="en-US"/>
        </w:rPr>
      </w:pPr>
      <w:r w:rsidRPr="00BD77D8">
        <w:rPr>
          <w:rFonts w:eastAsia="Arial"/>
          <w:sz w:val="18"/>
          <w:szCs w:val="18"/>
          <w:lang w:eastAsia="en-US"/>
        </w:rPr>
        <w:t xml:space="preserve">Appropriation receipts are $20.675M lower than budget of $295.216M principally reflecting a reduction of $9M in Appropriation revenue to offset user charges revenue retained to fund the costs associated with the processing of Disability Worker Screening applications for individuals seeking to be engaged in roles that require either a NDIS or state based worker screening clearance, and reflecting a range of timing adjustments for initiatives including splash parks in remote communities and the alcohol management program. </w:t>
      </w:r>
    </w:p>
    <w:p w14:paraId="5FA99150" w14:textId="2AC080A3" w:rsidR="00B9311E" w:rsidRPr="00BD77D8" w:rsidRDefault="00DD09A8" w:rsidP="0089639E">
      <w:pPr>
        <w:spacing w:before="3720" w:after="0" w:line="240" w:lineRule="auto"/>
        <w:rPr>
          <w:rFonts w:eastAsia="Arial"/>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33 of 45</w:t>
      </w:r>
      <w:r w:rsidR="00B9311E" w:rsidRPr="00BD77D8">
        <w:rPr>
          <w:rFonts w:eastAsia="Arial"/>
          <w:sz w:val="18"/>
          <w:szCs w:val="18"/>
          <w:lang w:eastAsia="en-US"/>
        </w:rPr>
        <w:br w:type="page"/>
      </w:r>
    </w:p>
    <w:p w14:paraId="07388494" w14:textId="77777777" w:rsidR="00B9311E" w:rsidRPr="00BD77D8" w:rsidRDefault="00B9311E" w:rsidP="00B9311E">
      <w:pPr>
        <w:spacing w:after="0" w:line="240" w:lineRule="auto"/>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E42E56E" w14:textId="77777777" w:rsidR="00B9311E" w:rsidRPr="00BD77D8" w:rsidRDefault="00B9311E" w:rsidP="007150A3">
      <w:pPr>
        <w:spacing w:after="0" w:line="240" w:lineRule="auto"/>
        <w:rPr>
          <w:rFonts w:eastAsia="Arial"/>
          <w:b/>
          <w:bCs/>
          <w:sz w:val="18"/>
          <w:szCs w:val="18"/>
          <w:lang w:eastAsia="en-US"/>
        </w:rPr>
      </w:pPr>
      <w:r w:rsidRPr="00BD77D8">
        <w:rPr>
          <w:rFonts w:eastAsia="Arial"/>
          <w:b/>
          <w:bCs/>
          <w:sz w:val="18"/>
          <w:szCs w:val="18"/>
          <w:lang w:eastAsia="en-US"/>
        </w:rPr>
        <w:t>Notes to the Financial Statements</w:t>
      </w:r>
    </w:p>
    <w:p w14:paraId="07686144"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4A6818F0" w14:textId="77777777" w:rsidR="00B9311E" w:rsidRPr="00BD77D8" w:rsidRDefault="00B9311E" w:rsidP="00B9311E">
      <w:pPr>
        <w:pBdr>
          <w:bottom w:val="single" w:sz="4" w:space="1" w:color="auto"/>
        </w:pBdr>
        <w:spacing w:after="0" w:line="206" w:lineRule="exact"/>
        <w:textAlignment w:val="baseline"/>
        <w:rPr>
          <w:rFonts w:eastAsia="Arial"/>
          <w:b/>
          <w:sz w:val="18"/>
          <w:szCs w:val="18"/>
          <w:lang w:eastAsia="en-US"/>
        </w:rPr>
      </w:pPr>
    </w:p>
    <w:p w14:paraId="67261004" w14:textId="77777777" w:rsidR="00B9311E" w:rsidRPr="00BD77D8" w:rsidRDefault="00B9311E" w:rsidP="00E47A6E">
      <w:pPr>
        <w:spacing w:before="240" w:line="180" w:lineRule="atLeast"/>
        <w:textAlignment w:val="baseline"/>
        <w:rPr>
          <w:rFonts w:eastAsia="Arial"/>
          <w:b/>
          <w:bCs/>
          <w:iCs/>
          <w:sz w:val="22"/>
          <w:szCs w:val="22"/>
          <w:lang w:eastAsia="en-US"/>
        </w:rPr>
      </w:pPr>
      <w:r w:rsidRPr="00BD77D8">
        <w:rPr>
          <w:rFonts w:eastAsia="Arial"/>
          <w:b/>
          <w:bCs/>
          <w:iCs/>
          <w:sz w:val="22"/>
          <w:szCs w:val="22"/>
          <w:lang w:eastAsia="en-US"/>
        </w:rPr>
        <w:t>E1 Budgetary Reporting Disclosures (continued)</w:t>
      </w:r>
    </w:p>
    <w:p w14:paraId="78545CA9" w14:textId="77777777" w:rsidR="00B9311E" w:rsidRPr="00BD77D8" w:rsidRDefault="00B9311E" w:rsidP="00E47A6E">
      <w:pPr>
        <w:spacing w:line="206" w:lineRule="exact"/>
        <w:rPr>
          <w:rFonts w:eastAsia="Arial"/>
          <w:b/>
          <w:bCs/>
          <w:sz w:val="20"/>
          <w:szCs w:val="20"/>
          <w:lang w:eastAsia="en-US"/>
        </w:rPr>
      </w:pPr>
      <w:r w:rsidRPr="00BD77D8">
        <w:rPr>
          <w:rFonts w:eastAsia="Arial"/>
          <w:b/>
          <w:bCs/>
          <w:sz w:val="20"/>
          <w:szCs w:val="20"/>
          <w:lang w:eastAsia="en-US"/>
        </w:rPr>
        <w:t>E1-3 Explanation of Major Variances – Statement of Cash Flows (continued)</w:t>
      </w:r>
    </w:p>
    <w:p w14:paraId="0CEF14C0"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User charges and fees</w:t>
      </w:r>
    </w:p>
    <w:p w14:paraId="3899B498" w14:textId="77777777" w:rsidR="00B9311E" w:rsidRPr="00BD77D8" w:rsidRDefault="00B9311E" w:rsidP="00E47A6E">
      <w:pPr>
        <w:spacing w:line="180" w:lineRule="atLeast"/>
        <w:ind w:right="72"/>
        <w:textAlignment w:val="baseline"/>
        <w:rPr>
          <w:rFonts w:eastAsia="Arial"/>
          <w:b/>
          <w:bCs/>
          <w:iCs/>
          <w:sz w:val="18"/>
          <w:szCs w:val="18"/>
          <w:lang w:eastAsia="en-US"/>
        </w:rPr>
      </w:pPr>
      <w:r w:rsidRPr="00BD77D8">
        <w:rPr>
          <w:rFonts w:eastAsia="Arial"/>
          <w:sz w:val="18"/>
          <w:szCs w:val="18"/>
          <w:lang w:eastAsia="en-US"/>
        </w:rPr>
        <w:t>User charges and fees are $8.800M higher than budget of $1.149M reflecting the retention of revenues to offset costs associated with the processing of Disability Worker Screening applications. The revenue was originally budgeted as Appropriation receipts.</w:t>
      </w:r>
    </w:p>
    <w:p w14:paraId="76175206"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Grants and other contributions</w:t>
      </w:r>
    </w:p>
    <w:p w14:paraId="1E5063E7" w14:textId="77777777" w:rsidR="00B9311E" w:rsidRPr="00BD77D8" w:rsidRDefault="00B9311E" w:rsidP="00E47A6E">
      <w:pPr>
        <w:spacing w:line="180" w:lineRule="atLeast"/>
        <w:textAlignment w:val="baseline"/>
        <w:rPr>
          <w:rFonts w:eastAsia="Arial"/>
          <w:b/>
          <w:bCs/>
          <w:iCs/>
          <w:sz w:val="18"/>
          <w:szCs w:val="18"/>
          <w:lang w:eastAsia="en-US"/>
        </w:rPr>
      </w:pPr>
      <w:r w:rsidRPr="00BD77D8">
        <w:rPr>
          <w:rFonts w:eastAsia="Arial"/>
          <w:iCs/>
          <w:sz w:val="18"/>
          <w:szCs w:val="18"/>
          <w:lang w:eastAsia="en-US"/>
        </w:rPr>
        <w:t xml:space="preserve">Grants and other contributions for 2021-22 includes revenue for the delivery of a range of disability support services for older Australians funded by the Commonwealth government. Revenue is $1.151M below the budget of $12.048M principally due to the number of clients supported by the department is declining as they exit the department’s care. </w:t>
      </w:r>
    </w:p>
    <w:p w14:paraId="04871C5E"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GST Input tax credits received from ATO</w:t>
      </w:r>
    </w:p>
    <w:p w14:paraId="1F658D93" w14:textId="77777777" w:rsidR="00B9311E" w:rsidRPr="00BD77D8" w:rsidRDefault="00B9311E" w:rsidP="00E47A6E">
      <w:pPr>
        <w:spacing w:line="240" w:lineRule="auto"/>
        <w:rPr>
          <w:rFonts w:eastAsia="PMingLiU"/>
          <w:b/>
          <w:bCs/>
          <w:sz w:val="18"/>
          <w:szCs w:val="18"/>
          <w:lang w:eastAsia="en-US"/>
        </w:rPr>
      </w:pPr>
      <w:r w:rsidRPr="00BD77D8">
        <w:rPr>
          <w:rFonts w:eastAsia="PMingLiU"/>
          <w:sz w:val="18"/>
          <w:szCs w:val="18"/>
          <w:lang w:eastAsia="en-US"/>
        </w:rPr>
        <w:t>GST input tax credits are lower than budget due to service procurement expenditure reducing because of the introduction of the NDIS.  Disability services non-government organisations now receive funding directly from the NDIS.</w:t>
      </w:r>
    </w:p>
    <w:p w14:paraId="74E02681"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Other inflows</w:t>
      </w:r>
    </w:p>
    <w:p w14:paraId="5D8648C4" w14:textId="77777777" w:rsidR="00B9311E" w:rsidRPr="00BD77D8" w:rsidRDefault="00B9311E" w:rsidP="00E47A6E">
      <w:pPr>
        <w:spacing w:line="180" w:lineRule="atLeast"/>
        <w:textAlignment w:val="baseline"/>
        <w:rPr>
          <w:rFonts w:eastAsia="Arial"/>
          <w:b/>
          <w:bCs/>
          <w:iCs/>
          <w:sz w:val="18"/>
          <w:szCs w:val="18"/>
          <w:lang w:eastAsia="en-US"/>
        </w:rPr>
      </w:pPr>
      <w:r w:rsidRPr="00BD77D8">
        <w:rPr>
          <w:rFonts w:eastAsia="Arial"/>
          <w:iCs/>
          <w:sz w:val="18"/>
          <w:szCs w:val="18"/>
          <w:lang w:eastAsia="en-US"/>
        </w:rPr>
        <w:t>Other cash inflows are $3.037M higher than the budget of $0.827M principally reflecting the return of grant funds unspent from prior years and general expenditure recoveries which are not budgeted for due to the variable nature of these events.</w:t>
      </w:r>
    </w:p>
    <w:p w14:paraId="07DC0FE3"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Employee expenses</w:t>
      </w:r>
    </w:p>
    <w:p w14:paraId="3E425051" w14:textId="77777777" w:rsidR="00B9311E" w:rsidRPr="00BD77D8" w:rsidRDefault="00B9311E" w:rsidP="00E47A6E">
      <w:pPr>
        <w:spacing w:line="180" w:lineRule="atLeast"/>
        <w:textAlignment w:val="baseline"/>
        <w:rPr>
          <w:rFonts w:eastAsia="Arial"/>
          <w:iCs/>
          <w:sz w:val="18"/>
          <w:szCs w:val="18"/>
          <w:lang w:eastAsia="en-US"/>
        </w:rPr>
      </w:pPr>
      <w:r w:rsidRPr="00BD77D8">
        <w:rPr>
          <w:rFonts w:eastAsia="Arial"/>
          <w:iCs/>
          <w:sz w:val="18"/>
          <w:szCs w:val="18"/>
          <w:lang w:eastAsia="en-US"/>
        </w:rPr>
        <w:t>Employee expenses are $10.821M higher than the budget of $203.793M principally reflecting Enterprise Bargaining increases which were approved post the publication of the 2021-22 Budget, and the provision of disability support services by employees for older Australians which was originally budgeted for as service procurement.</w:t>
      </w:r>
    </w:p>
    <w:p w14:paraId="31358BBA"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Supplies and services</w:t>
      </w:r>
    </w:p>
    <w:p w14:paraId="63F88676" w14:textId="77777777" w:rsidR="00B9311E" w:rsidRPr="00BD77D8" w:rsidRDefault="00B9311E" w:rsidP="00E47A6E">
      <w:pPr>
        <w:spacing w:line="180" w:lineRule="atLeast"/>
        <w:textAlignment w:val="baseline"/>
        <w:rPr>
          <w:rFonts w:eastAsia="Arial"/>
          <w:i/>
          <w:sz w:val="18"/>
          <w:szCs w:val="18"/>
          <w:lang w:eastAsia="en-US"/>
        </w:rPr>
      </w:pPr>
      <w:r w:rsidRPr="00BD77D8">
        <w:rPr>
          <w:rFonts w:eastAsia="Arial"/>
          <w:iCs/>
          <w:sz w:val="18"/>
          <w:szCs w:val="18"/>
          <w:lang w:eastAsia="en-US"/>
        </w:rPr>
        <w:t xml:space="preserve">Supplies and services expenses were $19.490M lower than the budget of $90.385M. The original budget included estimated service procurement expenses of $10M for the delivery of disability support services for older Australians that were ultimately delivered by employees. Actual expenses are also lower reflecting </w:t>
      </w:r>
      <w:r w:rsidRPr="00BD77D8">
        <w:rPr>
          <w:rFonts w:eastAsia="Arial"/>
          <w:sz w:val="18"/>
          <w:szCs w:val="18"/>
          <w:lang w:eastAsia="en-US"/>
        </w:rPr>
        <w:t xml:space="preserve">a range of timing adjustments for initiatives </w:t>
      </w:r>
      <w:r w:rsidRPr="00BD77D8">
        <w:rPr>
          <w:rFonts w:eastAsia="Arial"/>
          <w:iCs/>
          <w:sz w:val="18"/>
          <w:szCs w:val="18"/>
          <w:lang w:eastAsia="en-US"/>
        </w:rPr>
        <w:t>including land planning programs, with the ability to engage fully with local community and stakeholders impacted due to the ongoing effects of the COVID-19 pandemic. The reclassification of several programs from supplies and services to grants and subsidies in accordance with accounting policy also reduced actual expenses in this category.</w:t>
      </w:r>
    </w:p>
    <w:p w14:paraId="7386AC81"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Grants and subsidies</w:t>
      </w:r>
    </w:p>
    <w:p w14:paraId="380E4BF5" w14:textId="77777777" w:rsidR="00B9311E" w:rsidRPr="00BD77D8" w:rsidRDefault="00B9311E" w:rsidP="00E47A6E">
      <w:pPr>
        <w:spacing w:line="180" w:lineRule="atLeast"/>
        <w:textAlignment w:val="baseline"/>
        <w:rPr>
          <w:rFonts w:eastAsia="Arial"/>
          <w:i/>
          <w:sz w:val="18"/>
          <w:szCs w:val="18"/>
          <w:lang w:eastAsia="en-US"/>
        </w:rPr>
      </w:pPr>
      <w:r w:rsidRPr="00BD77D8">
        <w:rPr>
          <w:rFonts w:eastAsia="Arial"/>
          <w:iCs/>
          <w:sz w:val="18"/>
          <w:szCs w:val="18"/>
          <w:lang w:eastAsia="en-US"/>
        </w:rPr>
        <w:t>Grants and subsidies expenses were $6.450M higher than the budget of $9.112M reflecting initiatives rescheduled from 2020-21. The associated funding was deferred from 2020-21, post the publication of the 2021-22 Budget. These programs were rescheduled because of the COVID-19 pandemic where the ability to engage fully with local communities and operationalise initiatives was affected. Expenses were also higher reflecting the reclassification of several programs from supplies and services to grants and subsidies in accordance with accounting policy.</w:t>
      </w:r>
    </w:p>
    <w:p w14:paraId="5D518133"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GST paid to suppliers</w:t>
      </w:r>
    </w:p>
    <w:p w14:paraId="2EA6BDDD" w14:textId="77777777" w:rsidR="00B9311E" w:rsidRPr="00BD77D8" w:rsidRDefault="00B9311E" w:rsidP="00E47A6E">
      <w:pPr>
        <w:spacing w:line="240" w:lineRule="auto"/>
        <w:rPr>
          <w:rFonts w:eastAsia="PMingLiU"/>
          <w:b/>
          <w:bCs/>
          <w:sz w:val="18"/>
          <w:szCs w:val="18"/>
          <w:lang w:eastAsia="en-US"/>
        </w:rPr>
      </w:pPr>
      <w:r w:rsidRPr="00BD77D8">
        <w:rPr>
          <w:rFonts w:eastAsia="PMingLiU"/>
          <w:sz w:val="18"/>
          <w:szCs w:val="18"/>
          <w:lang w:eastAsia="en-US"/>
        </w:rPr>
        <w:t>GST paid to suppliers is lower than budget due service procurement expenditure reducing because of the introduction of the NDIS.  Disability services non-government organisations now receive funding directly from the NDIS.</w:t>
      </w:r>
    </w:p>
    <w:p w14:paraId="06C0EB93" w14:textId="77777777" w:rsidR="00B9311E" w:rsidRPr="00BD77D8" w:rsidRDefault="00B9311E" w:rsidP="00E47A6E">
      <w:pPr>
        <w:spacing w:line="240" w:lineRule="auto"/>
        <w:rPr>
          <w:rFonts w:eastAsia="PMingLiU"/>
          <w:b/>
          <w:bCs/>
          <w:i/>
          <w:iCs/>
          <w:sz w:val="18"/>
          <w:szCs w:val="18"/>
          <w:lang w:eastAsia="en-US"/>
        </w:rPr>
      </w:pPr>
      <w:r w:rsidRPr="00BD77D8">
        <w:rPr>
          <w:rFonts w:eastAsia="PMingLiU"/>
          <w:b/>
          <w:bCs/>
          <w:i/>
          <w:iCs/>
          <w:sz w:val="18"/>
          <w:szCs w:val="18"/>
          <w:lang w:eastAsia="en-US"/>
        </w:rPr>
        <w:t>Payments for property, plant and equipment</w:t>
      </w:r>
    </w:p>
    <w:p w14:paraId="2DE403F9" w14:textId="77777777" w:rsidR="00B9311E" w:rsidRPr="00BD77D8" w:rsidRDefault="00B9311E" w:rsidP="00E47A6E">
      <w:pPr>
        <w:spacing w:line="240" w:lineRule="auto"/>
        <w:rPr>
          <w:rFonts w:eastAsia="PMingLiU"/>
          <w:b/>
          <w:bCs/>
          <w:sz w:val="18"/>
          <w:szCs w:val="18"/>
          <w:lang w:eastAsia="en-US"/>
        </w:rPr>
      </w:pPr>
      <w:r w:rsidRPr="00BD77D8">
        <w:rPr>
          <w:rFonts w:eastAsia="PMingLiU"/>
          <w:sz w:val="18"/>
          <w:szCs w:val="18"/>
          <w:lang w:eastAsia="en-US"/>
        </w:rPr>
        <w:t>Payments for property, plant and equipment are $5.356M below the budget of $7.572M principally reflecting the rescheduling of expenditure as complex land and environmental planning requirements were required to be met before works could commence at the Wacol disability services precinct, and the project further affected by inclement weather conditions which delayed construction.</w:t>
      </w:r>
    </w:p>
    <w:p w14:paraId="07890C48" w14:textId="77777777" w:rsidR="00B9311E" w:rsidRPr="00BD77D8" w:rsidRDefault="00B9311E" w:rsidP="00B9311E">
      <w:pPr>
        <w:spacing w:after="0" w:line="240" w:lineRule="auto"/>
        <w:rPr>
          <w:rFonts w:eastAsia="PMingLiU"/>
          <w:b/>
          <w:bCs/>
          <w:i/>
          <w:iCs/>
          <w:sz w:val="18"/>
          <w:szCs w:val="18"/>
          <w:lang w:eastAsia="en-US"/>
        </w:rPr>
      </w:pPr>
      <w:r w:rsidRPr="00BD77D8">
        <w:rPr>
          <w:rFonts w:eastAsia="PMingLiU"/>
          <w:b/>
          <w:bCs/>
          <w:i/>
          <w:iCs/>
          <w:sz w:val="18"/>
          <w:szCs w:val="18"/>
          <w:lang w:eastAsia="en-US"/>
        </w:rPr>
        <w:t>Equity Injection</w:t>
      </w:r>
    </w:p>
    <w:p w14:paraId="7947E953" w14:textId="77777777" w:rsidR="00B9311E" w:rsidRPr="00BD77D8" w:rsidRDefault="00B9311E" w:rsidP="00B9311E">
      <w:pPr>
        <w:spacing w:after="0" w:line="240" w:lineRule="auto"/>
        <w:rPr>
          <w:rFonts w:eastAsia="PMingLiU"/>
          <w:sz w:val="18"/>
          <w:szCs w:val="18"/>
          <w:lang w:eastAsia="en-US"/>
        </w:rPr>
        <w:sectPr w:rsidR="00B9311E" w:rsidRPr="00BD77D8" w:rsidSect="00DD09A8">
          <w:type w:val="nextColumn"/>
          <w:pgSz w:w="11909" w:h="16838"/>
          <w:pgMar w:top="568" w:right="794" w:bottom="794" w:left="794" w:header="720" w:footer="720" w:gutter="0"/>
          <w:cols w:space="720"/>
        </w:sectPr>
      </w:pPr>
      <w:r w:rsidRPr="00BD77D8">
        <w:rPr>
          <w:rFonts w:eastAsia="PMingLiU"/>
          <w:sz w:val="18"/>
          <w:szCs w:val="18"/>
          <w:lang w:eastAsia="en-US"/>
        </w:rPr>
        <w:t>Equity injections are $4.426M below the budget of $6.670M principally reflecting the rescheduling of expenditure as complex land and environmental planning requirements were required to be met before works could commence at the Wacol disability services precinct, and the project further affected by inclement weather conditions which delayed construction.</w:t>
      </w:r>
    </w:p>
    <w:p w14:paraId="56CF1893"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61EEB051"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CEF095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9470AE1" w14:textId="77777777" w:rsidR="00B9311E" w:rsidRPr="00BD77D8" w:rsidRDefault="00B9311E" w:rsidP="00B9311E">
      <w:pPr>
        <w:pBdr>
          <w:bottom w:val="single" w:sz="4" w:space="1" w:color="auto"/>
        </w:pBdr>
        <w:spacing w:after="0" w:line="206" w:lineRule="exact"/>
        <w:textAlignment w:val="baseline"/>
        <w:rPr>
          <w:rFonts w:eastAsia="Arial"/>
          <w:b/>
          <w:sz w:val="18"/>
          <w:szCs w:val="18"/>
          <w:lang w:eastAsia="en-US"/>
        </w:rPr>
      </w:pPr>
    </w:p>
    <w:p w14:paraId="40F5DA96" w14:textId="0698AFD8" w:rsidR="00B9311E" w:rsidRPr="00BD77D8" w:rsidRDefault="00B9311E" w:rsidP="00727CAE">
      <w:pPr>
        <w:spacing w:before="200"/>
        <w:rPr>
          <w:rFonts w:eastAsia="Arial"/>
          <w:bCs/>
          <w:sz w:val="18"/>
          <w:szCs w:val="18"/>
          <w:lang w:eastAsia="en-US"/>
        </w:rPr>
      </w:pPr>
      <w:bookmarkStart w:id="589" w:name="_Toc111494821"/>
      <w:bookmarkStart w:id="590" w:name="_Toc111540693"/>
      <w:bookmarkStart w:id="591" w:name="_Toc111559257"/>
      <w:bookmarkStart w:id="592" w:name="_Toc113196529"/>
      <w:bookmarkStart w:id="593" w:name="_Toc113196877"/>
      <w:bookmarkStart w:id="594" w:name="_Toc113262007"/>
      <w:bookmarkStart w:id="595" w:name="_Toc113349161"/>
      <w:bookmarkStart w:id="596" w:name="_Toc113358086"/>
      <w:r w:rsidRPr="00BD77D8">
        <w:rPr>
          <w:rFonts w:eastAsia="Arial"/>
          <w:b/>
          <w:bCs/>
          <w:sz w:val="22"/>
          <w:szCs w:val="22"/>
          <w:lang w:eastAsia="en-US"/>
        </w:rPr>
        <w:t>Other Key Information</w:t>
      </w:r>
      <w:bookmarkEnd w:id="589"/>
      <w:bookmarkEnd w:id="590"/>
      <w:bookmarkEnd w:id="591"/>
      <w:bookmarkEnd w:id="592"/>
      <w:bookmarkEnd w:id="593"/>
      <w:bookmarkEnd w:id="594"/>
      <w:bookmarkEnd w:id="595"/>
      <w:bookmarkEnd w:id="596"/>
    </w:p>
    <w:p w14:paraId="32CF8EE0" w14:textId="77777777" w:rsidR="00B9311E" w:rsidRPr="00BD77D8" w:rsidRDefault="00B9311E" w:rsidP="009D387F">
      <w:pPr>
        <w:rPr>
          <w:rFonts w:eastAsia="Arial"/>
          <w:b/>
          <w:bCs/>
          <w:sz w:val="22"/>
          <w:szCs w:val="22"/>
          <w:lang w:eastAsia="en-US"/>
        </w:rPr>
      </w:pPr>
      <w:bookmarkStart w:id="597" w:name="_Toc111494822"/>
      <w:bookmarkStart w:id="598" w:name="_Toc111540694"/>
      <w:bookmarkStart w:id="599" w:name="_Toc111559258"/>
      <w:bookmarkStart w:id="600" w:name="_Toc113196530"/>
      <w:bookmarkStart w:id="601" w:name="_Toc113196878"/>
      <w:bookmarkStart w:id="602" w:name="_Toc113262008"/>
      <w:bookmarkStart w:id="603" w:name="_Toc113349162"/>
      <w:bookmarkStart w:id="604" w:name="_Toc113358087"/>
      <w:r w:rsidRPr="00BD77D8">
        <w:rPr>
          <w:rFonts w:eastAsia="Arial"/>
          <w:b/>
          <w:bCs/>
          <w:sz w:val="22"/>
          <w:szCs w:val="22"/>
          <w:lang w:eastAsia="en-US"/>
        </w:rPr>
        <w:t xml:space="preserve">F1 </w:t>
      </w:r>
      <w:bookmarkStart w:id="605" w:name="_Hlk104295601"/>
      <w:r w:rsidRPr="00BD77D8">
        <w:rPr>
          <w:rFonts w:eastAsia="Arial"/>
          <w:b/>
          <w:bCs/>
          <w:sz w:val="22"/>
          <w:szCs w:val="22"/>
          <w:lang w:eastAsia="en-US"/>
        </w:rPr>
        <w:t>Key Management Personnel Disclosures</w:t>
      </w:r>
      <w:bookmarkEnd w:id="597"/>
      <w:bookmarkEnd w:id="598"/>
      <w:bookmarkEnd w:id="599"/>
      <w:bookmarkEnd w:id="600"/>
      <w:bookmarkEnd w:id="601"/>
      <w:bookmarkEnd w:id="602"/>
      <w:bookmarkEnd w:id="603"/>
      <w:bookmarkEnd w:id="604"/>
    </w:p>
    <w:bookmarkEnd w:id="605"/>
    <w:p w14:paraId="6EB7EE25" w14:textId="77777777" w:rsidR="00B9311E" w:rsidRPr="00BD77D8" w:rsidRDefault="00B9311E" w:rsidP="00727CAE">
      <w:pPr>
        <w:spacing w:line="200" w:lineRule="atLeast"/>
        <w:textAlignment w:val="baseline"/>
        <w:rPr>
          <w:rFonts w:eastAsia="Arial"/>
          <w:b/>
          <w:bCs/>
          <w:spacing w:val="1"/>
          <w:sz w:val="18"/>
          <w:szCs w:val="18"/>
          <w:lang w:eastAsia="en-US"/>
        </w:rPr>
      </w:pPr>
      <w:r w:rsidRPr="00BD77D8">
        <w:rPr>
          <w:rFonts w:eastAsia="Arial"/>
          <w:b/>
          <w:bCs/>
          <w:spacing w:val="1"/>
          <w:sz w:val="18"/>
          <w:szCs w:val="18"/>
          <w:lang w:eastAsia="en-US"/>
        </w:rPr>
        <w:t>F1-1 Details of Key Management Personnel and Remuneration Expense</w:t>
      </w:r>
    </w:p>
    <w:p w14:paraId="7B8D154E" w14:textId="77777777" w:rsidR="00B9311E" w:rsidRPr="00BD77D8" w:rsidRDefault="00B9311E" w:rsidP="00727CAE">
      <w:pPr>
        <w:spacing w:line="200" w:lineRule="atLeast"/>
        <w:ind w:right="144"/>
        <w:textAlignment w:val="baseline"/>
        <w:rPr>
          <w:rFonts w:eastAsia="Arial"/>
          <w:b/>
          <w:bCs/>
          <w:sz w:val="18"/>
          <w:szCs w:val="18"/>
          <w:lang w:eastAsia="en-US"/>
        </w:rPr>
      </w:pPr>
      <w:r w:rsidRPr="00BD77D8">
        <w:rPr>
          <w:rFonts w:eastAsia="Arial"/>
          <w:sz w:val="18"/>
          <w:szCs w:val="18"/>
          <w:lang w:eastAsia="en-US"/>
        </w:rPr>
        <w:t xml:space="preserve">The department’s responsible Minister is identified as part of the department's Key Management Personnel (KMP), consistent with additional guidance included in AASB 124 </w:t>
      </w:r>
      <w:r w:rsidRPr="00BD77D8">
        <w:rPr>
          <w:rFonts w:eastAsia="Arial"/>
          <w:i/>
          <w:sz w:val="18"/>
          <w:szCs w:val="18"/>
          <w:lang w:eastAsia="en-US"/>
        </w:rPr>
        <w:t>Related Party Disclosures</w:t>
      </w:r>
      <w:r w:rsidRPr="00BD77D8">
        <w:rPr>
          <w:rFonts w:eastAsia="Arial"/>
          <w:sz w:val="18"/>
          <w:szCs w:val="18"/>
          <w:lang w:eastAsia="en-US"/>
        </w:rPr>
        <w:t>. The department operated under the Honourable Craig Crawford MP, Minister for Seniors and Disability Services and Minister for Aboriginal and Torres Strait Islander Partnerships from 1 July 2021 to 30 June 2022. The following details for non-ministerial KMP reflect those departmental positions that had authority and responsibility for planning, directing and controlling the activities of the department during 2021-22 and 2020-21. Further information about these positions can be found in the body of the Annual Report under the section relating to Executive Management.</w:t>
      </w:r>
    </w:p>
    <w:p w14:paraId="712F9C15" w14:textId="77777777" w:rsidR="00B9311E" w:rsidRPr="00BD77D8" w:rsidRDefault="00B9311E" w:rsidP="00B9311E">
      <w:pPr>
        <w:tabs>
          <w:tab w:val="left" w:pos="7797"/>
          <w:tab w:val="right" w:pos="8856"/>
        </w:tabs>
        <w:spacing w:after="0" w:line="240" w:lineRule="auto"/>
        <w:textAlignment w:val="baseline"/>
        <w:rPr>
          <w:rFonts w:eastAsia="Arial"/>
          <w:sz w:val="18"/>
          <w:szCs w:val="18"/>
          <w:lang w:eastAsia="en-US"/>
        </w:rPr>
      </w:pPr>
      <w:r w:rsidRPr="00BD77D8">
        <w:rPr>
          <w:rFonts w:eastAsia="Arial"/>
          <w:sz w:val="18"/>
          <w:szCs w:val="18"/>
          <w:lang w:eastAsia="en-US"/>
        </w:rPr>
        <w:t>The following disclosures focus on the expenses incurred by the department attributable to non-Ministerial KMP during the respective reporting periods. The amounts disclosed are determined on the same basis as expenses recognised in the Statement of Comprehensive Income. The remuneration expenses disclosed include the substantive KMP's remuneration expenses as well as remuneration earned while he/she has acted in another KMP position throughout the financial year on a short-term basis. It does not include non-KMPs acting in the position less than three months.</w:t>
      </w:r>
    </w:p>
    <w:tbl>
      <w:tblPr>
        <w:tblW w:w="15409" w:type="dxa"/>
        <w:tblCellMar>
          <w:left w:w="0" w:type="dxa"/>
          <w:right w:w="0" w:type="dxa"/>
        </w:tblCellMar>
        <w:tblLook w:val="04A0" w:firstRow="1" w:lastRow="0" w:firstColumn="1" w:lastColumn="0" w:noHBand="0" w:noVBand="1"/>
      </w:tblPr>
      <w:tblGrid>
        <w:gridCol w:w="7004"/>
        <w:gridCol w:w="1275"/>
        <w:gridCol w:w="1403"/>
        <w:gridCol w:w="1670"/>
        <w:gridCol w:w="1561"/>
        <w:gridCol w:w="1350"/>
        <w:gridCol w:w="1146"/>
      </w:tblGrid>
      <w:tr w:rsidR="00BD77D8" w:rsidRPr="00BD77D8" w14:paraId="11EA064F" w14:textId="77777777" w:rsidTr="003057FB">
        <w:trPr>
          <w:trHeight w:val="465"/>
        </w:trPr>
        <w:tc>
          <w:tcPr>
            <w:tcW w:w="0" w:type="auto"/>
            <w:tcBorders>
              <w:top w:val="nil"/>
              <w:left w:val="nil"/>
              <w:bottom w:val="nil"/>
              <w:right w:val="nil"/>
            </w:tcBorders>
            <w:shd w:val="clear" w:color="auto" w:fill="auto"/>
            <w:noWrap/>
            <w:vAlign w:val="center"/>
            <w:hideMark/>
          </w:tcPr>
          <w:p w14:paraId="3DA2AF4D"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shd w:val="clear" w:color="auto" w:fill="auto"/>
            <w:vAlign w:val="center"/>
            <w:hideMark/>
          </w:tcPr>
          <w:p w14:paraId="252BE25C" w14:textId="77777777" w:rsidR="00B9311E" w:rsidRPr="00BD77D8" w:rsidRDefault="00B9311E" w:rsidP="00B9311E">
            <w:pPr>
              <w:spacing w:after="0" w:line="240" w:lineRule="auto"/>
              <w:jc w:val="center"/>
              <w:rPr>
                <w:b/>
                <w:bCs/>
                <w:sz w:val="18"/>
                <w:szCs w:val="18"/>
              </w:rPr>
            </w:pPr>
            <w:r w:rsidRPr="00BD77D8">
              <w:rPr>
                <w:b/>
                <w:bCs/>
                <w:sz w:val="18"/>
                <w:szCs w:val="18"/>
              </w:rPr>
              <w:t xml:space="preserve"> Short Term Employee Expenses </w:t>
            </w:r>
          </w:p>
        </w:tc>
        <w:tc>
          <w:tcPr>
            <w:tcW w:w="0" w:type="auto"/>
            <w:gridSpan w:val="3"/>
            <w:tcBorders>
              <w:top w:val="nil"/>
              <w:left w:val="nil"/>
              <w:bottom w:val="nil"/>
              <w:right w:val="nil"/>
            </w:tcBorders>
            <w:shd w:val="clear" w:color="auto" w:fill="auto"/>
            <w:vAlign w:val="center"/>
            <w:hideMark/>
          </w:tcPr>
          <w:p w14:paraId="1F979E8B" w14:textId="77777777" w:rsidR="00B9311E" w:rsidRPr="00BD77D8" w:rsidRDefault="00B9311E" w:rsidP="00B9311E">
            <w:pPr>
              <w:spacing w:after="0" w:line="240" w:lineRule="auto"/>
              <w:jc w:val="center"/>
              <w:rPr>
                <w:b/>
                <w:bCs/>
                <w:sz w:val="18"/>
                <w:szCs w:val="18"/>
              </w:rPr>
            </w:pPr>
            <w:r w:rsidRPr="00BD77D8">
              <w:rPr>
                <w:b/>
                <w:bCs/>
                <w:sz w:val="18"/>
                <w:szCs w:val="18"/>
              </w:rPr>
              <w:t xml:space="preserve"> Other Employee Benefits </w:t>
            </w:r>
          </w:p>
        </w:tc>
        <w:tc>
          <w:tcPr>
            <w:tcW w:w="0" w:type="auto"/>
            <w:tcBorders>
              <w:top w:val="nil"/>
              <w:left w:val="nil"/>
              <w:bottom w:val="nil"/>
              <w:right w:val="nil"/>
            </w:tcBorders>
            <w:shd w:val="clear" w:color="auto" w:fill="auto"/>
            <w:vAlign w:val="center"/>
            <w:hideMark/>
          </w:tcPr>
          <w:p w14:paraId="16A9FA0A" w14:textId="77777777" w:rsidR="00B9311E" w:rsidRPr="00BD77D8" w:rsidRDefault="00B9311E" w:rsidP="00B9311E">
            <w:pPr>
              <w:spacing w:after="0" w:line="240" w:lineRule="auto"/>
              <w:jc w:val="center"/>
              <w:rPr>
                <w:b/>
                <w:bCs/>
                <w:sz w:val="18"/>
                <w:szCs w:val="18"/>
              </w:rPr>
            </w:pPr>
          </w:p>
        </w:tc>
      </w:tr>
      <w:tr w:rsidR="00BD77D8" w:rsidRPr="00BD77D8" w14:paraId="5711F7CC" w14:textId="77777777" w:rsidTr="003057FB">
        <w:trPr>
          <w:trHeight w:val="659"/>
        </w:trPr>
        <w:tc>
          <w:tcPr>
            <w:tcW w:w="0" w:type="auto"/>
            <w:tcBorders>
              <w:top w:val="nil"/>
              <w:left w:val="nil"/>
              <w:bottom w:val="nil"/>
              <w:right w:val="nil"/>
            </w:tcBorders>
            <w:shd w:val="clear" w:color="auto" w:fill="auto"/>
            <w:vAlign w:val="center"/>
            <w:hideMark/>
          </w:tcPr>
          <w:p w14:paraId="5A00D2C6" w14:textId="77777777" w:rsidR="00B9311E" w:rsidRPr="00BD77D8" w:rsidRDefault="00B9311E" w:rsidP="00B9311E">
            <w:pPr>
              <w:spacing w:after="0" w:line="240" w:lineRule="auto"/>
              <w:rPr>
                <w:b/>
                <w:bCs/>
                <w:sz w:val="18"/>
                <w:szCs w:val="18"/>
              </w:rPr>
            </w:pPr>
            <w:r w:rsidRPr="00BD77D8">
              <w:rPr>
                <w:b/>
                <w:bCs/>
                <w:sz w:val="18"/>
                <w:szCs w:val="18"/>
              </w:rPr>
              <w:t xml:space="preserve"> 1 July 2021 - 30 June 2022 </w:t>
            </w:r>
          </w:p>
        </w:tc>
        <w:tc>
          <w:tcPr>
            <w:tcW w:w="0" w:type="auto"/>
            <w:tcBorders>
              <w:top w:val="nil"/>
              <w:left w:val="nil"/>
              <w:bottom w:val="nil"/>
              <w:right w:val="nil"/>
            </w:tcBorders>
            <w:shd w:val="clear" w:color="auto" w:fill="auto"/>
            <w:vAlign w:val="center"/>
            <w:hideMark/>
          </w:tcPr>
          <w:p w14:paraId="6CA2DA1B" w14:textId="77777777" w:rsidR="00B9311E" w:rsidRPr="00BD77D8" w:rsidRDefault="00B9311E" w:rsidP="00B9311E">
            <w:pPr>
              <w:spacing w:after="0" w:line="240" w:lineRule="auto"/>
              <w:jc w:val="center"/>
              <w:rPr>
                <w:b/>
                <w:bCs/>
                <w:sz w:val="18"/>
                <w:szCs w:val="18"/>
              </w:rPr>
            </w:pPr>
            <w:r w:rsidRPr="00BD77D8">
              <w:rPr>
                <w:b/>
                <w:bCs/>
                <w:sz w:val="18"/>
                <w:szCs w:val="18"/>
              </w:rPr>
              <w:t>Monetary Expenses</w:t>
            </w:r>
          </w:p>
        </w:tc>
        <w:tc>
          <w:tcPr>
            <w:tcW w:w="0" w:type="auto"/>
            <w:tcBorders>
              <w:top w:val="nil"/>
              <w:left w:val="nil"/>
              <w:bottom w:val="nil"/>
              <w:right w:val="nil"/>
            </w:tcBorders>
            <w:shd w:val="clear" w:color="auto" w:fill="auto"/>
            <w:vAlign w:val="center"/>
            <w:hideMark/>
          </w:tcPr>
          <w:p w14:paraId="3E963864"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Non Monetary</w:t>
            </w:r>
            <w:proofErr w:type="spellEnd"/>
            <w:r w:rsidRPr="00BD77D8">
              <w:rPr>
                <w:b/>
                <w:bCs/>
                <w:sz w:val="18"/>
                <w:szCs w:val="18"/>
              </w:rPr>
              <w:t xml:space="preserve"> Benefits</w:t>
            </w:r>
          </w:p>
        </w:tc>
        <w:tc>
          <w:tcPr>
            <w:tcW w:w="0" w:type="auto"/>
            <w:tcBorders>
              <w:top w:val="nil"/>
              <w:left w:val="nil"/>
              <w:bottom w:val="nil"/>
              <w:right w:val="nil"/>
            </w:tcBorders>
            <w:shd w:val="clear" w:color="auto" w:fill="auto"/>
            <w:vAlign w:val="center"/>
            <w:hideMark/>
          </w:tcPr>
          <w:p w14:paraId="23FE3477" w14:textId="77777777" w:rsidR="00B9311E" w:rsidRPr="00BD77D8" w:rsidRDefault="00B9311E" w:rsidP="00B9311E">
            <w:pPr>
              <w:spacing w:after="0" w:line="240" w:lineRule="auto"/>
              <w:jc w:val="center"/>
              <w:rPr>
                <w:b/>
                <w:bCs/>
                <w:sz w:val="18"/>
                <w:szCs w:val="18"/>
              </w:rPr>
            </w:pPr>
            <w:r w:rsidRPr="00BD77D8">
              <w:rPr>
                <w:b/>
                <w:bCs/>
                <w:sz w:val="18"/>
                <w:szCs w:val="18"/>
              </w:rPr>
              <w:t>Long Term Employee Expenses</w:t>
            </w:r>
          </w:p>
        </w:tc>
        <w:tc>
          <w:tcPr>
            <w:tcW w:w="0" w:type="auto"/>
            <w:tcBorders>
              <w:top w:val="nil"/>
              <w:left w:val="nil"/>
              <w:bottom w:val="nil"/>
              <w:right w:val="nil"/>
            </w:tcBorders>
            <w:shd w:val="clear" w:color="auto" w:fill="auto"/>
            <w:vAlign w:val="center"/>
            <w:hideMark/>
          </w:tcPr>
          <w:p w14:paraId="6A2F6E6D"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Post Employment</w:t>
            </w:r>
            <w:proofErr w:type="spellEnd"/>
            <w:r w:rsidRPr="00BD77D8">
              <w:rPr>
                <w:b/>
                <w:bCs/>
                <w:sz w:val="18"/>
                <w:szCs w:val="18"/>
              </w:rPr>
              <w:t xml:space="preserve"> Expenses</w:t>
            </w:r>
          </w:p>
        </w:tc>
        <w:tc>
          <w:tcPr>
            <w:tcW w:w="0" w:type="auto"/>
            <w:tcBorders>
              <w:top w:val="nil"/>
              <w:left w:val="nil"/>
              <w:bottom w:val="nil"/>
              <w:right w:val="nil"/>
            </w:tcBorders>
            <w:shd w:val="clear" w:color="auto" w:fill="auto"/>
            <w:vAlign w:val="center"/>
            <w:hideMark/>
          </w:tcPr>
          <w:p w14:paraId="38AC4A74" w14:textId="77777777" w:rsidR="00B9311E" w:rsidRPr="00BD77D8" w:rsidRDefault="00B9311E" w:rsidP="00B9311E">
            <w:pPr>
              <w:spacing w:after="0" w:line="240" w:lineRule="auto"/>
              <w:jc w:val="center"/>
              <w:rPr>
                <w:b/>
                <w:bCs/>
                <w:sz w:val="18"/>
                <w:szCs w:val="18"/>
              </w:rPr>
            </w:pPr>
            <w:r w:rsidRPr="00BD77D8">
              <w:rPr>
                <w:b/>
                <w:bCs/>
                <w:sz w:val="18"/>
                <w:szCs w:val="18"/>
              </w:rPr>
              <w:t>Termination Benefits</w:t>
            </w:r>
          </w:p>
        </w:tc>
        <w:tc>
          <w:tcPr>
            <w:tcW w:w="0" w:type="auto"/>
            <w:tcBorders>
              <w:top w:val="nil"/>
              <w:left w:val="nil"/>
              <w:bottom w:val="nil"/>
              <w:right w:val="nil"/>
            </w:tcBorders>
            <w:shd w:val="clear" w:color="auto" w:fill="auto"/>
            <w:vAlign w:val="center"/>
            <w:hideMark/>
          </w:tcPr>
          <w:p w14:paraId="44B10B79" w14:textId="77777777" w:rsidR="00B9311E" w:rsidRPr="00BD77D8" w:rsidRDefault="00B9311E" w:rsidP="00B9311E">
            <w:pPr>
              <w:spacing w:after="0" w:line="240" w:lineRule="auto"/>
              <w:jc w:val="center"/>
              <w:rPr>
                <w:b/>
                <w:bCs/>
                <w:sz w:val="18"/>
                <w:szCs w:val="18"/>
              </w:rPr>
            </w:pPr>
            <w:r w:rsidRPr="00BD77D8">
              <w:rPr>
                <w:b/>
                <w:bCs/>
                <w:sz w:val="18"/>
                <w:szCs w:val="18"/>
              </w:rPr>
              <w:t>Total Expenses</w:t>
            </w:r>
          </w:p>
        </w:tc>
      </w:tr>
      <w:tr w:rsidR="00BD77D8" w:rsidRPr="00BD77D8" w14:paraId="725DB6CE" w14:textId="77777777" w:rsidTr="003057FB">
        <w:trPr>
          <w:trHeight w:val="245"/>
        </w:trPr>
        <w:tc>
          <w:tcPr>
            <w:tcW w:w="0" w:type="auto"/>
            <w:tcBorders>
              <w:top w:val="nil"/>
              <w:left w:val="nil"/>
              <w:bottom w:val="nil"/>
              <w:right w:val="nil"/>
            </w:tcBorders>
            <w:shd w:val="clear" w:color="auto" w:fill="auto"/>
            <w:vAlign w:val="center"/>
            <w:hideMark/>
          </w:tcPr>
          <w:p w14:paraId="675C3AF4" w14:textId="77777777" w:rsidR="00B9311E" w:rsidRPr="00BD77D8" w:rsidRDefault="00B9311E" w:rsidP="00B9311E">
            <w:pPr>
              <w:spacing w:after="0" w:line="240" w:lineRule="auto"/>
              <w:rPr>
                <w:b/>
                <w:bCs/>
                <w:sz w:val="18"/>
                <w:szCs w:val="18"/>
              </w:rPr>
            </w:pPr>
            <w:r w:rsidRPr="00BD77D8">
              <w:rPr>
                <w:b/>
                <w:bCs/>
                <w:sz w:val="18"/>
                <w:szCs w:val="18"/>
              </w:rPr>
              <w:t xml:space="preserve"> Position </w:t>
            </w:r>
          </w:p>
        </w:tc>
        <w:tc>
          <w:tcPr>
            <w:tcW w:w="0" w:type="auto"/>
            <w:tcBorders>
              <w:top w:val="nil"/>
              <w:left w:val="nil"/>
              <w:bottom w:val="single" w:sz="4" w:space="0" w:color="auto"/>
              <w:right w:val="nil"/>
            </w:tcBorders>
            <w:shd w:val="clear" w:color="auto" w:fill="auto"/>
            <w:noWrap/>
            <w:vAlign w:val="center"/>
            <w:hideMark/>
          </w:tcPr>
          <w:p w14:paraId="584E876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57ADF97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48487C7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1FDC7F9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69183FF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625BAF37"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679BD2A9" w14:textId="77777777" w:rsidTr="003057FB">
        <w:trPr>
          <w:trHeight w:val="245"/>
        </w:trPr>
        <w:tc>
          <w:tcPr>
            <w:tcW w:w="0" w:type="auto"/>
            <w:tcBorders>
              <w:top w:val="nil"/>
              <w:left w:val="nil"/>
              <w:bottom w:val="nil"/>
              <w:right w:val="nil"/>
            </w:tcBorders>
            <w:shd w:val="clear" w:color="auto" w:fill="auto"/>
            <w:noWrap/>
            <w:vAlign w:val="center"/>
            <w:hideMark/>
          </w:tcPr>
          <w:p w14:paraId="103AF746" w14:textId="77777777" w:rsidR="00B9311E" w:rsidRPr="00BD77D8" w:rsidRDefault="00B9311E" w:rsidP="00B9311E">
            <w:pPr>
              <w:spacing w:after="0" w:line="240" w:lineRule="auto"/>
              <w:rPr>
                <w:sz w:val="18"/>
                <w:szCs w:val="18"/>
              </w:rPr>
            </w:pPr>
            <w:r w:rsidRPr="00BD77D8">
              <w:rPr>
                <w:sz w:val="18"/>
                <w:szCs w:val="18"/>
              </w:rPr>
              <w:t xml:space="preserve"> Director-General </w:t>
            </w:r>
          </w:p>
        </w:tc>
        <w:tc>
          <w:tcPr>
            <w:tcW w:w="0" w:type="auto"/>
            <w:tcBorders>
              <w:top w:val="nil"/>
              <w:left w:val="nil"/>
              <w:bottom w:val="nil"/>
              <w:right w:val="nil"/>
            </w:tcBorders>
            <w:shd w:val="clear" w:color="auto" w:fill="auto"/>
            <w:noWrap/>
            <w:vAlign w:val="center"/>
            <w:hideMark/>
          </w:tcPr>
          <w:p w14:paraId="412CE46A" w14:textId="77777777" w:rsidR="00B9311E" w:rsidRPr="00BD77D8" w:rsidRDefault="00B9311E" w:rsidP="00B9311E">
            <w:pPr>
              <w:spacing w:after="0" w:line="240" w:lineRule="auto"/>
              <w:jc w:val="right"/>
              <w:rPr>
                <w:sz w:val="18"/>
                <w:szCs w:val="18"/>
              </w:rPr>
            </w:pPr>
            <w:r w:rsidRPr="00BD77D8">
              <w:rPr>
                <w:sz w:val="18"/>
                <w:szCs w:val="18"/>
              </w:rPr>
              <w:t xml:space="preserve">               465 </w:t>
            </w:r>
          </w:p>
        </w:tc>
        <w:tc>
          <w:tcPr>
            <w:tcW w:w="0" w:type="auto"/>
            <w:tcBorders>
              <w:top w:val="nil"/>
              <w:left w:val="nil"/>
              <w:bottom w:val="nil"/>
              <w:right w:val="nil"/>
            </w:tcBorders>
            <w:shd w:val="clear" w:color="auto" w:fill="auto"/>
            <w:noWrap/>
            <w:vAlign w:val="center"/>
            <w:hideMark/>
          </w:tcPr>
          <w:p w14:paraId="724381E2"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22DAB0F7" w14:textId="77777777" w:rsidR="00B9311E" w:rsidRPr="00BD77D8" w:rsidRDefault="00B9311E" w:rsidP="00B9311E">
            <w:pPr>
              <w:spacing w:after="0" w:line="240" w:lineRule="auto"/>
              <w:jc w:val="right"/>
              <w:rPr>
                <w:sz w:val="18"/>
                <w:szCs w:val="18"/>
              </w:rPr>
            </w:pPr>
            <w:r w:rsidRPr="00BD77D8">
              <w:rPr>
                <w:sz w:val="18"/>
                <w:szCs w:val="18"/>
              </w:rPr>
              <w:t xml:space="preserve">                 11 </w:t>
            </w:r>
          </w:p>
        </w:tc>
        <w:tc>
          <w:tcPr>
            <w:tcW w:w="0" w:type="auto"/>
            <w:tcBorders>
              <w:top w:val="nil"/>
              <w:left w:val="nil"/>
              <w:bottom w:val="nil"/>
              <w:right w:val="nil"/>
            </w:tcBorders>
            <w:shd w:val="clear" w:color="auto" w:fill="auto"/>
            <w:noWrap/>
            <w:vAlign w:val="center"/>
            <w:hideMark/>
          </w:tcPr>
          <w:p w14:paraId="3AC3C2EE" w14:textId="77777777" w:rsidR="00B9311E" w:rsidRPr="00BD77D8" w:rsidRDefault="00B9311E" w:rsidP="00B9311E">
            <w:pPr>
              <w:spacing w:after="0" w:line="240" w:lineRule="auto"/>
              <w:jc w:val="right"/>
              <w:rPr>
                <w:sz w:val="18"/>
                <w:szCs w:val="18"/>
              </w:rPr>
            </w:pPr>
            <w:r w:rsidRPr="00BD77D8">
              <w:rPr>
                <w:sz w:val="18"/>
                <w:szCs w:val="18"/>
              </w:rPr>
              <w:t xml:space="preserve">                 54 </w:t>
            </w:r>
          </w:p>
        </w:tc>
        <w:tc>
          <w:tcPr>
            <w:tcW w:w="0" w:type="auto"/>
            <w:tcBorders>
              <w:top w:val="nil"/>
              <w:left w:val="nil"/>
              <w:bottom w:val="nil"/>
              <w:right w:val="nil"/>
            </w:tcBorders>
            <w:shd w:val="clear" w:color="auto" w:fill="auto"/>
            <w:noWrap/>
            <w:vAlign w:val="center"/>
            <w:hideMark/>
          </w:tcPr>
          <w:p w14:paraId="0319FE1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7350209" w14:textId="77777777" w:rsidR="00B9311E" w:rsidRPr="00BD77D8" w:rsidRDefault="00B9311E" w:rsidP="00B9311E">
            <w:pPr>
              <w:spacing w:after="0" w:line="240" w:lineRule="auto"/>
              <w:jc w:val="right"/>
              <w:rPr>
                <w:sz w:val="18"/>
                <w:szCs w:val="18"/>
              </w:rPr>
            </w:pPr>
            <w:r w:rsidRPr="00BD77D8">
              <w:rPr>
                <w:sz w:val="18"/>
                <w:szCs w:val="18"/>
              </w:rPr>
              <w:t xml:space="preserve">               536 </w:t>
            </w:r>
          </w:p>
        </w:tc>
      </w:tr>
      <w:tr w:rsidR="00BD77D8" w:rsidRPr="00BD77D8" w14:paraId="659A03CA" w14:textId="77777777" w:rsidTr="003057FB">
        <w:trPr>
          <w:trHeight w:val="245"/>
        </w:trPr>
        <w:tc>
          <w:tcPr>
            <w:tcW w:w="0" w:type="auto"/>
            <w:tcBorders>
              <w:top w:val="nil"/>
              <w:left w:val="nil"/>
              <w:bottom w:val="nil"/>
              <w:right w:val="nil"/>
            </w:tcBorders>
            <w:shd w:val="clear" w:color="auto" w:fill="auto"/>
            <w:noWrap/>
            <w:vAlign w:val="center"/>
            <w:hideMark/>
          </w:tcPr>
          <w:p w14:paraId="5FED817F" w14:textId="77777777" w:rsidR="00B9311E" w:rsidRPr="00BD77D8" w:rsidRDefault="00B9311E" w:rsidP="00B9311E">
            <w:pPr>
              <w:spacing w:after="0" w:line="240" w:lineRule="auto"/>
              <w:rPr>
                <w:sz w:val="18"/>
                <w:szCs w:val="18"/>
              </w:rPr>
            </w:pPr>
            <w:r w:rsidRPr="00BD77D8">
              <w:rPr>
                <w:sz w:val="18"/>
                <w:szCs w:val="18"/>
              </w:rPr>
              <w:t xml:space="preserve"> Associate Director-General, Seniors and Disability Services (01/07/2021 to 01/10/2021) </w:t>
            </w:r>
          </w:p>
        </w:tc>
        <w:tc>
          <w:tcPr>
            <w:tcW w:w="0" w:type="auto"/>
            <w:tcBorders>
              <w:top w:val="nil"/>
              <w:left w:val="nil"/>
              <w:bottom w:val="nil"/>
              <w:right w:val="nil"/>
            </w:tcBorders>
            <w:shd w:val="clear" w:color="auto" w:fill="auto"/>
            <w:noWrap/>
            <w:vAlign w:val="center"/>
            <w:hideMark/>
          </w:tcPr>
          <w:p w14:paraId="358DD8C1" w14:textId="77777777" w:rsidR="00B9311E" w:rsidRPr="00BD77D8" w:rsidRDefault="00B9311E" w:rsidP="00B9311E">
            <w:pPr>
              <w:spacing w:after="0" w:line="240" w:lineRule="auto"/>
              <w:jc w:val="right"/>
              <w:rPr>
                <w:sz w:val="18"/>
                <w:szCs w:val="18"/>
              </w:rPr>
            </w:pPr>
            <w:r w:rsidRPr="00BD77D8">
              <w:rPr>
                <w:sz w:val="18"/>
                <w:szCs w:val="18"/>
              </w:rPr>
              <w:t xml:space="preserve">                 89 </w:t>
            </w:r>
          </w:p>
        </w:tc>
        <w:tc>
          <w:tcPr>
            <w:tcW w:w="0" w:type="auto"/>
            <w:tcBorders>
              <w:top w:val="nil"/>
              <w:left w:val="nil"/>
              <w:bottom w:val="nil"/>
              <w:right w:val="nil"/>
            </w:tcBorders>
            <w:shd w:val="clear" w:color="auto" w:fill="auto"/>
            <w:noWrap/>
            <w:vAlign w:val="center"/>
            <w:hideMark/>
          </w:tcPr>
          <w:p w14:paraId="1DC12202"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15425B8E"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2DBF0C3C" w14:textId="77777777" w:rsidR="00B9311E" w:rsidRPr="00BD77D8" w:rsidRDefault="00B9311E" w:rsidP="00B9311E">
            <w:pPr>
              <w:spacing w:after="0" w:line="240" w:lineRule="auto"/>
              <w:jc w:val="right"/>
              <w:rPr>
                <w:sz w:val="18"/>
                <w:szCs w:val="18"/>
              </w:rPr>
            </w:pPr>
            <w:r w:rsidRPr="00BD77D8">
              <w:rPr>
                <w:sz w:val="18"/>
                <w:szCs w:val="18"/>
              </w:rPr>
              <w:t xml:space="preserve">                 11 </w:t>
            </w:r>
          </w:p>
        </w:tc>
        <w:tc>
          <w:tcPr>
            <w:tcW w:w="0" w:type="auto"/>
            <w:tcBorders>
              <w:top w:val="nil"/>
              <w:left w:val="nil"/>
              <w:bottom w:val="nil"/>
              <w:right w:val="nil"/>
            </w:tcBorders>
            <w:shd w:val="clear" w:color="auto" w:fill="auto"/>
            <w:noWrap/>
            <w:vAlign w:val="center"/>
            <w:hideMark/>
          </w:tcPr>
          <w:p w14:paraId="154535B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B2B4245" w14:textId="77777777" w:rsidR="00B9311E" w:rsidRPr="00BD77D8" w:rsidRDefault="00B9311E" w:rsidP="00B9311E">
            <w:pPr>
              <w:spacing w:after="0" w:line="240" w:lineRule="auto"/>
              <w:jc w:val="right"/>
              <w:rPr>
                <w:sz w:val="18"/>
                <w:szCs w:val="18"/>
              </w:rPr>
            </w:pPr>
            <w:r w:rsidRPr="00BD77D8">
              <w:rPr>
                <w:sz w:val="18"/>
                <w:szCs w:val="18"/>
              </w:rPr>
              <w:t xml:space="preserve">               103 </w:t>
            </w:r>
          </w:p>
        </w:tc>
      </w:tr>
      <w:tr w:rsidR="00BD77D8" w:rsidRPr="00BD77D8" w14:paraId="3D6EEDDD" w14:textId="77777777" w:rsidTr="003057FB">
        <w:trPr>
          <w:trHeight w:val="245"/>
        </w:trPr>
        <w:tc>
          <w:tcPr>
            <w:tcW w:w="0" w:type="auto"/>
            <w:tcBorders>
              <w:top w:val="nil"/>
              <w:left w:val="nil"/>
              <w:bottom w:val="nil"/>
              <w:right w:val="nil"/>
            </w:tcBorders>
            <w:shd w:val="clear" w:color="auto" w:fill="auto"/>
            <w:noWrap/>
            <w:vAlign w:val="center"/>
            <w:hideMark/>
          </w:tcPr>
          <w:p w14:paraId="60905B76" w14:textId="77777777" w:rsidR="00B9311E" w:rsidRPr="00BD77D8" w:rsidRDefault="00B9311E" w:rsidP="00B9311E">
            <w:pPr>
              <w:spacing w:after="0" w:line="240" w:lineRule="auto"/>
              <w:rPr>
                <w:sz w:val="18"/>
                <w:szCs w:val="18"/>
              </w:rPr>
            </w:pPr>
            <w:r w:rsidRPr="00BD77D8">
              <w:rPr>
                <w:sz w:val="18"/>
                <w:szCs w:val="18"/>
              </w:rPr>
              <w:t xml:space="preserve"> Deputy Director-General, Corporate Services (commenced 07/03/2022) * </w:t>
            </w:r>
          </w:p>
        </w:tc>
        <w:tc>
          <w:tcPr>
            <w:tcW w:w="0" w:type="auto"/>
            <w:tcBorders>
              <w:top w:val="nil"/>
              <w:left w:val="nil"/>
              <w:bottom w:val="nil"/>
              <w:right w:val="nil"/>
            </w:tcBorders>
            <w:shd w:val="clear" w:color="auto" w:fill="auto"/>
            <w:noWrap/>
            <w:vAlign w:val="center"/>
            <w:hideMark/>
          </w:tcPr>
          <w:p w14:paraId="1D119A1B" w14:textId="77777777" w:rsidR="00B9311E" w:rsidRPr="00BD77D8" w:rsidRDefault="00B9311E" w:rsidP="00B9311E">
            <w:pPr>
              <w:spacing w:after="0" w:line="240" w:lineRule="auto"/>
              <w:jc w:val="right"/>
              <w:rPr>
                <w:sz w:val="18"/>
                <w:szCs w:val="18"/>
              </w:rPr>
            </w:pPr>
            <w:r w:rsidRPr="00BD77D8">
              <w:rPr>
                <w:sz w:val="18"/>
                <w:szCs w:val="18"/>
              </w:rPr>
              <w:t xml:space="preserve">                 79 </w:t>
            </w:r>
          </w:p>
        </w:tc>
        <w:tc>
          <w:tcPr>
            <w:tcW w:w="0" w:type="auto"/>
            <w:tcBorders>
              <w:top w:val="nil"/>
              <w:left w:val="nil"/>
              <w:bottom w:val="nil"/>
              <w:right w:val="nil"/>
            </w:tcBorders>
            <w:shd w:val="clear" w:color="auto" w:fill="auto"/>
            <w:noWrap/>
            <w:vAlign w:val="center"/>
            <w:hideMark/>
          </w:tcPr>
          <w:p w14:paraId="4751C84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277D877D"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15C3A0A0" w14:textId="77777777" w:rsidR="00B9311E" w:rsidRPr="00BD77D8" w:rsidRDefault="00B9311E" w:rsidP="00B9311E">
            <w:pPr>
              <w:spacing w:after="0" w:line="240" w:lineRule="auto"/>
              <w:jc w:val="right"/>
              <w:rPr>
                <w:sz w:val="18"/>
                <w:szCs w:val="18"/>
              </w:rPr>
            </w:pPr>
            <w:r w:rsidRPr="00BD77D8">
              <w:rPr>
                <w:sz w:val="18"/>
                <w:szCs w:val="18"/>
              </w:rPr>
              <w:t xml:space="preserve">                    8 </w:t>
            </w:r>
          </w:p>
        </w:tc>
        <w:tc>
          <w:tcPr>
            <w:tcW w:w="0" w:type="auto"/>
            <w:tcBorders>
              <w:top w:val="nil"/>
              <w:left w:val="nil"/>
              <w:bottom w:val="nil"/>
              <w:right w:val="nil"/>
            </w:tcBorders>
            <w:shd w:val="clear" w:color="auto" w:fill="auto"/>
            <w:noWrap/>
            <w:vAlign w:val="center"/>
            <w:hideMark/>
          </w:tcPr>
          <w:p w14:paraId="0CF5E84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50DCB094" w14:textId="77777777" w:rsidR="00B9311E" w:rsidRPr="00BD77D8" w:rsidRDefault="00B9311E" w:rsidP="00B9311E">
            <w:pPr>
              <w:spacing w:after="0" w:line="240" w:lineRule="auto"/>
              <w:jc w:val="right"/>
              <w:rPr>
                <w:sz w:val="18"/>
                <w:szCs w:val="18"/>
              </w:rPr>
            </w:pPr>
            <w:r w:rsidRPr="00BD77D8">
              <w:rPr>
                <w:sz w:val="18"/>
                <w:szCs w:val="18"/>
              </w:rPr>
              <w:t xml:space="preserve">                 91 </w:t>
            </w:r>
          </w:p>
        </w:tc>
      </w:tr>
      <w:tr w:rsidR="00BD77D8" w:rsidRPr="00BD77D8" w14:paraId="2C759357" w14:textId="77777777" w:rsidTr="003057FB">
        <w:trPr>
          <w:trHeight w:val="245"/>
        </w:trPr>
        <w:tc>
          <w:tcPr>
            <w:tcW w:w="0" w:type="auto"/>
            <w:tcBorders>
              <w:top w:val="nil"/>
              <w:left w:val="nil"/>
              <w:bottom w:val="nil"/>
              <w:right w:val="nil"/>
            </w:tcBorders>
            <w:shd w:val="clear" w:color="auto" w:fill="auto"/>
            <w:noWrap/>
            <w:vAlign w:val="center"/>
            <w:hideMark/>
          </w:tcPr>
          <w:p w14:paraId="63A817CA" w14:textId="77777777" w:rsidR="00B9311E" w:rsidRPr="00BD77D8" w:rsidRDefault="00B9311E" w:rsidP="00B9311E">
            <w:pPr>
              <w:spacing w:after="0" w:line="240" w:lineRule="auto"/>
              <w:rPr>
                <w:sz w:val="18"/>
                <w:szCs w:val="18"/>
              </w:rPr>
            </w:pPr>
            <w:r w:rsidRPr="00BD77D8">
              <w:rPr>
                <w:sz w:val="18"/>
                <w:szCs w:val="18"/>
              </w:rPr>
              <w:t xml:space="preserve"> Deputy Director-General, Corporate Services (acting 05/10/2021 to 06/03/2022) ^ </w:t>
            </w:r>
          </w:p>
        </w:tc>
        <w:tc>
          <w:tcPr>
            <w:tcW w:w="0" w:type="auto"/>
            <w:tcBorders>
              <w:top w:val="nil"/>
              <w:left w:val="nil"/>
              <w:bottom w:val="nil"/>
              <w:right w:val="nil"/>
            </w:tcBorders>
            <w:shd w:val="clear" w:color="auto" w:fill="auto"/>
            <w:noWrap/>
            <w:vAlign w:val="center"/>
            <w:hideMark/>
          </w:tcPr>
          <w:p w14:paraId="42A59EC9" w14:textId="77777777" w:rsidR="00B9311E" w:rsidRPr="00BD77D8" w:rsidRDefault="00B9311E" w:rsidP="00B9311E">
            <w:pPr>
              <w:spacing w:after="0" w:line="240" w:lineRule="auto"/>
              <w:jc w:val="right"/>
              <w:rPr>
                <w:sz w:val="18"/>
                <w:szCs w:val="18"/>
              </w:rPr>
            </w:pPr>
            <w:r w:rsidRPr="00BD77D8">
              <w:rPr>
                <w:sz w:val="18"/>
                <w:szCs w:val="18"/>
              </w:rPr>
              <w:t xml:space="preserve">               102 </w:t>
            </w:r>
          </w:p>
        </w:tc>
        <w:tc>
          <w:tcPr>
            <w:tcW w:w="0" w:type="auto"/>
            <w:tcBorders>
              <w:top w:val="nil"/>
              <w:left w:val="nil"/>
              <w:bottom w:val="nil"/>
              <w:right w:val="nil"/>
            </w:tcBorders>
            <w:shd w:val="clear" w:color="auto" w:fill="auto"/>
            <w:noWrap/>
            <w:vAlign w:val="center"/>
            <w:hideMark/>
          </w:tcPr>
          <w:p w14:paraId="66C96F44"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58BE7345"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1D5909AA" w14:textId="77777777" w:rsidR="00B9311E" w:rsidRPr="00BD77D8" w:rsidRDefault="00B9311E" w:rsidP="00B9311E">
            <w:pPr>
              <w:spacing w:after="0" w:line="240" w:lineRule="auto"/>
              <w:jc w:val="right"/>
              <w:rPr>
                <w:sz w:val="18"/>
                <w:szCs w:val="18"/>
              </w:rPr>
            </w:pPr>
            <w:r w:rsidRPr="00BD77D8">
              <w:rPr>
                <w:sz w:val="18"/>
                <w:szCs w:val="18"/>
              </w:rPr>
              <w:t xml:space="preserve">                    8 </w:t>
            </w:r>
          </w:p>
        </w:tc>
        <w:tc>
          <w:tcPr>
            <w:tcW w:w="0" w:type="auto"/>
            <w:tcBorders>
              <w:top w:val="nil"/>
              <w:left w:val="nil"/>
              <w:bottom w:val="nil"/>
              <w:right w:val="nil"/>
            </w:tcBorders>
            <w:shd w:val="clear" w:color="auto" w:fill="auto"/>
            <w:noWrap/>
            <w:vAlign w:val="center"/>
            <w:hideMark/>
          </w:tcPr>
          <w:p w14:paraId="7BD4924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4FD821F" w14:textId="77777777" w:rsidR="00B9311E" w:rsidRPr="00BD77D8" w:rsidRDefault="00B9311E" w:rsidP="00B9311E">
            <w:pPr>
              <w:spacing w:after="0" w:line="240" w:lineRule="auto"/>
              <w:jc w:val="right"/>
              <w:rPr>
                <w:sz w:val="18"/>
                <w:szCs w:val="18"/>
              </w:rPr>
            </w:pPr>
            <w:r w:rsidRPr="00BD77D8">
              <w:rPr>
                <w:sz w:val="18"/>
                <w:szCs w:val="18"/>
              </w:rPr>
              <w:t xml:space="preserve">               114 </w:t>
            </w:r>
          </w:p>
        </w:tc>
      </w:tr>
      <w:tr w:rsidR="00BD77D8" w:rsidRPr="00BD77D8" w14:paraId="44B403DF" w14:textId="77777777" w:rsidTr="003057FB">
        <w:trPr>
          <w:trHeight w:val="245"/>
        </w:trPr>
        <w:tc>
          <w:tcPr>
            <w:tcW w:w="0" w:type="auto"/>
            <w:tcBorders>
              <w:top w:val="nil"/>
              <w:left w:val="nil"/>
              <w:bottom w:val="nil"/>
              <w:right w:val="nil"/>
            </w:tcBorders>
            <w:shd w:val="clear" w:color="auto" w:fill="auto"/>
            <w:noWrap/>
            <w:vAlign w:val="center"/>
            <w:hideMark/>
          </w:tcPr>
          <w:p w14:paraId="35A22D4C" w14:textId="77777777" w:rsidR="00B9311E" w:rsidRPr="00BD77D8" w:rsidRDefault="00B9311E" w:rsidP="00B9311E">
            <w:pPr>
              <w:spacing w:after="0" w:line="240" w:lineRule="auto"/>
              <w:rPr>
                <w:sz w:val="18"/>
                <w:szCs w:val="18"/>
              </w:rPr>
            </w:pPr>
            <w:r w:rsidRPr="00BD77D8">
              <w:rPr>
                <w:sz w:val="18"/>
                <w:szCs w:val="18"/>
              </w:rPr>
              <w:t xml:space="preserve"> Deputy Director-General, Culture and Economic Policy  </w:t>
            </w:r>
          </w:p>
        </w:tc>
        <w:tc>
          <w:tcPr>
            <w:tcW w:w="0" w:type="auto"/>
            <w:tcBorders>
              <w:top w:val="nil"/>
              <w:left w:val="nil"/>
              <w:bottom w:val="nil"/>
              <w:right w:val="nil"/>
            </w:tcBorders>
            <w:shd w:val="clear" w:color="auto" w:fill="auto"/>
            <w:noWrap/>
            <w:vAlign w:val="center"/>
            <w:hideMark/>
          </w:tcPr>
          <w:p w14:paraId="29B09B65" w14:textId="77777777" w:rsidR="00B9311E" w:rsidRPr="00BD77D8" w:rsidRDefault="00B9311E" w:rsidP="00B9311E">
            <w:pPr>
              <w:spacing w:after="0" w:line="240" w:lineRule="auto"/>
              <w:jc w:val="right"/>
              <w:rPr>
                <w:sz w:val="18"/>
                <w:szCs w:val="18"/>
              </w:rPr>
            </w:pPr>
            <w:r w:rsidRPr="00BD77D8">
              <w:rPr>
                <w:sz w:val="18"/>
                <w:szCs w:val="18"/>
              </w:rPr>
              <w:t xml:space="preserve">               264 </w:t>
            </w:r>
          </w:p>
        </w:tc>
        <w:tc>
          <w:tcPr>
            <w:tcW w:w="0" w:type="auto"/>
            <w:tcBorders>
              <w:top w:val="nil"/>
              <w:left w:val="nil"/>
              <w:bottom w:val="nil"/>
              <w:right w:val="nil"/>
            </w:tcBorders>
            <w:shd w:val="clear" w:color="auto" w:fill="auto"/>
            <w:noWrap/>
            <w:vAlign w:val="center"/>
            <w:hideMark/>
          </w:tcPr>
          <w:p w14:paraId="774642E9"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5D81E0F3"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5A9FB14D" w14:textId="77777777" w:rsidR="00B9311E" w:rsidRPr="00BD77D8" w:rsidRDefault="00B9311E" w:rsidP="00B9311E">
            <w:pPr>
              <w:spacing w:after="0" w:line="240" w:lineRule="auto"/>
              <w:jc w:val="right"/>
              <w:rPr>
                <w:sz w:val="18"/>
                <w:szCs w:val="18"/>
              </w:rPr>
            </w:pPr>
            <w:r w:rsidRPr="00BD77D8">
              <w:rPr>
                <w:sz w:val="18"/>
                <w:szCs w:val="18"/>
              </w:rPr>
              <w:t xml:space="preserve">                 27 </w:t>
            </w:r>
          </w:p>
        </w:tc>
        <w:tc>
          <w:tcPr>
            <w:tcW w:w="0" w:type="auto"/>
            <w:tcBorders>
              <w:top w:val="nil"/>
              <w:left w:val="nil"/>
              <w:bottom w:val="nil"/>
              <w:right w:val="nil"/>
            </w:tcBorders>
            <w:shd w:val="clear" w:color="auto" w:fill="auto"/>
            <w:noWrap/>
            <w:vAlign w:val="center"/>
            <w:hideMark/>
          </w:tcPr>
          <w:p w14:paraId="3B61CDCF"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32215B30" w14:textId="77777777" w:rsidR="00B9311E" w:rsidRPr="00BD77D8" w:rsidRDefault="00B9311E" w:rsidP="00B9311E">
            <w:pPr>
              <w:spacing w:after="0" w:line="240" w:lineRule="auto"/>
              <w:jc w:val="right"/>
              <w:rPr>
                <w:sz w:val="18"/>
                <w:szCs w:val="18"/>
              </w:rPr>
            </w:pPr>
            <w:r w:rsidRPr="00BD77D8">
              <w:rPr>
                <w:sz w:val="18"/>
                <w:szCs w:val="18"/>
              </w:rPr>
              <w:t xml:space="preserve">               303 </w:t>
            </w:r>
          </w:p>
        </w:tc>
      </w:tr>
      <w:tr w:rsidR="00BD77D8" w:rsidRPr="00BD77D8" w14:paraId="674AA4E5" w14:textId="77777777" w:rsidTr="003057FB">
        <w:trPr>
          <w:trHeight w:val="245"/>
        </w:trPr>
        <w:tc>
          <w:tcPr>
            <w:tcW w:w="0" w:type="auto"/>
            <w:tcBorders>
              <w:top w:val="nil"/>
              <w:left w:val="nil"/>
              <w:bottom w:val="nil"/>
              <w:right w:val="nil"/>
            </w:tcBorders>
            <w:shd w:val="clear" w:color="auto" w:fill="auto"/>
            <w:noWrap/>
            <w:vAlign w:val="center"/>
            <w:hideMark/>
          </w:tcPr>
          <w:p w14:paraId="49056E22" w14:textId="77777777" w:rsidR="00B9311E" w:rsidRPr="00BD77D8" w:rsidRDefault="00B9311E" w:rsidP="00B9311E">
            <w:pPr>
              <w:spacing w:after="0" w:line="240" w:lineRule="auto"/>
              <w:rPr>
                <w:sz w:val="18"/>
                <w:szCs w:val="18"/>
              </w:rPr>
            </w:pPr>
            <w:r w:rsidRPr="00BD77D8">
              <w:rPr>
                <w:sz w:val="18"/>
                <w:szCs w:val="18"/>
              </w:rPr>
              <w:t xml:space="preserve"> Deputy Director-General, Strategic Policy, Legislation and Program Reform  </w:t>
            </w:r>
          </w:p>
        </w:tc>
        <w:tc>
          <w:tcPr>
            <w:tcW w:w="0" w:type="auto"/>
            <w:tcBorders>
              <w:top w:val="nil"/>
              <w:left w:val="nil"/>
              <w:bottom w:val="nil"/>
              <w:right w:val="nil"/>
            </w:tcBorders>
            <w:shd w:val="clear" w:color="auto" w:fill="auto"/>
            <w:noWrap/>
            <w:vAlign w:val="center"/>
            <w:hideMark/>
          </w:tcPr>
          <w:p w14:paraId="705EEC4F" w14:textId="77777777" w:rsidR="00B9311E" w:rsidRPr="00BD77D8" w:rsidRDefault="00B9311E" w:rsidP="00B9311E">
            <w:pPr>
              <w:spacing w:after="0" w:line="240" w:lineRule="auto"/>
              <w:jc w:val="right"/>
              <w:rPr>
                <w:sz w:val="18"/>
                <w:szCs w:val="18"/>
              </w:rPr>
            </w:pPr>
            <w:r w:rsidRPr="00BD77D8">
              <w:rPr>
                <w:sz w:val="18"/>
                <w:szCs w:val="18"/>
              </w:rPr>
              <w:t xml:space="preserve">               258 </w:t>
            </w:r>
          </w:p>
        </w:tc>
        <w:tc>
          <w:tcPr>
            <w:tcW w:w="0" w:type="auto"/>
            <w:tcBorders>
              <w:top w:val="nil"/>
              <w:left w:val="nil"/>
              <w:bottom w:val="nil"/>
              <w:right w:val="nil"/>
            </w:tcBorders>
            <w:shd w:val="clear" w:color="auto" w:fill="auto"/>
            <w:noWrap/>
            <w:vAlign w:val="center"/>
            <w:hideMark/>
          </w:tcPr>
          <w:p w14:paraId="049C8A5D"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0474C869"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0F392795" w14:textId="77777777" w:rsidR="00B9311E" w:rsidRPr="00BD77D8" w:rsidRDefault="00B9311E" w:rsidP="00B9311E">
            <w:pPr>
              <w:spacing w:after="0" w:line="240" w:lineRule="auto"/>
              <w:jc w:val="right"/>
              <w:rPr>
                <w:sz w:val="18"/>
                <w:szCs w:val="18"/>
              </w:rPr>
            </w:pPr>
            <w:r w:rsidRPr="00BD77D8">
              <w:rPr>
                <w:sz w:val="18"/>
                <w:szCs w:val="18"/>
              </w:rPr>
              <w:t xml:space="preserve">                 27 </w:t>
            </w:r>
          </w:p>
        </w:tc>
        <w:tc>
          <w:tcPr>
            <w:tcW w:w="0" w:type="auto"/>
            <w:tcBorders>
              <w:top w:val="nil"/>
              <w:left w:val="nil"/>
              <w:bottom w:val="nil"/>
              <w:right w:val="nil"/>
            </w:tcBorders>
            <w:shd w:val="clear" w:color="auto" w:fill="auto"/>
            <w:noWrap/>
            <w:vAlign w:val="center"/>
            <w:hideMark/>
          </w:tcPr>
          <w:p w14:paraId="1EB044E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B4F966C" w14:textId="77777777" w:rsidR="00B9311E" w:rsidRPr="00BD77D8" w:rsidRDefault="00B9311E" w:rsidP="00B9311E">
            <w:pPr>
              <w:spacing w:after="0" w:line="240" w:lineRule="auto"/>
              <w:jc w:val="right"/>
              <w:rPr>
                <w:sz w:val="18"/>
                <w:szCs w:val="18"/>
              </w:rPr>
            </w:pPr>
            <w:r w:rsidRPr="00BD77D8">
              <w:rPr>
                <w:sz w:val="18"/>
                <w:szCs w:val="18"/>
              </w:rPr>
              <w:t xml:space="preserve">               297 </w:t>
            </w:r>
          </w:p>
        </w:tc>
      </w:tr>
      <w:tr w:rsidR="00BD77D8" w:rsidRPr="00BD77D8" w14:paraId="2242F999" w14:textId="77777777" w:rsidTr="003057FB">
        <w:trPr>
          <w:trHeight w:val="245"/>
        </w:trPr>
        <w:tc>
          <w:tcPr>
            <w:tcW w:w="0" w:type="auto"/>
            <w:tcBorders>
              <w:top w:val="nil"/>
              <w:left w:val="nil"/>
              <w:bottom w:val="nil"/>
              <w:right w:val="nil"/>
            </w:tcBorders>
            <w:shd w:val="clear" w:color="auto" w:fill="auto"/>
            <w:noWrap/>
            <w:vAlign w:val="center"/>
            <w:hideMark/>
          </w:tcPr>
          <w:p w14:paraId="35A4C22E" w14:textId="77777777" w:rsidR="00B9311E" w:rsidRPr="00BD77D8" w:rsidRDefault="00B9311E" w:rsidP="00B9311E">
            <w:pPr>
              <w:spacing w:after="0" w:line="240" w:lineRule="auto"/>
              <w:rPr>
                <w:sz w:val="18"/>
                <w:szCs w:val="18"/>
              </w:rPr>
            </w:pPr>
            <w:r w:rsidRPr="00BD77D8">
              <w:rPr>
                <w:sz w:val="18"/>
                <w:szCs w:val="18"/>
              </w:rPr>
              <w:t xml:space="preserve"> Deputy Director-General, Disability Connect Queensland </w:t>
            </w:r>
          </w:p>
        </w:tc>
        <w:tc>
          <w:tcPr>
            <w:tcW w:w="0" w:type="auto"/>
            <w:tcBorders>
              <w:top w:val="nil"/>
              <w:left w:val="nil"/>
              <w:bottom w:val="nil"/>
              <w:right w:val="nil"/>
            </w:tcBorders>
            <w:shd w:val="clear" w:color="auto" w:fill="auto"/>
            <w:noWrap/>
            <w:vAlign w:val="center"/>
            <w:hideMark/>
          </w:tcPr>
          <w:p w14:paraId="0CBA2226" w14:textId="77777777" w:rsidR="00B9311E" w:rsidRPr="00BD77D8" w:rsidRDefault="00B9311E" w:rsidP="00B9311E">
            <w:pPr>
              <w:spacing w:after="0" w:line="240" w:lineRule="auto"/>
              <w:jc w:val="right"/>
              <w:rPr>
                <w:sz w:val="18"/>
                <w:szCs w:val="18"/>
              </w:rPr>
            </w:pPr>
            <w:r w:rsidRPr="00BD77D8">
              <w:rPr>
                <w:sz w:val="18"/>
                <w:szCs w:val="18"/>
              </w:rPr>
              <w:t xml:space="preserve">               260 </w:t>
            </w:r>
          </w:p>
        </w:tc>
        <w:tc>
          <w:tcPr>
            <w:tcW w:w="0" w:type="auto"/>
            <w:tcBorders>
              <w:top w:val="nil"/>
              <w:left w:val="nil"/>
              <w:bottom w:val="nil"/>
              <w:right w:val="nil"/>
            </w:tcBorders>
            <w:shd w:val="clear" w:color="auto" w:fill="auto"/>
            <w:noWrap/>
            <w:vAlign w:val="center"/>
            <w:hideMark/>
          </w:tcPr>
          <w:p w14:paraId="5BBCD190" w14:textId="77777777" w:rsidR="00B9311E" w:rsidRPr="00BD77D8" w:rsidRDefault="00B9311E" w:rsidP="00B9311E">
            <w:pPr>
              <w:spacing w:after="0" w:line="240" w:lineRule="auto"/>
              <w:jc w:val="right"/>
              <w:rPr>
                <w:sz w:val="18"/>
                <w:szCs w:val="18"/>
              </w:rPr>
            </w:pPr>
            <w:r w:rsidRPr="00BD77D8">
              <w:rPr>
                <w:sz w:val="18"/>
                <w:szCs w:val="18"/>
              </w:rPr>
              <w:t xml:space="preserve">                    5 </w:t>
            </w:r>
          </w:p>
        </w:tc>
        <w:tc>
          <w:tcPr>
            <w:tcW w:w="0" w:type="auto"/>
            <w:tcBorders>
              <w:top w:val="nil"/>
              <w:left w:val="nil"/>
              <w:bottom w:val="nil"/>
              <w:right w:val="nil"/>
            </w:tcBorders>
            <w:shd w:val="clear" w:color="auto" w:fill="auto"/>
            <w:noWrap/>
            <w:vAlign w:val="center"/>
            <w:hideMark/>
          </w:tcPr>
          <w:p w14:paraId="75C05F45"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7013D1B9" w14:textId="77777777" w:rsidR="00B9311E" w:rsidRPr="00BD77D8" w:rsidRDefault="00B9311E" w:rsidP="00B9311E">
            <w:pPr>
              <w:spacing w:after="0" w:line="240" w:lineRule="auto"/>
              <w:jc w:val="right"/>
              <w:rPr>
                <w:sz w:val="18"/>
                <w:szCs w:val="18"/>
              </w:rPr>
            </w:pPr>
            <w:r w:rsidRPr="00BD77D8">
              <w:rPr>
                <w:sz w:val="18"/>
                <w:szCs w:val="18"/>
              </w:rPr>
              <w:t xml:space="preserve">                 24 </w:t>
            </w:r>
          </w:p>
        </w:tc>
        <w:tc>
          <w:tcPr>
            <w:tcW w:w="0" w:type="auto"/>
            <w:tcBorders>
              <w:top w:val="nil"/>
              <w:left w:val="nil"/>
              <w:bottom w:val="nil"/>
              <w:right w:val="nil"/>
            </w:tcBorders>
            <w:shd w:val="clear" w:color="auto" w:fill="auto"/>
            <w:noWrap/>
            <w:vAlign w:val="center"/>
            <w:hideMark/>
          </w:tcPr>
          <w:p w14:paraId="4361A98E"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4B29676" w14:textId="77777777" w:rsidR="00B9311E" w:rsidRPr="00BD77D8" w:rsidRDefault="00B9311E" w:rsidP="00B9311E">
            <w:pPr>
              <w:spacing w:after="0" w:line="240" w:lineRule="auto"/>
              <w:jc w:val="right"/>
              <w:rPr>
                <w:sz w:val="18"/>
                <w:szCs w:val="18"/>
              </w:rPr>
            </w:pPr>
            <w:r w:rsidRPr="00BD77D8">
              <w:rPr>
                <w:sz w:val="18"/>
                <w:szCs w:val="18"/>
              </w:rPr>
              <w:t xml:space="preserve">               295 </w:t>
            </w:r>
          </w:p>
        </w:tc>
      </w:tr>
      <w:tr w:rsidR="00BD77D8" w:rsidRPr="00BD77D8" w14:paraId="31132373" w14:textId="77777777" w:rsidTr="003057FB">
        <w:trPr>
          <w:trHeight w:val="245"/>
        </w:trPr>
        <w:tc>
          <w:tcPr>
            <w:tcW w:w="0" w:type="auto"/>
            <w:tcBorders>
              <w:top w:val="nil"/>
              <w:left w:val="nil"/>
              <w:bottom w:val="nil"/>
              <w:right w:val="nil"/>
            </w:tcBorders>
            <w:shd w:val="clear" w:color="auto" w:fill="auto"/>
            <w:noWrap/>
            <w:vAlign w:val="center"/>
            <w:hideMark/>
          </w:tcPr>
          <w:p w14:paraId="7E6E160E" w14:textId="77777777" w:rsidR="00B9311E" w:rsidRPr="00BD77D8" w:rsidRDefault="00B9311E" w:rsidP="00B9311E">
            <w:pPr>
              <w:spacing w:after="0" w:line="240" w:lineRule="auto"/>
              <w:rPr>
                <w:sz w:val="18"/>
                <w:szCs w:val="18"/>
              </w:rPr>
            </w:pPr>
            <w:r w:rsidRPr="00BD77D8">
              <w:rPr>
                <w:sz w:val="18"/>
                <w:szCs w:val="18"/>
              </w:rPr>
              <w:t xml:space="preserve"> Deputy Director-General, Disability Accommodation, Respite and Forensic Services  </w:t>
            </w:r>
          </w:p>
        </w:tc>
        <w:tc>
          <w:tcPr>
            <w:tcW w:w="0" w:type="auto"/>
            <w:tcBorders>
              <w:top w:val="nil"/>
              <w:left w:val="nil"/>
              <w:bottom w:val="nil"/>
              <w:right w:val="nil"/>
            </w:tcBorders>
            <w:shd w:val="clear" w:color="auto" w:fill="auto"/>
            <w:noWrap/>
            <w:vAlign w:val="center"/>
            <w:hideMark/>
          </w:tcPr>
          <w:p w14:paraId="60510F1F" w14:textId="77777777" w:rsidR="00B9311E" w:rsidRPr="00BD77D8" w:rsidRDefault="00B9311E" w:rsidP="00B9311E">
            <w:pPr>
              <w:spacing w:after="0" w:line="240" w:lineRule="auto"/>
              <w:jc w:val="right"/>
              <w:rPr>
                <w:sz w:val="18"/>
                <w:szCs w:val="18"/>
              </w:rPr>
            </w:pPr>
            <w:r w:rsidRPr="00BD77D8">
              <w:rPr>
                <w:sz w:val="18"/>
                <w:szCs w:val="18"/>
              </w:rPr>
              <w:t xml:space="preserve">               274 </w:t>
            </w:r>
          </w:p>
        </w:tc>
        <w:tc>
          <w:tcPr>
            <w:tcW w:w="0" w:type="auto"/>
            <w:tcBorders>
              <w:top w:val="nil"/>
              <w:left w:val="nil"/>
              <w:bottom w:val="nil"/>
              <w:right w:val="nil"/>
            </w:tcBorders>
            <w:shd w:val="clear" w:color="auto" w:fill="auto"/>
            <w:noWrap/>
            <w:vAlign w:val="center"/>
            <w:hideMark/>
          </w:tcPr>
          <w:p w14:paraId="20BDF1CE" w14:textId="77777777" w:rsidR="00B9311E" w:rsidRPr="00BD77D8" w:rsidRDefault="00B9311E" w:rsidP="00B9311E">
            <w:pPr>
              <w:spacing w:after="0" w:line="240" w:lineRule="auto"/>
              <w:jc w:val="right"/>
              <w:rPr>
                <w:sz w:val="18"/>
                <w:szCs w:val="18"/>
              </w:rPr>
            </w:pPr>
            <w:r w:rsidRPr="00BD77D8">
              <w:rPr>
                <w:sz w:val="18"/>
                <w:szCs w:val="18"/>
              </w:rPr>
              <w:t xml:space="preserve">                    5 </w:t>
            </w:r>
          </w:p>
        </w:tc>
        <w:tc>
          <w:tcPr>
            <w:tcW w:w="0" w:type="auto"/>
            <w:tcBorders>
              <w:top w:val="nil"/>
              <w:left w:val="nil"/>
              <w:bottom w:val="nil"/>
              <w:right w:val="nil"/>
            </w:tcBorders>
            <w:shd w:val="clear" w:color="auto" w:fill="auto"/>
            <w:noWrap/>
            <w:vAlign w:val="center"/>
            <w:hideMark/>
          </w:tcPr>
          <w:p w14:paraId="31F221A3" w14:textId="77777777" w:rsidR="00B9311E" w:rsidRPr="00BD77D8" w:rsidRDefault="00B9311E" w:rsidP="00B9311E">
            <w:pPr>
              <w:spacing w:after="0" w:line="240" w:lineRule="auto"/>
              <w:jc w:val="right"/>
              <w:rPr>
                <w:sz w:val="18"/>
                <w:szCs w:val="18"/>
              </w:rPr>
            </w:pPr>
            <w:r w:rsidRPr="00BD77D8">
              <w:rPr>
                <w:sz w:val="18"/>
                <w:szCs w:val="18"/>
              </w:rPr>
              <w:t xml:space="preserve">                    6 </w:t>
            </w:r>
          </w:p>
        </w:tc>
        <w:tc>
          <w:tcPr>
            <w:tcW w:w="0" w:type="auto"/>
            <w:tcBorders>
              <w:top w:val="nil"/>
              <w:left w:val="nil"/>
              <w:bottom w:val="nil"/>
              <w:right w:val="nil"/>
            </w:tcBorders>
            <w:shd w:val="clear" w:color="auto" w:fill="auto"/>
            <w:noWrap/>
            <w:vAlign w:val="center"/>
            <w:hideMark/>
          </w:tcPr>
          <w:p w14:paraId="31012DBA" w14:textId="77777777" w:rsidR="00B9311E" w:rsidRPr="00BD77D8" w:rsidRDefault="00B9311E" w:rsidP="00B9311E">
            <w:pPr>
              <w:spacing w:after="0" w:line="240" w:lineRule="auto"/>
              <w:jc w:val="right"/>
              <w:rPr>
                <w:sz w:val="18"/>
                <w:szCs w:val="18"/>
              </w:rPr>
            </w:pPr>
            <w:r w:rsidRPr="00BD77D8">
              <w:rPr>
                <w:sz w:val="18"/>
                <w:szCs w:val="18"/>
              </w:rPr>
              <w:t xml:space="preserve">                 26 </w:t>
            </w:r>
          </w:p>
        </w:tc>
        <w:tc>
          <w:tcPr>
            <w:tcW w:w="0" w:type="auto"/>
            <w:tcBorders>
              <w:top w:val="nil"/>
              <w:left w:val="nil"/>
              <w:bottom w:val="nil"/>
              <w:right w:val="nil"/>
            </w:tcBorders>
            <w:shd w:val="clear" w:color="auto" w:fill="auto"/>
            <w:noWrap/>
            <w:vAlign w:val="center"/>
            <w:hideMark/>
          </w:tcPr>
          <w:p w14:paraId="1544054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D8C0E72" w14:textId="77777777" w:rsidR="00B9311E" w:rsidRPr="00BD77D8" w:rsidRDefault="00B9311E" w:rsidP="00B9311E">
            <w:pPr>
              <w:spacing w:after="0" w:line="240" w:lineRule="auto"/>
              <w:jc w:val="right"/>
              <w:rPr>
                <w:sz w:val="18"/>
                <w:szCs w:val="18"/>
              </w:rPr>
            </w:pPr>
            <w:r w:rsidRPr="00BD77D8">
              <w:rPr>
                <w:sz w:val="18"/>
                <w:szCs w:val="18"/>
              </w:rPr>
              <w:t xml:space="preserve">               311 </w:t>
            </w:r>
          </w:p>
        </w:tc>
      </w:tr>
      <w:tr w:rsidR="00BD77D8" w:rsidRPr="00BD77D8" w14:paraId="7A6604AC" w14:textId="77777777" w:rsidTr="003057FB">
        <w:trPr>
          <w:trHeight w:val="245"/>
        </w:trPr>
        <w:tc>
          <w:tcPr>
            <w:tcW w:w="0" w:type="auto"/>
            <w:tcBorders>
              <w:top w:val="nil"/>
              <w:left w:val="nil"/>
              <w:bottom w:val="nil"/>
              <w:right w:val="nil"/>
            </w:tcBorders>
            <w:shd w:val="clear" w:color="auto" w:fill="auto"/>
            <w:noWrap/>
            <w:vAlign w:val="center"/>
            <w:hideMark/>
          </w:tcPr>
          <w:p w14:paraId="4643CC51" w14:textId="77777777" w:rsidR="00B9311E" w:rsidRPr="00BD77D8" w:rsidRDefault="00B9311E" w:rsidP="00B9311E">
            <w:pPr>
              <w:spacing w:after="0" w:line="240" w:lineRule="auto"/>
              <w:rPr>
                <w:sz w:val="18"/>
                <w:szCs w:val="18"/>
              </w:rPr>
            </w:pPr>
            <w:r w:rsidRPr="00BD77D8">
              <w:rPr>
                <w:sz w:val="18"/>
                <w:szCs w:val="18"/>
              </w:rPr>
              <w:t xml:space="preserve"> Chief Human Resources Officer </w:t>
            </w:r>
          </w:p>
        </w:tc>
        <w:tc>
          <w:tcPr>
            <w:tcW w:w="0" w:type="auto"/>
            <w:tcBorders>
              <w:top w:val="nil"/>
              <w:left w:val="nil"/>
              <w:bottom w:val="nil"/>
              <w:right w:val="nil"/>
            </w:tcBorders>
            <w:shd w:val="clear" w:color="auto" w:fill="auto"/>
            <w:noWrap/>
            <w:vAlign w:val="center"/>
            <w:hideMark/>
          </w:tcPr>
          <w:p w14:paraId="32021B97" w14:textId="77777777" w:rsidR="00B9311E" w:rsidRPr="00BD77D8" w:rsidRDefault="00B9311E" w:rsidP="00B9311E">
            <w:pPr>
              <w:spacing w:after="0" w:line="240" w:lineRule="auto"/>
              <w:jc w:val="right"/>
              <w:rPr>
                <w:sz w:val="18"/>
                <w:szCs w:val="18"/>
              </w:rPr>
            </w:pPr>
            <w:r w:rsidRPr="00BD77D8">
              <w:rPr>
                <w:sz w:val="18"/>
                <w:szCs w:val="18"/>
              </w:rPr>
              <w:t xml:space="preserve">               235 </w:t>
            </w:r>
          </w:p>
        </w:tc>
        <w:tc>
          <w:tcPr>
            <w:tcW w:w="0" w:type="auto"/>
            <w:tcBorders>
              <w:top w:val="nil"/>
              <w:left w:val="nil"/>
              <w:bottom w:val="nil"/>
              <w:right w:val="nil"/>
            </w:tcBorders>
            <w:shd w:val="clear" w:color="auto" w:fill="auto"/>
            <w:noWrap/>
            <w:vAlign w:val="center"/>
            <w:hideMark/>
          </w:tcPr>
          <w:p w14:paraId="15E9335E" w14:textId="77777777" w:rsidR="00B9311E" w:rsidRPr="00BD77D8" w:rsidRDefault="00B9311E" w:rsidP="00B9311E">
            <w:pPr>
              <w:spacing w:after="0" w:line="240" w:lineRule="auto"/>
              <w:jc w:val="right"/>
              <w:rPr>
                <w:sz w:val="18"/>
                <w:szCs w:val="18"/>
              </w:rPr>
            </w:pPr>
            <w:r w:rsidRPr="00BD77D8">
              <w:rPr>
                <w:sz w:val="18"/>
                <w:szCs w:val="18"/>
              </w:rPr>
              <w:t xml:space="preserve">                    5 </w:t>
            </w:r>
          </w:p>
        </w:tc>
        <w:tc>
          <w:tcPr>
            <w:tcW w:w="0" w:type="auto"/>
            <w:tcBorders>
              <w:top w:val="nil"/>
              <w:left w:val="nil"/>
              <w:bottom w:val="nil"/>
              <w:right w:val="nil"/>
            </w:tcBorders>
            <w:shd w:val="clear" w:color="auto" w:fill="auto"/>
            <w:noWrap/>
            <w:vAlign w:val="center"/>
            <w:hideMark/>
          </w:tcPr>
          <w:p w14:paraId="2E6469E0" w14:textId="77777777" w:rsidR="00B9311E" w:rsidRPr="00BD77D8" w:rsidRDefault="00B9311E" w:rsidP="00B9311E">
            <w:pPr>
              <w:spacing w:after="0" w:line="240" w:lineRule="auto"/>
              <w:jc w:val="right"/>
              <w:rPr>
                <w:sz w:val="18"/>
                <w:szCs w:val="18"/>
              </w:rPr>
            </w:pPr>
            <w:r w:rsidRPr="00BD77D8">
              <w:rPr>
                <w:sz w:val="18"/>
                <w:szCs w:val="18"/>
              </w:rPr>
              <w:t xml:space="preserve">                    5 </w:t>
            </w:r>
          </w:p>
        </w:tc>
        <w:tc>
          <w:tcPr>
            <w:tcW w:w="0" w:type="auto"/>
            <w:tcBorders>
              <w:top w:val="nil"/>
              <w:left w:val="nil"/>
              <w:bottom w:val="nil"/>
              <w:right w:val="nil"/>
            </w:tcBorders>
            <w:shd w:val="clear" w:color="auto" w:fill="auto"/>
            <w:noWrap/>
            <w:vAlign w:val="center"/>
            <w:hideMark/>
          </w:tcPr>
          <w:p w14:paraId="5D3E9036" w14:textId="77777777" w:rsidR="00B9311E" w:rsidRPr="00BD77D8" w:rsidRDefault="00B9311E" w:rsidP="00B9311E">
            <w:pPr>
              <w:spacing w:after="0" w:line="240" w:lineRule="auto"/>
              <w:jc w:val="right"/>
              <w:rPr>
                <w:sz w:val="18"/>
                <w:szCs w:val="18"/>
              </w:rPr>
            </w:pPr>
            <w:r w:rsidRPr="00BD77D8">
              <w:rPr>
                <w:sz w:val="18"/>
                <w:szCs w:val="18"/>
              </w:rPr>
              <w:t xml:space="preserve">                 22 </w:t>
            </w:r>
          </w:p>
        </w:tc>
        <w:tc>
          <w:tcPr>
            <w:tcW w:w="0" w:type="auto"/>
            <w:tcBorders>
              <w:top w:val="nil"/>
              <w:left w:val="nil"/>
              <w:bottom w:val="nil"/>
              <w:right w:val="nil"/>
            </w:tcBorders>
            <w:shd w:val="clear" w:color="auto" w:fill="auto"/>
            <w:noWrap/>
            <w:vAlign w:val="center"/>
            <w:hideMark/>
          </w:tcPr>
          <w:p w14:paraId="442F5FA7"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875630E" w14:textId="77777777" w:rsidR="00B9311E" w:rsidRPr="00BD77D8" w:rsidRDefault="00B9311E" w:rsidP="00B9311E">
            <w:pPr>
              <w:spacing w:after="0" w:line="240" w:lineRule="auto"/>
              <w:jc w:val="right"/>
              <w:rPr>
                <w:sz w:val="18"/>
                <w:szCs w:val="18"/>
              </w:rPr>
            </w:pPr>
            <w:r w:rsidRPr="00BD77D8">
              <w:rPr>
                <w:sz w:val="18"/>
                <w:szCs w:val="18"/>
              </w:rPr>
              <w:t xml:space="preserve">               267 </w:t>
            </w:r>
          </w:p>
        </w:tc>
      </w:tr>
      <w:tr w:rsidR="00BD77D8" w:rsidRPr="00BD77D8" w14:paraId="6089109A" w14:textId="77777777" w:rsidTr="003057FB">
        <w:trPr>
          <w:trHeight w:val="245"/>
        </w:trPr>
        <w:tc>
          <w:tcPr>
            <w:tcW w:w="0" w:type="auto"/>
            <w:tcBorders>
              <w:top w:val="nil"/>
              <w:left w:val="nil"/>
              <w:bottom w:val="nil"/>
              <w:right w:val="nil"/>
            </w:tcBorders>
            <w:shd w:val="clear" w:color="auto" w:fill="auto"/>
            <w:noWrap/>
            <w:vAlign w:val="center"/>
            <w:hideMark/>
          </w:tcPr>
          <w:p w14:paraId="36CE2C9A" w14:textId="77777777" w:rsidR="00B9311E" w:rsidRPr="00BD77D8" w:rsidRDefault="00B9311E" w:rsidP="00B9311E">
            <w:pPr>
              <w:spacing w:after="0" w:line="240" w:lineRule="auto"/>
              <w:rPr>
                <w:sz w:val="18"/>
                <w:szCs w:val="18"/>
              </w:rPr>
            </w:pPr>
            <w:r w:rsidRPr="00BD77D8">
              <w:rPr>
                <w:sz w:val="18"/>
                <w:szCs w:val="18"/>
              </w:rPr>
              <w:t xml:space="preserve"> Chief Finance Officer </w:t>
            </w:r>
          </w:p>
        </w:tc>
        <w:tc>
          <w:tcPr>
            <w:tcW w:w="0" w:type="auto"/>
            <w:tcBorders>
              <w:top w:val="nil"/>
              <w:left w:val="nil"/>
              <w:bottom w:val="nil"/>
              <w:right w:val="nil"/>
            </w:tcBorders>
            <w:shd w:val="clear" w:color="auto" w:fill="auto"/>
            <w:noWrap/>
            <w:vAlign w:val="center"/>
            <w:hideMark/>
          </w:tcPr>
          <w:p w14:paraId="1E91DC00" w14:textId="77777777" w:rsidR="00B9311E" w:rsidRPr="00BD77D8" w:rsidRDefault="00B9311E" w:rsidP="00B9311E">
            <w:pPr>
              <w:spacing w:after="0" w:line="240" w:lineRule="auto"/>
              <w:jc w:val="right"/>
              <w:rPr>
                <w:sz w:val="18"/>
                <w:szCs w:val="18"/>
              </w:rPr>
            </w:pPr>
            <w:r w:rsidRPr="00BD77D8">
              <w:rPr>
                <w:sz w:val="18"/>
                <w:szCs w:val="18"/>
              </w:rPr>
              <w:t xml:space="preserve">               137 </w:t>
            </w:r>
          </w:p>
        </w:tc>
        <w:tc>
          <w:tcPr>
            <w:tcW w:w="0" w:type="auto"/>
            <w:tcBorders>
              <w:top w:val="nil"/>
              <w:left w:val="nil"/>
              <w:bottom w:val="nil"/>
              <w:right w:val="nil"/>
            </w:tcBorders>
            <w:shd w:val="clear" w:color="auto" w:fill="auto"/>
            <w:noWrap/>
            <w:vAlign w:val="center"/>
            <w:hideMark/>
          </w:tcPr>
          <w:p w14:paraId="5CB1AD7C"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275964CF"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2B7D2F38" w14:textId="77777777" w:rsidR="00B9311E" w:rsidRPr="00BD77D8" w:rsidRDefault="00B9311E" w:rsidP="00B9311E">
            <w:pPr>
              <w:spacing w:after="0" w:line="240" w:lineRule="auto"/>
              <w:jc w:val="right"/>
              <w:rPr>
                <w:sz w:val="18"/>
                <w:szCs w:val="18"/>
              </w:rPr>
            </w:pPr>
            <w:r w:rsidRPr="00BD77D8">
              <w:rPr>
                <w:sz w:val="18"/>
                <w:szCs w:val="18"/>
              </w:rPr>
              <w:t xml:space="preserve">                 15 </w:t>
            </w:r>
          </w:p>
        </w:tc>
        <w:tc>
          <w:tcPr>
            <w:tcW w:w="0" w:type="auto"/>
            <w:tcBorders>
              <w:top w:val="nil"/>
              <w:left w:val="nil"/>
              <w:bottom w:val="nil"/>
              <w:right w:val="nil"/>
            </w:tcBorders>
            <w:shd w:val="clear" w:color="auto" w:fill="auto"/>
            <w:noWrap/>
            <w:vAlign w:val="center"/>
            <w:hideMark/>
          </w:tcPr>
          <w:p w14:paraId="7C893EE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383EE94D" w14:textId="77777777" w:rsidR="00B9311E" w:rsidRPr="00BD77D8" w:rsidRDefault="00B9311E" w:rsidP="00B9311E">
            <w:pPr>
              <w:spacing w:after="0" w:line="240" w:lineRule="auto"/>
              <w:jc w:val="right"/>
              <w:rPr>
                <w:sz w:val="18"/>
                <w:szCs w:val="18"/>
              </w:rPr>
            </w:pPr>
            <w:r w:rsidRPr="00BD77D8">
              <w:rPr>
                <w:sz w:val="18"/>
                <w:szCs w:val="18"/>
              </w:rPr>
              <w:t xml:space="preserve">               158 </w:t>
            </w:r>
          </w:p>
        </w:tc>
      </w:tr>
      <w:tr w:rsidR="00BD77D8" w:rsidRPr="00BD77D8" w14:paraId="69B62A35" w14:textId="77777777" w:rsidTr="003057FB">
        <w:trPr>
          <w:trHeight w:val="245"/>
        </w:trPr>
        <w:tc>
          <w:tcPr>
            <w:tcW w:w="0" w:type="auto"/>
            <w:tcBorders>
              <w:top w:val="nil"/>
              <w:left w:val="nil"/>
              <w:bottom w:val="nil"/>
              <w:right w:val="nil"/>
            </w:tcBorders>
            <w:shd w:val="clear" w:color="auto" w:fill="auto"/>
            <w:noWrap/>
            <w:vAlign w:val="center"/>
            <w:hideMark/>
          </w:tcPr>
          <w:p w14:paraId="054ED7CA" w14:textId="77777777" w:rsidR="00B9311E" w:rsidRPr="00BD77D8" w:rsidRDefault="00B9311E" w:rsidP="00B9311E">
            <w:pPr>
              <w:spacing w:after="0" w:line="240" w:lineRule="auto"/>
              <w:rPr>
                <w:sz w:val="18"/>
                <w:szCs w:val="18"/>
              </w:rPr>
            </w:pPr>
            <w:r w:rsidRPr="00BD77D8">
              <w:rPr>
                <w:sz w:val="18"/>
                <w:szCs w:val="18"/>
              </w:rPr>
              <w:t xml:space="preserve"> Chief Finance Officer (acting 29/09/2021 to 06/03/2022) # </w:t>
            </w:r>
          </w:p>
        </w:tc>
        <w:tc>
          <w:tcPr>
            <w:tcW w:w="0" w:type="auto"/>
            <w:tcBorders>
              <w:top w:val="nil"/>
              <w:left w:val="nil"/>
              <w:bottom w:val="nil"/>
              <w:right w:val="nil"/>
            </w:tcBorders>
            <w:shd w:val="clear" w:color="auto" w:fill="auto"/>
            <w:noWrap/>
            <w:vAlign w:val="center"/>
            <w:hideMark/>
          </w:tcPr>
          <w:p w14:paraId="3CB90CD1" w14:textId="77777777" w:rsidR="00B9311E" w:rsidRPr="00BD77D8" w:rsidRDefault="00B9311E" w:rsidP="00B9311E">
            <w:pPr>
              <w:spacing w:after="0" w:line="240" w:lineRule="auto"/>
              <w:jc w:val="right"/>
              <w:rPr>
                <w:sz w:val="18"/>
                <w:szCs w:val="18"/>
              </w:rPr>
            </w:pPr>
            <w:r w:rsidRPr="00BD77D8">
              <w:rPr>
                <w:sz w:val="18"/>
                <w:szCs w:val="18"/>
              </w:rPr>
              <w:t xml:space="preserve">               106 </w:t>
            </w:r>
          </w:p>
        </w:tc>
        <w:tc>
          <w:tcPr>
            <w:tcW w:w="0" w:type="auto"/>
            <w:tcBorders>
              <w:top w:val="nil"/>
              <w:left w:val="nil"/>
              <w:bottom w:val="nil"/>
              <w:right w:val="nil"/>
            </w:tcBorders>
            <w:shd w:val="clear" w:color="auto" w:fill="auto"/>
            <w:noWrap/>
            <w:vAlign w:val="center"/>
            <w:hideMark/>
          </w:tcPr>
          <w:p w14:paraId="222D7CC1"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4617AEE3"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159D0BD7" w14:textId="77777777" w:rsidR="00B9311E" w:rsidRPr="00BD77D8" w:rsidRDefault="00B9311E" w:rsidP="00B9311E">
            <w:pPr>
              <w:spacing w:after="0" w:line="240" w:lineRule="auto"/>
              <w:jc w:val="right"/>
              <w:rPr>
                <w:sz w:val="18"/>
                <w:szCs w:val="18"/>
              </w:rPr>
            </w:pPr>
            <w:r w:rsidRPr="00BD77D8">
              <w:rPr>
                <w:sz w:val="18"/>
                <w:szCs w:val="18"/>
              </w:rPr>
              <w:t xml:space="preserve">                    8 </w:t>
            </w:r>
          </w:p>
        </w:tc>
        <w:tc>
          <w:tcPr>
            <w:tcW w:w="0" w:type="auto"/>
            <w:tcBorders>
              <w:top w:val="nil"/>
              <w:left w:val="nil"/>
              <w:bottom w:val="nil"/>
              <w:right w:val="nil"/>
            </w:tcBorders>
            <w:shd w:val="clear" w:color="auto" w:fill="auto"/>
            <w:noWrap/>
            <w:vAlign w:val="center"/>
            <w:hideMark/>
          </w:tcPr>
          <w:p w14:paraId="44DBF49F"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45445679" w14:textId="77777777" w:rsidR="00B9311E" w:rsidRPr="00BD77D8" w:rsidRDefault="00B9311E" w:rsidP="00B9311E">
            <w:pPr>
              <w:spacing w:after="0" w:line="240" w:lineRule="auto"/>
              <w:jc w:val="right"/>
              <w:rPr>
                <w:sz w:val="18"/>
                <w:szCs w:val="18"/>
              </w:rPr>
            </w:pPr>
            <w:r w:rsidRPr="00BD77D8">
              <w:rPr>
                <w:sz w:val="18"/>
                <w:szCs w:val="18"/>
              </w:rPr>
              <w:t xml:space="preserve">               117 </w:t>
            </w:r>
          </w:p>
        </w:tc>
      </w:tr>
    </w:tbl>
    <w:p w14:paraId="609180C9" w14:textId="77777777" w:rsidR="00B9311E" w:rsidRPr="00BD77D8" w:rsidRDefault="00B9311E" w:rsidP="00727CAE">
      <w:pPr>
        <w:tabs>
          <w:tab w:val="left" w:pos="7797"/>
          <w:tab w:val="right" w:pos="8856"/>
        </w:tabs>
        <w:spacing w:before="200" w:after="0" w:line="240" w:lineRule="auto"/>
        <w:textAlignment w:val="baseline"/>
        <w:rPr>
          <w:rFonts w:eastAsia="Arial"/>
          <w:b/>
          <w:sz w:val="16"/>
          <w:szCs w:val="16"/>
          <w:lang w:eastAsia="en-US"/>
        </w:rPr>
      </w:pPr>
      <w:r w:rsidRPr="00BD77D8">
        <w:rPr>
          <w:rFonts w:eastAsia="Arial"/>
          <w:sz w:val="16"/>
          <w:szCs w:val="16"/>
          <w:lang w:eastAsia="en-US"/>
        </w:rPr>
        <w:t>* The Deputy Director General, Corporate Services position took effect from 5 October 2021. The duties of the position were previously encompassed within the role of Deputy Director-General Policy &amp; Corporate Services.</w:t>
      </w:r>
    </w:p>
    <w:p w14:paraId="49069269" w14:textId="703493CE" w:rsidR="00B9311E" w:rsidRPr="00BD77D8" w:rsidRDefault="00B9311E" w:rsidP="00B9311E">
      <w:pPr>
        <w:tabs>
          <w:tab w:val="left" w:pos="7797"/>
          <w:tab w:val="right" w:pos="8856"/>
        </w:tabs>
        <w:spacing w:after="0" w:line="240" w:lineRule="auto"/>
        <w:textAlignment w:val="baseline"/>
        <w:rPr>
          <w:rFonts w:eastAsia="Arial"/>
          <w:b/>
          <w:sz w:val="16"/>
          <w:szCs w:val="16"/>
          <w:lang w:eastAsia="en-US"/>
        </w:rPr>
      </w:pPr>
      <w:r w:rsidRPr="00BD77D8">
        <w:rPr>
          <w:rFonts w:eastAsia="Arial"/>
          <w:sz w:val="16"/>
          <w:szCs w:val="16"/>
          <w:lang w:eastAsia="en-US"/>
        </w:rPr>
        <w:t>^ The Chief Finance Officer was acting Deputy Director-General, Corporate Services from 5 October 2021 to 6 March 2022.</w:t>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r>
      <w:r w:rsidR="00DD09A8" w:rsidRPr="00BD77D8">
        <w:rPr>
          <w:rFonts w:eastAsia="Arial"/>
          <w:sz w:val="16"/>
          <w:szCs w:val="16"/>
          <w:lang w:eastAsia="en-US"/>
        </w:rPr>
        <w:tab/>
        <w:t>Page 35 of 45</w:t>
      </w:r>
    </w:p>
    <w:p w14:paraId="1C2B957F" w14:textId="77777777" w:rsidR="00B9311E" w:rsidRPr="00BD77D8" w:rsidRDefault="00B9311E" w:rsidP="00B9311E">
      <w:pPr>
        <w:spacing w:after="0" w:line="206" w:lineRule="exact"/>
        <w:textAlignment w:val="baseline"/>
        <w:rPr>
          <w:rFonts w:eastAsia="Arial"/>
          <w:b/>
          <w:sz w:val="16"/>
          <w:szCs w:val="16"/>
          <w:lang w:eastAsia="en-US"/>
        </w:rPr>
      </w:pPr>
      <w:r w:rsidRPr="00BD77D8">
        <w:rPr>
          <w:rFonts w:eastAsia="Arial"/>
          <w:sz w:val="16"/>
          <w:szCs w:val="16"/>
          <w:lang w:eastAsia="en-US"/>
        </w:rPr>
        <w:t># The Director Financial Management, which is a non KMP position, was acting as Chief Finance Officer from 29 September 2021 to 6 March 2022.</w:t>
      </w:r>
    </w:p>
    <w:p w14:paraId="435B7100" w14:textId="77777777" w:rsidR="007150A3" w:rsidRPr="00BD77D8" w:rsidRDefault="007150A3" w:rsidP="00B9311E">
      <w:pPr>
        <w:spacing w:after="0" w:line="206" w:lineRule="exact"/>
        <w:textAlignment w:val="baseline"/>
        <w:rPr>
          <w:rFonts w:eastAsia="Arial"/>
          <w:b/>
          <w:bCs/>
          <w:sz w:val="18"/>
          <w:szCs w:val="18"/>
          <w:lang w:eastAsia="en-US"/>
        </w:rPr>
      </w:pPr>
    </w:p>
    <w:p w14:paraId="4F12EA53" w14:textId="6A546960"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Department of Seniors, Disability Services and Aboriginal and Torres Strait Islander Partnerships</w:t>
      </w:r>
    </w:p>
    <w:p w14:paraId="23B44D0B"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56FC5F22"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ADA87C6" w14:textId="77777777" w:rsidR="00B9311E" w:rsidRPr="00BD77D8" w:rsidRDefault="00B9311E" w:rsidP="00B9311E">
      <w:pPr>
        <w:pBdr>
          <w:bottom w:val="single" w:sz="4" w:space="1" w:color="auto"/>
        </w:pBdr>
        <w:spacing w:after="0" w:line="206" w:lineRule="exact"/>
        <w:textAlignment w:val="baseline"/>
        <w:rPr>
          <w:rFonts w:eastAsia="Arial"/>
          <w:b/>
          <w:bCs/>
          <w:sz w:val="18"/>
          <w:szCs w:val="18"/>
          <w:lang w:eastAsia="en-US"/>
        </w:rPr>
      </w:pPr>
    </w:p>
    <w:p w14:paraId="7CA5523A" w14:textId="77777777" w:rsidR="00B9311E" w:rsidRPr="00BD77D8" w:rsidRDefault="00B9311E" w:rsidP="00727CAE">
      <w:pPr>
        <w:spacing w:before="200" w:line="180" w:lineRule="atLeast"/>
        <w:textAlignment w:val="baseline"/>
        <w:rPr>
          <w:rFonts w:eastAsia="Arial"/>
          <w:b/>
          <w:bCs/>
          <w:sz w:val="22"/>
          <w:szCs w:val="22"/>
          <w:lang w:eastAsia="en-US"/>
        </w:rPr>
      </w:pPr>
      <w:r w:rsidRPr="00BD77D8">
        <w:rPr>
          <w:rFonts w:eastAsia="Arial"/>
          <w:b/>
          <w:bCs/>
          <w:sz w:val="22"/>
          <w:szCs w:val="22"/>
          <w:lang w:eastAsia="en-US"/>
        </w:rPr>
        <w:t>F1 Key Management Personnel Disclosures (continued)</w:t>
      </w:r>
    </w:p>
    <w:p w14:paraId="44455636" w14:textId="77777777" w:rsidR="00B9311E" w:rsidRPr="00BD77D8" w:rsidRDefault="00B9311E" w:rsidP="00727CAE">
      <w:pPr>
        <w:spacing w:line="180" w:lineRule="atLeast"/>
        <w:textAlignment w:val="baseline"/>
        <w:rPr>
          <w:rFonts w:eastAsia="PMingLiU"/>
          <w:b/>
          <w:bCs/>
          <w:sz w:val="18"/>
          <w:szCs w:val="22"/>
          <w:lang w:val="en-US" w:eastAsia="en-US"/>
        </w:rPr>
      </w:pPr>
      <w:r w:rsidRPr="00BD77D8">
        <w:rPr>
          <w:rFonts w:eastAsia="Arial"/>
          <w:b/>
          <w:bCs/>
          <w:spacing w:val="1"/>
          <w:sz w:val="18"/>
          <w:szCs w:val="18"/>
          <w:lang w:eastAsia="en-US"/>
        </w:rPr>
        <w:t>F1-1 Details of Key Management Personnel and Remuneration Expense (continued)</w:t>
      </w:r>
    </w:p>
    <w:p w14:paraId="04F25036" w14:textId="77777777" w:rsidR="00B9311E" w:rsidRPr="00BD77D8" w:rsidRDefault="00B9311E" w:rsidP="00B9311E">
      <w:pPr>
        <w:spacing w:after="0" w:line="20" w:lineRule="exact"/>
        <w:rPr>
          <w:rFonts w:eastAsia="PMingLiU"/>
          <w:sz w:val="18"/>
          <w:szCs w:val="22"/>
          <w:lang w:val="en-US" w:eastAsia="en-US"/>
        </w:rPr>
      </w:pPr>
    </w:p>
    <w:tbl>
      <w:tblPr>
        <w:tblW w:w="0" w:type="auto"/>
        <w:tblCellMar>
          <w:left w:w="57" w:type="dxa"/>
          <w:right w:w="0" w:type="dxa"/>
        </w:tblCellMar>
        <w:tblLook w:val="04A0" w:firstRow="1" w:lastRow="0" w:firstColumn="1" w:lastColumn="0" w:noHBand="0" w:noVBand="1"/>
      </w:tblPr>
      <w:tblGrid>
        <w:gridCol w:w="6920"/>
        <w:gridCol w:w="1310"/>
        <w:gridCol w:w="1430"/>
        <w:gridCol w:w="1670"/>
        <w:gridCol w:w="1572"/>
        <w:gridCol w:w="1383"/>
        <w:gridCol w:w="1193"/>
      </w:tblGrid>
      <w:tr w:rsidR="00BD77D8" w:rsidRPr="00BD77D8" w14:paraId="343BBD37" w14:textId="77777777" w:rsidTr="003057FB">
        <w:trPr>
          <w:trHeight w:val="477"/>
        </w:trPr>
        <w:tc>
          <w:tcPr>
            <w:tcW w:w="0" w:type="auto"/>
            <w:tcBorders>
              <w:top w:val="nil"/>
              <w:left w:val="nil"/>
              <w:bottom w:val="nil"/>
              <w:right w:val="nil"/>
            </w:tcBorders>
            <w:shd w:val="clear" w:color="auto" w:fill="auto"/>
            <w:noWrap/>
            <w:vAlign w:val="center"/>
            <w:hideMark/>
          </w:tcPr>
          <w:p w14:paraId="5EFBD83E" w14:textId="77777777" w:rsidR="00B9311E" w:rsidRPr="00BD77D8" w:rsidRDefault="00B9311E" w:rsidP="00B9311E">
            <w:pPr>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shd w:val="clear" w:color="auto" w:fill="auto"/>
            <w:vAlign w:val="center"/>
            <w:hideMark/>
          </w:tcPr>
          <w:p w14:paraId="7EA3BE4D" w14:textId="77777777" w:rsidR="00B9311E" w:rsidRPr="00BD77D8" w:rsidRDefault="00B9311E" w:rsidP="00B9311E">
            <w:pPr>
              <w:spacing w:after="0" w:line="240" w:lineRule="auto"/>
              <w:jc w:val="center"/>
              <w:rPr>
                <w:b/>
                <w:bCs/>
                <w:sz w:val="18"/>
                <w:szCs w:val="18"/>
              </w:rPr>
            </w:pPr>
            <w:r w:rsidRPr="00BD77D8">
              <w:rPr>
                <w:b/>
                <w:bCs/>
                <w:sz w:val="18"/>
                <w:szCs w:val="18"/>
              </w:rPr>
              <w:t xml:space="preserve"> Short Term Employee Expenses </w:t>
            </w:r>
          </w:p>
        </w:tc>
        <w:tc>
          <w:tcPr>
            <w:tcW w:w="0" w:type="auto"/>
            <w:gridSpan w:val="3"/>
            <w:tcBorders>
              <w:top w:val="nil"/>
              <w:left w:val="nil"/>
              <w:bottom w:val="nil"/>
              <w:right w:val="nil"/>
            </w:tcBorders>
            <w:shd w:val="clear" w:color="auto" w:fill="auto"/>
            <w:vAlign w:val="center"/>
            <w:hideMark/>
          </w:tcPr>
          <w:p w14:paraId="6AC892DF" w14:textId="77777777" w:rsidR="00B9311E" w:rsidRPr="00BD77D8" w:rsidRDefault="00B9311E" w:rsidP="00B9311E">
            <w:pPr>
              <w:spacing w:after="0" w:line="240" w:lineRule="auto"/>
              <w:jc w:val="center"/>
              <w:rPr>
                <w:b/>
                <w:bCs/>
                <w:sz w:val="18"/>
                <w:szCs w:val="18"/>
              </w:rPr>
            </w:pPr>
            <w:r w:rsidRPr="00BD77D8">
              <w:rPr>
                <w:b/>
                <w:bCs/>
                <w:sz w:val="18"/>
                <w:szCs w:val="18"/>
              </w:rPr>
              <w:t xml:space="preserve"> Other Employee Benefits </w:t>
            </w:r>
          </w:p>
        </w:tc>
        <w:tc>
          <w:tcPr>
            <w:tcW w:w="0" w:type="auto"/>
            <w:tcBorders>
              <w:top w:val="nil"/>
              <w:left w:val="nil"/>
              <w:bottom w:val="nil"/>
              <w:right w:val="nil"/>
            </w:tcBorders>
            <w:shd w:val="clear" w:color="auto" w:fill="auto"/>
            <w:vAlign w:val="center"/>
            <w:hideMark/>
          </w:tcPr>
          <w:p w14:paraId="2BB75B71" w14:textId="77777777" w:rsidR="00B9311E" w:rsidRPr="00BD77D8" w:rsidRDefault="00B9311E" w:rsidP="00B9311E">
            <w:pPr>
              <w:spacing w:after="0" w:line="240" w:lineRule="auto"/>
              <w:jc w:val="center"/>
              <w:rPr>
                <w:b/>
                <w:bCs/>
                <w:sz w:val="18"/>
                <w:szCs w:val="18"/>
              </w:rPr>
            </w:pPr>
          </w:p>
        </w:tc>
      </w:tr>
      <w:tr w:rsidR="00BD77D8" w:rsidRPr="00BD77D8" w14:paraId="45970796" w14:textId="77777777" w:rsidTr="003057FB">
        <w:trPr>
          <w:trHeight w:val="636"/>
        </w:trPr>
        <w:tc>
          <w:tcPr>
            <w:tcW w:w="0" w:type="auto"/>
            <w:tcBorders>
              <w:top w:val="nil"/>
              <w:left w:val="nil"/>
              <w:bottom w:val="nil"/>
              <w:right w:val="nil"/>
            </w:tcBorders>
            <w:shd w:val="clear" w:color="auto" w:fill="auto"/>
            <w:vAlign w:val="center"/>
            <w:hideMark/>
          </w:tcPr>
          <w:p w14:paraId="72D6C58A" w14:textId="77777777" w:rsidR="00B9311E" w:rsidRPr="00BD77D8" w:rsidRDefault="00B9311E" w:rsidP="00B9311E">
            <w:pPr>
              <w:spacing w:after="0" w:line="240" w:lineRule="auto"/>
              <w:rPr>
                <w:b/>
                <w:bCs/>
                <w:sz w:val="18"/>
                <w:szCs w:val="18"/>
              </w:rPr>
            </w:pPr>
            <w:r w:rsidRPr="00BD77D8">
              <w:rPr>
                <w:b/>
                <w:bCs/>
                <w:sz w:val="18"/>
                <w:szCs w:val="18"/>
              </w:rPr>
              <w:t xml:space="preserve"> 1 December 2020 - 30 June 2021 </w:t>
            </w:r>
          </w:p>
        </w:tc>
        <w:tc>
          <w:tcPr>
            <w:tcW w:w="0" w:type="auto"/>
            <w:tcBorders>
              <w:top w:val="nil"/>
              <w:left w:val="nil"/>
              <w:bottom w:val="nil"/>
              <w:right w:val="nil"/>
            </w:tcBorders>
            <w:shd w:val="clear" w:color="auto" w:fill="auto"/>
            <w:vAlign w:val="center"/>
            <w:hideMark/>
          </w:tcPr>
          <w:p w14:paraId="346521D0" w14:textId="77777777" w:rsidR="00B9311E" w:rsidRPr="00BD77D8" w:rsidRDefault="00B9311E" w:rsidP="00B9311E">
            <w:pPr>
              <w:spacing w:after="0" w:line="240" w:lineRule="auto"/>
              <w:jc w:val="center"/>
              <w:rPr>
                <w:b/>
                <w:bCs/>
                <w:sz w:val="18"/>
                <w:szCs w:val="18"/>
              </w:rPr>
            </w:pPr>
            <w:r w:rsidRPr="00BD77D8">
              <w:rPr>
                <w:b/>
                <w:bCs/>
                <w:sz w:val="18"/>
                <w:szCs w:val="18"/>
              </w:rPr>
              <w:t>Monetary Expenses</w:t>
            </w:r>
          </w:p>
        </w:tc>
        <w:tc>
          <w:tcPr>
            <w:tcW w:w="0" w:type="auto"/>
            <w:tcBorders>
              <w:top w:val="nil"/>
              <w:left w:val="nil"/>
              <w:bottom w:val="nil"/>
              <w:right w:val="nil"/>
            </w:tcBorders>
            <w:shd w:val="clear" w:color="auto" w:fill="auto"/>
            <w:vAlign w:val="center"/>
            <w:hideMark/>
          </w:tcPr>
          <w:p w14:paraId="26CF0AF2"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Non Monetary</w:t>
            </w:r>
            <w:proofErr w:type="spellEnd"/>
            <w:r w:rsidRPr="00BD77D8">
              <w:rPr>
                <w:b/>
                <w:bCs/>
                <w:sz w:val="18"/>
                <w:szCs w:val="18"/>
              </w:rPr>
              <w:t xml:space="preserve"> Benefits</w:t>
            </w:r>
          </w:p>
        </w:tc>
        <w:tc>
          <w:tcPr>
            <w:tcW w:w="0" w:type="auto"/>
            <w:tcBorders>
              <w:top w:val="nil"/>
              <w:left w:val="nil"/>
              <w:bottom w:val="nil"/>
              <w:right w:val="nil"/>
            </w:tcBorders>
            <w:shd w:val="clear" w:color="auto" w:fill="auto"/>
            <w:vAlign w:val="center"/>
            <w:hideMark/>
          </w:tcPr>
          <w:p w14:paraId="6FE3AC58" w14:textId="77777777" w:rsidR="00B9311E" w:rsidRPr="00BD77D8" w:rsidRDefault="00B9311E" w:rsidP="00B9311E">
            <w:pPr>
              <w:spacing w:after="0" w:line="240" w:lineRule="auto"/>
              <w:jc w:val="center"/>
              <w:rPr>
                <w:b/>
                <w:bCs/>
                <w:sz w:val="18"/>
                <w:szCs w:val="18"/>
              </w:rPr>
            </w:pPr>
            <w:r w:rsidRPr="00BD77D8">
              <w:rPr>
                <w:b/>
                <w:bCs/>
                <w:sz w:val="18"/>
                <w:szCs w:val="18"/>
              </w:rPr>
              <w:t>Long Term Employee Expenses</w:t>
            </w:r>
          </w:p>
        </w:tc>
        <w:tc>
          <w:tcPr>
            <w:tcW w:w="0" w:type="auto"/>
            <w:tcBorders>
              <w:top w:val="nil"/>
              <w:left w:val="nil"/>
              <w:bottom w:val="nil"/>
              <w:right w:val="nil"/>
            </w:tcBorders>
            <w:shd w:val="clear" w:color="auto" w:fill="auto"/>
            <w:vAlign w:val="center"/>
            <w:hideMark/>
          </w:tcPr>
          <w:p w14:paraId="0C57A249"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Post Employment</w:t>
            </w:r>
            <w:proofErr w:type="spellEnd"/>
            <w:r w:rsidRPr="00BD77D8">
              <w:rPr>
                <w:b/>
                <w:bCs/>
                <w:sz w:val="18"/>
                <w:szCs w:val="18"/>
              </w:rPr>
              <w:t xml:space="preserve"> Expenses</w:t>
            </w:r>
          </w:p>
        </w:tc>
        <w:tc>
          <w:tcPr>
            <w:tcW w:w="0" w:type="auto"/>
            <w:tcBorders>
              <w:top w:val="nil"/>
              <w:left w:val="nil"/>
              <w:bottom w:val="nil"/>
              <w:right w:val="nil"/>
            </w:tcBorders>
            <w:shd w:val="clear" w:color="auto" w:fill="auto"/>
            <w:vAlign w:val="center"/>
            <w:hideMark/>
          </w:tcPr>
          <w:p w14:paraId="18F976CE" w14:textId="77777777" w:rsidR="00B9311E" w:rsidRPr="00BD77D8" w:rsidRDefault="00B9311E" w:rsidP="00B9311E">
            <w:pPr>
              <w:spacing w:after="0" w:line="240" w:lineRule="auto"/>
              <w:jc w:val="center"/>
              <w:rPr>
                <w:b/>
                <w:bCs/>
                <w:sz w:val="18"/>
                <w:szCs w:val="18"/>
              </w:rPr>
            </w:pPr>
            <w:r w:rsidRPr="00BD77D8">
              <w:rPr>
                <w:b/>
                <w:bCs/>
                <w:sz w:val="18"/>
                <w:szCs w:val="18"/>
              </w:rPr>
              <w:t>Termination Benefits</w:t>
            </w:r>
          </w:p>
        </w:tc>
        <w:tc>
          <w:tcPr>
            <w:tcW w:w="0" w:type="auto"/>
            <w:tcBorders>
              <w:top w:val="nil"/>
              <w:left w:val="nil"/>
              <w:bottom w:val="nil"/>
              <w:right w:val="nil"/>
            </w:tcBorders>
            <w:shd w:val="clear" w:color="auto" w:fill="auto"/>
            <w:vAlign w:val="center"/>
            <w:hideMark/>
          </w:tcPr>
          <w:p w14:paraId="354F7DBA" w14:textId="77777777" w:rsidR="00B9311E" w:rsidRPr="00BD77D8" w:rsidRDefault="00B9311E" w:rsidP="00B9311E">
            <w:pPr>
              <w:spacing w:after="0" w:line="240" w:lineRule="auto"/>
              <w:jc w:val="center"/>
              <w:rPr>
                <w:b/>
                <w:bCs/>
                <w:sz w:val="18"/>
                <w:szCs w:val="18"/>
              </w:rPr>
            </w:pPr>
            <w:r w:rsidRPr="00BD77D8">
              <w:rPr>
                <w:b/>
                <w:bCs/>
                <w:sz w:val="18"/>
                <w:szCs w:val="18"/>
              </w:rPr>
              <w:t>Total Expenses</w:t>
            </w:r>
          </w:p>
        </w:tc>
      </w:tr>
      <w:tr w:rsidR="00BD77D8" w:rsidRPr="00BD77D8" w14:paraId="5603F50A" w14:textId="77777777" w:rsidTr="003057FB">
        <w:trPr>
          <w:trHeight w:val="251"/>
        </w:trPr>
        <w:tc>
          <w:tcPr>
            <w:tcW w:w="0" w:type="auto"/>
            <w:tcBorders>
              <w:top w:val="nil"/>
              <w:left w:val="nil"/>
              <w:bottom w:val="nil"/>
              <w:right w:val="nil"/>
            </w:tcBorders>
            <w:shd w:val="clear" w:color="auto" w:fill="auto"/>
            <w:vAlign w:val="center"/>
            <w:hideMark/>
          </w:tcPr>
          <w:p w14:paraId="4E0AD61D" w14:textId="77777777" w:rsidR="00B9311E" w:rsidRPr="00BD77D8" w:rsidRDefault="00B9311E" w:rsidP="00B9311E">
            <w:pPr>
              <w:spacing w:after="0" w:line="240" w:lineRule="auto"/>
              <w:rPr>
                <w:b/>
                <w:bCs/>
                <w:sz w:val="18"/>
                <w:szCs w:val="18"/>
              </w:rPr>
            </w:pPr>
            <w:r w:rsidRPr="00BD77D8">
              <w:rPr>
                <w:b/>
                <w:bCs/>
                <w:sz w:val="18"/>
                <w:szCs w:val="18"/>
              </w:rPr>
              <w:t xml:space="preserve"> Position </w:t>
            </w:r>
          </w:p>
        </w:tc>
        <w:tc>
          <w:tcPr>
            <w:tcW w:w="0" w:type="auto"/>
            <w:tcBorders>
              <w:top w:val="nil"/>
              <w:left w:val="nil"/>
              <w:bottom w:val="single" w:sz="4" w:space="0" w:color="auto"/>
              <w:right w:val="nil"/>
            </w:tcBorders>
            <w:shd w:val="clear" w:color="auto" w:fill="auto"/>
            <w:noWrap/>
            <w:vAlign w:val="center"/>
            <w:hideMark/>
          </w:tcPr>
          <w:p w14:paraId="10C5017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70D5C70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5442775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14E85BC9"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3115DD13"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2ECEFE7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673AD1A3" w14:textId="77777777" w:rsidTr="003057FB">
        <w:trPr>
          <w:trHeight w:val="251"/>
        </w:trPr>
        <w:tc>
          <w:tcPr>
            <w:tcW w:w="0" w:type="auto"/>
            <w:tcBorders>
              <w:top w:val="nil"/>
              <w:left w:val="nil"/>
              <w:bottom w:val="nil"/>
              <w:right w:val="nil"/>
            </w:tcBorders>
            <w:shd w:val="clear" w:color="auto" w:fill="auto"/>
            <w:noWrap/>
            <w:vAlign w:val="center"/>
            <w:hideMark/>
          </w:tcPr>
          <w:p w14:paraId="70DC5F1D" w14:textId="77777777" w:rsidR="00B9311E" w:rsidRPr="00BD77D8" w:rsidRDefault="00B9311E" w:rsidP="00B9311E">
            <w:pPr>
              <w:spacing w:after="0" w:line="240" w:lineRule="auto"/>
              <w:rPr>
                <w:sz w:val="18"/>
                <w:szCs w:val="18"/>
              </w:rPr>
            </w:pPr>
            <w:r w:rsidRPr="00BD77D8">
              <w:rPr>
                <w:sz w:val="18"/>
                <w:szCs w:val="18"/>
              </w:rPr>
              <w:t xml:space="preserve"> Director-General </w:t>
            </w:r>
          </w:p>
        </w:tc>
        <w:tc>
          <w:tcPr>
            <w:tcW w:w="0" w:type="auto"/>
            <w:tcBorders>
              <w:top w:val="nil"/>
              <w:left w:val="nil"/>
              <w:bottom w:val="nil"/>
              <w:right w:val="nil"/>
            </w:tcBorders>
            <w:shd w:val="clear" w:color="auto" w:fill="auto"/>
            <w:noWrap/>
            <w:vAlign w:val="center"/>
            <w:hideMark/>
          </w:tcPr>
          <w:p w14:paraId="5139DD9C" w14:textId="77777777" w:rsidR="00B9311E" w:rsidRPr="00BD77D8" w:rsidRDefault="00B9311E" w:rsidP="00B9311E">
            <w:pPr>
              <w:spacing w:after="0" w:line="240" w:lineRule="auto"/>
              <w:jc w:val="right"/>
              <w:rPr>
                <w:sz w:val="18"/>
                <w:szCs w:val="18"/>
              </w:rPr>
            </w:pPr>
            <w:r w:rsidRPr="00BD77D8">
              <w:rPr>
                <w:sz w:val="18"/>
                <w:szCs w:val="18"/>
              </w:rPr>
              <w:t xml:space="preserve">               279 </w:t>
            </w:r>
          </w:p>
        </w:tc>
        <w:tc>
          <w:tcPr>
            <w:tcW w:w="0" w:type="auto"/>
            <w:tcBorders>
              <w:top w:val="nil"/>
              <w:left w:val="nil"/>
              <w:bottom w:val="nil"/>
              <w:right w:val="nil"/>
            </w:tcBorders>
            <w:shd w:val="clear" w:color="auto" w:fill="auto"/>
            <w:noWrap/>
            <w:vAlign w:val="center"/>
            <w:hideMark/>
          </w:tcPr>
          <w:p w14:paraId="33F7901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B5FF489" w14:textId="77777777" w:rsidR="00B9311E" w:rsidRPr="00BD77D8" w:rsidRDefault="00B9311E" w:rsidP="00B9311E">
            <w:pPr>
              <w:spacing w:after="0" w:line="240" w:lineRule="auto"/>
              <w:jc w:val="right"/>
              <w:rPr>
                <w:sz w:val="18"/>
                <w:szCs w:val="18"/>
              </w:rPr>
            </w:pPr>
            <w:r w:rsidRPr="00BD77D8">
              <w:rPr>
                <w:sz w:val="18"/>
                <w:szCs w:val="18"/>
              </w:rPr>
              <w:t xml:space="preserve">                    7 </w:t>
            </w:r>
          </w:p>
        </w:tc>
        <w:tc>
          <w:tcPr>
            <w:tcW w:w="0" w:type="auto"/>
            <w:tcBorders>
              <w:top w:val="nil"/>
              <w:left w:val="nil"/>
              <w:bottom w:val="nil"/>
              <w:right w:val="nil"/>
            </w:tcBorders>
            <w:shd w:val="clear" w:color="auto" w:fill="auto"/>
            <w:noWrap/>
            <w:vAlign w:val="center"/>
            <w:hideMark/>
          </w:tcPr>
          <w:p w14:paraId="6B35035C" w14:textId="77777777" w:rsidR="00B9311E" w:rsidRPr="00BD77D8" w:rsidRDefault="00B9311E" w:rsidP="00B9311E">
            <w:pPr>
              <w:spacing w:after="0" w:line="240" w:lineRule="auto"/>
              <w:jc w:val="right"/>
              <w:rPr>
                <w:sz w:val="18"/>
                <w:szCs w:val="18"/>
              </w:rPr>
            </w:pPr>
            <w:r w:rsidRPr="00BD77D8">
              <w:rPr>
                <w:sz w:val="18"/>
                <w:szCs w:val="18"/>
              </w:rPr>
              <w:t xml:space="preserve">                 34 </w:t>
            </w:r>
          </w:p>
        </w:tc>
        <w:tc>
          <w:tcPr>
            <w:tcW w:w="0" w:type="auto"/>
            <w:tcBorders>
              <w:top w:val="nil"/>
              <w:left w:val="nil"/>
              <w:bottom w:val="nil"/>
              <w:right w:val="nil"/>
            </w:tcBorders>
            <w:shd w:val="clear" w:color="auto" w:fill="auto"/>
            <w:noWrap/>
            <w:vAlign w:val="center"/>
            <w:hideMark/>
          </w:tcPr>
          <w:p w14:paraId="6BCEC73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76BDB7A3" w14:textId="77777777" w:rsidR="00B9311E" w:rsidRPr="00BD77D8" w:rsidRDefault="00B9311E" w:rsidP="00B9311E">
            <w:pPr>
              <w:spacing w:after="0" w:line="240" w:lineRule="auto"/>
              <w:jc w:val="right"/>
              <w:rPr>
                <w:sz w:val="18"/>
                <w:szCs w:val="18"/>
              </w:rPr>
            </w:pPr>
            <w:r w:rsidRPr="00BD77D8">
              <w:rPr>
                <w:sz w:val="18"/>
                <w:szCs w:val="18"/>
              </w:rPr>
              <w:t xml:space="preserve">               322 </w:t>
            </w:r>
          </w:p>
        </w:tc>
      </w:tr>
      <w:tr w:rsidR="00BD77D8" w:rsidRPr="00BD77D8" w14:paraId="371029AC" w14:textId="77777777" w:rsidTr="003057FB">
        <w:trPr>
          <w:trHeight w:val="251"/>
        </w:trPr>
        <w:tc>
          <w:tcPr>
            <w:tcW w:w="0" w:type="auto"/>
            <w:tcBorders>
              <w:top w:val="nil"/>
              <w:left w:val="nil"/>
              <w:bottom w:val="nil"/>
              <w:right w:val="nil"/>
            </w:tcBorders>
            <w:shd w:val="clear" w:color="auto" w:fill="auto"/>
            <w:noWrap/>
            <w:vAlign w:val="center"/>
            <w:hideMark/>
          </w:tcPr>
          <w:p w14:paraId="568949EF" w14:textId="77777777" w:rsidR="00B9311E" w:rsidRPr="00BD77D8" w:rsidRDefault="00B9311E" w:rsidP="00B9311E">
            <w:pPr>
              <w:spacing w:after="0" w:line="240" w:lineRule="auto"/>
              <w:rPr>
                <w:sz w:val="18"/>
                <w:szCs w:val="18"/>
              </w:rPr>
            </w:pPr>
            <w:r w:rsidRPr="00BD77D8">
              <w:rPr>
                <w:sz w:val="18"/>
                <w:szCs w:val="18"/>
              </w:rPr>
              <w:t xml:space="preserve"> Associate Director-General Seniors and Disability Services </w:t>
            </w:r>
          </w:p>
        </w:tc>
        <w:tc>
          <w:tcPr>
            <w:tcW w:w="0" w:type="auto"/>
            <w:tcBorders>
              <w:top w:val="nil"/>
              <w:left w:val="nil"/>
              <w:bottom w:val="nil"/>
              <w:right w:val="nil"/>
            </w:tcBorders>
            <w:shd w:val="clear" w:color="auto" w:fill="auto"/>
            <w:noWrap/>
            <w:vAlign w:val="center"/>
            <w:hideMark/>
          </w:tcPr>
          <w:p w14:paraId="6BE628FE" w14:textId="77777777" w:rsidR="00B9311E" w:rsidRPr="00BD77D8" w:rsidRDefault="00B9311E" w:rsidP="00B9311E">
            <w:pPr>
              <w:spacing w:after="0" w:line="240" w:lineRule="auto"/>
              <w:jc w:val="right"/>
              <w:rPr>
                <w:sz w:val="18"/>
                <w:szCs w:val="18"/>
              </w:rPr>
            </w:pPr>
            <w:r w:rsidRPr="00BD77D8">
              <w:rPr>
                <w:sz w:val="18"/>
                <w:szCs w:val="18"/>
              </w:rPr>
              <w:t xml:space="preserve">               200 </w:t>
            </w:r>
          </w:p>
        </w:tc>
        <w:tc>
          <w:tcPr>
            <w:tcW w:w="0" w:type="auto"/>
            <w:tcBorders>
              <w:top w:val="nil"/>
              <w:left w:val="nil"/>
              <w:bottom w:val="nil"/>
              <w:right w:val="nil"/>
            </w:tcBorders>
            <w:shd w:val="clear" w:color="auto" w:fill="auto"/>
            <w:noWrap/>
            <w:vAlign w:val="center"/>
            <w:hideMark/>
          </w:tcPr>
          <w:p w14:paraId="77BF89F0"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0A1BAB29" w14:textId="77777777" w:rsidR="00B9311E" w:rsidRPr="00BD77D8" w:rsidRDefault="00B9311E" w:rsidP="00B9311E">
            <w:pPr>
              <w:spacing w:after="0" w:line="240" w:lineRule="auto"/>
              <w:jc w:val="right"/>
              <w:rPr>
                <w:sz w:val="18"/>
                <w:szCs w:val="18"/>
              </w:rPr>
            </w:pPr>
            <w:r w:rsidRPr="00BD77D8">
              <w:rPr>
                <w:sz w:val="18"/>
                <w:szCs w:val="18"/>
              </w:rPr>
              <w:t xml:space="preserve">                    4 </w:t>
            </w:r>
          </w:p>
        </w:tc>
        <w:tc>
          <w:tcPr>
            <w:tcW w:w="0" w:type="auto"/>
            <w:tcBorders>
              <w:top w:val="nil"/>
              <w:left w:val="nil"/>
              <w:bottom w:val="nil"/>
              <w:right w:val="nil"/>
            </w:tcBorders>
            <w:shd w:val="clear" w:color="auto" w:fill="auto"/>
            <w:noWrap/>
            <w:vAlign w:val="center"/>
            <w:hideMark/>
          </w:tcPr>
          <w:p w14:paraId="6281F7D1" w14:textId="77777777" w:rsidR="00B9311E" w:rsidRPr="00BD77D8" w:rsidRDefault="00B9311E" w:rsidP="00B9311E">
            <w:pPr>
              <w:spacing w:after="0" w:line="240" w:lineRule="auto"/>
              <w:jc w:val="right"/>
              <w:rPr>
                <w:sz w:val="18"/>
                <w:szCs w:val="18"/>
              </w:rPr>
            </w:pPr>
            <w:r w:rsidRPr="00BD77D8">
              <w:rPr>
                <w:sz w:val="18"/>
                <w:szCs w:val="18"/>
              </w:rPr>
              <w:t xml:space="preserve">                 25 </w:t>
            </w:r>
          </w:p>
        </w:tc>
        <w:tc>
          <w:tcPr>
            <w:tcW w:w="0" w:type="auto"/>
            <w:tcBorders>
              <w:top w:val="nil"/>
              <w:left w:val="nil"/>
              <w:bottom w:val="nil"/>
              <w:right w:val="nil"/>
            </w:tcBorders>
            <w:shd w:val="clear" w:color="auto" w:fill="auto"/>
            <w:noWrap/>
            <w:vAlign w:val="center"/>
            <w:hideMark/>
          </w:tcPr>
          <w:p w14:paraId="2F0D086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20864CF" w14:textId="77777777" w:rsidR="00B9311E" w:rsidRPr="00BD77D8" w:rsidRDefault="00B9311E" w:rsidP="00B9311E">
            <w:pPr>
              <w:spacing w:after="0" w:line="240" w:lineRule="auto"/>
              <w:jc w:val="right"/>
              <w:rPr>
                <w:sz w:val="18"/>
                <w:szCs w:val="18"/>
              </w:rPr>
            </w:pPr>
            <w:r w:rsidRPr="00BD77D8">
              <w:rPr>
                <w:sz w:val="18"/>
                <w:szCs w:val="18"/>
              </w:rPr>
              <w:t xml:space="preserve">               231 </w:t>
            </w:r>
          </w:p>
        </w:tc>
      </w:tr>
      <w:tr w:rsidR="00BD77D8" w:rsidRPr="00BD77D8" w14:paraId="3F97AF78" w14:textId="77777777" w:rsidTr="003057FB">
        <w:trPr>
          <w:trHeight w:val="251"/>
        </w:trPr>
        <w:tc>
          <w:tcPr>
            <w:tcW w:w="0" w:type="auto"/>
            <w:tcBorders>
              <w:top w:val="nil"/>
              <w:left w:val="nil"/>
              <w:bottom w:val="nil"/>
              <w:right w:val="nil"/>
            </w:tcBorders>
            <w:shd w:val="clear" w:color="auto" w:fill="auto"/>
            <w:noWrap/>
            <w:vAlign w:val="center"/>
            <w:hideMark/>
          </w:tcPr>
          <w:p w14:paraId="021B8879" w14:textId="77777777" w:rsidR="00B9311E" w:rsidRPr="00BD77D8" w:rsidRDefault="00B9311E" w:rsidP="00B9311E">
            <w:pPr>
              <w:spacing w:after="0" w:line="240" w:lineRule="auto"/>
              <w:rPr>
                <w:sz w:val="18"/>
                <w:szCs w:val="18"/>
              </w:rPr>
            </w:pPr>
            <w:r w:rsidRPr="00BD77D8">
              <w:rPr>
                <w:sz w:val="18"/>
                <w:szCs w:val="18"/>
              </w:rPr>
              <w:t xml:space="preserve"> Deputy Director-General Culture and Economic Participation </w:t>
            </w:r>
          </w:p>
        </w:tc>
        <w:tc>
          <w:tcPr>
            <w:tcW w:w="0" w:type="auto"/>
            <w:tcBorders>
              <w:top w:val="nil"/>
              <w:left w:val="nil"/>
              <w:bottom w:val="nil"/>
              <w:right w:val="nil"/>
            </w:tcBorders>
            <w:shd w:val="clear" w:color="auto" w:fill="auto"/>
            <w:noWrap/>
            <w:vAlign w:val="center"/>
            <w:hideMark/>
          </w:tcPr>
          <w:p w14:paraId="754F4D64" w14:textId="77777777" w:rsidR="00B9311E" w:rsidRPr="00BD77D8" w:rsidRDefault="00B9311E" w:rsidP="00B9311E">
            <w:pPr>
              <w:spacing w:after="0" w:line="240" w:lineRule="auto"/>
              <w:jc w:val="right"/>
              <w:rPr>
                <w:sz w:val="18"/>
                <w:szCs w:val="18"/>
              </w:rPr>
            </w:pPr>
            <w:r w:rsidRPr="00BD77D8">
              <w:rPr>
                <w:sz w:val="18"/>
                <w:szCs w:val="18"/>
              </w:rPr>
              <w:t xml:space="preserve">               148 </w:t>
            </w:r>
          </w:p>
        </w:tc>
        <w:tc>
          <w:tcPr>
            <w:tcW w:w="0" w:type="auto"/>
            <w:tcBorders>
              <w:top w:val="nil"/>
              <w:left w:val="nil"/>
              <w:bottom w:val="nil"/>
              <w:right w:val="nil"/>
            </w:tcBorders>
            <w:shd w:val="clear" w:color="auto" w:fill="auto"/>
            <w:noWrap/>
            <w:vAlign w:val="center"/>
            <w:hideMark/>
          </w:tcPr>
          <w:p w14:paraId="7E58E173"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2CDEDBE"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21265A55" w14:textId="77777777" w:rsidR="00B9311E" w:rsidRPr="00BD77D8" w:rsidRDefault="00B9311E" w:rsidP="00B9311E">
            <w:pPr>
              <w:spacing w:after="0" w:line="240" w:lineRule="auto"/>
              <w:jc w:val="right"/>
              <w:rPr>
                <w:sz w:val="18"/>
                <w:szCs w:val="18"/>
              </w:rPr>
            </w:pPr>
            <w:r w:rsidRPr="00BD77D8">
              <w:rPr>
                <w:sz w:val="18"/>
                <w:szCs w:val="18"/>
              </w:rPr>
              <w:t xml:space="preserve">                 16 </w:t>
            </w:r>
          </w:p>
        </w:tc>
        <w:tc>
          <w:tcPr>
            <w:tcW w:w="0" w:type="auto"/>
            <w:tcBorders>
              <w:top w:val="nil"/>
              <w:left w:val="nil"/>
              <w:bottom w:val="nil"/>
              <w:right w:val="nil"/>
            </w:tcBorders>
            <w:shd w:val="clear" w:color="auto" w:fill="auto"/>
            <w:noWrap/>
            <w:vAlign w:val="center"/>
            <w:hideMark/>
          </w:tcPr>
          <w:p w14:paraId="57642D3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39279BFB" w14:textId="77777777" w:rsidR="00B9311E" w:rsidRPr="00BD77D8" w:rsidRDefault="00B9311E" w:rsidP="00B9311E">
            <w:pPr>
              <w:spacing w:after="0" w:line="240" w:lineRule="auto"/>
              <w:jc w:val="right"/>
              <w:rPr>
                <w:sz w:val="18"/>
                <w:szCs w:val="18"/>
              </w:rPr>
            </w:pPr>
            <w:r w:rsidRPr="00BD77D8">
              <w:rPr>
                <w:sz w:val="18"/>
                <w:szCs w:val="18"/>
              </w:rPr>
              <w:t xml:space="preserve">               169 </w:t>
            </w:r>
          </w:p>
        </w:tc>
      </w:tr>
      <w:tr w:rsidR="00BD77D8" w:rsidRPr="00BD77D8" w14:paraId="686F2D0D" w14:textId="77777777" w:rsidTr="003057FB">
        <w:trPr>
          <w:trHeight w:val="251"/>
        </w:trPr>
        <w:tc>
          <w:tcPr>
            <w:tcW w:w="0" w:type="auto"/>
            <w:tcBorders>
              <w:top w:val="nil"/>
              <w:left w:val="nil"/>
              <w:bottom w:val="nil"/>
              <w:right w:val="nil"/>
            </w:tcBorders>
            <w:shd w:val="clear" w:color="auto" w:fill="auto"/>
            <w:noWrap/>
            <w:vAlign w:val="center"/>
            <w:hideMark/>
          </w:tcPr>
          <w:p w14:paraId="39336CC8" w14:textId="77777777" w:rsidR="00B9311E" w:rsidRPr="00BD77D8" w:rsidRDefault="00B9311E" w:rsidP="00B9311E">
            <w:pPr>
              <w:spacing w:after="0" w:line="240" w:lineRule="auto"/>
              <w:rPr>
                <w:sz w:val="18"/>
                <w:szCs w:val="18"/>
              </w:rPr>
            </w:pPr>
            <w:r w:rsidRPr="00BD77D8">
              <w:rPr>
                <w:sz w:val="18"/>
                <w:szCs w:val="18"/>
              </w:rPr>
              <w:t xml:space="preserve"> Deputy Director-General Policy &amp; Corporate Services </w:t>
            </w:r>
          </w:p>
        </w:tc>
        <w:tc>
          <w:tcPr>
            <w:tcW w:w="0" w:type="auto"/>
            <w:tcBorders>
              <w:top w:val="nil"/>
              <w:left w:val="nil"/>
              <w:bottom w:val="nil"/>
              <w:right w:val="nil"/>
            </w:tcBorders>
            <w:shd w:val="clear" w:color="auto" w:fill="auto"/>
            <w:noWrap/>
            <w:vAlign w:val="center"/>
            <w:hideMark/>
          </w:tcPr>
          <w:p w14:paraId="04E0F480" w14:textId="77777777" w:rsidR="00B9311E" w:rsidRPr="00BD77D8" w:rsidRDefault="00B9311E" w:rsidP="00B9311E">
            <w:pPr>
              <w:spacing w:after="0" w:line="240" w:lineRule="auto"/>
              <w:jc w:val="right"/>
              <w:rPr>
                <w:sz w:val="18"/>
                <w:szCs w:val="18"/>
              </w:rPr>
            </w:pPr>
            <w:r w:rsidRPr="00BD77D8">
              <w:rPr>
                <w:sz w:val="18"/>
                <w:szCs w:val="18"/>
              </w:rPr>
              <w:t xml:space="preserve">               122 </w:t>
            </w:r>
          </w:p>
        </w:tc>
        <w:tc>
          <w:tcPr>
            <w:tcW w:w="0" w:type="auto"/>
            <w:tcBorders>
              <w:top w:val="nil"/>
              <w:left w:val="nil"/>
              <w:bottom w:val="nil"/>
              <w:right w:val="nil"/>
            </w:tcBorders>
            <w:shd w:val="clear" w:color="auto" w:fill="auto"/>
            <w:noWrap/>
            <w:vAlign w:val="center"/>
            <w:hideMark/>
          </w:tcPr>
          <w:p w14:paraId="45107CAF"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248C2988"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302205B9" w14:textId="77777777" w:rsidR="00B9311E" w:rsidRPr="00BD77D8" w:rsidRDefault="00B9311E" w:rsidP="00B9311E">
            <w:pPr>
              <w:spacing w:after="0" w:line="240" w:lineRule="auto"/>
              <w:jc w:val="right"/>
              <w:rPr>
                <w:sz w:val="18"/>
                <w:szCs w:val="18"/>
              </w:rPr>
            </w:pPr>
            <w:r w:rsidRPr="00BD77D8">
              <w:rPr>
                <w:sz w:val="18"/>
                <w:szCs w:val="18"/>
              </w:rPr>
              <w:t xml:space="preserve">                 14 </w:t>
            </w:r>
          </w:p>
        </w:tc>
        <w:tc>
          <w:tcPr>
            <w:tcW w:w="0" w:type="auto"/>
            <w:tcBorders>
              <w:top w:val="nil"/>
              <w:left w:val="nil"/>
              <w:bottom w:val="nil"/>
              <w:right w:val="nil"/>
            </w:tcBorders>
            <w:shd w:val="clear" w:color="auto" w:fill="auto"/>
            <w:noWrap/>
            <w:vAlign w:val="center"/>
            <w:hideMark/>
          </w:tcPr>
          <w:p w14:paraId="24425058"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1F10F40C" w14:textId="77777777" w:rsidR="00B9311E" w:rsidRPr="00BD77D8" w:rsidRDefault="00B9311E" w:rsidP="00B9311E">
            <w:pPr>
              <w:spacing w:after="0" w:line="240" w:lineRule="auto"/>
              <w:jc w:val="right"/>
              <w:rPr>
                <w:sz w:val="18"/>
                <w:szCs w:val="18"/>
              </w:rPr>
            </w:pPr>
            <w:r w:rsidRPr="00BD77D8">
              <w:rPr>
                <w:sz w:val="18"/>
                <w:szCs w:val="18"/>
              </w:rPr>
              <w:t xml:space="preserve">               141 </w:t>
            </w:r>
          </w:p>
        </w:tc>
      </w:tr>
      <w:tr w:rsidR="00BD77D8" w:rsidRPr="00BD77D8" w14:paraId="76354737" w14:textId="77777777" w:rsidTr="003057FB">
        <w:trPr>
          <w:trHeight w:val="251"/>
        </w:trPr>
        <w:tc>
          <w:tcPr>
            <w:tcW w:w="0" w:type="auto"/>
            <w:tcBorders>
              <w:top w:val="nil"/>
              <w:left w:val="nil"/>
              <w:bottom w:val="nil"/>
              <w:right w:val="nil"/>
            </w:tcBorders>
            <w:shd w:val="clear" w:color="auto" w:fill="auto"/>
            <w:noWrap/>
            <w:vAlign w:val="center"/>
            <w:hideMark/>
          </w:tcPr>
          <w:p w14:paraId="0C202A83" w14:textId="77777777" w:rsidR="00B9311E" w:rsidRPr="00BD77D8" w:rsidRDefault="00B9311E" w:rsidP="00B9311E">
            <w:pPr>
              <w:spacing w:after="0" w:line="240" w:lineRule="auto"/>
              <w:rPr>
                <w:sz w:val="18"/>
                <w:szCs w:val="18"/>
              </w:rPr>
            </w:pPr>
            <w:r w:rsidRPr="00BD77D8">
              <w:rPr>
                <w:sz w:val="18"/>
                <w:szCs w:val="18"/>
              </w:rPr>
              <w:t xml:space="preserve"> Assistant Director-General, Disability and Seniors Connect </w:t>
            </w:r>
          </w:p>
        </w:tc>
        <w:tc>
          <w:tcPr>
            <w:tcW w:w="0" w:type="auto"/>
            <w:tcBorders>
              <w:top w:val="nil"/>
              <w:left w:val="nil"/>
              <w:bottom w:val="nil"/>
              <w:right w:val="nil"/>
            </w:tcBorders>
            <w:shd w:val="clear" w:color="auto" w:fill="auto"/>
            <w:noWrap/>
            <w:vAlign w:val="center"/>
            <w:hideMark/>
          </w:tcPr>
          <w:p w14:paraId="490B8E73" w14:textId="77777777" w:rsidR="00B9311E" w:rsidRPr="00BD77D8" w:rsidRDefault="00B9311E" w:rsidP="00B9311E">
            <w:pPr>
              <w:spacing w:after="0" w:line="240" w:lineRule="auto"/>
              <w:jc w:val="right"/>
              <w:rPr>
                <w:sz w:val="18"/>
                <w:szCs w:val="18"/>
              </w:rPr>
            </w:pPr>
            <w:r w:rsidRPr="00BD77D8">
              <w:rPr>
                <w:sz w:val="18"/>
                <w:szCs w:val="18"/>
              </w:rPr>
              <w:t xml:space="preserve">               120 </w:t>
            </w:r>
          </w:p>
        </w:tc>
        <w:tc>
          <w:tcPr>
            <w:tcW w:w="0" w:type="auto"/>
            <w:tcBorders>
              <w:top w:val="nil"/>
              <w:left w:val="nil"/>
              <w:bottom w:val="nil"/>
              <w:right w:val="nil"/>
            </w:tcBorders>
            <w:shd w:val="clear" w:color="auto" w:fill="auto"/>
            <w:noWrap/>
            <w:vAlign w:val="center"/>
            <w:hideMark/>
          </w:tcPr>
          <w:p w14:paraId="5B64A7B8"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F8324CC"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25276F9E" w14:textId="77777777" w:rsidR="00B9311E" w:rsidRPr="00BD77D8" w:rsidRDefault="00B9311E" w:rsidP="00B9311E">
            <w:pPr>
              <w:spacing w:after="0" w:line="240" w:lineRule="auto"/>
              <w:jc w:val="right"/>
              <w:rPr>
                <w:sz w:val="18"/>
                <w:szCs w:val="18"/>
              </w:rPr>
            </w:pPr>
            <w:r w:rsidRPr="00BD77D8">
              <w:rPr>
                <w:sz w:val="18"/>
                <w:szCs w:val="18"/>
              </w:rPr>
              <w:t xml:space="preserve">                 14 </w:t>
            </w:r>
          </w:p>
        </w:tc>
        <w:tc>
          <w:tcPr>
            <w:tcW w:w="0" w:type="auto"/>
            <w:tcBorders>
              <w:top w:val="nil"/>
              <w:left w:val="nil"/>
              <w:bottom w:val="nil"/>
              <w:right w:val="nil"/>
            </w:tcBorders>
            <w:shd w:val="clear" w:color="auto" w:fill="auto"/>
            <w:noWrap/>
            <w:vAlign w:val="center"/>
            <w:hideMark/>
          </w:tcPr>
          <w:p w14:paraId="74F1BB2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78A53D80" w14:textId="77777777" w:rsidR="00B9311E" w:rsidRPr="00BD77D8" w:rsidRDefault="00B9311E" w:rsidP="00B9311E">
            <w:pPr>
              <w:spacing w:after="0" w:line="240" w:lineRule="auto"/>
              <w:jc w:val="right"/>
              <w:rPr>
                <w:sz w:val="18"/>
                <w:szCs w:val="18"/>
              </w:rPr>
            </w:pPr>
            <w:r w:rsidRPr="00BD77D8">
              <w:rPr>
                <w:sz w:val="18"/>
                <w:szCs w:val="18"/>
              </w:rPr>
              <w:t xml:space="preserve">               139 </w:t>
            </w:r>
          </w:p>
        </w:tc>
      </w:tr>
      <w:tr w:rsidR="00BD77D8" w:rsidRPr="00BD77D8" w14:paraId="2FE00117" w14:textId="77777777" w:rsidTr="003057FB">
        <w:trPr>
          <w:trHeight w:val="251"/>
        </w:trPr>
        <w:tc>
          <w:tcPr>
            <w:tcW w:w="0" w:type="auto"/>
            <w:tcBorders>
              <w:top w:val="nil"/>
              <w:left w:val="nil"/>
              <w:bottom w:val="nil"/>
              <w:right w:val="nil"/>
            </w:tcBorders>
            <w:shd w:val="clear" w:color="auto" w:fill="auto"/>
            <w:noWrap/>
            <w:vAlign w:val="center"/>
            <w:hideMark/>
          </w:tcPr>
          <w:p w14:paraId="74FA0296" w14:textId="77777777" w:rsidR="00B9311E" w:rsidRPr="00BD77D8" w:rsidRDefault="00B9311E" w:rsidP="00B9311E">
            <w:pPr>
              <w:spacing w:after="0" w:line="240" w:lineRule="auto"/>
              <w:rPr>
                <w:sz w:val="18"/>
                <w:szCs w:val="18"/>
              </w:rPr>
            </w:pPr>
            <w:r w:rsidRPr="00BD77D8">
              <w:rPr>
                <w:sz w:val="18"/>
                <w:szCs w:val="18"/>
              </w:rPr>
              <w:t xml:space="preserve"> Assistant Director-General, Disability Accommodation, Respite and Forensic Services  </w:t>
            </w:r>
          </w:p>
        </w:tc>
        <w:tc>
          <w:tcPr>
            <w:tcW w:w="0" w:type="auto"/>
            <w:tcBorders>
              <w:top w:val="nil"/>
              <w:left w:val="nil"/>
              <w:bottom w:val="nil"/>
              <w:right w:val="nil"/>
            </w:tcBorders>
            <w:shd w:val="clear" w:color="auto" w:fill="auto"/>
            <w:noWrap/>
            <w:vAlign w:val="center"/>
            <w:hideMark/>
          </w:tcPr>
          <w:p w14:paraId="36422D34" w14:textId="77777777" w:rsidR="00B9311E" w:rsidRPr="00BD77D8" w:rsidRDefault="00B9311E" w:rsidP="00B9311E">
            <w:pPr>
              <w:spacing w:after="0" w:line="240" w:lineRule="auto"/>
              <w:jc w:val="right"/>
              <w:rPr>
                <w:sz w:val="18"/>
                <w:szCs w:val="18"/>
              </w:rPr>
            </w:pPr>
            <w:r w:rsidRPr="00BD77D8">
              <w:rPr>
                <w:sz w:val="18"/>
                <w:szCs w:val="18"/>
              </w:rPr>
              <w:t xml:space="preserve">               143 </w:t>
            </w:r>
          </w:p>
        </w:tc>
        <w:tc>
          <w:tcPr>
            <w:tcW w:w="0" w:type="auto"/>
            <w:tcBorders>
              <w:top w:val="nil"/>
              <w:left w:val="nil"/>
              <w:bottom w:val="nil"/>
              <w:right w:val="nil"/>
            </w:tcBorders>
            <w:shd w:val="clear" w:color="auto" w:fill="auto"/>
            <w:noWrap/>
            <w:vAlign w:val="center"/>
            <w:hideMark/>
          </w:tcPr>
          <w:p w14:paraId="23CCEF58"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0806D971"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09D068B2" w14:textId="77777777" w:rsidR="00B9311E" w:rsidRPr="00BD77D8" w:rsidRDefault="00B9311E" w:rsidP="00B9311E">
            <w:pPr>
              <w:spacing w:after="0" w:line="240" w:lineRule="auto"/>
              <w:jc w:val="right"/>
              <w:rPr>
                <w:sz w:val="18"/>
                <w:szCs w:val="18"/>
              </w:rPr>
            </w:pPr>
            <w:r w:rsidRPr="00BD77D8">
              <w:rPr>
                <w:sz w:val="18"/>
                <w:szCs w:val="18"/>
              </w:rPr>
              <w:t xml:space="preserve">                 15 </w:t>
            </w:r>
          </w:p>
        </w:tc>
        <w:tc>
          <w:tcPr>
            <w:tcW w:w="0" w:type="auto"/>
            <w:tcBorders>
              <w:top w:val="nil"/>
              <w:left w:val="nil"/>
              <w:bottom w:val="nil"/>
              <w:right w:val="nil"/>
            </w:tcBorders>
            <w:shd w:val="clear" w:color="auto" w:fill="auto"/>
            <w:noWrap/>
            <w:vAlign w:val="center"/>
            <w:hideMark/>
          </w:tcPr>
          <w:p w14:paraId="1B4D215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79042A84" w14:textId="77777777" w:rsidR="00B9311E" w:rsidRPr="00BD77D8" w:rsidRDefault="00B9311E" w:rsidP="00B9311E">
            <w:pPr>
              <w:spacing w:after="0" w:line="240" w:lineRule="auto"/>
              <w:jc w:val="right"/>
              <w:rPr>
                <w:sz w:val="18"/>
                <w:szCs w:val="18"/>
              </w:rPr>
            </w:pPr>
            <w:r w:rsidRPr="00BD77D8">
              <w:rPr>
                <w:sz w:val="18"/>
                <w:szCs w:val="18"/>
              </w:rPr>
              <w:t xml:space="preserve">               163 </w:t>
            </w:r>
          </w:p>
        </w:tc>
      </w:tr>
      <w:tr w:rsidR="00BD77D8" w:rsidRPr="00BD77D8" w14:paraId="04A1A3F8" w14:textId="77777777" w:rsidTr="003057FB">
        <w:trPr>
          <w:trHeight w:val="251"/>
        </w:trPr>
        <w:tc>
          <w:tcPr>
            <w:tcW w:w="0" w:type="auto"/>
            <w:tcBorders>
              <w:top w:val="nil"/>
              <w:left w:val="nil"/>
              <w:bottom w:val="nil"/>
              <w:right w:val="nil"/>
            </w:tcBorders>
            <w:shd w:val="clear" w:color="auto" w:fill="auto"/>
            <w:noWrap/>
            <w:vAlign w:val="center"/>
            <w:hideMark/>
          </w:tcPr>
          <w:p w14:paraId="3F96A200" w14:textId="77777777" w:rsidR="00B9311E" w:rsidRPr="00BD77D8" w:rsidRDefault="00B9311E" w:rsidP="00B9311E">
            <w:pPr>
              <w:spacing w:after="0" w:line="240" w:lineRule="auto"/>
              <w:rPr>
                <w:sz w:val="18"/>
                <w:szCs w:val="18"/>
              </w:rPr>
            </w:pPr>
            <w:r w:rsidRPr="00BD77D8">
              <w:rPr>
                <w:sz w:val="18"/>
                <w:szCs w:val="18"/>
              </w:rPr>
              <w:t xml:space="preserve"> Chief Human Resources Officer </w:t>
            </w:r>
          </w:p>
        </w:tc>
        <w:tc>
          <w:tcPr>
            <w:tcW w:w="0" w:type="auto"/>
            <w:tcBorders>
              <w:top w:val="nil"/>
              <w:left w:val="nil"/>
              <w:bottom w:val="nil"/>
              <w:right w:val="nil"/>
            </w:tcBorders>
            <w:shd w:val="clear" w:color="auto" w:fill="auto"/>
            <w:noWrap/>
            <w:vAlign w:val="center"/>
            <w:hideMark/>
          </w:tcPr>
          <w:p w14:paraId="10D1C141" w14:textId="77777777" w:rsidR="00B9311E" w:rsidRPr="00BD77D8" w:rsidRDefault="00B9311E" w:rsidP="00B9311E">
            <w:pPr>
              <w:spacing w:after="0" w:line="240" w:lineRule="auto"/>
              <w:jc w:val="right"/>
              <w:rPr>
                <w:sz w:val="18"/>
                <w:szCs w:val="18"/>
              </w:rPr>
            </w:pPr>
            <w:r w:rsidRPr="00BD77D8">
              <w:rPr>
                <w:sz w:val="18"/>
                <w:szCs w:val="18"/>
              </w:rPr>
              <w:t xml:space="preserve">               125 </w:t>
            </w:r>
          </w:p>
        </w:tc>
        <w:tc>
          <w:tcPr>
            <w:tcW w:w="0" w:type="auto"/>
            <w:tcBorders>
              <w:top w:val="nil"/>
              <w:left w:val="nil"/>
              <w:bottom w:val="nil"/>
              <w:right w:val="nil"/>
            </w:tcBorders>
            <w:shd w:val="clear" w:color="auto" w:fill="auto"/>
            <w:noWrap/>
            <w:vAlign w:val="center"/>
            <w:hideMark/>
          </w:tcPr>
          <w:p w14:paraId="59EF99A0"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57E5861C"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1B56CB19" w14:textId="77777777" w:rsidR="00B9311E" w:rsidRPr="00BD77D8" w:rsidRDefault="00B9311E" w:rsidP="00B9311E">
            <w:pPr>
              <w:spacing w:after="0" w:line="240" w:lineRule="auto"/>
              <w:jc w:val="right"/>
              <w:rPr>
                <w:sz w:val="18"/>
                <w:szCs w:val="18"/>
              </w:rPr>
            </w:pPr>
            <w:r w:rsidRPr="00BD77D8">
              <w:rPr>
                <w:sz w:val="18"/>
                <w:szCs w:val="18"/>
              </w:rPr>
              <w:t xml:space="preserve">                 13 </w:t>
            </w:r>
          </w:p>
        </w:tc>
        <w:tc>
          <w:tcPr>
            <w:tcW w:w="0" w:type="auto"/>
            <w:tcBorders>
              <w:top w:val="nil"/>
              <w:left w:val="nil"/>
              <w:bottom w:val="nil"/>
              <w:right w:val="nil"/>
            </w:tcBorders>
            <w:shd w:val="clear" w:color="auto" w:fill="auto"/>
            <w:noWrap/>
            <w:vAlign w:val="center"/>
            <w:hideMark/>
          </w:tcPr>
          <w:p w14:paraId="6BBA394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2341F4C" w14:textId="77777777" w:rsidR="00B9311E" w:rsidRPr="00BD77D8" w:rsidRDefault="00B9311E" w:rsidP="00B9311E">
            <w:pPr>
              <w:spacing w:after="0" w:line="240" w:lineRule="auto"/>
              <w:jc w:val="right"/>
              <w:rPr>
                <w:sz w:val="18"/>
                <w:szCs w:val="18"/>
              </w:rPr>
            </w:pPr>
            <w:r w:rsidRPr="00BD77D8">
              <w:rPr>
                <w:sz w:val="18"/>
                <w:szCs w:val="18"/>
              </w:rPr>
              <w:t xml:space="preserve">               143 </w:t>
            </w:r>
          </w:p>
        </w:tc>
      </w:tr>
      <w:tr w:rsidR="00BD77D8" w:rsidRPr="00BD77D8" w14:paraId="5D880FEF" w14:textId="77777777" w:rsidTr="003057FB">
        <w:trPr>
          <w:trHeight w:val="251"/>
        </w:trPr>
        <w:tc>
          <w:tcPr>
            <w:tcW w:w="0" w:type="auto"/>
            <w:tcBorders>
              <w:top w:val="nil"/>
              <w:left w:val="nil"/>
              <w:bottom w:val="nil"/>
              <w:right w:val="nil"/>
            </w:tcBorders>
            <w:shd w:val="clear" w:color="auto" w:fill="auto"/>
            <w:noWrap/>
            <w:vAlign w:val="center"/>
            <w:hideMark/>
          </w:tcPr>
          <w:p w14:paraId="481C1026" w14:textId="77777777" w:rsidR="00B9311E" w:rsidRPr="00BD77D8" w:rsidRDefault="00B9311E" w:rsidP="00B9311E">
            <w:pPr>
              <w:spacing w:after="0" w:line="240" w:lineRule="auto"/>
              <w:rPr>
                <w:sz w:val="18"/>
                <w:szCs w:val="18"/>
              </w:rPr>
            </w:pPr>
            <w:r w:rsidRPr="00BD77D8">
              <w:rPr>
                <w:sz w:val="18"/>
                <w:szCs w:val="18"/>
              </w:rPr>
              <w:t xml:space="preserve"> Chief Finance Officer </w:t>
            </w:r>
          </w:p>
        </w:tc>
        <w:tc>
          <w:tcPr>
            <w:tcW w:w="0" w:type="auto"/>
            <w:tcBorders>
              <w:top w:val="nil"/>
              <w:left w:val="nil"/>
              <w:bottom w:val="nil"/>
              <w:right w:val="nil"/>
            </w:tcBorders>
            <w:shd w:val="clear" w:color="auto" w:fill="auto"/>
            <w:noWrap/>
            <w:vAlign w:val="center"/>
            <w:hideMark/>
          </w:tcPr>
          <w:p w14:paraId="77A45E57" w14:textId="77777777" w:rsidR="00B9311E" w:rsidRPr="00BD77D8" w:rsidRDefault="00B9311E" w:rsidP="00B9311E">
            <w:pPr>
              <w:spacing w:after="0" w:line="240" w:lineRule="auto"/>
              <w:jc w:val="right"/>
              <w:rPr>
                <w:sz w:val="18"/>
                <w:szCs w:val="18"/>
              </w:rPr>
            </w:pPr>
            <w:r w:rsidRPr="00BD77D8">
              <w:rPr>
                <w:sz w:val="18"/>
                <w:szCs w:val="18"/>
              </w:rPr>
              <w:t xml:space="preserve">               120 </w:t>
            </w:r>
          </w:p>
        </w:tc>
        <w:tc>
          <w:tcPr>
            <w:tcW w:w="0" w:type="auto"/>
            <w:tcBorders>
              <w:top w:val="nil"/>
              <w:left w:val="nil"/>
              <w:bottom w:val="nil"/>
              <w:right w:val="nil"/>
            </w:tcBorders>
            <w:shd w:val="clear" w:color="auto" w:fill="auto"/>
            <w:noWrap/>
            <w:vAlign w:val="center"/>
            <w:hideMark/>
          </w:tcPr>
          <w:p w14:paraId="77C415F4"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88B36A4"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4FBBF4F0" w14:textId="77777777" w:rsidR="00B9311E" w:rsidRPr="00BD77D8" w:rsidRDefault="00B9311E" w:rsidP="00B9311E">
            <w:pPr>
              <w:spacing w:after="0" w:line="240" w:lineRule="auto"/>
              <w:jc w:val="right"/>
              <w:rPr>
                <w:sz w:val="18"/>
                <w:szCs w:val="18"/>
              </w:rPr>
            </w:pPr>
            <w:r w:rsidRPr="00BD77D8">
              <w:rPr>
                <w:sz w:val="18"/>
                <w:szCs w:val="18"/>
              </w:rPr>
              <w:t xml:space="preserve">                 13 </w:t>
            </w:r>
          </w:p>
        </w:tc>
        <w:tc>
          <w:tcPr>
            <w:tcW w:w="0" w:type="auto"/>
            <w:tcBorders>
              <w:top w:val="nil"/>
              <w:left w:val="nil"/>
              <w:bottom w:val="nil"/>
              <w:right w:val="nil"/>
            </w:tcBorders>
            <w:shd w:val="clear" w:color="auto" w:fill="auto"/>
            <w:noWrap/>
            <w:vAlign w:val="center"/>
            <w:hideMark/>
          </w:tcPr>
          <w:p w14:paraId="78B0805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6386BB0" w14:textId="77777777" w:rsidR="00B9311E" w:rsidRPr="00BD77D8" w:rsidRDefault="00B9311E" w:rsidP="00B9311E">
            <w:pPr>
              <w:spacing w:after="0" w:line="240" w:lineRule="auto"/>
              <w:jc w:val="right"/>
              <w:rPr>
                <w:sz w:val="18"/>
                <w:szCs w:val="18"/>
              </w:rPr>
            </w:pPr>
            <w:r w:rsidRPr="00BD77D8">
              <w:rPr>
                <w:sz w:val="18"/>
                <w:szCs w:val="18"/>
              </w:rPr>
              <w:t xml:space="preserve">               138 </w:t>
            </w:r>
          </w:p>
        </w:tc>
      </w:tr>
      <w:tr w:rsidR="00BD77D8" w:rsidRPr="00BD77D8" w14:paraId="10E75570" w14:textId="77777777" w:rsidTr="003057FB">
        <w:trPr>
          <w:trHeight w:val="251"/>
        </w:trPr>
        <w:tc>
          <w:tcPr>
            <w:tcW w:w="0" w:type="auto"/>
            <w:tcBorders>
              <w:top w:val="nil"/>
              <w:left w:val="nil"/>
              <w:bottom w:val="nil"/>
              <w:right w:val="nil"/>
            </w:tcBorders>
            <w:shd w:val="clear" w:color="auto" w:fill="auto"/>
            <w:noWrap/>
            <w:vAlign w:val="bottom"/>
            <w:hideMark/>
          </w:tcPr>
          <w:p w14:paraId="47D82B3A"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noWrap/>
            <w:vAlign w:val="bottom"/>
            <w:hideMark/>
          </w:tcPr>
          <w:p w14:paraId="4AFF1D05"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8093790"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4A5549F"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5AC3246"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1A119175"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F05E9CE" w14:textId="77777777" w:rsidR="00B9311E" w:rsidRPr="00BD77D8" w:rsidRDefault="00B9311E" w:rsidP="00B9311E">
            <w:pPr>
              <w:spacing w:after="0" w:line="240" w:lineRule="auto"/>
              <w:rPr>
                <w:rFonts w:ascii="Times New Roman" w:hAnsi="Times New Roman" w:cs="Times New Roman"/>
                <w:sz w:val="20"/>
                <w:szCs w:val="20"/>
              </w:rPr>
            </w:pPr>
          </w:p>
        </w:tc>
      </w:tr>
      <w:tr w:rsidR="00BD77D8" w:rsidRPr="00BD77D8" w14:paraId="68FDFA74" w14:textId="77777777" w:rsidTr="003057FB">
        <w:trPr>
          <w:trHeight w:val="477"/>
        </w:trPr>
        <w:tc>
          <w:tcPr>
            <w:tcW w:w="0" w:type="auto"/>
            <w:tcBorders>
              <w:top w:val="nil"/>
              <w:left w:val="nil"/>
              <w:bottom w:val="nil"/>
              <w:right w:val="nil"/>
            </w:tcBorders>
            <w:shd w:val="clear" w:color="auto" w:fill="auto"/>
            <w:noWrap/>
            <w:vAlign w:val="center"/>
            <w:hideMark/>
          </w:tcPr>
          <w:p w14:paraId="15C555C0" w14:textId="77777777" w:rsidR="00B9311E" w:rsidRPr="00BD77D8" w:rsidRDefault="00B9311E" w:rsidP="00B9311E">
            <w:pPr>
              <w:spacing w:after="0" w:line="240" w:lineRule="auto"/>
              <w:rPr>
                <w:rFonts w:ascii="Times New Roman" w:hAnsi="Times New Roman" w:cs="Times New Roman"/>
                <w:sz w:val="20"/>
                <w:szCs w:val="20"/>
              </w:rPr>
            </w:pPr>
          </w:p>
        </w:tc>
        <w:tc>
          <w:tcPr>
            <w:tcW w:w="0" w:type="auto"/>
            <w:gridSpan w:val="2"/>
            <w:tcBorders>
              <w:top w:val="nil"/>
              <w:left w:val="nil"/>
              <w:bottom w:val="nil"/>
              <w:right w:val="nil"/>
            </w:tcBorders>
            <w:shd w:val="clear" w:color="auto" w:fill="auto"/>
            <w:vAlign w:val="center"/>
            <w:hideMark/>
          </w:tcPr>
          <w:p w14:paraId="4E7752BB" w14:textId="77777777" w:rsidR="00B9311E" w:rsidRPr="00BD77D8" w:rsidRDefault="00B9311E" w:rsidP="00B9311E">
            <w:pPr>
              <w:spacing w:after="0" w:line="240" w:lineRule="auto"/>
              <w:jc w:val="center"/>
              <w:rPr>
                <w:b/>
                <w:bCs/>
                <w:sz w:val="18"/>
                <w:szCs w:val="18"/>
              </w:rPr>
            </w:pPr>
            <w:r w:rsidRPr="00BD77D8">
              <w:rPr>
                <w:b/>
                <w:bCs/>
                <w:sz w:val="18"/>
                <w:szCs w:val="18"/>
              </w:rPr>
              <w:t xml:space="preserve"> Short Term Employee Expenses </w:t>
            </w:r>
          </w:p>
        </w:tc>
        <w:tc>
          <w:tcPr>
            <w:tcW w:w="0" w:type="auto"/>
            <w:gridSpan w:val="3"/>
            <w:tcBorders>
              <w:top w:val="nil"/>
              <w:left w:val="nil"/>
              <w:bottom w:val="nil"/>
              <w:right w:val="nil"/>
            </w:tcBorders>
            <w:shd w:val="clear" w:color="auto" w:fill="auto"/>
            <w:vAlign w:val="center"/>
            <w:hideMark/>
          </w:tcPr>
          <w:p w14:paraId="52ADC1AD" w14:textId="77777777" w:rsidR="00B9311E" w:rsidRPr="00BD77D8" w:rsidRDefault="00B9311E" w:rsidP="00B9311E">
            <w:pPr>
              <w:spacing w:after="0" w:line="240" w:lineRule="auto"/>
              <w:jc w:val="center"/>
              <w:rPr>
                <w:b/>
                <w:bCs/>
                <w:sz w:val="18"/>
                <w:szCs w:val="18"/>
              </w:rPr>
            </w:pPr>
            <w:r w:rsidRPr="00BD77D8">
              <w:rPr>
                <w:b/>
                <w:bCs/>
                <w:sz w:val="18"/>
                <w:szCs w:val="18"/>
              </w:rPr>
              <w:t xml:space="preserve"> Other Employee Benefits </w:t>
            </w:r>
          </w:p>
        </w:tc>
        <w:tc>
          <w:tcPr>
            <w:tcW w:w="0" w:type="auto"/>
            <w:tcBorders>
              <w:top w:val="nil"/>
              <w:left w:val="nil"/>
              <w:bottom w:val="nil"/>
              <w:right w:val="nil"/>
            </w:tcBorders>
            <w:shd w:val="clear" w:color="auto" w:fill="auto"/>
            <w:vAlign w:val="center"/>
            <w:hideMark/>
          </w:tcPr>
          <w:p w14:paraId="6EEBD958" w14:textId="77777777" w:rsidR="00B9311E" w:rsidRPr="00BD77D8" w:rsidRDefault="00B9311E" w:rsidP="00B9311E">
            <w:pPr>
              <w:spacing w:after="0" w:line="240" w:lineRule="auto"/>
              <w:jc w:val="center"/>
              <w:rPr>
                <w:b/>
                <w:bCs/>
                <w:sz w:val="18"/>
                <w:szCs w:val="18"/>
              </w:rPr>
            </w:pPr>
          </w:p>
        </w:tc>
      </w:tr>
      <w:tr w:rsidR="00BD77D8" w:rsidRPr="00BD77D8" w14:paraId="65FE2530" w14:textId="77777777" w:rsidTr="003057FB">
        <w:trPr>
          <w:trHeight w:val="636"/>
        </w:trPr>
        <w:tc>
          <w:tcPr>
            <w:tcW w:w="0" w:type="auto"/>
            <w:tcBorders>
              <w:top w:val="nil"/>
              <w:left w:val="nil"/>
              <w:bottom w:val="nil"/>
              <w:right w:val="nil"/>
            </w:tcBorders>
            <w:shd w:val="clear" w:color="auto" w:fill="auto"/>
            <w:vAlign w:val="center"/>
            <w:hideMark/>
          </w:tcPr>
          <w:p w14:paraId="727E2D26" w14:textId="77777777" w:rsidR="00B9311E" w:rsidRPr="00BD77D8" w:rsidRDefault="00B9311E" w:rsidP="00B9311E">
            <w:pPr>
              <w:spacing w:after="0" w:line="240" w:lineRule="auto"/>
              <w:rPr>
                <w:b/>
                <w:bCs/>
                <w:sz w:val="18"/>
                <w:szCs w:val="18"/>
              </w:rPr>
            </w:pPr>
            <w:r w:rsidRPr="00BD77D8">
              <w:rPr>
                <w:b/>
                <w:bCs/>
                <w:sz w:val="18"/>
                <w:szCs w:val="18"/>
              </w:rPr>
              <w:t xml:space="preserve"> 1 July 2020 - 30 November 2020 </w:t>
            </w:r>
          </w:p>
        </w:tc>
        <w:tc>
          <w:tcPr>
            <w:tcW w:w="0" w:type="auto"/>
            <w:tcBorders>
              <w:top w:val="nil"/>
              <w:left w:val="nil"/>
              <w:bottom w:val="nil"/>
              <w:right w:val="nil"/>
            </w:tcBorders>
            <w:shd w:val="clear" w:color="auto" w:fill="auto"/>
            <w:vAlign w:val="center"/>
            <w:hideMark/>
          </w:tcPr>
          <w:p w14:paraId="6D96F20E" w14:textId="77777777" w:rsidR="00B9311E" w:rsidRPr="00BD77D8" w:rsidRDefault="00B9311E" w:rsidP="00B9311E">
            <w:pPr>
              <w:spacing w:after="0" w:line="240" w:lineRule="auto"/>
              <w:jc w:val="center"/>
              <w:rPr>
                <w:b/>
                <w:bCs/>
                <w:sz w:val="18"/>
                <w:szCs w:val="18"/>
              </w:rPr>
            </w:pPr>
            <w:r w:rsidRPr="00BD77D8">
              <w:rPr>
                <w:b/>
                <w:bCs/>
                <w:sz w:val="18"/>
                <w:szCs w:val="18"/>
              </w:rPr>
              <w:t>Monetary Expenses</w:t>
            </w:r>
          </w:p>
        </w:tc>
        <w:tc>
          <w:tcPr>
            <w:tcW w:w="0" w:type="auto"/>
            <w:tcBorders>
              <w:top w:val="nil"/>
              <w:left w:val="nil"/>
              <w:bottom w:val="nil"/>
              <w:right w:val="nil"/>
            </w:tcBorders>
            <w:shd w:val="clear" w:color="auto" w:fill="auto"/>
            <w:vAlign w:val="center"/>
            <w:hideMark/>
          </w:tcPr>
          <w:p w14:paraId="52D0E89D"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Non Monetary</w:t>
            </w:r>
            <w:proofErr w:type="spellEnd"/>
            <w:r w:rsidRPr="00BD77D8">
              <w:rPr>
                <w:b/>
                <w:bCs/>
                <w:sz w:val="18"/>
                <w:szCs w:val="18"/>
              </w:rPr>
              <w:t xml:space="preserve"> Benefits</w:t>
            </w:r>
          </w:p>
        </w:tc>
        <w:tc>
          <w:tcPr>
            <w:tcW w:w="0" w:type="auto"/>
            <w:tcBorders>
              <w:top w:val="nil"/>
              <w:left w:val="nil"/>
              <w:bottom w:val="nil"/>
              <w:right w:val="nil"/>
            </w:tcBorders>
            <w:shd w:val="clear" w:color="auto" w:fill="auto"/>
            <w:vAlign w:val="center"/>
            <w:hideMark/>
          </w:tcPr>
          <w:p w14:paraId="3378ADAC" w14:textId="77777777" w:rsidR="00B9311E" w:rsidRPr="00BD77D8" w:rsidRDefault="00B9311E" w:rsidP="00B9311E">
            <w:pPr>
              <w:spacing w:after="0" w:line="240" w:lineRule="auto"/>
              <w:jc w:val="center"/>
              <w:rPr>
                <w:b/>
                <w:bCs/>
                <w:sz w:val="18"/>
                <w:szCs w:val="18"/>
              </w:rPr>
            </w:pPr>
            <w:r w:rsidRPr="00BD77D8">
              <w:rPr>
                <w:b/>
                <w:bCs/>
                <w:sz w:val="18"/>
                <w:szCs w:val="18"/>
              </w:rPr>
              <w:t>Long Term Employee Expenses</w:t>
            </w:r>
          </w:p>
        </w:tc>
        <w:tc>
          <w:tcPr>
            <w:tcW w:w="0" w:type="auto"/>
            <w:tcBorders>
              <w:top w:val="nil"/>
              <w:left w:val="nil"/>
              <w:bottom w:val="nil"/>
              <w:right w:val="nil"/>
            </w:tcBorders>
            <w:shd w:val="clear" w:color="auto" w:fill="auto"/>
            <w:vAlign w:val="center"/>
            <w:hideMark/>
          </w:tcPr>
          <w:p w14:paraId="37AB62C5" w14:textId="77777777" w:rsidR="00B9311E" w:rsidRPr="00BD77D8" w:rsidRDefault="00B9311E" w:rsidP="00B9311E">
            <w:pPr>
              <w:spacing w:after="0" w:line="240" w:lineRule="auto"/>
              <w:jc w:val="center"/>
              <w:rPr>
                <w:b/>
                <w:bCs/>
                <w:sz w:val="18"/>
                <w:szCs w:val="18"/>
              </w:rPr>
            </w:pPr>
            <w:proofErr w:type="spellStart"/>
            <w:r w:rsidRPr="00BD77D8">
              <w:rPr>
                <w:b/>
                <w:bCs/>
                <w:sz w:val="18"/>
                <w:szCs w:val="18"/>
              </w:rPr>
              <w:t>Post Employment</w:t>
            </w:r>
            <w:proofErr w:type="spellEnd"/>
            <w:r w:rsidRPr="00BD77D8">
              <w:rPr>
                <w:b/>
                <w:bCs/>
                <w:sz w:val="18"/>
                <w:szCs w:val="18"/>
              </w:rPr>
              <w:t xml:space="preserve"> Expenses</w:t>
            </w:r>
          </w:p>
        </w:tc>
        <w:tc>
          <w:tcPr>
            <w:tcW w:w="0" w:type="auto"/>
            <w:tcBorders>
              <w:top w:val="nil"/>
              <w:left w:val="nil"/>
              <w:bottom w:val="nil"/>
              <w:right w:val="nil"/>
            </w:tcBorders>
            <w:shd w:val="clear" w:color="auto" w:fill="auto"/>
            <w:vAlign w:val="center"/>
            <w:hideMark/>
          </w:tcPr>
          <w:p w14:paraId="44F8FDC0" w14:textId="77777777" w:rsidR="00B9311E" w:rsidRPr="00BD77D8" w:rsidRDefault="00B9311E" w:rsidP="00B9311E">
            <w:pPr>
              <w:spacing w:after="0" w:line="240" w:lineRule="auto"/>
              <w:jc w:val="center"/>
              <w:rPr>
                <w:b/>
                <w:bCs/>
                <w:sz w:val="18"/>
                <w:szCs w:val="18"/>
              </w:rPr>
            </w:pPr>
            <w:r w:rsidRPr="00BD77D8">
              <w:rPr>
                <w:b/>
                <w:bCs/>
                <w:sz w:val="18"/>
                <w:szCs w:val="18"/>
              </w:rPr>
              <w:t>Termination Benefits</w:t>
            </w:r>
          </w:p>
        </w:tc>
        <w:tc>
          <w:tcPr>
            <w:tcW w:w="0" w:type="auto"/>
            <w:tcBorders>
              <w:top w:val="nil"/>
              <w:left w:val="nil"/>
              <w:bottom w:val="nil"/>
              <w:right w:val="nil"/>
            </w:tcBorders>
            <w:shd w:val="clear" w:color="auto" w:fill="auto"/>
            <w:vAlign w:val="center"/>
            <w:hideMark/>
          </w:tcPr>
          <w:p w14:paraId="1F2B94F4" w14:textId="77777777" w:rsidR="00B9311E" w:rsidRPr="00BD77D8" w:rsidRDefault="00B9311E" w:rsidP="00B9311E">
            <w:pPr>
              <w:spacing w:after="0" w:line="240" w:lineRule="auto"/>
              <w:jc w:val="center"/>
              <w:rPr>
                <w:b/>
                <w:bCs/>
                <w:sz w:val="18"/>
                <w:szCs w:val="18"/>
              </w:rPr>
            </w:pPr>
            <w:r w:rsidRPr="00BD77D8">
              <w:rPr>
                <w:b/>
                <w:bCs/>
                <w:sz w:val="18"/>
                <w:szCs w:val="18"/>
              </w:rPr>
              <w:t>Total Expenses</w:t>
            </w:r>
          </w:p>
        </w:tc>
      </w:tr>
      <w:tr w:rsidR="00BD77D8" w:rsidRPr="00BD77D8" w14:paraId="4AE178D9" w14:textId="77777777" w:rsidTr="003057FB">
        <w:trPr>
          <w:trHeight w:val="251"/>
        </w:trPr>
        <w:tc>
          <w:tcPr>
            <w:tcW w:w="0" w:type="auto"/>
            <w:tcBorders>
              <w:top w:val="nil"/>
              <w:left w:val="nil"/>
              <w:bottom w:val="nil"/>
              <w:right w:val="nil"/>
            </w:tcBorders>
            <w:shd w:val="clear" w:color="auto" w:fill="auto"/>
            <w:vAlign w:val="center"/>
            <w:hideMark/>
          </w:tcPr>
          <w:p w14:paraId="61E58664" w14:textId="77777777" w:rsidR="00B9311E" w:rsidRPr="00BD77D8" w:rsidRDefault="00B9311E" w:rsidP="00B9311E">
            <w:pPr>
              <w:spacing w:after="0" w:line="240" w:lineRule="auto"/>
              <w:rPr>
                <w:b/>
                <w:bCs/>
                <w:sz w:val="18"/>
                <w:szCs w:val="18"/>
              </w:rPr>
            </w:pPr>
            <w:r w:rsidRPr="00BD77D8">
              <w:rPr>
                <w:b/>
                <w:bCs/>
                <w:sz w:val="18"/>
                <w:szCs w:val="18"/>
              </w:rPr>
              <w:t xml:space="preserve"> Position </w:t>
            </w:r>
          </w:p>
        </w:tc>
        <w:tc>
          <w:tcPr>
            <w:tcW w:w="0" w:type="auto"/>
            <w:tcBorders>
              <w:top w:val="nil"/>
              <w:left w:val="nil"/>
              <w:bottom w:val="single" w:sz="4" w:space="0" w:color="auto"/>
              <w:right w:val="nil"/>
            </w:tcBorders>
            <w:shd w:val="clear" w:color="auto" w:fill="auto"/>
            <w:noWrap/>
            <w:vAlign w:val="center"/>
            <w:hideMark/>
          </w:tcPr>
          <w:p w14:paraId="3D619002"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62DE62D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08836C5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34E0E87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33436F1B"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noWrap/>
            <w:vAlign w:val="center"/>
            <w:hideMark/>
          </w:tcPr>
          <w:p w14:paraId="3D0A300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1156D28C" w14:textId="77777777" w:rsidTr="003057FB">
        <w:trPr>
          <w:trHeight w:val="251"/>
        </w:trPr>
        <w:tc>
          <w:tcPr>
            <w:tcW w:w="0" w:type="auto"/>
            <w:tcBorders>
              <w:top w:val="nil"/>
              <w:left w:val="nil"/>
              <w:bottom w:val="nil"/>
              <w:right w:val="nil"/>
            </w:tcBorders>
            <w:shd w:val="clear" w:color="auto" w:fill="auto"/>
            <w:noWrap/>
            <w:vAlign w:val="center"/>
            <w:hideMark/>
          </w:tcPr>
          <w:p w14:paraId="46E603C9" w14:textId="77777777" w:rsidR="00B9311E" w:rsidRPr="00BD77D8" w:rsidRDefault="00B9311E" w:rsidP="00B9311E">
            <w:pPr>
              <w:spacing w:after="0" w:line="240" w:lineRule="auto"/>
              <w:rPr>
                <w:sz w:val="18"/>
                <w:szCs w:val="18"/>
              </w:rPr>
            </w:pPr>
            <w:r w:rsidRPr="00BD77D8">
              <w:rPr>
                <w:sz w:val="18"/>
                <w:szCs w:val="18"/>
              </w:rPr>
              <w:t xml:space="preserve"> Director-General </w:t>
            </w:r>
          </w:p>
        </w:tc>
        <w:tc>
          <w:tcPr>
            <w:tcW w:w="0" w:type="auto"/>
            <w:tcBorders>
              <w:top w:val="nil"/>
              <w:left w:val="nil"/>
              <w:bottom w:val="nil"/>
              <w:right w:val="nil"/>
            </w:tcBorders>
            <w:shd w:val="clear" w:color="auto" w:fill="auto"/>
            <w:noWrap/>
            <w:vAlign w:val="center"/>
            <w:hideMark/>
          </w:tcPr>
          <w:p w14:paraId="012BFF87" w14:textId="77777777" w:rsidR="00B9311E" w:rsidRPr="00BD77D8" w:rsidRDefault="00B9311E" w:rsidP="00B9311E">
            <w:pPr>
              <w:spacing w:after="0" w:line="240" w:lineRule="auto"/>
              <w:jc w:val="right"/>
              <w:rPr>
                <w:sz w:val="18"/>
                <w:szCs w:val="18"/>
              </w:rPr>
            </w:pPr>
            <w:r w:rsidRPr="00BD77D8">
              <w:rPr>
                <w:sz w:val="18"/>
                <w:szCs w:val="18"/>
              </w:rPr>
              <w:t xml:space="preserve">               143 </w:t>
            </w:r>
          </w:p>
        </w:tc>
        <w:tc>
          <w:tcPr>
            <w:tcW w:w="0" w:type="auto"/>
            <w:tcBorders>
              <w:top w:val="nil"/>
              <w:left w:val="nil"/>
              <w:bottom w:val="nil"/>
              <w:right w:val="nil"/>
            </w:tcBorders>
            <w:shd w:val="clear" w:color="auto" w:fill="auto"/>
            <w:noWrap/>
            <w:vAlign w:val="center"/>
            <w:hideMark/>
          </w:tcPr>
          <w:p w14:paraId="0FF698C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02504073" w14:textId="77777777" w:rsidR="00B9311E" w:rsidRPr="00BD77D8" w:rsidRDefault="00B9311E" w:rsidP="00B9311E">
            <w:pPr>
              <w:spacing w:after="0" w:line="240" w:lineRule="auto"/>
              <w:jc w:val="right"/>
              <w:rPr>
                <w:sz w:val="18"/>
                <w:szCs w:val="18"/>
              </w:rPr>
            </w:pPr>
            <w:r w:rsidRPr="00BD77D8">
              <w:rPr>
                <w:sz w:val="18"/>
                <w:szCs w:val="18"/>
              </w:rPr>
              <w:t xml:space="preserve">                    3 </w:t>
            </w:r>
          </w:p>
        </w:tc>
        <w:tc>
          <w:tcPr>
            <w:tcW w:w="0" w:type="auto"/>
            <w:tcBorders>
              <w:top w:val="nil"/>
              <w:left w:val="nil"/>
              <w:bottom w:val="nil"/>
              <w:right w:val="nil"/>
            </w:tcBorders>
            <w:shd w:val="clear" w:color="auto" w:fill="auto"/>
            <w:noWrap/>
            <w:vAlign w:val="center"/>
            <w:hideMark/>
          </w:tcPr>
          <w:p w14:paraId="5BC52A32" w14:textId="77777777" w:rsidR="00B9311E" w:rsidRPr="00BD77D8" w:rsidRDefault="00B9311E" w:rsidP="00B9311E">
            <w:pPr>
              <w:spacing w:after="0" w:line="240" w:lineRule="auto"/>
              <w:jc w:val="right"/>
              <w:rPr>
                <w:sz w:val="18"/>
                <w:szCs w:val="18"/>
              </w:rPr>
            </w:pPr>
            <w:r w:rsidRPr="00BD77D8">
              <w:rPr>
                <w:sz w:val="18"/>
                <w:szCs w:val="18"/>
              </w:rPr>
              <w:t xml:space="preserve">                 18 </w:t>
            </w:r>
          </w:p>
        </w:tc>
        <w:tc>
          <w:tcPr>
            <w:tcW w:w="0" w:type="auto"/>
            <w:tcBorders>
              <w:top w:val="nil"/>
              <w:left w:val="nil"/>
              <w:bottom w:val="nil"/>
              <w:right w:val="nil"/>
            </w:tcBorders>
            <w:shd w:val="clear" w:color="auto" w:fill="auto"/>
            <w:noWrap/>
            <w:vAlign w:val="center"/>
            <w:hideMark/>
          </w:tcPr>
          <w:p w14:paraId="35F09B0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A77CF41" w14:textId="77777777" w:rsidR="00B9311E" w:rsidRPr="00BD77D8" w:rsidRDefault="00B9311E" w:rsidP="00B9311E">
            <w:pPr>
              <w:spacing w:after="0" w:line="240" w:lineRule="auto"/>
              <w:jc w:val="right"/>
              <w:rPr>
                <w:sz w:val="18"/>
                <w:szCs w:val="18"/>
              </w:rPr>
            </w:pPr>
            <w:r w:rsidRPr="00BD77D8">
              <w:rPr>
                <w:sz w:val="18"/>
                <w:szCs w:val="18"/>
              </w:rPr>
              <w:t xml:space="preserve">               166 </w:t>
            </w:r>
          </w:p>
        </w:tc>
      </w:tr>
      <w:tr w:rsidR="00BD77D8" w:rsidRPr="00BD77D8" w14:paraId="45F6E98B" w14:textId="77777777" w:rsidTr="003057FB">
        <w:trPr>
          <w:trHeight w:val="251"/>
        </w:trPr>
        <w:tc>
          <w:tcPr>
            <w:tcW w:w="0" w:type="auto"/>
            <w:tcBorders>
              <w:top w:val="nil"/>
              <w:left w:val="nil"/>
              <w:bottom w:val="nil"/>
              <w:right w:val="nil"/>
            </w:tcBorders>
            <w:shd w:val="clear" w:color="auto" w:fill="auto"/>
            <w:noWrap/>
            <w:vAlign w:val="center"/>
            <w:hideMark/>
          </w:tcPr>
          <w:p w14:paraId="4AD807D8" w14:textId="77777777" w:rsidR="00B9311E" w:rsidRPr="00BD77D8" w:rsidRDefault="00B9311E" w:rsidP="00B9311E">
            <w:pPr>
              <w:spacing w:after="0" w:line="240" w:lineRule="auto"/>
              <w:rPr>
                <w:sz w:val="18"/>
                <w:szCs w:val="18"/>
              </w:rPr>
            </w:pPr>
            <w:r w:rsidRPr="00BD77D8">
              <w:rPr>
                <w:sz w:val="18"/>
                <w:szCs w:val="18"/>
              </w:rPr>
              <w:t xml:space="preserve"> Assistant Director-General (Community Services and Seniors) </w:t>
            </w:r>
          </w:p>
        </w:tc>
        <w:tc>
          <w:tcPr>
            <w:tcW w:w="0" w:type="auto"/>
            <w:tcBorders>
              <w:top w:val="nil"/>
              <w:left w:val="nil"/>
              <w:bottom w:val="nil"/>
              <w:right w:val="nil"/>
            </w:tcBorders>
            <w:shd w:val="clear" w:color="auto" w:fill="auto"/>
            <w:noWrap/>
            <w:vAlign w:val="center"/>
            <w:hideMark/>
          </w:tcPr>
          <w:p w14:paraId="5CB1D224" w14:textId="77777777" w:rsidR="00B9311E" w:rsidRPr="00BD77D8" w:rsidRDefault="00B9311E" w:rsidP="00B9311E">
            <w:pPr>
              <w:spacing w:after="0" w:line="240" w:lineRule="auto"/>
              <w:jc w:val="right"/>
              <w:rPr>
                <w:sz w:val="18"/>
                <w:szCs w:val="18"/>
              </w:rPr>
            </w:pPr>
            <w:r w:rsidRPr="00BD77D8">
              <w:rPr>
                <w:sz w:val="18"/>
                <w:szCs w:val="18"/>
              </w:rPr>
              <w:t xml:space="preserve">                 95 </w:t>
            </w:r>
          </w:p>
        </w:tc>
        <w:tc>
          <w:tcPr>
            <w:tcW w:w="0" w:type="auto"/>
            <w:tcBorders>
              <w:top w:val="nil"/>
              <w:left w:val="nil"/>
              <w:bottom w:val="nil"/>
              <w:right w:val="nil"/>
            </w:tcBorders>
            <w:shd w:val="clear" w:color="auto" w:fill="auto"/>
            <w:noWrap/>
            <w:vAlign w:val="center"/>
            <w:hideMark/>
          </w:tcPr>
          <w:p w14:paraId="2CD7A5C4"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67FF1F40"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415ECC4B" w14:textId="77777777" w:rsidR="00B9311E" w:rsidRPr="00BD77D8" w:rsidRDefault="00B9311E" w:rsidP="00B9311E">
            <w:pPr>
              <w:spacing w:after="0" w:line="240" w:lineRule="auto"/>
              <w:jc w:val="right"/>
              <w:rPr>
                <w:sz w:val="18"/>
                <w:szCs w:val="18"/>
              </w:rPr>
            </w:pPr>
            <w:r w:rsidRPr="00BD77D8">
              <w:rPr>
                <w:sz w:val="18"/>
                <w:szCs w:val="18"/>
              </w:rPr>
              <w:t xml:space="preserve">                 11 </w:t>
            </w:r>
          </w:p>
        </w:tc>
        <w:tc>
          <w:tcPr>
            <w:tcW w:w="0" w:type="auto"/>
            <w:tcBorders>
              <w:top w:val="nil"/>
              <w:left w:val="nil"/>
              <w:bottom w:val="nil"/>
              <w:right w:val="nil"/>
            </w:tcBorders>
            <w:shd w:val="clear" w:color="auto" w:fill="auto"/>
            <w:noWrap/>
            <w:vAlign w:val="center"/>
            <w:hideMark/>
          </w:tcPr>
          <w:p w14:paraId="6CD01E4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0725889F" w14:textId="77777777" w:rsidR="00B9311E" w:rsidRPr="00BD77D8" w:rsidRDefault="00B9311E" w:rsidP="00B9311E">
            <w:pPr>
              <w:spacing w:after="0" w:line="240" w:lineRule="auto"/>
              <w:jc w:val="right"/>
              <w:rPr>
                <w:sz w:val="18"/>
                <w:szCs w:val="18"/>
              </w:rPr>
            </w:pPr>
            <w:r w:rsidRPr="00BD77D8">
              <w:rPr>
                <w:sz w:val="18"/>
                <w:szCs w:val="18"/>
              </w:rPr>
              <w:t xml:space="preserve">               109 </w:t>
            </w:r>
          </w:p>
        </w:tc>
      </w:tr>
      <w:tr w:rsidR="00BD77D8" w:rsidRPr="00BD77D8" w14:paraId="1BD37928" w14:textId="77777777" w:rsidTr="003057FB">
        <w:trPr>
          <w:trHeight w:val="251"/>
        </w:trPr>
        <w:tc>
          <w:tcPr>
            <w:tcW w:w="0" w:type="auto"/>
            <w:tcBorders>
              <w:top w:val="nil"/>
              <w:left w:val="nil"/>
              <w:bottom w:val="nil"/>
              <w:right w:val="nil"/>
            </w:tcBorders>
            <w:shd w:val="clear" w:color="auto" w:fill="auto"/>
            <w:noWrap/>
            <w:vAlign w:val="center"/>
            <w:hideMark/>
          </w:tcPr>
          <w:p w14:paraId="2C6A52AA" w14:textId="77777777" w:rsidR="00B9311E" w:rsidRPr="00BD77D8" w:rsidRDefault="00B9311E" w:rsidP="00B9311E">
            <w:pPr>
              <w:spacing w:after="0" w:line="240" w:lineRule="auto"/>
              <w:rPr>
                <w:sz w:val="18"/>
                <w:szCs w:val="18"/>
              </w:rPr>
            </w:pPr>
            <w:r w:rsidRPr="00BD77D8">
              <w:rPr>
                <w:sz w:val="18"/>
                <w:szCs w:val="18"/>
              </w:rPr>
              <w:t xml:space="preserve"> Assistant Director-General (Disability, Accommodation and Respite Services) </w:t>
            </w:r>
          </w:p>
        </w:tc>
        <w:tc>
          <w:tcPr>
            <w:tcW w:w="0" w:type="auto"/>
            <w:tcBorders>
              <w:top w:val="nil"/>
              <w:left w:val="nil"/>
              <w:bottom w:val="nil"/>
              <w:right w:val="nil"/>
            </w:tcBorders>
            <w:shd w:val="clear" w:color="auto" w:fill="auto"/>
            <w:noWrap/>
            <w:vAlign w:val="center"/>
            <w:hideMark/>
          </w:tcPr>
          <w:p w14:paraId="05F1FD15" w14:textId="77777777" w:rsidR="00B9311E" w:rsidRPr="00BD77D8" w:rsidRDefault="00B9311E" w:rsidP="00B9311E">
            <w:pPr>
              <w:spacing w:after="0" w:line="240" w:lineRule="auto"/>
              <w:jc w:val="right"/>
              <w:rPr>
                <w:sz w:val="18"/>
                <w:szCs w:val="18"/>
              </w:rPr>
            </w:pPr>
            <w:r w:rsidRPr="00BD77D8">
              <w:rPr>
                <w:sz w:val="18"/>
                <w:szCs w:val="18"/>
              </w:rPr>
              <w:t xml:space="preserve">               104 </w:t>
            </w:r>
          </w:p>
        </w:tc>
        <w:tc>
          <w:tcPr>
            <w:tcW w:w="0" w:type="auto"/>
            <w:tcBorders>
              <w:top w:val="nil"/>
              <w:left w:val="nil"/>
              <w:bottom w:val="nil"/>
              <w:right w:val="nil"/>
            </w:tcBorders>
            <w:shd w:val="clear" w:color="auto" w:fill="auto"/>
            <w:noWrap/>
            <w:vAlign w:val="center"/>
            <w:hideMark/>
          </w:tcPr>
          <w:p w14:paraId="2F86C062"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5F8F3A74"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14C25F97" w14:textId="77777777" w:rsidR="00B9311E" w:rsidRPr="00BD77D8" w:rsidRDefault="00B9311E" w:rsidP="00B9311E">
            <w:pPr>
              <w:spacing w:after="0" w:line="240" w:lineRule="auto"/>
              <w:jc w:val="right"/>
              <w:rPr>
                <w:sz w:val="18"/>
                <w:szCs w:val="18"/>
              </w:rPr>
            </w:pPr>
            <w:r w:rsidRPr="00BD77D8">
              <w:rPr>
                <w:sz w:val="18"/>
                <w:szCs w:val="18"/>
              </w:rPr>
              <w:t xml:space="preserve">                 11 </w:t>
            </w:r>
          </w:p>
        </w:tc>
        <w:tc>
          <w:tcPr>
            <w:tcW w:w="0" w:type="auto"/>
            <w:tcBorders>
              <w:top w:val="nil"/>
              <w:left w:val="nil"/>
              <w:bottom w:val="nil"/>
              <w:right w:val="nil"/>
            </w:tcBorders>
            <w:shd w:val="clear" w:color="auto" w:fill="auto"/>
            <w:noWrap/>
            <w:vAlign w:val="center"/>
            <w:hideMark/>
          </w:tcPr>
          <w:p w14:paraId="7FD9E976"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65DE4A40" w14:textId="77777777" w:rsidR="00B9311E" w:rsidRPr="00BD77D8" w:rsidRDefault="00B9311E" w:rsidP="00B9311E">
            <w:pPr>
              <w:spacing w:after="0" w:line="240" w:lineRule="auto"/>
              <w:jc w:val="right"/>
              <w:rPr>
                <w:sz w:val="18"/>
                <w:szCs w:val="18"/>
              </w:rPr>
            </w:pPr>
            <w:r w:rsidRPr="00BD77D8">
              <w:rPr>
                <w:sz w:val="18"/>
                <w:szCs w:val="18"/>
              </w:rPr>
              <w:t xml:space="preserve">               118 </w:t>
            </w:r>
          </w:p>
        </w:tc>
      </w:tr>
      <w:tr w:rsidR="00BD77D8" w:rsidRPr="00BD77D8" w14:paraId="40646F30" w14:textId="77777777" w:rsidTr="003057FB">
        <w:trPr>
          <w:trHeight w:val="251"/>
        </w:trPr>
        <w:tc>
          <w:tcPr>
            <w:tcW w:w="0" w:type="auto"/>
            <w:tcBorders>
              <w:top w:val="nil"/>
              <w:left w:val="nil"/>
              <w:bottom w:val="nil"/>
              <w:right w:val="nil"/>
            </w:tcBorders>
            <w:shd w:val="clear" w:color="auto" w:fill="auto"/>
            <w:noWrap/>
            <w:vAlign w:val="center"/>
            <w:hideMark/>
          </w:tcPr>
          <w:p w14:paraId="1ADBA955" w14:textId="77777777" w:rsidR="00B9311E" w:rsidRPr="00BD77D8" w:rsidRDefault="00B9311E" w:rsidP="00B9311E">
            <w:pPr>
              <w:spacing w:after="0" w:line="240" w:lineRule="auto"/>
              <w:rPr>
                <w:sz w:val="18"/>
                <w:szCs w:val="18"/>
              </w:rPr>
            </w:pPr>
            <w:r w:rsidRPr="00BD77D8">
              <w:rPr>
                <w:sz w:val="18"/>
                <w:szCs w:val="18"/>
              </w:rPr>
              <w:t xml:space="preserve"> Assistant Director-General (Disability Connect Queensland) </w:t>
            </w:r>
          </w:p>
        </w:tc>
        <w:tc>
          <w:tcPr>
            <w:tcW w:w="0" w:type="auto"/>
            <w:tcBorders>
              <w:top w:val="nil"/>
              <w:left w:val="nil"/>
              <w:bottom w:val="nil"/>
              <w:right w:val="nil"/>
            </w:tcBorders>
            <w:shd w:val="clear" w:color="auto" w:fill="auto"/>
            <w:noWrap/>
            <w:vAlign w:val="center"/>
            <w:hideMark/>
          </w:tcPr>
          <w:p w14:paraId="77FBE563" w14:textId="77777777" w:rsidR="00B9311E" w:rsidRPr="00BD77D8" w:rsidRDefault="00B9311E" w:rsidP="00B9311E">
            <w:pPr>
              <w:spacing w:after="0" w:line="240" w:lineRule="auto"/>
              <w:jc w:val="right"/>
              <w:rPr>
                <w:sz w:val="18"/>
                <w:szCs w:val="18"/>
              </w:rPr>
            </w:pPr>
            <w:r w:rsidRPr="00BD77D8">
              <w:rPr>
                <w:sz w:val="18"/>
                <w:szCs w:val="18"/>
              </w:rPr>
              <w:t xml:space="preserve">                 88 </w:t>
            </w:r>
          </w:p>
        </w:tc>
        <w:tc>
          <w:tcPr>
            <w:tcW w:w="0" w:type="auto"/>
            <w:tcBorders>
              <w:top w:val="nil"/>
              <w:left w:val="nil"/>
              <w:bottom w:val="nil"/>
              <w:right w:val="nil"/>
            </w:tcBorders>
            <w:shd w:val="clear" w:color="auto" w:fill="auto"/>
            <w:noWrap/>
            <w:vAlign w:val="center"/>
            <w:hideMark/>
          </w:tcPr>
          <w:p w14:paraId="159BFA0F"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1BD4C4ED"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4C9389C5" w14:textId="77777777" w:rsidR="00B9311E" w:rsidRPr="00BD77D8" w:rsidRDefault="00B9311E" w:rsidP="00B9311E">
            <w:pPr>
              <w:spacing w:after="0" w:line="240" w:lineRule="auto"/>
              <w:jc w:val="right"/>
              <w:rPr>
                <w:sz w:val="18"/>
                <w:szCs w:val="18"/>
              </w:rPr>
            </w:pPr>
            <w:r w:rsidRPr="00BD77D8">
              <w:rPr>
                <w:sz w:val="18"/>
                <w:szCs w:val="18"/>
              </w:rPr>
              <w:t xml:space="preserve">                 10 </w:t>
            </w:r>
          </w:p>
        </w:tc>
        <w:tc>
          <w:tcPr>
            <w:tcW w:w="0" w:type="auto"/>
            <w:tcBorders>
              <w:top w:val="nil"/>
              <w:left w:val="nil"/>
              <w:bottom w:val="nil"/>
              <w:right w:val="nil"/>
            </w:tcBorders>
            <w:shd w:val="clear" w:color="auto" w:fill="auto"/>
            <w:noWrap/>
            <w:vAlign w:val="center"/>
            <w:hideMark/>
          </w:tcPr>
          <w:p w14:paraId="531923F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06853C3C" w14:textId="77777777" w:rsidR="00B9311E" w:rsidRPr="00BD77D8" w:rsidRDefault="00B9311E" w:rsidP="00B9311E">
            <w:pPr>
              <w:spacing w:after="0" w:line="240" w:lineRule="auto"/>
              <w:jc w:val="right"/>
              <w:rPr>
                <w:sz w:val="18"/>
                <w:szCs w:val="18"/>
              </w:rPr>
            </w:pPr>
            <w:r w:rsidRPr="00BD77D8">
              <w:rPr>
                <w:sz w:val="18"/>
                <w:szCs w:val="18"/>
              </w:rPr>
              <w:t xml:space="preserve">               101 </w:t>
            </w:r>
          </w:p>
        </w:tc>
      </w:tr>
      <w:tr w:rsidR="00BD77D8" w:rsidRPr="00BD77D8" w14:paraId="5A0DDB74" w14:textId="77777777" w:rsidTr="003057FB">
        <w:trPr>
          <w:trHeight w:val="251"/>
        </w:trPr>
        <w:tc>
          <w:tcPr>
            <w:tcW w:w="0" w:type="auto"/>
            <w:tcBorders>
              <w:top w:val="nil"/>
              <w:left w:val="nil"/>
              <w:bottom w:val="nil"/>
              <w:right w:val="nil"/>
            </w:tcBorders>
            <w:shd w:val="clear" w:color="auto" w:fill="auto"/>
            <w:noWrap/>
            <w:vAlign w:val="center"/>
            <w:hideMark/>
          </w:tcPr>
          <w:p w14:paraId="680A506A" w14:textId="77777777" w:rsidR="00B9311E" w:rsidRPr="00BD77D8" w:rsidRDefault="00B9311E" w:rsidP="00B9311E">
            <w:pPr>
              <w:spacing w:after="0" w:line="240" w:lineRule="auto"/>
              <w:rPr>
                <w:sz w:val="18"/>
                <w:szCs w:val="18"/>
              </w:rPr>
            </w:pPr>
            <w:r w:rsidRPr="00BD77D8">
              <w:rPr>
                <w:sz w:val="18"/>
                <w:szCs w:val="18"/>
              </w:rPr>
              <w:t xml:space="preserve"> Assistant Director-General (Corporate Services) </w:t>
            </w:r>
          </w:p>
        </w:tc>
        <w:tc>
          <w:tcPr>
            <w:tcW w:w="0" w:type="auto"/>
            <w:tcBorders>
              <w:top w:val="nil"/>
              <w:left w:val="nil"/>
              <w:bottom w:val="nil"/>
              <w:right w:val="nil"/>
            </w:tcBorders>
            <w:shd w:val="clear" w:color="auto" w:fill="auto"/>
            <w:noWrap/>
            <w:vAlign w:val="center"/>
            <w:hideMark/>
          </w:tcPr>
          <w:p w14:paraId="6EBBD363" w14:textId="77777777" w:rsidR="00B9311E" w:rsidRPr="00BD77D8" w:rsidRDefault="00B9311E" w:rsidP="00B9311E">
            <w:pPr>
              <w:spacing w:after="0" w:line="240" w:lineRule="auto"/>
              <w:jc w:val="right"/>
              <w:rPr>
                <w:sz w:val="18"/>
                <w:szCs w:val="18"/>
              </w:rPr>
            </w:pPr>
            <w:r w:rsidRPr="00BD77D8">
              <w:rPr>
                <w:sz w:val="18"/>
                <w:szCs w:val="18"/>
              </w:rPr>
              <w:t xml:space="preserve">                 91 </w:t>
            </w:r>
          </w:p>
        </w:tc>
        <w:tc>
          <w:tcPr>
            <w:tcW w:w="0" w:type="auto"/>
            <w:tcBorders>
              <w:top w:val="nil"/>
              <w:left w:val="nil"/>
              <w:bottom w:val="nil"/>
              <w:right w:val="nil"/>
            </w:tcBorders>
            <w:shd w:val="clear" w:color="auto" w:fill="auto"/>
            <w:noWrap/>
            <w:vAlign w:val="center"/>
            <w:hideMark/>
          </w:tcPr>
          <w:p w14:paraId="36A977D9"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1E67957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06DE3467" w14:textId="77777777" w:rsidR="00B9311E" w:rsidRPr="00BD77D8" w:rsidRDefault="00B9311E" w:rsidP="00B9311E">
            <w:pPr>
              <w:spacing w:after="0" w:line="240" w:lineRule="auto"/>
              <w:jc w:val="right"/>
              <w:rPr>
                <w:sz w:val="18"/>
                <w:szCs w:val="18"/>
              </w:rPr>
            </w:pPr>
            <w:r w:rsidRPr="00BD77D8">
              <w:rPr>
                <w:sz w:val="18"/>
                <w:szCs w:val="18"/>
              </w:rPr>
              <w:t xml:space="preserve">                 10 </w:t>
            </w:r>
          </w:p>
        </w:tc>
        <w:tc>
          <w:tcPr>
            <w:tcW w:w="0" w:type="auto"/>
            <w:tcBorders>
              <w:top w:val="nil"/>
              <w:left w:val="nil"/>
              <w:bottom w:val="nil"/>
              <w:right w:val="nil"/>
            </w:tcBorders>
            <w:shd w:val="clear" w:color="auto" w:fill="auto"/>
            <w:noWrap/>
            <w:vAlign w:val="center"/>
            <w:hideMark/>
          </w:tcPr>
          <w:p w14:paraId="158D070C"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5E54109A" w14:textId="77777777" w:rsidR="00B9311E" w:rsidRPr="00BD77D8" w:rsidRDefault="00B9311E" w:rsidP="00B9311E">
            <w:pPr>
              <w:spacing w:after="0" w:line="240" w:lineRule="auto"/>
              <w:jc w:val="right"/>
              <w:rPr>
                <w:sz w:val="18"/>
                <w:szCs w:val="18"/>
              </w:rPr>
            </w:pPr>
            <w:r w:rsidRPr="00BD77D8">
              <w:rPr>
                <w:sz w:val="18"/>
                <w:szCs w:val="18"/>
              </w:rPr>
              <w:t xml:space="preserve">               104 </w:t>
            </w:r>
          </w:p>
        </w:tc>
      </w:tr>
      <w:tr w:rsidR="00BD77D8" w:rsidRPr="00BD77D8" w14:paraId="2A652FC7" w14:textId="77777777" w:rsidTr="003057FB">
        <w:trPr>
          <w:trHeight w:val="251"/>
        </w:trPr>
        <w:tc>
          <w:tcPr>
            <w:tcW w:w="0" w:type="auto"/>
            <w:tcBorders>
              <w:top w:val="nil"/>
              <w:left w:val="nil"/>
              <w:bottom w:val="nil"/>
              <w:right w:val="nil"/>
            </w:tcBorders>
            <w:shd w:val="clear" w:color="auto" w:fill="auto"/>
            <w:noWrap/>
            <w:vAlign w:val="center"/>
            <w:hideMark/>
          </w:tcPr>
          <w:p w14:paraId="60A8E67A" w14:textId="77777777" w:rsidR="00B9311E" w:rsidRPr="00BD77D8" w:rsidRDefault="00B9311E" w:rsidP="00B9311E">
            <w:pPr>
              <w:spacing w:after="0" w:line="240" w:lineRule="auto"/>
              <w:rPr>
                <w:sz w:val="18"/>
                <w:szCs w:val="18"/>
              </w:rPr>
            </w:pPr>
            <w:r w:rsidRPr="00BD77D8">
              <w:rPr>
                <w:sz w:val="18"/>
                <w:szCs w:val="18"/>
              </w:rPr>
              <w:t xml:space="preserve"> Executive Director (Strategic Policy and Legislation) </w:t>
            </w:r>
          </w:p>
        </w:tc>
        <w:tc>
          <w:tcPr>
            <w:tcW w:w="0" w:type="auto"/>
            <w:tcBorders>
              <w:top w:val="nil"/>
              <w:left w:val="nil"/>
              <w:bottom w:val="nil"/>
              <w:right w:val="nil"/>
            </w:tcBorders>
            <w:shd w:val="clear" w:color="auto" w:fill="auto"/>
            <w:noWrap/>
            <w:vAlign w:val="center"/>
            <w:hideMark/>
          </w:tcPr>
          <w:p w14:paraId="4A9EC164" w14:textId="77777777" w:rsidR="00B9311E" w:rsidRPr="00BD77D8" w:rsidRDefault="00B9311E" w:rsidP="00B9311E">
            <w:pPr>
              <w:spacing w:after="0" w:line="240" w:lineRule="auto"/>
              <w:jc w:val="right"/>
              <w:rPr>
                <w:sz w:val="18"/>
                <w:szCs w:val="18"/>
              </w:rPr>
            </w:pPr>
            <w:r w:rsidRPr="00BD77D8">
              <w:rPr>
                <w:sz w:val="18"/>
                <w:szCs w:val="18"/>
              </w:rPr>
              <w:t xml:space="preserve">                 74 </w:t>
            </w:r>
          </w:p>
        </w:tc>
        <w:tc>
          <w:tcPr>
            <w:tcW w:w="0" w:type="auto"/>
            <w:tcBorders>
              <w:top w:val="nil"/>
              <w:left w:val="nil"/>
              <w:bottom w:val="nil"/>
              <w:right w:val="nil"/>
            </w:tcBorders>
            <w:shd w:val="clear" w:color="auto" w:fill="auto"/>
            <w:noWrap/>
            <w:vAlign w:val="center"/>
            <w:hideMark/>
          </w:tcPr>
          <w:p w14:paraId="476E08D2"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635544EA"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5941C309" w14:textId="77777777" w:rsidR="00B9311E" w:rsidRPr="00BD77D8" w:rsidRDefault="00B9311E" w:rsidP="00B9311E">
            <w:pPr>
              <w:spacing w:after="0" w:line="240" w:lineRule="auto"/>
              <w:jc w:val="right"/>
              <w:rPr>
                <w:sz w:val="18"/>
                <w:szCs w:val="18"/>
              </w:rPr>
            </w:pPr>
            <w:r w:rsidRPr="00BD77D8">
              <w:rPr>
                <w:sz w:val="18"/>
                <w:szCs w:val="18"/>
              </w:rPr>
              <w:t xml:space="preserve">                    9 </w:t>
            </w:r>
          </w:p>
        </w:tc>
        <w:tc>
          <w:tcPr>
            <w:tcW w:w="0" w:type="auto"/>
            <w:tcBorders>
              <w:top w:val="nil"/>
              <w:left w:val="nil"/>
              <w:bottom w:val="nil"/>
              <w:right w:val="nil"/>
            </w:tcBorders>
            <w:shd w:val="clear" w:color="auto" w:fill="auto"/>
            <w:noWrap/>
            <w:vAlign w:val="center"/>
            <w:hideMark/>
          </w:tcPr>
          <w:p w14:paraId="4AE41E0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C614372" w14:textId="77777777" w:rsidR="00B9311E" w:rsidRPr="00BD77D8" w:rsidRDefault="00B9311E" w:rsidP="00B9311E">
            <w:pPr>
              <w:spacing w:after="0" w:line="240" w:lineRule="auto"/>
              <w:jc w:val="right"/>
              <w:rPr>
                <w:sz w:val="18"/>
                <w:szCs w:val="18"/>
              </w:rPr>
            </w:pPr>
            <w:r w:rsidRPr="00BD77D8">
              <w:rPr>
                <w:sz w:val="18"/>
                <w:szCs w:val="18"/>
              </w:rPr>
              <w:t xml:space="preserve">                 86 </w:t>
            </w:r>
          </w:p>
        </w:tc>
      </w:tr>
      <w:tr w:rsidR="00BD77D8" w:rsidRPr="00BD77D8" w14:paraId="49BE7FF4" w14:textId="77777777" w:rsidTr="003057FB">
        <w:trPr>
          <w:trHeight w:val="251"/>
        </w:trPr>
        <w:tc>
          <w:tcPr>
            <w:tcW w:w="0" w:type="auto"/>
            <w:tcBorders>
              <w:top w:val="nil"/>
              <w:left w:val="nil"/>
              <w:bottom w:val="nil"/>
              <w:right w:val="nil"/>
            </w:tcBorders>
            <w:shd w:val="clear" w:color="auto" w:fill="auto"/>
            <w:noWrap/>
            <w:vAlign w:val="center"/>
            <w:hideMark/>
          </w:tcPr>
          <w:p w14:paraId="06E6A416" w14:textId="77777777" w:rsidR="00B9311E" w:rsidRPr="00BD77D8" w:rsidRDefault="00B9311E" w:rsidP="00B9311E">
            <w:pPr>
              <w:spacing w:after="0" w:line="240" w:lineRule="auto"/>
              <w:rPr>
                <w:sz w:val="18"/>
                <w:szCs w:val="18"/>
              </w:rPr>
            </w:pPr>
            <w:r w:rsidRPr="00BD77D8">
              <w:rPr>
                <w:sz w:val="18"/>
                <w:szCs w:val="18"/>
              </w:rPr>
              <w:t xml:space="preserve"> Chief Human Resources Officer </w:t>
            </w:r>
          </w:p>
        </w:tc>
        <w:tc>
          <w:tcPr>
            <w:tcW w:w="0" w:type="auto"/>
            <w:tcBorders>
              <w:top w:val="nil"/>
              <w:left w:val="nil"/>
              <w:bottom w:val="nil"/>
              <w:right w:val="nil"/>
            </w:tcBorders>
            <w:shd w:val="clear" w:color="auto" w:fill="auto"/>
            <w:noWrap/>
            <w:vAlign w:val="center"/>
            <w:hideMark/>
          </w:tcPr>
          <w:p w14:paraId="59319BB5" w14:textId="77777777" w:rsidR="00B9311E" w:rsidRPr="00BD77D8" w:rsidRDefault="00B9311E" w:rsidP="00B9311E">
            <w:pPr>
              <w:spacing w:after="0" w:line="240" w:lineRule="auto"/>
              <w:jc w:val="right"/>
              <w:rPr>
                <w:sz w:val="18"/>
                <w:szCs w:val="18"/>
              </w:rPr>
            </w:pPr>
            <w:r w:rsidRPr="00BD77D8">
              <w:rPr>
                <w:sz w:val="18"/>
                <w:szCs w:val="18"/>
              </w:rPr>
              <w:t xml:space="preserve">                 89 </w:t>
            </w:r>
          </w:p>
        </w:tc>
        <w:tc>
          <w:tcPr>
            <w:tcW w:w="0" w:type="auto"/>
            <w:tcBorders>
              <w:top w:val="nil"/>
              <w:left w:val="nil"/>
              <w:bottom w:val="nil"/>
              <w:right w:val="nil"/>
            </w:tcBorders>
            <w:shd w:val="clear" w:color="auto" w:fill="auto"/>
            <w:noWrap/>
            <w:vAlign w:val="center"/>
            <w:hideMark/>
          </w:tcPr>
          <w:p w14:paraId="5F2F660A"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386A6E11"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660D533F" w14:textId="77777777" w:rsidR="00B9311E" w:rsidRPr="00BD77D8" w:rsidRDefault="00B9311E" w:rsidP="00B9311E">
            <w:pPr>
              <w:spacing w:after="0" w:line="240" w:lineRule="auto"/>
              <w:jc w:val="right"/>
              <w:rPr>
                <w:sz w:val="18"/>
                <w:szCs w:val="18"/>
              </w:rPr>
            </w:pPr>
            <w:r w:rsidRPr="00BD77D8">
              <w:rPr>
                <w:sz w:val="18"/>
                <w:szCs w:val="18"/>
              </w:rPr>
              <w:t xml:space="preserve">                    9 </w:t>
            </w:r>
          </w:p>
        </w:tc>
        <w:tc>
          <w:tcPr>
            <w:tcW w:w="0" w:type="auto"/>
            <w:tcBorders>
              <w:top w:val="nil"/>
              <w:left w:val="nil"/>
              <w:bottom w:val="nil"/>
              <w:right w:val="nil"/>
            </w:tcBorders>
            <w:shd w:val="clear" w:color="auto" w:fill="auto"/>
            <w:noWrap/>
            <w:vAlign w:val="center"/>
            <w:hideMark/>
          </w:tcPr>
          <w:p w14:paraId="283F8642"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280E5ACF" w14:textId="77777777" w:rsidR="00B9311E" w:rsidRPr="00BD77D8" w:rsidRDefault="00B9311E" w:rsidP="00B9311E">
            <w:pPr>
              <w:spacing w:after="0" w:line="240" w:lineRule="auto"/>
              <w:jc w:val="right"/>
              <w:rPr>
                <w:sz w:val="18"/>
                <w:szCs w:val="18"/>
              </w:rPr>
            </w:pPr>
            <w:r w:rsidRPr="00BD77D8">
              <w:rPr>
                <w:sz w:val="18"/>
                <w:szCs w:val="18"/>
              </w:rPr>
              <w:t xml:space="preserve">               101 </w:t>
            </w:r>
          </w:p>
        </w:tc>
      </w:tr>
      <w:tr w:rsidR="00B9311E" w:rsidRPr="00BD77D8" w14:paraId="0901C1D0" w14:textId="77777777" w:rsidTr="003057FB">
        <w:trPr>
          <w:trHeight w:val="251"/>
        </w:trPr>
        <w:tc>
          <w:tcPr>
            <w:tcW w:w="0" w:type="auto"/>
            <w:tcBorders>
              <w:top w:val="nil"/>
              <w:left w:val="nil"/>
              <w:bottom w:val="nil"/>
              <w:right w:val="nil"/>
            </w:tcBorders>
            <w:shd w:val="clear" w:color="auto" w:fill="auto"/>
            <w:noWrap/>
            <w:vAlign w:val="center"/>
            <w:hideMark/>
          </w:tcPr>
          <w:p w14:paraId="2C3F9BCB" w14:textId="77777777" w:rsidR="00B9311E" w:rsidRPr="00BD77D8" w:rsidRDefault="00B9311E" w:rsidP="00B9311E">
            <w:pPr>
              <w:spacing w:after="0" w:line="240" w:lineRule="auto"/>
              <w:rPr>
                <w:sz w:val="18"/>
                <w:szCs w:val="18"/>
              </w:rPr>
            </w:pPr>
            <w:r w:rsidRPr="00BD77D8">
              <w:rPr>
                <w:sz w:val="18"/>
                <w:szCs w:val="18"/>
              </w:rPr>
              <w:t xml:space="preserve"> Chief Finance Officer </w:t>
            </w:r>
          </w:p>
        </w:tc>
        <w:tc>
          <w:tcPr>
            <w:tcW w:w="0" w:type="auto"/>
            <w:tcBorders>
              <w:top w:val="nil"/>
              <w:left w:val="nil"/>
              <w:bottom w:val="nil"/>
              <w:right w:val="nil"/>
            </w:tcBorders>
            <w:shd w:val="clear" w:color="auto" w:fill="auto"/>
            <w:noWrap/>
            <w:vAlign w:val="center"/>
            <w:hideMark/>
          </w:tcPr>
          <w:p w14:paraId="1F4880A8" w14:textId="77777777" w:rsidR="00B9311E" w:rsidRPr="00BD77D8" w:rsidRDefault="00B9311E" w:rsidP="00B9311E">
            <w:pPr>
              <w:spacing w:after="0" w:line="240" w:lineRule="auto"/>
              <w:jc w:val="right"/>
              <w:rPr>
                <w:sz w:val="18"/>
                <w:szCs w:val="18"/>
              </w:rPr>
            </w:pPr>
            <w:r w:rsidRPr="00BD77D8">
              <w:rPr>
                <w:sz w:val="18"/>
                <w:szCs w:val="18"/>
              </w:rPr>
              <w:t xml:space="preserve">                 84 </w:t>
            </w:r>
          </w:p>
        </w:tc>
        <w:tc>
          <w:tcPr>
            <w:tcW w:w="0" w:type="auto"/>
            <w:tcBorders>
              <w:top w:val="nil"/>
              <w:left w:val="nil"/>
              <w:bottom w:val="nil"/>
              <w:right w:val="nil"/>
            </w:tcBorders>
            <w:shd w:val="clear" w:color="auto" w:fill="auto"/>
            <w:noWrap/>
            <w:vAlign w:val="center"/>
            <w:hideMark/>
          </w:tcPr>
          <w:p w14:paraId="3B7C7291" w14:textId="77777777" w:rsidR="00B9311E" w:rsidRPr="00BD77D8" w:rsidRDefault="00B9311E" w:rsidP="00B9311E">
            <w:pPr>
              <w:spacing w:after="0" w:line="240" w:lineRule="auto"/>
              <w:jc w:val="right"/>
              <w:rPr>
                <w:sz w:val="18"/>
                <w:szCs w:val="18"/>
              </w:rPr>
            </w:pPr>
            <w:r w:rsidRPr="00BD77D8">
              <w:rPr>
                <w:sz w:val="18"/>
                <w:szCs w:val="18"/>
              </w:rPr>
              <w:t xml:space="preserve">                    1 </w:t>
            </w:r>
          </w:p>
        </w:tc>
        <w:tc>
          <w:tcPr>
            <w:tcW w:w="0" w:type="auto"/>
            <w:tcBorders>
              <w:top w:val="nil"/>
              <w:left w:val="nil"/>
              <w:bottom w:val="nil"/>
              <w:right w:val="nil"/>
            </w:tcBorders>
            <w:shd w:val="clear" w:color="auto" w:fill="auto"/>
            <w:noWrap/>
            <w:vAlign w:val="center"/>
            <w:hideMark/>
          </w:tcPr>
          <w:p w14:paraId="3043EDBB" w14:textId="77777777" w:rsidR="00B9311E" w:rsidRPr="00BD77D8" w:rsidRDefault="00B9311E" w:rsidP="00B9311E">
            <w:pPr>
              <w:spacing w:after="0" w:line="240" w:lineRule="auto"/>
              <w:jc w:val="right"/>
              <w:rPr>
                <w:sz w:val="18"/>
                <w:szCs w:val="18"/>
              </w:rPr>
            </w:pPr>
            <w:r w:rsidRPr="00BD77D8">
              <w:rPr>
                <w:sz w:val="18"/>
                <w:szCs w:val="18"/>
              </w:rPr>
              <w:t xml:space="preserve">                    2 </w:t>
            </w:r>
          </w:p>
        </w:tc>
        <w:tc>
          <w:tcPr>
            <w:tcW w:w="0" w:type="auto"/>
            <w:tcBorders>
              <w:top w:val="nil"/>
              <w:left w:val="nil"/>
              <w:bottom w:val="nil"/>
              <w:right w:val="nil"/>
            </w:tcBorders>
            <w:shd w:val="clear" w:color="auto" w:fill="auto"/>
            <w:noWrap/>
            <w:vAlign w:val="center"/>
            <w:hideMark/>
          </w:tcPr>
          <w:p w14:paraId="3903FC98" w14:textId="77777777" w:rsidR="00B9311E" w:rsidRPr="00BD77D8" w:rsidRDefault="00B9311E" w:rsidP="00B9311E">
            <w:pPr>
              <w:spacing w:after="0" w:line="240" w:lineRule="auto"/>
              <w:jc w:val="right"/>
              <w:rPr>
                <w:sz w:val="18"/>
                <w:szCs w:val="18"/>
              </w:rPr>
            </w:pPr>
            <w:r w:rsidRPr="00BD77D8">
              <w:rPr>
                <w:sz w:val="18"/>
                <w:szCs w:val="18"/>
              </w:rPr>
              <w:t xml:space="preserve">                    9 </w:t>
            </w:r>
          </w:p>
        </w:tc>
        <w:tc>
          <w:tcPr>
            <w:tcW w:w="0" w:type="auto"/>
            <w:tcBorders>
              <w:top w:val="nil"/>
              <w:left w:val="nil"/>
              <w:bottom w:val="nil"/>
              <w:right w:val="nil"/>
            </w:tcBorders>
            <w:shd w:val="clear" w:color="auto" w:fill="auto"/>
            <w:noWrap/>
            <w:vAlign w:val="center"/>
            <w:hideMark/>
          </w:tcPr>
          <w:p w14:paraId="68FE2F0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noWrap/>
            <w:vAlign w:val="center"/>
            <w:hideMark/>
          </w:tcPr>
          <w:p w14:paraId="7A5E26C1" w14:textId="77777777" w:rsidR="00B9311E" w:rsidRPr="00BD77D8" w:rsidRDefault="00B9311E" w:rsidP="00B9311E">
            <w:pPr>
              <w:spacing w:after="0" w:line="240" w:lineRule="auto"/>
              <w:jc w:val="right"/>
              <w:rPr>
                <w:sz w:val="18"/>
                <w:szCs w:val="18"/>
              </w:rPr>
            </w:pPr>
            <w:r w:rsidRPr="00BD77D8">
              <w:rPr>
                <w:sz w:val="18"/>
                <w:szCs w:val="18"/>
              </w:rPr>
              <w:t xml:space="preserve">                 96 </w:t>
            </w:r>
          </w:p>
        </w:tc>
      </w:tr>
    </w:tbl>
    <w:p w14:paraId="2374FA3E" w14:textId="77777777" w:rsidR="00B9311E" w:rsidRPr="00BD77D8" w:rsidRDefault="00B9311E" w:rsidP="00B9311E">
      <w:pPr>
        <w:spacing w:after="0" w:line="20" w:lineRule="exact"/>
        <w:rPr>
          <w:rFonts w:eastAsia="PMingLiU"/>
          <w:sz w:val="18"/>
          <w:szCs w:val="18"/>
          <w:lang w:eastAsia="en-US"/>
        </w:rPr>
        <w:sectPr w:rsidR="00B9311E" w:rsidRPr="00BD77D8" w:rsidSect="00496174">
          <w:pgSz w:w="16838" w:h="11909" w:orient="landscape"/>
          <w:pgMar w:top="680" w:right="680" w:bottom="680" w:left="680" w:header="720" w:footer="720" w:gutter="0"/>
          <w:cols w:space="720"/>
          <w:docGrid w:linePitch="245"/>
        </w:sectPr>
      </w:pPr>
    </w:p>
    <w:p w14:paraId="59B0E068"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19DE559"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517472E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7B69E801"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0E47C1AB" w14:textId="77777777" w:rsidR="00B9311E" w:rsidRPr="00BD77D8" w:rsidRDefault="00B9311E" w:rsidP="00727CAE">
      <w:pPr>
        <w:spacing w:before="200" w:line="252" w:lineRule="exact"/>
        <w:textAlignment w:val="baseline"/>
        <w:rPr>
          <w:rFonts w:eastAsia="Arial"/>
          <w:b/>
          <w:bCs/>
          <w:sz w:val="22"/>
          <w:szCs w:val="22"/>
          <w:lang w:eastAsia="en-US"/>
        </w:rPr>
      </w:pPr>
      <w:r w:rsidRPr="00BD77D8">
        <w:rPr>
          <w:rFonts w:eastAsia="Arial"/>
          <w:b/>
          <w:bCs/>
          <w:sz w:val="22"/>
          <w:szCs w:val="22"/>
          <w:lang w:eastAsia="en-US"/>
        </w:rPr>
        <w:t>F1 Key Management Personnel Disclosures (continued)</w:t>
      </w:r>
    </w:p>
    <w:p w14:paraId="5896FF58" w14:textId="77777777" w:rsidR="00B9311E" w:rsidRPr="00BD77D8" w:rsidRDefault="00B9311E" w:rsidP="00727CAE">
      <w:pPr>
        <w:spacing w:line="206" w:lineRule="exact"/>
        <w:textAlignment w:val="baseline"/>
        <w:rPr>
          <w:rFonts w:eastAsia="Arial"/>
          <w:b/>
          <w:bCs/>
          <w:spacing w:val="3"/>
          <w:sz w:val="18"/>
          <w:szCs w:val="18"/>
          <w:lang w:eastAsia="en-US"/>
        </w:rPr>
      </w:pPr>
      <w:r w:rsidRPr="00BD77D8">
        <w:rPr>
          <w:rFonts w:eastAsia="Arial"/>
          <w:b/>
          <w:bCs/>
          <w:spacing w:val="3"/>
          <w:sz w:val="18"/>
          <w:szCs w:val="18"/>
          <w:lang w:eastAsia="en-US"/>
        </w:rPr>
        <w:t>F1-2 Remuneration Policies</w:t>
      </w:r>
    </w:p>
    <w:p w14:paraId="1F405F67"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Ministerial remuneration entitlements are outlined in the Legislative Assembly of Queensland’s Members’ Remuneration </w:t>
      </w:r>
    </w:p>
    <w:p w14:paraId="0398AEE4"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Handbook. The department does not bear any cost of remuneration of Ministers. The majority of Ministerial entitlements are paid </w:t>
      </w:r>
    </w:p>
    <w:p w14:paraId="137A0459"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by the Legislative Assembly, with the remaining entitlements being provided by Ministerial Services Branch within the </w:t>
      </w:r>
    </w:p>
    <w:p w14:paraId="4B05818E"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Department of the Premier and Cabinet. As all Ministers are reported as KMP of the Queensland Government, aggregate </w:t>
      </w:r>
    </w:p>
    <w:p w14:paraId="2D47F968"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remuneration expenses for all Ministers </w:t>
      </w:r>
      <w:proofErr w:type="gramStart"/>
      <w:r w:rsidRPr="00BD77D8">
        <w:rPr>
          <w:rFonts w:eastAsia="Arial"/>
          <w:sz w:val="18"/>
          <w:szCs w:val="18"/>
          <w:lang w:eastAsia="en-US"/>
        </w:rPr>
        <w:t>is</w:t>
      </w:r>
      <w:proofErr w:type="gramEnd"/>
      <w:r w:rsidRPr="00BD77D8">
        <w:rPr>
          <w:rFonts w:eastAsia="Arial"/>
          <w:sz w:val="18"/>
          <w:szCs w:val="18"/>
          <w:lang w:eastAsia="en-US"/>
        </w:rPr>
        <w:t xml:space="preserve"> disclosed in the Queensland General Government and Whole of Government </w:t>
      </w:r>
    </w:p>
    <w:p w14:paraId="3D37D5EF"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sz w:val="18"/>
          <w:szCs w:val="18"/>
          <w:lang w:eastAsia="en-US"/>
        </w:rPr>
        <w:t>Consolidated Financial Statements, which are published as part of Queensland Treasury’s Report on State Finances.</w:t>
      </w:r>
    </w:p>
    <w:p w14:paraId="6A385E24"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Remuneration policy for the department's other KMP is set by the Queensland Public Service Commission as provided for under </w:t>
      </w:r>
    </w:p>
    <w:p w14:paraId="0F8082F7"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the Public Service Act 2008. Individual remuneration and other terms of employment (including motor vehicle entitlements and </w:t>
      </w:r>
    </w:p>
    <w:p w14:paraId="502D092F"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sz w:val="18"/>
          <w:szCs w:val="18"/>
          <w:lang w:eastAsia="en-US"/>
        </w:rPr>
        <w:t xml:space="preserve">performance payments if applicable) are specified in employment contracts. </w:t>
      </w:r>
    </w:p>
    <w:p w14:paraId="4EC16D80"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sz w:val="18"/>
          <w:szCs w:val="18"/>
          <w:lang w:eastAsia="en-US"/>
        </w:rPr>
        <w:t>Remuneration expenses for those KMP comprise the following components:</w:t>
      </w:r>
    </w:p>
    <w:p w14:paraId="2C41A3EB"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i/>
          <w:iCs/>
          <w:sz w:val="18"/>
          <w:szCs w:val="18"/>
          <w:u w:val="single"/>
          <w:lang w:eastAsia="en-US"/>
        </w:rPr>
        <w:t>Short-term employee expenses</w:t>
      </w:r>
      <w:r w:rsidRPr="00BD77D8">
        <w:rPr>
          <w:rFonts w:eastAsia="Arial"/>
          <w:sz w:val="18"/>
          <w:szCs w:val="18"/>
          <w:lang w:eastAsia="en-US"/>
        </w:rPr>
        <w:t>, including:</w:t>
      </w:r>
    </w:p>
    <w:p w14:paraId="6DF7280C" w14:textId="77777777" w:rsidR="00B9311E" w:rsidRPr="00BD77D8" w:rsidRDefault="00B9311E" w:rsidP="003954C5">
      <w:pPr>
        <w:numPr>
          <w:ilvl w:val="0"/>
          <w:numId w:val="80"/>
        </w:numPr>
        <w:spacing w:after="0" w:line="206" w:lineRule="exact"/>
        <w:contextualSpacing/>
        <w:textAlignment w:val="baseline"/>
        <w:rPr>
          <w:rFonts w:eastAsia="Arial"/>
          <w:b/>
          <w:bCs/>
          <w:sz w:val="18"/>
          <w:szCs w:val="18"/>
          <w:lang w:eastAsia="en-US"/>
        </w:rPr>
      </w:pPr>
      <w:r w:rsidRPr="00BD77D8">
        <w:rPr>
          <w:rFonts w:eastAsia="Arial"/>
          <w:sz w:val="18"/>
          <w:szCs w:val="18"/>
          <w:lang w:eastAsia="en-US"/>
        </w:rPr>
        <w:t xml:space="preserve">salaries, allowances and leave entitlements earned and expensed for the entire year, or for that part of the year during </w:t>
      </w:r>
    </w:p>
    <w:p w14:paraId="3DC850AA" w14:textId="77777777" w:rsidR="00B9311E" w:rsidRPr="00BD77D8" w:rsidRDefault="00B9311E" w:rsidP="00727CAE">
      <w:pPr>
        <w:spacing w:line="206" w:lineRule="exact"/>
        <w:ind w:left="720"/>
        <w:textAlignment w:val="baseline"/>
        <w:rPr>
          <w:rFonts w:eastAsia="Arial"/>
          <w:b/>
          <w:bCs/>
          <w:sz w:val="18"/>
          <w:szCs w:val="18"/>
          <w:lang w:eastAsia="en-US"/>
        </w:rPr>
      </w:pPr>
      <w:r w:rsidRPr="00BD77D8">
        <w:rPr>
          <w:rFonts w:eastAsia="Arial"/>
          <w:sz w:val="18"/>
          <w:szCs w:val="18"/>
          <w:lang w:eastAsia="en-US"/>
        </w:rPr>
        <w:t xml:space="preserve">which the employee occupied a KMP position; </w:t>
      </w:r>
    </w:p>
    <w:p w14:paraId="3FB29F7E" w14:textId="77777777" w:rsidR="00B9311E" w:rsidRPr="00BD77D8" w:rsidRDefault="00B9311E" w:rsidP="003954C5">
      <w:pPr>
        <w:numPr>
          <w:ilvl w:val="0"/>
          <w:numId w:val="80"/>
        </w:numPr>
        <w:spacing w:line="206" w:lineRule="exact"/>
        <w:textAlignment w:val="baseline"/>
        <w:rPr>
          <w:rFonts w:eastAsia="Arial"/>
          <w:b/>
          <w:bCs/>
          <w:sz w:val="18"/>
          <w:szCs w:val="18"/>
          <w:lang w:eastAsia="en-US"/>
        </w:rPr>
      </w:pPr>
      <w:r w:rsidRPr="00BD77D8">
        <w:rPr>
          <w:rFonts w:eastAsia="Arial"/>
          <w:sz w:val="18"/>
          <w:szCs w:val="18"/>
          <w:lang w:eastAsia="en-US"/>
        </w:rPr>
        <w:t>performance payments recognised as an expense during the year; and</w:t>
      </w:r>
    </w:p>
    <w:p w14:paraId="2F87D947" w14:textId="77777777" w:rsidR="00B9311E" w:rsidRPr="00BD77D8" w:rsidRDefault="00B9311E" w:rsidP="003954C5">
      <w:pPr>
        <w:numPr>
          <w:ilvl w:val="0"/>
          <w:numId w:val="80"/>
        </w:numPr>
        <w:spacing w:line="206" w:lineRule="exact"/>
        <w:textAlignment w:val="baseline"/>
        <w:rPr>
          <w:rFonts w:eastAsia="Arial"/>
          <w:b/>
          <w:bCs/>
          <w:sz w:val="18"/>
          <w:szCs w:val="18"/>
          <w:lang w:eastAsia="en-US"/>
        </w:rPr>
      </w:pPr>
      <w:r w:rsidRPr="00BD77D8">
        <w:rPr>
          <w:rFonts w:eastAsia="Arial"/>
          <w:sz w:val="18"/>
          <w:szCs w:val="18"/>
          <w:lang w:eastAsia="en-US"/>
        </w:rPr>
        <w:t>non-monetary benefits - consisting of provision of vehicle together with fringe benefits tax applicable to the benefit</w:t>
      </w:r>
    </w:p>
    <w:p w14:paraId="7017852E"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i/>
          <w:iCs/>
          <w:sz w:val="18"/>
          <w:szCs w:val="18"/>
          <w:u w:val="single"/>
          <w:lang w:eastAsia="en-US"/>
        </w:rPr>
        <w:t>Long term employee expenses</w:t>
      </w:r>
      <w:r w:rsidRPr="00BD77D8">
        <w:rPr>
          <w:rFonts w:eastAsia="Arial"/>
          <w:sz w:val="18"/>
          <w:szCs w:val="18"/>
          <w:lang w:eastAsia="en-US"/>
        </w:rPr>
        <w:t xml:space="preserve"> include amounts expensed in respect of long service leave entitlements earned. </w:t>
      </w:r>
    </w:p>
    <w:p w14:paraId="7EA2727F" w14:textId="77777777" w:rsidR="00B9311E" w:rsidRPr="00BD77D8" w:rsidRDefault="00B9311E" w:rsidP="00727CAE">
      <w:pPr>
        <w:spacing w:line="206" w:lineRule="exact"/>
        <w:textAlignment w:val="baseline"/>
        <w:rPr>
          <w:rFonts w:eastAsia="Arial"/>
          <w:b/>
          <w:bCs/>
          <w:sz w:val="18"/>
          <w:szCs w:val="18"/>
          <w:lang w:eastAsia="en-US"/>
        </w:rPr>
      </w:pPr>
      <w:r w:rsidRPr="00BD77D8">
        <w:rPr>
          <w:rFonts w:eastAsia="Arial"/>
          <w:i/>
          <w:iCs/>
          <w:sz w:val="18"/>
          <w:szCs w:val="18"/>
          <w:u w:val="single"/>
          <w:lang w:eastAsia="en-US"/>
        </w:rPr>
        <w:t>Post-employment expenses</w:t>
      </w:r>
      <w:r w:rsidRPr="00BD77D8">
        <w:rPr>
          <w:rFonts w:eastAsia="Arial"/>
          <w:sz w:val="18"/>
          <w:szCs w:val="18"/>
          <w:lang w:eastAsia="en-US"/>
        </w:rPr>
        <w:t xml:space="preserve"> include amounts expensed in respect of employer superannuation obligations. </w:t>
      </w:r>
    </w:p>
    <w:p w14:paraId="1D46CBF3"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i/>
          <w:iCs/>
          <w:sz w:val="18"/>
          <w:szCs w:val="18"/>
          <w:u w:val="single"/>
          <w:lang w:eastAsia="en-US"/>
        </w:rPr>
        <w:t>Termination benefits</w:t>
      </w:r>
      <w:r w:rsidRPr="00BD77D8">
        <w:rPr>
          <w:rFonts w:eastAsia="Arial"/>
          <w:sz w:val="18"/>
          <w:szCs w:val="18"/>
          <w:lang w:eastAsia="en-US"/>
        </w:rPr>
        <w:t xml:space="preserve"> include payments in lieu of notice on termination and other lump sum separation entitlements (excluding </w:t>
      </w:r>
    </w:p>
    <w:p w14:paraId="400AE0E0" w14:textId="77777777" w:rsidR="00B9311E" w:rsidRPr="00BD77D8" w:rsidRDefault="00B9311E" w:rsidP="00B9311E">
      <w:pPr>
        <w:spacing w:after="0" w:line="206" w:lineRule="exact"/>
        <w:textAlignment w:val="baseline"/>
        <w:rPr>
          <w:rFonts w:eastAsia="Arial"/>
          <w:b/>
          <w:bCs/>
          <w:sz w:val="18"/>
          <w:szCs w:val="18"/>
          <w:lang w:eastAsia="en-US"/>
        </w:rPr>
      </w:pPr>
      <w:r w:rsidRPr="00BD77D8">
        <w:rPr>
          <w:rFonts w:eastAsia="Arial"/>
          <w:sz w:val="18"/>
          <w:szCs w:val="18"/>
          <w:lang w:eastAsia="en-US"/>
        </w:rPr>
        <w:t xml:space="preserve">annual and long service leave entitlements) payable on termination of employment or acceptance of an offer of termination of </w:t>
      </w:r>
    </w:p>
    <w:p w14:paraId="7C61C2AB" w14:textId="77777777" w:rsidR="00B9311E" w:rsidRPr="00BD77D8" w:rsidRDefault="00B9311E" w:rsidP="00727CAE">
      <w:pPr>
        <w:spacing w:line="206" w:lineRule="exact"/>
        <w:textAlignment w:val="baseline"/>
        <w:rPr>
          <w:rFonts w:eastAsia="Arial"/>
          <w:b/>
          <w:bCs/>
          <w:spacing w:val="2"/>
          <w:sz w:val="18"/>
          <w:szCs w:val="18"/>
          <w:lang w:eastAsia="en-US"/>
        </w:rPr>
      </w:pPr>
      <w:r w:rsidRPr="00BD77D8">
        <w:rPr>
          <w:rFonts w:eastAsia="Arial"/>
          <w:sz w:val="18"/>
          <w:szCs w:val="18"/>
          <w:lang w:eastAsia="en-US"/>
        </w:rPr>
        <w:t>employment.</w:t>
      </w:r>
      <w:r w:rsidRPr="00BD77D8">
        <w:rPr>
          <w:rFonts w:eastAsia="Arial"/>
          <w:spacing w:val="2"/>
          <w:sz w:val="18"/>
          <w:szCs w:val="18"/>
          <w:lang w:eastAsia="en-US"/>
        </w:rPr>
        <w:t xml:space="preserve"> </w:t>
      </w:r>
    </w:p>
    <w:p w14:paraId="47528E86" w14:textId="77777777" w:rsidR="00B9311E" w:rsidRPr="00BD77D8" w:rsidRDefault="00B9311E" w:rsidP="00727CAE">
      <w:pPr>
        <w:spacing w:line="206" w:lineRule="exact"/>
        <w:textAlignment w:val="baseline"/>
        <w:rPr>
          <w:rFonts w:eastAsia="Arial"/>
          <w:b/>
          <w:bCs/>
          <w:spacing w:val="2"/>
          <w:sz w:val="18"/>
          <w:szCs w:val="18"/>
          <w:lang w:eastAsia="en-US"/>
        </w:rPr>
      </w:pPr>
      <w:r w:rsidRPr="00BD77D8">
        <w:rPr>
          <w:rFonts w:eastAsia="Arial"/>
          <w:b/>
          <w:bCs/>
          <w:spacing w:val="2"/>
          <w:sz w:val="18"/>
          <w:szCs w:val="18"/>
          <w:lang w:eastAsia="en-US"/>
        </w:rPr>
        <w:t>F1-3 Performance Payments</w:t>
      </w:r>
    </w:p>
    <w:p w14:paraId="3BAE6F89" w14:textId="77777777" w:rsidR="00B9311E" w:rsidRPr="00BD77D8" w:rsidRDefault="00B9311E" w:rsidP="00727CAE">
      <w:pPr>
        <w:spacing w:line="205" w:lineRule="exact"/>
        <w:textAlignment w:val="baseline"/>
        <w:rPr>
          <w:rFonts w:eastAsia="Arial"/>
          <w:b/>
          <w:bCs/>
          <w:sz w:val="18"/>
          <w:szCs w:val="18"/>
          <w:lang w:eastAsia="en-US"/>
        </w:rPr>
      </w:pPr>
      <w:r w:rsidRPr="00BD77D8">
        <w:rPr>
          <w:rFonts w:eastAsia="Arial"/>
          <w:sz w:val="18"/>
          <w:szCs w:val="18"/>
          <w:lang w:eastAsia="en-US"/>
        </w:rPr>
        <w:t>No remuneration packages for KMP provide for any performance or bonus payments.</w:t>
      </w:r>
    </w:p>
    <w:p w14:paraId="5ED1FF02" w14:textId="77777777" w:rsidR="00B9311E" w:rsidRPr="00BD77D8" w:rsidRDefault="00B9311E" w:rsidP="007D087A">
      <w:pPr>
        <w:rPr>
          <w:rFonts w:eastAsia="Arial"/>
          <w:b/>
          <w:bCs/>
          <w:sz w:val="22"/>
          <w:szCs w:val="22"/>
          <w:lang w:eastAsia="en-US"/>
        </w:rPr>
      </w:pPr>
      <w:bookmarkStart w:id="606" w:name="_Toc111494823"/>
      <w:bookmarkStart w:id="607" w:name="_Toc111540695"/>
      <w:bookmarkStart w:id="608" w:name="_Toc111559259"/>
      <w:bookmarkStart w:id="609" w:name="_Toc113196531"/>
      <w:bookmarkStart w:id="610" w:name="_Toc113196879"/>
      <w:bookmarkStart w:id="611" w:name="_Toc113262009"/>
      <w:bookmarkStart w:id="612" w:name="_Toc113349163"/>
      <w:bookmarkStart w:id="613" w:name="_Toc113358088"/>
      <w:r w:rsidRPr="00BD77D8">
        <w:rPr>
          <w:rFonts w:eastAsia="Arial"/>
          <w:b/>
          <w:bCs/>
          <w:sz w:val="22"/>
          <w:szCs w:val="22"/>
          <w:lang w:eastAsia="en-US"/>
        </w:rPr>
        <w:t>F2 Related Party Transactions</w:t>
      </w:r>
      <w:bookmarkEnd w:id="606"/>
      <w:bookmarkEnd w:id="607"/>
      <w:bookmarkEnd w:id="608"/>
      <w:bookmarkEnd w:id="609"/>
      <w:bookmarkEnd w:id="610"/>
      <w:bookmarkEnd w:id="611"/>
      <w:bookmarkEnd w:id="612"/>
      <w:bookmarkEnd w:id="613"/>
    </w:p>
    <w:p w14:paraId="20C2A510" w14:textId="77777777" w:rsidR="00B9311E" w:rsidRPr="00BD77D8" w:rsidRDefault="00B9311E" w:rsidP="00727CAE">
      <w:pPr>
        <w:spacing w:line="206" w:lineRule="exact"/>
        <w:textAlignment w:val="baseline"/>
        <w:rPr>
          <w:rFonts w:eastAsia="Arial"/>
          <w:b/>
          <w:bCs/>
          <w:spacing w:val="1"/>
          <w:sz w:val="18"/>
          <w:szCs w:val="18"/>
          <w:lang w:eastAsia="en-US"/>
        </w:rPr>
      </w:pPr>
      <w:r w:rsidRPr="00BD77D8">
        <w:rPr>
          <w:rFonts w:eastAsia="Arial"/>
          <w:b/>
          <w:bCs/>
          <w:spacing w:val="1"/>
          <w:sz w:val="18"/>
          <w:szCs w:val="18"/>
          <w:lang w:eastAsia="en-US"/>
        </w:rPr>
        <w:t>F2-1 Transactions with other Queensland Government-controlled entities</w:t>
      </w:r>
    </w:p>
    <w:p w14:paraId="396F36B2" w14:textId="77777777" w:rsidR="00B9311E" w:rsidRPr="00BD77D8" w:rsidRDefault="00B9311E" w:rsidP="00727CAE">
      <w:pPr>
        <w:spacing w:line="206" w:lineRule="exact"/>
        <w:ind w:right="288"/>
        <w:textAlignment w:val="baseline"/>
        <w:rPr>
          <w:rFonts w:eastAsia="Arial"/>
          <w:b/>
          <w:bCs/>
          <w:sz w:val="18"/>
          <w:szCs w:val="18"/>
          <w:lang w:eastAsia="en-US"/>
        </w:rPr>
      </w:pPr>
      <w:r w:rsidRPr="00BD77D8">
        <w:rPr>
          <w:rFonts w:eastAsia="Arial"/>
          <w:sz w:val="18"/>
          <w:szCs w:val="18"/>
          <w:lang w:eastAsia="en-US"/>
        </w:rPr>
        <w:t>The department’s primary ongoing sources of funding from State Government for its services are appropriation revenue (refer Note B1-1) and equity injections (refer Note C8-2), both of which are provided in cash via Queensland Treasury.</w:t>
      </w:r>
    </w:p>
    <w:p w14:paraId="530DE05B" w14:textId="77777777" w:rsidR="00B9311E" w:rsidRPr="00BD77D8" w:rsidRDefault="00B9311E" w:rsidP="00B9311E">
      <w:pPr>
        <w:spacing w:after="0" w:line="207" w:lineRule="exact"/>
        <w:ind w:right="144"/>
        <w:textAlignment w:val="baseline"/>
        <w:rPr>
          <w:rFonts w:eastAsia="Arial"/>
          <w:b/>
          <w:bCs/>
          <w:sz w:val="18"/>
          <w:szCs w:val="18"/>
          <w:lang w:eastAsia="en-US"/>
        </w:rPr>
      </w:pPr>
      <w:r w:rsidRPr="00BD77D8">
        <w:rPr>
          <w:rFonts w:eastAsia="Arial"/>
          <w:sz w:val="18"/>
          <w:szCs w:val="18"/>
          <w:lang w:eastAsia="en-US"/>
        </w:rPr>
        <w:t xml:space="preserve">The department’s primary source of accommodation, motor vehicles and asset </w:t>
      </w:r>
      <w:proofErr w:type="gramStart"/>
      <w:r w:rsidRPr="00BD77D8">
        <w:rPr>
          <w:rFonts w:eastAsia="Arial"/>
          <w:sz w:val="18"/>
          <w:szCs w:val="18"/>
          <w:lang w:eastAsia="en-US"/>
        </w:rPr>
        <w:t>works</w:t>
      </w:r>
      <w:proofErr w:type="gramEnd"/>
      <w:r w:rsidRPr="00BD77D8">
        <w:rPr>
          <w:rFonts w:eastAsia="Arial"/>
          <w:sz w:val="18"/>
          <w:szCs w:val="18"/>
          <w:lang w:eastAsia="en-US"/>
        </w:rPr>
        <w:t xml:space="preserve"> and repairs are managed through the Department of Energy and Public Works.</w:t>
      </w:r>
    </w:p>
    <w:p w14:paraId="5664D627" w14:textId="77777777" w:rsidR="00B9311E" w:rsidRPr="00BD77D8" w:rsidRDefault="00B9311E" w:rsidP="00B9311E">
      <w:pPr>
        <w:spacing w:before="240" w:after="0" w:line="206" w:lineRule="exact"/>
        <w:ind w:right="864"/>
        <w:textAlignment w:val="baseline"/>
        <w:rPr>
          <w:rFonts w:eastAsia="PMingLiU"/>
          <w:b/>
          <w:bCs/>
          <w:sz w:val="18"/>
          <w:szCs w:val="22"/>
          <w:lang w:eastAsia="en-US"/>
        </w:rPr>
      </w:pPr>
      <w:r w:rsidRPr="00BD77D8">
        <w:rPr>
          <w:rFonts w:eastAsia="PMingLiU"/>
          <w:sz w:val="18"/>
          <w:szCs w:val="22"/>
          <w:lang w:eastAsia="en-US"/>
        </w:rPr>
        <w:t>The department purchases a range of services provided by other State Agencies under Memorandum of Understanding arrangements (MOU). These includes Information, Communication and Technology services from the Department of Children, Youth Justice and Multicultural Affairs, and transactional payroll and financial processing services from the Department of Communities, Housing and Digital Economy.  </w:t>
      </w:r>
    </w:p>
    <w:p w14:paraId="757880DD" w14:textId="77777777" w:rsidR="00B9311E" w:rsidRPr="00BD77D8" w:rsidRDefault="00B9311E" w:rsidP="00727CAE">
      <w:pPr>
        <w:spacing w:before="240" w:line="206" w:lineRule="exact"/>
        <w:ind w:right="864"/>
        <w:textAlignment w:val="baseline"/>
        <w:rPr>
          <w:rFonts w:eastAsia="PMingLiU"/>
          <w:b/>
          <w:bCs/>
          <w:sz w:val="18"/>
          <w:szCs w:val="22"/>
          <w:lang w:eastAsia="en-US"/>
        </w:rPr>
      </w:pPr>
      <w:r w:rsidRPr="00BD77D8">
        <w:rPr>
          <w:rFonts w:eastAsia="PMingLiU"/>
          <w:sz w:val="18"/>
          <w:szCs w:val="22"/>
          <w:lang w:eastAsia="en-US"/>
        </w:rPr>
        <w:t>The department also purchases services from Queensland Police and the Department of Transport and Main Roads to support Disability Worker Screening processes (refer Note B2-2).</w:t>
      </w:r>
    </w:p>
    <w:p w14:paraId="037709EC" w14:textId="77777777" w:rsidR="00B9311E" w:rsidRPr="00BD77D8" w:rsidRDefault="00B9311E" w:rsidP="00727CAE">
      <w:pPr>
        <w:spacing w:line="206" w:lineRule="exact"/>
        <w:textAlignment w:val="baseline"/>
        <w:rPr>
          <w:rFonts w:eastAsia="Arial"/>
          <w:b/>
          <w:bCs/>
          <w:spacing w:val="1"/>
          <w:sz w:val="18"/>
          <w:szCs w:val="18"/>
          <w:lang w:eastAsia="en-US"/>
        </w:rPr>
      </w:pPr>
      <w:r w:rsidRPr="00BD77D8">
        <w:rPr>
          <w:rFonts w:eastAsia="Arial"/>
          <w:b/>
          <w:bCs/>
          <w:spacing w:val="1"/>
          <w:sz w:val="18"/>
          <w:szCs w:val="18"/>
          <w:lang w:eastAsia="en-US"/>
        </w:rPr>
        <w:t>F2-2 Transactions with people/entities related to KMP</w:t>
      </w:r>
    </w:p>
    <w:p w14:paraId="6F9C423E" w14:textId="77777777" w:rsidR="00B9311E" w:rsidRPr="00BD77D8" w:rsidRDefault="00B9311E" w:rsidP="00B9311E">
      <w:pPr>
        <w:spacing w:after="0" w:line="206" w:lineRule="exact"/>
        <w:ind w:right="288"/>
        <w:textAlignment w:val="baseline"/>
        <w:rPr>
          <w:rFonts w:eastAsia="Arial"/>
          <w:b/>
          <w:bCs/>
          <w:sz w:val="18"/>
          <w:szCs w:val="18"/>
          <w:lang w:eastAsia="en-US"/>
        </w:rPr>
      </w:pPr>
      <w:r w:rsidRPr="00BD77D8">
        <w:rPr>
          <w:rFonts w:eastAsia="Arial"/>
          <w:sz w:val="18"/>
          <w:szCs w:val="18"/>
          <w:lang w:eastAsia="en-US"/>
        </w:rPr>
        <w:t>Based upon KMP declarations, there have been no transactions with related parties that have materially affected the agency’s operating result and/or financial position.</w:t>
      </w:r>
    </w:p>
    <w:p w14:paraId="58A63D02" w14:textId="5E4409FA" w:rsidR="00B9311E" w:rsidRPr="00BD77D8" w:rsidRDefault="00DD09A8" w:rsidP="00B9311E">
      <w:pPr>
        <w:spacing w:after="0" w:line="240" w:lineRule="auto"/>
        <w:rPr>
          <w:rFonts w:eastAsia="Arial"/>
          <w:b/>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37 of 45</w:t>
      </w:r>
      <w:r w:rsidR="00B9311E" w:rsidRPr="00BD77D8">
        <w:rPr>
          <w:rFonts w:eastAsia="Arial"/>
          <w:sz w:val="18"/>
          <w:szCs w:val="18"/>
          <w:lang w:eastAsia="en-US"/>
        </w:rPr>
        <w:br w:type="page"/>
      </w:r>
    </w:p>
    <w:p w14:paraId="7C7F528F"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3B8F3A2D"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00B79E81"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1F485949"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59C83A68" w14:textId="77777777" w:rsidR="00B9311E" w:rsidRPr="00BD77D8" w:rsidRDefault="00B9311E" w:rsidP="00727CAE">
      <w:pPr>
        <w:spacing w:before="200"/>
        <w:rPr>
          <w:rFonts w:eastAsia="Arial"/>
          <w:b/>
          <w:bCs/>
          <w:sz w:val="22"/>
          <w:szCs w:val="22"/>
          <w:lang w:eastAsia="en-US"/>
        </w:rPr>
      </w:pPr>
      <w:bookmarkStart w:id="614" w:name="_Toc111494824"/>
      <w:bookmarkStart w:id="615" w:name="_Toc111540696"/>
      <w:bookmarkStart w:id="616" w:name="_Toc111559260"/>
      <w:bookmarkStart w:id="617" w:name="_Toc113196532"/>
      <w:bookmarkStart w:id="618" w:name="_Toc113196880"/>
      <w:bookmarkStart w:id="619" w:name="_Toc113262010"/>
      <w:bookmarkStart w:id="620" w:name="_Toc113349164"/>
      <w:bookmarkStart w:id="621" w:name="_Toc113358089"/>
      <w:r w:rsidRPr="00BD77D8">
        <w:rPr>
          <w:rFonts w:eastAsia="Arial"/>
          <w:b/>
          <w:bCs/>
          <w:sz w:val="22"/>
          <w:szCs w:val="22"/>
          <w:lang w:eastAsia="en-US"/>
        </w:rPr>
        <w:t>F3 First Year Application of New Accounting Standards or Change in Accounting Policy</w:t>
      </w:r>
      <w:bookmarkEnd w:id="614"/>
      <w:bookmarkEnd w:id="615"/>
      <w:bookmarkEnd w:id="616"/>
      <w:bookmarkEnd w:id="617"/>
      <w:bookmarkEnd w:id="618"/>
      <w:bookmarkEnd w:id="619"/>
      <w:bookmarkEnd w:id="620"/>
      <w:bookmarkEnd w:id="621"/>
    </w:p>
    <w:p w14:paraId="45E60C52" w14:textId="77777777" w:rsidR="00B9311E" w:rsidRPr="00BD77D8" w:rsidRDefault="00B9311E" w:rsidP="00727CAE">
      <w:pPr>
        <w:spacing w:line="206" w:lineRule="exact"/>
        <w:ind w:right="289"/>
        <w:textAlignment w:val="baseline"/>
        <w:rPr>
          <w:rFonts w:eastAsia="PMingLiU"/>
          <w:b/>
          <w:bCs/>
          <w:sz w:val="18"/>
          <w:szCs w:val="22"/>
          <w:lang w:eastAsia="en-US"/>
        </w:rPr>
      </w:pPr>
      <w:r w:rsidRPr="00BD77D8">
        <w:rPr>
          <w:rFonts w:eastAsia="PMingLiU"/>
          <w:b/>
          <w:bCs/>
          <w:sz w:val="18"/>
          <w:szCs w:val="22"/>
          <w:lang w:eastAsia="en-US"/>
        </w:rPr>
        <w:t>Accounting standards applied for the first time</w:t>
      </w:r>
    </w:p>
    <w:p w14:paraId="58C66E40"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No new accounting standards or interpretations that apply to the department for the first time in 2021-22 had any material impact on the financial statements.</w:t>
      </w:r>
    </w:p>
    <w:p w14:paraId="0B02BA69"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Following the issuance of IFRIC’s agenda decision on Configuration or Customisation Costs in a Cloud Computing Arrangement in April 2021, the department has changed its accounting policy for certain cloud computing and software-as-a-service (SaaS) costs. The effect of this change is detailed in Note F3-1 below.</w:t>
      </w:r>
    </w:p>
    <w:p w14:paraId="1DF2A535"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b/>
          <w:bCs/>
          <w:sz w:val="18"/>
          <w:szCs w:val="18"/>
          <w:lang w:eastAsia="en-US"/>
        </w:rPr>
        <w:t>Accounting standards early adopted</w:t>
      </w:r>
    </w:p>
    <w:p w14:paraId="486B6089"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No Australian Accounting Standards have been early adopted for 2021-22.</w:t>
      </w:r>
    </w:p>
    <w:p w14:paraId="2AD651F5"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b/>
          <w:bCs/>
          <w:sz w:val="18"/>
          <w:szCs w:val="18"/>
          <w:lang w:eastAsia="en-US"/>
        </w:rPr>
        <w:t>F3-1 Configuration or Customisation Costs in a Cloud Computing Arrangement</w:t>
      </w:r>
    </w:p>
    <w:p w14:paraId="22AC98A0"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b/>
          <w:bCs/>
          <w:sz w:val="18"/>
          <w:szCs w:val="18"/>
          <w:lang w:eastAsia="en-US"/>
        </w:rPr>
        <w:t xml:space="preserve">Summary of change in accounting policy </w:t>
      </w:r>
    </w:p>
    <w:p w14:paraId="7A1BF15E" w14:textId="77777777" w:rsidR="00B9311E" w:rsidRPr="00BD77D8" w:rsidRDefault="00B9311E" w:rsidP="00B9311E">
      <w:pPr>
        <w:spacing w:after="0" w:line="206" w:lineRule="exact"/>
        <w:ind w:right="288"/>
        <w:textAlignment w:val="baseline"/>
        <w:rPr>
          <w:rFonts w:eastAsia="Arial"/>
          <w:b/>
          <w:bCs/>
          <w:sz w:val="18"/>
          <w:szCs w:val="18"/>
          <w:lang w:eastAsia="en-US"/>
        </w:rPr>
      </w:pPr>
      <w:r w:rsidRPr="00BD77D8">
        <w:rPr>
          <w:rFonts w:eastAsia="Arial"/>
          <w:sz w:val="18"/>
          <w:szCs w:val="18"/>
          <w:lang w:eastAsia="en-US"/>
        </w:rPr>
        <w:t xml:space="preserve">The department changed its accounting policies in 2021-22 after completing a full analysis of the department’s previously </w:t>
      </w:r>
    </w:p>
    <w:p w14:paraId="1D07A54D"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 xml:space="preserve">capitalised software in response to the IFRIC agenda decision released in March 2021. </w:t>
      </w:r>
    </w:p>
    <w:p w14:paraId="19BCE192"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The department’s new accounting policy now considers where the software code resides, whether it is identifiable and whether the department has the power to both obtain economic benefits from the software and restrict the access of others to those benefits. Configuration or customisation costs that do not qualify for recognition as an intangible asset are further assessed as to the appropriate timing of expense recognition, using the following criteria:</w:t>
      </w:r>
    </w:p>
    <w:p w14:paraId="1E2C10F9" w14:textId="77777777" w:rsidR="00B9311E" w:rsidRPr="00BD77D8" w:rsidRDefault="00B9311E" w:rsidP="003954C5">
      <w:pPr>
        <w:numPr>
          <w:ilvl w:val="0"/>
          <w:numId w:val="79"/>
        </w:numPr>
        <w:spacing w:line="206" w:lineRule="exact"/>
        <w:ind w:right="289"/>
        <w:textAlignment w:val="baseline"/>
        <w:rPr>
          <w:rFonts w:eastAsia="Arial"/>
          <w:b/>
          <w:bCs/>
          <w:sz w:val="18"/>
          <w:szCs w:val="18"/>
          <w:lang w:eastAsia="en-US"/>
        </w:rPr>
      </w:pPr>
      <w:r w:rsidRPr="00BD77D8">
        <w:rPr>
          <w:rFonts w:eastAsia="Arial"/>
          <w:sz w:val="18"/>
          <w:szCs w:val="18"/>
          <w:lang w:eastAsia="en-US"/>
        </w:rPr>
        <w:t>Where the configuration or customisation is considered a distinct (</w:t>
      </w:r>
      <w:proofErr w:type="gramStart"/>
      <w:r w:rsidRPr="00BD77D8">
        <w:rPr>
          <w:rFonts w:eastAsia="Arial"/>
          <w:sz w:val="18"/>
          <w:szCs w:val="18"/>
          <w:lang w:eastAsia="en-US"/>
        </w:rPr>
        <w:t>i.e.</w:t>
      </w:r>
      <w:proofErr w:type="gramEnd"/>
      <w:r w:rsidRPr="00BD77D8">
        <w:rPr>
          <w:rFonts w:eastAsia="Arial"/>
          <w:sz w:val="18"/>
          <w:szCs w:val="18"/>
          <w:lang w:eastAsia="en-US"/>
        </w:rPr>
        <w:t xml:space="preserve"> separately identifiable) service from the subsequent access to the cloud software, the costs are expensed when the configuration or customisation services are received. This is typically the case when the vendor providing the services is different from the vendor providing access to the software. </w:t>
      </w:r>
    </w:p>
    <w:p w14:paraId="1494A2B4" w14:textId="77777777" w:rsidR="00B9311E" w:rsidRPr="00BD77D8" w:rsidRDefault="00B9311E" w:rsidP="003954C5">
      <w:pPr>
        <w:numPr>
          <w:ilvl w:val="0"/>
          <w:numId w:val="79"/>
        </w:numPr>
        <w:spacing w:after="0" w:line="206" w:lineRule="exact"/>
        <w:ind w:right="288"/>
        <w:contextualSpacing/>
        <w:textAlignment w:val="baseline"/>
        <w:rPr>
          <w:rFonts w:eastAsia="Arial"/>
          <w:b/>
          <w:bCs/>
          <w:sz w:val="18"/>
          <w:szCs w:val="18"/>
          <w:lang w:eastAsia="en-US"/>
        </w:rPr>
      </w:pPr>
      <w:r w:rsidRPr="00BD77D8">
        <w:rPr>
          <w:rFonts w:eastAsia="Arial"/>
          <w:sz w:val="18"/>
          <w:szCs w:val="18"/>
          <w:lang w:eastAsia="en-US"/>
        </w:rPr>
        <w:t xml:space="preserve">Where the configuration or customisation is not a distinct service from the department’s right to access the software, the costs are expensed over the period of access on a straight-line basis. A prepayment asset is recognised when the payment is made </w:t>
      </w:r>
      <w:proofErr w:type="spellStart"/>
      <w:r w:rsidRPr="00BD77D8">
        <w:rPr>
          <w:rFonts w:eastAsia="Arial"/>
          <w:sz w:val="18"/>
          <w:szCs w:val="18"/>
          <w:lang w:eastAsia="en-US"/>
        </w:rPr>
        <w:t>upfront</w:t>
      </w:r>
      <w:proofErr w:type="spellEnd"/>
      <w:r w:rsidRPr="00BD77D8">
        <w:rPr>
          <w:rFonts w:eastAsia="Arial"/>
          <w:sz w:val="18"/>
          <w:szCs w:val="18"/>
          <w:lang w:eastAsia="en-US"/>
        </w:rPr>
        <w:t xml:space="preserve">. This is usually the case when the same vendor is providing both the configuration </w:t>
      </w:r>
      <w:proofErr w:type="gramStart"/>
      <w:r w:rsidRPr="00BD77D8">
        <w:rPr>
          <w:rFonts w:eastAsia="Arial"/>
          <w:sz w:val="18"/>
          <w:szCs w:val="18"/>
          <w:lang w:eastAsia="en-US"/>
        </w:rPr>
        <w:t>or</w:t>
      </w:r>
      <w:proofErr w:type="gramEnd"/>
      <w:r w:rsidRPr="00BD77D8">
        <w:rPr>
          <w:rFonts w:eastAsia="Arial"/>
          <w:sz w:val="18"/>
          <w:szCs w:val="18"/>
          <w:lang w:eastAsia="en-US"/>
        </w:rPr>
        <w:t xml:space="preserve"> </w:t>
      </w:r>
    </w:p>
    <w:p w14:paraId="25327DBA" w14:textId="77777777" w:rsidR="00B9311E" w:rsidRPr="00BD77D8" w:rsidRDefault="00B9311E" w:rsidP="00727CAE">
      <w:pPr>
        <w:spacing w:line="206" w:lineRule="exact"/>
        <w:ind w:right="289" w:firstLine="720"/>
        <w:textAlignment w:val="baseline"/>
        <w:rPr>
          <w:rFonts w:eastAsia="Arial"/>
          <w:b/>
          <w:bCs/>
          <w:sz w:val="18"/>
          <w:szCs w:val="18"/>
          <w:lang w:eastAsia="en-US"/>
        </w:rPr>
      </w:pPr>
      <w:r w:rsidRPr="00BD77D8">
        <w:rPr>
          <w:rFonts w:eastAsia="Arial"/>
          <w:sz w:val="18"/>
          <w:szCs w:val="18"/>
          <w:lang w:eastAsia="en-US"/>
        </w:rPr>
        <w:t xml:space="preserve">customisation services and the access to the cloud software. </w:t>
      </w:r>
    </w:p>
    <w:p w14:paraId="4025E085"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 xml:space="preserve">Any software that qualifies as an intangible asset is recognised and accounted for in accordance with the department’s existing accounting policies on software assets in Note C5, which have not changed. </w:t>
      </w:r>
    </w:p>
    <w:p w14:paraId="44F118EC"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sz w:val="18"/>
          <w:szCs w:val="18"/>
          <w:lang w:eastAsia="en-US"/>
        </w:rPr>
        <w:t>The changes have been applied retrospectively with an adjustment of comparative opening balances at 1 July 2020. However, a separate statement of financial position as at 1 July 2020 is not provided because the overall impact of these changes is not considered material.</w:t>
      </w:r>
    </w:p>
    <w:p w14:paraId="2CC90115" w14:textId="77777777" w:rsidR="00B9311E" w:rsidRPr="00BD77D8" w:rsidRDefault="00B9311E" w:rsidP="00727CAE">
      <w:pPr>
        <w:spacing w:line="206" w:lineRule="exact"/>
        <w:ind w:right="289"/>
        <w:textAlignment w:val="baseline"/>
        <w:rPr>
          <w:rFonts w:eastAsia="Arial"/>
          <w:b/>
          <w:bCs/>
          <w:sz w:val="18"/>
          <w:szCs w:val="18"/>
          <w:lang w:eastAsia="en-US"/>
        </w:rPr>
      </w:pPr>
      <w:r w:rsidRPr="00BD77D8">
        <w:rPr>
          <w:rFonts w:eastAsia="Arial"/>
          <w:b/>
          <w:bCs/>
          <w:sz w:val="18"/>
          <w:szCs w:val="18"/>
          <w:lang w:eastAsia="en-US"/>
        </w:rPr>
        <w:t>Impact of changes</w:t>
      </w:r>
    </w:p>
    <w:p w14:paraId="1D884294" w14:textId="77777777" w:rsidR="00B9311E" w:rsidRPr="00BD77D8" w:rsidRDefault="00B9311E" w:rsidP="00B9311E">
      <w:pPr>
        <w:spacing w:after="0" w:line="206" w:lineRule="exact"/>
        <w:ind w:right="288"/>
        <w:textAlignment w:val="baseline"/>
        <w:rPr>
          <w:rFonts w:eastAsia="Arial"/>
          <w:b/>
          <w:bCs/>
          <w:sz w:val="18"/>
          <w:szCs w:val="18"/>
          <w:lang w:eastAsia="en-US"/>
        </w:rPr>
      </w:pPr>
      <w:r w:rsidRPr="00BD77D8">
        <w:rPr>
          <w:rFonts w:eastAsia="Arial"/>
          <w:sz w:val="18"/>
          <w:szCs w:val="18"/>
          <w:lang w:eastAsia="en-US"/>
        </w:rPr>
        <w:t xml:space="preserve">As a result of the change in accounting policy, $0.507M of capitalised software intangible assets as at 1 July 2020 have been </w:t>
      </w:r>
    </w:p>
    <w:p w14:paraId="0F6EF6F8" w14:textId="77777777" w:rsidR="00B9311E" w:rsidRPr="00BD77D8" w:rsidRDefault="00B9311E" w:rsidP="00B9311E">
      <w:pPr>
        <w:spacing w:after="0" w:line="206" w:lineRule="exact"/>
        <w:ind w:right="288"/>
        <w:textAlignment w:val="baseline"/>
        <w:rPr>
          <w:rFonts w:eastAsia="Arial"/>
          <w:b/>
          <w:bCs/>
          <w:sz w:val="18"/>
          <w:szCs w:val="18"/>
          <w:lang w:eastAsia="en-US"/>
        </w:rPr>
      </w:pPr>
      <w:r w:rsidRPr="00BD77D8">
        <w:rPr>
          <w:rFonts w:eastAsia="Arial"/>
          <w:sz w:val="18"/>
          <w:szCs w:val="18"/>
          <w:lang w:eastAsia="en-US"/>
        </w:rPr>
        <w:t xml:space="preserve">expensed through opening accumulated surplus, with a $0.066M reduction in 2020-21’s reported amortisation expense. </w:t>
      </w:r>
    </w:p>
    <w:p w14:paraId="60E24163" w14:textId="25163066" w:rsidR="00B9311E" w:rsidRPr="00BD77D8" w:rsidRDefault="00FC037C" w:rsidP="0089639E">
      <w:pPr>
        <w:spacing w:before="2160" w:after="0" w:line="201" w:lineRule="exact"/>
        <w:textAlignment w:val="baseline"/>
        <w:rPr>
          <w:rFonts w:eastAsia="Arial"/>
          <w:bCs/>
          <w:sz w:val="18"/>
          <w:szCs w:val="18"/>
          <w:lang w:eastAsia="en-US"/>
        </w:rPr>
      </w:pP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r>
      <w:r w:rsidRPr="00BD77D8">
        <w:rPr>
          <w:rFonts w:eastAsia="Arial"/>
          <w:bCs/>
          <w:sz w:val="18"/>
          <w:szCs w:val="18"/>
          <w:lang w:eastAsia="en-US"/>
        </w:rPr>
        <w:tab/>
        <w:t>Page 38 of 45</w:t>
      </w:r>
    </w:p>
    <w:p w14:paraId="3C5B348A" w14:textId="77777777" w:rsidR="0089639E" w:rsidRPr="00BD77D8" w:rsidRDefault="0089639E">
      <w:pPr>
        <w:spacing w:after="0" w:line="240" w:lineRule="auto"/>
        <w:rPr>
          <w:rFonts w:eastAsia="Arial"/>
          <w:b/>
          <w:bCs/>
          <w:sz w:val="18"/>
          <w:szCs w:val="18"/>
          <w:lang w:eastAsia="en-US"/>
        </w:rPr>
      </w:pPr>
      <w:r w:rsidRPr="00BD77D8">
        <w:rPr>
          <w:rFonts w:eastAsia="Arial"/>
          <w:b/>
          <w:bCs/>
          <w:sz w:val="18"/>
          <w:szCs w:val="18"/>
          <w:lang w:eastAsia="en-US"/>
        </w:rPr>
        <w:br w:type="page"/>
      </w:r>
    </w:p>
    <w:p w14:paraId="6BD9AE34" w14:textId="2FBB37DF"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8FCFF26"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3CD50AD4" w14:textId="77777777" w:rsidR="00B9311E" w:rsidRPr="00BD77D8" w:rsidRDefault="00B9311E" w:rsidP="00B9311E">
      <w:pPr>
        <w:spacing w:after="0" w:line="201"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540D3F6E" w14:textId="77777777" w:rsidR="00B9311E" w:rsidRPr="00BD77D8" w:rsidRDefault="00B9311E" w:rsidP="00B9311E">
      <w:pPr>
        <w:pBdr>
          <w:bottom w:val="single" w:sz="4" w:space="1" w:color="auto"/>
        </w:pBdr>
        <w:spacing w:after="0" w:line="252" w:lineRule="exact"/>
        <w:textAlignment w:val="baseline"/>
        <w:rPr>
          <w:rFonts w:eastAsia="Arial"/>
          <w:b/>
          <w:sz w:val="18"/>
          <w:szCs w:val="18"/>
          <w:lang w:eastAsia="en-US"/>
        </w:rPr>
      </w:pPr>
    </w:p>
    <w:p w14:paraId="18494BE7" w14:textId="77777777" w:rsidR="00B9311E" w:rsidRPr="00BD77D8" w:rsidRDefault="00B9311E" w:rsidP="00727CAE">
      <w:pPr>
        <w:spacing w:before="200"/>
        <w:rPr>
          <w:rFonts w:eastAsia="Arial"/>
          <w:b/>
          <w:bCs/>
          <w:sz w:val="22"/>
          <w:szCs w:val="22"/>
          <w:lang w:eastAsia="en-US"/>
        </w:rPr>
      </w:pPr>
      <w:bookmarkStart w:id="622" w:name="_Toc111494825"/>
      <w:bookmarkStart w:id="623" w:name="_Toc111540697"/>
      <w:bookmarkStart w:id="624" w:name="_Toc111559261"/>
      <w:bookmarkStart w:id="625" w:name="_Toc113196533"/>
      <w:bookmarkStart w:id="626" w:name="_Toc113196881"/>
      <w:bookmarkStart w:id="627" w:name="_Toc113262011"/>
      <w:bookmarkStart w:id="628" w:name="_Toc113349165"/>
      <w:bookmarkStart w:id="629" w:name="_Toc113358090"/>
      <w:bookmarkStart w:id="630" w:name="_Hlk98334811"/>
      <w:r w:rsidRPr="00BD77D8">
        <w:rPr>
          <w:rFonts w:eastAsia="Arial"/>
          <w:b/>
          <w:bCs/>
          <w:sz w:val="22"/>
          <w:szCs w:val="22"/>
          <w:lang w:eastAsia="en-US"/>
        </w:rPr>
        <w:t>F4 Climate Risk Assessment</w:t>
      </w:r>
      <w:bookmarkEnd w:id="622"/>
      <w:bookmarkEnd w:id="623"/>
      <w:bookmarkEnd w:id="624"/>
      <w:bookmarkEnd w:id="625"/>
      <w:bookmarkEnd w:id="626"/>
      <w:bookmarkEnd w:id="627"/>
      <w:bookmarkEnd w:id="628"/>
      <w:bookmarkEnd w:id="629"/>
    </w:p>
    <w:p w14:paraId="272E627B" w14:textId="77777777" w:rsidR="00B9311E" w:rsidRPr="00BD77D8" w:rsidRDefault="00B9311E" w:rsidP="00B9311E">
      <w:pPr>
        <w:spacing w:after="0" w:line="208" w:lineRule="exact"/>
        <w:ind w:right="360"/>
        <w:textAlignment w:val="baseline"/>
        <w:rPr>
          <w:rFonts w:eastAsia="Arial"/>
          <w:b/>
          <w:bCs/>
          <w:sz w:val="18"/>
          <w:szCs w:val="18"/>
          <w:lang w:eastAsia="en-US"/>
        </w:rPr>
      </w:pPr>
      <w:r w:rsidRPr="00BD77D8">
        <w:rPr>
          <w:rFonts w:eastAsia="Arial"/>
          <w:sz w:val="18"/>
          <w:szCs w:val="18"/>
          <w:lang w:eastAsia="en-US"/>
        </w:rPr>
        <w:t xml:space="preserve">The department has not identified any material climate related risks relevant to the financial report at the reporting date. The </w:t>
      </w:r>
    </w:p>
    <w:p w14:paraId="3984DC87" w14:textId="77777777" w:rsidR="00B9311E" w:rsidRPr="00BD77D8" w:rsidRDefault="00B9311E" w:rsidP="00727CAE">
      <w:pPr>
        <w:spacing w:line="208" w:lineRule="exact"/>
        <w:ind w:right="357"/>
        <w:textAlignment w:val="baseline"/>
        <w:rPr>
          <w:rFonts w:eastAsia="Arial"/>
          <w:b/>
          <w:bCs/>
          <w:sz w:val="18"/>
          <w:szCs w:val="18"/>
          <w:lang w:eastAsia="en-US"/>
        </w:rPr>
      </w:pPr>
      <w:r w:rsidRPr="00BD77D8">
        <w:rPr>
          <w:rFonts w:eastAsia="Arial"/>
          <w:sz w:val="18"/>
          <w:szCs w:val="18"/>
          <w:lang w:eastAsia="en-US"/>
        </w:rPr>
        <w:t>department continues to monitor the emergence of such risks under the Queensland Government’s Climate Transition Strategy, and Climate Action Plan 2030.</w:t>
      </w:r>
    </w:p>
    <w:p w14:paraId="44603ED5" w14:textId="77777777" w:rsidR="00B9311E" w:rsidRPr="00BD77D8" w:rsidRDefault="00B9311E" w:rsidP="007D087A">
      <w:pPr>
        <w:rPr>
          <w:rFonts w:eastAsia="Arial"/>
          <w:b/>
          <w:bCs/>
          <w:sz w:val="22"/>
          <w:szCs w:val="22"/>
          <w:lang w:eastAsia="en-US"/>
        </w:rPr>
      </w:pPr>
      <w:bookmarkStart w:id="631" w:name="_Toc111494826"/>
      <w:bookmarkStart w:id="632" w:name="_Toc111540698"/>
      <w:bookmarkStart w:id="633" w:name="_Toc111559262"/>
      <w:bookmarkStart w:id="634" w:name="_Toc113196534"/>
      <w:bookmarkStart w:id="635" w:name="_Toc113196882"/>
      <w:bookmarkStart w:id="636" w:name="_Toc113262012"/>
      <w:bookmarkStart w:id="637" w:name="_Toc113349166"/>
      <w:bookmarkStart w:id="638" w:name="_Toc113358091"/>
      <w:bookmarkEnd w:id="630"/>
      <w:r w:rsidRPr="00BD77D8">
        <w:rPr>
          <w:rFonts w:eastAsia="Arial"/>
          <w:b/>
          <w:bCs/>
          <w:sz w:val="22"/>
          <w:szCs w:val="22"/>
          <w:lang w:eastAsia="en-US"/>
        </w:rPr>
        <w:t>F5 Impact of COVID-19 Pandemic</w:t>
      </w:r>
      <w:bookmarkEnd w:id="631"/>
      <w:bookmarkEnd w:id="632"/>
      <w:bookmarkEnd w:id="633"/>
      <w:bookmarkEnd w:id="634"/>
      <w:bookmarkEnd w:id="635"/>
      <w:bookmarkEnd w:id="636"/>
      <w:bookmarkEnd w:id="637"/>
      <w:bookmarkEnd w:id="638"/>
    </w:p>
    <w:p w14:paraId="1E71DA94" w14:textId="77777777" w:rsidR="00B9311E" w:rsidRPr="00BD77D8" w:rsidRDefault="00B9311E" w:rsidP="00727CAE">
      <w:pPr>
        <w:spacing w:line="208" w:lineRule="exact"/>
        <w:ind w:right="357"/>
        <w:textAlignment w:val="baseline"/>
        <w:rPr>
          <w:rFonts w:eastAsia="Arial"/>
          <w:sz w:val="18"/>
          <w:szCs w:val="18"/>
          <w:lang w:eastAsia="en-US"/>
        </w:rPr>
      </w:pPr>
      <w:r w:rsidRPr="00BD77D8">
        <w:rPr>
          <w:rFonts w:eastAsia="Arial"/>
          <w:sz w:val="18"/>
          <w:szCs w:val="18"/>
          <w:lang w:eastAsia="en-US"/>
        </w:rPr>
        <w:t>The department provided the financial assistance below during the financial year as a result of the pandemic. The assistance has a limited life and expenditure between years is not comparable.</w:t>
      </w:r>
    </w:p>
    <w:p w14:paraId="42FBFAFA" w14:textId="77777777" w:rsidR="00B9311E" w:rsidRPr="00BD77D8" w:rsidRDefault="00B9311E" w:rsidP="00727CAE">
      <w:pPr>
        <w:spacing w:line="208" w:lineRule="exact"/>
        <w:ind w:right="357"/>
        <w:textAlignment w:val="baseline"/>
        <w:rPr>
          <w:rFonts w:eastAsia="Arial"/>
          <w:sz w:val="18"/>
          <w:szCs w:val="18"/>
          <w:lang w:eastAsia="en-US"/>
        </w:rPr>
      </w:pPr>
      <w:r w:rsidRPr="00BD77D8">
        <w:rPr>
          <w:rFonts w:eastAsia="Arial"/>
          <w:sz w:val="18"/>
          <w:szCs w:val="18"/>
          <w:lang w:eastAsia="en-US"/>
        </w:rPr>
        <w:t>Expenditure recognised in the statement of comprehensive income - administered includes the following items under the heading of grants and subsidies.</w:t>
      </w:r>
    </w:p>
    <w:p w14:paraId="6C129A12" w14:textId="438F01F5" w:rsidR="00B9311E" w:rsidRPr="00BD77D8" w:rsidRDefault="00B9311E" w:rsidP="003954C5">
      <w:pPr>
        <w:numPr>
          <w:ilvl w:val="0"/>
          <w:numId w:val="77"/>
        </w:numPr>
        <w:tabs>
          <w:tab w:val="left" w:pos="720"/>
        </w:tabs>
        <w:spacing w:line="180" w:lineRule="atLeast"/>
        <w:ind w:left="720" w:right="72" w:hanging="646"/>
        <w:textAlignment w:val="baseline"/>
        <w:rPr>
          <w:rFonts w:eastAsia="Arial"/>
          <w:b/>
          <w:bCs/>
          <w:sz w:val="18"/>
          <w:szCs w:val="18"/>
          <w:lang w:eastAsia="en-US"/>
        </w:rPr>
      </w:pPr>
      <w:r w:rsidRPr="00BD77D8">
        <w:rPr>
          <w:rFonts w:eastAsia="Arial"/>
          <w:sz w:val="18"/>
          <w:szCs w:val="18"/>
          <w:lang w:eastAsia="en-US"/>
        </w:rPr>
        <w:t>$0.316M in electricity relief payments provided under the State Government Power Bill Relief Package for small and medium business enterprises with consumption less than 100,000 kilowatt hours (kWh), with a $500 rebate being automatically applied to electricity accounts. $6.708M provided in 2020-21.</w:t>
      </w:r>
    </w:p>
    <w:p w14:paraId="3E45B969" w14:textId="5F2E9B64" w:rsidR="00B9311E" w:rsidRPr="00BD77D8" w:rsidRDefault="00B9311E" w:rsidP="003954C5">
      <w:pPr>
        <w:numPr>
          <w:ilvl w:val="0"/>
          <w:numId w:val="77"/>
        </w:numPr>
        <w:tabs>
          <w:tab w:val="left" w:pos="720"/>
        </w:tabs>
        <w:spacing w:line="180" w:lineRule="atLeast"/>
        <w:ind w:left="720" w:right="360" w:hanging="646"/>
        <w:textAlignment w:val="baseline"/>
        <w:rPr>
          <w:rFonts w:eastAsia="Arial"/>
          <w:b/>
          <w:bCs/>
          <w:sz w:val="18"/>
          <w:szCs w:val="18"/>
          <w:lang w:eastAsia="en-US"/>
        </w:rPr>
      </w:pPr>
      <w:r w:rsidRPr="00BD77D8">
        <w:rPr>
          <w:rFonts w:eastAsia="Arial"/>
          <w:sz w:val="18"/>
          <w:szCs w:val="18"/>
          <w:lang w:eastAsia="en-US"/>
        </w:rPr>
        <w:t>$0.317M in electricity relief payments provided under the State Government Household Utility Assistance Package to Queensland residential households, with a $50 rebate being automatically applied to their electricity accounts. $11.447M provided in 2020-21.</w:t>
      </w:r>
    </w:p>
    <w:p w14:paraId="13E6D673" w14:textId="77777777" w:rsidR="00B9311E" w:rsidRPr="00BD77D8" w:rsidRDefault="00B9311E" w:rsidP="00B9311E">
      <w:pPr>
        <w:spacing w:after="0" w:line="180" w:lineRule="atLeast"/>
        <w:ind w:left="72" w:right="216"/>
        <w:textAlignment w:val="baseline"/>
        <w:rPr>
          <w:rFonts w:eastAsia="Arial"/>
          <w:b/>
          <w:bCs/>
          <w:sz w:val="18"/>
          <w:szCs w:val="18"/>
          <w:lang w:eastAsia="en-US"/>
        </w:rPr>
      </w:pPr>
      <w:r w:rsidRPr="00BD77D8">
        <w:rPr>
          <w:rFonts w:eastAsia="Arial"/>
          <w:sz w:val="18"/>
          <w:szCs w:val="18"/>
          <w:lang w:eastAsia="en-US"/>
        </w:rPr>
        <w:t>Further information on the impact of the COVID-19 pandemic is provided within Note C2, Receivables and Note C6 Payables.</w:t>
      </w:r>
    </w:p>
    <w:p w14:paraId="19BDC36F" w14:textId="748B4011" w:rsidR="00B9311E" w:rsidRPr="00BD77D8" w:rsidRDefault="00FC037C" w:rsidP="0089639E">
      <w:pPr>
        <w:spacing w:before="4080" w:after="0" w:line="240" w:lineRule="auto"/>
        <w:rPr>
          <w:rFonts w:eastAsia="Arial"/>
          <w:bCs/>
          <w:sz w:val="18"/>
          <w:szCs w:val="18"/>
          <w:lang w:eastAsia="en-US"/>
        </w:rPr>
      </w:pPr>
      <w:bookmarkStart w:id="639" w:name="_Hlk80120833"/>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39 of 45</w:t>
      </w:r>
      <w:r w:rsidR="00B9311E" w:rsidRPr="00BD77D8">
        <w:rPr>
          <w:rFonts w:eastAsia="Arial"/>
          <w:sz w:val="18"/>
          <w:szCs w:val="18"/>
          <w:lang w:eastAsia="en-US"/>
        </w:rPr>
        <w:br w:type="page"/>
      </w:r>
    </w:p>
    <w:p w14:paraId="1FFF4202" w14:textId="77777777" w:rsidR="00B9311E" w:rsidRPr="00BD77D8" w:rsidRDefault="00B9311E" w:rsidP="00B9311E">
      <w:pPr>
        <w:spacing w:after="0" w:line="200"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E94018C" w14:textId="77777777" w:rsidR="00B9311E" w:rsidRPr="00BD77D8" w:rsidRDefault="00B9311E" w:rsidP="007150A3">
      <w:pPr>
        <w:spacing w:after="0" w:line="200" w:lineRule="exact"/>
        <w:textAlignment w:val="baseline"/>
        <w:rPr>
          <w:rFonts w:eastAsia="Arial"/>
          <w:b/>
          <w:bCs/>
          <w:sz w:val="18"/>
          <w:szCs w:val="18"/>
          <w:lang w:eastAsia="en-US"/>
        </w:rPr>
      </w:pPr>
      <w:r w:rsidRPr="00BD77D8">
        <w:rPr>
          <w:rFonts w:eastAsia="Arial"/>
          <w:b/>
          <w:bCs/>
          <w:sz w:val="18"/>
          <w:szCs w:val="18"/>
          <w:lang w:eastAsia="en-US"/>
        </w:rPr>
        <w:t>Administered Activities</w:t>
      </w:r>
    </w:p>
    <w:p w14:paraId="2F0C21E4" w14:textId="77777777" w:rsidR="00B9311E" w:rsidRPr="00BD77D8" w:rsidRDefault="00B9311E" w:rsidP="00B9311E">
      <w:pPr>
        <w:spacing w:after="0" w:line="196" w:lineRule="exact"/>
        <w:textAlignment w:val="baseline"/>
        <w:rPr>
          <w:rFonts w:eastAsia="Arial"/>
          <w:b/>
          <w:bCs/>
          <w:spacing w:val="-1"/>
          <w:sz w:val="18"/>
          <w:szCs w:val="18"/>
          <w:lang w:eastAsia="en-US"/>
        </w:rPr>
      </w:pPr>
      <w:r w:rsidRPr="00BD77D8">
        <w:rPr>
          <w:rFonts w:eastAsia="Arial"/>
          <w:b/>
          <w:bCs/>
          <w:spacing w:val="-1"/>
          <w:sz w:val="18"/>
          <w:szCs w:val="18"/>
          <w:lang w:eastAsia="en-US"/>
        </w:rPr>
        <w:t>as at 30 June 2022</w:t>
      </w:r>
    </w:p>
    <w:p w14:paraId="7F7CECFC" w14:textId="77777777" w:rsidR="00B9311E" w:rsidRPr="00BD77D8" w:rsidRDefault="00B9311E" w:rsidP="00B9311E">
      <w:pPr>
        <w:pBdr>
          <w:bottom w:val="single" w:sz="4" w:space="1" w:color="auto"/>
        </w:pBdr>
        <w:spacing w:after="0" w:line="200" w:lineRule="exact"/>
        <w:textAlignment w:val="baseline"/>
        <w:rPr>
          <w:rFonts w:eastAsia="Arial"/>
          <w:bCs/>
          <w:sz w:val="18"/>
          <w:szCs w:val="18"/>
          <w:lang w:eastAsia="en-US"/>
        </w:rPr>
      </w:pPr>
    </w:p>
    <w:p w14:paraId="769C727C" w14:textId="77777777" w:rsidR="00B9311E" w:rsidRPr="00BD77D8" w:rsidRDefault="00B9311E" w:rsidP="007D087A">
      <w:pPr>
        <w:spacing w:before="40" w:after="80"/>
        <w:rPr>
          <w:rFonts w:ascii="Calibri Light" w:hAnsi="Calibri Light" w:cs="Times New Roman"/>
          <w:b/>
          <w:bCs/>
          <w:sz w:val="22"/>
          <w:szCs w:val="22"/>
          <w:lang w:eastAsia="en-US"/>
        </w:rPr>
      </w:pPr>
      <w:bookmarkStart w:id="640" w:name="_Toc111463867"/>
      <w:bookmarkStart w:id="641" w:name="_Toc111494827"/>
      <w:bookmarkStart w:id="642" w:name="_Toc111540699"/>
      <w:bookmarkStart w:id="643" w:name="_Toc111559263"/>
      <w:bookmarkStart w:id="644" w:name="_Toc113196535"/>
      <w:bookmarkStart w:id="645" w:name="_Toc113196883"/>
      <w:bookmarkStart w:id="646" w:name="_Toc113262013"/>
      <w:bookmarkStart w:id="647" w:name="_Toc113349167"/>
      <w:bookmarkStart w:id="648" w:name="_Toc113358092"/>
      <w:r w:rsidRPr="00BD77D8">
        <w:rPr>
          <w:b/>
          <w:bCs/>
          <w:sz w:val="22"/>
          <w:szCs w:val="22"/>
          <w:lang w:eastAsia="en-US"/>
        </w:rPr>
        <w:t>What we Look After on Behalf of Whole-of-Government</w:t>
      </w:r>
      <w:bookmarkEnd w:id="640"/>
      <w:bookmarkEnd w:id="641"/>
      <w:bookmarkEnd w:id="642"/>
      <w:bookmarkEnd w:id="643"/>
      <w:bookmarkEnd w:id="644"/>
      <w:bookmarkEnd w:id="645"/>
      <w:bookmarkEnd w:id="646"/>
      <w:bookmarkEnd w:id="647"/>
      <w:bookmarkEnd w:id="648"/>
    </w:p>
    <w:p w14:paraId="6AE0F176" w14:textId="77777777" w:rsidR="00B9311E" w:rsidRPr="00BD77D8" w:rsidRDefault="00B9311E" w:rsidP="007D087A">
      <w:pPr>
        <w:pBdr>
          <w:bottom w:val="single" w:sz="4" w:space="0" w:color="auto"/>
        </w:pBdr>
        <w:tabs>
          <w:tab w:val="left" w:pos="360"/>
        </w:tabs>
        <w:spacing w:after="0" w:line="203" w:lineRule="exact"/>
        <w:textAlignment w:val="baseline"/>
        <w:rPr>
          <w:rFonts w:eastAsia="PMingLiU"/>
          <w:sz w:val="18"/>
          <w:szCs w:val="22"/>
          <w:lang w:eastAsia="en-US"/>
        </w:rPr>
      </w:pPr>
    </w:p>
    <w:p w14:paraId="529C23CB" w14:textId="77777777" w:rsidR="00B9311E" w:rsidRPr="00BD77D8" w:rsidRDefault="00B9311E" w:rsidP="007D087A">
      <w:pPr>
        <w:rPr>
          <w:rFonts w:eastAsia="Arial"/>
          <w:b/>
          <w:bCs/>
          <w:sz w:val="20"/>
          <w:szCs w:val="20"/>
          <w:lang w:eastAsia="en-US"/>
        </w:rPr>
      </w:pPr>
      <w:bookmarkStart w:id="649" w:name="_Toc111494828"/>
      <w:bookmarkStart w:id="650" w:name="_Toc111540700"/>
      <w:bookmarkStart w:id="651" w:name="_Toc111559264"/>
      <w:bookmarkStart w:id="652" w:name="_Toc113196536"/>
      <w:bookmarkStart w:id="653" w:name="_Toc113196884"/>
      <w:bookmarkStart w:id="654" w:name="_Toc113262014"/>
      <w:bookmarkStart w:id="655" w:name="_Toc113349168"/>
      <w:bookmarkStart w:id="656" w:name="_Toc113358093"/>
      <w:r w:rsidRPr="00BD77D8">
        <w:rPr>
          <w:rFonts w:eastAsia="Arial"/>
          <w:b/>
          <w:bCs/>
          <w:sz w:val="20"/>
          <w:szCs w:val="20"/>
          <w:lang w:eastAsia="en-US"/>
        </w:rPr>
        <w:t>G1-1 Schedule of Administered Income and Expenses</w:t>
      </w:r>
      <w:bookmarkEnd w:id="649"/>
      <w:bookmarkEnd w:id="650"/>
      <w:bookmarkEnd w:id="651"/>
      <w:bookmarkEnd w:id="652"/>
      <w:bookmarkEnd w:id="653"/>
      <w:bookmarkEnd w:id="654"/>
      <w:bookmarkEnd w:id="655"/>
      <w:bookmarkEnd w:id="656"/>
    </w:p>
    <w:tbl>
      <w:tblPr>
        <w:tblW w:w="10324" w:type="dxa"/>
        <w:tblCellMar>
          <w:left w:w="0" w:type="dxa"/>
          <w:right w:w="0" w:type="dxa"/>
        </w:tblCellMar>
        <w:tblLook w:val="04A0" w:firstRow="1" w:lastRow="0" w:firstColumn="1" w:lastColumn="0" w:noHBand="0" w:noVBand="1"/>
      </w:tblPr>
      <w:tblGrid>
        <w:gridCol w:w="3185"/>
        <w:gridCol w:w="1941"/>
        <w:gridCol w:w="1272"/>
        <w:gridCol w:w="1298"/>
        <w:gridCol w:w="1342"/>
        <w:gridCol w:w="1286"/>
      </w:tblGrid>
      <w:tr w:rsidR="00BD77D8" w:rsidRPr="00BD77D8" w14:paraId="3D888DF4" w14:textId="77777777" w:rsidTr="003057FB">
        <w:trPr>
          <w:trHeight w:val="827"/>
        </w:trPr>
        <w:tc>
          <w:tcPr>
            <w:tcW w:w="0" w:type="auto"/>
            <w:tcBorders>
              <w:top w:val="nil"/>
              <w:left w:val="nil"/>
              <w:bottom w:val="nil"/>
              <w:right w:val="nil"/>
            </w:tcBorders>
            <w:shd w:val="clear" w:color="auto" w:fill="auto"/>
            <w:noWrap/>
            <w:vAlign w:val="bottom"/>
            <w:hideMark/>
          </w:tcPr>
          <w:p w14:paraId="4B15FA30" w14:textId="77777777" w:rsidR="00B9311E" w:rsidRPr="00BD77D8" w:rsidRDefault="00B9311E" w:rsidP="00B9311E">
            <w:pPr>
              <w:spacing w:after="0" w:line="240" w:lineRule="auto"/>
              <w:rPr>
                <w:rFonts w:ascii="Times New Roman" w:hAnsi="Times New Roman" w:cs="Times New Roman"/>
                <w:sz w:val="24"/>
                <w:szCs w:val="24"/>
              </w:rPr>
            </w:pPr>
          </w:p>
        </w:tc>
        <w:tc>
          <w:tcPr>
            <w:tcW w:w="1925" w:type="dxa"/>
            <w:tcBorders>
              <w:top w:val="nil"/>
              <w:left w:val="nil"/>
              <w:bottom w:val="nil"/>
              <w:right w:val="nil"/>
            </w:tcBorders>
            <w:shd w:val="clear" w:color="auto" w:fill="auto"/>
            <w:noWrap/>
            <w:vAlign w:val="bottom"/>
            <w:hideMark/>
          </w:tcPr>
          <w:p w14:paraId="252BDC4E"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256" w:type="dxa"/>
            <w:tcBorders>
              <w:top w:val="nil"/>
              <w:left w:val="nil"/>
              <w:bottom w:val="nil"/>
              <w:right w:val="nil"/>
            </w:tcBorders>
            <w:shd w:val="clear" w:color="auto" w:fill="auto"/>
            <w:vAlign w:val="bottom"/>
            <w:hideMark/>
          </w:tcPr>
          <w:p w14:paraId="1EAF6026" w14:textId="77777777" w:rsidR="00B9311E" w:rsidRPr="00BD77D8" w:rsidRDefault="00B9311E" w:rsidP="00B9311E">
            <w:pPr>
              <w:spacing w:after="0" w:line="240" w:lineRule="auto"/>
              <w:jc w:val="right"/>
              <w:rPr>
                <w:b/>
                <w:bCs/>
                <w:sz w:val="18"/>
                <w:szCs w:val="18"/>
              </w:rPr>
            </w:pPr>
            <w:r w:rsidRPr="00BD77D8">
              <w:rPr>
                <w:b/>
                <w:bCs/>
                <w:sz w:val="18"/>
                <w:szCs w:val="18"/>
              </w:rPr>
              <w:t>Actual</w:t>
            </w:r>
            <w:r w:rsidRPr="00BD77D8">
              <w:rPr>
                <w:b/>
                <w:bCs/>
                <w:sz w:val="18"/>
                <w:szCs w:val="18"/>
              </w:rPr>
              <w:br/>
              <w:t xml:space="preserve">2022 </w:t>
            </w:r>
          </w:p>
        </w:tc>
        <w:tc>
          <w:tcPr>
            <w:tcW w:w="1282" w:type="dxa"/>
            <w:tcBorders>
              <w:top w:val="nil"/>
              <w:left w:val="nil"/>
              <w:bottom w:val="nil"/>
              <w:right w:val="nil"/>
            </w:tcBorders>
            <w:shd w:val="clear" w:color="auto" w:fill="auto"/>
            <w:vAlign w:val="bottom"/>
            <w:hideMark/>
          </w:tcPr>
          <w:p w14:paraId="4908540B" w14:textId="77777777" w:rsidR="00B9311E" w:rsidRPr="00BD77D8" w:rsidRDefault="00B9311E" w:rsidP="00B9311E">
            <w:pPr>
              <w:spacing w:after="0" w:line="240" w:lineRule="auto"/>
              <w:jc w:val="right"/>
              <w:rPr>
                <w:b/>
                <w:bCs/>
                <w:sz w:val="18"/>
                <w:szCs w:val="18"/>
              </w:rPr>
            </w:pPr>
            <w:r w:rsidRPr="00BD77D8">
              <w:rPr>
                <w:b/>
                <w:bCs/>
                <w:sz w:val="18"/>
                <w:szCs w:val="18"/>
              </w:rPr>
              <w:t xml:space="preserve"> Original Budget^</w:t>
            </w:r>
            <w:r w:rsidRPr="00BD77D8">
              <w:rPr>
                <w:b/>
                <w:bCs/>
                <w:sz w:val="18"/>
                <w:szCs w:val="18"/>
              </w:rPr>
              <w:br/>
              <w:t xml:space="preserve">2022  </w:t>
            </w:r>
          </w:p>
        </w:tc>
        <w:tc>
          <w:tcPr>
            <w:tcW w:w="1326" w:type="dxa"/>
            <w:tcBorders>
              <w:top w:val="nil"/>
              <w:left w:val="nil"/>
              <w:bottom w:val="nil"/>
              <w:right w:val="nil"/>
            </w:tcBorders>
            <w:shd w:val="clear" w:color="auto" w:fill="auto"/>
            <w:vAlign w:val="bottom"/>
            <w:hideMark/>
          </w:tcPr>
          <w:p w14:paraId="5F8CF359" w14:textId="77777777" w:rsidR="00B9311E" w:rsidRPr="00BD77D8" w:rsidRDefault="00B9311E" w:rsidP="00B9311E">
            <w:pPr>
              <w:spacing w:after="0" w:line="240" w:lineRule="auto"/>
              <w:jc w:val="right"/>
              <w:rPr>
                <w:b/>
                <w:bCs/>
                <w:sz w:val="18"/>
                <w:szCs w:val="18"/>
              </w:rPr>
            </w:pPr>
            <w:r w:rsidRPr="00BD77D8">
              <w:rPr>
                <w:b/>
                <w:bCs/>
                <w:sz w:val="18"/>
                <w:szCs w:val="18"/>
              </w:rPr>
              <w:t xml:space="preserve"> Budget Variance*</w:t>
            </w:r>
            <w:r w:rsidRPr="00BD77D8">
              <w:rPr>
                <w:b/>
                <w:bCs/>
                <w:sz w:val="18"/>
                <w:szCs w:val="18"/>
              </w:rPr>
              <w:br/>
              <w:t xml:space="preserve">2022  </w:t>
            </w:r>
          </w:p>
        </w:tc>
        <w:tc>
          <w:tcPr>
            <w:tcW w:w="0" w:type="auto"/>
            <w:tcBorders>
              <w:top w:val="nil"/>
              <w:left w:val="nil"/>
              <w:bottom w:val="nil"/>
              <w:right w:val="nil"/>
            </w:tcBorders>
            <w:shd w:val="clear" w:color="auto" w:fill="auto"/>
            <w:vAlign w:val="bottom"/>
            <w:hideMark/>
          </w:tcPr>
          <w:p w14:paraId="3D6096DE" w14:textId="77777777" w:rsidR="00B9311E" w:rsidRPr="00BD77D8" w:rsidRDefault="00B9311E" w:rsidP="00B9311E">
            <w:pPr>
              <w:spacing w:after="0" w:line="240" w:lineRule="auto"/>
              <w:jc w:val="right"/>
              <w:rPr>
                <w:b/>
                <w:bCs/>
                <w:sz w:val="18"/>
                <w:szCs w:val="18"/>
              </w:rPr>
            </w:pPr>
            <w:r w:rsidRPr="00BD77D8">
              <w:rPr>
                <w:b/>
                <w:bCs/>
                <w:sz w:val="18"/>
                <w:szCs w:val="18"/>
              </w:rPr>
              <w:t xml:space="preserve"> Actual</w:t>
            </w:r>
            <w:r w:rsidRPr="00BD77D8">
              <w:rPr>
                <w:b/>
                <w:bCs/>
                <w:sz w:val="18"/>
                <w:szCs w:val="18"/>
              </w:rPr>
              <w:br/>
              <w:t xml:space="preserve">2021 </w:t>
            </w:r>
          </w:p>
        </w:tc>
      </w:tr>
      <w:tr w:rsidR="00BD77D8" w:rsidRPr="00BD77D8" w14:paraId="700E8B93" w14:textId="77777777" w:rsidTr="003057FB">
        <w:trPr>
          <w:trHeight w:val="275"/>
        </w:trPr>
        <w:tc>
          <w:tcPr>
            <w:tcW w:w="0" w:type="auto"/>
            <w:tcBorders>
              <w:top w:val="nil"/>
              <w:left w:val="nil"/>
              <w:bottom w:val="nil"/>
              <w:right w:val="nil"/>
            </w:tcBorders>
            <w:shd w:val="clear" w:color="auto" w:fill="auto"/>
            <w:noWrap/>
            <w:vAlign w:val="bottom"/>
            <w:hideMark/>
          </w:tcPr>
          <w:p w14:paraId="3ABA922C" w14:textId="77777777" w:rsidR="00B9311E" w:rsidRPr="00BD77D8" w:rsidRDefault="00B9311E" w:rsidP="00B9311E">
            <w:pPr>
              <w:spacing w:after="0" w:line="240" w:lineRule="auto"/>
              <w:jc w:val="right"/>
              <w:rPr>
                <w:sz w:val="18"/>
                <w:szCs w:val="18"/>
              </w:rPr>
            </w:pPr>
          </w:p>
        </w:tc>
        <w:tc>
          <w:tcPr>
            <w:tcW w:w="1925" w:type="dxa"/>
            <w:tcBorders>
              <w:top w:val="nil"/>
              <w:left w:val="nil"/>
              <w:bottom w:val="nil"/>
              <w:right w:val="nil"/>
            </w:tcBorders>
            <w:shd w:val="clear" w:color="auto" w:fill="auto"/>
            <w:noWrap/>
            <w:vAlign w:val="bottom"/>
            <w:hideMark/>
          </w:tcPr>
          <w:p w14:paraId="2286753B" w14:textId="77777777" w:rsidR="00B9311E" w:rsidRPr="00BD77D8" w:rsidRDefault="00B9311E" w:rsidP="00B9311E">
            <w:pPr>
              <w:spacing w:after="0" w:line="240" w:lineRule="auto"/>
              <w:rPr>
                <w:rFonts w:ascii="Times New Roman" w:hAnsi="Times New Roman" w:cs="Times New Roman"/>
                <w:b/>
                <w:bCs/>
                <w:sz w:val="20"/>
                <w:szCs w:val="20"/>
              </w:rPr>
            </w:pPr>
          </w:p>
        </w:tc>
        <w:tc>
          <w:tcPr>
            <w:tcW w:w="1256" w:type="dxa"/>
            <w:tcBorders>
              <w:top w:val="nil"/>
              <w:left w:val="nil"/>
              <w:bottom w:val="single" w:sz="4" w:space="0" w:color="auto"/>
              <w:right w:val="nil"/>
            </w:tcBorders>
            <w:shd w:val="clear" w:color="auto" w:fill="auto"/>
            <w:vAlign w:val="bottom"/>
            <w:hideMark/>
          </w:tcPr>
          <w:p w14:paraId="1B4C2AB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82" w:type="dxa"/>
            <w:tcBorders>
              <w:top w:val="nil"/>
              <w:left w:val="nil"/>
              <w:bottom w:val="single" w:sz="4" w:space="0" w:color="auto"/>
              <w:right w:val="nil"/>
            </w:tcBorders>
            <w:shd w:val="clear" w:color="auto" w:fill="auto"/>
            <w:vAlign w:val="bottom"/>
            <w:hideMark/>
          </w:tcPr>
          <w:p w14:paraId="540F262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26" w:type="dxa"/>
            <w:tcBorders>
              <w:top w:val="nil"/>
              <w:left w:val="nil"/>
              <w:bottom w:val="single" w:sz="4" w:space="0" w:color="auto"/>
              <w:right w:val="nil"/>
            </w:tcBorders>
            <w:shd w:val="clear" w:color="auto" w:fill="auto"/>
            <w:vAlign w:val="bottom"/>
            <w:hideMark/>
          </w:tcPr>
          <w:p w14:paraId="6437ECE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0" w:type="auto"/>
            <w:tcBorders>
              <w:top w:val="nil"/>
              <w:left w:val="nil"/>
              <w:bottom w:val="single" w:sz="4" w:space="0" w:color="auto"/>
              <w:right w:val="nil"/>
            </w:tcBorders>
            <w:shd w:val="clear" w:color="auto" w:fill="auto"/>
            <w:vAlign w:val="bottom"/>
            <w:hideMark/>
          </w:tcPr>
          <w:p w14:paraId="5087427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5A5DAED9" w14:textId="77777777" w:rsidTr="003057FB">
        <w:trPr>
          <w:trHeight w:val="275"/>
        </w:trPr>
        <w:tc>
          <w:tcPr>
            <w:tcW w:w="0" w:type="auto"/>
            <w:tcBorders>
              <w:top w:val="single" w:sz="4" w:space="0" w:color="auto"/>
              <w:left w:val="nil"/>
              <w:bottom w:val="nil"/>
              <w:right w:val="nil"/>
            </w:tcBorders>
            <w:shd w:val="clear" w:color="auto" w:fill="auto"/>
            <w:noWrap/>
            <w:vAlign w:val="bottom"/>
            <w:hideMark/>
          </w:tcPr>
          <w:p w14:paraId="790D8241" w14:textId="77777777" w:rsidR="00B9311E" w:rsidRPr="00BD77D8" w:rsidRDefault="00B9311E" w:rsidP="00B9311E">
            <w:pPr>
              <w:spacing w:after="0" w:line="240" w:lineRule="auto"/>
              <w:rPr>
                <w:sz w:val="18"/>
                <w:szCs w:val="18"/>
              </w:rPr>
            </w:pPr>
            <w:r w:rsidRPr="00BD77D8">
              <w:rPr>
                <w:sz w:val="18"/>
                <w:szCs w:val="18"/>
              </w:rPr>
              <w:t> </w:t>
            </w:r>
          </w:p>
        </w:tc>
        <w:tc>
          <w:tcPr>
            <w:tcW w:w="1925" w:type="dxa"/>
            <w:tcBorders>
              <w:top w:val="single" w:sz="4" w:space="0" w:color="auto"/>
              <w:left w:val="nil"/>
              <w:bottom w:val="nil"/>
              <w:right w:val="nil"/>
            </w:tcBorders>
            <w:shd w:val="clear" w:color="auto" w:fill="auto"/>
            <w:noWrap/>
            <w:vAlign w:val="bottom"/>
            <w:hideMark/>
          </w:tcPr>
          <w:p w14:paraId="164B018F" w14:textId="77777777" w:rsidR="00B9311E" w:rsidRPr="00BD77D8" w:rsidRDefault="00B9311E" w:rsidP="00B9311E">
            <w:pPr>
              <w:spacing w:after="0" w:line="240" w:lineRule="auto"/>
              <w:jc w:val="center"/>
              <w:rPr>
                <w:sz w:val="18"/>
                <w:szCs w:val="18"/>
              </w:rPr>
            </w:pPr>
            <w:r w:rsidRPr="00BD77D8">
              <w:rPr>
                <w:sz w:val="18"/>
                <w:szCs w:val="18"/>
              </w:rPr>
              <w:t> </w:t>
            </w:r>
          </w:p>
        </w:tc>
        <w:tc>
          <w:tcPr>
            <w:tcW w:w="1256" w:type="dxa"/>
            <w:tcBorders>
              <w:top w:val="nil"/>
              <w:left w:val="nil"/>
              <w:bottom w:val="nil"/>
              <w:right w:val="nil"/>
            </w:tcBorders>
            <w:shd w:val="clear" w:color="auto" w:fill="auto"/>
            <w:noWrap/>
            <w:vAlign w:val="bottom"/>
            <w:hideMark/>
          </w:tcPr>
          <w:p w14:paraId="56878DDC" w14:textId="77777777" w:rsidR="00B9311E" w:rsidRPr="00BD77D8" w:rsidRDefault="00B9311E" w:rsidP="00B9311E">
            <w:pPr>
              <w:spacing w:after="0" w:line="240" w:lineRule="auto"/>
              <w:jc w:val="center"/>
              <w:rPr>
                <w:sz w:val="18"/>
                <w:szCs w:val="18"/>
              </w:rPr>
            </w:pPr>
          </w:p>
        </w:tc>
        <w:tc>
          <w:tcPr>
            <w:tcW w:w="1282" w:type="dxa"/>
            <w:tcBorders>
              <w:top w:val="nil"/>
              <w:left w:val="nil"/>
              <w:bottom w:val="nil"/>
              <w:right w:val="nil"/>
            </w:tcBorders>
            <w:shd w:val="clear" w:color="auto" w:fill="auto"/>
            <w:noWrap/>
            <w:vAlign w:val="bottom"/>
            <w:hideMark/>
          </w:tcPr>
          <w:p w14:paraId="295A12A1"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326" w:type="dxa"/>
            <w:tcBorders>
              <w:top w:val="nil"/>
              <w:left w:val="nil"/>
              <w:bottom w:val="nil"/>
              <w:right w:val="nil"/>
            </w:tcBorders>
            <w:shd w:val="clear" w:color="auto" w:fill="auto"/>
            <w:noWrap/>
            <w:vAlign w:val="bottom"/>
            <w:hideMark/>
          </w:tcPr>
          <w:p w14:paraId="7F897EEE"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8D7657F"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3DC5690D" w14:textId="77777777" w:rsidTr="003057FB">
        <w:trPr>
          <w:trHeight w:val="275"/>
        </w:trPr>
        <w:tc>
          <w:tcPr>
            <w:tcW w:w="0" w:type="auto"/>
            <w:tcBorders>
              <w:top w:val="nil"/>
              <w:left w:val="nil"/>
              <w:bottom w:val="nil"/>
              <w:right w:val="nil"/>
            </w:tcBorders>
            <w:shd w:val="clear" w:color="auto" w:fill="auto"/>
            <w:noWrap/>
            <w:vAlign w:val="bottom"/>
            <w:hideMark/>
          </w:tcPr>
          <w:p w14:paraId="5709A262" w14:textId="77777777" w:rsidR="00B9311E" w:rsidRPr="00BD77D8" w:rsidRDefault="00B9311E" w:rsidP="00B9311E">
            <w:pPr>
              <w:spacing w:after="0" w:line="240" w:lineRule="auto"/>
              <w:rPr>
                <w:b/>
                <w:bCs/>
                <w:sz w:val="18"/>
                <w:szCs w:val="18"/>
              </w:rPr>
            </w:pPr>
            <w:r w:rsidRPr="00BD77D8">
              <w:rPr>
                <w:b/>
                <w:bCs/>
                <w:sz w:val="18"/>
                <w:szCs w:val="18"/>
              </w:rPr>
              <w:t xml:space="preserve"> Administered income </w:t>
            </w:r>
          </w:p>
        </w:tc>
        <w:tc>
          <w:tcPr>
            <w:tcW w:w="1925" w:type="dxa"/>
            <w:tcBorders>
              <w:top w:val="nil"/>
              <w:left w:val="nil"/>
              <w:bottom w:val="nil"/>
              <w:right w:val="nil"/>
            </w:tcBorders>
            <w:shd w:val="clear" w:color="auto" w:fill="auto"/>
            <w:noWrap/>
            <w:vAlign w:val="bottom"/>
            <w:hideMark/>
          </w:tcPr>
          <w:p w14:paraId="27A7647E" w14:textId="77777777" w:rsidR="00B9311E" w:rsidRPr="00BD77D8" w:rsidRDefault="00B9311E" w:rsidP="00B9311E">
            <w:pPr>
              <w:spacing w:after="0" w:line="240" w:lineRule="auto"/>
              <w:rPr>
                <w:b/>
                <w:bCs/>
                <w:sz w:val="18"/>
                <w:szCs w:val="18"/>
              </w:rPr>
            </w:pPr>
          </w:p>
        </w:tc>
        <w:tc>
          <w:tcPr>
            <w:tcW w:w="1256" w:type="dxa"/>
            <w:tcBorders>
              <w:top w:val="nil"/>
              <w:left w:val="nil"/>
              <w:bottom w:val="nil"/>
              <w:right w:val="nil"/>
            </w:tcBorders>
            <w:shd w:val="clear" w:color="auto" w:fill="auto"/>
            <w:noWrap/>
            <w:vAlign w:val="bottom"/>
            <w:hideMark/>
          </w:tcPr>
          <w:p w14:paraId="5BC6F5E9"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2" w:type="dxa"/>
            <w:tcBorders>
              <w:top w:val="nil"/>
              <w:left w:val="nil"/>
              <w:bottom w:val="nil"/>
              <w:right w:val="nil"/>
            </w:tcBorders>
            <w:shd w:val="clear" w:color="auto" w:fill="auto"/>
            <w:noWrap/>
            <w:vAlign w:val="bottom"/>
            <w:hideMark/>
          </w:tcPr>
          <w:p w14:paraId="7AD4D810" w14:textId="77777777" w:rsidR="00B9311E" w:rsidRPr="00BD77D8" w:rsidRDefault="00B9311E" w:rsidP="00B9311E">
            <w:pPr>
              <w:spacing w:after="0" w:line="240" w:lineRule="auto"/>
              <w:rPr>
                <w:rFonts w:ascii="Times New Roman" w:hAnsi="Times New Roman" w:cs="Times New Roman"/>
                <w:b/>
                <w:bCs/>
                <w:sz w:val="20"/>
                <w:szCs w:val="20"/>
              </w:rPr>
            </w:pPr>
          </w:p>
        </w:tc>
        <w:tc>
          <w:tcPr>
            <w:tcW w:w="1326" w:type="dxa"/>
            <w:tcBorders>
              <w:top w:val="nil"/>
              <w:left w:val="nil"/>
              <w:bottom w:val="nil"/>
              <w:right w:val="nil"/>
            </w:tcBorders>
            <w:shd w:val="clear" w:color="auto" w:fill="auto"/>
            <w:noWrap/>
            <w:vAlign w:val="bottom"/>
            <w:hideMark/>
          </w:tcPr>
          <w:p w14:paraId="5271D7A5"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0" w:type="auto"/>
            <w:tcBorders>
              <w:top w:val="nil"/>
              <w:left w:val="nil"/>
              <w:bottom w:val="nil"/>
              <w:right w:val="nil"/>
            </w:tcBorders>
            <w:shd w:val="clear" w:color="auto" w:fill="auto"/>
            <w:noWrap/>
            <w:vAlign w:val="bottom"/>
            <w:hideMark/>
          </w:tcPr>
          <w:p w14:paraId="746ABC44" w14:textId="77777777" w:rsidR="00B9311E" w:rsidRPr="00BD77D8" w:rsidRDefault="00B9311E" w:rsidP="00B9311E">
            <w:pPr>
              <w:spacing w:after="0" w:line="240" w:lineRule="auto"/>
              <w:jc w:val="center"/>
              <w:rPr>
                <w:rFonts w:ascii="Times New Roman" w:hAnsi="Times New Roman" w:cs="Times New Roman"/>
                <w:b/>
                <w:bCs/>
                <w:sz w:val="20"/>
                <w:szCs w:val="20"/>
              </w:rPr>
            </w:pPr>
          </w:p>
        </w:tc>
      </w:tr>
      <w:tr w:rsidR="00BD77D8" w:rsidRPr="00BD77D8" w14:paraId="3BA16412" w14:textId="77777777" w:rsidTr="003057FB">
        <w:trPr>
          <w:trHeight w:val="275"/>
        </w:trPr>
        <w:tc>
          <w:tcPr>
            <w:tcW w:w="0" w:type="auto"/>
            <w:tcBorders>
              <w:top w:val="nil"/>
              <w:left w:val="nil"/>
              <w:bottom w:val="nil"/>
              <w:right w:val="nil"/>
            </w:tcBorders>
            <w:shd w:val="clear" w:color="000000" w:fill="FFFFFF"/>
            <w:noWrap/>
            <w:vAlign w:val="bottom"/>
            <w:hideMark/>
          </w:tcPr>
          <w:p w14:paraId="595BE460"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Appropriation revenue * </w:t>
            </w:r>
          </w:p>
        </w:tc>
        <w:tc>
          <w:tcPr>
            <w:tcW w:w="1925" w:type="dxa"/>
            <w:tcBorders>
              <w:top w:val="nil"/>
              <w:left w:val="nil"/>
              <w:bottom w:val="nil"/>
              <w:right w:val="nil"/>
            </w:tcBorders>
            <w:shd w:val="clear" w:color="auto" w:fill="auto"/>
            <w:noWrap/>
            <w:vAlign w:val="bottom"/>
            <w:hideMark/>
          </w:tcPr>
          <w:p w14:paraId="355509BF" w14:textId="77777777" w:rsidR="00B9311E" w:rsidRPr="00BD77D8" w:rsidRDefault="00F56A31" w:rsidP="00B9311E">
            <w:pPr>
              <w:spacing w:after="0" w:line="240" w:lineRule="auto"/>
              <w:jc w:val="center"/>
              <w:rPr>
                <w:rFonts w:eastAsia="PMingLiU"/>
                <w:b/>
                <w:bCs/>
                <w:sz w:val="18"/>
                <w:szCs w:val="22"/>
                <w:lang w:eastAsia="en-US"/>
              </w:rPr>
            </w:pPr>
            <w:hyperlink r:id="rId42" w:anchor="'Note G1-1'!A5" w:history="1">
              <w:r w:rsidR="00B9311E" w:rsidRPr="00BD77D8">
                <w:rPr>
                  <w:rFonts w:eastAsia="PMingLiU"/>
                  <w:b/>
                  <w:bCs/>
                  <w:sz w:val="18"/>
                  <w:szCs w:val="22"/>
                  <w:lang w:eastAsia="en-US"/>
                </w:rPr>
                <w:t>G1-3</w:t>
              </w:r>
            </w:hyperlink>
          </w:p>
        </w:tc>
        <w:tc>
          <w:tcPr>
            <w:tcW w:w="1256" w:type="dxa"/>
            <w:tcBorders>
              <w:top w:val="nil"/>
              <w:left w:val="nil"/>
              <w:bottom w:val="nil"/>
              <w:right w:val="nil"/>
            </w:tcBorders>
            <w:shd w:val="clear" w:color="auto" w:fill="auto"/>
            <w:vAlign w:val="bottom"/>
            <w:hideMark/>
          </w:tcPr>
          <w:p w14:paraId="1A63BA2F" w14:textId="77777777" w:rsidR="00B9311E" w:rsidRPr="00BD77D8" w:rsidRDefault="00B9311E" w:rsidP="00B9311E">
            <w:pPr>
              <w:spacing w:after="0" w:line="240" w:lineRule="auto"/>
              <w:jc w:val="right"/>
              <w:rPr>
                <w:b/>
                <w:bCs/>
                <w:sz w:val="18"/>
                <w:szCs w:val="18"/>
              </w:rPr>
            </w:pPr>
            <w:r w:rsidRPr="00BD77D8">
              <w:rPr>
                <w:b/>
                <w:bCs/>
                <w:sz w:val="18"/>
                <w:szCs w:val="18"/>
              </w:rPr>
              <w:t xml:space="preserve">  2,403,611 </w:t>
            </w:r>
          </w:p>
        </w:tc>
        <w:tc>
          <w:tcPr>
            <w:tcW w:w="1282" w:type="dxa"/>
            <w:tcBorders>
              <w:top w:val="nil"/>
              <w:left w:val="nil"/>
              <w:bottom w:val="nil"/>
              <w:right w:val="nil"/>
            </w:tcBorders>
            <w:shd w:val="clear" w:color="FFFFFF" w:fill="FFFFFF"/>
            <w:vAlign w:val="bottom"/>
            <w:hideMark/>
          </w:tcPr>
          <w:p w14:paraId="7EEA4FB9" w14:textId="77777777" w:rsidR="00B9311E" w:rsidRPr="00BD77D8" w:rsidRDefault="00B9311E" w:rsidP="00B9311E">
            <w:pPr>
              <w:spacing w:after="0" w:line="240" w:lineRule="auto"/>
              <w:jc w:val="right"/>
              <w:rPr>
                <w:sz w:val="18"/>
                <w:szCs w:val="18"/>
              </w:rPr>
            </w:pPr>
            <w:r w:rsidRPr="00BD77D8">
              <w:rPr>
                <w:sz w:val="18"/>
                <w:szCs w:val="18"/>
              </w:rPr>
              <w:t xml:space="preserve">  2,434,745 </w:t>
            </w:r>
          </w:p>
        </w:tc>
        <w:tc>
          <w:tcPr>
            <w:tcW w:w="1326" w:type="dxa"/>
            <w:tcBorders>
              <w:top w:val="nil"/>
              <w:left w:val="nil"/>
              <w:bottom w:val="nil"/>
              <w:right w:val="nil"/>
            </w:tcBorders>
            <w:shd w:val="clear" w:color="auto" w:fill="auto"/>
            <w:vAlign w:val="bottom"/>
            <w:hideMark/>
          </w:tcPr>
          <w:p w14:paraId="7E016450" w14:textId="77777777" w:rsidR="00B9311E" w:rsidRPr="00BD77D8" w:rsidRDefault="00B9311E" w:rsidP="00B9311E">
            <w:pPr>
              <w:spacing w:after="0" w:line="240" w:lineRule="auto"/>
              <w:jc w:val="right"/>
              <w:rPr>
                <w:sz w:val="18"/>
                <w:szCs w:val="18"/>
              </w:rPr>
            </w:pPr>
            <w:r w:rsidRPr="00BD77D8">
              <w:rPr>
                <w:sz w:val="18"/>
                <w:szCs w:val="18"/>
              </w:rPr>
              <w:t xml:space="preserve">       (31,134)</w:t>
            </w:r>
          </w:p>
        </w:tc>
        <w:tc>
          <w:tcPr>
            <w:tcW w:w="0" w:type="auto"/>
            <w:tcBorders>
              <w:top w:val="nil"/>
              <w:left w:val="nil"/>
              <w:bottom w:val="nil"/>
              <w:right w:val="nil"/>
            </w:tcBorders>
            <w:shd w:val="clear" w:color="auto" w:fill="auto"/>
            <w:vAlign w:val="bottom"/>
            <w:hideMark/>
          </w:tcPr>
          <w:p w14:paraId="167257DD" w14:textId="77777777" w:rsidR="00B9311E" w:rsidRPr="00BD77D8" w:rsidRDefault="00B9311E" w:rsidP="00B9311E">
            <w:pPr>
              <w:spacing w:after="0" w:line="240" w:lineRule="auto"/>
              <w:jc w:val="right"/>
              <w:rPr>
                <w:sz w:val="18"/>
                <w:szCs w:val="18"/>
              </w:rPr>
            </w:pPr>
            <w:r w:rsidRPr="00BD77D8">
              <w:rPr>
                <w:sz w:val="18"/>
                <w:szCs w:val="18"/>
              </w:rPr>
              <w:t xml:space="preserve">  2,393,476 </w:t>
            </w:r>
          </w:p>
        </w:tc>
      </w:tr>
      <w:tr w:rsidR="00BD77D8" w:rsidRPr="00BD77D8" w14:paraId="28240254" w14:textId="77777777" w:rsidTr="003057FB">
        <w:trPr>
          <w:trHeight w:val="275"/>
        </w:trPr>
        <w:tc>
          <w:tcPr>
            <w:tcW w:w="0" w:type="auto"/>
            <w:tcBorders>
              <w:top w:val="nil"/>
              <w:left w:val="nil"/>
              <w:bottom w:val="nil"/>
              <w:right w:val="nil"/>
            </w:tcBorders>
            <w:shd w:val="clear" w:color="auto" w:fill="auto"/>
            <w:noWrap/>
            <w:vAlign w:val="bottom"/>
            <w:hideMark/>
          </w:tcPr>
          <w:p w14:paraId="3988D584"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Grants and other contributions </w:t>
            </w:r>
          </w:p>
        </w:tc>
        <w:bookmarkStart w:id="657" w:name="RANGE!B9"/>
        <w:tc>
          <w:tcPr>
            <w:tcW w:w="1925" w:type="dxa"/>
            <w:tcBorders>
              <w:top w:val="nil"/>
              <w:left w:val="nil"/>
              <w:bottom w:val="nil"/>
              <w:right w:val="nil"/>
            </w:tcBorders>
            <w:shd w:val="clear" w:color="auto" w:fill="auto"/>
            <w:noWrap/>
            <w:vAlign w:val="bottom"/>
            <w:hideMark/>
          </w:tcPr>
          <w:p w14:paraId="5173EDA9"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G1-2'!A5" </w:instrText>
            </w:r>
            <w:r w:rsidRPr="00BD77D8">
              <w:rPr>
                <w:rFonts w:eastAsia="PMingLiU"/>
                <w:b/>
                <w:bCs/>
                <w:sz w:val="18"/>
                <w:szCs w:val="22"/>
                <w:lang w:eastAsia="en-US"/>
              </w:rPr>
              <w:fldChar w:fldCharType="separate"/>
            </w:r>
            <w:r w:rsidRPr="00BD77D8">
              <w:rPr>
                <w:rFonts w:eastAsia="PMingLiU"/>
                <w:b/>
                <w:bCs/>
                <w:sz w:val="18"/>
                <w:szCs w:val="22"/>
                <w:lang w:eastAsia="en-US"/>
              </w:rPr>
              <w:t>G1-4</w:t>
            </w:r>
            <w:r w:rsidRPr="00BD77D8">
              <w:rPr>
                <w:rFonts w:eastAsia="PMingLiU"/>
                <w:b/>
                <w:bCs/>
                <w:sz w:val="18"/>
                <w:szCs w:val="22"/>
                <w:lang w:eastAsia="en-US"/>
              </w:rPr>
              <w:fldChar w:fldCharType="end"/>
            </w:r>
            <w:bookmarkEnd w:id="657"/>
          </w:p>
        </w:tc>
        <w:tc>
          <w:tcPr>
            <w:tcW w:w="1256" w:type="dxa"/>
            <w:tcBorders>
              <w:top w:val="nil"/>
              <w:left w:val="nil"/>
              <w:bottom w:val="nil"/>
              <w:right w:val="nil"/>
            </w:tcBorders>
            <w:shd w:val="clear" w:color="auto" w:fill="auto"/>
            <w:vAlign w:val="bottom"/>
            <w:hideMark/>
          </w:tcPr>
          <w:p w14:paraId="67715BE3" w14:textId="77777777" w:rsidR="00B9311E" w:rsidRPr="00BD77D8" w:rsidRDefault="00B9311E" w:rsidP="00B9311E">
            <w:pPr>
              <w:spacing w:after="0" w:line="240" w:lineRule="auto"/>
              <w:jc w:val="right"/>
              <w:rPr>
                <w:b/>
                <w:bCs/>
                <w:sz w:val="18"/>
                <w:szCs w:val="18"/>
              </w:rPr>
            </w:pPr>
            <w:r w:rsidRPr="00BD77D8">
              <w:rPr>
                <w:b/>
                <w:bCs/>
                <w:sz w:val="18"/>
                <w:szCs w:val="18"/>
              </w:rPr>
              <w:t xml:space="preserve">          1,800 </w:t>
            </w:r>
          </w:p>
        </w:tc>
        <w:tc>
          <w:tcPr>
            <w:tcW w:w="1282" w:type="dxa"/>
            <w:tcBorders>
              <w:top w:val="nil"/>
              <w:left w:val="nil"/>
              <w:bottom w:val="nil"/>
              <w:right w:val="nil"/>
            </w:tcBorders>
            <w:shd w:val="clear" w:color="FFFFFF" w:fill="FFFFFF"/>
            <w:vAlign w:val="bottom"/>
            <w:hideMark/>
          </w:tcPr>
          <w:p w14:paraId="02DEF81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26" w:type="dxa"/>
            <w:tcBorders>
              <w:top w:val="nil"/>
              <w:left w:val="nil"/>
              <w:bottom w:val="nil"/>
              <w:right w:val="nil"/>
            </w:tcBorders>
            <w:shd w:val="clear" w:color="auto" w:fill="auto"/>
            <w:vAlign w:val="bottom"/>
            <w:hideMark/>
          </w:tcPr>
          <w:p w14:paraId="3EE08863" w14:textId="77777777" w:rsidR="00B9311E" w:rsidRPr="00BD77D8" w:rsidRDefault="00B9311E" w:rsidP="00B9311E">
            <w:pPr>
              <w:spacing w:after="0" w:line="240" w:lineRule="auto"/>
              <w:jc w:val="right"/>
              <w:rPr>
                <w:sz w:val="18"/>
                <w:szCs w:val="18"/>
              </w:rPr>
            </w:pPr>
            <w:r w:rsidRPr="00BD77D8">
              <w:rPr>
                <w:sz w:val="18"/>
                <w:szCs w:val="18"/>
              </w:rPr>
              <w:t xml:space="preserve">           1,800 </w:t>
            </w:r>
          </w:p>
        </w:tc>
        <w:tc>
          <w:tcPr>
            <w:tcW w:w="0" w:type="auto"/>
            <w:tcBorders>
              <w:top w:val="nil"/>
              <w:left w:val="nil"/>
              <w:bottom w:val="nil"/>
              <w:right w:val="nil"/>
            </w:tcBorders>
            <w:shd w:val="clear" w:color="auto" w:fill="auto"/>
            <w:vAlign w:val="bottom"/>
            <w:hideMark/>
          </w:tcPr>
          <w:p w14:paraId="46DD0560" w14:textId="77777777" w:rsidR="00B9311E" w:rsidRPr="00BD77D8" w:rsidRDefault="00B9311E" w:rsidP="00B9311E">
            <w:pPr>
              <w:spacing w:after="0" w:line="240" w:lineRule="auto"/>
              <w:jc w:val="right"/>
              <w:rPr>
                <w:sz w:val="18"/>
                <w:szCs w:val="18"/>
              </w:rPr>
            </w:pPr>
            <w:r w:rsidRPr="00BD77D8">
              <w:rPr>
                <w:sz w:val="18"/>
                <w:szCs w:val="18"/>
              </w:rPr>
              <w:t xml:space="preserve">          2,853 </w:t>
            </w:r>
          </w:p>
        </w:tc>
      </w:tr>
      <w:tr w:rsidR="00BD77D8" w:rsidRPr="00BD77D8" w14:paraId="5E521A1B" w14:textId="77777777" w:rsidTr="003057FB">
        <w:trPr>
          <w:trHeight w:val="275"/>
        </w:trPr>
        <w:tc>
          <w:tcPr>
            <w:tcW w:w="0" w:type="auto"/>
            <w:tcBorders>
              <w:top w:val="nil"/>
              <w:left w:val="nil"/>
              <w:bottom w:val="nil"/>
              <w:right w:val="nil"/>
            </w:tcBorders>
            <w:shd w:val="clear" w:color="auto" w:fill="auto"/>
            <w:noWrap/>
            <w:vAlign w:val="bottom"/>
            <w:hideMark/>
          </w:tcPr>
          <w:p w14:paraId="087A0AD0"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Other revenue </w:t>
            </w:r>
          </w:p>
        </w:tc>
        <w:tc>
          <w:tcPr>
            <w:tcW w:w="1925" w:type="dxa"/>
            <w:tcBorders>
              <w:top w:val="nil"/>
              <w:left w:val="nil"/>
              <w:bottom w:val="nil"/>
              <w:right w:val="nil"/>
            </w:tcBorders>
            <w:shd w:val="clear" w:color="auto" w:fill="auto"/>
            <w:noWrap/>
            <w:vAlign w:val="bottom"/>
            <w:hideMark/>
          </w:tcPr>
          <w:p w14:paraId="4CFD8D2D" w14:textId="77777777" w:rsidR="00B9311E" w:rsidRPr="00BD77D8" w:rsidRDefault="00B9311E" w:rsidP="00B9311E">
            <w:pPr>
              <w:spacing w:after="0" w:line="240" w:lineRule="auto"/>
              <w:ind w:firstLineChars="100" w:firstLine="180"/>
              <w:rPr>
                <w:sz w:val="18"/>
                <w:szCs w:val="18"/>
              </w:rPr>
            </w:pPr>
          </w:p>
        </w:tc>
        <w:tc>
          <w:tcPr>
            <w:tcW w:w="1256" w:type="dxa"/>
            <w:tcBorders>
              <w:top w:val="nil"/>
              <w:left w:val="nil"/>
              <w:bottom w:val="nil"/>
              <w:right w:val="nil"/>
            </w:tcBorders>
            <w:shd w:val="clear" w:color="auto" w:fill="auto"/>
            <w:vAlign w:val="bottom"/>
            <w:hideMark/>
          </w:tcPr>
          <w:p w14:paraId="361DD95B" w14:textId="77777777" w:rsidR="00B9311E" w:rsidRPr="00BD77D8" w:rsidRDefault="00B9311E" w:rsidP="00B9311E">
            <w:pPr>
              <w:spacing w:after="0" w:line="240" w:lineRule="auto"/>
              <w:jc w:val="right"/>
              <w:rPr>
                <w:b/>
                <w:bCs/>
                <w:sz w:val="18"/>
                <w:szCs w:val="18"/>
              </w:rPr>
            </w:pPr>
            <w:r w:rsidRPr="00BD77D8">
              <w:rPr>
                <w:b/>
                <w:bCs/>
                <w:sz w:val="18"/>
                <w:szCs w:val="18"/>
              </w:rPr>
              <w:t xml:space="preserve">                23 </w:t>
            </w:r>
          </w:p>
        </w:tc>
        <w:tc>
          <w:tcPr>
            <w:tcW w:w="1282" w:type="dxa"/>
            <w:tcBorders>
              <w:top w:val="nil"/>
              <w:left w:val="nil"/>
              <w:bottom w:val="nil"/>
              <w:right w:val="nil"/>
            </w:tcBorders>
            <w:shd w:val="clear" w:color="FFFFFF" w:fill="FFFFFF"/>
            <w:vAlign w:val="bottom"/>
            <w:hideMark/>
          </w:tcPr>
          <w:p w14:paraId="32284204"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26" w:type="dxa"/>
            <w:tcBorders>
              <w:top w:val="nil"/>
              <w:left w:val="nil"/>
              <w:bottom w:val="nil"/>
              <w:right w:val="nil"/>
            </w:tcBorders>
            <w:shd w:val="clear" w:color="auto" w:fill="auto"/>
            <w:vAlign w:val="bottom"/>
            <w:hideMark/>
          </w:tcPr>
          <w:p w14:paraId="4D7951A5" w14:textId="77777777" w:rsidR="00B9311E" w:rsidRPr="00BD77D8" w:rsidRDefault="00B9311E" w:rsidP="00B9311E">
            <w:pPr>
              <w:spacing w:after="0" w:line="240" w:lineRule="auto"/>
              <w:jc w:val="right"/>
              <w:rPr>
                <w:sz w:val="18"/>
                <w:szCs w:val="18"/>
              </w:rPr>
            </w:pPr>
            <w:r w:rsidRPr="00BD77D8">
              <w:rPr>
                <w:sz w:val="18"/>
                <w:szCs w:val="18"/>
              </w:rPr>
              <w:t xml:space="preserve">                 23 </w:t>
            </w:r>
          </w:p>
        </w:tc>
        <w:tc>
          <w:tcPr>
            <w:tcW w:w="0" w:type="auto"/>
            <w:tcBorders>
              <w:top w:val="nil"/>
              <w:left w:val="nil"/>
              <w:bottom w:val="nil"/>
              <w:right w:val="nil"/>
            </w:tcBorders>
            <w:shd w:val="clear" w:color="auto" w:fill="auto"/>
            <w:vAlign w:val="bottom"/>
            <w:hideMark/>
          </w:tcPr>
          <w:p w14:paraId="423DF7A4" w14:textId="77777777" w:rsidR="00B9311E" w:rsidRPr="00BD77D8" w:rsidRDefault="00B9311E" w:rsidP="00B9311E">
            <w:pPr>
              <w:spacing w:after="0" w:line="240" w:lineRule="auto"/>
              <w:jc w:val="right"/>
              <w:rPr>
                <w:sz w:val="18"/>
                <w:szCs w:val="18"/>
              </w:rPr>
            </w:pPr>
            <w:r w:rsidRPr="00BD77D8">
              <w:rPr>
                <w:sz w:val="18"/>
                <w:szCs w:val="18"/>
              </w:rPr>
              <w:t xml:space="preserve">- </w:t>
            </w:r>
          </w:p>
        </w:tc>
      </w:tr>
      <w:tr w:rsidR="00BD77D8" w:rsidRPr="00BD77D8" w14:paraId="48F47EDF" w14:textId="77777777" w:rsidTr="003057FB">
        <w:trPr>
          <w:trHeight w:val="275"/>
        </w:trPr>
        <w:tc>
          <w:tcPr>
            <w:tcW w:w="0" w:type="auto"/>
            <w:tcBorders>
              <w:top w:val="nil"/>
              <w:left w:val="nil"/>
              <w:bottom w:val="nil"/>
              <w:right w:val="nil"/>
            </w:tcBorders>
            <w:shd w:val="clear" w:color="auto" w:fill="auto"/>
            <w:noWrap/>
            <w:vAlign w:val="bottom"/>
            <w:hideMark/>
          </w:tcPr>
          <w:p w14:paraId="0EC05B3F" w14:textId="77777777" w:rsidR="00B9311E" w:rsidRPr="00BD77D8" w:rsidRDefault="00B9311E" w:rsidP="00B9311E">
            <w:pPr>
              <w:spacing w:after="0" w:line="240" w:lineRule="auto"/>
              <w:rPr>
                <w:b/>
                <w:bCs/>
                <w:sz w:val="18"/>
                <w:szCs w:val="18"/>
              </w:rPr>
            </w:pPr>
            <w:r w:rsidRPr="00BD77D8">
              <w:rPr>
                <w:b/>
                <w:bCs/>
                <w:sz w:val="18"/>
                <w:szCs w:val="18"/>
              </w:rPr>
              <w:t xml:space="preserve"> Total administered income </w:t>
            </w:r>
          </w:p>
        </w:tc>
        <w:tc>
          <w:tcPr>
            <w:tcW w:w="1925" w:type="dxa"/>
            <w:tcBorders>
              <w:top w:val="nil"/>
              <w:left w:val="nil"/>
              <w:bottom w:val="nil"/>
              <w:right w:val="nil"/>
            </w:tcBorders>
            <w:shd w:val="clear" w:color="auto" w:fill="auto"/>
            <w:noWrap/>
            <w:vAlign w:val="bottom"/>
            <w:hideMark/>
          </w:tcPr>
          <w:p w14:paraId="047946C6" w14:textId="77777777" w:rsidR="00B9311E" w:rsidRPr="00BD77D8" w:rsidRDefault="00B9311E" w:rsidP="00B9311E">
            <w:pPr>
              <w:spacing w:after="0" w:line="240" w:lineRule="auto"/>
              <w:rPr>
                <w:b/>
                <w:bCs/>
                <w:sz w:val="18"/>
                <w:szCs w:val="18"/>
              </w:rPr>
            </w:pPr>
          </w:p>
        </w:tc>
        <w:tc>
          <w:tcPr>
            <w:tcW w:w="1256" w:type="dxa"/>
            <w:tcBorders>
              <w:top w:val="single" w:sz="4" w:space="0" w:color="auto"/>
              <w:left w:val="nil"/>
              <w:bottom w:val="single" w:sz="4" w:space="0" w:color="auto"/>
              <w:right w:val="nil"/>
            </w:tcBorders>
            <w:shd w:val="clear" w:color="auto" w:fill="auto"/>
            <w:vAlign w:val="bottom"/>
            <w:hideMark/>
          </w:tcPr>
          <w:p w14:paraId="3B9CC6F6" w14:textId="77777777" w:rsidR="00B9311E" w:rsidRPr="00BD77D8" w:rsidRDefault="00B9311E" w:rsidP="00B9311E">
            <w:pPr>
              <w:spacing w:after="0" w:line="240" w:lineRule="auto"/>
              <w:jc w:val="right"/>
              <w:rPr>
                <w:b/>
                <w:bCs/>
                <w:sz w:val="18"/>
                <w:szCs w:val="18"/>
              </w:rPr>
            </w:pPr>
            <w:r w:rsidRPr="00BD77D8">
              <w:rPr>
                <w:b/>
                <w:bCs/>
                <w:sz w:val="18"/>
                <w:szCs w:val="18"/>
              </w:rPr>
              <w:t xml:space="preserve">  2,405,434 </w:t>
            </w:r>
          </w:p>
        </w:tc>
        <w:tc>
          <w:tcPr>
            <w:tcW w:w="1282" w:type="dxa"/>
            <w:tcBorders>
              <w:top w:val="single" w:sz="4" w:space="0" w:color="auto"/>
              <w:left w:val="nil"/>
              <w:bottom w:val="single" w:sz="4" w:space="0" w:color="auto"/>
              <w:right w:val="nil"/>
            </w:tcBorders>
            <w:shd w:val="clear" w:color="auto" w:fill="auto"/>
            <w:vAlign w:val="bottom"/>
            <w:hideMark/>
          </w:tcPr>
          <w:p w14:paraId="0889AB94" w14:textId="77777777" w:rsidR="00B9311E" w:rsidRPr="00BD77D8" w:rsidRDefault="00B9311E" w:rsidP="00B9311E">
            <w:pPr>
              <w:spacing w:after="0" w:line="240" w:lineRule="auto"/>
              <w:jc w:val="right"/>
              <w:rPr>
                <w:b/>
                <w:bCs/>
                <w:sz w:val="18"/>
                <w:szCs w:val="18"/>
              </w:rPr>
            </w:pPr>
            <w:r w:rsidRPr="00BD77D8">
              <w:rPr>
                <w:b/>
                <w:bCs/>
                <w:sz w:val="18"/>
                <w:szCs w:val="18"/>
              </w:rPr>
              <w:t xml:space="preserve">  2,434,745 </w:t>
            </w:r>
          </w:p>
        </w:tc>
        <w:tc>
          <w:tcPr>
            <w:tcW w:w="1326" w:type="dxa"/>
            <w:tcBorders>
              <w:top w:val="single" w:sz="4" w:space="0" w:color="auto"/>
              <w:left w:val="nil"/>
              <w:bottom w:val="single" w:sz="4" w:space="0" w:color="auto"/>
              <w:right w:val="nil"/>
            </w:tcBorders>
            <w:shd w:val="clear" w:color="auto" w:fill="auto"/>
            <w:vAlign w:val="bottom"/>
            <w:hideMark/>
          </w:tcPr>
          <w:p w14:paraId="248808EF" w14:textId="77777777" w:rsidR="00B9311E" w:rsidRPr="00BD77D8" w:rsidRDefault="00B9311E" w:rsidP="00B9311E">
            <w:pPr>
              <w:spacing w:after="0" w:line="240" w:lineRule="auto"/>
              <w:jc w:val="right"/>
              <w:rPr>
                <w:b/>
                <w:bCs/>
                <w:sz w:val="18"/>
                <w:szCs w:val="18"/>
              </w:rPr>
            </w:pPr>
            <w:r w:rsidRPr="00BD77D8">
              <w:rPr>
                <w:b/>
                <w:bCs/>
                <w:sz w:val="18"/>
                <w:szCs w:val="18"/>
              </w:rPr>
              <w:t xml:space="preserve">       (29,311)</w:t>
            </w:r>
          </w:p>
        </w:tc>
        <w:tc>
          <w:tcPr>
            <w:tcW w:w="0" w:type="auto"/>
            <w:tcBorders>
              <w:top w:val="single" w:sz="4" w:space="0" w:color="auto"/>
              <w:left w:val="nil"/>
              <w:bottom w:val="single" w:sz="4" w:space="0" w:color="auto"/>
              <w:right w:val="nil"/>
            </w:tcBorders>
            <w:shd w:val="clear" w:color="auto" w:fill="auto"/>
            <w:vAlign w:val="bottom"/>
            <w:hideMark/>
          </w:tcPr>
          <w:p w14:paraId="11CB8D32" w14:textId="77777777" w:rsidR="00B9311E" w:rsidRPr="00BD77D8" w:rsidRDefault="00B9311E" w:rsidP="00B9311E">
            <w:pPr>
              <w:spacing w:after="0" w:line="240" w:lineRule="auto"/>
              <w:jc w:val="right"/>
              <w:rPr>
                <w:b/>
                <w:bCs/>
                <w:sz w:val="18"/>
                <w:szCs w:val="18"/>
              </w:rPr>
            </w:pPr>
            <w:r w:rsidRPr="00BD77D8">
              <w:rPr>
                <w:b/>
                <w:bCs/>
                <w:sz w:val="18"/>
                <w:szCs w:val="18"/>
              </w:rPr>
              <w:t xml:space="preserve">  2,396,329 </w:t>
            </w:r>
          </w:p>
        </w:tc>
      </w:tr>
      <w:tr w:rsidR="00BD77D8" w:rsidRPr="00BD77D8" w14:paraId="036DEA1A" w14:textId="77777777" w:rsidTr="003057FB">
        <w:trPr>
          <w:trHeight w:val="275"/>
        </w:trPr>
        <w:tc>
          <w:tcPr>
            <w:tcW w:w="0" w:type="auto"/>
            <w:tcBorders>
              <w:top w:val="nil"/>
              <w:left w:val="nil"/>
              <w:bottom w:val="nil"/>
              <w:right w:val="nil"/>
            </w:tcBorders>
            <w:shd w:val="clear" w:color="auto" w:fill="auto"/>
            <w:noWrap/>
            <w:vAlign w:val="bottom"/>
            <w:hideMark/>
          </w:tcPr>
          <w:p w14:paraId="66B40454" w14:textId="77777777" w:rsidR="00B9311E" w:rsidRPr="00BD77D8" w:rsidRDefault="00B9311E" w:rsidP="00B9311E">
            <w:pPr>
              <w:spacing w:after="0" w:line="240" w:lineRule="auto"/>
              <w:jc w:val="right"/>
              <w:rPr>
                <w:sz w:val="18"/>
                <w:szCs w:val="18"/>
              </w:rPr>
            </w:pPr>
          </w:p>
        </w:tc>
        <w:tc>
          <w:tcPr>
            <w:tcW w:w="1925" w:type="dxa"/>
            <w:tcBorders>
              <w:top w:val="nil"/>
              <w:left w:val="nil"/>
              <w:bottom w:val="nil"/>
              <w:right w:val="nil"/>
            </w:tcBorders>
            <w:shd w:val="clear" w:color="auto" w:fill="auto"/>
            <w:noWrap/>
            <w:vAlign w:val="bottom"/>
            <w:hideMark/>
          </w:tcPr>
          <w:p w14:paraId="23170A1F" w14:textId="77777777" w:rsidR="00B9311E" w:rsidRPr="00BD77D8" w:rsidRDefault="00B9311E" w:rsidP="00B9311E">
            <w:pPr>
              <w:spacing w:after="0" w:line="240" w:lineRule="auto"/>
              <w:rPr>
                <w:rFonts w:ascii="Times New Roman" w:hAnsi="Times New Roman" w:cs="Times New Roman"/>
                <w:sz w:val="20"/>
                <w:szCs w:val="20"/>
              </w:rPr>
            </w:pPr>
          </w:p>
        </w:tc>
        <w:tc>
          <w:tcPr>
            <w:tcW w:w="1256" w:type="dxa"/>
            <w:tcBorders>
              <w:top w:val="nil"/>
              <w:left w:val="nil"/>
              <w:bottom w:val="nil"/>
              <w:right w:val="nil"/>
            </w:tcBorders>
            <w:shd w:val="clear" w:color="auto" w:fill="auto"/>
            <w:vAlign w:val="bottom"/>
            <w:hideMark/>
          </w:tcPr>
          <w:p w14:paraId="45EC078D"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2" w:type="dxa"/>
            <w:tcBorders>
              <w:top w:val="nil"/>
              <w:left w:val="nil"/>
              <w:bottom w:val="nil"/>
              <w:right w:val="nil"/>
            </w:tcBorders>
            <w:shd w:val="clear" w:color="FFFFFF" w:fill="FFFFFF"/>
            <w:vAlign w:val="bottom"/>
            <w:hideMark/>
          </w:tcPr>
          <w:p w14:paraId="0AEA8039" w14:textId="77777777" w:rsidR="00B9311E" w:rsidRPr="00BD77D8" w:rsidRDefault="00B9311E" w:rsidP="00B9311E">
            <w:pPr>
              <w:spacing w:after="0" w:line="240" w:lineRule="auto"/>
              <w:jc w:val="right"/>
              <w:rPr>
                <w:sz w:val="18"/>
                <w:szCs w:val="18"/>
              </w:rPr>
            </w:pPr>
            <w:r w:rsidRPr="00BD77D8">
              <w:rPr>
                <w:sz w:val="18"/>
                <w:szCs w:val="18"/>
              </w:rPr>
              <w:t> </w:t>
            </w:r>
          </w:p>
        </w:tc>
        <w:tc>
          <w:tcPr>
            <w:tcW w:w="1326" w:type="dxa"/>
            <w:tcBorders>
              <w:top w:val="nil"/>
              <w:left w:val="nil"/>
              <w:bottom w:val="nil"/>
              <w:right w:val="nil"/>
            </w:tcBorders>
            <w:shd w:val="clear" w:color="auto" w:fill="auto"/>
            <w:vAlign w:val="bottom"/>
            <w:hideMark/>
          </w:tcPr>
          <w:p w14:paraId="6145AF92" w14:textId="77777777" w:rsidR="00B9311E" w:rsidRPr="00BD77D8" w:rsidRDefault="00B9311E" w:rsidP="00B9311E">
            <w:pPr>
              <w:spacing w:after="0" w:line="240" w:lineRule="auto"/>
              <w:jc w:val="right"/>
              <w:rPr>
                <w:sz w:val="18"/>
                <w:szCs w:val="18"/>
              </w:rPr>
            </w:pPr>
          </w:p>
        </w:tc>
        <w:tc>
          <w:tcPr>
            <w:tcW w:w="0" w:type="auto"/>
            <w:tcBorders>
              <w:top w:val="nil"/>
              <w:left w:val="nil"/>
              <w:bottom w:val="nil"/>
              <w:right w:val="nil"/>
            </w:tcBorders>
            <w:shd w:val="clear" w:color="auto" w:fill="auto"/>
            <w:vAlign w:val="bottom"/>
            <w:hideMark/>
          </w:tcPr>
          <w:p w14:paraId="496D5BF7"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0BF058EC" w14:textId="77777777" w:rsidTr="003057FB">
        <w:trPr>
          <w:trHeight w:val="275"/>
        </w:trPr>
        <w:tc>
          <w:tcPr>
            <w:tcW w:w="0" w:type="auto"/>
            <w:tcBorders>
              <w:top w:val="nil"/>
              <w:left w:val="nil"/>
              <w:bottom w:val="nil"/>
              <w:right w:val="nil"/>
            </w:tcBorders>
            <w:shd w:val="clear" w:color="auto" w:fill="auto"/>
            <w:noWrap/>
            <w:vAlign w:val="bottom"/>
            <w:hideMark/>
          </w:tcPr>
          <w:p w14:paraId="2ABA92FB" w14:textId="77777777" w:rsidR="00B9311E" w:rsidRPr="00BD77D8" w:rsidRDefault="00B9311E" w:rsidP="00B9311E">
            <w:pPr>
              <w:spacing w:after="0" w:line="240" w:lineRule="auto"/>
              <w:rPr>
                <w:b/>
                <w:bCs/>
                <w:sz w:val="18"/>
                <w:szCs w:val="18"/>
              </w:rPr>
            </w:pPr>
            <w:r w:rsidRPr="00BD77D8">
              <w:rPr>
                <w:b/>
                <w:bCs/>
                <w:sz w:val="18"/>
                <w:szCs w:val="18"/>
              </w:rPr>
              <w:t xml:space="preserve"> Administered expenses </w:t>
            </w:r>
          </w:p>
        </w:tc>
        <w:tc>
          <w:tcPr>
            <w:tcW w:w="1925" w:type="dxa"/>
            <w:tcBorders>
              <w:top w:val="nil"/>
              <w:left w:val="nil"/>
              <w:bottom w:val="nil"/>
              <w:right w:val="nil"/>
            </w:tcBorders>
            <w:shd w:val="clear" w:color="auto" w:fill="auto"/>
            <w:noWrap/>
            <w:vAlign w:val="bottom"/>
            <w:hideMark/>
          </w:tcPr>
          <w:p w14:paraId="52A56F1D" w14:textId="77777777" w:rsidR="00B9311E" w:rsidRPr="00BD77D8" w:rsidRDefault="00B9311E" w:rsidP="00B9311E">
            <w:pPr>
              <w:spacing w:after="0" w:line="240" w:lineRule="auto"/>
              <w:rPr>
                <w:b/>
                <w:bCs/>
                <w:sz w:val="18"/>
                <w:szCs w:val="18"/>
              </w:rPr>
            </w:pPr>
          </w:p>
        </w:tc>
        <w:tc>
          <w:tcPr>
            <w:tcW w:w="1256" w:type="dxa"/>
            <w:tcBorders>
              <w:top w:val="nil"/>
              <w:left w:val="nil"/>
              <w:bottom w:val="nil"/>
              <w:right w:val="nil"/>
            </w:tcBorders>
            <w:shd w:val="clear" w:color="auto" w:fill="auto"/>
            <w:vAlign w:val="bottom"/>
            <w:hideMark/>
          </w:tcPr>
          <w:p w14:paraId="2FA493C3"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82" w:type="dxa"/>
            <w:tcBorders>
              <w:top w:val="nil"/>
              <w:left w:val="nil"/>
              <w:bottom w:val="nil"/>
              <w:right w:val="nil"/>
            </w:tcBorders>
            <w:shd w:val="clear" w:color="FFFFFF" w:fill="FFFFFF"/>
            <w:vAlign w:val="bottom"/>
            <w:hideMark/>
          </w:tcPr>
          <w:p w14:paraId="57C56CB7" w14:textId="77777777" w:rsidR="00B9311E" w:rsidRPr="00BD77D8" w:rsidRDefault="00B9311E" w:rsidP="00B9311E">
            <w:pPr>
              <w:spacing w:after="0" w:line="240" w:lineRule="auto"/>
              <w:jc w:val="right"/>
              <w:rPr>
                <w:b/>
                <w:bCs/>
                <w:sz w:val="18"/>
                <w:szCs w:val="18"/>
              </w:rPr>
            </w:pPr>
            <w:r w:rsidRPr="00BD77D8">
              <w:rPr>
                <w:b/>
                <w:bCs/>
                <w:sz w:val="18"/>
                <w:szCs w:val="18"/>
              </w:rPr>
              <w:t> </w:t>
            </w:r>
          </w:p>
        </w:tc>
        <w:tc>
          <w:tcPr>
            <w:tcW w:w="1326" w:type="dxa"/>
            <w:tcBorders>
              <w:top w:val="nil"/>
              <w:left w:val="nil"/>
              <w:bottom w:val="nil"/>
              <w:right w:val="nil"/>
            </w:tcBorders>
            <w:shd w:val="clear" w:color="auto" w:fill="auto"/>
            <w:vAlign w:val="bottom"/>
            <w:hideMark/>
          </w:tcPr>
          <w:p w14:paraId="4BE89041"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bottom"/>
            <w:hideMark/>
          </w:tcPr>
          <w:p w14:paraId="33F2FD68"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2C4F6E1" w14:textId="77777777" w:rsidTr="003057FB">
        <w:trPr>
          <w:trHeight w:val="275"/>
        </w:trPr>
        <w:tc>
          <w:tcPr>
            <w:tcW w:w="0" w:type="auto"/>
            <w:tcBorders>
              <w:top w:val="nil"/>
              <w:left w:val="nil"/>
              <w:bottom w:val="nil"/>
              <w:right w:val="nil"/>
            </w:tcBorders>
            <w:shd w:val="clear" w:color="auto" w:fill="auto"/>
            <w:noWrap/>
            <w:vAlign w:val="bottom"/>
            <w:hideMark/>
          </w:tcPr>
          <w:p w14:paraId="1E901CEB"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Employee expenses </w:t>
            </w:r>
          </w:p>
        </w:tc>
        <w:tc>
          <w:tcPr>
            <w:tcW w:w="1925" w:type="dxa"/>
            <w:tcBorders>
              <w:top w:val="nil"/>
              <w:left w:val="nil"/>
              <w:bottom w:val="nil"/>
              <w:right w:val="nil"/>
            </w:tcBorders>
            <w:shd w:val="clear" w:color="auto" w:fill="auto"/>
            <w:noWrap/>
            <w:vAlign w:val="bottom"/>
            <w:hideMark/>
          </w:tcPr>
          <w:p w14:paraId="19B22C47" w14:textId="77777777" w:rsidR="00B9311E" w:rsidRPr="00BD77D8" w:rsidRDefault="00B9311E" w:rsidP="00B9311E">
            <w:pPr>
              <w:spacing w:after="0" w:line="240" w:lineRule="auto"/>
              <w:ind w:firstLineChars="100" w:firstLine="180"/>
              <w:rPr>
                <w:sz w:val="18"/>
                <w:szCs w:val="18"/>
              </w:rPr>
            </w:pPr>
          </w:p>
        </w:tc>
        <w:tc>
          <w:tcPr>
            <w:tcW w:w="1256" w:type="dxa"/>
            <w:tcBorders>
              <w:top w:val="nil"/>
              <w:left w:val="nil"/>
              <w:bottom w:val="nil"/>
              <w:right w:val="nil"/>
            </w:tcBorders>
            <w:shd w:val="clear" w:color="auto" w:fill="auto"/>
            <w:vAlign w:val="bottom"/>
            <w:hideMark/>
          </w:tcPr>
          <w:p w14:paraId="63596F84"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2" w:type="dxa"/>
            <w:tcBorders>
              <w:top w:val="nil"/>
              <w:left w:val="nil"/>
              <w:bottom w:val="nil"/>
              <w:right w:val="nil"/>
            </w:tcBorders>
            <w:shd w:val="clear" w:color="FFFFFF" w:fill="FFFFFF"/>
            <w:vAlign w:val="bottom"/>
            <w:hideMark/>
          </w:tcPr>
          <w:p w14:paraId="7917FEF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26" w:type="dxa"/>
            <w:tcBorders>
              <w:top w:val="nil"/>
              <w:left w:val="nil"/>
              <w:bottom w:val="nil"/>
              <w:right w:val="nil"/>
            </w:tcBorders>
            <w:shd w:val="clear" w:color="auto" w:fill="auto"/>
            <w:vAlign w:val="bottom"/>
            <w:hideMark/>
          </w:tcPr>
          <w:p w14:paraId="289DCFD5"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493AE08A" w14:textId="77777777" w:rsidR="00B9311E" w:rsidRPr="00BD77D8" w:rsidRDefault="00B9311E" w:rsidP="00B9311E">
            <w:pPr>
              <w:spacing w:after="0" w:line="240" w:lineRule="auto"/>
              <w:jc w:val="right"/>
              <w:rPr>
                <w:sz w:val="18"/>
                <w:szCs w:val="18"/>
              </w:rPr>
            </w:pPr>
            <w:r w:rsidRPr="00BD77D8">
              <w:rPr>
                <w:sz w:val="18"/>
                <w:szCs w:val="18"/>
              </w:rPr>
              <w:t xml:space="preserve">             206 </w:t>
            </w:r>
          </w:p>
        </w:tc>
      </w:tr>
      <w:tr w:rsidR="00BD77D8" w:rsidRPr="00BD77D8" w14:paraId="06C87A2E" w14:textId="77777777" w:rsidTr="003057FB">
        <w:trPr>
          <w:trHeight w:val="275"/>
        </w:trPr>
        <w:tc>
          <w:tcPr>
            <w:tcW w:w="0" w:type="auto"/>
            <w:tcBorders>
              <w:top w:val="nil"/>
              <w:left w:val="nil"/>
              <w:bottom w:val="nil"/>
              <w:right w:val="nil"/>
            </w:tcBorders>
            <w:shd w:val="clear" w:color="auto" w:fill="auto"/>
            <w:noWrap/>
            <w:vAlign w:val="bottom"/>
            <w:hideMark/>
          </w:tcPr>
          <w:p w14:paraId="09401366"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Supplies and services </w:t>
            </w:r>
          </w:p>
        </w:tc>
        <w:bookmarkStart w:id="658" w:name="RANGE!B15"/>
        <w:tc>
          <w:tcPr>
            <w:tcW w:w="1925" w:type="dxa"/>
            <w:tcBorders>
              <w:top w:val="nil"/>
              <w:left w:val="nil"/>
              <w:bottom w:val="nil"/>
              <w:right w:val="nil"/>
            </w:tcBorders>
            <w:shd w:val="clear" w:color="auto" w:fill="auto"/>
            <w:noWrap/>
            <w:vAlign w:val="bottom"/>
            <w:hideMark/>
          </w:tcPr>
          <w:p w14:paraId="7A34D4B1" w14:textId="77777777" w:rsidR="00B9311E" w:rsidRPr="00BD77D8" w:rsidRDefault="00B9311E" w:rsidP="00B9311E">
            <w:pPr>
              <w:spacing w:after="0" w:line="240" w:lineRule="auto"/>
              <w:jc w:val="center"/>
              <w:rPr>
                <w:rFonts w:eastAsia="PMingLiU"/>
                <w:b/>
                <w:bCs/>
                <w:sz w:val="18"/>
                <w:szCs w:val="22"/>
                <w:lang w:eastAsia="en-US"/>
              </w:rPr>
            </w:pPr>
            <w:r w:rsidRPr="00BD77D8">
              <w:rPr>
                <w:rFonts w:eastAsia="PMingLiU"/>
                <w:b/>
                <w:bCs/>
                <w:sz w:val="18"/>
                <w:szCs w:val="22"/>
                <w:lang w:eastAsia="en-US"/>
              </w:rPr>
              <w:fldChar w:fldCharType="begin"/>
            </w:r>
            <w:r w:rsidRPr="00BD77D8">
              <w:rPr>
                <w:rFonts w:eastAsia="PMingLiU"/>
                <w:b/>
                <w:bCs/>
                <w:sz w:val="18"/>
                <w:szCs w:val="22"/>
                <w:lang w:eastAsia="en-US"/>
              </w:rPr>
              <w:instrText xml:space="preserve"> HYPERLINK "file:///C:\\Users\\lzwelsh\\AppData\\Local\\Microsoft\\Windows\\INetCache\\Content.MSO\\EE9A0631.xlsx" \l "'Note G1-3'!A5" </w:instrText>
            </w:r>
            <w:r w:rsidRPr="00BD77D8">
              <w:rPr>
                <w:rFonts w:eastAsia="PMingLiU"/>
                <w:b/>
                <w:bCs/>
                <w:sz w:val="18"/>
                <w:szCs w:val="22"/>
                <w:lang w:eastAsia="en-US"/>
              </w:rPr>
              <w:fldChar w:fldCharType="separate"/>
            </w:r>
            <w:r w:rsidRPr="00BD77D8">
              <w:rPr>
                <w:rFonts w:eastAsia="PMingLiU"/>
                <w:b/>
                <w:bCs/>
                <w:sz w:val="18"/>
                <w:szCs w:val="22"/>
                <w:lang w:eastAsia="en-US"/>
              </w:rPr>
              <w:t>G1-5</w:t>
            </w:r>
            <w:r w:rsidRPr="00BD77D8">
              <w:rPr>
                <w:rFonts w:eastAsia="PMingLiU"/>
                <w:b/>
                <w:bCs/>
                <w:sz w:val="18"/>
                <w:szCs w:val="22"/>
                <w:lang w:eastAsia="en-US"/>
              </w:rPr>
              <w:fldChar w:fldCharType="end"/>
            </w:r>
            <w:bookmarkEnd w:id="658"/>
          </w:p>
        </w:tc>
        <w:tc>
          <w:tcPr>
            <w:tcW w:w="1256" w:type="dxa"/>
            <w:tcBorders>
              <w:top w:val="nil"/>
              <w:left w:val="nil"/>
              <w:bottom w:val="nil"/>
              <w:right w:val="nil"/>
            </w:tcBorders>
            <w:shd w:val="clear" w:color="auto" w:fill="auto"/>
            <w:vAlign w:val="bottom"/>
            <w:hideMark/>
          </w:tcPr>
          <w:p w14:paraId="57D083A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2" w:type="dxa"/>
            <w:tcBorders>
              <w:top w:val="nil"/>
              <w:left w:val="nil"/>
              <w:bottom w:val="nil"/>
              <w:right w:val="nil"/>
            </w:tcBorders>
            <w:shd w:val="clear" w:color="FFFFFF" w:fill="FFFFFF"/>
            <w:vAlign w:val="bottom"/>
            <w:hideMark/>
          </w:tcPr>
          <w:p w14:paraId="7558B44D"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326" w:type="dxa"/>
            <w:tcBorders>
              <w:top w:val="nil"/>
              <w:left w:val="nil"/>
              <w:bottom w:val="nil"/>
              <w:right w:val="nil"/>
            </w:tcBorders>
            <w:shd w:val="clear" w:color="auto" w:fill="auto"/>
            <w:vAlign w:val="bottom"/>
            <w:hideMark/>
          </w:tcPr>
          <w:p w14:paraId="6709E51B"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0" w:type="auto"/>
            <w:tcBorders>
              <w:top w:val="nil"/>
              <w:left w:val="nil"/>
              <w:bottom w:val="nil"/>
              <w:right w:val="nil"/>
            </w:tcBorders>
            <w:shd w:val="clear" w:color="auto" w:fill="auto"/>
            <w:vAlign w:val="bottom"/>
            <w:hideMark/>
          </w:tcPr>
          <w:p w14:paraId="01A735D2" w14:textId="77777777" w:rsidR="00B9311E" w:rsidRPr="00BD77D8" w:rsidRDefault="00B9311E" w:rsidP="00B9311E">
            <w:pPr>
              <w:spacing w:after="0" w:line="240" w:lineRule="auto"/>
              <w:jc w:val="right"/>
              <w:rPr>
                <w:sz w:val="18"/>
                <w:szCs w:val="18"/>
              </w:rPr>
            </w:pPr>
            <w:r w:rsidRPr="00BD77D8">
              <w:rPr>
                <w:sz w:val="18"/>
                <w:szCs w:val="18"/>
              </w:rPr>
              <w:t xml:space="preserve">          1,002 </w:t>
            </w:r>
          </w:p>
        </w:tc>
      </w:tr>
      <w:tr w:rsidR="00BD77D8" w:rsidRPr="00BD77D8" w14:paraId="69E8312C" w14:textId="77777777" w:rsidTr="003057FB">
        <w:trPr>
          <w:trHeight w:val="275"/>
        </w:trPr>
        <w:tc>
          <w:tcPr>
            <w:tcW w:w="0" w:type="auto"/>
            <w:tcBorders>
              <w:top w:val="nil"/>
              <w:left w:val="nil"/>
              <w:bottom w:val="nil"/>
              <w:right w:val="nil"/>
            </w:tcBorders>
            <w:shd w:val="clear" w:color="auto" w:fill="auto"/>
            <w:noWrap/>
            <w:vAlign w:val="bottom"/>
            <w:hideMark/>
          </w:tcPr>
          <w:p w14:paraId="5403F5B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Grants and subsidies </w:t>
            </w:r>
          </w:p>
        </w:tc>
        <w:tc>
          <w:tcPr>
            <w:tcW w:w="1925" w:type="dxa"/>
            <w:tcBorders>
              <w:top w:val="nil"/>
              <w:left w:val="nil"/>
              <w:bottom w:val="nil"/>
              <w:right w:val="nil"/>
            </w:tcBorders>
            <w:shd w:val="clear" w:color="auto" w:fill="auto"/>
            <w:noWrap/>
            <w:vAlign w:val="bottom"/>
            <w:hideMark/>
          </w:tcPr>
          <w:p w14:paraId="36F6BCB2" w14:textId="77777777" w:rsidR="00B9311E" w:rsidRPr="00BD77D8" w:rsidRDefault="00F56A31" w:rsidP="00B9311E">
            <w:pPr>
              <w:spacing w:after="0" w:line="240" w:lineRule="auto"/>
              <w:jc w:val="center"/>
              <w:rPr>
                <w:rFonts w:eastAsia="PMingLiU"/>
                <w:b/>
                <w:bCs/>
                <w:sz w:val="18"/>
                <w:szCs w:val="22"/>
                <w:lang w:eastAsia="en-US"/>
              </w:rPr>
            </w:pPr>
            <w:hyperlink r:id="rId43" w:anchor="'Note G1-4'!A5" w:history="1">
              <w:r w:rsidR="00B9311E" w:rsidRPr="00BD77D8">
                <w:rPr>
                  <w:rFonts w:eastAsia="PMingLiU"/>
                  <w:b/>
                  <w:bCs/>
                  <w:sz w:val="18"/>
                  <w:szCs w:val="22"/>
                  <w:lang w:eastAsia="en-US"/>
                </w:rPr>
                <w:t>G1-6</w:t>
              </w:r>
            </w:hyperlink>
          </w:p>
        </w:tc>
        <w:tc>
          <w:tcPr>
            <w:tcW w:w="1256" w:type="dxa"/>
            <w:tcBorders>
              <w:top w:val="nil"/>
              <w:left w:val="nil"/>
              <w:bottom w:val="nil"/>
              <w:right w:val="nil"/>
            </w:tcBorders>
            <w:shd w:val="clear" w:color="auto" w:fill="auto"/>
            <w:vAlign w:val="bottom"/>
            <w:hideMark/>
          </w:tcPr>
          <w:p w14:paraId="32B1CBD6" w14:textId="77777777" w:rsidR="00B9311E" w:rsidRPr="00BD77D8" w:rsidRDefault="00B9311E" w:rsidP="00B9311E">
            <w:pPr>
              <w:spacing w:after="0" w:line="240" w:lineRule="auto"/>
              <w:jc w:val="right"/>
              <w:rPr>
                <w:b/>
                <w:bCs/>
                <w:sz w:val="18"/>
                <w:szCs w:val="18"/>
              </w:rPr>
            </w:pPr>
            <w:r w:rsidRPr="00BD77D8">
              <w:rPr>
                <w:b/>
                <w:bCs/>
                <w:sz w:val="18"/>
                <w:szCs w:val="18"/>
              </w:rPr>
              <w:t xml:space="preserve">  2,405,434 </w:t>
            </w:r>
          </w:p>
        </w:tc>
        <w:tc>
          <w:tcPr>
            <w:tcW w:w="1282" w:type="dxa"/>
            <w:tcBorders>
              <w:top w:val="nil"/>
              <w:left w:val="nil"/>
              <w:bottom w:val="nil"/>
              <w:right w:val="nil"/>
            </w:tcBorders>
            <w:shd w:val="clear" w:color="FFFFFF" w:fill="FFFFFF"/>
            <w:vAlign w:val="bottom"/>
            <w:hideMark/>
          </w:tcPr>
          <w:p w14:paraId="69E59C0B" w14:textId="77777777" w:rsidR="00B9311E" w:rsidRPr="00BD77D8" w:rsidRDefault="00B9311E" w:rsidP="00B9311E">
            <w:pPr>
              <w:spacing w:after="0" w:line="240" w:lineRule="auto"/>
              <w:jc w:val="right"/>
              <w:rPr>
                <w:sz w:val="18"/>
                <w:szCs w:val="18"/>
              </w:rPr>
            </w:pPr>
            <w:r w:rsidRPr="00BD77D8">
              <w:rPr>
                <w:sz w:val="18"/>
                <w:szCs w:val="18"/>
              </w:rPr>
              <w:t xml:space="preserve">  2,434,745 </w:t>
            </w:r>
          </w:p>
        </w:tc>
        <w:tc>
          <w:tcPr>
            <w:tcW w:w="1326" w:type="dxa"/>
            <w:tcBorders>
              <w:top w:val="nil"/>
              <w:left w:val="nil"/>
              <w:bottom w:val="nil"/>
              <w:right w:val="nil"/>
            </w:tcBorders>
            <w:shd w:val="clear" w:color="auto" w:fill="auto"/>
            <w:vAlign w:val="bottom"/>
            <w:hideMark/>
          </w:tcPr>
          <w:p w14:paraId="28A040E4" w14:textId="77777777" w:rsidR="00B9311E" w:rsidRPr="00BD77D8" w:rsidRDefault="00B9311E" w:rsidP="00B9311E">
            <w:pPr>
              <w:spacing w:after="0" w:line="240" w:lineRule="auto"/>
              <w:jc w:val="right"/>
              <w:rPr>
                <w:sz w:val="18"/>
                <w:szCs w:val="18"/>
              </w:rPr>
            </w:pPr>
            <w:r w:rsidRPr="00BD77D8">
              <w:rPr>
                <w:sz w:val="18"/>
                <w:szCs w:val="18"/>
              </w:rPr>
              <w:t xml:space="preserve">       29,311</w:t>
            </w:r>
          </w:p>
        </w:tc>
        <w:tc>
          <w:tcPr>
            <w:tcW w:w="0" w:type="auto"/>
            <w:tcBorders>
              <w:top w:val="nil"/>
              <w:left w:val="nil"/>
              <w:bottom w:val="nil"/>
              <w:right w:val="nil"/>
            </w:tcBorders>
            <w:shd w:val="clear" w:color="auto" w:fill="auto"/>
            <w:vAlign w:val="bottom"/>
            <w:hideMark/>
          </w:tcPr>
          <w:p w14:paraId="26E63E13" w14:textId="77777777" w:rsidR="00B9311E" w:rsidRPr="00BD77D8" w:rsidRDefault="00B9311E" w:rsidP="00B9311E">
            <w:pPr>
              <w:spacing w:after="0" w:line="240" w:lineRule="auto"/>
              <w:jc w:val="right"/>
              <w:rPr>
                <w:sz w:val="18"/>
                <w:szCs w:val="18"/>
              </w:rPr>
            </w:pPr>
            <w:r w:rsidRPr="00BD77D8">
              <w:rPr>
                <w:sz w:val="18"/>
                <w:szCs w:val="18"/>
              </w:rPr>
              <w:t xml:space="preserve">  2,406,599 </w:t>
            </w:r>
          </w:p>
        </w:tc>
      </w:tr>
      <w:tr w:rsidR="00BD77D8" w:rsidRPr="00BD77D8" w14:paraId="669C8DF6" w14:textId="77777777" w:rsidTr="003057FB">
        <w:trPr>
          <w:trHeight w:val="275"/>
        </w:trPr>
        <w:tc>
          <w:tcPr>
            <w:tcW w:w="0" w:type="auto"/>
            <w:tcBorders>
              <w:top w:val="nil"/>
              <w:left w:val="nil"/>
              <w:bottom w:val="nil"/>
              <w:right w:val="nil"/>
            </w:tcBorders>
            <w:shd w:val="clear" w:color="auto" w:fill="auto"/>
            <w:noWrap/>
            <w:vAlign w:val="bottom"/>
            <w:hideMark/>
          </w:tcPr>
          <w:p w14:paraId="0BB34FC3" w14:textId="77777777" w:rsidR="00B9311E" w:rsidRPr="00BD77D8" w:rsidRDefault="00B9311E" w:rsidP="00B9311E">
            <w:pPr>
              <w:spacing w:after="0" w:line="240" w:lineRule="auto"/>
              <w:rPr>
                <w:b/>
                <w:bCs/>
                <w:sz w:val="18"/>
                <w:szCs w:val="18"/>
              </w:rPr>
            </w:pPr>
            <w:r w:rsidRPr="00BD77D8">
              <w:rPr>
                <w:b/>
                <w:bCs/>
                <w:sz w:val="18"/>
                <w:szCs w:val="18"/>
              </w:rPr>
              <w:t xml:space="preserve"> Total administered expenses </w:t>
            </w:r>
          </w:p>
        </w:tc>
        <w:tc>
          <w:tcPr>
            <w:tcW w:w="1925" w:type="dxa"/>
            <w:tcBorders>
              <w:top w:val="nil"/>
              <w:left w:val="nil"/>
              <w:bottom w:val="nil"/>
              <w:right w:val="nil"/>
            </w:tcBorders>
            <w:shd w:val="clear" w:color="auto" w:fill="auto"/>
            <w:noWrap/>
            <w:vAlign w:val="bottom"/>
            <w:hideMark/>
          </w:tcPr>
          <w:p w14:paraId="79079918" w14:textId="77777777" w:rsidR="00B9311E" w:rsidRPr="00BD77D8" w:rsidRDefault="00B9311E" w:rsidP="00B9311E">
            <w:pPr>
              <w:spacing w:after="0" w:line="240" w:lineRule="auto"/>
              <w:rPr>
                <w:b/>
                <w:bCs/>
                <w:sz w:val="18"/>
                <w:szCs w:val="18"/>
              </w:rPr>
            </w:pPr>
          </w:p>
        </w:tc>
        <w:tc>
          <w:tcPr>
            <w:tcW w:w="1256" w:type="dxa"/>
            <w:tcBorders>
              <w:top w:val="single" w:sz="4" w:space="0" w:color="auto"/>
              <w:left w:val="nil"/>
              <w:bottom w:val="single" w:sz="4" w:space="0" w:color="auto"/>
              <w:right w:val="nil"/>
            </w:tcBorders>
            <w:shd w:val="clear" w:color="auto" w:fill="auto"/>
            <w:vAlign w:val="bottom"/>
            <w:hideMark/>
          </w:tcPr>
          <w:p w14:paraId="338922D5" w14:textId="77777777" w:rsidR="00B9311E" w:rsidRPr="00BD77D8" w:rsidRDefault="00B9311E" w:rsidP="00B9311E">
            <w:pPr>
              <w:spacing w:after="0" w:line="240" w:lineRule="auto"/>
              <w:jc w:val="right"/>
              <w:rPr>
                <w:b/>
                <w:bCs/>
                <w:sz w:val="18"/>
                <w:szCs w:val="18"/>
              </w:rPr>
            </w:pPr>
            <w:r w:rsidRPr="00BD77D8">
              <w:rPr>
                <w:b/>
                <w:bCs/>
                <w:sz w:val="18"/>
                <w:szCs w:val="18"/>
              </w:rPr>
              <w:t xml:space="preserve">  2,405,434 </w:t>
            </w:r>
          </w:p>
        </w:tc>
        <w:tc>
          <w:tcPr>
            <w:tcW w:w="1282" w:type="dxa"/>
            <w:tcBorders>
              <w:top w:val="single" w:sz="4" w:space="0" w:color="auto"/>
              <w:left w:val="nil"/>
              <w:bottom w:val="single" w:sz="4" w:space="0" w:color="auto"/>
              <w:right w:val="nil"/>
            </w:tcBorders>
            <w:shd w:val="clear" w:color="auto" w:fill="auto"/>
            <w:vAlign w:val="bottom"/>
            <w:hideMark/>
          </w:tcPr>
          <w:p w14:paraId="2F0A1B9F" w14:textId="77777777" w:rsidR="00B9311E" w:rsidRPr="00BD77D8" w:rsidRDefault="00B9311E" w:rsidP="00B9311E">
            <w:pPr>
              <w:spacing w:after="0" w:line="240" w:lineRule="auto"/>
              <w:jc w:val="right"/>
              <w:rPr>
                <w:b/>
                <w:bCs/>
                <w:sz w:val="18"/>
                <w:szCs w:val="18"/>
              </w:rPr>
            </w:pPr>
            <w:r w:rsidRPr="00BD77D8">
              <w:rPr>
                <w:b/>
                <w:bCs/>
                <w:sz w:val="18"/>
                <w:szCs w:val="18"/>
              </w:rPr>
              <w:t xml:space="preserve">  2,434,745 </w:t>
            </w:r>
          </w:p>
        </w:tc>
        <w:tc>
          <w:tcPr>
            <w:tcW w:w="1326" w:type="dxa"/>
            <w:tcBorders>
              <w:top w:val="single" w:sz="4" w:space="0" w:color="auto"/>
              <w:left w:val="nil"/>
              <w:bottom w:val="single" w:sz="4" w:space="0" w:color="auto"/>
              <w:right w:val="nil"/>
            </w:tcBorders>
            <w:shd w:val="clear" w:color="auto" w:fill="auto"/>
            <w:vAlign w:val="bottom"/>
            <w:hideMark/>
          </w:tcPr>
          <w:p w14:paraId="31D27F39" w14:textId="77777777" w:rsidR="00B9311E" w:rsidRPr="00BD77D8" w:rsidRDefault="00B9311E" w:rsidP="00B9311E">
            <w:pPr>
              <w:spacing w:after="0" w:line="240" w:lineRule="auto"/>
              <w:jc w:val="right"/>
              <w:rPr>
                <w:b/>
                <w:bCs/>
                <w:sz w:val="18"/>
                <w:szCs w:val="18"/>
              </w:rPr>
            </w:pPr>
            <w:r w:rsidRPr="00BD77D8">
              <w:rPr>
                <w:b/>
                <w:bCs/>
                <w:sz w:val="18"/>
                <w:szCs w:val="18"/>
              </w:rPr>
              <w:t xml:space="preserve">       29,311</w:t>
            </w:r>
          </w:p>
        </w:tc>
        <w:tc>
          <w:tcPr>
            <w:tcW w:w="0" w:type="auto"/>
            <w:tcBorders>
              <w:top w:val="single" w:sz="4" w:space="0" w:color="auto"/>
              <w:left w:val="nil"/>
              <w:bottom w:val="single" w:sz="4" w:space="0" w:color="auto"/>
              <w:right w:val="nil"/>
            </w:tcBorders>
            <w:shd w:val="clear" w:color="auto" w:fill="auto"/>
            <w:vAlign w:val="bottom"/>
            <w:hideMark/>
          </w:tcPr>
          <w:p w14:paraId="73678D17" w14:textId="77777777" w:rsidR="00B9311E" w:rsidRPr="00BD77D8" w:rsidRDefault="00B9311E" w:rsidP="00B9311E">
            <w:pPr>
              <w:spacing w:after="0" w:line="240" w:lineRule="auto"/>
              <w:jc w:val="right"/>
              <w:rPr>
                <w:b/>
                <w:bCs/>
                <w:sz w:val="18"/>
                <w:szCs w:val="18"/>
              </w:rPr>
            </w:pPr>
            <w:r w:rsidRPr="00BD77D8">
              <w:rPr>
                <w:b/>
                <w:bCs/>
                <w:sz w:val="18"/>
                <w:szCs w:val="18"/>
              </w:rPr>
              <w:t xml:space="preserve">  2,407,807 </w:t>
            </w:r>
          </w:p>
        </w:tc>
      </w:tr>
      <w:tr w:rsidR="00BD77D8" w:rsidRPr="00BD77D8" w14:paraId="7B0B9082" w14:textId="77777777" w:rsidTr="003057FB">
        <w:trPr>
          <w:trHeight w:val="275"/>
        </w:trPr>
        <w:tc>
          <w:tcPr>
            <w:tcW w:w="0" w:type="auto"/>
            <w:tcBorders>
              <w:top w:val="nil"/>
              <w:left w:val="nil"/>
              <w:bottom w:val="nil"/>
              <w:right w:val="nil"/>
            </w:tcBorders>
            <w:shd w:val="clear" w:color="auto" w:fill="auto"/>
            <w:noWrap/>
            <w:vAlign w:val="bottom"/>
            <w:hideMark/>
          </w:tcPr>
          <w:p w14:paraId="1EFEF1B5" w14:textId="77777777" w:rsidR="00B9311E" w:rsidRPr="00BD77D8" w:rsidRDefault="00B9311E" w:rsidP="00B9311E">
            <w:pPr>
              <w:spacing w:after="0" w:line="240" w:lineRule="auto"/>
              <w:jc w:val="right"/>
              <w:rPr>
                <w:sz w:val="18"/>
                <w:szCs w:val="18"/>
              </w:rPr>
            </w:pPr>
          </w:p>
        </w:tc>
        <w:tc>
          <w:tcPr>
            <w:tcW w:w="1925" w:type="dxa"/>
            <w:tcBorders>
              <w:top w:val="nil"/>
              <w:left w:val="nil"/>
              <w:bottom w:val="nil"/>
              <w:right w:val="nil"/>
            </w:tcBorders>
            <w:shd w:val="clear" w:color="auto" w:fill="auto"/>
            <w:noWrap/>
            <w:vAlign w:val="bottom"/>
            <w:hideMark/>
          </w:tcPr>
          <w:p w14:paraId="358B7057" w14:textId="77777777" w:rsidR="00B9311E" w:rsidRPr="00BD77D8" w:rsidRDefault="00B9311E" w:rsidP="00B9311E">
            <w:pPr>
              <w:spacing w:after="0" w:line="240" w:lineRule="auto"/>
              <w:ind w:firstLineChars="100" w:firstLine="200"/>
              <w:rPr>
                <w:rFonts w:ascii="Times New Roman" w:hAnsi="Times New Roman" w:cs="Times New Roman"/>
                <w:sz w:val="20"/>
                <w:szCs w:val="20"/>
              </w:rPr>
            </w:pPr>
          </w:p>
        </w:tc>
        <w:tc>
          <w:tcPr>
            <w:tcW w:w="1256" w:type="dxa"/>
            <w:tcBorders>
              <w:top w:val="single" w:sz="4" w:space="0" w:color="auto"/>
              <w:left w:val="nil"/>
              <w:bottom w:val="nil"/>
              <w:right w:val="nil"/>
            </w:tcBorders>
            <w:shd w:val="clear" w:color="auto" w:fill="auto"/>
            <w:vAlign w:val="bottom"/>
            <w:hideMark/>
          </w:tcPr>
          <w:p w14:paraId="41618D4D" w14:textId="77777777" w:rsidR="00B9311E" w:rsidRPr="00BD77D8" w:rsidRDefault="00B9311E" w:rsidP="00B9311E">
            <w:pPr>
              <w:spacing w:after="0" w:line="240" w:lineRule="auto"/>
              <w:jc w:val="right"/>
              <w:rPr>
                <w:b/>
                <w:bCs/>
                <w:sz w:val="18"/>
                <w:szCs w:val="18"/>
              </w:rPr>
            </w:pPr>
            <w:r w:rsidRPr="00BD77D8">
              <w:rPr>
                <w:b/>
                <w:bCs/>
                <w:sz w:val="18"/>
                <w:szCs w:val="18"/>
              </w:rPr>
              <w:t> </w:t>
            </w:r>
          </w:p>
        </w:tc>
        <w:tc>
          <w:tcPr>
            <w:tcW w:w="1282" w:type="dxa"/>
            <w:tcBorders>
              <w:top w:val="single" w:sz="4" w:space="0" w:color="auto"/>
              <w:left w:val="nil"/>
              <w:bottom w:val="nil"/>
              <w:right w:val="nil"/>
            </w:tcBorders>
            <w:shd w:val="clear" w:color="auto" w:fill="auto"/>
            <w:vAlign w:val="bottom"/>
            <w:hideMark/>
          </w:tcPr>
          <w:p w14:paraId="567698B1" w14:textId="77777777" w:rsidR="00B9311E" w:rsidRPr="00BD77D8" w:rsidRDefault="00B9311E" w:rsidP="00B9311E">
            <w:pPr>
              <w:spacing w:after="0" w:line="240" w:lineRule="auto"/>
              <w:jc w:val="right"/>
              <w:rPr>
                <w:sz w:val="18"/>
                <w:szCs w:val="18"/>
              </w:rPr>
            </w:pPr>
            <w:r w:rsidRPr="00BD77D8">
              <w:rPr>
                <w:sz w:val="18"/>
                <w:szCs w:val="18"/>
              </w:rPr>
              <w:t> </w:t>
            </w:r>
          </w:p>
        </w:tc>
        <w:tc>
          <w:tcPr>
            <w:tcW w:w="1326" w:type="dxa"/>
            <w:tcBorders>
              <w:top w:val="single" w:sz="4" w:space="0" w:color="auto"/>
              <w:left w:val="nil"/>
              <w:bottom w:val="nil"/>
              <w:right w:val="nil"/>
            </w:tcBorders>
            <w:shd w:val="clear" w:color="auto" w:fill="auto"/>
            <w:vAlign w:val="bottom"/>
            <w:hideMark/>
          </w:tcPr>
          <w:p w14:paraId="1ECC905A" w14:textId="77777777" w:rsidR="00B9311E" w:rsidRPr="00BD77D8" w:rsidRDefault="00B9311E" w:rsidP="00B9311E">
            <w:pPr>
              <w:spacing w:after="0" w:line="240" w:lineRule="auto"/>
              <w:jc w:val="right"/>
              <w:rPr>
                <w:sz w:val="18"/>
                <w:szCs w:val="18"/>
              </w:rPr>
            </w:pPr>
            <w:r w:rsidRPr="00BD77D8">
              <w:rPr>
                <w:sz w:val="18"/>
                <w:szCs w:val="18"/>
              </w:rPr>
              <w:t> </w:t>
            </w:r>
          </w:p>
        </w:tc>
        <w:tc>
          <w:tcPr>
            <w:tcW w:w="0" w:type="auto"/>
            <w:tcBorders>
              <w:top w:val="single" w:sz="4" w:space="0" w:color="auto"/>
              <w:left w:val="nil"/>
              <w:bottom w:val="nil"/>
              <w:right w:val="nil"/>
            </w:tcBorders>
            <w:shd w:val="clear" w:color="auto" w:fill="auto"/>
            <w:vAlign w:val="bottom"/>
            <w:hideMark/>
          </w:tcPr>
          <w:p w14:paraId="28CA7C34" w14:textId="77777777" w:rsidR="00B9311E" w:rsidRPr="00BD77D8" w:rsidRDefault="00B9311E" w:rsidP="00B9311E">
            <w:pPr>
              <w:spacing w:after="0" w:line="240" w:lineRule="auto"/>
              <w:jc w:val="right"/>
              <w:rPr>
                <w:sz w:val="18"/>
                <w:szCs w:val="18"/>
              </w:rPr>
            </w:pPr>
            <w:r w:rsidRPr="00BD77D8">
              <w:rPr>
                <w:sz w:val="18"/>
                <w:szCs w:val="18"/>
              </w:rPr>
              <w:t> </w:t>
            </w:r>
          </w:p>
        </w:tc>
      </w:tr>
      <w:tr w:rsidR="00BD77D8" w:rsidRPr="00BD77D8" w14:paraId="499AECD0" w14:textId="77777777" w:rsidTr="003057FB">
        <w:trPr>
          <w:trHeight w:val="275"/>
        </w:trPr>
        <w:tc>
          <w:tcPr>
            <w:tcW w:w="0" w:type="auto"/>
            <w:tcBorders>
              <w:top w:val="nil"/>
              <w:left w:val="nil"/>
              <w:bottom w:val="nil"/>
              <w:right w:val="nil"/>
            </w:tcBorders>
            <w:shd w:val="clear" w:color="auto" w:fill="auto"/>
            <w:noWrap/>
            <w:vAlign w:val="bottom"/>
            <w:hideMark/>
          </w:tcPr>
          <w:p w14:paraId="05B3BF38" w14:textId="77777777" w:rsidR="00B9311E" w:rsidRPr="00BD77D8" w:rsidRDefault="00B9311E" w:rsidP="00B9311E">
            <w:pPr>
              <w:spacing w:after="0" w:line="240" w:lineRule="auto"/>
              <w:rPr>
                <w:b/>
                <w:bCs/>
                <w:sz w:val="18"/>
                <w:szCs w:val="18"/>
              </w:rPr>
            </w:pPr>
            <w:r w:rsidRPr="00BD77D8">
              <w:rPr>
                <w:b/>
                <w:bCs/>
                <w:sz w:val="18"/>
                <w:szCs w:val="18"/>
              </w:rPr>
              <w:t xml:space="preserve"> Operating surplus/(deficit) </w:t>
            </w:r>
          </w:p>
        </w:tc>
        <w:tc>
          <w:tcPr>
            <w:tcW w:w="1925" w:type="dxa"/>
            <w:tcBorders>
              <w:top w:val="nil"/>
              <w:left w:val="nil"/>
              <w:bottom w:val="nil"/>
              <w:right w:val="nil"/>
            </w:tcBorders>
            <w:shd w:val="clear" w:color="auto" w:fill="auto"/>
            <w:noWrap/>
            <w:vAlign w:val="bottom"/>
            <w:hideMark/>
          </w:tcPr>
          <w:p w14:paraId="5BBB81B6" w14:textId="77777777" w:rsidR="00B9311E" w:rsidRPr="00BD77D8" w:rsidRDefault="00B9311E" w:rsidP="00B9311E">
            <w:pPr>
              <w:spacing w:after="0" w:line="240" w:lineRule="auto"/>
              <w:rPr>
                <w:b/>
                <w:bCs/>
                <w:sz w:val="18"/>
                <w:szCs w:val="18"/>
              </w:rPr>
            </w:pPr>
          </w:p>
        </w:tc>
        <w:tc>
          <w:tcPr>
            <w:tcW w:w="1256" w:type="dxa"/>
            <w:tcBorders>
              <w:top w:val="single" w:sz="4" w:space="0" w:color="auto"/>
              <w:left w:val="nil"/>
              <w:bottom w:val="single" w:sz="4" w:space="0" w:color="auto"/>
              <w:right w:val="nil"/>
            </w:tcBorders>
            <w:shd w:val="clear" w:color="auto" w:fill="auto"/>
            <w:vAlign w:val="bottom"/>
            <w:hideMark/>
          </w:tcPr>
          <w:p w14:paraId="436C1010"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282" w:type="dxa"/>
            <w:tcBorders>
              <w:top w:val="single" w:sz="4" w:space="0" w:color="auto"/>
              <w:left w:val="nil"/>
              <w:bottom w:val="single" w:sz="4" w:space="0" w:color="auto"/>
              <w:right w:val="nil"/>
            </w:tcBorders>
            <w:shd w:val="clear" w:color="auto" w:fill="auto"/>
            <w:vAlign w:val="bottom"/>
            <w:hideMark/>
          </w:tcPr>
          <w:p w14:paraId="23B113B3"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1326" w:type="dxa"/>
            <w:tcBorders>
              <w:top w:val="single" w:sz="4" w:space="0" w:color="auto"/>
              <w:left w:val="nil"/>
              <w:bottom w:val="single" w:sz="4" w:space="0" w:color="auto"/>
              <w:right w:val="nil"/>
            </w:tcBorders>
            <w:shd w:val="clear" w:color="auto" w:fill="auto"/>
            <w:vAlign w:val="bottom"/>
            <w:hideMark/>
          </w:tcPr>
          <w:p w14:paraId="5B4D845B"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c>
          <w:tcPr>
            <w:tcW w:w="0" w:type="auto"/>
            <w:tcBorders>
              <w:top w:val="single" w:sz="4" w:space="0" w:color="auto"/>
              <w:left w:val="nil"/>
              <w:bottom w:val="single" w:sz="4" w:space="0" w:color="auto"/>
              <w:right w:val="nil"/>
            </w:tcBorders>
            <w:shd w:val="clear" w:color="auto" w:fill="auto"/>
            <w:vAlign w:val="bottom"/>
            <w:hideMark/>
          </w:tcPr>
          <w:p w14:paraId="47DB7817" w14:textId="77777777" w:rsidR="00B9311E" w:rsidRPr="00BD77D8" w:rsidRDefault="00B9311E" w:rsidP="00B9311E">
            <w:pPr>
              <w:spacing w:after="0" w:line="240" w:lineRule="auto"/>
              <w:jc w:val="right"/>
              <w:rPr>
                <w:b/>
                <w:bCs/>
                <w:sz w:val="18"/>
                <w:szCs w:val="18"/>
              </w:rPr>
            </w:pPr>
            <w:r w:rsidRPr="00BD77D8">
              <w:rPr>
                <w:b/>
                <w:bCs/>
                <w:sz w:val="18"/>
                <w:szCs w:val="18"/>
              </w:rPr>
              <w:t xml:space="preserve">        (11,478)</w:t>
            </w:r>
          </w:p>
        </w:tc>
      </w:tr>
    </w:tbl>
    <w:p w14:paraId="3FDA338F" w14:textId="77777777" w:rsidR="00B9311E" w:rsidRPr="00BD77D8" w:rsidRDefault="00B9311E" w:rsidP="00727CAE">
      <w:pPr>
        <w:tabs>
          <w:tab w:val="left" w:pos="360"/>
        </w:tabs>
        <w:spacing w:before="200" w:after="0" w:line="203" w:lineRule="exact"/>
        <w:textAlignment w:val="baseline"/>
        <w:rPr>
          <w:rFonts w:eastAsia="Arial"/>
          <w:b/>
          <w:bCs/>
          <w:sz w:val="16"/>
          <w:szCs w:val="16"/>
          <w:lang w:eastAsia="en-US"/>
        </w:rPr>
      </w:pPr>
      <w:r w:rsidRPr="00BD77D8">
        <w:rPr>
          <w:rFonts w:eastAsia="Arial"/>
          <w:sz w:val="16"/>
          <w:szCs w:val="16"/>
          <w:lang w:eastAsia="en-US"/>
        </w:rPr>
        <w:t>^ These figures represent budgeted figures as published in the 2021-22 Service Delivery Statement tabled in Parliament.</w:t>
      </w:r>
    </w:p>
    <w:p w14:paraId="30F8C7E5" w14:textId="77777777" w:rsidR="00B9311E" w:rsidRPr="00BD77D8" w:rsidRDefault="00B9311E" w:rsidP="00727CAE">
      <w:pPr>
        <w:tabs>
          <w:tab w:val="left" w:pos="360"/>
        </w:tabs>
        <w:spacing w:after="240" w:line="203" w:lineRule="exact"/>
        <w:textAlignment w:val="baseline"/>
        <w:rPr>
          <w:rFonts w:eastAsia="Arial"/>
          <w:sz w:val="16"/>
          <w:szCs w:val="16"/>
          <w:lang w:eastAsia="en-US"/>
        </w:rPr>
      </w:pPr>
      <w:r w:rsidRPr="00BD77D8">
        <w:rPr>
          <w:rFonts w:eastAsia="Arial"/>
          <w:sz w:val="16"/>
          <w:szCs w:val="16"/>
          <w:lang w:eastAsia="en-US"/>
        </w:rPr>
        <w:t>*  An explanation of major variances is included at Note G1-8.</w:t>
      </w:r>
    </w:p>
    <w:p w14:paraId="1341FD8A" w14:textId="77777777" w:rsidR="00B9311E" w:rsidRPr="00BD77D8" w:rsidRDefault="00B9311E" w:rsidP="00B9311E">
      <w:pPr>
        <w:pBdr>
          <w:bottom w:val="single" w:sz="4" w:space="1" w:color="auto"/>
        </w:pBdr>
        <w:tabs>
          <w:tab w:val="left" w:pos="360"/>
        </w:tabs>
        <w:spacing w:after="0" w:line="203" w:lineRule="exact"/>
        <w:textAlignment w:val="baseline"/>
        <w:rPr>
          <w:rFonts w:eastAsia="Arial"/>
          <w:sz w:val="18"/>
          <w:szCs w:val="18"/>
          <w:lang w:eastAsia="en-US"/>
        </w:rPr>
      </w:pPr>
    </w:p>
    <w:p w14:paraId="65A842E4" w14:textId="77777777" w:rsidR="00B9311E" w:rsidRPr="00BD77D8" w:rsidRDefault="00B9311E" w:rsidP="00C96182">
      <w:pPr>
        <w:spacing w:after="0"/>
        <w:rPr>
          <w:rFonts w:eastAsia="Arial"/>
          <w:b/>
          <w:bCs/>
          <w:sz w:val="20"/>
          <w:szCs w:val="20"/>
          <w:lang w:eastAsia="en-US"/>
        </w:rPr>
      </w:pPr>
      <w:bookmarkStart w:id="659" w:name="_Toc111494829"/>
      <w:bookmarkStart w:id="660" w:name="_Toc111540701"/>
      <w:bookmarkStart w:id="661" w:name="_Toc111559265"/>
      <w:bookmarkStart w:id="662" w:name="_Toc113196537"/>
      <w:bookmarkStart w:id="663" w:name="_Toc113196885"/>
      <w:bookmarkStart w:id="664" w:name="_Toc113262015"/>
      <w:bookmarkStart w:id="665" w:name="_Toc113349169"/>
      <w:bookmarkStart w:id="666" w:name="_Toc113358094"/>
      <w:r w:rsidRPr="00BD77D8">
        <w:rPr>
          <w:rFonts w:eastAsia="Arial"/>
          <w:b/>
          <w:bCs/>
          <w:sz w:val="20"/>
          <w:szCs w:val="20"/>
          <w:lang w:eastAsia="en-US"/>
        </w:rPr>
        <w:t>G1-2 Schedule of Administered Assets and Liabilities</w:t>
      </w:r>
      <w:bookmarkEnd w:id="659"/>
      <w:bookmarkEnd w:id="660"/>
      <w:bookmarkEnd w:id="661"/>
      <w:bookmarkEnd w:id="662"/>
      <w:bookmarkEnd w:id="663"/>
      <w:bookmarkEnd w:id="664"/>
      <w:bookmarkEnd w:id="665"/>
      <w:bookmarkEnd w:id="666"/>
    </w:p>
    <w:tbl>
      <w:tblPr>
        <w:tblW w:w="10256" w:type="dxa"/>
        <w:tblCellMar>
          <w:left w:w="0" w:type="dxa"/>
          <w:right w:w="0" w:type="dxa"/>
        </w:tblCellMar>
        <w:tblLook w:val="04A0" w:firstRow="1" w:lastRow="0" w:firstColumn="1" w:lastColumn="0" w:noHBand="0" w:noVBand="1"/>
      </w:tblPr>
      <w:tblGrid>
        <w:gridCol w:w="3158"/>
        <w:gridCol w:w="1881"/>
        <w:gridCol w:w="1338"/>
        <w:gridCol w:w="1356"/>
        <w:gridCol w:w="1259"/>
        <w:gridCol w:w="1264"/>
      </w:tblGrid>
      <w:tr w:rsidR="00BD77D8" w:rsidRPr="00BD77D8" w14:paraId="2AFFCB1E" w14:textId="77777777" w:rsidTr="003057FB">
        <w:trPr>
          <w:trHeight w:val="860"/>
        </w:trPr>
        <w:tc>
          <w:tcPr>
            <w:tcW w:w="0" w:type="auto"/>
            <w:tcBorders>
              <w:top w:val="nil"/>
              <w:left w:val="nil"/>
              <w:bottom w:val="nil"/>
              <w:right w:val="nil"/>
            </w:tcBorders>
            <w:shd w:val="clear" w:color="auto" w:fill="auto"/>
            <w:noWrap/>
            <w:vAlign w:val="bottom"/>
            <w:hideMark/>
          </w:tcPr>
          <w:p w14:paraId="031B01AB" w14:textId="77777777" w:rsidR="00B9311E" w:rsidRPr="00BD77D8" w:rsidRDefault="00B9311E" w:rsidP="00B9311E">
            <w:pPr>
              <w:spacing w:after="0" w:line="240" w:lineRule="auto"/>
              <w:rPr>
                <w:rFonts w:ascii="Times New Roman" w:hAnsi="Times New Roman" w:cs="Times New Roman"/>
                <w:sz w:val="24"/>
                <w:szCs w:val="24"/>
              </w:rPr>
            </w:pPr>
          </w:p>
        </w:tc>
        <w:tc>
          <w:tcPr>
            <w:tcW w:w="1865" w:type="dxa"/>
            <w:tcBorders>
              <w:top w:val="nil"/>
              <w:left w:val="nil"/>
              <w:bottom w:val="nil"/>
              <w:right w:val="nil"/>
            </w:tcBorders>
            <w:shd w:val="clear" w:color="auto" w:fill="auto"/>
            <w:noWrap/>
            <w:vAlign w:val="bottom"/>
            <w:hideMark/>
          </w:tcPr>
          <w:p w14:paraId="3E1BB29F"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322" w:type="dxa"/>
            <w:tcBorders>
              <w:top w:val="nil"/>
              <w:left w:val="nil"/>
              <w:bottom w:val="nil"/>
              <w:right w:val="nil"/>
            </w:tcBorders>
            <w:shd w:val="clear" w:color="auto" w:fill="auto"/>
            <w:vAlign w:val="bottom"/>
            <w:hideMark/>
          </w:tcPr>
          <w:p w14:paraId="47A04BC4" w14:textId="77777777" w:rsidR="00B9311E" w:rsidRPr="00BD77D8" w:rsidRDefault="00B9311E" w:rsidP="00B9311E">
            <w:pPr>
              <w:spacing w:after="0" w:line="240" w:lineRule="auto"/>
              <w:jc w:val="right"/>
              <w:rPr>
                <w:b/>
                <w:bCs/>
                <w:sz w:val="18"/>
                <w:szCs w:val="18"/>
              </w:rPr>
            </w:pPr>
            <w:r w:rsidRPr="00BD77D8">
              <w:rPr>
                <w:b/>
                <w:bCs/>
                <w:sz w:val="18"/>
                <w:szCs w:val="18"/>
              </w:rPr>
              <w:t>Actual</w:t>
            </w:r>
            <w:r w:rsidRPr="00BD77D8">
              <w:rPr>
                <w:b/>
                <w:bCs/>
                <w:sz w:val="18"/>
                <w:szCs w:val="18"/>
              </w:rPr>
              <w:br/>
              <w:t xml:space="preserve">2022 </w:t>
            </w:r>
          </w:p>
        </w:tc>
        <w:tc>
          <w:tcPr>
            <w:tcW w:w="1340" w:type="dxa"/>
            <w:tcBorders>
              <w:top w:val="nil"/>
              <w:left w:val="nil"/>
              <w:bottom w:val="nil"/>
              <w:right w:val="nil"/>
            </w:tcBorders>
            <w:shd w:val="clear" w:color="auto" w:fill="auto"/>
            <w:vAlign w:val="bottom"/>
            <w:hideMark/>
          </w:tcPr>
          <w:p w14:paraId="6B876C0D" w14:textId="77777777" w:rsidR="00B9311E" w:rsidRPr="00BD77D8" w:rsidRDefault="00B9311E" w:rsidP="00B9311E">
            <w:pPr>
              <w:spacing w:after="0" w:line="240" w:lineRule="auto"/>
              <w:jc w:val="right"/>
              <w:rPr>
                <w:b/>
                <w:bCs/>
                <w:sz w:val="18"/>
                <w:szCs w:val="18"/>
              </w:rPr>
            </w:pPr>
            <w:r w:rsidRPr="00BD77D8">
              <w:rPr>
                <w:b/>
                <w:bCs/>
                <w:sz w:val="18"/>
                <w:szCs w:val="18"/>
              </w:rPr>
              <w:t xml:space="preserve"> Original Budget^</w:t>
            </w:r>
            <w:r w:rsidRPr="00BD77D8">
              <w:rPr>
                <w:b/>
                <w:bCs/>
                <w:sz w:val="18"/>
                <w:szCs w:val="18"/>
              </w:rPr>
              <w:br/>
              <w:t xml:space="preserve">2022  </w:t>
            </w:r>
          </w:p>
        </w:tc>
        <w:tc>
          <w:tcPr>
            <w:tcW w:w="1243" w:type="dxa"/>
            <w:tcBorders>
              <w:top w:val="nil"/>
              <w:left w:val="nil"/>
              <w:bottom w:val="nil"/>
              <w:right w:val="nil"/>
            </w:tcBorders>
            <w:shd w:val="clear" w:color="auto" w:fill="auto"/>
            <w:vAlign w:val="bottom"/>
            <w:hideMark/>
          </w:tcPr>
          <w:p w14:paraId="4549245C" w14:textId="77777777" w:rsidR="00B9311E" w:rsidRPr="00BD77D8" w:rsidRDefault="00B9311E" w:rsidP="00B9311E">
            <w:pPr>
              <w:spacing w:after="0" w:line="240" w:lineRule="auto"/>
              <w:jc w:val="right"/>
              <w:rPr>
                <w:b/>
                <w:bCs/>
                <w:sz w:val="18"/>
                <w:szCs w:val="18"/>
              </w:rPr>
            </w:pPr>
            <w:r w:rsidRPr="00BD77D8">
              <w:rPr>
                <w:b/>
                <w:bCs/>
                <w:sz w:val="18"/>
                <w:szCs w:val="18"/>
              </w:rPr>
              <w:t xml:space="preserve"> Budget Variance*</w:t>
            </w:r>
            <w:r w:rsidRPr="00BD77D8">
              <w:rPr>
                <w:b/>
                <w:bCs/>
                <w:sz w:val="18"/>
                <w:szCs w:val="18"/>
              </w:rPr>
              <w:br/>
              <w:t xml:space="preserve">2022  </w:t>
            </w:r>
          </w:p>
        </w:tc>
        <w:tc>
          <w:tcPr>
            <w:tcW w:w="1248" w:type="dxa"/>
            <w:tcBorders>
              <w:top w:val="nil"/>
              <w:left w:val="nil"/>
              <w:bottom w:val="nil"/>
              <w:right w:val="nil"/>
            </w:tcBorders>
            <w:shd w:val="clear" w:color="auto" w:fill="auto"/>
            <w:vAlign w:val="bottom"/>
            <w:hideMark/>
          </w:tcPr>
          <w:p w14:paraId="2204BE28" w14:textId="77777777" w:rsidR="00B9311E" w:rsidRPr="00BD77D8" w:rsidRDefault="00B9311E" w:rsidP="00B9311E">
            <w:pPr>
              <w:spacing w:after="0" w:line="240" w:lineRule="auto"/>
              <w:jc w:val="right"/>
              <w:rPr>
                <w:b/>
                <w:bCs/>
                <w:sz w:val="18"/>
                <w:szCs w:val="18"/>
              </w:rPr>
            </w:pPr>
            <w:r w:rsidRPr="00BD77D8">
              <w:rPr>
                <w:b/>
                <w:bCs/>
                <w:sz w:val="18"/>
                <w:szCs w:val="18"/>
              </w:rPr>
              <w:t xml:space="preserve"> Actual</w:t>
            </w:r>
            <w:r w:rsidRPr="00BD77D8">
              <w:rPr>
                <w:b/>
                <w:bCs/>
                <w:sz w:val="18"/>
                <w:szCs w:val="18"/>
              </w:rPr>
              <w:br/>
              <w:t xml:space="preserve">2021 </w:t>
            </w:r>
          </w:p>
        </w:tc>
      </w:tr>
      <w:tr w:rsidR="00BD77D8" w:rsidRPr="00BD77D8" w14:paraId="3EDCF6BE" w14:textId="77777777" w:rsidTr="003057FB">
        <w:trPr>
          <w:trHeight w:val="304"/>
        </w:trPr>
        <w:tc>
          <w:tcPr>
            <w:tcW w:w="0" w:type="auto"/>
            <w:tcBorders>
              <w:top w:val="nil"/>
              <w:left w:val="nil"/>
              <w:bottom w:val="single" w:sz="4" w:space="0" w:color="auto"/>
              <w:right w:val="nil"/>
            </w:tcBorders>
            <w:shd w:val="clear" w:color="auto" w:fill="auto"/>
            <w:noWrap/>
            <w:vAlign w:val="bottom"/>
            <w:hideMark/>
          </w:tcPr>
          <w:p w14:paraId="321FF56C" w14:textId="77777777" w:rsidR="00B9311E" w:rsidRPr="00BD77D8" w:rsidRDefault="00B9311E" w:rsidP="00B9311E">
            <w:pPr>
              <w:spacing w:after="0" w:line="240" w:lineRule="auto"/>
              <w:rPr>
                <w:sz w:val="18"/>
                <w:szCs w:val="18"/>
              </w:rPr>
            </w:pPr>
            <w:r w:rsidRPr="00BD77D8">
              <w:rPr>
                <w:sz w:val="18"/>
                <w:szCs w:val="18"/>
              </w:rPr>
              <w:t> </w:t>
            </w:r>
          </w:p>
        </w:tc>
        <w:tc>
          <w:tcPr>
            <w:tcW w:w="1865" w:type="dxa"/>
            <w:tcBorders>
              <w:top w:val="nil"/>
              <w:left w:val="nil"/>
              <w:bottom w:val="single" w:sz="4" w:space="0" w:color="auto"/>
              <w:right w:val="nil"/>
            </w:tcBorders>
            <w:shd w:val="clear" w:color="auto" w:fill="auto"/>
            <w:noWrap/>
            <w:vAlign w:val="bottom"/>
            <w:hideMark/>
          </w:tcPr>
          <w:p w14:paraId="0F16FA91"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1322" w:type="dxa"/>
            <w:tcBorders>
              <w:top w:val="nil"/>
              <w:left w:val="nil"/>
              <w:bottom w:val="single" w:sz="4" w:space="0" w:color="auto"/>
              <w:right w:val="nil"/>
            </w:tcBorders>
            <w:shd w:val="clear" w:color="auto" w:fill="auto"/>
            <w:vAlign w:val="bottom"/>
            <w:hideMark/>
          </w:tcPr>
          <w:p w14:paraId="7F974757"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340" w:type="dxa"/>
            <w:tcBorders>
              <w:top w:val="nil"/>
              <w:left w:val="nil"/>
              <w:bottom w:val="single" w:sz="4" w:space="0" w:color="auto"/>
              <w:right w:val="nil"/>
            </w:tcBorders>
            <w:shd w:val="clear" w:color="auto" w:fill="auto"/>
            <w:vAlign w:val="bottom"/>
            <w:hideMark/>
          </w:tcPr>
          <w:p w14:paraId="6998DD6C"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43" w:type="dxa"/>
            <w:tcBorders>
              <w:top w:val="nil"/>
              <w:left w:val="nil"/>
              <w:bottom w:val="single" w:sz="4" w:space="0" w:color="auto"/>
              <w:right w:val="nil"/>
            </w:tcBorders>
            <w:shd w:val="clear" w:color="auto" w:fill="auto"/>
            <w:vAlign w:val="bottom"/>
            <w:hideMark/>
          </w:tcPr>
          <w:p w14:paraId="28736C26"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248" w:type="dxa"/>
            <w:tcBorders>
              <w:top w:val="nil"/>
              <w:left w:val="nil"/>
              <w:bottom w:val="single" w:sz="4" w:space="0" w:color="auto"/>
              <w:right w:val="nil"/>
            </w:tcBorders>
            <w:shd w:val="clear" w:color="auto" w:fill="auto"/>
            <w:vAlign w:val="bottom"/>
            <w:hideMark/>
          </w:tcPr>
          <w:p w14:paraId="6F08C79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4DA81934" w14:textId="77777777" w:rsidTr="003057FB">
        <w:trPr>
          <w:trHeight w:val="304"/>
        </w:trPr>
        <w:tc>
          <w:tcPr>
            <w:tcW w:w="0" w:type="auto"/>
            <w:tcBorders>
              <w:top w:val="nil"/>
              <w:left w:val="nil"/>
              <w:bottom w:val="nil"/>
              <w:right w:val="nil"/>
            </w:tcBorders>
            <w:shd w:val="clear" w:color="auto" w:fill="auto"/>
            <w:noWrap/>
            <w:vAlign w:val="bottom"/>
            <w:hideMark/>
          </w:tcPr>
          <w:p w14:paraId="3DF2B49C" w14:textId="77777777" w:rsidR="00B9311E" w:rsidRPr="00BD77D8" w:rsidRDefault="00B9311E" w:rsidP="00B9311E">
            <w:pPr>
              <w:spacing w:after="0" w:line="240" w:lineRule="auto"/>
              <w:rPr>
                <w:b/>
                <w:bCs/>
                <w:sz w:val="18"/>
                <w:szCs w:val="18"/>
              </w:rPr>
            </w:pPr>
            <w:r w:rsidRPr="00BD77D8">
              <w:rPr>
                <w:b/>
                <w:bCs/>
                <w:sz w:val="18"/>
                <w:szCs w:val="18"/>
              </w:rPr>
              <w:t xml:space="preserve"> Administered assets </w:t>
            </w:r>
          </w:p>
        </w:tc>
        <w:tc>
          <w:tcPr>
            <w:tcW w:w="1865" w:type="dxa"/>
            <w:tcBorders>
              <w:top w:val="nil"/>
              <w:left w:val="nil"/>
              <w:bottom w:val="nil"/>
              <w:right w:val="nil"/>
            </w:tcBorders>
            <w:shd w:val="clear" w:color="auto" w:fill="auto"/>
            <w:noWrap/>
            <w:vAlign w:val="bottom"/>
            <w:hideMark/>
          </w:tcPr>
          <w:p w14:paraId="2307997E" w14:textId="77777777" w:rsidR="00B9311E" w:rsidRPr="00BD77D8" w:rsidRDefault="00B9311E" w:rsidP="00B9311E">
            <w:pPr>
              <w:spacing w:after="0" w:line="240" w:lineRule="auto"/>
              <w:rPr>
                <w:b/>
                <w:bCs/>
                <w:sz w:val="18"/>
                <w:szCs w:val="18"/>
              </w:rPr>
            </w:pPr>
          </w:p>
        </w:tc>
        <w:tc>
          <w:tcPr>
            <w:tcW w:w="1322" w:type="dxa"/>
            <w:tcBorders>
              <w:top w:val="nil"/>
              <w:left w:val="nil"/>
              <w:bottom w:val="nil"/>
              <w:right w:val="nil"/>
            </w:tcBorders>
            <w:shd w:val="clear" w:color="auto" w:fill="auto"/>
            <w:noWrap/>
            <w:vAlign w:val="bottom"/>
            <w:hideMark/>
          </w:tcPr>
          <w:p w14:paraId="759841EC"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340" w:type="dxa"/>
            <w:tcBorders>
              <w:top w:val="nil"/>
              <w:left w:val="nil"/>
              <w:bottom w:val="nil"/>
              <w:right w:val="nil"/>
            </w:tcBorders>
            <w:shd w:val="clear" w:color="auto" w:fill="auto"/>
            <w:noWrap/>
            <w:vAlign w:val="bottom"/>
            <w:hideMark/>
          </w:tcPr>
          <w:p w14:paraId="6D26020D"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43" w:type="dxa"/>
            <w:tcBorders>
              <w:top w:val="nil"/>
              <w:left w:val="nil"/>
              <w:bottom w:val="nil"/>
              <w:right w:val="nil"/>
            </w:tcBorders>
            <w:shd w:val="clear" w:color="auto" w:fill="auto"/>
            <w:noWrap/>
            <w:vAlign w:val="bottom"/>
            <w:hideMark/>
          </w:tcPr>
          <w:p w14:paraId="6629AEB9"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248" w:type="dxa"/>
            <w:tcBorders>
              <w:top w:val="nil"/>
              <w:left w:val="nil"/>
              <w:bottom w:val="nil"/>
              <w:right w:val="nil"/>
            </w:tcBorders>
            <w:shd w:val="clear" w:color="auto" w:fill="auto"/>
            <w:noWrap/>
            <w:vAlign w:val="bottom"/>
            <w:hideMark/>
          </w:tcPr>
          <w:p w14:paraId="6820CEBD" w14:textId="77777777" w:rsidR="00B9311E" w:rsidRPr="00BD77D8" w:rsidRDefault="00B9311E" w:rsidP="00B9311E">
            <w:pPr>
              <w:spacing w:after="0" w:line="240" w:lineRule="auto"/>
              <w:jc w:val="center"/>
              <w:rPr>
                <w:rFonts w:ascii="Times New Roman" w:hAnsi="Times New Roman" w:cs="Times New Roman"/>
                <w:b/>
                <w:bCs/>
                <w:sz w:val="20"/>
                <w:szCs w:val="20"/>
              </w:rPr>
            </w:pPr>
          </w:p>
        </w:tc>
      </w:tr>
      <w:tr w:rsidR="00BD77D8" w:rsidRPr="00BD77D8" w14:paraId="290B8D9C" w14:textId="77777777" w:rsidTr="003057FB">
        <w:trPr>
          <w:trHeight w:val="304"/>
        </w:trPr>
        <w:tc>
          <w:tcPr>
            <w:tcW w:w="0" w:type="auto"/>
            <w:tcBorders>
              <w:top w:val="nil"/>
              <w:left w:val="nil"/>
              <w:bottom w:val="nil"/>
              <w:right w:val="nil"/>
            </w:tcBorders>
            <w:shd w:val="clear" w:color="auto" w:fill="auto"/>
            <w:noWrap/>
            <w:vAlign w:val="bottom"/>
            <w:hideMark/>
          </w:tcPr>
          <w:p w14:paraId="44DBB2FC" w14:textId="77777777" w:rsidR="00B9311E" w:rsidRPr="00BD77D8" w:rsidRDefault="00B9311E" w:rsidP="00B9311E">
            <w:pPr>
              <w:spacing w:after="0" w:line="240" w:lineRule="auto"/>
              <w:rPr>
                <w:b/>
                <w:bCs/>
                <w:sz w:val="18"/>
                <w:szCs w:val="18"/>
              </w:rPr>
            </w:pPr>
            <w:r w:rsidRPr="00BD77D8">
              <w:rPr>
                <w:i/>
                <w:iCs/>
                <w:sz w:val="18"/>
                <w:szCs w:val="18"/>
              </w:rPr>
              <w:t xml:space="preserve"> </w:t>
            </w:r>
            <w:r w:rsidRPr="00BD77D8">
              <w:rPr>
                <w:b/>
                <w:bCs/>
                <w:sz w:val="18"/>
                <w:szCs w:val="18"/>
              </w:rPr>
              <w:t xml:space="preserve">Current </w:t>
            </w:r>
          </w:p>
        </w:tc>
        <w:tc>
          <w:tcPr>
            <w:tcW w:w="1865" w:type="dxa"/>
            <w:tcBorders>
              <w:top w:val="nil"/>
              <w:left w:val="nil"/>
              <w:bottom w:val="nil"/>
              <w:right w:val="nil"/>
            </w:tcBorders>
            <w:shd w:val="clear" w:color="auto" w:fill="auto"/>
            <w:noWrap/>
            <w:vAlign w:val="bottom"/>
            <w:hideMark/>
          </w:tcPr>
          <w:p w14:paraId="3B6E583F" w14:textId="77777777" w:rsidR="00B9311E" w:rsidRPr="00BD77D8" w:rsidRDefault="00B9311E" w:rsidP="00B9311E">
            <w:pPr>
              <w:spacing w:after="0" w:line="240" w:lineRule="auto"/>
              <w:rPr>
                <w:i/>
                <w:iCs/>
                <w:sz w:val="18"/>
                <w:szCs w:val="18"/>
              </w:rPr>
            </w:pPr>
          </w:p>
        </w:tc>
        <w:tc>
          <w:tcPr>
            <w:tcW w:w="1322" w:type="dxa"/>
            <w:tcBorders>
              <w:top w:val="nil"/>
              <w:left w:val="nil"/>
              <w:bottom w:val="nil"/>
              <w:right w:val="nil"/>
            </w:tcBorders>
            <w:shd w:val="clear" w:color="auto" w:fill="auto"/>
            <w:noWrap/>
            <w:vAlign w:val="bottom"/>
            <w:hideMark/>
          </w:tcPr>
          <w:p w14:paraId="133C358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340" w:type="dxa"/>
            <w:tcBorders>
              <w:top w:val="nil"/>
              <w:left w:val="nil"/>
              <w:bottom w:val="nil"/>
              <w:right w:val="nil"/>
            </w:tcBorders>
            <w:shd w:val="clear" w:color="auto" w:fill="auto"/>
            <w:noWrap/>
            <w:vAlign w:val="bottom"/>
            <w:hideMark/>
          </w:tcPr>
          <w:p w14:paraId="07DEC202"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14:paraId="07C57629"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1248" w:type="dxa"/>
            <w:tcBorders>
              <w:top w:val="nil"/>
              <w:left w:val="nil"/>
              <w:bottom w:val="nil"/>
              <w:right w:val="nil"/>
            </w:tcBorders>
            <w:shd w:val="clear" w:color="auto" w:fill="auto"/>
            <w:noWrap/>
            <w:vAlign w:val="bottom"/>
            <w:hideMark/>
          </w:tcPr>
          <w:p w14:paraId="3D52B58C"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24F8BE65" w14:textId="77777777" w:rsidTr="003057FB">
        <w:trPr>
          <w:trHeight w:val="304"/>
        </w:trPr>
        <w:tc>
          <w:tcPr>
            <w:tcW w:w="0" w:type="auto"/>
            <w:tcBorders>
              <w:top w:val="nil"/>
              <w:left w:val="nil"/>
              <w:bottom w:val="nil"/>
              <w:right w:val="nil"/>
            </w:tcBorders>
            <w:shd w:val="clear" w:color="auto" w:fill="auto"/>
            <w:noWrap/>
            <w:vAlign w:val="bottom"/>
            <w:hideMark/>
          </w:tcPr>
          <w:p w14:paraId="3B4453AB"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Cash and cash equivalents </w:t>
            </w:r>
          </w:p>
        </w:tc>
        <w:tc>
          <w:tcPr>
            <w:tcW w:w="1865" w:type="dxa"/>
            <w:tcBorders>
              <w:top w:val="nil"/>
              <w:left w:val="nil"/>
              <w:bottom w:val="nil"/>
              <w:right w:val="nil"/>
            </w:tcBorders>
            <w:shd w:val="clear" w:color="auto" w:fill="auto"/>
            <w:noWrap/>
            <w:vAlign w:val="bottom"/>
            <w:hideMark/>
          </w:tcPr>
          <w:p w14:paraId="474A913A" w14:textId="77777777" w:rsidR="00B9311E" w:rsidRPr="00BD77D8" w:rsidRDefault="00B9311E" w:rsidP="00B9311E">
            <w:pPr>
              <w:spacing w:after="0" w:line="240" w:lineRule="auto"/>
              <w:ind w:firstLineChars="100" w:firstLine="180"/>
              <w:rPr>
                <w:sz w:val="18"/>
                <w:szCs w:val="18"/>
              </w:rPr>
            </w:pPr>
          </w:p>
        </w:tc>
        <w:tc>
          <w:tcPr>
            <w:tcW w:w="1322" w:type="dxa"/>
            <w:tcBorders>
              <w:top w:val="nil"/>
              <w:left w:val="nil"/>
              <w:bottom w:val="nil"/>
              <w:right w:val="nil"/>
            </w:tcBorders>
            <w:shd w:val="clear" w:color="auto" w:fill="auto"/>
            <w:vAlign w:val="bottom"/>
            <w:hideMark/>
          </w:tcPr>
          <w:p w14:paraId="12B22A33" w14:textId="77777777" w:rsidR="00B9311E" w:rsidRPr="00BD77D8" w:rsidRDefault="00B9311E" w:rsidP="00B9311E">
            <w:pPr>
              <w:spacing w:after="0" w:line="240" w:lineRule="auto"/>
              <w:jc w:val="right"/>
              <w:rPr>
                <w:b/>
                <w:bCs/>
                <w:sz w:val="18"/>
                <w:szCs w:val="18"/>
              </w:rPr>
            </w:pPr>
            <w:r w:rsidRPr="00BD77D8">
              <w:rPr>
                <w:b/>
                <w:bCs/>
                <w:sz w:val="18"/>
                <w:szCs w:val="18"/>
              </w:rPr>
              <w:t xml:space="preserve">      54,365 </w:t>
            </w:r>
          </w:p>
        </w:tc>
        <w:tc>
          <w:tcPr>
            <w:tcW w:w="1340" w:type="dxa"/>
            <w:tcBorders>
              <w:top w:val="nil"/>
              <w:left w:val="nil"/>
              <w:bottom w:val="nil"/>
              <w:right w:val="nil"/>
            </w:tcBorders>
            <w:shd w:val="clear" w:color="auto" w:fill="auto"/>
            <w:vAlign w:val="bottom"/>
            <w:hideMark/>
          </w:tcPr>
          <w:p w14:paraId="5809AEFB" w14:textId="77777777" w:rsidR="00B9311E" w:rsidRPr="00BD77D8" w:rsidRDefault="00B9311E" w:rsidP="00B9311E">
            <w:pPr>
              <w:spacing w:after="0" w:line="240" w:lineRule="auto"/>
              <w:jc w:val="right"/>
              <w:rPr>
                <w:sz w:val="18"/>
                <w:szCs w:val="18"/>
              </w:rPr>
            </w:pPr>
            <w:r w:rsidRPr="00BD77D8">
              <w:rPr>
                <w:sz w:val="18"/>
                <w:szCs w:val="18"/>
              </w:rPr>
              <w:t xml:space="preserve">     210,531 </w:t>
            </w:r>
          </w:p>
        </w:tc>
        <w:tc>
          <w:tcPr>
            <w:tcW w:w="1243" w:type="dxa"/>
            <w:tcBorders>
              <w:top w:val="nil"/>
              <w:left w:val="nil"/>
              <w:bottom w:val="nil"/>
              <w:right w:val="nil"/>
            </w:tcBorders>
            <w:shd w:val="clear" w:color="auto" w:fill="auto"/>
            <w:vAlign w:val="bottom"/>
            <w:hideMark/>
          </w:tcPr>
          <w:p w14:paraId="068AC5D4" w14:textId="77777777" w:rsidR="00B9311E" w:rsidRPr="00BD77D8" w:rsidRDefault="00B9311E" w:rsidP="00B9311E">
            <w:pPr>
              <w:spacing w:after="0" w:line="240" w:lineRule="auto"/>
              <w:jc w:val="right"/>
              <w:rPr>
                <w:sz w:val="18"/>
                <w:szCs w:val="18"/>
              </w:rPr>
            </w:pPr>
            <w:r w:rsidRPr="00BD77D8">
              <w:rPr>
                <w:sz w:val="18"/>
                <w:szCs w:val="18"/>
              </w:rPr>
              <w:t xml:space="preserve">     (156,166) </w:t>
            </w:r>
          </w:p>
        </w:tc>
        <w:tc>
          <w:tcPr>
            <w:tcW w:w="1248" w:type="dxa"/>
            <w:tcBorders>
              <w:top w:val="nil"/>
              <w:left w:val="nil"/>
              <w:bottom w:val="nil"/>
              <w:right w:val="nil"/>
            </w:tcBorders>
            <w:shd w:val="clear" w:color="auto" w:fill="auto"/>
            <w:vAlign w:val="bottom"/>
            <w:hideMark/>
          </w:tcPr>
          <w:p w14:paraId="14D4060C" w14:textId="77777777" w:rsidR="00B9311E" w:rsidRPr="00BD77D8" w:rsidRDefault="00B9311E" w:rsidP="00B9311E">
            <w:pPr>
              <w:spacing w:after="0" w:line="240" w:lineRule="auto"/>
              <w:jc w:val="right"/>
              <w:rPr>
                <w:sz w:val="18"/>
                <w:szCs w:val="18"/>
              </w:rPr>
            </w:pPr>
            <w:r w:rsidRPr="00BD77D8">
              <w:rPr>
                <w:sz w:val="18"/>
                <w:szCs w:val="18"/>
              </w:rPr>
              <w:t xml:space="preserve">    44,315 </w:t>
            </w:r>
          </w:p>
        </w:tc>
      </w:tr>
      <w:tr w:rsidR="00BD77D8" w:rsidRPr="00BD77D8" w14:paraId="0752447D" w14:textId="77777777" w:rsidTr="003057FB">
        <w:trPr>
          <w:trHeight w:val="304"/>
        </w:trPr>
        <w:tc>
          <w:tcPr>
            <w:tcW w:w="0" w:type="auto"/>
            <w:tcBorders>
              <w:top w:val="nil"/>
              <w:left w:val="nil"/>
              <w:bottom w:val="nil"/>
              <w:right w:val="nil"/>
            </w:tcBorders>
            <w:shd w:val="clear" w:color="auto" w:fill="auto"/>
            <w:noWrap/>
            <w:vAlign w:val="bottom"/>
            <w:hideMark/>
          </w:tcPr>
          <w:p w14:paraId="75ACFFD4"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Receivables </w:t>
            </w:r>
          </w:p>
        </w:tc>
        <w:tc>
          <w:tcPr>
            <w:tcW w:w="1865" w:type="dxa"/>
            <w:tcBorders>
              <w:top w:val="nil"/>
              <w:left w:val="nil"/>
              <w:bottom w:val="nil"/>
              <w:right w:val="nil"/>
            </w:tcBorders>
            <w:shd w:val="clear" w:color="auto" w:fill="auto"/>
            <w:noWrap/>
            <w:vAlign w:val="bottom"/>
            <w:hideMark/>
          </w:tcPr>
          <w:p w14:paraId="08DF71BD" w14:textId="77777777" w:rsidR="00B9311E" w:rsidRPr="00BD77D8" w:rsidRDefault="00F56A31" w:rsidP="00B9311E">
            <w:pPr>
              <w:spacing w:after="0" w:line="240" w:lineRule="auto"/>
              <w:jc w:val="center"/>
              <w:rPr>
                <w:rFonts w:eastAsia="PMingLiU"/>
                <w:b/>
                <w:bCs/>
                <w:sz w:val="18"/>
                <w:szCs w:val="22"/>
                <w:lang w:eastAsia="en-US"/>
              </w:rPr>
            </w:pPr>
            <w:hyperlink r:id="rId44" w:anchor="'Note G1-5'!A5" w:history="1">
              <w:r w:rsidR="00B9311E" w:rsidRPr="00BD77D8">
                <w:rPr>
                  <w:rFonts w:eastAsia="PMingLiU"/>
                  <w:b/>
                  <w:bCs/>
                  <w:sz w:val="18"/>
                  <w:szCs w:val="22"/>
                  <w:lang w:eastAsia="en-US"/>
                </w:rPr>
                <w:t>G1-7</w:t>
              </w:r>
            </w:hyperlink>
          </w:p>
        </w:tc>
        <w:tc>
          <w:tcPr>
            <w:tcW w:w="1322" w:type="dxa"/>
            <w:tcBorders>
              <w:top w:val="nil"/>
              <w:left w:val="nil"/>
              <w:bottom w:val="nil"/>
              <w:right w:val="nil"/>
            </w:tcBorders>
            <w:shd w:val="clear" w:color="auto" w:fill="auto"/>
            <w:vAlign w:val="bottom"/>
            <w:hideMark/>
          </w:tcPr>
          <w:p w14:paraId="7F1B0DBD" w14:textId="77777777" w:rsidR="00B9311E" w:rsidRPr="00BD77D8" w:rsidRDefault="00B9311E" w:rsidP="00B9311E">
            <w:pPr>
              <w:spacing w:after="0" w:line="240" w:lineRule="auto"/>
              <w:jc w:val="right"/>
              <w:rPr>
                <w:b/>
                <w:bCs/>
                <w:sz w:val="18"/>
                <w:szCs w:val="18"/>
              </w:rPr>
            </w:pPr>
            <w:r w:rsidRPr="00BD77D8">
              <w:rPr>
                <w:b/>
                <w:bCs/>
                <w:sz w:val="18"/>
                <w:szCs w:val="18"/>
              </w:rPr>
              <w:t xml:space="preserve">        1,770 </w:t>
            </w:r>
          </w:p>
        </w:tc>
        <w:tc>
          <w:tcPr>
            <w:tcW w:w="1340" w:type="dxa"/>
            <w:tcBorders>
              <w:top w:val="nil"/>
              <w:left w:val="nil"/>
              <w:bottom w:val="nil"/>
              <w:right w:val="nil"/>
            </w:tcBorders>
            <w:shd w:val="clear" w:color="auto" w:fill="auto"/>
            <w:vAlign w:val="bottom"/>
            <w:hideMark/>
          </w:tcPr>
          <w:p w14:paraId="4BEB00B3" w14:textId="77777777" w:rsidR="00B9311E" w:rsidRPr="00BD77D8" w:rsidRDefault="00B9311E" w:rsidP="00B9311E">
            <w:pPr>
              <w:spacing w:after="0" w:line="240" w:lineRule="auto"/>
              <w:jc w:val="right"/>
              <w:rPr>
                <w:sz w:val="18"/>
                <w:szCs w:val="18"/>
              </w:rPr>
            </w:pPr>
            <w:r w:rsidRPr="00BD77D8">
              <w:rPr>
                <w:sz w:val="18"/>
                <w:szCs w:val="18"/>
              </w:rPr>
              <w:t xml:space="preserve">        23,888 </w:t>
            </w:r>
          </w:p>
        </w:tc>
        <w:tc>
          <w:tcPr>
            <w:tcW w:w="1243" w:type="dxa"/>
            <w:tcBorders>
              <w:top w:val="nil"/>
              <w:left w:val="nil"/>
              <w:bottom w:val="nil"/>
              <w:right w:val="nil"/>
            </w:tcBorders>
            <w:shd w:val="clear" w:color="auto" w:fill="auto"/>
            <w:vAlign w:val="bottom"/>
            <w:hideMark/>
          </w:tcPr>
          <w:p w14:paraId="1186A261" w14:textId="77777777" w:rsidR="00B9311E" w:rsidRPr="00BD77D8" w:rsidRDefault="00B9311E" w:rsidP="00B9311E">
            <w:pPr>
              <w:spacing w:after="0" w:line="240" w:lineRule="auto"/>
              <w:jc w:val="right"/>
              <w:rPr>
                <w:sz w:val="18"/>
                <w:szCs w:val="18"/>
              </w:rPr>
            </w:pPr>
            <w:r w:rsidRPr="00BD77D8">
              <w:rPr>
                <w:sz w:val="18"/>
                <w:szCs w:val="18"/>
              </w:rPr>
              <w:t xml:space="preserve">        (22,118) </w:t>
            </w:r>
          </w:p>
        </w:tc>
        <w:tc>
          <w:tcPr>
            <w:tcW w:w="1248" w:type="dxa"/>
            <w:tcBorders>
              <w:top w:val="nil"/>
              <w:left w:val="nil"/>
              <w:bottom w:val="nil"/>
              <w:right w:val="nil"/>
            </w:tcBorders>
            <w:shd w:val="clear" w:color="auto" w:fill="auto"/>
            <w:vAlign w:val="bottom"/>
            <w:hideMark/>
          </w:tcPr>
          <w:p w14:paraId="7510246C" w14:textId="77777777" w:rsidR="00B9311E" w:rsidRPr="00BD77D8" w:rsidRDefault="00B9311E" w:rsidP="00B9311E">
            <w:pPr>
              <w:spacing w:after="0" w:line="240" w:lineRule="auto"/>
              <w:jc w:val="right"/>
              <w:rPr>
                <w:sz w:val="18"/>
                <w:szCs w:val="18"/>
              </w:rPr>
            </w:pPr>
            <w:r w:rsidRPr="00BD77D8">
              <w:rPr>
                <w:sz w:val="18"/>
                <w:szCs w:val="18"/>
              </w:rPr>
              <w:t xml:space="preserve">       1,959 </w:t>
            </w:r>
          </w:p>
        </w:tc>
      </w:tr>
      <w:tr w:rsidR="00BD77D8" w:rsidRPr="00BD77D8" w14:paraId="146F7AAD" w14:textId="77777777" w:rsidTr="003057FB">
        <w:trPr>
          <w:trHeight w:val="304"/>
        </w:trPr>
        <w:tc>
          <w:tcPr>
            <w:tcW w:w="0" w:type="auto"/>
            <w:tcBorders>
              <w:top w:val="nil"/>
              <w:left w:val="nil"/>
              <w:bottom w:val="nil"/>
              <w:right w:val="nil"/>
            </w:tcBorders>
            <w:shd w:val="clear" w:color="auto" w:fill="auto"/>
            <w:noWrap/>
            <w:vAlign w:val="bottom"/>
            <w:hideMark/>
          </w:tcPr>
          <w:p w14:paraId="7A1A2F9F" w14:textId="77777777" w:rsidR="00B9311E" w:rsidRPr="00BD77D8" w:rsidRDefault="00B9311E" w:rsidP="00B9311E">
            <w:pPr>
              <w:spacing w:after="0" w:line="240" w:lineRule="auto"/>
              <w:rPr>
                <w:b/>
                <w:bCs/>
                <w:sz w:val="18"/>
                <w:szCs w:val="18"/>
              </w:rPr>
            </w:pPr>
            <w:r w:rsidRPr="00BD77D8">
              <w:rPr>
                <w:b/>
                <w:bCs/>
                <w:sz w:val="18"/>
                <w:szCs w:val="18"/>
              </w:rPr>
              <w:t xml:space="preserve"> Total current assets </w:t>
            </w:r>
          </w:p>
        </w:tc>
        <w:tc>
          <w:tcPr>
            <w:tcW w:w="1865" w:type="dxa"/>
            <w:tcBorders>
              <w:top w:val="nil"/>
              <w:left w:val="nil"/>
              <w:bottom w:val="nil"/>
              <w:right w:val="nil"/>
            </w:tcBorders>
            <w:shd w:val="clear" w:color="auto" w:fill="auto"/>
            <w:noWrap/>
            <w:vAlign w:val="bottom"/>
            <w:hideMark/>
          </w:tcPr>
          <w:p w14:paraId="59A1DA26" w14:textId="77777777" w:rsidR="00B9311E" w:rsidRPr="00BD77D8" w:rsidRDefault="00B9311E" w:rsidP="00B9311E">
            <w:pPr>
              <w:spacing w:after="0" w:line="240" w:lineRule="auto"/>
              <w:rPr>
                <w:b/>
                <w:bCs/>
                <w:sz w:val="18"/>
                <w:szCs w:val="18"/>
              </w:rPr>
            </w:pPr>
          </w:p>
        </w:tc>
        <w:tc>
          <w:tcPr>
            <w:tcW w:w="1322" w:type="dxa"/>
            <w:tcBorders>
              <w:top w:val="single" w:sz="4" w:space="0" w:color="auto"/>
              <w:left w:val="nil"/>
              <w:bottom w:val="single" w:sz="4" w:space="0" w:color="auto"/>
              <w:right w:val="nil"/>
            </w:tcBorders>
            <w:shd w:val="clear" w:color="auto" w:fill="auto"/>
            <w:vAlign w:val="bottom"/>
            <w:hideMark/>
          </w:tcPr>
          <w:p w14:paraId="313AD985" w14:textId="77777777" w:rsidR="00B9311E" w:rsidRPr="00BD77D8" w:rsidRDefault="00B9311E" w:rsidP="00B9311E">
            <w:pPr>
              <w:spacing w:after="0" w:line="240" w:lineRule="auto"/>
              <w:jc w:val="right"/>
              <w:rPr>
                <w:b/>
                <w:bCs/>
                <w:sz w:val="18"/>
                <w:szCs w:val="18"/>
              </w:rPr>
            </w:pPr>
            <w:r w:rsidRPr="00BD77D8">
              <w:rPr>
                <w:b/>
                <w:bCs/>
                <w:sz w:val="18"/>
                <w:szCs w:val="18"/>
              </w:rPr>
              <w:t xml:space="preserve">      56,135 </w:t>
            </w:r>
          </w:p>
        </w:tc>
        <w:tc>
          <w:tcPr>
            <w:tcW w:w="1340" w:type="dxa"/>
            <w:tcBorders>
              <w:top w:val="single" w:sz="4" w:space="0" w:color="auto"/>
              <w:left w:val="nil"/>
              <w:bottom w:val="single" w:sz="4" w:space="0" w:color="auto"/>
              <w:right w:val="nil"/>
            </w:tcBorders>
            <w:shd w:val="clear" w:color="auto" w:fill="auto"/>
            <w:vAlign w:val="bottom"/>
            <w:hideMark/>
          </w:tcPr>
          <w:p w14:paraId="39B78481" w14:textId="77777777" w:rsidR="00B9311E" w:rsidRPr="00BD77D8" w:rsidRDefault="00B9311E" w:rsidP="00B9311E">
            <w:pPr>
              <w:spacing w:after="0" w:line="240" w:lineRule="auto"/>
              <w:jc w:val="right"/>
              <w:rPr>
                <w:b/>
                <w:bCs/>
                <w:sz w:val="18"/>
                <w:szCs w:val="18"/>
              </w:rPr>
            </w:pPr>
            <w:r w:rsidRPr="00BD77D8">
              <w:rPr>
                <w:b/>
                <w:bCs/>
                <w:sz w:val="18"/>
                <w:szCs w:val="18"/>
              </w:rPr>
              <w:t xml:space="preserve">     234,419 </w:t>
            </w:r>
          </w:p>
        </w:tc>
        <w:tc>
          <w:tcPr>
            <w:tcW w:w="1243" w:type="dxa"/>
            <w:tcBorders>
              <w:top w:val="single" w:sz="4" w:space="0" w:color="auto"/>
              <w:left w:val="nil"/>
              <w:bottom w:val="single" w:sz="4" w:space="0" w:color="auto"/>
              <w:right w:val="nil"/>
            </w:tcBorders>
            <w:shd w:val="clear" w:color="auto" w:fill="auto"/>
            <w:vAlign w:val="bottom"/>
            <w:hideMark/>
          </w:tcPr>
          <w:p w14:paraId="506323C0" w14:textId="77777777" w:rsidR="00B9311E" w:rsidRPr="00BD77D8" w:rsidRDefault="00B9311E" w:rsidP="00B9311E">
            <w:pPr>
              <w:spacing w:after="0" w:line="240" w:lineRule="auto"/>
              <w:jc w:val="right"/>
              <w:rPr>
                <w:b/>
                <w:bCs/>
                <w:sz w:val="18"/>
                <w:szCs w:val="18"/>
              </w:rPr>
            </w:pPr>
            <w:r w:rsidRPr="00BD77D8">
              <w:rPr>
                <w:b/>
                <w:bCs/>
                <w:sz w:val="18"/>
                <w:szCs w:val="18"/>
              </w:rPr>
              <w:t xml:space="preserve">     (178,284) </w:t>
            </w:r>
          </w:p>
        </w:tc>
        <w:tc>
          <w:tcPr>
            <w:tcW w:w="1248" w:type="dxa"/>
            <w:tcBorders>
              <w:top w:val="single" w:sz="4" w:space="0" w:color="auto"/>
              <w:left w:val="nil"/>
              <w:bottom w:val="single" w:sz="4" w:space="0" w:color="auto"/>
              <w:right w:val="nil"/>
            </w:tcBorders>
            <w:shd w:val="clear" w:color="auto" w:fill="auto"/>
            <w:vAlign w:val="bottom"/>
            <w:hideMark/>
          </w:tcPr>
          <w:p w14:paraId="065F6341" w14:textId="77777777" w:rsidR="00B9311E" w:rsidRPr="00BD77D8" w:rsidRDefault="00B9311E" w:rsidP="00B9311E">
            <w:pPr>
              <w:spacing w:after="0" w:line="240" w:lineRule="auto"/>
              <w:jc w:val="right"/>
              <w:rPr>
                <w:b/>
                <w:bCs/>
                <w:sz w:val="18"/>
                <w:szCs w:val="18"/>
              </w:rPr>
            </w:pPr>
            <w:r w:rsidRPr="00BD77D8">
              <w:rPr>
                <w:b/>
                <w:bCs/>
                <w:sz w:val="18"/>
                <w:szCs w:val="18"/>
              </w:rPr>
              <w:t xml:space="preserve">    46,274 </w:t>
            </w:r>
          </w:p>
        </w:tc>
      </w:tr>
      <w:tr w:rsidR="00BD77D8" w:rsidRPr="00BD77D8" w14:paraId="59E25539" w14:textId="77777777" w:rsidTr="003057FB">
        <w:trPr>
          <w:trHeight w:val="304"/>
        </w:trPr>
        <w:tc>
          <w:tcPr>
            <w:tcW w:w="0" w:type="auto"/>
            <w:tcBorders>
              <w:top w:val="nil"/>
              <w:left w:val="nil"/>
              <w:bottom w:val="nil"/>
              <w:right w:val="nil"/>
            </w:tcBorders>
            <w:shd w:val="clear" w:color="auto" w:fill="auto"/>
            <w:noWrap/>
            <w:vAlign w:val="bottom"/>
            <w:hideMark/>
          </w:tcPr>
          <w:p w14:paraId="13C1EBF5" w14:textId="77777777" w:rsidR="00B9311E" w:rsidRPr="00BD77D8" w:rsidRDefault="00B9311E" w:rsidP="00B9311E">
            <w:pPr>
              <w:spacing w:after="0" w:line="240" w:lineRule="auto"/>
              <w:rPr>
                <w:b/>
                <w:bCs/>
                <w:sz w:val="18"/>
                <w:szCs w:val="18"/>
              </w:rPr>
            </w:pPr>
            <w:r w:rsidRPr="00BD77D8">
              <w:rPr>
                <w:b/>
                <w:bCs/>
                <w:sz w:val="18"/>
                <w:szCs w:val="18"/>
              </w:rPr>
              <w:t xml:space="preserve"> Total assets </w:t>
            </w:r>
          </w:p>
        </w:tc>
        <w:tc>
          <w:tcPr>
            <w:tcW w:w="1865" w:type="dxa"/>
            <w:tcBorders>
              <w:top w:val="nil"/>
              <w:left w:val="nil"/>
              <w:bottom w:val="nil"/>
              <w:right w:val="nil"/>
            </w:tcBorders>
            <w:shd w:val="clear" w:color="auto" w:fill="auto"/>
            <w:noWrap/>
            <w:vAlign w:val="bottom"/>
            <w:hideMark/>
          </w:tcPr>
          <w:p w14:paraId="1185D6D2" w14:textId="77777777" w:rsidR="00B9311E" w:rsidRPr="00BD77D8" w:rsidRDefault="00B9311E" w:rsidP="00B9311E">
            <w:pPr>
              <w:spacing w:after="0" w:line="240" w:lineRule="auto"/>
              <w:rPr>
                <w:b/>
                <w:bCs/>
                <w:sz w:val="18"/>
                <w:szCs w:val="18"/>
              </w:rPr>
            </w:pPr>
          </w:p>
        </w:tc>
        <w:tc>
          <w:tcPr>
            <w:tcW w:w="1322" w:type="dxa"/>
            <w:tcBorders>
              <w:top w:val="nil"/>
              <w:left w:val="nil"/>
              <w:bottom w:val="single" w:sz="4" w:space="0" w:color="auto"/>
              <w:right w:val="nil"/>
            </w:tcBorders>
            <w:shd w:val="clear" w:color="auto" w:fill="auto"/>
            <w:vAlign w:val="bottom"/>
            <w:hideMark/>
          </w:tcPr>
          <w:p w14:paraId="568EEE56" w14:textId="77777777" w:rsidR="00B9311E" w:rsidRPr="00BD77D8" w:rsidRDefault="00B9311E" w:rsidP="00B9311E">
            <w:pPr>
              <w:spacing w:after="0" w:line="240" w:lineRule="auto"/>
              <w:jc w:val="right"/>
              <w:rPr>
                <w:b/>
                <w:bCs/>
                <w:sz w:val="18"/>
                <w:szCs w:val="18"/>
              </w:rPr>
            </w:pPr>
            <w:r w:rsidRPr="00BD77D8">
              <w:rPr>
                <w:b/>
                <w:bCs/>
                <w:sz w:val="18"/>
                <w:szCs w:val="18"/>
              </w:rPr>
              <w:t xml:space="preserve">      56,135 </w:t>
            </w:r>
          </w:p>
        </w:tc>
        <w:tc>
          <w:tcPr>
            <w:tcW w:w="1340" w:type="dxa"/>
            <w:tcBorders>
              <w:top w:val="nil"/>
              <w:left w:val="nil"/>
              <w:bottom w:val="single" w:sz="4" w:space="0" w:color="auto"/>
              <w:right w:val="nil"/>
            </w:tcBorders>
            <w:shd w:val="clear" w:color="auto" w:fill="auto"/>
            <w:vAlign w:val="bottom"/>
            <w:hideMark/>
          </w:tcPr>
          <w:p w14:paraId="445A2DFC" w14:textId="77777777" w:rsidR="00B9311E" w:rsidRPr="00BD77D8" w:rsidRDefault="00B9311E" w:rsidP="00B9311E">
            <w:pPr>
              <w:spacing w:after="0" w:line="240" w:lineRule="auto"/>
              <w:jc w:val="right"/>
              <w:rPr>
                <w:b/>
                <w:bCs/>
                <w:sz w:val="18"/>
                <w:szCs w:val="18"/>
              </w:rPr>
            </w:pPr>
            <w:r w:rsidRPr="00BD77D8">
              <w:rPr>
                <w:b/>
                <w:bCs/>
                <w:sz w:val="18"/>
                <w:szCs w:val="18"/>
              </w:rPr>
              <w:t xml:space="preserve">     234,419 </w:t>
            </w:r>
          </w:p>
        </w:tc>
        <w:tc>
          <w:tcPr>
            <w:tcW w:w="1243" w:type="dxa"/>
            <w:tcBorders>
              <w:top w:val="nil"/>
              <w:left w:val="nil"/>
              <w:bottom w:val="single" w:sz="4" w:space="0" w:color="auto"/>
              <w:right w:val="nil"/>
            </w:tcBorders>
            <w:shd w:val="clear" w:color="auto" w:fill="auto"/>
            <w:vAlign w:val="bottom"/>
            <w:hideMark/>
          </w:tcPr>
          <w:p w14:paraId="52A30718" w14:textId="77777777" w:rsidR="00B9311E" w:rsidRPr="00BD77D8" w:rsidRDefault="00B9311E" w:rsidP="00B9311E">
            <w:pPr>
              <w:spacing w:after="0" w:line="240" w:lineRule="auto"/>
              <w:jc w:val="right"/>
              <w:rPr>
                <w:b/>
                <w:bCs/>
                <w:sz w:val="18"/>
                <w:szCs w:val="18"/>
              </w:rPr>
            </w:pPr>
            <w:r w:rsidRPr="00BD77D8">
              <w:rPr>
                <w:b/>
                <w:bCs/>
                <w:sz w:val="18"/>
                <w:szCs w:val="18"/>
              </w:rPr>
              <w:t xml:space="preserve">     (178,284) </w:t>
            </w:r>
          </w:p>
        </w:tc>
        <w:tc>
          <w:tcPr>
            <w:tcW w:w="1248" w:type="dxa"/>
            <w:tcBorders>
              <w:top w:val="nil"/>
              <w:left w:val="nil"/>
              <w:bottom w:val="single" w:sz="4" w:space="0" w:color="auto"/>
              <w:right w:val="nil"/>
            </w:tcBorders>
            <w:shd w:val="clear" w:color="auto" w:fill="auto"/>
            <w:vAlign w:val="bottom"/>
            <w:hideMark/>
          </w:tcPr>
          <w:p w14:paraId="535408CC" w14:textId="77777777" w:rsidR="00B9311E" w:rsidRPr="00BD77D8" w:rsidRDefault="00B9311E" w:rsidP="00B9311E">
            <w:pPr>
              <w:spacing w:after="0" w:line="240" w:lineRule="auto"/>
              <w:jc w:val="right"/>
              <w:rPr>
                <w:b/>
                <w:bCs/>
                <w:sz w:val="18"/>
                <w:szCs w:val="18"/>
              </w:rPr>
            </w:pPr>
            <w:r w:rsidRPr="00BD77D8">
              <w:rPr>
                <w:b/>
                <w:bCs/>
                <w:sz w:val="18"/>
                <w:szCs w:val="18"/>
              </w:rPr>
              <w:t xml:space="preserve">    46,274 </w:t>
            </w:r>
          </w:p>
        </w:tc>
      </w:tr>
      <w:tr w:rsidR="00BD77D8" w:rsidRPr="00BD77D8" w14:paraId="71F38908" w14:textId="77777777" w:rsidTr="003057FB">
        <w:trPr>
          <w:trHeight w:val="304"/>
        </w:trPr>
        <w:tc>
          <w:tcPr>
            <w:tcW w:w="0" w:type="auto"/>
            <w:tcBorders>
              <w:top w:val="nil"/>
              <w:left w:val="nil"/>
              <w:bottom w:val="nil"/>
              <w:right w:val="nil"/>
            </w:tcBorders>
            <w:shd w:val="clear" w:color="auto" w:fill="auto"/>
            <w:noWrap/>
            <w:vAlign w:val="bottom"/>
            <w:hideMark/>
          </w:tcPr>
          <w:p w14:paraId="5AEC40C0" w14:textId="77777777" w:rsidR="00B9311E" w:rsidRPr="00BD77D8" w:rsidRDefault="00B9311E" w:rsidP="00B9311E">
            <w:pPr>
              <w:spacing w:after="0" w:line="240" w:lineRule="auto"/>
              <w:rPr>
                <w:b/>
                <w:bCs/>
                <w:sz w:val="18"/>
                <w:szCs w:val="18"/>
              </w:rPr>
            </w:pPr>
            <w:r w:rsidRPr="00BD77D8">
              <w:rPr>
                <w:b/>
                <w:bCs/>
                <w:sz w:val="18"/>
                <w:szCs w:val="18"/>
              </w:rPr>
              <w:t xml:space="preserve"> Administered liabilities </w:t>
            </w:r>
          </w:p>
        </w:tc>
        <w:tc>
          <w:tcPr>
            <w:tcW w:w="1865" w:type="dxa"/>
            <w:tcBorders>
              <w:top w:val="nil"/>
              <w:left w:val="nil"/>
              <w:bottom w:val="nil"/>
              <w:right w:val="nil"/>
            </w:tcBorders>
            <w:shd w:val="clear" w:color="auto" w:fill="auto"/>
            <w:noWrap/>
            <w:vAlign w:val="bottom"/>
            <w:hideMark/>
          </w:tcPr>
          <w:p w14:paraId="347CE5CF" w14:textId="77777777" w:rsidR="00B9311E" w:rsidRPr="00BD77D8" w:rsidRDefault="00B9311E" w:rsidP="00B9311E">
            <w:pPr>
              <w:spacing w:after="0" w:line="240" w:lineRule="auto"/>
              <w:rPr>
                <w:b/>
                <w:bCs/>
                <w:sz w:val="18"/>
                <w:szCs w:val="18"/>
              </w:rPr>
            </w:pPr>
          </w:p>
        </w:tc>
        <w:tc>
          <w:tcPr>
            <w:tcW w:w="1322" w:type="dxa"/>
            <w:tcBorders>
              <w:top w:val="nil"/>
              <w:left w:val="nil"/>
              <w:bottom w:val="nil"/>
              <w:right w:val="nil"/>
            </w:tcBorders>
            <w:shd w:val="clear" w:color="auto" w:fill="auto"/>
            <w:vAlign w:val="bottom"/>
            <w:hideMark/>
          </w:tcPr>
          <w:p w14:paraId="36890ACB"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340" w:type="dxa"/>
            <w:tcBorders>
              <w:top w:val="nil"/>
              <w:left w:val="nil"/>
              <w:bottom w:val="nil"/>
              <w:right w:val="nil"/>
            </w:tcBorders>
            <w:shd w:val="clear" w:color="auto" w:fill="auto"/>
            <w:vAlign w:val="bottom"/>
            <w:hideMark/>
          </w:tcPr>
          <w:p w14:paraId="426FEA5C"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243" w:type="dxa"/>
            <w:tcBorders>
              <w:top w:val="nil"/>
              <w:left w:val="nil"/>
              <w:bottom w:val="nil"/>
              <w:right w:val="nil"/>
            </w:tcBorders>
            <w:shd w:val="clear" w:color="auto" w:fill="auto"/>
            <w:vAlign w:val="bottom"/>
            <w:hideMark/>
          </w:tcPr>
          <w:p w14:paraId="5A7E9261" w14:textId="77777777" w:rsidR="00B9311E" w:rsidRPr="00BD77D8" w:rsidRDefault="00B9311E" w:rsidP="00B9311E">
            <w:pPr>
              <w:spacing w:after="0" w:line="240" w:lineRule="auto"/>
              <w:jc w:val="right"/>
              <w:rPr>
                <w:rFonts w:ascii="Times New Roman" w:hAnsi="Times New Roman" w:cs="Times New Roman"/>
                <w:b/>
                <w:bCs/>
                <w:sz w:val="20"/>
                <w:szCs w:val="20"/>
              </w:rPr>
            </w:pPr>
          </w:p>
        </w:tc>
        <w:tc>
          <w:tcPr>
            <w:tcW w:w="1248" w:type="dxa"/>
            <w:tcBorders>
              <w:top w:val="nil"/>
              <w:left w:val="nil"/>
              <w:bottom w:val="nil"/>
              <w:right w:val="nil"/>
            </w:tcBorders>
            <w:shd w:val="clear" w:color="auto" w:fill="auto"/>
            <w:vAlign w:val="bottom"/>
            <w:hideMark/>
          </w:tcPr>
          <w:p w14:paraId="44C26D9A"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94C62E3" w14:textId="77777777" w:rsidTr="003057FB">
        <w:trPr>
          <w:trHeight w:val="304"/>
        </w:trPr>
        <w:tc>
          <w:tcPr>
            <w:tcW w:w="0" w:type="auto"/>
            <w:tcBorders>
              <w:top w:val="nil"/>
              <w:left w:val="nil"/>
              <w:bottom w:val="nil"/>
              <w:right w:val="nil"/>
            </w:tcBorders>
            <w:shd w:val="clear" w:color="auto" w:fill="auto"/>
            <w:noWrap/>
            <w:vAlign w:val="bottom"/>
            <w:hideMark/>
          </w:tcPr>
          <w:p w14:paraId="26DCDAD0" w14:textId="77777777" w:rsidR="00B9311E" w:rsidRPr="00BD77D8" w:rsidRDefault="00B9311E" w:rsidP="00B9311E">
            <w:pPr>
              <w:spacing w:after="0" w:line="240" w:lineRule="auto"/>
              <w:rPr>
                <w:b/>
                <w:bCs/>
                <w:sz w:val="18"/>
                <w:szCs w:val="18"/>
              </w:rPr>
            </w:pPr>
            <w:r w:rsidRPr="00BD77D8">
              <w:rPr>
                <w:i/>
                <w:iCs/>
                <w:sz w:val="18"/>
                <w:szCs w:val="18"/>
              </w:rPr>
              <w:t xml:space="preserve"> </w:t>
            </w:r>
            <w:r w:rsidRPr="00BD77D8">
              <w:rPr>
                <w:b/>
                <w:bCs/>
                <w:sz w:val="18"/>
                <w:szCs w:val="18"/>
              </w:rPr>
              <w:t xml:space="preserve">Current </w:t>
            </w:r>
          </w:p>
        </w:tc>
        <w:tc>
          <w:tcPr>
            <w:tcW w:w="1865" w:type="dxa"/>
            <w:tcBorders>
              <w:top w:val="nil"/>
              <w:left w:val="nil"/>
              <w:bottom w:val="nil"/>
              <w:right w:val="nil"/>
            </w:tcBorders>
            <w:shd w:val="clear" w:color="auto" w:fill="auto"/>
            <w:noWrap/>
            <w:vAlign w:val="bottom"/>
            <w:hideMark/>
          </w:tcPr>
          <w:p w14:paraId="01C32E6A" w14:textId="77777777" w:rsidR="00B9311E" w:rsidRPr="00BD77D8" w:rsidRDefault="00B9311E" w:rsidP="00B9311E">
            <w:pPr>
              <w:spacing w:after="0" w:line="240" w:lineRule="auto"/>
              <w:rPr>
                <w:i/>
                <w:iCs/>
                <w:sz w:val="18"/>
                <w:szCs w:val="18"/>
              </w:rPr>
            </w:pPr>
          </w:p>
        </w:tc>
        <w:tc>
          <w:tcPr>
            <w:tcW w:w="1322" w:type="dxa"/>
            <w:tcBorders>
              <w:top w:val="nil"/>
              <w:left w:val="nil"/>
              <w:bottom w:val="nil"/>
              <w:right w:val="nil"/>
            </w:tcBorders>
            <w:shd w:val="clear" w:color="auto" w:fill="auto"/>
            <w:vAlign w:val="bottom"/>
            <w:hideMark/>
          </w:tcPr>
          <w:p w14:paraId="37D84B9C" w14:textId="77777777" w:rsidR="00B9311E" w:rsidRPr="00BD77D8" w:rsidRDefault="00B9311E" w:rsidP="00B9311E">
            <w:pPr>
              <w:spacing w:after="0" w:line="240" w:lineRule="auto"/>
              <w:jc w:val="center"/>
              <w:rPr>
                <w:rFonts w:ascii="Times New Roman" w:hAnsi="Times New Roman" w:cs="Times New Roman"/>
                <w:b/>
                <w:bCs/>
                <w:sz w:val="20"/>
                <w:szCs w:val="20"/>
              </w:rPr>
            </w:pPr>
          </w:p>
        </w:tc>
        <w:tc>
          <w:tcPr>
            <w:tcW w:w="1340" w:type="dxa"/>
            <w:tcBorders>
              <w:top w:val="nil"/>
              <w:left w:val="nil"/>
              <w:bottom w:val="nil"/>
              <w:right w:val="nil"/>
            </w:tcBorders>
            <w:shd w:val="clear" w:color="auto" w:fill="auto"/>
            <w:vAlign w:val="bottom"/>
            <w:hideMark/>
          </w:tcPr>
          <w:p w14:paraId="7FD974DD"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1243" w:type="dxa"/>
            <w:tcBorders>
              <w:top w:val="nil"/>
              <w:left w:val="nil"/>
              <w:bottom w:val="nil"/>
              <w:right w:val="nil"/>
            </w:tcBorders>
            <w:shd w:val="clear" w:color="auto" w:fill="auto"/>
            <w:vAlign w:val="bottom"/>
            <w:hideMark/>
          </w:tcPr>
          <w:p w14:paraId="54654748" w14:textId="77777777" w:rsidR="00B9311E" w:rsidRPr="00BD77D8" w:rsidRDefault="00B9311E" w:rsidP="00B9311E">
            <w:pPr>
              <w:spacing w:after="0" w:line="240" w:lineRule="auto"/>
              <w:jc w:val="right"/>
              <w:rPr>
                <w:rFonts w:ascii="Times New Roman" w:hAnsi="Times New Roman" w:cs="Times New Roman"/>
                <w:sz w:val="20"/>
                <w:szCs w:val="20"/>
              </w:rPr>
            </w:pPr>
          </w:p>
        </w:tc>
        <w:tc>
          <w:tcPr>
            <w:tcW w:w="1248" w:type="dxa"/>
            <w:tcBorders>
              <w:top w:val="nil"/>
              <w:left w:val="nil"/>
              <w:bottom w:val="nil"/>
              <w:right w:val="nil"/>
            </w:tcBorders>
            <w:shd w:val="clear" w:color="auto" w:fill="auto"/>
            <w:vAlign w:val="bottom"/>
            <w:hideMark/>
          </w:tcPr>
          <w:p w14:paraId="4C6C7EE1"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5D637917" w14:textId="77777777" w:rsidTr="003057FB">
        <w:trPr>
          <w:trHeight w:val="304"/>
        </w:trPr>
        <w:tc>
          <w:tcPr>
            <w:tcW w:w="0" w:type="auto"/>
            <w:tcBorders>
              <w:top w:val="nil"/>
              <w:left w:val="nil"/>
              <w:bottom w:val="nil"/>
              <w:right w:val="nil"/>
            </w:tcBorders>
            <w:shd w:val="clear" w:color="auto" w:fill="auto"/>
            <w:noWrap/>
            <w:vAlign w:val="bottom"/>
            <w:hideMark/>
          </w:tcPr>
          <w:p w14:paraId="027AA6EA" w14:textId="77777777" w:rsidR="00B9311E" w:rsidRPr="00BD77D8" w:rsidRDefault="00B9311E" w:rsidP="00B9311E">
            <w:pPr>
              <w:spacing w:after="0" w:line="240" w:lineRule="auto"/>
              <w:ind w:firstLineChars="100" w:firstLine="180"/>
              <w:rPr>
                <w:sz w:val="18"/>
                <w:szCs w:val="18"/>
              </w:rPr>
            </w:pPr>
            <w:r w:rsidRPr="00BD77D8">
              <w:rPr>
                <w:sz w:val="18"/>
                <w:szCs w:val="18"/>
              </w:rPr>
              <w:t xml:space="preserve"> Payables </w:t>
            </w:r>
          </w:p>
        </w:tc>
        <w:tc>
          <w:tcPr>
            <w:tcW w:w="1865" w:type="dxa"/>
            <w:tcBorders>
              <w:top w:val="nil"/>
              <w:left w:val="nil"/>
              <w:bottom w:val="nil"/>
              <w:right w:val="nil"/>
            </w:tcBorders>
            <w:shd w:val="clear" w:color="auto" w:fill="auto"/>
            <w:noWrap/>
            <w:vAlign w:val="bottom"/>
            <w:hideMark/>
          </w:tcPr>
          <w:p w14:paraId="366209A5" w14:textId="77777777" w:rsidR="00B9311E" w:rsidRPr="00BD77D8" w:rsidRDefault="00B9311E" w:rsidP="00B9311E">
            <w:pPr>
              <w:spacing w:after="0" w:line="240" w:lineRule="auto"/>
              <w:jc w:val="center"/>
              <w:rPr>
                <w:b/>
                <w:bCs/>
                <w:sz w:val="18"/>
                <w:szCs w:val="18"/>
              </w:rPr>
            </w:pPr>
            <w:r w:rsidRPr="00BD77D8">
              <w:rPr>
                <w:b/>
                <w:bCs/>
                <w:sz w:val="18"/>
                <w:szCs w:val="18"/>
              </w:rPr>
              <w:t>G1-8</w:t>
            </w:r>
          </w:p>
        </w:tc>
        <w:tc>
          <w:tcPr>
            <w:tcW w:w="1322" w:type="dxa"/>
            <w:tcBorders>
              <w:top w:val="nil"/>
              <w:left w:val="nil"/>
              <w:bottom w:val="nil"/>
              <w:right w:val="nil"/>
            </w:tcBorders>
            <w:shd w:val="clear" w:color="auto" w:fill="auto"/>
            <w:vAlign w:val="bottom"/>
            <w:hideMark/>
          </w:tcPr>
          <w:p w14:paraId="6A18BFFB" w14:textId="77777777" w:rsidR="00B9311E" w:rsidRPr="00BD77D8" w:rsidRDefault="00B9311E" w:rsidP="00B9311E">
            <w:pPr>
              <w:spacing w:after="0" w:line="240" w:lineRule="auto"/>
              <w:jc w:val="right"/>
              <w:rPr>
                <w:b/>
                <w:bCs/>
                <w:sz w:val="18"/>
                <w:szCs w:val="18"/>
              </w:rPr>
            </w:pPr>
            <w:r w:rsidRPr="00BD77D8">
              <w:rPr>
                <w:b/>
                <w:bCs/>
                <w:sz w:val="18"/>
                <w:szCs w:val="18"/>
              </w:rPr>
              <w:t xml:space="preserve">      57,493 </w:t>
            </w:r>
          </w:p>
        </w:tc>
        <w:tc>
          <w:tcPr>
            <w:tcW w:w="1340" w:type="dxa"/>
            <w:tcBorders>
              <w:top w:val="nil"/>
              <w:left w:val="nil"/>
              <w:bottom w:val="nil"/>
              <w:right w:val="nil"/>
            </w:tcBorders>
            <w:shd w:val="clear" w:color="auto" w:fill="auto"/>
            <w:vAlign w:val="bottom"/>
            <w:hideMark/>
          </w:tcPr>
          <w:p w14:paraId="5289E423" w14:textId="77777777" w:rsidR="00B9311E" w:rsidRPr="00BD77D8" w:rsidRDefault="00B9311E" w:rsidP="00B9311E">
            <w:pPr>
              <w:spacing w:after="0" w:line="240" w:lineRule="auto"/>
              <w:jc w:val="right"/>
              <w:rPr>
                <w:sz w:val="18"/>
                <w:szCs w:val="18"/>
              </w:rPr>
            </w:pPr>
            <w:r w:rsidRPr="00BD77D8">
              <w:rPr>
                <w:sz w:val="18"/>
                <w:szCs w:val="18"/>
              </w:rPr>
              <w:t xml:space="preserve">     235,773 </w:t>
            </w:r>
          </w:p>
        </w:tc>
        <w:tc>
          <w:tcPr>
            <w:tcW w:w="1243" w:type="dxa"/>
            <w:tcBorders>
              <w:top w:val="nil"/>
              <w:left w:val="nil"/>
              <w:bottom w:val="nil"/>
              <w:right w:val="nil"/>
            </w:tcBorders>
            <w:shd w:val="clear" w:color="auto" w:fill="auto"/>
            <w:vAlign w:val="bottom"/>
            <w:hideMark/>
          </w:tcPr>
          <w:p w14:paraId="0F01F865" w14:textId="77777777" w:rsidR="00B9311E" w:rsidRPr="00BD77D8" w:rsidRDefault="00B9311E" w:rsidP="00B9311E">
            <w:pPr>
              <w:spacing w:after="0" w:line="240" w:lineRule="auto"/>
              <w:jc w:val="right"/>
              <w:rPr>
                <w:sz w:val="18"/>
                <w:szCs w:val="18"/>
              </w:rPr>
            </w:pPr>
            <w:r w:rsidRPr="00BD77D8">
              <w:rPr>
                <w:sz w:val="18"/>
                <w:szCs w:val="18"/>
              </w:rPr>
              <w:t xml:space="preserve">     178,280 </w:t>
            </w:r>
          </w:p>
        </w:tc>
        <w:tc>
          <w:tcPr>
            <w:tcW w:w="1248" w:type="dxa"/>
            <w:tcBorders>
              <w:top w:val="nil"/>
              <w:left w:val="nil"/>
              <w:bottom w:val="nil"/>
              <w:right w:val="nil"/>
            </w:tcBorders>
            <w:shd w:val="clear" w:color="auto" w:fill="auto"/>
            <w:vAlign w:val="bottom"/>
            <w:hideMark/>
          </w:tcPr>
          <w:p w14:paraId="59A300D3" w14:textId="77777777" w:rsidR="00B9311E" w:rsidRPr="00BD77D8" w:rsidRDefault="00B9311E" w:rsidP="00B9311E">
            <w:pPr>
              <w:spacing w:after="0" w:line="240" w:lineRule="auto"/>
              <w:jc w:val="right"/>
              <w:rPr>
                <w:sz w:val="18"/>
                <w:szCs w:val="18"/>
              </w:rPr>
            </w:pPr>
            <w:r w:rsidRPr="00BD77D8">
              <w:rPr>
                <w:sz w:val="18"/>
                <w:szCs w:val="18"/>
              </w:rPr>
              <w:t xml:space="preserve">    47,733 </w:t>
            </w:r>
          </w:p>
        </w:tc>
      </w:tr>
      <w:tr w:rsidR="00BD77D8" w:rsidRPr="00BD77D8" w14:paraId="7AC55920" w14:textId="77777777" w:rsidTr="003057FB">
        <w:trPr>
          <w:trHeight w:val="304"/>
        </w:trPr>
        <w:tc>
          <w:tcPr>
            <w:tcW w:w="0" w:type="auto"/>
            <w:tcBorders>
              <w:top w:val="nil"/>
              <w:left w:val="nil"/>
              <w:bottom w:val="nil"/>
              <w:right w:val="nil"/>
            </w:tcBorders>
            <w:shd w:val="clear" w:color="auto" w:fill="auto"/>
            <w:noWrap/>
            <w:vAlign w:val="bottom"/>
            <w:hideMark/>
          </w:tcPr>
          <w:p w14:paraId="4C294A69" w14:textId="77777777" w:rsidR="00B9311E" w:rsidRPr="00BD77D8" w:rsidRDefault="00B9311E" w:rsidP="00B9311E">
            <w:pPr>
              <w:spacing w:after="0" w:line="240" w:lineRule="auto"/>
              <w:rPr>
                <w:b/>
                <w:bCs/>
                <w:sz w:val="18"/>
                <w:szCs w:val="18"/>
              </w:rPr>
            </w:pPr>
            <w:r w:rsidRPr="00BD77D8">
              <w:rPr>
                <w:b/>
                <w:bCs/>
                <w:sz w:val="18"/>
                <w:szCs w:val="18"/>
              </w:rPr>
              <w:t xml:space="preserve"> Total current liabilities </w:t>
            </w:r>
          </w:p>
        </w:tc>
        <w:tc>
          <w:tcPr>
            <w:tcW w:w="1865" w:type="dxa"/>
            <w:tcBorders>
              <w:top w:val="nil"/>
              <w:left w:val="nil"/>
              <w:bottom w:val="nil"/>
              <w:right w:val="nil"/>
            </w:tcBorders>
            <w:shd w:val="clear" w:color="auto" w:fill="auto"/>
            <w:noWrap/>
            <w:vAlign w:val="bottom"/>
            <w:hideMark/>
          </w:tcPr>
          <w:p w14:paraId="67187CED" w14:textId="77777777" w:rsidR="00B9311E" w:rsidRPr="00BD77D8" w:rsidRDefault="00B9311E" w:rsidP="00B9311E">
            <w:pPr>
              <w:spacing w:after="0" w:line="240" w:lineRule="auto"/>
              <w:rPr>
                <w:b/>
                <w:bCs/>
                <w:sz w:val="18"/>
                <w:szCs w:val="18"/>
              </w:rPr>
            </w:pPr>
          </w:p>
        </w:tc>
        <w:tc>
          <w:tcPr>
            <w:tcW w:w="1322" w:type="dxa"/>
            <w:tcBorders>
              <w:top w:val="single" w:sz="4" w:space="0" w:color="auto"/>
              <w:left w:val="nil"/>
              <w:bottom w:val="single" w:sz="4" w:space="0" w:color="auto"/>
              <w:right w:val="nil"/>
            </w:tcBorders>
            <w:shd w:val="clear" w:color="auto" w:fill="auto"/>
            <w:vAlign w:val="bottom"/>
            <w:hideMark/>
          </w:tcPr>
          <w:p w14:paraId="317D87AF" w14:textId="77777777" w:rsidR="00B9311E" w:rsidRPr="00BD77D8" w:rsidRDefault="00B9311E" w:rsidP="00B9311E">
            <w:pPr>
              <w:spacing w:after="0" w:line="240" w:lineRule="auto"/>
              <w:jc w:val="right"/>
              <w:rPr>
                <w:b/>
                <w:bCs/>
                <w:sz w:val="18"/>
                <w:szCs w:val="18"/>
              </w:rPr>
            </w:pPr>
            <w:r w:rsidRPr="00BD77D8">
              <w:rPr>
                <w:b/>
                <w:bCs/>
                <w:sz w:val="18"/>
                <w:szCs w:val="18"/>
              </w:rPr>
              <w:t xml:space="preserve">      57,493 </w:t>
            </w:r>
          </w:p>
        </w:tc>
        <w:tc>
          <w:tcPr>
            <w:tcW w:w="1340" w:type="dxa"/>
            <w:tcBorders>
              <w:top w:val="single" w:sz="4" w:space="0" w:color="auto"/>
              <w:left w:val="nil"/>
              <w:bottom w:val="single" w:sz="4" w:space="0" w:color="auto"/>
              <w:right w:val="nil"/>
            </w:tcBorders>
            <w:shd w:val="clear" w:color="auto" w:fill="auto"/>
            <w:vAlign w:val="bottom"/>
            <w:hideMark/>
          </w:tcPr>
          <w:p w14:paraId="37CB1A85" w14:textId="77777777" w:rsidR="00B9311E" w:rsidRPr="00BD77D8" w:rsidRDefault="00B9311E" w:rsidP="00B9311E">
            <w:pPr>
              <w:spacing w:after="0" w:line="240" w:lineRule="auto"/>
              <w:jc w:val="right"/>
              <w:rPr>
                <w:b/>
                <w:bCs/>
                <w:sz w:val="18"/>
                <w:szCs w:val="18"/>
              </w:rPr>
            </w:pPr>
            <w:r w:rsidRPr="00BD77D8">
              <w:rPr>
                <w:b/>
                <w:bCs/>
                <w:sz w:val="18"/>
                <w:szCs w:val="18"/>
              </w:rPr>
              <w:t xml:space="preserve">     235,773 </w:t>
            </w:r>
          </w:p>
        </w:tc>
        <w:tc>
          <w:tcPr>
            <w:tcW w:w="1243" w:type="dxa"/>
            <w:tcBorders>
              <w:top w:val="single" w:sz="4" w:space="0" w:color="auto"/>
              <w:left w:val="nil"/>
              <w:bottom w:val="single" w:sz="4" w:space="0" w:color="auto"/>
              <w:right w:val="nil"/>
            </w:tcBorders>
            <w:shd w:val="clear" w:color="auto" w:fill="auto"/>
            <w:vAlign w:val="bottom"/>
            <w:hideMark/>
          </w:tcPr>
          <w:p w14:paraId="05C520E9" w14:textId="77777777" w:rsidR="00B9311E" w:rsidRPr="00BD77D8" w:rsidRDefault="00B9311E" w:rsidP="00B9311E">
            <w:pPr>
              <w:spacing w:after="0" w:line="240" w:lineRule="auto"/>
              <w:jc w:val="right"/>
              <w:rPr>
                <w:b/>
                <w:bCs/>
                <w:sz w:val="18"/>
                <w:szCs w:val="18"/>
              </w:rPr>
            </w:pPr>
            <w:r w:rsidRPr="00BD77D8">
              <w:rPr>
                <w:b/>
                <w:bCs/>
                <w:sz w:val="18"/>
                <w:szCs w:val="18"/>
              </w:rPr>
              <w:t xml:space="preserve">     178,280 </w:t>
            </w:r>
          </w:p>
        </w:tc>
        <w:tc>
          <w:tcPr>
            <w:tcW w:w="1248" w:type="dxa"/>
            <w:tcBorders>
              <w:top w:val="single" w:sz="4" w:space="0" w:color="auto"/>
              <w:left w:val="nil"/>
              <w:bottom w:val="single" w:sz="4" w:space="0" w:color="auto"/>
              <w:right w:val="nil"/>
            </w:tcBorders>
            <w:shd w:val="clear" w:color="auto" w:fill="auto"/>
            <w:vAlign w:val="bottom"/>
            <w:hideMark/>
          </w:tcPr>
          <w:p w14:paraId="768C2DC8" w14:textId="77777777" w:rsidR="00B9311E" w:rsidRPr="00BD77D8" w:rsidRDefault="00B9311E" w:rsidP="00B9311E">
            <w:pPr>
              <w:spacing w:after="0" w:line="240" w:lineRule="auto"/>
              <w:jc w:val="right"/>
              <w:rPr>
                <w:b/>
                <w:bCs/>
                <w:sz w:val="18"/>
                <w:szCs w:val="18"/>
              </w:rPr>
            </w:pPr>
            <w:r w:rsidRPr="00BD77D8">
              <w:rPr>
                <w:b/>
                <w:bCs/>
                <w:sz w:val="18"/>
                <w:szCs w:val="18"/>
              </w:rPr>
              <w:t xml:space="preserve">    47,733 </w:t>
            </w:r>
          </w:p>
        </w:tc>
      </w:tr>
      <w:tr w:rsidR="00BD77D8" w:rsidRPr="00BD77D8" w14:paraId="16EA1BED" w14:textId="77777777" w:rsidTr="003057FB">
        <w:trPr>
          <w:trHeight w:val="304"/>
        </w:trPr>
        <w:tc>
          <w:tcPr>
            <w:tcW w:w="0" w:type="auto"/>
            <w:tcBorders>
              <w:top w:val="nil"/>
              <w:left w:val="nil"/>
              <w:bottom w:val="nil"/>
              <w:right w:val="nil"/>
            </w:tcBorders>
            <w:shd w:val="clear" w:color="auto" w:fill="auto"/>
            <w:noWrap/>
            <w:vAlign w:val="bottom"/>
            <w:hideMark/>
          </w:tcPr>
          <w:p w14:paraId="7FF90A0C" w14:textId="77777777" w:rsidR="00B9311E" w:rsidRPr="00BD77D8" w:rsidRDefault="00B9311E" w:rsidP="00B9311E">
            <w:pPr>
              <w:spacing w:after="0" w:line="240" w:lineRule="auto"/>
              <w:rPr>
                <w:b/>
                <w:bCs/>
                <w:sz w:val="18"/>
                <w:szCs w:val="18"/>
              </w:rPr>
            </w:pPr>
            <w:r w:rsidRPr="00BD77D8">
              <w:rPr>
                <w:b/>
                <w:bCs/>
                <w:sz w:val="18"/>
                <w:szCs w:val="18"/>
              </w:rPr>
              <w:t xml:space="preserve"> Net administered assets/liabilities </w:t>
            </w:r>
          </w:p>
        </w:tc>
        <w:tc>
          <w:tcPr>
            <w:tcW w:w="1865" w:type="dxa"/>
            <w:tcBorders>
              <w:top w:val="nil"/>
              <w:left w:val="nil"/>
              <w:bottom w:val="nil"/>
              <w:right w:val="nil"/>
            </w:tcBorders>
            <w:shd w:val="clear" w:color="auto" w:fill="auto"/>
            <w:noWrap/>
            <w:vAlign w:val="bottom"/>
            <w:hideMark/>
          </w:tcPr>
          <w:p w14:paraId="10035E15" w14:textId="77777777" w:rsidR="00B9311E" w:rsidRPr="00BD77D8" w:rsidRDefault="00B9311E" w:rsidP="00B9311E">
            <w:pPr>
              <w:spacing w:after="0" w:line="240" w:lineRule="auto"/>
              <w:rPr>
                <w:b/>
                <w:bCs/>
                <w:sz w:val="18"/>
                <w:szCs w:val="18"/>
              </w:rPr>
            </w:pPr>
          </w:p>
        </w:tc>
        <w:tc>
          <w:tcPr>
            <w:tcW w:w="1322" w:type="dxa"/>
            <w:tcBorders>
              <w:top w:val="single" w:sz="4" w:space="0" w:color="auto"/>
              <w:left w:val="nil"/>
              <w:bottom w:val="single" w:sz="4" w:space="0" w:color="auto"/>
              <w:right w:val="nil"/>
            </w:tcBorders>
            <w:shd w:val="clear" w:color="auto" w:fill="auto"/>
            <w:vAlign w:val="bottom"/>
            <w:hideMark/>
          </w:tcPr>
          <w:p w14:paraId="6C3CF882" w14:textId="77777777" w:rsidR="00B9311E" w:rsidRPr="00BD77D8" w:rsidRDefault="00B9311E" w:rsidP="00B9311E">
            <w:pPr>
              <w:spacing w:after="0" w:line="240" w:lineRule="auto"/>
              <w:jc w:val="right"/>
              <w:rPr>
                <w:b/>
                <w:bCs/>
                <w:sz w:val="18"/>
                <w:szCs w:val="18"/>
              </w:rPr>
            </w:pPr>
            <w:r w:rsidRPr="00BD77D8">
              <w:rPr>
                <w:b/>
                <w:bCs/>
                <w:sz w:val="18"/>
                <w:szCs w:val="18"/>
              </w:rPr>
              <w:t xml:space="preserve">      (1,358)</w:t>
            </w:r>
          </w:p>
        </w:tc>
        <w:tc>
          <w:tcPr>
            <w:tcW w:w="1340" w:type="dxa"/>
            <w:tcBorders>
              <w:top w:val="single" w:sz="4" w:space="0" w:color="auto"/>
              <w:left w:val="nil"/>
              <w:bottom w:val="single" w:sz="4" w:space="0" w:color="auto"/>
              <w:right w:val="nil"/>
            </w:tcBorders>
            <w:shd w:val="clear" w:color="auto" w:fill="auto"/>
            <w:vAlign w:val="bottom"/>
            <w:hideMark/>
          </w:tcPr>
          <w:p w14:paraId="7A168BDC" w14:textId="77777777" w:rsidR="00B9311E" w:rsidRPr="00BD77D8" w:rsidRDefault="00B9311E" w:rsidP="00B9311E">
            <w:pPr>
              <w:spacing w:after="0" w:line="240" w:lineRule="auto"/>
              <w:jc w:val="right"/>
              <w:rPr>
                <w:b/>
                <w:bCs/>
                <w:sz w:val="18"/>
                <w:szCs w:val="18"/>
              </w:rPr>
            </w:pPr>
            <w:r w:rsidRPr="00BD77D8">
              <w:rPr>
                <w:b/>
                <w:bCs/>
                <w:sz w:val="18"/>
                <w:szCs w:val="18"/>
              </w:rPr>
              <w:t xml:space="preserve">        (1,354)</w:t>
            </w:r>
          </w:p>
        </w:tc>
        <w:tc>
          <w:tcPr>
            <w:tcW w:w="1243" w:type="dxa"/>
            <w:tcBorders>
              <w:top w:val="single" w:sz="4" w:space="0" w:color="auto"/>
              <w:left w:val="nil"/>
              <w:bottom w:val="single" w:sz="4" w:space="0" w:color="auto"/>
              <w:right w:val="nil"/>
            </w:tcBorders>
            <w:shd w:val="clear" w:color="auto" w:fill="auto"/>
            <w:vAlign w:val="bottom"/>
            <w:hideMark/>
          </w:tcPr>
          <w:p w14:paraId="4E0061D8" w14:textId="77777777" w:rsidR="00B9311E" w:rsidRPr="00BD77D8" w:rsidRDefault="00B9311E" w:rsidP="00B9311E">
            <w:pPr>
              <w:spacing w:after="0" w:line="240" w:lineRule="auto"/>
              <w:jc w:val="right"/>
              <w:rPr>
                <w:b/>
                <w:bCs/>
                <w:sz w:val="18"/>
                <w:szCs w:val="18"/>
              </w:rPr>
            </w:pPr>
            <w:r w:rsidRPr="00BD77D8">
              <w:rPr>
                <w:b/>
                <w:bCs/>
                <w:sz w:val="18"/>
                <w:szCs w:val="18"/>
              </w:rPr>
              <w:t xml:space="preserve">                  (4) </w:t>
            </w:r>
          </w:p>
        </w:tc>
        <w:tc>
          <w:tcPr>
            <w:tcW w:w="1248" w:type="dxa"/>
            <w:tcBorders>
              <w:top w:val="single" w:sz="4" w:space="0" w:color="auto"/>
              <w:left w:val="nil"/>
              <w:bottom w:val="single" w:sz="4" w:space="0" w:color="auto"/>
              <w:right w:val="nil"/>
            </w:tcBorders>
            <w:shd w:val="clear" w:color="auto" w:fill="auto"/>
            <w:vAlign w:val="bottom"/>
            <w:hideMark/>
          </w:tcPr>
          <w:p w14:paraId="7FB67D19" w14:textId="77777777" w:rsidR="00B9311E" w:rsidRPr="00BD77D8" w:rsidRDefault="00B9311E" w:rsidP="00B9311E">
            <w:pPr>
              <w:spacing w:after="0" w:line="240" w:lineRule="auto"/>
              <w:jc w:val="right"/>
              <w:rPr>
                <w:b/>
                <w:bCs/>
                <w:sz w:val="18"/>
                <w:szCs w:val="18"/>
              </w:rPr>
            </w:pPr>
            <w:r w:rsidRPr="00BD77D8">
              <w:rPr>
                <w:b/>
                <w:bCs/>
                <w:sz w:val="18"/>
                <w:szCs w:val="18"/>
              </w:rPr>
              <w:t xml:space="preserve">     (1,459)</w:t>
            </w:r>
          </w:p>
        </w:tc>
      </w:tr>
    </w:tbl>
    <w:p w14:paraId="1B8692FA" w14:textId="77777777" w:rsidR="00B9311E" w:rsidRPr="00BD77D8" w:rsidRDefault="00B9311E" w:rsidP="00727CAE">
      <w:pPr>
        <w:tabs>
          <w:tab w:val="left" w:pos="360"/>
        </w:tabs>
        <w:spacing w:before="240" w:after="0" w:line="203" w:lineRule="exact"/>
        <w:textAlignment w:val="baseline"/>
        <w:rPr>
          <w:rFonts w:eastAsia="Arial"/>
          <w:b/>
          <w:bCs/>
          <w:sz w:val="16"/>
          <w:szCs w:val="16"/>
          <w:lang w:eastAsia="en-US"/>
        </w:rPr>
      </w:pPr>
      <w:bookmarkStart w:id="667" w:name="RANGE!B8"/>
      <w:bookmarkEnd w:id="667"/>
      <w:r w:rsidRPr="00BD77D8">
        <w:rPr>
          <w:rFonts w:eastAsia="Arial"/>
          <w:sz w:val="16"/>
          <w:szCs w:val="16"/>
          <w:lang w:eastAsia="en-US"/>
        </w:rPr>
        <w:t>^ These figures represent budgeted figures as published in the 2021-22 Service Delivery Statement tabled in Parliament.</w:t>
      </w:r>
    </w:p>
    <w:p w14:paraId="14C12F5B" w14:textId="77777777" w:rsidR="00B9311E" w:rsidRPr="00BD77D8" w:rsidRDefault="00B9311E" w:rsidP="00B9311E">
      <w:pPr>
        <w:tabs>
          <w:tab w:val="left" w:pos="360"/>
        </w:tabs>
        <w:spacing w:after="0" w:line="203" w:lineRule="exact"/>
        <w:textAlignment w:val="baseline"/>
        <w:rPr>
          <w:rFonts w:eastAsia="Arial"/>
          <w:b/>
          <w:bCs/>
          <w:sz w:val="16"/>
          <w:szCs w:val="16"/>
          <w:lang w:eastAsia="en-US"/>
        </w:rPr>
      </w:pPr>
      <w:r w:rsidRPr="00BD77D8">
        <w:rPr>
          <w:rFonts w:eastAsia="Arial"/>
          <w:sz w:val="16"/>
          <w:szCs w:val="16"/>
          <w:lang w:eastAsia="en-US"/>
        </w:rPr>
        <w:t>*  An explanation of major variances is included at Note G1-10.</w:t>
      </w:r>
    </w:p>
    <w:p w14:paraId="37D8476B" w14:textId="77777777" w:rsidR="00B9311E" w:rsidRPr="00BD77D8" w:rsidRDefault="00B9311E" w:rsidP="0089639E">
      <w:pPr>
        <w:spacing w:before="120" w:after="0" w:line="205" w:lineRule="exact"/>
        <w:textAlignment w:val="baseline"/>
        <w:rPr>
          <w:rFonts w:eastAsia="Arial"/>
          <w:iCs/>
          <w:spacing w:val="-3"/>
          <w:sz w:val="16"/>
          <w:szCs w:val="16"/>
          <w:lang w:eastAsia="en-US"/>
        </w:rPr>
      </w:pPr>
      <w:r w:rsidRPr="00BD77D8">
        <w:rPr>
          <w:rFonts w:eastAsia="Arial"/>
          <w:iCs/>
          <w:spacing w:val="-3"/>
          <w:sz w:val="16"/>
          <w:szCs w:val="16"/>
          <w:lang w:eastAsia="en-US"/>
        </w:rPr>
        <w:t>The accompanying notes form part of these financial statements.</w:t>
      </w:r>
    </w:p>
    <w:p w14:paraId="28AFB664" w14:textId="77777777" w:rsidR="00A5785D" w:rsidRPr="00BD77D8" w:rsidRDefault="00A5785D" w:rsidP="0089639E">
      <w:pPr>
        <w:spacing w:before="360" w:after="0" w:line="205" w:lineRule="exact"/>
        <w:textAlignment w:val="baseline"/>
        <w:rPr>
          <w:rFonts w:eastAsia="Arial"/>
          <w:iCs/>
          <w:spacing w:val="-3"/>
          <w:sz w:val="18"/>
          <w:szCs w:val="18"/>
          <w:lang w:eastAsia="en-US"/>
        </w:rPr>
      </w:pP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b/>
          <w:bCs/>
          <w:iCs/>
          <w:spacing w:val="-3"/>
          <w:sz w:val="16"/>
          <w:szCs w:val="16"/>
          <w:lang w:eastAsia="en-US"/>
        </w:rPr>
        <w:tab/>
      </w:r>
      <w:r w:rsidRPr="00BD77D8">
        <w:rPr>
          <w:rFonts w:eastAsia="Arial"/>
          <w:iCs/>
          <w:spacing w:val="-3"/>
          <w:sz w:val="18"/>
          <w:szCs w:val="18"/>
          <w:lang w:eastAsia="en-US"/>
        </w:rPr>
        <w:t>Page 40 of 45</w:t>
      </w:r>
    </w:p>
    <w:p w14:paraId="2D543958" w14:textId="192F5E04" w:rsidR="00A5785D" w:rsidRPr="00BD77D8" w:rsidRDefault="00A5785D" w:rsidP="00B9311E">
      <w:pPr>
        <w:spacing w:after="0" w:line="205" w:lineRule="exact"/>
        <w:textAlignment w:val="baseline"/>
        <w:rPr>
          <w:rFonts w:eastAsia="PMingLiU"/>
          <w:sz w:val="18"/>
          <w:szCs w:val="18"/>
          <w:lang w:eastAsia="en-US"/>
        </w:rPr>
        <w:sectPr w:rsidR="00A5785D" w:rsidRPr="00BD77D8" w:rsidSect="005A1D36">
          <w:pgSz w:w="11909" w:h="16838"/>
          <w:pgMar w:top="794" w:right="794" w:bottom="794" w:left="794" w:header="720" w:footer="720" w:gutter="0"/>
          <w:cols w:space="720"/>
        </w:sectPr>
      </w:pPr>
    </w:p>
    <w:p w14:paraId="1328C09C"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D71D9C5" w14:textId="77777777" w:rsidR="00B9311E" w:rsidRPr="00BD77D8" w:rsidRDefault="00B9311E" w:rsidP="007150A3">
      <w:pPr>
        <w:spacing w:after="0" w:line="199" w:lineRule="exact"/>
        <w:textAlignment w:val="baseline"/>
        <w:rPr>
          <w:rFonts w:eastAsia="Arial"/>
          <w:b/>
          <w:bCs/>
          <w:sz w:val="18"/>
          <w:szCs w:val="18"/>
          <w:lang w:eastAsia="en-US"/>
        </w:rPr>
      </w:pPr>
      <w:bookmarkStart w:id="668" w:name="_Toc111494830"/>
      <w:r w:rsidRPr="00BD77D8">
        <w:rPr>
          <w:rFonts w:eastAsia="Arial"/>
          <w:b/>
          <w:bCs/>
          <w:sz w:val="18"/>
          <w:szCs w:val="18"/>
          <w:lang w:eastAsia="en-US"/>
        </w:rPr>
        <w:t>Notes to the Financial Statements - Administered</w:t>
      </w:r>
      <w:bookmarkEnd w:id="668"/>
    </w:p>
    <w:p w14:paraId="33BC1DC7" w14:textId="77777777" w:rsidR="00B9311E" w:rsidRPr="00BD77D8" w:rsidRDefault="00B9311E" w:rsidP="00B9311E">
      <w:pPr>
        <w:spacing w:after="0" w:line="196" w:lineRule="exact"/>
        <w:textAlignment w:val="baseline"/>
        <w:rPr>
          <w:rFonts w:eastAsia="Arial"/>
          <w:b/>
          <w:bCs/>
          <w:spacing w:val="-1"/>
          <w:sz w:val="18"/>
          <w:szCs w:val="18"/>
          <w:lang w:eastAsia="en-US"/>
        </w:rPr>
      </w:pPr>
      <w:r w:rsidRPr="00BD77D8">
        <w:rPr>
          <w:rFonts w:eastAsia="Arial"/>
          <w:b/>
          <w:bCs/>
          <w:spacing w:val="-1"/>
          <w:sz w:val="18"/>
          <w:szCs w:val="18"/>
          <w:lang w:eastAsia="en-US"/>
        </w:rPr>
        <w:t>as at 30 June 2022</w:t>
      </w:r>
    </w:p>
    <w:p w14:paraId="52CF3282" w14:textId="77777777" w:rsidR="00B9311E" w:rsidRPr="00BD77D8" w:rsidRDefault="00B9311E" w:rsidP="00B9311E">
      <w:pPr>
        <w:pBdr>
          <w:bottom w:val="single" w:sz="4" w:space="1" w:color="auto"/>
        </w:pBdr>
        <w:spacing w:after="0" w:line="196" w:lineRule="exact"/>
        <w:textAlignment w:val="baseline"/>
        <w:rPr>
          <w:rFonts w:eastAsia="Arial"/>
          <w:b/>
          <w:bCs/>
          <w:spacing w:val="-1"/>
          <w:sz w:val="18"/>
          <w:szCs w:val="18"/>
          <w:lang w:eastAsia="en-US"/>
        </w:rPr>
      </w:pPr>
    </w:p>
    <w:p w14:paraId="4552DE51" w14:textId="25368E77" w:rsidR="00B9311E" w:rsidRPr="00BD77D8" w:rsidRDefault="00B9311E" w:rsidP="00727CAE">
      <w:pPr>
        <w:spacing w:before="240"/>
        <w:rPr>
          <w:rFonts w:eastAsia="PMingLiU"/>
          <w:sz w:val="18"/>
          <w:szCs w:val="22"/>
          <w:lang w:val="en-US" w:eastAsia="en-US"/>
        </w:rPr>
      </w:pPr>
      <w:bookmarkStart w:id="669" w:name="_Toc111540702"/>
      <w:bookmarkStart w:id="670" w:name="_Toc111559266"/>
      <w:bookmarkStart w:id="671" w:name="_Toc113196538"/>
      <w:bookmarkStart w:id="672" w:name="_Toc113196886"/>
      <w:bookmarkStart w:id="673" w:name="_Toc113262016"/>
      <w:bookmarkStart w:id="674" w:name="_Toc113349170"/>
      <w:bookmarkStart w:id="675" w:name="_Toc113358095"/>
      <w:r w:rsidRPr="00BD77D8">
        <w:rPr>
          <w:b/>
          <w:bCs/>
          <w:sz w:val="20"/>
          <w:szCs w:val="20"/>
          <w:lang w:eastAsia="en-US"/>
        </w:rPr>
        <w:t>G1-3 Appropriation Revenue</w:t>
      </w:r>
      <w:bookmarkEnd w:id="669"/>
      <w:bookmarkEnd w:id="670"/>
      <w:bookmarkEnd w:id="671"/>
      <w:bookmarkEnd w:id="672"/>
      <w:bookmarkEnd w:id="673"/>
      <w:bookmarkEnd w:id="674"/>
      <w:bookmarkEnd w:id="675"/>
    </w:p>
    <w:tbl>
      <w:tblPr>
        <w:tblW w:w="10338" w:type="dxa"/>
        <w:tblCellMar>
          <w:left w:w="0" w:type="dxa"/>
          <w:right w:w="0" w:type="dxa"/>
        </w:tblCellMar>
        <w:tblLook w:val="04A0" w:firstRow="1" w:lastRow="0" w:firstColumn="1" w:lastColumn="0" w:noHBand="0" w:noVBand="1"/>
      </w:tblPr>
      <w:tblGrid>
        <w:gridCol w:w="7993"/>
        <w:gridCol w:w="1190"/>
        <w:gridCol w:w="1155"/>
      </w:tblGrid>
      <w:tr w:rsidR="00BD77D8" w:rsidRPr="00BD77D8" w14:paraId="6372119F" w14:textId="77777777" w:rsidTr="003057FB">
        <w:trPr>
          <w:trHeight w:val="269"/>
        </w:trPr>
        <w:tc>
          <w:tcPr>
            <w:tcW w:w="0" w:type="auto"/>
            <w:tcBorders>
              <w:top w:val="nil"/>
              <w:left w:val="nil"/>
              <w:bottom w:val="nil"/>
              <w:right w:val="nil"/>
            </w:tcBorders>
            <w:shd w:val="clear" w:color="auto" w:fill="auto"/>
            <w:noWrap/>
            <w:vAlign w:val="bottom"/>
            <w:hideMark/>
          </w:tcPr>
          <w:p w14:paraId="1727AB49" w14:textId="77777777" w:rsidR="00B9311E" w:rsidRPr="00BD77D8" w:rsidRDefault="00B9311E" w:rsidP="00B9311E">
            <w:pPr>
              <w:spacing w:after="0" w:line="240" w:lineRule="auto"/>
              <w:rPr>
                <w:b/>
                <w:bCs/>
                <w:sz w:val="18"/>
                <w:szCs w:val="18"/>
              </w:rPr>
            </w:pPr>
            <w:r w:rsidRPr="00BD77D8">
              <w:rPr>
                <w:b/>
                <w:bCs/>
                <w:sz w:val="18"/>
                <w:szCs w:val="18"/>
              </w:rPr>
              <w:t>Appropriation Revenue</w:t>
            </w:r>
          </w:p>
        </w:tc>
        <w:tc>
          <w:tcPr>
            <w:tcW w:w="0" w:type="auto"/>
            <w:tcBorders>
              <w:top w:val="nil"/>
              <w:left w:val="nil"/>
              <w:bottom w:val="nil"/>
              <w:right w:val="nil"/>
            </w:tcBorders>
            <w:shd w:val="clear" w:color="auto" w:fill="auto"/>
            <w:noWrap/>
            <w:vAlign w:val="bottom"/>
            <w:hideMark/>
          </w:tcPr>
          <w:p w14:paraId="67E2CB89" w14:textId="77777777" w:rsidR="00B9311E" w:rsidRPr="00BD77D8" w:rsidRDefault="00B9311E" w:rsidP="00B9311E">
            <w:pPr>
              <w:spacing w:after="0" w:line="240" w:lineRule="auto"/>
              <w:rPr>
                <w:b/>
                <w:bCs/>
                <w:sz w:val="18"/>
                <w:szCs w:val="18"/>
              </w:rPr>
            </w:pPr>
          </w:p>
        </w:tc>
        <w:tc>
          <w:tcPr>
            <w:tcW w:w="1139" w:type="dxa"/>
            <w:tcBorders>
              <w:top w:val="nil"/>
              <w:left w:val="nil"/>
              <w:bottom w:val="nil"/>
              <w:right w:val="nil"/>
            </w:tcBorders>
            <w:shd w:val="clear" w:color="auto" w:fill="auto"/>
            <w:noWrap/>
            <w:vAlign w:val="bottom"/>
            <w:hideMark/>
          </w:tcPr>
          <w:p w14:paraId="02A73392"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1F90D131" w14:textId="77777777" w:rsidTr="003057FB">
        <w:trPr>
          <w:trHeight w:val="269"/>
        </w:trPr>
        <w:tc>
          <w:tcPr>
            <w:tcW w:w="0" w:type="auto"/>
            <w:tcBorders>
              <w:top w:val="nil"/>
              <w:left w:val="nil"/>
              <w:bottom w:val="nil"/>
              <w:right w:val="nil"/>
            </w:tcBorders>
            <w:shd w:val="clear" w:color="auto" w:fill="auto"/>
            <w:noWrap/>
            <w:vAlign w:val="bottom"/>
            <w:hideMark/>
          </w:tcPr>
          <w:p w14:paraId="2A1AF9B3"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hideMark/>
          </w:tcPr>
          <w:p w14:paraId="67EA18F3" w14:textId="77777777" w:rsidR="00B9311E" w:rsidRPr="00BD77D8" w:rsidRDefault="00B9311E" w:rsidP="00B9311E">
            <w:pPr>
              <w:spacing w:after="0" w:line="240" w:lineRule="auto"/>
              <w:jc w:val="right"/>
              <w:rPr>
                <w:b/>
                <w:bCs/>
                <w:sz w:val="18"/>
                <w:szCs w:val="18"/>
              </w:rPr>
            </w:pPr>
            <w:r w:rsidRPr="00BD77D8">
              <w:rPr>
                <w:b/>
                <w:bCs/>
                <w:sz w:val="18"/>
                <w:szCs w:val="18"/>
              </w:rPr>
              <w:t xml:space="preserve">             2022 </w:t>
            </w:r>
          </w:p>
        </w:tc>
        <w:tc>
          <w:tcPr>
            <w:tcW w:w="1139" w:type="dxa"/>
            <w:tcBorders>
              <w:top w:val="nil"/>
              <w:left w:val="nil"/>
              <w:bottom w:val="nil"/>
              <w:right w:val="nil"/>
            </w:tcBorders>
            <w:shd w:val="clear" w:color="auto" w:fill="auto"/>
            <w:noWrap/>
            <w:hideMark/>
          </w:tcPr>
          <w:p w14:paraId="1ACC02B6" w14:textId="77777777" w:rsidR="00B9311E" w:rsidRPr="00BD77D8" w:rsidRDefault="00B9311E" w:rsidP="00B9311E">
            <w:pPr>
              <w:spacing w:after="0" w:line="240" w:lineRule="auto"/>
              <w:jc w:val="right"/>
              <w:rPr>
                <w:b/>
                <w:bCs/>
                <w:sz w:val="18"/>
                <w:szCs w:val="18"/>
              </w:rPr>
            </w:pPr>
            <w:r w:rsidRPr="00BD77D8">
              <w:rPr>
                <w:b/>
                <w:bCs/>
                <w:sz w:val="18"/>
                <w:szCs w:val="18"/>
              </w:rPr>
              <w:t xml:space="preserve">            2021 </w:t>
            </w:r>
          </w:p>
        </w:tc>
      </w:tr>
      <w:tr w:rsidR="00BD77D8" w:rsidRPr="00BD77D8" w14:paraId="56E5648B" w14:textId="77777777" w:rsidTr="003057FB">
        <w:trPr>
          <w:trHeight w:val="269"/>
        </w:trPr>
        <w:tc>
          <w:tcPr>
            <w:tcW w:w="0" w:type="auto"/>
            <w:tcBorders>
              <w:top w:val="nil"/>
              <w:left w:val="nil"/>
              <w:bottom w:val="nil"/>
              <w:right w:val="nil"/>
            </w:tcBorders>
            <w:shd w:val="clear" w:color="auto" w:fill="auto"/>
            <w:noWrap/>
            <w:vAlign w:val="bottom"/>
            <w:hideMark/>
          </w:tcPr>
          <w:p w14:paraId="11B60CCF"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single" w:sz="4" w:space="0" w:color="auto"/>
              <w:right w:val="nil"/>
            </w:tcBorders>
            <w:shd w:val="clear" w:color="auto" w:fill="auto"/>
            <w:noWrap/>
            <w:hideMark/>
          </w:tcPr>
          <w:p w14:paraId="10162A08"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139" w:type="dxa"/>
            <w:tcBorders>
              <w:top w:val="nil"/>
              <w:left w:val="nil"/>
              <w:bottom w:val="single" w:sz="4" w:space="0" w:color="auto"/>
              <w:right w:val="nil"/>
            </w:tcBorders>
            <w:shd w:val="clear" w:color="auto" w:fill="auto"/>
            <w:noWrap/>
            <w:hideMark/>
          </w:tcPr>
          <w:p w14:paraId="3D573DAA"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4EC28929" w14:textId="77777777" w:rsidTr="003057FB">
        <w:trPr>
          <w:trHeight w:val="269"/>
        </w:trPr>
        <w:tc>
          <w:tcPr>
            <w:tcW w:w="0" w:type="auto"/>
            <w:tcBorders>
              <w:top w:val="nil"/>
              <w:left w:val="nil"/>
              <w:bottom w:val="nil"/>
              <w:right w:val="nil"/>
            </w:tcBorders>
            <w:shd w:val="clear" w:color="auto" w:fill="auto"/>
            <w:noWrap/>
            <w:vAlign w:val="bottom"/>
            <w:hideMark/>
          </w:tcPr>
          <w:p w14:paraId="394F14C5" w14:textId="77777777" w:rsidR="00B9311E" w:rsidRPr="00BD77D8" w:rsidRDefault="00B9311E" w:rsidP="00B9311E">
            <w:pPr>
              <w:spacing w:after="0" w:line="240" w:lineRule="auto"/>
              <w:rPr>
                <w:b/>
                <w:bCs/>
                <w:sz w:val="18"/>
                <w:szCs w:val="18"/>
              </w:rPr>
            </w:pPr>
            <w:r w:rsidRPr="00BD77D8">
              <w:rPr>
                <w:b/>
                <w:bCs/>
                <w:sz w:val="18"/>
                <w:szCs w:val="18"/>
              </w:rPr>
              <w:t>Reconciliation of Payments from Consolidated Fund to Administered Income</w:t>
            </w:r>
          </w:p>
        </w:tc>
        <w:tc>
          <w:tcPr>
            <w:tcW w:w="0" w:type="auto"/>
            <w:tcBorders>
              <w:top w:val="nil"/>
              <w:left w:val="nil"/>
              <w:bottom w:val="nil"/>
              <w:right w:val="nil"/>
            </w:tcBorders>
            <w:shd w:val="clear" w:color="auto" w:fill="auto"/>
            <w:noWrap/>
            <w:vAlign w:val="bottom"/>
            <w:hideMark/>
          </w:tcPr>
          <w:p w14:paraId="29DC8F1A" w14:textId="77777777" w:rsidR="00B9311E" w:rsidRPr="00BD77D8" w:rsidRDefault="00B9311E" w:rsidP="00B9311E">
            <w:pPr>
              <w:spacing w:after="0" w:line="240" w:lineRule="auto"/>
              <w:rPr>
                <w:b/>
                <w:bCs/>
                <w:sz w:val="18"/>
                <w:szCs w:val="18"/>
              </w:rPr>
            </w:pPr>
          </w:p>
        </w:tc>
        <w:tc>
          <w:tcPr>
            <w:tcW w:w="1139" w:type="dxa"/>
            <w:tcBorders>
              <w:top w:val="nil"/>
              <w:left w:val="nil"/>
              <w:bottom w:val="nil"/>
              <w:right w:val="nil"/>
            </w:tcBorders>
            <w:shd w:val="clear" w:color="auto" w:fill="auto"/>
            <w:noWrap/>
            <w:vAlign w:val="bottom"/>
            <w:hideMark/>
          </w:tcPr>
          <w:p w14:paraId="0D6AA181" w14:textId="77777777" w:rsidR="00B9311E" w:rsidRPr="00BD77D8" w:rsidRDefault="00B9311E" w:rsidP="00B9311E">
            <w:pPr>
              <w:spacing w:after="0" w:line="240" w:lineRule="auto"/>
              <w:jc w:val="center"/>
              <w:rPr>
                <w:rFonts w:ascii="Times New Roman" w:hAnsi="Times New Roman" w:cs="Times New Roman"/>
                <w:sz w:val="20"/>
                <w:szCs w:val="20"/>
              </w:rPr>
            </w:pPr>
          </w:p>
        </w:tc>
      </w:tr>
      <w:tr w:rsidR="00BD77D8" w:rsidRPr="00BD77D8" w14:paraId="0134139F" w14:textId="77777777" w:rsidTr="003057FB">
        <w:trPr>
          <w:trHeight w:val="269"/>
        </w:trPr>
        <w:tc>
          <w:tcPr>
            <w:tcW w:w="0" w:type="auto"/>
            <w:tcBorders>
              <w:top w:val="nil"/>
              <w:left w:val="nil"/>
              <w:bottom w:val="nil"/>
              <w:right w:val="nil"/>
            </w:tcBorders>
            <w:shd w:val="clear" w:color="auto" w:fill="auto"/>
            <w:noWrap/>
            <w:vAlign w:val="bottom"/>
            <w:hideMark/>
          </w:tcPr>
          <w:p w14:paraId="1814C5AF" w14:textId="77777777" w:rsidR="00B9311E" w:rsidRPr="00BD77D8" w:rsidRDefault="00B9311E" w:rsidP="00B9311E">
            <w:pPr>
              <w:spacing w:after="0" w:line="240" w:lineRule="auto"/>
              <w:rPr>
                <w:sz w:val="18"/>
                <w:szCs w:val="18"/>
              </w:rPr>
            </w:pPr>
            <w:r w:rsidRPr="00BD77D8">
              <w:rPr>
                <w:sz w:val="18"/>
                <w:szCs w:val="18"/>
              </w:rPr>
              <w:t>Budgeted appropriation</w:t>
            </w:r>
          </w:p>
        </w:tc>
        <w:tc>
          <w:tcPr>
            <w:tcW w:w="0" w:type="auto"/>
            <w:tcBorders>
              <w:top w:val="nil"/>
              <w:left w:val="nil"/>
              <w:bottom w:val="nil"/>
              <w:right w:val="nil"/>
            </w:tcBorders>
            <w:shd w:val="clear" w:color="auto" w:fill="auto"/>
            <w:vAlign w:val="center"/>
            <w:hideMark/>
          </w:tcPr>
          <w:p w14:paraId="6FF0919B" w14:textId="77777777" w:rsidR="00B9311E" w:rsidRPr="00BD77D8" w:rsidRDefault="00B9311E" w:rsidP="00B9311E">
            <w:pPr>
              <w:spacing w:after="0" w:line="240" w:lineRule="auto"/>
              <w:jc w:val="right"/>
              <w:rPr>
                <w:sz w:val="18"/>
                <w:szCs w:val="18"/>
              </w:rPr>
            </w:pPr>
            <w:r w:rsidRPr="00BD77D8">
              <w:rPr>
                <w:sz w:val="18"/>
                <w:szCs w:val="18"/>
              </w:rPr>
              <w:t xml:space="preserve">    2,434,745 </w:t>
            </w:r>
          </w:p>
        </w:tc>
        <w:tc>
          <w:tcPr>
            <w:tcW w:w="1139" w:type="dxa"/>
            <w:tcBorders>
              <w:top w:val="nil"/>
              <w:left w:val="nil"/>
              <w:bottom w:val="nil"/>
              <w:right w:val="nil"/>
            </w:tcBorders>
            <w:shd w:val="clear" w:color="auto" w:fill="auto"/>
            <w:vAlign w:val="center"/>
            <w:hideMark/>
          </w:tcPr>
          <w:p w14:paraId="7B0EC8A3" w14:textId="77777777" w:rsidR="00B9311E" w:rsidRPr="00BD77D8" w:rsidRDefault="00B9311E" w:rsidP="00B9311E">
            <w:pPr>
              <w:spacing w:after="0" w:line="240" w:lineRule="auto"/>
              <w:jc w:val="right"/>
              <w:rPr>
                <w:sz w:val="18"/>
                <w:szCs w:val="18"/>
              </w:rPr>
            </w:pPr>
            <w:r w:rsidRPr="00BD77D8">
              <w:rPr>
                <w:sz w:val="18"/>
                <w:szCs w:val="18"/>
              </w:rPr>
              <w:t xml:space="preserve">   2,423,678 </w:t>
            </w:r>
          </w:p>
        </w:tc>
      </w:tr>
      <w:tr w:rsidR="00BD77D8" w:rsidRPr="00BD77D8" w14:paraId="6147C3C3" w14:textId="77777777" w:rsidTr="003057FB">
        <w:trPr>
          <w:trHeight w:val="269"/>
        </w:trPr>
        <w:tc>
          <w:tcPr>
            <w:tcW w:w="0" w:type="auto"/>
            <w:tcBorders>
              <w:top w:val="nil"/>
              <w:left w:val="nil"/>
              <w:bottom w:val="nil"/>
              <w:right w:val="nil"/>
            </w:tcBorders>
            <w:shd w:val="clear" w:color="auto" w:fill="auto"/>
            <w:noWrap/>
            <w:vAlign w:val="bottom"/>
            <w:hideMark/>
          </w:tcPr>
          <w:p w14:paraId="45E17EB9" w14:textId="77777777" w:rsidR="00B9311E" w:rsidRPr="00BD77D8" w:rsidRDefault="00B9311E" w:rsidP="00B9311E">
            <w:pPr>
              <w:spacing w:after="0" w:line="240" w:lineRule="auto"/>
              <w:rPr>
                <w:sz w:val="18"/>
                <w:szCs w:val="18"/>
              </w:rPr>
            </w:pPr>
            <w:r w:rsidRPr="00BD77D8">
              <w:rPr>
                <w:sz w:val="18"/>
                <w:szCs w:val="18"/>
              </w:rPr>
              <w:t>Transfers from Administered services</w:t>
            </w:r>
          </w:p>
        </w:tc>
        <w:tc>
          <w:tcPr>
            <w:tcW w:w="0" w:type="auto"/>
            <w:tcBorders>
              <w:top w:val="nil"/>
              <w:left w:val="nil"/>
              <w:bottom w:val="nil"/>
              <w:right w:val="nil"/>
            </w:tcBorders>
            <w:shd w:val="clear" w:color="auto" w:fill="auto"/>
            <w:vAlign w:val="center"/>
            <w:hideMark/>
          </w:tcPr>
          <w:p w14:paraId="76C74F6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9" w:type="dxa"/>
            <w:tcBorders>
              <w:top w:val="nil"/>
              <w:left w:val="nil"/>
              <w:bottom w:val="nil"/>
              <w:right w:val="nil"/>
            </w:tcBorders>
            <w:shd w:val="clear" w:color="auto" w:fill="auto"/>
            <w:vAlign w:val="center"/>
            <w:hideMark/>
          </w:tcPr>
          <w:p w14:paraId="573D2F2D" w14:textId="77777777" w:rsidR="00B9311E" w:rsidRPr="00BD77D8" w:rsidRDefault="00B9311E" w:rsidP="00B9311E">
            <w:pPr>
              <w:spacing w:after="0" w:line="240" w:lineRule="auto"/>
              <w:jc w:val="right"/>
              <w:rPr>
                <w:sz w:val="18"/>
                <w:szCs w:val="18"/>
              </w:rPr>
            </w:pPr>
            <w:r w:rsidRPr="00BD77D8">
              <w:rPr>
                <w:sz w:val="18"/>
                <w:szCs w:val="18"/>
              </w:rPr>
              <w:t xml:space="preserve">           5,520 </w:t>
            </w:r>
          </w:p>
        </w:tc>
      </w:tr>
      <w:tr w:rsidR="00BD77D8" w:rsidRPr="00BD77D8" w14:paraId="5DCB51EA" w14:textId="77777777" w:rsidTr="003057FB">
        <w:trPr>
          <w:trHeight w:val="269"/>
        </w:trPr>
        <w:tc>
          <w:tcPr>
            <w:tcW w:w="0" w:type="auto"/>
            <w:tcBorders>
              <w:top w:val="nil"/>
              <w:left w:val="nil"/>
              <w:bottom w:val="nil"/>
              <w:right w:val="nil"/>
            </w:tcBorders>
            <w:shd w:val="clear" w:color="auto" w:fill="auto"/>
            <w:noWrap/>
            <w:vAlign w:val="bottom"/>
            <w:hideMark/>
          </w:tcPr>
          <w:p w14:paraId="192DF7B1" w14:textId="77777777" w:rsidR="00B9311E" w:rsidRPr="00BD77D8" w:rsidRDefault="00B9311E" w:rsidP="00B9311E">
            <w:pPr>
              <w:spacing w:after="0" w:line="240" w:lineRule="auto"/>
              <w:rPr>
                <w:sz w:val="18"/>
                <w:szCs w:val="18"/>
              </w:rPr>
            </w:pPr>
            <w:r w:rsidRPr="00BD77D8">
              <w:rPr>
                <w:sz w:val="18"/>
                <w:szCs w:val="18"/>
              </w:rPr>
              <w:t>Lapsed administered appropriation</w:t>
            </w:r>
          </w:p>
        </w:tc>
        <w:tc>
          <w:tcPr>
            <w:tcW w:w="0" w:type="auto"/>
            <w:tcBorders>
              <w:top w:val="nil"/>
              <w:left w:val="nil"/>
              <w:bottom w:val="nil"/>
              <w:right w:val="nil"/>
            </w:tcBorders>
            <w:shd w:val="clear" w:color="auto" w:fill="auto"/>
            <w:vAlign w:val="center"/>
            <w:hideMark/>
          </w:tcPr>
          <w:p w14:paraId="138411B4" w14:textId="77777777" w:rsidR="00B9311E" w:rsidRPr="00BD77D8" w:rsidRDefault="00B9311E" w:rsidP="00B9311E">
            <w:pPr>
              <w:spacing w:after="0" w:line="240" w:lineRule="auto"/>
              <w:jc w:val="right"/>
              <w:rPr>
                <w:sz w:val="18"/>
                <w:szCs w:val="18"/>
              </w:rPr>
            </w:pPr>
            <w:r w:rsidRPr="00BD77D8">
              <w:rPr>
                <w:sz w:val="18"/>
                <w:szCs w:val="18"/>
              </w:rPr>
              <w:t xml:space="preserve">        (17,514)</w:t>
            </w:r>
          </w:p>
        </w:tc>
        <w:tc>
          <w:tcPr>
            <w:tcW w:w="1139" w:type="dxa"/>
            <w:tcBorders>
              <w:top w:val="nil"/>
              <w:left w:val="nil"/>
              <w:bottom w:val="nil"/>
              <w:right w:val="nil"/>
            </w:tcBorders>
            <w:shd w:val="clear" w:color="auto" w:fill="auto"/>
            <w:vAlign w:val="center"/>
            <w:hideMark/>
          </w:tcPr>
          <w:p w14:paraId="4CA7D60B"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1F445B4D" w14:textId="77777777" w:rsidTr="003057FB">
        <w:trPr>
          <w:trHeight w:val="269"/>
        </w:trPr>
        <w:tc>
          <w:tcPr>
            <w:tcW w:w="0" w:type="auto"/>
            <w:tcBorders>
              <w:top w:val="nil"/>
              <w:left w:val="nil"/>
              <w:bottom w:val="nil"/>
              <w:right w:val="nil"/>
            </w:tcBorders>
            <w:shd w:val="clear" w:color="auto" w:fill="auto"/>
            <w:noWrap/>
            <w:vAlign w:val="bottom"/>
            <w:hideMark/>
          </w:tcPr>
          <w:p w14:paraId="5C1269C1" w14:textId="77777777" w:rsidR="00B9311E" w:rsidRPr="00BD77D8" w:rsidRDefault="00B9311E" w:rsidP="00B9311E">
            <w:pPr>
              <w:spacing w:after="0" w:line="240" w:lineRule="auto"/>
              <w:rPr>
                <w:b/>
                <w:bCs/>
                <w:sz w:val="18"/>
                <w:szCs w:val="18"/>
              </w:rPr>
            </w:pPr>
            <w:r w:rsidRPr="00BD77D8">
              <w:rPr>
                <w:b/>
                <w:bCs/>
                <w:sz w:val="18"/>
                <w:szCs w:val="18"/>
              </w:rPr>
              <w:t>Total administered receipts</w:t>
            </w:r>
          </w:p>
        </w:tc>
        <w:tc>
          <w:tcPr>
            <w:tcW w:w="0" w:type="auto"/>
            <w:tcBorders>
              <w:top w:val="single" w:sz="4" w:space="0" w:color="auto"/>
              <w:left w:val="nil"/>
              <w:bottom w:val="single" w:sz="4" w:space="0" w:color="auto"/>
              <w:right w:val="nil"/>
            </w:tcBorders>
            <w:shd w:val="clear" w:color="auto" w:fill="auto"/>
            <w:vAlign w:val="center"/>
            <w:hideMark/>
          </w:tcPr>
          <w:p w14:paraId="496FF298" w14:textId="77777777" w:rsidR="00B9311E" w:rsidRPr="00BD77D8" w:rsidRDefault="00B9311E" w:rsidP="00B9311E">
            <w:pPr>
              <w:spacing w:after="0" w:line="240" w:lineRule="auto"/>
              <w:jc w:val="right"/>
              <w:rPr>
                <w:b/>
                <w:bCs/>
                <w:sz w:val="18"/>
                <w:szCs w:val="18"/>
              </w:rPr>
            </w:pPr>
            <w:r w:rsidRPr="00BD77D8">
              <w:rPr>
                <w:b/>
                <w:bCs/>
                <w:sz w:val="18"/>
                <w:szCs w:val="18"/>
              </w:rPr>
              <w:t xml:space="preserve">    2,417,231 </w:t>
            </w:r>
          </w:p>
        </w:tc>
        <w:tc>
          <w:tcPr>
            <w:tcW w:w="1139" w:type="dxa"/>
            <w:tcBorders>
              <w:top w:val="single" w:sz="4" w:space="0" w:color="auto"/>
              <w:left w:val="nil"/>
              <w:bottom w:val="single" w:sz="4" w:space="0" w:color="auto"/>
              <w:right w:val="nil"/>
            </w:tcBorders>
            <w:shd w:val="clear" w:color="auto" w:fill="auto"/>
            <w:vAlign w:val="center"/>
            <w:hideMark/>
          </w:tcPr>
          <w:p w14:paraId="66BA971F" w14:textId="77777777" w:rsidR="00B9311E" w:rsidRPr="00BD77D8" w:rsidRDefault="00B9311E" w:rsidP="00B9311E">
            <w:pPr>
              <w:spacing w:after="0" w:line="240" w:lineRule="auto"/>
              <w:jc w:val="right"/>
              <w:rPr>
                <w:b/>
                <w:bCs/>
                <w:sz w:val="18"/>
                <w:szCs w:val="18"/>
              </w:rPr>
            </w:pPr>
            <w:r w:rsidRPr="00BD77D8">
              <w:rPr>
                <w:b/>
                <w:bCs/>
                <w:sz w:val="18"/>
                <w:szCs w:val="18"/>
              </w:rPr>
              <w:t xml:space="preserve">   2,429,198 </w:t>
            </w:r>
          </w:p>
        </w:tc>
      </w:tr>
      <w:tr w:rsidR="00BD77D8" w:rsidRPr="00BD77D8" w14:paraId="51AFC9D4" w14:textId="77777777" w:rsidTr="003057FB">
        <w:trPr>
          <w:trHeight w:val="269"/>
        </w:trPr>
        <w:tc>
          <w:tcPr>
            <w:tcW w:w="0" w:type="auto"/>
            <w:tcBorders>
              <w:top w:val="nil"/>
              <w:left w:val="nil"/>
              <w:bottom w:val="nil"/>
              <w:right w:val="nil"/>
            </w:tcBorders>
            <w:shd w:val="clear" w:color="auto" w:fill="auto"/>
            <w:noWrap/>
            <w:vAlign w:val="bottom"/>
            <w:hideMark/>
          </w:tcPr>
          <w:p w14:paraId="1C6F670D"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center"/>
            <w:hideMark/>
          </w:tcPr>
          <w:p w14:paraId="78D11B89" w14:textId="77777777" w:rsidR="00B9311E" w:rsidRPr="00BD77D8" w:rsidRDefault="00B9311E" w:rsidP="00B9311E">
            <w:pPr>
              <w:spacing w:after="0" w:line="240" w:lineRule="auto"/>
              <w:rPr>
                <w:rFonts w:ascii="Times New Roman" w:hAnsi="Times New Roman" w:cs="Times New Roman"/>
                <w:sz w:val="20"/>
                <w:szCs w:val="20"/>
              </w:rPr>
            </w:pPr>
          </w:p>
        </w:tc>
        <w:tc>
          <w:tcPr>
            <w:tcW w:w="1139" w:type="dxa"/>
            <w:tcBorders>
              <w:top w:val="nil"/>
              <w:left w:val="nil"/>
              <w:bottom w:val="nil"/>
              <w:right w:val="nil"/>
            </w:tcBorders>
            <w:shd w:val="clear" w:color="auto" w:fill="auto"/>
            <w:vAlign w:val="center"/>
            <w:hideMark/>
          </w:tcPr>
          <w:p w14:paraId="091A515B"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42E5BB8B" w14:textId="77777777" w:rsidTr="003057FB">
        <w:trPr>
          <w:trHeight w:val="269"/>
        </w:trPr>
        <w:tc>
          <w:tcPr>
            <w:tcW w:w="0" w:type="auto"/>
            <w:tcBorders>
              <w:top w:val="nil"/>
              <w:left w:val="nil"/>
              <w:bottom w:val="nil"/>
              <w:right w:val="nil"/>
            </w:tcBorders>
            <w:shd w:val="clear" w:color="auto" w:fill="auto"/>
            <w:noWrap/>
            <w:vAlign w:val="bottom"/>
            <w:hideMark/>
          </w:tcPr>
          <w:p w14:paraId="5FDEA594" w14:textId="77777777" w:rsidR="00B9311E" w:rsidRPr="00BD77D8" w:rsidRDefault="00B9311E" w:rsidP="00B9311E">
            <w:pPr>
              <w:spacing w:after="0" w:line="240" w:lineRule="auto"/>
              <w:rPr>
                <w:sz w:val="18"/>
                <w:szCs w:val="18"/>
              </w:rPr>
            </w:pPr>
            <w:r w:rsidRPr="00BD77D8">
              <w:rPr>
                <w:sz w:val="18"/>
                <w:szCs w:val="18"/>
              </w:rPr>
              <w:t>Less: Opening balance of administered revenue receivable</w:t>
            </w:r>
          </w:p>
        </w:tc>
        <w:tc>
          <w:tcPr>
            <w:tcW w:w="0" w:type="auto"/>
            <w:tcBorders>
              <w:top w:val="nil"/>
              <w:left w:val="nil"/>
              <w:bottom w:val="nil"/>
              <w:right w:val="nil"/>
            </w:tcBorders>
            <w:shd w:val="clear" w:color="auto" w:fill="auto"/>
            <w:vAlign w:val="center"/>
            <w:hideMark/>
          </w:tcPr>
          <w:p w14:paraId="7B82F741"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9" w:type="dxa"/>
            <w:tcBorders>
              <w:top w:val="nil"/>
              <w:left w:val="nil"/>
              <w:bottom w:val="nil"/>
              <w:right w:val="nil"/>
            </w:tcBorders>
            <w:shd w:val="clear" w:color="auto" w:fill="auto"/>
            <w:vAlign w:val="center"/>
            <w:hideMark/>
          </w:tcPr>
          <w:p w14:paraId="6A54664E"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2AACD39B" w14:textId="77777777" w:rsidTr="003057FB">
        <w:trPr>
          <w:trHeight w:val="269"/>
        </w:trPr>
        <w:tc>
          <w:tcPr>
            <w:tcW w:w="0" w:type="auto"/>
            <w:tcBorders>
              <w:top w:val="nil"/>
              <w:left w:val="nil"/>
              <w:bottom w:val="nil"/>
              <w:right w:val="nil"/>
            </w:tcBorders>
            <w:shd w:val="clear" w:color="auto" w:fill="auto"/>
            <w:noWrap/>
            <w:vAlign w:val="bottom"/>
            <w:hideMark/>
          </w:tcPr>
          <w:p w14:paraId="02588AFB" w14:textId="77777777" w:rsidR="00B9311E" w:rsidRPr="00BD77D8" w:rsidRDefault="00B9311E" w:rsidP="00B9311E">
            <w:pPr>
              <w:spacing w:after="0" w:line="240" w:lineRule="auto"/>
              <w:rPr>
                <w:sz w:val="18"/>
                <w:szCs w:val="18"/>
              </w:rPr>
            </w:pPr>
            <w:r w:rsidRPr="00BD77D8">
              <w:rPr>
                <w:sz w:val="18"/>
                <w:szCs w:val="18"/>
              </w:rPr>
              <w:t>Plus: Closing balance of administered revenue receivable</w:t>
            </w:r>
          </w:p>
        </w:tc>
        <w:tc>
          <w:tcPr>
            <w:tcW w:w="0" w:type="auto"/>
            <w:tcBorders>
              <w:top w:val="nil"/>
              <w:left w:val="nil"/>
              <w:bottom w:val="nil"/>
              <w:right w:val="nil"/>
            </w:tcBorders>
            <w:shd w:val="clear" w:color="auto" w:fill="auto"/>
            <w:vAlign w:val="center"/>
            <w:hideMark/>
          </w:tcPr>
          <w:p w14:paraId="19D87D9A"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39" w:type="dxa"/>
            <w:tcBorders>
              <w:top w:val="nil"/>
              <w:left w:val="nil"/>
              <w:bottom w:val="nil"/>
              <w:right w:val="nil"/>
            </w:tcBorders>
            <w:shd w:val="clear" w:color="auto" w:fill="auto"/>
            <w:vAlign w:val="center"/>
            <w:hideMark/>
          </w:tcPr>
          <w:p w14:paraId="21573C30" w14:textId="77777777" w:rsidR="00B9311E" w:rsidRPr="00BD77D8" w:rsidRDefault="00B9311E" w:rsidP="00B9311E">
            <w:pPr>
              <w:spacing w:after="0" w:line="240" w:lineRule="auto"/>
              <w:jc w:val="right"/>
              <w:rPr>
                <w:sz w:val="18"/>
                <w:szCs w:val="18"/>
              </w:rPr>
            </w:pPr>
            <w:r w:rsidRPr="00BD77D8">
              <w:rPr>
                <w:sz w:val="18"/>
                <w:szCs w:val="18"/>
              </w:rPr>
              <w:t xml:space="preserve">       (14,801)</w:t>
            </w:r>
          </w:p>
        </w:tc>
      </w:tr>
      <w:tr w:rsidR="00BD77D8" w:rsidRPr="00BD77D8" w14:paraId="71A46794" w14:textId="77777777" w:rsidTr="003057FB">
        <w:trPr>
          <w:trHeight w:val="269"/>
        </w:trPr>
        <w:tc>
          <w:tcPr>
            <w:tcW w:w="0" w:type="auto"/>
            <w:tcBorders>
              <w:top w:val="nil"/>
              <w:left w:val="nil"/>
              <w:bottom w:val="nil"/>
              <w:right w:val="nil"/>
            </w:tcBorders>
            <w:shd w:val="clear" w:color="auto" w:fill="auto"/>
            <w:noWrap/>
            <w:vAlign w:val="bottom"/>
            <w:hideMark/>
          </w:tcPr>
          <w:p w14:paraId="433EB6CD" w14:textId="77777777" w:rsidR="00B9311E" w:rsidRPr="00BD77D8" w:rsidRDefault="00B9311E" w:rsidP="00B9311E">
            <w:pPr>
              <w:spacing w:after="0" w:line="240" w:lineRule="auto"/>
              <w:rPr>
                <w:sz w:val="18"/>
                <w:szCs w:val="18"/>
              </w:rPr>
            </w:pPr>
            <w:r w:rsidRPr="00BD77D8">
              <w:rPr>
                <w:sz w:val="18"/>
                <w:szCs w:val="18"/>
              </w:rPr>
              <w:t>Plus: Opening balance of departmental services revenue payable</w:t>
            </w:r>
          </w:p>
        </w:tc>
        <w:tc>
          <w:tcPr>
            <w:tcW w:w="0" w:type="auto"/>
            <w:tcBorders>
              <w:top w:val="nil"/>
              <w:left w:val="nil"/>
              <w:bottom w:val="nil"/>
              <w:right w:val="nil"/>
            </w:tcBorders>
            <w:shd w:val="clear" w:color="auto" w:fill="auto"/>
            <w:vAlign w:val="center"/>
            <w:hideMark/>
          </w:tcPr>
          <w:p w14:paraId="57F7B9FA" w14:textId="77777777" w:rsidR="00B9311E" w:rsidRPr="00BD77D8" w:rsidRDefault="00B9311E" w:rsidP="00B9311E">
            <w:pPr>
              <w:spacing w:after="0" w:line="240" w:lineRule="auto"/>
              <w:jc w:val="right"/>
              <w:rPr>
                <w:sz w:val="18"/>
                <w:szCs w:val="18"/>
              </w:rPr>
            </w:pPr>
            <w:r w:rsidRPr="00BD77D8">
              <w:rPr>
                <w:sz w:val="18"/>
                <w:szCs w:val="18"/>
              </w:rPr>
              <w:t xml:space="preserve">          20,972 </w:t>
            </w:r>
          </w:p>
        </w:tc>
        <w:tc>
          <w:tcPr>
            <w:tcW w:w="1139" w:type="dxa"/>
            <w:tcBorders>
              <w:top w:val="nil"/>
              <w:left w:val="nil"/>
              <w:bottom w:val="nil"/>
              <w:right w:val="nil"/>
            </w:tcBorders>
            <w:shd w:val="clear" w:color="auto" w:fill="auto"/>
            <w:vAlign w:val="center"/>
            <w:hideMark/>
          </w:tcPr>
          <w:p w14:paraId="55A68E0D"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4F8F7DE0" w14:textId="77777777" w:rsidTr="003057FB">
        <w:trPr>
          <w:trHeight w:val="269"/>
        </w:trPr>
        <w:tc>
          <w:tcPr>
            <w:tcW w:w="0" w:type="auto"/>
            <w:tcBorders>
              <w:top w:val="nil"/>
              <w:left w:val="nil"/>
              <w:bottom w:val="nil"/>
              <w:right w:val="nil"/>
            </w:tcBorders>
            <w:shd w:val="clear" w:color="auto" w:fill="auto"/>
            <w:noWrap/>
            <w:vAlign w:val="bottom"/>
            <w:hideMark/>
          </w:tcPr>
          <w:p w14:paraId="4B269752" w14:textId="77777777" w:rsidR="00B9311E" w:rsidRPr="00BD77D8" w:rsidRDefault="00B9311E" w:rsidP="00B9311E">
            <w:pPr>
              <w:spacing w:after="0" w:line="240" w:lineRule="auto"/>
              <w:rPr>
                <w:sz w:val="18"/>
                <w:szCs w:val="18"/>
              </w:rPr>
            </w:pPr>
            <w:r w:rsidRPr="00BD77D8">
              <w:rPr>
                <w:sz w:val="18"/>
                <w:szCs w:val="18"/>
              </w:rPr>
              <w:t>Less: Closing balance of departmental services revenue payable</w:t>
            </w:r>
          </w:p>
        </w:tc>
        <w:tc>
          <w:tcPr>
            <w:tcW w:w="0" w:type="auto"/>
            <w:tcBorders>
              <w:top w:val="nil"/>
              <w:left w:val="nil"/>
              <w:bottom w:val="nil"/>
              <w:right w:val="nil"/>
            </w:tcBorders>
            <w:shd w:val="clear" w:color="auto" w:fill="auto"/>
            <w:vAlign w:val="center"/>
            <w:hideMark/>
          </w:tcPr>
          <w:p w14:paraId="2287F6B0" w14:textId="77777777" w:rsidR="00B9311E" w:rsidRPr="00BD77D8" w:rsidRDefault="00B9311E" w:rsidP="00B9311E">
            <w:pPr>
              <w:spacing w:after="0" w:line="240" w:lineRule="auto"/>
              <w:jc w:val="right"/>
              <w:rPr>
                <w:sz w:val="18"/>
                <w:szCs w:val="18"/>
              </w:rPr>
            </w:pPr>
            <w:r w:rsidRPr="00BD77D8">
              <w:rPr>
                <w:sz w:val="18"/>
                <w:szCs w:val="18"/>
              </w:rPr>
              <w:t xml:space="preserve">        (34,592)</w:t>
            </w:r>
          </w:p>
        </w:tc>
        <w:tc>
          <w:tcPr>
            <w:tcW w:w="1139" w:type="dxa"/>
            <w:tcBorders>
              <w:top w:val="nil"/>
              <w:left w:val="nil"/>
              <w:bottom w:val="single" w:sz="4" w:space="0" w:color="auto"/>
              <w:right w:val="nil"/>
            </w:tcBorders>
            <w:shd w:val="clear" w:color="auto" w:fill="auto"/>
            <w:vAlign w:val="center"/>
            <w:hideMark/>
          </w:tcPr>
          <w:p w14:paraId="550F85DE" w14:textId="77777777" w:rsidR="00B9311E" w:rsidRPr="00BD77D8" w:rsidRDefault="00B9311E" w:rsidP="00B9311E">
            <w:pPr>
              <w:spacing w:after="0" w:line="240" w:lineRule="auto"/>
              <w:jc w:val="right"/>
              <w:rPr>
                <w:sz w:val="18"/>
                <w:szCs w:val="18"/>
              </w:rPr>
            </w:pPr>
            <w:r w:rsidRPr="00BD77D8">
              <w:rPr>
                <w:sz w:val="18"/>
                <w:szCs w:val="18"/>
              </w:rPr>
              <w:t xml:space="preserve">       (20,921)</w:t>
            </w:r>
          </w:p>
        </w:tc>
      </w:tr>
      <w:tr w:rsidR="00BD77D8" w:rsidRPr="00BD77D8" w14:paraId="290B2599" w14:textId="77777777" w:rsidTr="003057FB">
        <w:trPr>
          <w:trHeight w:val="269"/>
        </w:trPr>
        <w:tc>
          <w:tcPr>
            <w:tcW w:w="0" w:type="auto"/>
            <w:tcBorders>
              <w:top w:val="nil"/>
              <w:left w:val="nil"/>
              <w:bottom w:val="nil"/>
              <w:right w:val="nil"/>
            </w:tcBorders>
            <w:shd w:val="clear" w:color="auto" w:fill="auto"/>
            <w:noWrap/>
            <w:vAlign w:val="bottom"/>
            <w:hideMark/>
          </w:tcPr>
          <w:p w14:paraId="4EDCC740" w14:textId="77777777" w:rsidR="00B9311E" w:rsidRPr="00BD77D8" w:rsidRDefault="00B9311E" w:rsidP="00B9311E">
            <w:pPr>
              <w:spacing w:after="0" w:line="240" w:lineRule="auto"/>
              <w:rPr>
                <w:b/>
                <w:bCs/>
                <w:sz w:val="18"/>
                <w:szCs w:val="18"/>
              </w:rPr>
            </w:pPr>
            <w:r w:rsidRPr="00BD77D8">
              <w:rPr>
                <w:b/>
                <w:bCs/>
                <w:sz w:val="18"/>
                <w:szCs w:val="18"/>
              </w:rPr>
              <w:t>Administered income recognised in Note G1-1</w:t>
            </w:r>
          </w:p>
        </w:tc>
        <w:tc>
          <w:tcPr>
            <w:tcW w:w="0" w:type="auto"/>
            <w:tcBorders>
              <w:top w:val="single" w:sz="4" w:space="0" w:color="auto"/>
              <w:left w:val="nil"/>
              <w:bottom w:val="single" w:sz="4" w:space="0" w:color="auto"/>
              <w:right w:val="nil"/>
            </w:tcBorders>
            <w:shd w:val="clear" w:color="auto" w:fill="auto"/>
            <w:vAlign w:val="center"/>
            <w:hideMark/>
          </w:tcPr>
          <w:p w14:paraId="06D4CA08" w14:textId="77777777" w:rsidR="00B9311E" w:rsidRPr="00BD77D8" w:rsidRDefault="00B9311E" w:rsidP="00B9311E">
            <w:pPr>
              <w:spacing w:after="0" w:line="240" w:lineRule="auto"/>
              <w:jc w:val="right"/>
              <w:rPr>
                <w:b/>
                <w:bCs/>
                <w:sz w:val="18"/>
                <w:szCs w:val="18"/>
              </w:rPr>
            </w:pPr>
            <w:r w:rsidRPr="00BD77D8">
              <w:rPr>
                <w:b/>
                <w:bCs/>
                <w:sz w:val="18"/>
                <w:szCs w:val="18"/>
              </w:rPr>
              <w:t xml:space="preserve">    2,403,611 </w:t>
            </w:r>
          </w:p>
        </w:tc>
        <w:tc>
          <w:tcPr>
            <w:tcW w:w="1139" w:type="dxa"/>
            <w:tcBorders>
              <w:top w:val="single" w:sz="4" w:space="0" w:color="auto"/>
              <w:left w:val="nil"/>
              <w:bottom w:val="single" w:sz="4" w:space="0" w:color="auto"/>
              <w:right w:val="nil"/>
            </w:tcBorders>
            <w:shd w:val="clear" w:color="auto" w:fill="auto"/>
            <w:vAlign w:val="center"/>
            <w:hideMark/>
          </w:tcPr>
          <w:p w14:paraId="2C5737F9" w14:textId="77777777" w:rsidR="00B9311E" w:rsidRPr="00BD77D8" w:rsidRDefault="00B9311E" w:rsidP="00B9311E">
            <w:pPr>
              <w:spacing w:after="0" w:line="240" w:lineRule="auto"/>
              <w:jc w:val="right"/>
              <w:rPr>
                <w:b/>
                <w:bCs/>
                <w:sz w:val="18"/>
                <w:szCs w:val="18"/>
              </w:rPr>
            </w:pPr>
            <w:r w:rsidRPr="00BD77D8">
              <w:rPr>
                <w:b/>
                <w:bCs/>
                <w:sz w:val="18"/>
                <w:szCs w:val="18"/>
              </w:rPr>
              <w:t xml:space="preserve">   2,393,476 </w:t>
            </w:r>
          </w:p>
        </w:tc>
      </w:tr>
      <w:tr w:rsidR="00BD77D8" w:rsidRPr="00BD77D8" w14:paraId="2872B339" w14:textId="77777777" w:rsidTr="003057FB">
        <w:trPr>
          <w:trHeight w:val="269"/>
        </w:trPr>
        <w:tc>
          <w:tcPr>
            <w:tcW w:w="0" w:type="auto"/>
            <w:tcBorders>
              <w:top w:val="nil"/>
              <w:left w:val="nil"/>
              <w:bottom w:val="nil"/>
              <w:right w:val="nil"/>
            </w:tcBorders>
            <w:shd w:val="clear" w:color="auto" w:fill="auto"/>
            <w:noWrap/>
            <w:vAlign w:val="bottom"/>
            <w:hideMark/>
          </w:tcPr>
          <w:p w14:paraId="2BAE25C4" w14:textId="77777777" w:rsidR="00B9311E" w:rsidRPr="00BD77D8" w:rsidRDefault="00B9311E" w:rsidP="00B9311E">
            <w:pPr>
              <w:spacing w:after="0" w:line="240" w:lineRule="auto"/>
              <w:jc w:val="right"/>
              <w:rPr>
                <w:b/>
                <w:bCs/>
                <w:sz w:val="18"/>
                <w:szCs w:val="18"/>
              </w:rPr>
            </w:pPr>
          </w:p>
        </w:tc>
        <w:tc>
          <w:tcPr>
            <w:tcW w:w="0" w:type="auto"/>
            <w:tcBorders>
              <w:top w:val="nil"/>
              <w:left w:val="nil"/>
              <w:bottom w:val="nil"/>
              <w:right w:val="nil"/>
            </w:tcBorders>
            <w:shd w:val="clear" w:color="auto" w:fill="auto"/>
            <w:vAlign w:val="center"/>
            <w:hideMark/>
          </w:tcPr>
          <w:p w14:paraId="52EB991C" w14:textId="77777777" w:rsidR="00B9311E" w:rsidRPr="00BD77D8" w:rsidRDefault="00B9311E" w:rsidP="00B9311E">
            <w:pPr>
              <w:spacing w:after="0" w:line="240" w:lineRule="auto"/>
              <w:rPr>
                <w:rFonts w:ascii="Times New Roman" w:hAnsi="Times New Roman" w:cs="Times New Roman"/>
                <w:sz w:val="20"/>
                <w:szCs w:val="20"/>
              </w:rPr>
            </w:pPr>
          </w:p>
        </w:tc>
        <w:tc>
          <w:tcPr>
            <w:tcW w:w="1139" w:type="dxa"/>
            <w:tcBorders>
              <w:top w:val="nil"/>
              <w:left w:val="nil"/>
              <w:bottom w:val="nil"/>
              <w:right w:val="nil"/>
            </w:tcBorders>
            <w:shd w:val="clear" w:color="auto" w:fill="auto"/>
            <w:vAlign w:val="center"/>
            <w:hideMark/>
          </w:tcPr>
          <w:p w14:paraId="335D96E6"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3264F06A" w14:textId="77777777" w:rsidTr="003057FB">
        <w:trPr>
          <w:trHeight w:val="454"/>
        </w:trPr>
        <w:tc>
          <w:tcPr>
            <w:tcW w:w="0" w:type="auto"/>
            <w:tcBorders>
              <w:top w:val="nil"/>
              <w:left w:val="nil"/>
              <w:bottom w:val="nil"/>
              <w:right w:val="nil"/>
            </w:tcBorders>
            <w:shd w:val="clear" w:color="000000" w:fill="FFFFFF"/>
            <w:vAlign w:val="bottom"/>
            <w:hideMark/>
          </w:tcPr>
          <w:p w14:paraId="535257FD" w14:textId="77777777" w:rsidR="00B9311E" w:rsidRPr="00BD77D8" w:rsidRDefault="00B9311E" w:rsidP="00B9311E">
            <w:pPr>
              <w:spacing w:after="0" w:line="240" w:lineRule="auto"/>
              <w:rPr>
                <w:b/>
                <w:bCs/>
                <w:sz w:val="18"/>
                <w:szCs w:val="18"/>
              </w:rPr>
            </w:pPr>
            <w:r w:rsidRPr="00BD77D8">
              <w:rPr>
                <w:b/>
                <w:bCs/>
                <w:sz w:val="18"/>
                <w:szCs w:val="18"/>
              </w:rPr>
              <w:t>Reconciliation of Payments from Consolidated Fund to administered equity adjustment</w:t>
            </w:r>
          </w:p>
        </w:tc>
        <w:tc>
          <w:tcPr>
            <w:tcW w:w="0" w:type="auto"/>
            <w:tcBorders>
              <w:top w:val="nil"/>
              <w:left w:val="nil"/>
              <w:bottom w:val="nil"/>
              <w:right w:val="nil"/>
            </w:tcBorders>
            <w:shd w:val="clear" w:color="000000" w:fill="FFFFFF"/>
            <w:noWrap/>
            <w:vAlign w:val="center"/>
            <w:hideMark/>
          </w:tcPr>
          <w:p w14:paraId="19066D4A" w14:textId="77777777" w:rsidR="00B9311E" w:rsidRPr="00BD77D8" w:rsidRDefault="00B9311E" w:rsidP="00B9311E">
            <w:pPr>
              <w:spacing w:after="0" w:line="240" w:lineRule="auto"/>
              <w:jc w:val="center"/>
              <w:rPr>
                <w:b/>
                <w:bCs/>
                <w:sz w:val="18"/>
                <w:szCs w:val="18"/>
              </w:rPr>
            </w:pPr>
            <w:r w:rsidRPr="00BD77D8">
              <w:rPr>
                <w:b/>
                <w:bCs/>
                <w:sz w:val="18"/>
                <w:szCs w:val="18"/>
              </w:rPr>
              <w:t> </w:t>
            </w:r>
          </w:p>
        </w:tc>
        <w:tc>
          <w:tcPr>
            <w:tcW w:w="1139" w:type="dxa"/>
            <w:tcBorders>
              <w:top w:val="nil"/>
              <w:left w:val="nil"/>
              <w:bottom w:val="nil"/>
              <w:right w:val="nil"/>
            </w:tcBorders>
            <w:shd w:val="clear" w:color="000000" w:fill="FFFFFF"/>
            <w:noWrap/>
            <w:vAlign w:val="center"/>
            <w:hideMark/>
          </w:tcPr>
          <w:p w14:paraId="269B6456" w14:textId="77777777" w:rsidR="00B9311E" w:rsidRPr="00BD77D8" w:rsidRDefault="00B9311E" w:rsidP="00B9311E">
            <w:pPr>
              <w:spacing w:after="0" w:line="240" w:lineRule="auto"/>
              <w:rPr>
                <w:sz w:val="18"/>
                <w:szCs w:val="18"/>
              </w:rPr>
            </w:pPr>
            <w:r w:rsidRPr="00BD77D8">
              <w:rPr>
                <w:sz w:val="18"/>
                <w:szCs w:val="18"/>
              </w:rPr>
              <w:t> </w:t>
            </w:r>
          </w:p>
        </w:tc>
      </w:tr>
      <w:tr w:rsidR="00BD77D8" w:rsidRPr="00BD77D8" w14:paraId="49E7E6F6" w14:textId="77777777" w:rsidTr="003057FB">
        <w:trPr>
          <w:trHeight w:val="269"/>
        </w:trPr>
        <w:tc>
          <w:tcPr>
            <w:tcW w:w="0" w:type="auto"/>
            <w:tcBorders>
              <w:top w:val="nil"/>
              <w:left w:val="nil"/>
              <w:bottom w:val="nil"/>
              <w:right w:val="nil"/>
            </w:tcBorders>
            <w:shd w:val="clear" w:color="000000" w:fill="FFFFFF"/>
            <w:noWrap/>
            <w:vAlign w:val="bottom"/>
            <w:hideMark/>
          </w:tcPr>
          <w:p w14:paraId="6567DCAF" w14:textId="77777777" w:rsidR="00B9311E" w:rsidRPr="00BD77D8" w:rsidRDefault="00B9311E" w:rsidP="00B9311E">
            <w:pPr>
              <w:spacing w:after="0" w:line="240" w:lineRule="auto"/>
              <w:rPr>
                <w:sz w:val="18"/>
                <w:szCs w:val="18"/>
              </w:rPr>
            </w:pPr>
            <w:r w:rsidRPr="00BD77D8">
              <w:rPr>
                <w:sz w:val="18"/>
                <w:szCs w:val="18"/>
              </w:rPr>
              <w:t>Lapsed appropriation</w:t>
            </w:r>
          </w:p>
        </w:tc>
        <w:tc>
          <w:tcPr>
            <w:tcW w:w="0" w:type="auto"/>
            <w:tcBorders>
              <w:top w:val="nil"/>
              <w:left w:val="nil"/>
              <w:bottom w:val="nil"/>
              <w:right w:val="nil"/>
            </w:tcBorders>
            <w:shd w:val="clear" w:color="000000" w:fill="FFFFFF"/>
            <w:vAlign w:val="center"/>
            <w:hideMark/>
          </w:tcPr>
          <w:p w14:paraId="5C8A1F08" w14:textId="77777777" w:rsidR="00B9311E" w:rsidRPr="00BD77D8" w:rsidRDefault="00B9311E" w:rsidP="00B9311E">
            <w:pPr>
              <w:spacing w:after="0" w:line="240" w:lineRule="auto"/>
              <w:jc w:val="right"/>
              <w:rPr>
                <w:sz w:val="18"/>
                <w:szCs w:val="18"/>
              </w:rPr>
            </w:pPr>
            <w:r w:rsidRPr="00BD77D8">
              <w:rPr>
                <w:sz w:val="18"/>
                <w:szCs w:val="18"/>
              </w:rPr>
              <w:t xml:space="preserve">          (1,605)</w:t>
            </w:r>
          </w:p>
        </w:tc>
        <w:tc>
          <w:tcPr>
            <w:tcW w:w="1139" w:type="dxa"/>
            <w:tcBorders>
              <w:top w:val="nil"/>
              <w:left w:val="nil"/>
              <w:bottom w:val="nil"/>
              <w:right w:val="nil"/>
            </w:tcBorders>
            <w:shd w:val="clear" w:color="000000" w:fill="FFFFFF"/>
            <w:vAlign w:val="center"/>
            <w:hideMark/>
          </w:tcPr>
          <w:p w14:paraId="39D5609B"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6319DAC7" w14:textId="77777777" w:rsidTr="003057FB">
        <w:trPr>
          <w:trHeight w:val="269"/>
        </w:trPr>
        <w:tc>
          <w:tcPr>
            <w:tcW w:w="0" w:type="auto"/>
            <w:tcBorders>
              <w:top w:val="nil"/>
              <w:left w:val="nil"/>
              <w:bottom w:val="nil"/>
              <w:right w:val="nil"/>
            </w:tcBorders>
            <w:shd w:val="clear" w:color="000000" w:fill="FFFFFF"/>
            <w:noWrap/>
            <w:vAlign w:val="bottom"/>
            <w:hideMark/>
          </w:tcPr>
          <w:p w14:paraId="60943E3C" w14:textId="77777777" w:rsidR="00B9311E" w:rsidRPr="00BD77D8" w:rsidRDefault="00B9311E" w:rsidP="00B9311E">
            <w:pPr>
              <w:spacing w:after="0" w:line="240" w:lineRule="auto"/>
              <w:rPr>
                <w:b/>
                <w:bCs/>
                <w:sz w:val="18"/>
                <w:szCs w:val="18"/>
              </w:rPr>
            </w:pPr>
            <w:r w:rsidRPr="00BD77D8">
              <w:rPr>
                <w:b/>
                <w:bCs/>
                <w:sz w:val="18"/>
                <w:szCs w:val="18"/>
              </w:rPr>
              <w:t>Administered equity adjustment</w:t>
            </w:r>
          </w:p>
        </w:tc>
        <w:tc>
          <w:tcPr>
            <w:tcW w:w="0" w:type="auto"/>
            <w:tcBorders>
              <w:top w:val="single" w:sz="4" w:space="0" w:color="auto"/>
              <w:left w:val="nil"/>
              <w:bottom w:val="single" w:sz="4" w:space="0" w:color="auto"/>
              <w:right w:val="nil"/>
            </w:tcBorders>
            <w:shd w:val="clear" w:color="000000" w:fill="FFFFFF"/>
            <w:vAlign w:val="center"/>
            <w:hideMark/>
          </w:tcPr>
          <w:p w14:paraId="32247FF4" w14:textId="77777777" w:rsidR="00B9311E" w:rsidRPr="00BD77D8" w:rsidRDefault="00B9311E" w:rsidP="00B9311E">
            <w:pPr>
              <w:spacing w:after="0" w:line="240" w:lineRule="auto"/>
              <w:jc w:val="right"/>
              <w:rPr>
                <w:b/>
                <w:bCs/>
                <w:sz w:val="18"/>
                <w:szCs w:val="18"/>
              </w:rPr>
            </w:pPr>
            <w:r w:rsidRPr="00BD77D8">
              <w:rPr>
                <w:b/>
                <w:bCs/>
                <w:sz w:val="18"/>
                <w:szCs w:val="18"/>
              </w:rPr>
              <w:t xml:space="preserve">          (1,605)</w:t>
            </w:r>
          </w:p>
        </w:tc>
        <w:tc>
          <w:tcPr>
            <w:tcW w:w="1139" w:type="dxa"/>
            <w:tcBorders>
              <w:top w:val="single" w:sz="4" w:space="0" w:color="auto"/>
              <w:left w:val="nil"/>
              <w:bottom w:val="single" w:sz="4" w:space="0" w:color="auto"/>
              <w:right w:val="nil"/>
            </w:tcBorders>
            <w:shd w:val="clear" w:color="000000" w:fill="FFFFFF"/>
            <w:vAlign w:val="center"/>
            <w:hideMark/>
          </w:tcPr>
          <w:p w14:paraId="3D4D8CA8"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5A4643C6" w14:textId="77777777" w:rsidTr="003057FB">
        <w:trPr>
          <w:trHeight w:val="269"/>
        </w:trPr>
        <w:tc>
          <w:tcPr>
            <w:tcW w:w="0" w:type="auto"/>
            <w:tcBorders>
              <w:top w:val="nil"/>
              <w:left w:val="nil"/>
              <w:bottom w:val="nil"/>
              <w:right w:val="nil"/>
            </w:tcBorders>
            <w:shd w:val="clear" w:color="000000" w:fill="FFFFFF"/>
            <w:noWrap/>
            <w:vAlign w:val="bottom"/>
            <w:hideMark/>
          </w:tcPr>
          <w:p w14:paraId="71EAE4A6" w14:textId="77777777" w:rsidR="00B9311E" w:rsidRPr="00BD77D8" w:rsidRDefault="00B9311E" w:rsidP="00B9311E">
            <w:pPr>
              <w:spacing w:after="0" w:line="240" w:lineRule="auto"/>
              <w:rPr>
                <w:b/>
                <w:bCs/>
                <w:sz w:val="18"/>
                <w:szCs w:val="18"/>
              </w:rPr>
            </w:pPr>
            <w:r w:rsidRPr="00BD77D8">
              <w:rPr>
                <w:b/>
                <w:bCs/>
                <w:sz w:val="18"/>
                <w:szCs w:val="18"/>
              </w:rPr>
              <w:t> </w:t>
            </w:r>
          </w:p>
        </w:tc>
        <w:tc>
          <w:tcPr>
            <w:tcW w:w="0" w:type="auto"/>
            <w:tcBorders>
              <w:top w:val="nil"/>
              <w:left w:val="nil"/>
              <w:bottom w:val="nil"/>
              <w:right w:val="nil"/>
            </w:tcBorders>
            <w:shd w:val="clear" w:color="000000" w:fill="FFFFFF"/>
            <w:vAlign w:val="center"/>
            <w:hideMark/>
          </w:tcPr>
          <w:p w14:paraId="5B52A4C5" w14:textId="77777777" w:rsidR="00B9311E" w:rsidRPr="00BD77D8" w:rsidRDefault="00B9311E" w:rsidP="00B9311E">
            <w:pPr>
              <w:spacing w:after="0" w:line="240" w:lineRule="auto"/>
              <w:jc w:val="right"/>
              <w:rPr>
                <w:sz w:val="18"/>
                <w:szCs w:val="18"/>
              </w:rPr>
            </w:pPr>
            <w:r w:rsidRPr="00BD77D8">
              <w:rPr>
                <w:sz w:val="18"/>
                <w:szCs w:val="18"/>
              </w:rPr>
              <w:t> </w:t>
            </w:r>
          </w:p>
        </w:tc>
        <w:tc>
          <w:tcPr>
            <w:tcW w:w="1139" w:type="dxa"/>
            <w:tcBorders>
              <w:top w:val="nil"/>
              <w:left w:val="nil"/>
              <w:bottom w:val="nil"/>
              <w:right w:val="nil"/>
            </w:tcBorders>
            <w:shd w:val="clear" w:color="000000" w:fill="FFFFFF"/>
            <w:vAlign w:val="center"/>
            <w:hideMark/>
          </w:tcPr>
          <w:p w14:paraId="0C880C23" w14:textId="77777777" w:rsidR="00B9311E" w:rsidRPr="00BD77D8" w:rsidRDefault="00B9311E" w:rsidP="00B9311E">
            <w:pPr>
              <w:spacing w:after="0" w:line="240" w:lineRule="auto"/>
              <w:jc w:val="right"/>
              <w:rPr>
                <w:sz w:val="18"/>
                <w:szCs w:val="18"/>
              </w:rPr>
            </w:pPr>
            <w:r w:rsidRPr="00BD77D8">
              <w:rPr>
                <w:sz w:val="18"/>
                <w:szCs w:val="18"/>
              </w:rPr>
              <w:t> </w:t>
            </w:r>
          </w:p>
        </w:tc>
      </w:tr>
      <w:tr w:rsidR="00BD77D8" w:rsidRPr="00BD77D8" w14:paraId="7A7AEB68" w14:textId="77777777" w:rsidTr="003057FB">
        <w:trPr>
          <w:trHeight w:val="269"/>
        </w:trPr>
        <w:tc>
          <w:tcPr>
            <w:tcW w:w="0" w:type="auto"/>
            <w:tcBorders>
              <w:top w:val="nil"/>
              <w:left w:val="nil"/>
              <w:bottom w:val="nil"/>
              <w:right w:val="nil"/>
            </w:tcBorders>
            <w:shd w:val="clear" w:color="000000" w:fill="FFFFFF"/>
            <w:noWrap/>
            <w:vAlign w:val="bottom"/>
            <w:hideMark/>
          </w:tcPr>
          <w:p w14:paraId="54A2F173" w14:textId="77777777" w:rsidR="00B9311E" w:rsidRPr="00BD77D8" w:rsidRDefault="00B9311E" w:rsidP="00B9311E">
            <w:pPr>
              <w:spacing w:after="0" w:line="240" w:lineRule="auto"/>
              <w:rPr>
                <w:b/>
                <w:bCs/>
                <w:sz w:val="18"/>
                <w:szCs w:val="18"/>
              </w:rPr>
            </w:pPr>
            <w:r w:rsidRPr="00BD77D8">
              <w:rPr>
                <w:b/>
                <w:bCs/>
                <w:sz w:val="18"/>
                <w:szCs w:val="18"/>
              </w:rPr>
              <w:t>Administered equity adjustment recognised in contributed equity</w:t>
            </w:r>
          </w:p>
        </w:tc>
        <w:tc>
          <w:tcPr>
            <w:tcW w:w="0" w:type="auto"/>
            <w:tcBorders>
              <w:top w:val="single" w:sz="4" w:space="0" w:color="auto"/>
              <w:left w:val="nil"/>
              <w:bottom w:val="single" w:sz="4" w:space="0" w:color="auto"/>
              <w:right w:val="nil"/>
            </w:tcBorders>
            <w:shd w:val="clear" w:color="000000" w:fill="FFFFFF"/>
            <w:vAlign w:val="center"/>
            <w:hideMark/>
          </w:tcPr>
          <w:p w14:paraId="0A159F8C" w14:textId="77777777" w:rsidR="00B9311E" w:rsidRPr="00BD77D8" w:rsidRDefault="00B9311E" w:rsidP="00B9311E">
            <w:pPr>
              <w:spacing w:after="0" w:line="240" w:lineRule="auto"/>
              <w:jc w:val="right"/>
              <w:rPr>
                <w:b/>
                <w:bCs/>
                <w:sz w:val="18"/>
                <w:szCs w:val="18"/>
              </w:rPr>
            </w:pPr>
            <w:r w:rsidRPr="00BD77D8">
              <w:rPr>
                <w:b/>
                <w:bCs/>
                <w:sz w:val="18"/>
                <w:szCs w:val="18"/>
              </w:rPr>
              <w:t xml:space="preserve">          (1,605)</w:t>
            </w:r>
          </w:p>
        </w:tc>
        <w:tc>
          <w:tcPr>
            <w:tcW w:w="1139" w:type="dxa"/>
            <w:tcBorders>
              <w:top w:val="single" w:sz="4" w:space="0" w:color="auto"/>
              <w:left w:val="nil"/>
              <w:bottom w:val="single" w:sz="4" w:space="0" w:color="auto"/>
              <w:right w:val="nil"/>
            </w:tcBorders>
            <w:shd w:val="clear" w:color="000000" w:fill="FFFFFF"/>
            <w:vAlign w:val="center"/>
            <w:hideMark/>
          </w:tcPr>
          <w:p w14:paraId="7A967E5F"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bl>
    <w:p w14:paraId="736925A2" w14:textId="77777777" w:rsidR="00B9311E" w:rsidRPr="00BD77D8" w:rsidRDefault="00B9311E" w:rsidP="00B9311E">
      <w:pPr>
        <w:spacing w:after="0" w:line="20" w:lineRule="exact"/>
        <w:rPr>
          <w:rFonts w:eastAsia="PMingLiU"/>
          <w:b/>
          <w:sz w:val="18"/>
          <w:szCs w:val="18"/>
          <w:lang w:eastAsia="en-US"/>
        </w:rPr>
      </w:pPr>
    </w:p>
    <w:p w14:paraId="694E64DF" w14:textId="77777777" w:rsidR="00B9311E" w:rsidRPr="00BD77D8" w:rsidRDefault="00B9311E" w:rsidP="00727CAE">
      <w:pPr>
        <w:spacing w:before="240" w:after="0" w:line="206" w:lineRule="exact"/>
        <w:ind w:right="74"/>
        <w:jc w:val="both"/>
        <w:textAlignment w:val="baseline"/>
        <w:rPr>
          <w:rFonts w:eastAsia="Arial"/>
          <w:sz w:val="16"/>
          <w:szCs w:val="16"/>
          <w:lang w:eastAsia="en-US"/>
        </w:rPr>
      </w:pPr>
      <w:r w:rsidRPr="00BD77D8">
        <w:rPr>
          <w:rFonts w:eastAsia="Arial"/>
          <w:sz w:val="16"/>
          <w:szCs w:val="16"/>
          <w:lang w:eastAsia="en-US"/>
        </w:rPr>
        <w:t>This appropriation revenue is provided in cash by Queensland Treasury and funds activities and expenses that the department administers on behalf of the State Government (refer to Note A2-7).</w:t>
      </w:r>
    </w:p>
    <w:p w14:paraId="23D5B1FD" w14:textId="3BBF373E" w:rsidR="00A5785D" w:rsidRPr="00BD77D8" w:rsidRDefault="00A5785D" w:rsidP="0089639E">
      <w:pPr>
        <w:spacing w:before="5400" w:after="0" w:line="206" w:lineRule="exact"/>
        <w:ind w:right="74"/>
        <w:jc w:val="both"/>
        <w:textAlignment w:val="baseline"/>
        <w:rPr>
          <w:rFonts w:eastAsia="PMingLiU"/>
          <w:b/>
          <w:sz w:val="18"/>
          <w:szCs w:val="18"/>
          <w:lang w:eastAsia="en-US"/>
        </w:rPr>
        <w:sectPr w:rsidR="00A5785D" w:rsidRPr="00BD77D8" w:rsidSect="000160CF">
          <w:type w:val="nextColumn"/>
          <w:pgSz w:w="11909" w:h="16838"/>
          <w:pgMar w:top="794" w:right="794" w:bottom="794" w:left="794" w:header="720" w:footer="720" w:gutter="0"/>
          <w:cols w:space="720"/>
        </w:sectPr>
      </w:pP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6"/>
          <w:szCs w:val="16"/>
          <w:lang w:eastAsia="en-US"/>
        </w:rPr>
        <w:tab/>
      </w:r>
      <w:r w:rsidRPr="00BD77D8">
        <w:rPr>
          <w:rFonts w:eastAsia="Arial"/>
          <w:sz w:val="18"/>
          <w:szCs w:val="18"/>
          <w:lang w:eastAsia="en-US"/>
        </w:rPr>
        <w:tab/>
        <w:t>Page  41 of 45</w:t>
      </w:r>
    </w:p>
    <w:bookmarkEnd w:id="639"/>
    <w:p w14:paraId="5819ED62"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75B4A476"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2E16373B"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2551AFB9" w14:textId="77777777" w:rsidR="00B9311E" w:rsidRPr="00BD77D8" w:rsidRDefault="00B9311E" w:rsidP="00B9311E">
      <w:pPr>
        <w:pBdr>
          <w:bottom w:val="single" w:sz="4" w:space="1" w:color="auto"/>
        </w:pBdr>
        <w:spacing w:after="0" w:line="252" w:lineRule="exact"/>
        <w:textAlignment w:val="baseline"/>
        <w:rPr>
          <w:rFonts w:eastAsia="Arial"/>
          <w:b/>
          <w:spacing w:val="-1"/>
          <w:sz w:val="18"/>
          <w:szCs w:val="18"/>
          <w:lang w:eastAsia="en-US"/>
        </w:rPr>
      </w:pPr>
    </w:p>
    <w:p w14:paraId="260584CF" w14:textId="77777777" w:rsidR="00B9311E" w:rsidRPr="00BD77D8" w:rsidRDefault="00B9311E" w:rsidP="00727CAE">
      <w:pPr>
        <w:spacing w:before="200" w:line="200" w:lineRule="atLeast"/>
        <w:textAlignment w:val="baseline"/>
        <w:rPr>
          <w:rFonts w:eastAsia="Arial"/>
          <w:b/>
          <w:bCs/>
          <w:spacing w:val="-1"/>
          <w:sz w:val="22"/>
          <w:szCs w:val="22"/>
          <w:lang w:eastAsia="en-US"/>
        </w:rPr>
      </w:pPr>
      <w:r w:rsidRPr="00BD77D8">
        <w:rPr>
          <w:rFonts w:eastAsia="Arial"/>
          <w:b/>
          <w:bCs/>
          <w:spacing w:val="-1"/>
          <w:sz w:val="22"/>
          <w:szCs w:val="22"/>
          <w:lang w:eastAsia="en-US"/>
        </w:rPr>
        <w:t>G1 Administered (continued)</w:t>
      </w:r>
    </w:p>
    <w:tbl>
      <w:tblPr>
        <w:tblW w:w="10354" w:type="dxa"/>
        <w:tblLook w:val="04A0" w:firstRow="1" w:lastRow="0" w:firstColumn="1" w:lastColumn="0" w:noHBand="0" w:noVBand="1"/>
      </w:tblPr>
      <w:tblGrid>
        <w:gridCol w:w="7797"/>
        <w:gridCol w:w="1417"/>
        <w:gridCol w:w="1140"/>
      </w:tblGrid>
      <w:tr w:rsidR="00BD77D8" w:rsidRPr="00BD77D8" w14:paraId="0ECA7727" w14:textId="77777777" w:rsidTr="003057FB">
        <w:trPr>
          <w:trHeight w:val="267"/>
        </w:trPr>
        <w:tc>
          <w:tcPr>
            <w:tcW w:w="7797" w:type="dxa"/>
            <w:tcBorders>
              <w:top w:val="nil"/>
              <w:left w:val="nil"/>
              <w:bottom w:val="nil"/>
              <w:right w:val="nil"/>
            </w:tcBorders>
            <w:shd w:val="clear" w:color="auto" w:fill="auto"/>
            <w:noWrap/>
            <w:vAlign w:val="bottom"/>
            <w:hideMark/>
          </w:tcPr>
          <w:p w14:paraId="446FDF81" w14:textId="39A7F86C" w:rsidR="00B9311E" w:rsidRPr="00BD77D8" w:rsidRDefault="00B9311E" w:rsidP="00B9311E">
            <w:pPr>
              <w:spacing w:after="0" w:line="240" w:lineRule="auto"/>
              <w:rPr>
                <w:rFonts w:ascii="Times New Roman" w:hAnsi="Times New Roman" w:cs="Times New Roman"/>
                <w:sz w:val="24"/>
                <w:szCs w:val="24"/>
              </w:rPr>
            </w:pPr>
            <w:bookmarkStart w:id="676" w:name="_Toc111540703"/>
            <w:bookmarkStart w:id="677" w:name="_Toc111559267"/>
            <w:bookmarkStart w:id="678" w:name="_Toc113196539"/>
            <w:bookmarkStart w:id="679" w:name="_Toc113196887"/>
            <w:bookmarkStart w:id="680" w:name="_Toc113262017"/>
            <w:bookmarkStart w:id="681" w:name="_Toc113349171"/>
            <w:bookmarkStart w:id="682" w:name="_Toc113358096"/>
            <w:r w:rsidRPr="00BD77D8">
              <w:rPr>
                <w:rFonts w:eastAsia="Arial"/>
                <w:b/>
                <w:bCs/>
                <w:sz w:val="22"/>
                <w:szCs w:val="22"/>
                <w:lang w:eastAsia="en-US"/>
              </w:rPr>
              <w:t>G1-4 Grants and Other Contributions</w:t>
            </w:r>
            <w:bookmarkEnd w:id="676"/>
            <w:bookmarkEnd w:id="677"/>
            <w:bookmarkEnd w:id="678"/>
            <w:bookmarkEnd w:id="679"/>
            <w:bookmarkEnd w:id="680"/>
            <w:bookmarkEnd w:id="681"/>
            <w:bookmarkEnd w:id="682"/>
          </w:p>
        </w:tc>
        <w:tc>
          <w:tcPr>
            <w:tcW w:w="1417" w:type="dxa"/>
            <w:tcBorders>
              <w:top w:val="nil"/>
              <w:left w:val="nil"/>
              <w:bottom w:val="nil"/>
              <w:right w:val="nil"/>
            </w:tcBorders>
            <w:shd w:val="clear" w:color="auto" w:fill="auto"/>
            <w:noWrap/>
            <w:vAlign w:val="bottom"/>
            <w:hideMark/>
          </w:tcPr>
          <w:p w14:paraId="12DE4231"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140" w:type="dxa"/>
            <w:tcBorders>
              <w:top w:val="nil"/>
              <w:left w:val="nil"/>
              <w:bottom w:val="nil"/>
              <w:right w:val="nil"/>
            </w:tcBorders>
            <w:shd w:val="clear" w:color="auto" w:fill="auto"/>
            <w:noWrap/>
            <w:vAlign w:val="bottom"/>
            <w:hideMark/>
          </w:tcPr>
          <w:p w14:paraId="739DFB9C"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78D9503" w14:textId="77777777" w:rsidTr="003057FB">
        <w:trPr>
          <w:trHeight w:val="267"/>
        </w:trPr>
        <w:tc>
          <w:tcPr>
            <w:tcW w:w="7797" w:type="dxa"/>
            <w:tcBorders>
              <w:top w:val="nil"/>
              <w:left w:val="nil"/>
              <w:bottom w:val="nil"/>
              <w:right w:val="nil"/>
            </w:tcBorders>
            <w:shd w:val="clear" w:color="auto" w:fill="auto"/>
            <w:noWrap/>
            <w:vAlign w:val="bottom"/>
            <w:hideMark/>
          </w:tcPr>
          <w:p w14:paraId="0849C0CE" w14:textId="77777777" w:rsidR="00B9311E" w:rsidRPr="00BD77D8" w:rsidRDefault="00B9311E" w:rsidP="00B9311E">
            <w:pPr>
              <w:spacing w:after="0" w:line="240" w:lineRule="auto"/>
              <w:jc w:val="right"/>
              <w:rPr>
                <w:sz w:val="18"/>
                <w:szCs w:val="18"/>
              </w:rPr>
            </w:pPr>
          </w:p>
        </w:tc>
        <w:tc>
          <w:tcPr>
            <w:tcW w:w="1417" w:type="dxa"/>
            <w:tcBorders>
              <w:top w:val="nil"/>
              <w:left w:val="nil"/>
              <w:bottom w:val="single" w:sz="4" w:space="0" w:color="auto"/>
              <w:right w:val="nil"/>
            </w:tcBorders>
            <w:shd w:val="clear" w:color="auto" w:fill="auto"/>
            <w:noWrap/>
            <w:vAlign w:val="bottom"/>
            <w:hideMark/>
          </w:tcPr>
          <w:p w14:paraId="107643B4" w14:textId="77777777" w:rsidR="00B9311E" w:rsidRPr="00BD77D8" w:rsidRDefault="00B9311E" w:rsidP="00B9311E">
            <w:pPr>
              <w:spacing w:after="0" w:line="240" w:lineRule="auto"/>
              <w:jc w:val="right"/>
              <w:rPr>
                <w:b/>
                <w:bCs/>
                <w:sz w:val="18"/>
                <w:szCs w:val="18"/>
              </w:rPr>
            </w:pPr>
            <w:r w:rsidRPr="00BD77D8">
              <w:rPr>
                <w:b/>
                <w:bCs/>
                <w:sz w:val="18"/>
                <w:szCs w:val="18"/>
              </w:rPr>
              <w:t>$'000</w:t>
            </w:r>
          </w:p>
        </w:tc>
        <w:tc>
          <w:tcPr>
            <w:tcW w:w="1140" w:type="dxa"/>
            <w:tcBorders>
              <w:top w:val="nil"/>
              <w:left w:val="nil"/>
              <w:bottom w:val="single" w:sz="4" w:space="0" w:color="auto"/>
              <w:right w:val="nil"/>
            </w:tcBorders>
            <w:shd w:val="clear" w:color="auto" w:fill="auto"/>
            <w:noWrap/>
            <w:vAlign w:val="bottom"/>
            <w:hideMark/>
          </w:tcPr>
          <w:p w14:paraId="241011F4" w14:textId="77777777" w:rsidR="00B9311E" w:rsidRPr="00BD77D8" w:rsidRDefault="00B9311E" w:rsidP="00B9311E">
            <w:pPr>
              <w:spacing w:after="0" w:line="240" w:lineRule="auto"/>
              <w:jc w:val="right"/>
              <w:rPr>
                <w:b/>
                <w:bCs/>
                <w:sz w:val="18"/>
                <w:szCs w:val="18"/>
              </w:rPr>
            </w:pPr>
            <w:r w:rsidRPr="00BD77D8">
              <w:rPr>
                <w:b/>
                <w:bCs/>
                <w:sz w:val="18"/>
                <w:szCs w:val="18"/>
              </w:rPr>
              <w:t>$'000</w:t>
            </w:r>
          </w:p>
        </w:tc>
      </w:tr>
      <w:tr w:rsidR="00BD77D8" w:rsidRPr="00BD77D8" w14:paraId="2D03B3F1" w14:textId="77777777" w:rsidTr="003057FB">
        <w:trPr>
          <w:trHeight w:val="267"/>
        </w:trPr>
        <w:tc>
          <w:tcPr>
            <w:tcW w:w="7797" w:type="dxa"/>
            <w:tcBorders>
              <w:top w:val="nil"/>
              <w:left w:val="nil"/>
              <w:bottom w:val="nil"/>
              <w:right w:val="nil"/>
            </w:tcBorders>
            <w:shd w:val="clear" w:color="auto" w:fill="auto"/>
            <w:vAlign w:val="center"/>
            <w:hideMark/>
          </w:tcPr>
          <w:p w14:paraId="2D9A3FA0" w14:textId="77777777" w:rsidR="00B9311E" w:rsidRPr="00BD77D8" w:rsidRDefault="00B9311E" w:rsidP="00B9311E">
            <w:pPr>
              <w:spacing w:after="0" w:line="240" w:lineRule="auto"/>
              <w:rPr>
                <w:sz w:val="18"/>
                <w:szCs w:val="18"/>
              </w:rPr>
            </w:pPr>
            <w:r w:rsidRPr="00BD77D8">
              <w:rPr>
                <w:sz w:val="18"/>
                <w:szCs w:val="18"/>
              </w:rPr>
              <w:t>Commonwealth grants - Family Responsibilities Commission</w:t>
            </w:r>
          </w:p>
        </w:tc>
        <w:tc>
          <w:tcPr>
            <w:tcW w:w="1417" w:type="dxa"/>
            <w:tcBorders>
              <w:top w:val="nil"/>
              <w:left w:val="nil"/>
              <w:bottom w:val="nil"/>
              <w:right w:val="nil"/>
            </w:tcBorders>
            <w:shd w:val="clear" w:color="auto" w:fill="auto"/>
            <w:vAlign w:val="bottom"/>
            <w:hideMark/>
          </w:tcPr>
          <w:p w14:paraId="1187A50F" w14:textId="77777777" w:rsidR="00B9311E" w:rsidRPr="00BD77D8" w:rsidRDefault="00B9311E" w:rsidP="00B9311E">
            <w:pPr>
              <w:spacing w:after="0" w:line="240" w:lineRule="auto"/>
              <w:jc w:val="right"/>
              <w:rPr>
                <w:sz w:val="18"/>
                <w:szCs w:val="18"/>
              </w:rPr>
            </w:pPr>
            <w:r w:rsidRPr="00BD77D8">
              <w:rPr>
                <w:sz w:val="18"/>
                <w:szCs w:val="18"/>
              </w:rPr>
              <w:t xml:space="preserve">       1,800 </w:t>
            </w:r>
          </w:p>
        </w:tc>
        <w:tc>
          <w:tcPr>
            <w:tcW w:w="1140" w:type="dxa"/>
            <w:tcBorders>
              <w:top w:val="nil"/>
              <w:left w:val="nil"/>
              <w:bottom w:val="nil"/>
              <w:right w:val="nil"/>
            </w:tcBorders>
            <w:shd w:val="clear" w:color="auto" w:fill="auto"/>
            <w:noWrap/>
            <w:vAlign w:val="bottom"/>
            <w:hideMark/>
          </w:tcPr>
          <w:p w14:paraId="1BD3F250" w14:textId="77777777" w:rsidR="00B9311E" w:rsidRPr="00BD77D8" w:rsidRDefault="00B9311E" w:rsidP="00B9311E">
            <w:pPr>
              <w:spacing w:after="0" w:line="240" w:lineRule="auto"/>
              <w:jc w:val="right"/>
              <w:rPr>
                <w:sz w:val="18"/>
                <w:szCs w:val="18"/>
              </w:rPr>
            </w:pPr>
            <w:r w:rsidRPr="00BD77D8">
              <w:rPr>
                <w:sz w:val="18"/>
                <w:szCs w:val="18"/>
              </w:rPr>
              <w:t xml:space="preserve">           900 </w:t>
            </w:r>
          </w:p>
        </w:tc>
      </w:tr>
      <w:tr w:rsidR="00BD77D8" w:rsidRPr="00BD77D8" w14:paraId="20B04875" w14:textId="77777777" w:rsidTr="003057FB">
        <w:trPr>
          <w:trHeight w:val="267"/>
        </w:trPr>
        <w:tc>
          <w:tcPr>
            <w:tcW w:w="7797" w:type="dxa"/>
            <w:tcBorders>
              <w:top w:val="nil"/>
              <w:left w:val="nil"/>
              <w:bottom w:val="nil"/>
              <w:right w:val="nil"/>
            </w:tcBorders>
            <w:shd w:val="clear" w:color="auto" w:fill="auto"/>
            <w:vAlign w:val="center"/>
            <w:hideMark/>
          </w:tcPr>
          <w:p w14:paraId="021AE5F8" w14:textId="77777777" w:rsidR="00B9311E" w:rsidRPr="00BD77D8" w:rsidRDefault="00B9311E" w:rsidP="00B9311E">
            <w:pPr>
              <w:spacing w:after="0" w:line="240" w:lineRule="auto"/>
              <w:rPr>
                <w:sz w:val="18"/>
                <w:szCs w:val="18"/>
              </w:rPr>
            </w:pPr>
            <w:r w:rsidRPr="00BD77D8">
              <w:rPr>
                <w:sz w:val="18"/>
                <w:szCs w:val="18"/>
              </w:rPr>
              <w:t>Grants from Queensland Reconstruction Authority*</w:t>
            </w:r>
          </w:p>
        </w:tc>
        <w:tc>
          <w:tcPr>
            <w:tcW w:w="1417" w:type="dxa"/>
            <w:tcBorders>
              <w:top w:val="nil"/>
              <w:left w:val="nil"/>
              <w:bottom w:val="single" w:sz="4" w:space="0" w:color="auto"/>
              <w:right w:val="nil"/>
            </w:tcBorders>
            <w:shd w:val="clear" w:color="auto" w:fill="auto"/>
            <w:vAlign w:val="bottom"/>
            <w:hideMark/>
          </w:tcPr>
          <w:p w14:paraId="5CF4FE29"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1140" w:type="dxa"/>
            <w:tcBorders>
              <w:top w:val="nil"/>
              <w:left w:val="nil"/>
              <w:bottom w:val="nil"/>
              <w:right w:val="nil"/>
            </w:tcBorders>
            <w:shd w:val="clear" w:color="auto" w:fill="auto"/>
            <w:noWrap/>
            <w:vAlign w:val="bottom"/>
            <w:hideMark/>
          </w:tcPr>
          <w:p w14:paraId="3DC74509" w14:textId="77777777" w:rsidR="00B9311E" w:rsidRPr="00BD77D8" w:rsidRDefault="00B9311E" w:rsidP="00B9311E">
            <w:pPr>
              <w:spacing w:after="0" w:line="240" w:lineRule="auto"/>
              <w:jc w:val="right"/>
              <w:rPr>
                <w:sz w:val="18"/>
                <w:szCs w:val="18"/>
              </w:rPr>
            </w:pPr>
            <w:r w:rsidRPr="00BD77D8">
              <w:rPr>
                <w:sz w:val="18"/>
                <w:szCs w:val="18"/>
              </w:rPr>
              <w:t xml:space="preserve">       1,953 </w:t>
            </w:r>
          </w:p>
        </w:tc>
      </w:tr>
      <w:tr w:rsidR="00BD77D8" w:rsidRPr="00BD77D8" w14:paraId="6D93F91B" w14:textId="77777777" w:rsidTr="003057FB">
        <w:trPr>
          <w:trHeight w:val="267"/>
        </w:trPr>
        <w:tc>
          <w:tcPr>
            <w:tcW w:w="7797" w:type="dxa"/>
            <w:tcBorders>
              <w:top w:val="nil"/>
              <w:left w:val="nil"/>
              <w:bottom w:val="nil"/>
              <w:right w:val="nil"/>
            </w:tcBorders>
            <w:shd w:val="clear" w:color="auto" w:fill="auto"/>
            <w:vAlign w:val="center"/>
            <w:hideMark/>
          </w:tcPr>
          <w:p w14:paraId="25D87058" w14:textId="77777777" w:rsidR="00B9311E" w:rsidRPr="00BD77D8" w:rsidRDefault="00B9311E" w:rsidP="00B9311E">
            <w:pPr>
              <w:spacing w:after="0" w:line="240" w:lineRule="auto"/>
              <w:rPr>
                <w:b/>
                <w:bCs/>
                <w:sz w:val="18"/>
                <w:szCs w:val="18"/>
              </w:rPr>
            </w:pPr>
            <w:r w:rsidRPr="00BD77D8">
              <w:rPr>
                <w:b/>
                <w:bCs/>
                <w:sz w:val="18"/>
                <w:szCs w:val="18"/>
              </w:rPr>
              <w:t>Total</w:t>
            </w:r>
          </w:p>
        </w:tc>
        <w:tc>
          <w:tcPr>
            <w:tcW w:w="1417" w:type="dxa"/>
            <w:tcBorders>
              <w:top w:val="single" w:sz="4" w:space="0" w:color="auto"/>
              <w:left w:val="nil"/>
              <w:bottom w:val="single" w:sz="4" w:space="0" w:color="auto"/>
              <w:right w:val="nil"/>
            </w:tcBorders>
            <w:shd w:val="clear" w:color="auto" w:fill="auto"/>
            <w:vAlign w:val="bottom"/>
            <w:hideMark/>
          </w:tcPr>
          <w:p w14:paraId="7B5AB083" w14:textId="77777777" w:rsidR="00B9311E" w:rsidRPr="00BD77D8" w:rsidRDefault="00B9311E" w:rsidP="00B9311E">
            <w:pPr>
              <w:spacing w:after="0" w:line="240" w:lineRule="auto"/>
              <w:jc w:val="right"/>
              <w:rPr>
                <w:b/>
                <w:bCs/>
                <w:sz w:val="18"/>
                <w:szCs w:val="18"/>
              </w:rPr>
            </w:pPr>
            <w:r w:rsidRPr="00BD77D8">
              <w:rPr>
                <w:b/>
                <w:bCs/>
                <w:sz w:val="18"/>
                <w:szCs w:val="18"/>
              </w:rPr>
              <w:t xml:space="preserve">       1,800 </w:t>
            </w:r>
          </w:p>
        </w:tc>
        <w:tc>
          <w:tcPr>
            <w:tcW w:w="1140" w:type="dxa"/>
            <w:tcBorders>
              <w:top w:val="single" w:sz="4" w:space="0" w:color="auto"/>
              <w:left w:val="nil"/>
              <w:bottom w:val="single" w:sz="4" w:space="0" w:color="auto"/>
              <w:right w:val="nil"/>
            </w:tcBorders>
            <w:shd w:val="clear" w:color="auto" w:fill="auto"/>
            <w:noWrap/>
            <w:vAlign w:val="bottom"/>
            <w:hideMark/>
          </w:tcPr>
          <w:p w14:paraId="61329BE8" w14:textId="77777777" w:rsidR="00B9311E" w:rsidRPr="00BD77D8" w:rsidRDefault="00B9311E" w:rsidP="00B9311E">
            <w:pPr>
              <w:spacing w:after="0" w:line="240" w:lineRule="auto"/>
              <w:jc w:val="right"/>
              <w:rPr>
                <w:b/>
                <w:bCs/>
                <w:sz w:val="18"/>
                <w:szCs w:val="18"/>
              </w:rPr>
            </w:pPr>
            <w:r w:rsidRPr="00BD77D8">
              <w:rPr>
                <w:b/>
                <w:bCs/>
                <w:sz w:val="18"/>
                <w:szCs w:val="18"/>
              </w:rPr>
              <w:t>2,853</w:t>
            </w:r>
          </w:p>
        </w:tc>
      </w:tr>
    </w:tbl>
    <w:p w14:paraId="062CCBE0" w14:textId="77777777" w:rsidR="00B9311E" w:rsidRPr="00BD77D8" w:rsidRDefault="00B9311E" w:rsidP="00727CAE">
      <w:pPr>
        <w:spacing w:before="200" w:line="207" w:lineRule="exact"/>
        <w:ind w:right="1077"/>
        <w:textAlignment w:val="baseline"/>
        <w:rPr>
          <w:rFonts w:eastAsia="Arial"/>
          <w:b/>
          <w:sz w:val="16"/>
          <w:szCs w:val="16"/>
          <w:lang w:eastAsia="en-US"/>
        </w:rPr>
      </w:pPr>
      <w:r w:rsidRPr="00BD77D8">
        <w:rPr>
          <w:rFonts w:eastAsia="Arial"/>
          <w:sz w:val="16"/>
          <w:szCs w:val="16"/>
          <w:lang w:eastAsia="en-US"/>
        </w:rPr>
        <w:t>* Queensland Reconstruction Authority grants are from 1 July 2020 to 30 November 2020 due to the Machinery-of-Government changes.</w:t>
      </w:r>
    </w:p>
    <w:tbl>
      <w:tblPr>
        <w:tblW w:w="10313" w:type="dxa"/>
        <w:tblCellMar>
          <w:left w:w="0" w:type="dxa"/>
          <w:right w:w="0" w:type="dxa"/>
        </w:tblCellMar>
        <w:tblLook w:val="04A0" w:firstRow="1" w:lastRow="0" w:firstColumn="1" w:lastColumn="0" w:noHBand="0" w:noVBand="1"/>
      </w:tblPr>
      <w:tblGrid>
        <w:gridCol w:w="7701"/>
        <w:gridCol w:w="1449"/>
        <w:gridCol w:w="1163"/>
      </w:tblGrid>
      <w:tr w:rsidR="00BD77D8" w:rsidRPr="00BD77D8" w14:paraId="0C717D2A" w14:textId="77777777" w:rsidTr="00727CAE">
        <w:trPr>
          <w:trHeight w:val="267"/>
        </w:trPr>
        <w:tc>
          <w:tcPr>
            <w:tcW w:w="7733" w:type="dxa"/>
            <w:tcBorders>
              <w:top w:val="nil"/>
              <w:left w:val="nil"/>
              <w:bottom w:val="nil"/>
              <w:right w:val="nil"/>
            </w:tcBorders>
            <w:shd w:val="clear" w:color="auto" w:fill="auto"/>
            <w:vAlign w:val="center"/>
            <w:hideMark/>
          </w:tcPr>
          <w:p w14:paraId="4205B037" w14:textId="21CDBB49" w:rsidR="00B9311E" w:rsidRPr="00BD77D8" w:rsidRDefault="00B9311E" w:rsidP="00B9311E">
            <w:pPr>
              <w:spacing w:after="0" w:line="240" w:lineRule="auto"/>
              <w:rPr>
                <w:rFonts w:eastAsia="PMingLiU"/>
                <w:sz w:val="18"/>
                <w:szCs w:val="22"/>
                <w:lang w:eastAsia="en-US"/>
              </w:rPr>
            </w:pPr>
            <w:bookmarkStart w:id="683" w:name="_Toc111540704"/>
            <w:bookmarkStart w:id="684" w:name="_Toc111559268"/>
            <w:bookmarkStart w:id="685" w:name="_Toc113196540"/>
            <w:bookmarkStart w:id="686" w:name="_Toc113196888"/>
            <w:bookmarkStart w:id="687" w:name="_Toc113262018"/>
            <w:bookmarkStart w:id="688" w:name="_Toc113349172"/>
            <w:bookmarkStart w:id="689" w:name="_Toc113358097"/>
            <w:r w:rsidRPr="00BD77D8">
              <w:rPr>
                <w:rFonts w:eastAsia="Arial"/>
                <w:b/>
                <w:bCs/>
                <w:sz w:val="22"/>
                <w:szCs w:val="22"/>
                <w:lang w:eastAsia="en-US"/>
              </w:rPr>
              <w:t>G1-5 Supplies and Services</w:t>
            </w:r>
            <w:bookmarkEnd w:id="683"/>
            <w:bookmarkEnd w:id="684"/>
            <w:bookmarkEnd w:id="685"/>
            <w:bookmarkEnd w:id="686"/>
            <w:bookmarkEnd w:id="687"/>
            <w:bookmarkEnd w:id="688"/>
            <w:bookmarkEnd w:id="689"/>
          </w:p>
        </w:tc>
        <w:tc>
          <w:tcPr>
            <w:tcW w:w="1433" w:type="dxa"/>
            <w:tcBorders>
              <w:top w:val="nil"/>
              <w:left w:val="nil"/>
              <w:bottom w:val="nil"/>
              <w:right w:val="nil"/>
            </w:tcBorders>
            <w:shd w:val="clear" w:color="auto" w:fill="auto"/>
            <w:noWrap/>
            <w:vAlign w:val="bottom"/>
            <w:hideMark/>
          </w:tcPr>
          <w:p w14:paraId="6F460798" w14:textId="77777777" w:rsidR="00B9311E" w:rsidRPr="00BD77D8" w:rsidRDefault="00B9311E" w:rsidP="00B9311E">
            <w:pPr>
              <w:spacing w:after="0" w:line="240" w:lineRule="auto"/>
              <w:jc w:val="right"/>
              <w:rPr>
                <w:rFonts w:eastAsia="PMingLiU"/>
                <w:b/>
                <w:bCs/>
                <w:sz w:val="18"/>
                <w:szCs w:val="22"/>
                <w:lang w:eastAsia="en-US"/>
              </w:rPr>
            </w:pPr>
            <w:bookmarkStart w:id="690" w:name="_Toc111540705"/>
            <w:r w:rsidRPr="00BD77D8">
              <w:rPr>
                <w:rFonts w:eastAsia="PMingLiU"/>
                <w:b/>
                <w:bCs/>
                <w:sz w:val="18"/>
                <w:szCs w:val="22"/>
                <w:lang w:eastAsia="en-US"/>
              </w:rPr>
              <w:t>2022</w:t>
            </w:r>
            <w:bookmarkEnd w:id="690"/>
          </w:p>
        </w:tc>
        <w:tc>
          <w:tcPr>
            <w:tcW w:w="1147" w:type="dxa"/>
            <w:tcBorders>
              <w:top w:val="nil"/>
              <w:left w:val="nil"/>
              <w:bottom w:val="nil"/>
              <w:right w:val="nil"/>
            </w:tcBorders>
            <w:shd w:val="clear" w:color="auto" w:fill="auto"/>
            <w:noWrap/>
            <w:vAlign w:val="bottom"/>
            <w:hideMark/>
          </w:tcPr>
          <w:p w14:paraId="6C9E3559" w14:textId="77777777" w:rsidR="00B9311E" w:rsidRPr="00BD77D8" w:rsidRDefault="00B9311E" w:rsidP="00B9311E">
            <w:pPr>
              <w:spacing w:after="0" w:line="240" w:lineRule="auto"/>
              <w:jc w:val="right"/>
              <w:rPr>
                <w:rFonts w:eastAsia="PMingLiU"/>
                <w:b/>
                <w:bCs/>
                <w:sz w:val="18"/>
                <w:szCs w:val="22"/>
                <w:lang w:eastAsia="en-US"/>
              </w:rPr>
            </w:pPr>
            <w:bookmarkStart w:id="691" w:name="_Toc111540706"/>
            <w:r w:rsidRPr="00BD77D8">
              <w:rPr>
                <w:rFonts w:eastAsia="PMingLiU"/>
                <w:b/>
                <w:bCs/>
                <w:sz w:val="18"/>
                <w:szCs w:val="22"/>
                <w:lang w:eastAsia="en-US"/>
              </w:rPr>
              <w:t>2021</w:t>
            </w:r>
            <w:bookmarkEnd w:id="691"/>
          </w:p>
        </w:tc>
      </w:tr>
      <w:tr w:rsidR="00BD77D8" w:rsidRPr="00BD77D8" w14:paraId="70D3129A" w14:textId="77777777" w:rsidTr="00727CAE">
        <w:trPr>
          <w:trHeight w:val="267"/>
        </w:trPr>
        <w:tc>
          <w:tcPr>
            <w:tcW w:w="7733" w:type="dxa"/>
            <w:tcBorders>
              <w:top w:val="nil"/>
              <w:left w:val="nil"/>
              <w:bottom w:val="nil"/>
              <w:right w:val="nil"/>
            </w:tcBorders>
            <w:shd w:val="clear" w:color="auto" w:fill="auto"/>
            <w:vAlign w:val="center"/>
            <w:hideMark/>
          </w:tcPr>
          <w:p w14:paraId="78DB6209" w14:textId="77777777" w:rsidR="00B9311E" w:rsidRPr="00BD77D8" w:rsidRDefault="00B9311E" w:rsidP="00B9311E">
            <w:pPr>
              <w:spacing w:after="0" w:line="240" w:lineRule="auto"/>
              <w:rPr>
                <w:rFonts w:eastAsia="PMingLiU"/>
                <w:sz w:val="18"/>
                <w:szCs w:val="22"/>
                <w:lang w:eastAsia="en-US"/>
              </w:rPr>
            </w:pPr>
          </w:p>
        </w:tc>
        <w:tc>
          <w:tcPr>
            <w:tcW w:w="1433" w:type="dxa"/>
            <w:tcBorders>
              <w:top w:val="nil"/>
              <w:left w:val="nil"/>
              <w:bottom w:val="single" w:sz="4" w:space="0" w:color="auto"/>
              <w:right w:val="nil"/>
            </w:tcBorders>
            <w:shd w:val="clear" w:color="auto" w:fill="auto"/>
            <w:noWrap/>
            <w:vAlign w:val="bottom"/>
            <w:hideMark/>
          </w:tcPr>
          <w:p w14:paraId="134CF2CD" w14:textId="77777777" w:rsidR="00B9311E" w:rsidRPr="00BD77D8" w:rsidRDefault="00B9311E" w:rsidP="00B9311E">
            <w:pPr>
              <w:spacing w:after="0" w:line="240" w:lineRule="auto"/>
              <w:jc w:val="right"/>
              <w:rPr>
                <w:rFonts w:eastAsia="PMingLiU"/>
                <w:b/>
                <w:bCs/>
                <w:sz w:val="18"/>
                <w:szCs w:val="22"/>
                <w:lang w:eastAsia="en-US"/>
              </w:rPr>
            </w:pPr>
            <w:bookmarkStart w:id="692" w:name="_Toc111540707"/>
            <w:r w:rsidRPr="00BD77D8">
              <w:rPr>
                <w:rFonts w:eastAsia="PMingLiU"/>
                <w:b/>
                <w:bCs/>
                <w:sz w:val="18"/>
                <w:szCs w:val="22"/>
                <w:lang w:eastAsia="en-US"/>
              </w:rPr>
              <w:t>$'000</w:t>
            </w:r>
            <w:bookmarkEnd w:id="692"/>
          </w:p>
        </w:tc>
        <w:tc>
          <w:tcPr>
            <w:tcW w:w="1147" w:type="dxa"/>
            <w:tcBorders>
              <w:top w:val="nil"/>
              <w:left w:val="nil"/>
              <w:bottom w:val="single" w:sz="4" w:space="0" w:color="auto"/>
              <w:right w:val="nil"/>
            </w:tcBorders>
            <w:shd w:val="clear" w:color="auto" w:fill="auto"/>
            <w:noWrap/>
            <w:vAlign w:val="bottom"/>
            <w:hideMark/>
          </w:tcPr>
          <w:p w14:paraId="0A0B5BF2" w14:textId="77777777" w:rsidR="00B9311E" w:rsidRPr="00BD77D8" w:rsidRDefault="00B9311E" w:rsidP="00B9311E">
            <w:pPr>
              <w:spacing w:after="0" w:line="240" w:lineRule="auto"/>
              <w:jc w:val="right"/>
              <w:rPr>
                <w:rFonts w:eastAsia="PMingLiU"/>
                <w:b/>
                <w:bCs/>
                <w:sz w:val="18"/>
                <w:szCs w:val="22"/>
                <w:lang w:eastAsia="en-US"/>
              </w:rPr>
            </w:pPr>
            <w:bookmarkStart w:id="693" w:name="_Toc111540708"/>
            <w:r w:rsidRPr="00BD77D8">
              <w:rPr>
                <w:rFonts w:eastAsia="PMingLiU"/>
                <w:b/>
                <w:bCs/>
                <w:sz w:val="18"/>
                <w:szCs w:val="22"/>
                <w:lang w:eastAsia="en-US"/>
              </w:rPr>
              <w:t>$'000</w:t>
            </w:r>
            <w:bookmarkEnd w:id="693"/>
          </w:p>
        </w:tc>
      </w:tr>
      <w:tr w:rsidR="00BD77D8" w:rsidRPr="00BD77D8" w14:paraId="29612D3F" w14:textId="77777777" w:rsidTr="00727CAE">
        <w:trPr>
          <w:trHeight w:val="267"/>
        </w:trPr>
        <w:tc>
          <w:tcPr>
            <w:tcW w:w="7733" w:type="dxa"/>
            <w:tcBorders>
              <w:top w:val="nil"/>
              <w:left w:val="nil"/>
              <w:bottom w:val="nil"/>
              <w:right w:val="nil"/>
            </w:tcBorders>
            <w:shd w:val="clear" w:color="auto" w:fill="auto"/>
            <w:vAlign w:val="center"/>
            <w:hideMark/>
          </w:tcPr>
          <w:p w14:paraId="6C7D86EB" w14:textId="77777777" w:rsidR="00B9311E" w:rsidRPr="00BD77D8" w:rsidRDefault="00B9311E" w:rsidP="00B9311E">
            <w:pPr>
              <w:spacing w:after="0" w:line="240" w:lineRule="auto"/>
              <w:rPr>
                <w:rFonts w:eastAsia="PMingLiU"/>
                <w:sz w:val="18"/>
                <w:szCs w:val="22"/>
                <w:lang w:eastAsia="en-US"/>
              </w:rPr>
            </w:pPr>
            <w:r w:rsidRPr="00BD77D8">
              <w:rPr>
                <w:rFonts w:eastAsia="PMingLiU"/>
                <w:sz w:val="18"/>
                <w:szCs w:val="22"/>
                <w:lang w:eastAsia="en-US"/>
              </w:rPr>
              <w:t xml:space="preserve"> </w:t>
            </w:r>
            <w:bookmarkStart w:id="694" w:name="_Toc111540709"/>
            <w:r w:rsidRPr="00BD77D8">
              <w:rPr>
                <w:rFonts w:eastAsia="PMingLiU"/>
                <w:sz w:val="18"/>
                <w:szCs w:val="22"/>
                <w:lang w:eastAsia="en-US"/>
              </w:rPr>
              <w:t>Service procurement</w:t>
            </w:r>
            <w:bookmarkEnd w:id="694"/>
            <w:r w:rsidRPr="00BD77D8">
              <w:rPr>
                <w:rFonts w:eastAsia="PMingLiU"/>
                <w:sz w:val="18"/>
                <w:szCs w:val="22"/>
                <w:lang w:eastAsia="en-US"/>
              </w:rPr>
              <w:t xml:space="preserve"> </w:t>
            </w:r>
          </w:p>
        </w:tc>
        <w:tc>
          <w:tcPr>
            <w:tcW w:w="1433" w:type="dxa"/>
            <w:tcBorders>
              <w:top w:val="nil"/>
              <w:left w:val="nil"/>
              <w:bottom w:val="nil"/>
              <w:right w:val="nil"/>
            </w:tcBorders>
            <w:shd w:val="clear" w:color="auto" w:fill="auto"/>
            <w:vAlign w:val="center"/>
            <w:hideMark/>
          </w:tcPr>
          <w:p w14:paraId="26ADD1A5" w14:textId="77777777" w:rsidR="00B9311E" w:rsidRPr="00BD77D8" w:rsidRDefault="00B9311E" w:rsidP="00B9311E">
            <w:pPr>
              <w:spacing w:after="0" w:line="240" w:lineRule="auto"/>
              <w:jc w:val="right"/>
              <w:rPr>
                <w:rFonts w:eastAsia="PMingLiU"/>
                <w:sz w:val="18"/>
                <w:szCs w:val="22"/>
                <w:lang w:eastAsia="en-US"/>
              </w:rPr>
            </w:pPr>
            <w:r w:rsidRPr="00BD77D8">
              <w:rPr>
                <w:rFonts w:eastAsia="PMingLiU"/>
                <w:sz w:val="18"/>
                <w:szCs w:val="22"/>
                <w:lang w:eastAsia="en-US"/>
              </w:rPr>
              <w:t xml:space="preserve">             </w:t>
            </w:r>
            <w:bookmarkStart w:id="695" w:name="_Toc111540710"/>
            <w:r w:rsidRPr="00BD77D8">
              <w:rPr>
                <w:rFonts w:eastAsia="PMingLiU"/>
                <w:sz w:val="18"/>
                <w:szCs w:val="22"/>
                <w:lang w:eastAsia="en-US"/>
              </w:rPr>
              <w:t>-</w:t>
            </w:r>
            <w:bookmarkEnd w:id="695"/>
            <w:r w:rsidRPr="00BD77D8">
              <w:rPr>
                <w:rFonts w:eastAsia="PMingLiU"/>
                <w:sz w:val="18"/>
                <w:szCs w:val="22"/>
                <w:lang w:eastAsia="en-US"/>
              </w:rPr>
              <w:t xml:space="preserve"> </w:t>
            </w:r>
          </w:p>
        </w:tc>
        <w:tc>
          <w:tcPr>
            <w:tcW w:w="1147" w:type="dxa"/>
            <w:tcBorders>
              <w:top w:val="nil"/>
              <w:left w:val="nil"/>
              <w:bottom w:val="nil"/>
              <w:right w:val="nil"/>
            </w:tcBorders>
            <w:shd w:val="clear" w:color="auto" w:fill="auto"/>
            <w:vAlign w:val="center"/>
            <w:hideMark/>
          </w:tcPr>
          <w:p w14:paraId="75506C8C" w14:textId="77777777" w:rsidR="00B9311E" w:rsidRPr="00BD77D8" w:rsidRDefault="00B9311E" w:rsidP="00B9311E">
            <w:pPr>
              <w:spacing w:after="0" w:line="240" w:lineRule="auto"/>
              <w:jc w:val="right"/>
              <w:rPr>
                <w:rFonts w:eastAsia="PMingLiU"/>
                <w:sz w:val="18"/>
                <w:szCs w:val="22"/>
                <w:lang w:eastAsia="en-US"/>
              </w:rPr>
            </w:pPr>
            <w:r w:rsidRPr="00BD77D8">
              <w:rPr>
                <w:rFonts w:eastAsia="PMingLiU"/>
                <w:sz w:val="18"/>
                <w:szCs w:val="22"/>
                <w:lang w:eastAsia="en-US"/>
              </w:rPr>
              <w:t xml:space="preserve">         </w:t>
            </w:r>
            <w:bookmarkStart w:id="696" w:name="_Toc111540711"/>
            <w:r w:rsidRPr="00BD77D8">
              <w:rPr>
                <w:rFonts w:eastAsia="PMingLiU"/>
                <w:sz w:val="18"/>
                <w:szCs w:val="22"/>
                <w:lang w:eastAsia="en-US"/>
              </w:rPr>
              <w:t>725</w:t>
            </w:r>
            <w:bookmarkEnd w:id="696"/>
            <w:r w:rsidRPr="00BD77D8">
              <w:rPr>
                <w:rFonts w:eastAsia="PMingLiU"/>
                <w:sz w:val="18"/>
                <w:szCs w:val="22"/>
                <w:lang w:eastAsia="en-US"/>
              </w:rPr>
              <w:t xml:space="preserve"> </w:t>
            </w:r>
          </w:p>
        </w:tc>
      </w:tr>
      <w:tr w:rsidR="00BD77D8" w:rsidRPr="00BD77D8" w14:paraId="0B8B7D6D" w14:textId="77777777" w:rsidTr="00727CAE">
        <w:trPr>
          <w:trHeight w:val="267"/>
        </w:trPr>
        <w:tc>
          <w:tcPr>
            <w:tcW w:w="7733" w:type="dxa"/>
            <w:tcBorders>
              <w:top w:val="nil"/>
              <w:left w:val="nil"/>
              <w:bottom w:val="nil"/>
              <w:right w:val="nil"/>
            </w:tcBorders>
            <w:shd w:val="clear" w:color="auto" w:fill="auto"/>
            <w:vAlign w:val="center"/>
            <w:hideMark/>
          </w:tcPr>
          <w:p w14:paraId="1011A36E" w14:textId="77777777" w:rsidR="00B9311E" w:rsidRPr="00BD77D8" w:rsidRDefault="00B9311E" w:rsidP="00B9311E">
            <w:pPr>
              <w:spacing w:after="0" w:line="240" w:lineRule="auto"/>
              <w:rPr>
                <w:rFonts w:eastAsia="PMingLiU"/>
                <w:sz w:val="18"/>
                <w:szCs w:val="22"/>
                <w:lang w:eastAsia="en-US"/>
              </w:rPr>
            </w:pPr>
            <w:r w:rsidRPr="00BD77D8">
              <w:rPr>
                <w:rFonts w:eastAsia="PMingLiU"/>
                <w:sz w:val="18"/>
                <w:szCs w:val="22"/>
                <w:lang w:eastAsia="en-US"/>
              </w:rPr>
              <w:t xml:space="preserve"> </w:t>
            </w:r>
            <w:bookmarkStart w:id="697" w:name="_Toc111540712"/>
            <w:r w:rsidRPr="00BD77D8">
              <w:rPr>
                <w:rFonts w:eastAsia="PMingLiU"/>
                <w:sz w:val="18"/>
                <w:szCs w:val="22"/>
                <w:lang w:eastAsia="en-US"/>
              </w:rPr>
              <w:t>Disaster recovery</w:t>
            </w:r>
            <w:bookmarkEnd w:id="697"/>
            <w:r w:rsidRPr="00BD77D8">
              <w:rPr>
                <w:rFonts w:eastAsia="PMingLiU"/>
                <w:sz w:val="18"/>
                <w:szCs w:val="22"/>
                <w:lang w:eastAsia="en-US"/>
              </w:rPr>
              <w:t xml:space="preserve"> </w:t>
            </w:r>
          </w:p>
        </w:tc>
        <w:tc>
          <w:tcPr>
            <w:tcW w:w="1433" w:type="dxa"/>
            <w:tcBorders>
              <w:top w:val="nil"/>
              <w:left w:val="nil"/>
              <w:bottom w:val="nil"/>
              <w:right w:val="nil"/>
            </w:tcBorders>
            <w:shd w:val="clear" w:color="auto" w:fill="auto"/>
            <w:vAlign w:val="center"/>
            <w:hideMark/>
          </w:tcPr>
          <w:p w14:paraId="0FB768C3" w14:textId="77777777" w:rsidR="00B9311E" w:rsidRPr="00BD77D8" w:rsidRDefault="00B9311E" w:rsidP="00B9311E">
            <w:pPr>
              <w:spacing w:after="0" w:line="240" w:lineRule="auto"/>
              <w:jc w:val="right"/>
              <w:rPr>
                <w:rFonts w:eastAsia="PMingLiU"/>
                <w:sz w:val="18"/>
                <w:szCs w:val="22"/>
                <w:lang w:eastAsia="en-US"/>
              </w:rPr>
            </w:pPr>
            <w:r w:rsidRPr="00BD77D8">
              <w:rPr>
                <w:rFonts w:eastAsia="PMingLiU"/>
                <w:sz w:val="18"/>
                <w:szCs w:val="22"/>
                <w:lang w:eastAsia="en-US"/>
              </w:rPr>
              <w:t xml:space="preserve">             </w:t>
            </w:r>
            <w:bookmarkStart w:id="698" w:name="_Toc111540713"/>
            <w:r w:rsidRPr="00BD77D8">
              <w:rPr>
                <w:rFonts w:eastAsia="PMingLiU"/>
                <w:sz w:val="18"/>
                <w:szCs w:val="22"/>
                <w:lang w:eastAsia="en-US"/>
              </w:rPr>
              <w:t>-</w:t>
            </w:r>
            <w:bookmarkEnd w:id="698"/>
            <w:r w:rsidRPr="00BD77D8">
              <w:rPr>
                <w:rFonts w:eastAsia="PMingLiU"/>
                <w:sz w:val="18"/>
                <w:szCs w:val="22"/>
                <w:lang w:eastAsia="en-US"/>
              </w:rPr>
              <w:t xml:space="preserve"> </w:t>
            </w:r>
          </w:p>
        </w:tc>
        <w:tc>
          <w:tcPr>
            <w:tcW w:w="1147" w:type="dxa"/>
            <w:tcBorders>
              <w:top w:val="nil"/>
              <w:left w:val="nil"/>
              <w:bottom w:val="nil"/>
              <w:right w:val="nil"/>
            </w:tcBorders>
            <w:shd w:val="clear" w:color="auto" w:fill="auto"/>
            <w:vAlign w:val="center"/>
            <w:hideMark/>
          </w:tcPr>
          <w:p w14:paraId="0A3AC45B" w14:textId="77777777" w:rsidR="00B9311E" w:rsidRPr="00BD77D8" w:rsidRDefault="00B9311E" w:rsidP="00B9311E">
            <w:pPr>
              <w:spacing w:after="0" w:line="240" w:lineRule="auto"/>
              <w:jc w:val="right"/>
              <w:rPr>
                <w:rFonts w:eastAsia="PMingLiU"/>
                <w:sz w:val="18"/>
                <w:szCs w:val="22"/>
                <w:lang w:eastAsia="en-US"/>
              </w:rPr>
            </w:pPr>
            <w:r w:rsidRPr="00BD77D8">
              <w:rPr>
                <w:rFonts w:eastAsia="PMingLiU"/>
                <w:sz w:val="18"/>
                <w:szCs w:val="22"/>
                <w:lang w:eastAsia="en-US"/>
              </w:rPr>
              <w:t xml:space="preserve">         </w:t>
            </w:r>
            <w:bookmarkStart w:id="699" w:name="_Toc111540714"/>
            <w:r w:rsidRPr="00BD77D8">
              <w:rPr>
                <w:rFonts w:eastAsia="PMingLiU"/>
                <w:sz w:val="18"/>
                <w:szCs w:val="22"/>
                <w:lang w:eastAsia="en-US"/>
              </w:rPr>
              <w:t>277</w:t>
            </w:r>
            <w:bookmarkEnd w:id="699"/>
            <w:r w:rsidRPr="00BD77D8">
              <w:rPr>
                <w:rFonts w:eastAsia="PMingLiU"/>
                <w:sz w:val="18"/>
                <w:szCs w:val="22"/>
                <w:lang w:eastAsia="en-US"/>
              </w:rPr>
              <w:t xml:space="preserve"> </w:t>
            </w:r>
          </w:p>
        </w:tc>
      </w:tr>
      <w:tr w:rsidR="00B9311E" w:rsidRPr="00BD77D8" w14:paraId="17AA597A" w14:textId="77777777" w:rsidTr="00727CAE">
        <w:trPr>
          <w:trHeight w:val="267"/>
        </w:trPr>
        <w:tc>
          <w:tcPr>
            <w:tcW w:w="7733" w:type="dxa"/>
            <w:tcBorders>
              <w:top w:val="nil"/>
              <w:left w:val="nil"/>
              <w:bottom w:val="nil"/>
              <w:right w:val="nil"/>
            </w:tcBorders>
            <w:shd w:val="clear" w:color="auto" w:fill="auto"/>
            <w:vAlign w:val="center"/>
            <w:hideMark/>
          </w:tcPr>
          <w:p w14:paraId="01577214" w14:textId="77777777" w:rsidR="00B9311E" w:rsidRPr="00BD77D8" w:rsidRDefault="00B9311E" w:rsidP="00B9311E">
            <w:pPr>
              <w:spacing w:after="0" w:line="240" w:lineRule="auto"/>
              <w:rPr>
                <w:rFonts w:eastAsia="PMingLiU"/>
                <w:b/>
                <w:bCs/>
                <w:sz w:val="18"/>
                <w:szCs w:val="22"/>
                <w:lang w:eastAsia="en-US"/>
              </w:rPr>
            </w:pPr>
            <w:r w:rsidRPr="00BD77D8">
              <w:rPr>
                <w:rFonts w:eastAsia="PMingLiU"/>
                <w:b/>
                <w:bCs/>
                <w:sz w:val="18"/>
                <w:szCs w:val="22"/>
                <w:lang w:eastAsia="en-US"/>
              </w:rPr>
              <w:t xml:space="preserve"> </w:t>
            </w:r>
            <w:bookmarkStart w:id="700" w:name="_Toc111540715"/>
            <w:r w:rsidRPr="00BD77D8">
              <w:rPr>
                <w:rFonts w:eastAsia="PMingLiU"/>
                <w:b/>
                <w:bCs/>
                <w:sz w:val="18"/>
                <w:szCs w:val="22"/>
                <w:lang w:eastAsia="en-US"/>
              </w:rPr>
              <w:t>Total</w:t>
            </w:r>
            <w:bookmarkEnd w:id="700"/>
            <w:r w:rsidRPr="00BD77D8">
              <w:rPr>
                <w:rFonts w:eastAsia="PMingLiU"/>
                <w:b/>
                <w:bCs/>
                <w:sz w:val="18"/>
                <w:szCs w:val="22"/>
                <w:lang w:eastAsia="en-US"/>
              </w:rPr>
              <w:t xml:space="preserve"> </w:t>
            </w:r>
          </w:p>
        </w:tc>
        <w:tc>
          <w:tcPr>
            <w:tcW w:w="1433" w:type="dxa"/>
            <w:tcBorders>
              <w:top w:val="single" w:sz="4" w:space="0" w:color="auto"/>
              <w:left w:val="nil"/>
              <w:bottom w:val="single" w:sz="4" w:space="0" w:color="auto"/>
              <w:right w:val="nil"/>
            </w:tcBorders>
            <w:shd w:val="clear" w:color="auto" w:fill="auto"/>
            <w:vAlign w:val="center"/>
            <w:hideMark/>
          </w:tcPr>
          <w:p w14:paraId="12C01494" w14:textId="77777777" w:rsidR="00B9311E" w:rsidRPr="00BD77D8" w:rsidRDefault="00B9311E" w:rsidP="00B9311E">
            <w:pPr>
              <w:spacing w:after="0" w:line="240" w:lineRule="auto"/>
              <w:jc w:val="right"/>
              <w:rPr>
                <w:rFonts w:eastAsia="PMingLiU"/>
                <w:b/>
                <w:bCs/>
                <w:sz w:val="18"/>
                <w:szCs w:val="22"/>
                <w:lang w:eastAsia="en-US"/>
              </w:rPr>
            </w:pPr>
            <w:r w:rsidRPr="00BD77D8">
              <w:rPr>
                <w:rFonts w:eastAsia="PMingLiU"/>
                <w:b/>
                <w:bCs/>
                <w:sz w:val="18"/>
                <w:szCs w:val="22"/>
                <w:lang w:eastAsia="en-US"/>
              </w:rPr>
              <w:t xml:space="preserve">             </w:t>
            </w:r>
            <w:bookmarkStart w:id="701" w:name="_Toc111540716"/>
            <w:r w:rsidRPr="00BD77D8">
              <w:rPr>
                <w:rFonts w:eastAsia="PMingLiU"/>
                <w:b/>
                <w:bCs/>
                <w:sz w:val="18"/>
                <w:szCs w:val="22"/>
                <w:lang w:eastAsia="en-US"/>
              </w:rPr>
              <w:t>-</w:t>
            </w:r>
            <w:bookmarkEnd w:id="701"/>
            <w:r w:rsidRPr="00BD77D8">
              <w:rPr>
                <w:rFonts w:eastAsia="PMingLiU"/>
                <w:b/>
                <w:bCs/>
                <w:sz w:val="18"/>
                <w:szCs w:val="22"/>
                <w:lang w:eastAsia="en-US"/>
              </w:rPr>
              <w:t xml:space="preserve"> </w:t>
            </w:r>
          </w:p>
        </w:tc>
        <w:tc>
          <w:tcPr>
            <w:tcW w:w="1147" w:type="dxa"/>
            <w:tcBorders>
              <w:top w:val="single" w:sz="4" w:space="0" w:color="auto"/>
              <w:left w:val="nil"/>
              <w:bottom w:val="single" w:sz="4" w:space="0" w:color="auto"/>
              <w:right w:val="nil"/>
            </w:tcBorders>
            <w:shd w:val="clear" w:color="auto" w:fill="auto"/>
            <w:vAlign w:val="center"/>
            <w:hideMark/>
          </w:tcPr>
          <w:p w14:paraId="6DE224CA" w14:textId="77777777" w:rsidR="00B9311E" w:rsidRPr="00BD77D8" w:rsidRDefault="00B9311E" w:rsidP="00B9311E">
            <w:pPr>
              <w:spacing w:after="0" w:line="240" w:lineRule="auto"/>
              <w:jc w:val="right"/>
              <w:rPr>
                <w:rFonts w:eastAsia="PMingLiU"/>
                <w:b/>
                <w:bCs/>
                <w:sz w:val="18"/>
                <w:szCs w:val="22"/>
                <w:lang w:eastAsia="en-US"/>
              </w:rPr>
            </w:pPr>
            <w:r w:rsidRPr="00BD77D8">
              <w:rPr>
                <w:rFonts w:eastAsia="PMingLiU"/>
                <w:b/>
                <w:bCs/>
                <w:sz w:val="18"/>
                <w:szCs w:val="22"/>
                <w:lang w:eastAsia="en-US"/>
              </w:rPr>
              <w:t xml:space="preserve">      </w:t>
            </w:r>
            <w:bookmarkStart w:id="702" w:name="_Toc111540717"/>
            <w:r w:rsidRPr="00BD77D8">
              <w:rPr>
                <w:rFonts w:eastAsia="PMingLiU"/>
                <w:b/>
                <w:bCs/>
                <w:sz w:val="18"/>
                <w:szCs w:val="22"/>
                <w:lang w:eastAsia="en-US"/>
              </w:rPr>
              <w:t>1,002</w:t>
            </w:r>
            <w:bookmarkEnd w:id="702"/>
            <w:r w:rsidRPr="00BD77D8">
              <w:rPr>
                <w:rFonts w:eastAsia="PMingLiU"/>
                <w:b/>
                <w:bCs/>
                <w:sz w:val="18"/>
                <w:szCs w:val="22"/>
                <w:lang w:eastAsia="en-US"/>
              </w:rPr>
              <w:t xml:space="preserve"> </w:t>
            </w:r>
          </w:p>
        </w:tc>
      </w:tr>
    </w:tbl>
    <w:p w14:paraId="7D375164" w14:textId="77777777" w:rsidR="00B9311E" w:rsidRPr="00BD77D8" w:rsidRDefault="00B9311E" w:rsidP="00B9311E">
      <w:pPr>
        <w:spacing w:after="0" w:line="240" w:lineRule="auto"/>
        <w:rPr>
          <w:rFonts w:eastAsia="PMingLiU"/>
          <w:sz w:val="18"/>
          <w:szCs w:val="22"/>
          <w:lang w:eastAsia="en-US"/>
        </w:rPr>
      </w:pPr>
    </w:p>
    <w:p w14:paraId="4D12E7FA" w14:textId="29139017" w:rsidR="00B9311E" w:rsidRPr="00BD77D8" w:rsidRDefault="00B9311E" w:rsidP="007D087A">
      <w:pPr>
        <w:rPr>
          <w:rFonts w:eastAsia="PMingLiU"/>
          <w:sz w:val="18"/>
          <w:szCs w:val="22"/>
          <w:lang w:val="en-US" w:eastAsia="en-US"/>
        </w:rPr>
      </w:pPr>
      <w:bookmarkStart w:id="703" w:name="_Toc111540718"/>
      <w:bookmarkStart w:id="704" w:name="_Toc111559269"/>
      <w:bookmarkStart w:id="705" w:name="_Toc113196541"/>
      <w:bookmarkStart w:id="706" w:name="_Toc113196889"/>
      <w:bookmarkStart w:id="707" w:name="_Toc113262019"/>
      <w:bookmarkStart w:id="708" w:name="_Toc113349173"/>
      <w:bookmarkStart w:id="709" w:name="_Toc113358098"/>
      <w:r w:rsidRPr="00BD77D8">
        <w:rPr>
          <w:rFonts w:eastAsia="Arial"/>
          <w:b/>
          <w:bCs/>
          <w:sz w:val="22"/>
          <w:szCs w:val="22"/>
          <w:lang w:eastAsia="en-US"/>
        </w:rPr>
        <w:t>G1-6 Grants and Subsidies</w:t>
      </w:r>
      <w:bookmarkEnd w:id="703"/>
      <w:bookmarkEnd w:id="704"/>
      <w:bookmarkEnd w:id="705"/>
      <w:bookmarkEnd w:id="706"/>
      <w:bookmarkEnd w:id="707"/>
      <w:bookmarkEnd w:id="708"/>
      <w:bookmarkEnd w:id="709"/>
    </w:p>
    <w:tbl>
      <w:tblPr>
        <w:tblW w:w="10436" w:type="dxa"/>
        <w:tblLook w:val="04A0" w:firstRow="1" w:lastRow="0" w:firstColumn="1" w:lastColumn="0" w:noHBand="0" w:noVBand="1"/>
      </w:tblPr>
      <w:tblGrid>
        <w:gridCol w:w="7797"/>
        <w:gridCol w:w="1417"/>
        <w:gridCol w:w="1222"/>
      </w:tblGrid>
      <w:tr w:rsidR="00BD77D8" w:rsidRPr="00BD77D8" w14:paraId="5DFD6369" w14:textId="77777777" w:rsidTr="003057FB">
        <w:trPr>
          <w:trHeight w:val="269"/>
        </w:trPr>
        <w:tc>
          <w:tcPr>
            <w:tcW w:w="7797" w:type="dxa"/>
            <w:tcBorders>
              <w:top w:val="nil"/>
              <w:left w:val="nil"/>
              <w:bottom w:val="nil"/>
              <w:right w:val="nil"/>
            </w:tcBorders>
            <w:shd w:val="clear" w:color="auto" w:fill="auto"/>
            <w:vAlign w:val="center"/>
            <w:hideMark/>
          </w:tcPr>
          <w:p w14:paraId="695A4985" w14:textId="77777777" w:rsidR="00B9311E" w:rsidRPr="00BD77D8" w:rsidRDefault="00B9311E" w:rsidP="00B9311E">
            <w:pPr>
              <w:spacing w:after="0" w:line="240" w:lineRule="auto"/>
              <w:rPr>
                <w:rFonts w:eastAsia="PMingLiU"/>
                <w:sz w:val="18"/>
                <w:szCs w:val="22"/>
              </w:rPr>
            </w:pPr>
          </w:p>
        </w:tc>
        <w:tc>
          <w:tcPr>
            <w:tcW w:w="1417" w:type="dxa"/>
            <w:tcBorders>
              <w:top w:val="nil"/>
              <w:left w:val="nil"/>
              <w:bottom w:val="nil"/>
              <w:right w:val="nil"/>
            </w:tcBorders>
            <w:shd w:val="clear" w:color="auto" w:fill="auto"/>
            <w:noWrap/>
            <w:vAlign w:val="bottom"/>
            <w:hideMark/>
          </w:tcPr>
          <w:p w14:paraId="47C35C24"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2022</w:t>
            </w:r>
          </w:p>
        </w:tc>
        <w:tc>
          <w:tcPr>
            <w:tcW w:w="1222" w:type="dxa"/>
            <w:tcBorders>
              <w:top w:val="nil"/>
              <w:left w:val="nil"/>
              <w:bottom w:val="nil"/>
              <w:right w:val="nil"/>
            </w:tcBorders>
            <w:shd w:val="clear" w:color="auto" w:fill="auto"/>
            <w:noWrap/>
            <w:vAlign w:val="bottom"/>
            <w:hideMark/>
          </w:tcPr>
          <w:p w14:paraId="2CB2AF57"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2021</w:t>
            </w:r>
          </w:p>
        </w:tc>
      </w:tr>
      <w:tr w:rsidR="00BD77D8" w:rsidRPr="00BD77D8" w14:paraId="7A943031" w14:textId="77777777" w:rsidTr="003057FB">
        <w:trPr>
          <w:trHeight w:val="269"/>
        </w:trPr>
        <w:tc>
          <w:tcPr>
            <w:tcW w:w="7797" w:type="dxa"/>
            <w:tcBorders>
              <w:top w:val="nil"/>
              <w:left w:val="nil"/>
              <w:bottom w:val="nil"/>
              <w:right w:val="nil"/>
            </w:tcBorders>
            <w:shd w:val="clear" w:color="auto" w:fill="auto"/>
            <w:vAlign w:val="center"/>
            <w:hideMark/>
          </w:tcPr>
          <w:p w14:paraId="5CDBA5EF" w14:textId="77777777" w:rsidR="00B9311E" w:rsidRPr="00BD77D8" w:rsidRDefault="00B9311E" w:rsidP="00B9311E">
            <w:pPr>
              <w:spacing w:after="0" w:line="240" w:lineRule="auto"/>
              <w:rPr>
                <w:rFonts w:eastAsia="PMingLiU"/>
                <w:sz w:val="18"/>
                <w:szCs w:val="22"/>
              </w:rPr>
            </w:pPr>
          </w:p>
        </w:tc>
        <w:tc>
          <w:tcPr>
            <w:tcW w:w="1417" w:type="dxa"/>
            <w:tcBorders>
              <w:top w:val="nil"/>
              <w:left w:val="nil"/>
              <w:bottom w:val="single" w:sz="4" w:space="0" w:color="auto"/>
              <w:right w:val="nil"/>
            </w:tcBorders>
            <w:shd w:val="clear" w:color="auto" w:fill="auto"/>
            <w:noWrap/>
            <w:vAlign w:val="bottom"/>
            <w:hideMark/>
          </w:tcPr>
          <w:p w14:paraId="7179A627"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$'000</w:t>
            </w:r>
          </w:p>
        </w:tc>
        <w:tc>
          <w:tcPr>
            <w:tcW w:w="1222" w:type="dxa"/>
            <w:tcBorders>
              <w:top w:val="nil"/>
              <w:left w:val="nil"/>
              <w:bottom w:val="single" w:sz="4" w:space="0" w:color="auto"/>
              <w:right w:val="nil"/>
            </w:tcBorders>
            <w:shd w:val="clear" w:color="auto" w:fill="auto"/>
            <w:noWrap/>
            <w:vAlign w:val="bottom"/>
            <w:hideMark/>
          </w:tcPr>
          <w:p w14:paraId="62E80852"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$'000</w:t>
            </w:r>
          </w:p>
        </w:tc>
      </w:tr>
      <w:tr w:rsidR="00BD77D8" w:rsidRPr="00BD77D8" w14:paraId="1FA6F3FE" w14:textId="77777777" w:rsidTr="003057FB">
        <w:trPr>
          <w:trHeight w:val="269"/>
        </w:trPr>
        <w:tc>
          <w:tcPr>
            <w:tcW w:w="7797" w:type="dxa"/>
            <w:tcBorders>
              <w:top w:val="nil"/>
              <w:left w:val="nil"/>
              <w:bottom w:val="nil"/>
              <w:right w:val="nil"/>
            </w:tcBorders>
            <w:shd w:val="clear" w:color="auto" w:fill="auto"/>
            <w:vAlign w:val="center"/>
            <w:hideMark/>
          </w:tcPr>
          <w:p w14:paraId="2209B20D"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National Disability Insurance Agency </w:t>
            </w:r>
          </w:p>
        </w:tc>
        <w:tc>
          <w:tcPr>
            <w:tcW w:w="1417" w:type="dxa"/>
            <w:tcBorders>
              <w:top w:val="nil"/>
              <w:left w:val="nil"/>
              <w:bottom w:val="nil"/>
              <w:right w:val="nil"/>
            </w:tcBorders>
            <w:shd w:val="clear" w:color="auto" w:fill="auto"/>
            <w:vAlign w:val="bottom"/>
            <w:hideMark/>
          </w:tcPr>
          <w:p w14:paraId="69006613"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1,992,273 </w:t>
            </w:r>
          </w:p>
        </w:tc>
        <w:tc>
          <w:tcPr>
            <w:tcW w:w="1222" w:type="dxa"/>
            <w:tcBorders>
              <w:top w:val="nil"/>
              <w:left w:val="nil"/>
              <w:bottom w:val="nil"/>
              <w:right w:val="nil"/>
            </w:tcBorders>
            <w:shd w:val="clear" w:color="auto" w:fill="auto"/>
            <w:noWrap/>
            <w:vAlign w:val="bottom"/>
            <w:hideMark/>
          </w:tcPr>
          <w:p w14:paraId="4F58E06F"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1,976,912</w:t>
            </w:r>
          </w:p>
        </w:tc>
      </w:tr>
      <w:tr w:rsidR="00BD77D8" w:rsidRPr="00BD77D8" w14:paraId="602E7A7A" w14:textId="77777777" w:rsidTr="003057FB">
        <w:trPr>
          <w:trHeight w:val="269"/>
        </w:trPr>
        <w:tc>
          <w:tcPr>
            <w:tcW w:w="7797" w:type="dxa"/>
            <w:tcBorders>
              <w:top w:val="nil"/>
              <w:left w:val="nil"/>
              <w:bottom w:val="nil"/>
              <w:right w:val="nil"/>
            </w:tcBorders>
            <w:shd w:val="clear" w:color="auto" w:fill="auto"/>
            <w:vAlign w:val="center"/>
            <w:hideMark/>
          </w:tcPr>
          <w:p w14:paraId="62EB1FCD"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Electricity - COVID-19 - Small Medium Business Relief </w:t>
            </w:r>
          </w:p>
        </w:tc>
        <w:tc>
          <w:tcPr>
            <w:tcW w:w="1417" w:type="dxa"/>
            <w:tcBorders>
              <w:top w:val="nil"/>
              <w:left w:val="nil"/>
              <w:bottom w:val="nil"/>
              <w:right w:val="nil"/>
            </w:tcBorders>
            <w:shd w:val="clear" w:color="auto" w:fill="auto"/>
            <w:vAlign w:val="bottom"/>
            <w:hideMark/>
          </w:tcPr>
          <w:p w14:paraId="712FF514"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316 </w:t>
            </w:r>
          </w:p>
        </w:tc>
        <w:tc>
          <w:tcPr>
            <w:tcW w:w="1222" w:type="dxa"/>
            <w:tcBorders>
              <w:top w:val="nil"/>
              <w:left w:val="nil"/>
              <w:bottom w:val="nil"/>
              <w:right w:val="nil"/>
            </w:tcBorders>
            <w:shd w:val="clear" w:color="auto" w:fill="auto"/>
            <w:vAlign w:val="bottom"/>
            <w:hideMark/>
          </w:tcPr>
          <w:p w14:paraId="57D9F8E6"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6,708 </w:t>
            </w:r>
          </w:p>
        </w:tc>
      </w:tr>
      <w:tr w:rsidR="00BD77D8" w:rsidRPr="00BD77D8" w14:paraId="1102AD3C" w14:textId="77777777" w:rsidTr="003057FB">
        <w:trPr>
          <w:trHeight w:val="269"/>
        </w:trPr>
        <w:tc>
          <w:tcPr>
            <w:tcW w:w="7797" w:type="dxa"/>
            <w:tcBorders>
              <w:top w:val="nil"/>
              <w:left w:val="nil"/>
              <w:bottom w:val="nil"/>
              <w:right w:val="nil"/>
            </w:tcBorders>
            <w:shd w:val="clear" w:color="auto" w:fill="auto"/>
            <w:vAlign w:val="center"/>
            <w:hideMark/>
          </w:tcPr>
          <w:p w14:paraId="721D7BE0"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Family Responsibilities Commission </w:t>
            </w:r>
          </w:p>
        </w:tc>
        <w:tc>
          <w:tcPr>
            <w:tcW w:w="1417" w:type="dxa"/>
            <w:tcBorders>
              <w:top w:val="nil"/>
              <w:left w:val="nil"/>
              <w:bottom w:val="nil"/>
              <w:right w:val="nil"/>
            </w:tcBorders>
            <w:shd w:val="clear" w:color="auto" w:fill="auto"/>
            <w:vAlign w:val="bottom"/>
            <w:hideMark/>
          </w:tcPr>
          <w:p w14:paraId="70262D3E"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4,218 </w:t>
            </w:r>
          </w:p>
        </w:tc>
        <w:tc>
          <w:tcPr>
            <w:tcW w:w="1222" w:type="dxa"/>
            <w:tcBorders>
              <w:top w:val="nil"/>
              <w:left w:val="nil"/>
              <w:bottom w:val="nil"/>
              <w:right w:val="nil"/>
            </w:tcBorders>
            <w:shd w:val="clear" w:color="auto" w:fill="auto"/>
            <w:vAlign w:val="bottom"/>
            <w:hideMark/>
          </w:tcPr>
          <w:p w14:paraId="03A2A0E2"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2,079 </w:t>
            </w:r>
          </w:p>
        </w:tc>
      </w:tr>
      <w:tr w:rsidR="00BD77D8" w:rsidRPr="00BD77D8" w14:paraId="7509091F" w14:textId="77777777" w:rsidTr="003057FB">
        <w:trPr>
          <w:trHeight w:val="269"/>
        </w:trPr>
        <w:tc>
          <w:tcPr>
            <w:tcW w:w="7797" w:type="dxa"/>
            <w:tcBorders>
              <w:top w:val="nil"/>
              <w:left w:val="nil"/>
              <w:bottom w:val="nil"/>
              <w:right w:val="nil"/>
            </w:tcBorders>
            <w:shd w:val="clear" w:color="auto" w:fill="auto"/>
            <w:vAlign w:val="center"/>
            <w:hideMark/>
          </w:tcPr>
          <w:p w14:paraId="2EBC93F1"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Transfer Ownership of </w:t>
            </w:r>
            <w:proofErr w:type="spellStart"/>
            <w:r w:rsidRPr="00BD77D8">
              <w:rPr>
                <w:rFonts w:eastAsia="PMingLiU"/>
                <w:sz w:val="18"/>
                <w:szCs w:val="22"/>
              </w:rPr>
              <w:t>Olandi</w:t>
            </w:r>
            <w:proofErr w:type="spellEnd"/>
            <w:r w:rsidRPr="00BD77D8">
              <w:rPr>
                <w:rFonts w:eastAsia="PMingLiU"/>
                <w:sz w:val="18"/>
                <w:szCs w:val="22"/>
              </w:rPr>
              <w:t xml:space="preserve"> Hall to Torres Shire Council * </w:t>
            </w:r>
          </w:p>
        </w:tc>
        <w:tc>
          <w:tcPr>
            <w:tcW w:w="1417" w:type="dxa"/>
            <w:tcBorders>
              <w:top w:val="nil"/>
              <w:left w:val="nil"/>
              <w:bottom w:val="nil"/>
              <w:right w:val="nil"/>
            </w:tcBorders>
            <w:shd w:val="clear" w:color="auto" w:fill="auto"/>
            <w:vAlign w:val="bottom"/>
            <w:hideMark/>
          </w:tcPr>
          <w:p w14:paraId="1384406C"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1,605 </w:t>
            </w:r>
          </w:p>
        </w:tc>
        <w:tc>
          <w:tcPr>
            <w:tcW w:w="1222" w:type="dxa"/>
            <w:tcBorders>
              <w:top w:val="nil"/>
              <w:left w:val="nil"/>
              <w:bottom w:val="nil"/>
              <w:right w:val="nil"/>
            </w:tcBorders>
            <w:shd w:val="clear" w:color="auto" w:fill="auto"/>
            <w:vAlign w:val="bottom"/>
            <w:hideMark/>
          </w:tcPr>
          <w:p w14:paraId="53A827BB"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 </w:t>
            </w:r>
          </w:p>
        </w:tc>
      </w:tr>
      <w:tr w:rsidR="00BD77D8" w:rsidRPr="00BD77D8" w14:paraId="09FC221A" w14:textId="77777777" w:rsidTr="003057FB">
        <w:trPr>
          <w:trHeight w:val="269"/>
        </w:trPr>
        <w:tc>
          <w:tcPr>
            <w:tcW w:w="7797" w:type="dxa"/>
            <w:tcBorders>
              <w:top w:val="nil"/>
              <w:left w:val="nil"/>
              <w:bottom w:val="nil"/>
              <w:right w:val="nil"/>
            </w:tcBorders>
            <w:shd w:val="clear" w:color="auto" w:fill="auto"/>
            <w:vAlign w:val="center"/>
            <w:hideMark/>
          </w:tcPr>
          <w:p w14:paraId="76AFE272"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Western Cape Communities </w:t>
            </w:r>
          </w:p>
        </w:tc>
        <w:tc>
          <w:tcPr>
            <w:tcW w:w="1417" w:type="dxa"/>
            <w:tcBorders>
              <w:top w:val="nil"/>
              <w:left w:val="nil"/>
              <w:bottom w:val="nil"/>
              <w:right w:val="nil"/>
            </w:tcBorders>
            <w:shd w:val="clear" w:color="auto" w:fill="auto"/>
            <w:vAlign w:val="bottom"/>
            <w:hideMark/>
          </w:tcPr>
          <w:p w14:paraId="548F16BD"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16,373 </w:t>
            </w:r>
          </w:p>
        </w:tc>
        <w:tc>
          <w:tcPr>
            <w:tcW w:w="1222" w:type="dxa"/>
            <w:tcBorders>
              <w:top w:val="nil"/>
              <w:left w:val="nil"/>
              <w:bottom w:val="nil"/>
              <w:right w:val="nil"/>
            </w:tcBorders>
            <w:shd w:val="clear" w:color="auto" w:fill="auto"/>
            <w:vAlign w:val="bottom"/>
            <w:hideMark/>
          </w:tcPr>
          <w:p w14:paraId="10683D16"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7,025 </w:t>
            </w:r>
          </w:p>
        </w:tc>
      </w:tr>
      <w:tr w:rsidR="00BD77D8" w:rsidRPr="00BD77D8" w14:paraId="13121E4E" w14:textId="77777777" w:rsidTr="003057FB">
        <w:trPr>
          <w:trHeight w:val="269"/>
        </w:trPr>
        <w:tc>
          <w:tcPr>
            <w:tcW w:w="7797" w:type="dxa"/>
            <w:tcBorders>
              <w:top w:val="nil"/>
              <w:left w:val="nil"/>
              <w:bottom w:val="nil"/>
              <w:right w:val="nil"/>
            </w:tcBorders>
            <w:shd w:val="clear" w:color="auto" w:fill="auto"/>
            <w:vAlign w:val="center"/>
            <w:hideMark/>
          </w:tcPr>
          <w:p w14:paraId="28B50043"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Disaster Recovery Personal Hardship Assistance Scheme </w:t>
            </w:r>
          </w:p>
        </w:tc>
        <w:tc>
          <w:tcPr>
            <w:tcW w:w="1417" w:type="dxa"/>
            <w:tcBorders>
              <w:top w:val="nil"/>
              <w:left w:val="nil"/>
              <w:bottom w:val="nil"/>
              <w:right w:val="nil"/>
            </w:tcBorders>
            <w:shd w:val="clear" w:color="auto" w:fill="auto"/>
            <w:vAlign w:val="bottom"/>
            <w:hideMark/>
          </w:tcPr>
          <w:p w14:paraId="42D7C263"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 </w:t>
            </w:r>
          </w:p>
        </w:tc>
        <w:tc>
          <w:tcPr>
            <w:tcW w:w="1222" w:type="dxa"/>
            <w:tcBorders>
              <w:top w:val="nil"/>
              <w:left w:val="nil"/>
              <w:bottom w:val="nil"/>
              <w:right w:val="nil"/>
            </w:tcBorders>
            <w:shd w:val="clear" w:color="auto" w:fill="auto"/>
            <w:vAlign w:val="bottom"/>
            <w:hideMark/>
          </w:tcPr>
          <w:p w14:paraId="6A4924B5"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1,065 </w:t>
            </w:r>
          </w:p>
        </w:tc>
      </w:tr>
      <w:tr w:rsidR="00BD77D8" w:rsidRPr="00BD77D8" w14:paraId="7AA52B13" w14:textId="77777777" w:rsidTr="003057FB">
        <w:trPr>
          <w:trHeight w:val="269"/>
        </w:trPr>
        <w:tc>
          <w:tcPr>
            <w:tcW w:w="7797" w:type="dxa"/>
            <w:tcBorders>
              <w:top w:val="nil"/>
              <w:left w:val="nil"/>
              <w:bottom w:val="nil"/>
              <w:right w:val="nil"/>
            </w:tcBorders>
            <w:shd w:val="clear" w:color="auto" w:fill="auto"/>
            <w:vAlign w:val="center"/>
            <w:hideMark/>
          </w:tcPr>
          <w:p w14:paraId="3921550D"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Grants - Disaster Recovery </w:t>
            </w:r>
          </w:p>
        </w:tc>
        <w:tc>
          <w:tcPr>
            <w:tcW w:w="1417" w:type="dxa"/>
            <w:tcBorders>
              <w:top w:val="nil"/>
              <w:left w:val="nil"/>
              <w:bottom w:val="nil"/>
              <w:right w:val="nil"/>
            </w:tcBorders>
            <w:shd w:val="clear" w:color="auto" w:fill="auto"/>
            <w:vAlign w:val="bottom"/>
            <w:hideMark/>
          </w:tcPr>
          <w:p w14:paraId="4EC8AED6"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 </w:t>
            </w:r>
          </w:p>
        </w:tc>
        <w:tc>
          <w:tcPr>
            <w:tcW w:w="1222" w:type="dxa"/>
            <w:tcBorders>
              <w:top w:val="nil"/>
              <w:left w:val="nil"/>
              <w:bottom w:val="nil"/>
              <w:right w:val="nil"/>
            </w:tcBorders>
            <w:shd w:val="clear" w:color="auto" w:fill="auto"/>
            <w:vAlign w:val="bottom"/>
            <w:hideMark/>
          </w:tcPr>
          <w:p w14:paraId="03E81CCA"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11,157 </w:t>
            </w:r>
          </w:p>
        </w:tc>
      </w:tr>
      <w:tr w:rsidR="00BD77D8" w:rsidRPr="00BD77D8" w14:paraId="70E827D2" w14:textId="77777777" w:rsidTr="003057FB">
        <w:trPr>
          <w:trHeight w:val="269"/>
        </w:trPr>
        <w:tc>
          <w:tcPr>
            <w:tcW w:w="7797" w:type="dxa"/>
            <w:tcBorders>
              <w:top w:val="nil"/>
              <w:left w:val="nil"/>
              <w:bottom w:val="nil"/>
              <w:right w:val="nil"/>
            </w:tcBorders>
            <w:shd w:val="clear" w:color="auto" w:fill="auto"/>
            <w:vAlign w:val="center"/>
            <w:hideMark/>
          </w:tcPr>
          <w:p w14:paraId="2D7272DC" w14:textId="77777777" w:rsidR="00B9311E" w:rsidRPr="00BD77D8" w:rsidRDefault="00B9311E" w:rsidP="00B9311E">
            <w:pPr>
              <w:spacing w:after="0" w:line="240" w:lineRule="auto"/>
              <w:rPr>
                <w:rFonts w:eastAsia="PMingLiU"/>
                <w:b/>
                <w:bCs/>
                <w:sz w:val="18"/>
                <w:szCs w:val="22"/>
              </w:rPr>
            </w:pPr>
            <w:r w:rsidRPr="00BD77D8">
              <w:rPr>
                <w:rFonts w:eastAsia="PMingLiU"/>
                <w:b/>
                <w:bCs/>
                <w:sz w:val="18"/>
                <w:szCs w:val="22"/>
              </w:rPr>
              <w:t xml:space="preserve"> Total grants and subsidies </w:t>
            </w:r>
          </w:p>
        </w:tc>
        <w:tc>
          <w:tcPr>
            <w:tcW w:w="1417" w:type="dxa"/>
            <w:tcBorders>
              <w:top w:val="single" w:sz="4" w:space="0" w:color="auto"/>
              <w:left w:val="nil"/>
              <w:bottom w:val="single" w:sz="4" w:space="0" w:color="auto"/>
              <w:right w:val="nil"/>
            </w:tcBorders>
            <w:shd w:val="clear" w:color="auto" w:fill="auto"/>
            <w:vAlign w:val="bottom"/>
            <w:hideMark/>
          </w:tcPr>
          <w:p w14:paraId="1AAD3E9C"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2,014,784 </w:t>
            </w:r>
          </w:p>
        </w:tc>
        <w:tc>
          <w:tcPr>
            <w:tcW w:w="1222" w:type="dxa"/>
            <w:tcBorders>
              <w:top w:val="single" w:sz="4" w:space="0" w:color="auto"/>
              <w:left w:val="nil"/>
              <w:bottom w:val="single" w:sz="4" w:space="0" w:color="auto"/>
              <w:right w:val="nil"/>
            </w:tcBorders>
            <w:shd w:val="clear" w:color="auto" w:fill="auto"/>
            <w:vAlign w:val="bottom"/>
            <w:hideMark/>
          </w:tcPr>
          <w:p w14:paraId="0347B49A"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2,004,946 </w:t>
            </w:r>
          </w:p>
        </w:tc>
      </w:tr>
      <w:tr w:rsidR="00BD77D8" w:rsidRPr="00BD77D8" w14:paraId="69673A7B" w14:textId="77777777" w:rsidTr="003057FB">
        <w:trPr>
          <w:trHeight w:val="269"/>
        </w:trPr>
        <w:tc>
          <w:tcPr>
            <w:tcW w:w="7797" w:type="dxa"/>
            <w:tcBorders>
              <w:top w:val="nil"/>
              <w:left w:val="nil"/>
              <w:bottom w:val="nil"/>
              <w:right w:val="nil"/>
            </w:tcBorders>
            <w:shd w:val="clear" w:color="auto" w:fill="auto"/>
            <w:vAlign w:val="center"/>
            <w:hideMark/>
          </w:tcPr>
          <w:p w14:paraId="154CA61E"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Asset ownership electricity dividend </w:t>
            </w:r>
          </w:p>
        </w:tc>
        <w:tc>
          <w:tcPr>
            <w:tcW w:w="1417" w:type="dxa"/>
            <w:tcBorders>
              <w:top w:val="nil"/>
              <w:left w:val="nil"/>
              <w:bottom w:val="nil"/>
              <w:right w:val="nil"/>
            </w:tcBorders>
            <w:shd w:val="clear" w:color="auto" w:fill="auto"/>
            <w:vAlign w:val="bottom"/>
            <w:hideMark/>
          </w:tcPr>
          <w:p w14:paraId="388D9CFF"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106,332 </w:t>
            </w:r>
          </w:p>
        </w:tc>
        <w:tc>
          <w:tcPr>
            <w:tcW w:w="1222" w:type="dxa"/>
            <w:tcBorders>
              <w:top w:val="nil"/>
              <w:left w:val="nil"/>
              <w:bottom w:val="nil"/>
              <w:right w:val="nil"/>
            </w:tcBorders>
            <w:shd w:val="clear" w:color="auto" w:fill="auto"/>
            <w:vAlign w:val="bottom"/>
            <w:hideMark/>
          </w:tcPr>
          <w:p w14:paraId="2BCCC325"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104,780 </w:t>
            </w:r>
          </w:p>
        </w:tc>
      </w:tr>
      <w:tr w:rsidR="00BD77D8" w:rsidRPr="00BD77D8" w14:paraId="04C94CA1" w14:textId="77777777" w:rsidTr="003057FB">
        <w:trPr>
          <w:trHeight w:val="269"/>
        </w:trPr>
        <w:tc>
          <w:tcPr>
            <w:tcW w:w="7797" w:type="dxa"/>
            <w:tcBorders>
              <w:top w:val="nil"/>
              <w:left w:val="nil"/>
              <w:bottom w:val="nil"/>
              <w:right w:val="nil"/>
            </w:tcBorders>
            <w:shd w:val="clear" w:color="auto" w:fill="auto"/>
            <w:vAlign w:val="center"/>
            <w:hideMark/>
          </w:tcPr>
          <w:p w14:paraId="383B6AEF"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Electricity </w:t>
            </w:r>
          </w:p>
        </w:tc>
        <w:tc>
          <w:tcPr>
            <w:tcW w:w="1417" w:type="dxa"/>
            <w:tcBorders>
              <w:top w:val="nil"/>
              <w:left w:val="nil"/>
              <w:bottom w:val="nil"/>
              <w:right w:val="nil"/>
            </w:tcBorders>
            <w:shd w:val="clear" w:color="auto" w:fill="auto"/>
            <w:vAlign w:val="bottom"/>
            <w:hideMark/>
          </w:tcPr>
          <w:p w14:paraId="5A821C07"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195,617 </w:t>
            </w:r>
          </w:p>
        </w:tc>
        <w:tc>
          <w:tcPr>
            <w:tcW w:w="1222" w:type="dxa"/>
            <w:tcBorders>
              <w:top w:val="nil"/>
              <w:left w:val="nil"/>
              <w:bottom w:val="nil"/>
              <w:right w:val="nil"/>
            </w:tcBorders>
            <w:shd w:val="clear" w:color="auto" w:fill="auto"/>
            <w:vAlign w:val="bottom"/>
            <w:hideMark/>
          </w:tcPr>
          <w:p w14:paraId="4C7A2424"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198,835 </w:t>
            </w:r>
          </w:p>
        </w:tc>
      </w:tr>
      <w:tr w:rsidR="00BD77D8" w:rsidRPr="00BD77D8" w14:paraId="3726E28F" w14:textId="77777777" w:rsidTr="003057FB">
        <w:trPr>
          <w:trHeight w:val="269"/>
        </w:trPr>
        <w:tc>
          <w:tcPr>
            <w:tcW w:w="7797" w:type="dxa"/>
            <w:tcBorders>
              <w:top w:val="nil"/>
              <w:left w:val="nil"/>
              <w:bottom w:val="nil"/>
              <w:right w:val="nil"/>
            </w:tcBorders>
            <w:shd w:val="clear" w:color="auto" w:fill="auto"/>
            <w:vAlign w:val="center"/>
            <w:hideMark/>
          </w:tcPr>
          <w:p w14:paraId="398D5DE8"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Electricity - COVID-19 - Residential Household Relief </w:t>
            </w:r>
          </w:p>
        </w:tc>
        <w:tc>
          <w:tcPr>
            <w:tcW w:w="1417" w:type="dxa"/>
            <w:tcBorders>
              <w:top w:val="nil"/>
              <w:left w:val="nil"/>
              <w:bottom w:val="nil"/>
              <w:right w:val="nil"/>
            </w:tcBorders>
            <w:shd w:val="clear" w:color="auto" w:fill="auto"/>
            <w:vAlign w:val="bottom"/>
            <w:hideMark/>
          </w:tcPr>
          <w:p w14:paraId="7F586791"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327 </w:t>
            </w:r>
          </w:p>
        </w:tc>
        <w:tc>
          <w:tcPr>
            <w:tcW w:w="1222" w:type="dxa"/>
            <w:tcBorders>
              <w:top w:val="nil"/>
              <w:left w:val="nil"/>
              <w:bottom w:val="nil"/>
              <w:right w:val="nil"/>
            </w:tcBorders>
            <w:shd w:val="clear" w:color="auto" w:fill="auto"/>
            <w:vAlign w:val="bottom"/>
            <w:hideMark/>
          </w:tcPr>
          <w:p w14:paraId="7D8A2127"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11,447 </w:t>
            </w:r>
          </w:p>
        </w:tc>
      </w:tr>
      <w:tr w:rsidR="00BD77D8" w:rsidRPr="00BD77D8" w14:paraId="1C221B68" w14:textId="77777777" w:rsidTr="003057FB">
        <w:trPr>
          <w:trHeight w:val="269"/>
        </w:trPr>
        <w:tc>
          <w:tcPr>
            <w:tcW w:w="7797" w:type="dxa"/>
            <w:tcBorders>
              <w:top w:val="nil"/>
              <w:left w:val="nil"/>
              <w:bottom w:val="nil"/>
              <w:right w:val="nil"/>
            </w:tcBorders>
            <w:shd w:val="clear" w:color="auto" w:fill="auto"/>
            <w:vAlign w:val="center"/>
            <w:hideMark/>
          </w:tcPr>
          <w:p w14:paraId="69CE587F"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Rates </w:t>
            </w:r>
          </w:p>
        </w:tc>
        <w:tc>
          <w:tcPr>
            <w:tcW w:w="1417" w:type="dxa"/>
            <w:tcBorders>
              <w:top w:val="nil"/>
              <w:left w:val="nil"/>
              <w:bottom w:val="nil"/>
              <w:right w:val="nil"/>
            </w:tcBorders>
            <w:shd w:val="clear" w:color="auto" w:fill="auto"/>
            <w:vAlign w:val="bottom"/>
            <w:hideMark/>
          </w:tcPr>
          <w:p w14:paraId="2C25E418"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53,652 </w:t>
            </w:r>
          </w:p>
        </w:tc>
        <w:tc>
          <w:tcPr>
            <w:tcW w:w="1222" w:type="dxa"/>
            <w:tcBorders>
              <w:top w:val="nil"/>
              <w:left w:val="nil"/>
              <w:bottom w:val="nil"/>
              <w:right w:val="nil"/>
            </w:tcBorders>
            <w:shd w:val="clear" w:color="auto" w:fill="auto"/>
            <w:vAlign w:val="bottom"/>
            <w:hideMark/>
          </w:tcPr>
          <w:p w14:paraId="44AC2C08"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54,340 </w:t>
            </w:r>
          </w:p>
        </w:tc>
      </w:tr>
      <w:tr w:rsidR="00BD77D8" w:rsidRPr="00BD77D8" w14:paraId="1B73C684" w14:textId="77777777" w:rsidTr="003057FB">
        <w:trPr>
          <w:trHeight w:val="269"/>
        </w:trPr>
        <w:tc>
          <w:tcPr>
            <w:tcW w:w="7797" w:type="dxa"/>
            <w:tcBorders>
              <w:top w:val="nil"/>
              <w:left w:val="nil"/>
              <w:bottom w:val="nil"/>
              <w:right w:val="nil"/>
            </w:tcBorders>
            <w:shd w:val="clear" w:color="auto" w:fill="auto"/>
            <w:vAlign w:val="center"/>
            <w:hideMark/>
          </w:tcPr>
          <w:p w14:paraId="638218DB"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Water </w:t>
            </w:r>
          </w:p>
        </w:tc>
        <w:tc>
          <w:tcPr>
            <w:tcW w:w="1417" w:type="dxa"/>
            <w:tcBorders>
              <w:top w:val="nil"/>
              <w:left w:val="nil"/>
              <w:bottom w:val="nil"/>
              <w:right w:val="nil"/>
            </w:tcBorders>
            <w:shd w:val="clear" w:color="auto" w:fill="auto"/>
            <w:vAlign w:val="bottom"/>
            <w:hideMark/>
          </w:tcPr>
          <w:p w14:paraId="11006C9E"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19,836 </w:t>
            </w:r>
          </w:p>
        </w:tc>
        <w:tc>
          <w:tcPr>
            <w:tcW w:w="1222" w:type="dxa"/>
            <w:tcBorders>
              <w:top w:val="nil"/>
              <w:left w:val="nil"/>
              <w:bottom w:val="nil"/>
              <w:right w:val="nil"/>
            </w:tcBorders>
            <w:shd w:val="clear" w:color="auto" w:fill="auto"/>
            <w:vAlign w:val="bottom"/>
            <w:hideMark/>
          </w:tcPr>
          <w:p w14:paraId="5853A1D1"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18,271 </w:t>
            </w:r>
          </w:p>
        </w:tc>
      </w:tr>
      <w:tr w:rsidR="00BD77D8" w:rsidRPr="00BD77D8" w14:paraId="3495F035" w14:textId="77777777" w:rsidTr="003057FB">
        <w:trPr>
          <w:trHeight w:val="269"/>
        </w:trPr>
        <w:tc>
          <w:tcPr>
            <w:tcW w:w="7797" w:type="dxa"/>
            <w:tcBorders>
              <w:top w:val="nil"/>
              <w:left w:val="nil"/>
              <w:bottom w:val="nil"/>
              <w:right w:val="nil"/>
            </w:tcBorders>
            <w:shd w:val="clear" w:color="auto" w:fill="auto"/>
            <w:vAlign w:val="center"/>
            <w:hideMark/>
          </w:tcPr>
          <w:p w14:paraId="43936588"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Home Energy Emergency Assistance </w:t>
            </w:r>
          </w:p>
        </w:tc>
        <w:tc>
          <w:tcPr>
            <w:tcW w:w="1417" w:type="dxa"/>
            <w:tcBorders>
              <w:top w:val="nil"/>
              <w:left w:val="nil"/>
              <w:bottom w:val="nil"/>
              <w:right w:val="nil"/>
            </w:tcBorders>
            <w:shd w:val="clear" w:color="auto" w:fill="auto"/>
            <w:vAlign w:val="bottom"/>
            <w:hideMark/>
          </w:tcPr>
          <w:p w14:paraId="08AAF95D"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8,555 </w:t>
            </w:r>
          </w:p>
        </w:tc>
        <w:tc>
          <w:tcPr>
            <w:tcW w:w="1222" w:type="dxa"/>
            <w:tcBorders>
              <w:top w:val="nil"/>
              <w:left w:val="nil"/>
              <w:bottom w:val="nil"/>
              <w:right w:val="nil"/>
            </w:tcBorders>
            <w:shd w:val="clear" w:color="auto" w:fill="auto"/>
            <w:vAlign w:val="bottom"/>
            <w:hideMark/>
          </w:tcPr>
          <w:p w14:paraId="222D07EE"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7,696 </w:t>
            </w:r>
          </w:p>
        </w:tc>
      </w:tr>
      <w:tr w:rsidR="00BD77D8" w:rsidRPr="00BD77D8" w14:paraId="7867652B" w14:textId="77777777" w:rsidTr="003057FB">
        <w:trPr>
          <w:trHeight w:val="269"/>
        </w:trPr>
        <w:tc>
          <w:tcPr>
            <w:tcW w:w="7797" w:type="dxa"/>
            <w:tcBorders>
              <w:top w:val="nil"/>
              <w:left w:val="nil"/>
              <w:bottom w:val="nil"/>
              <w:right w:val="nil"/>
            </w:tcBorders>
            <w:shd w:val="clear" w:color="auto" w:fill="auto"/>
            <w:vAlign w:val="center"/>
            <w:hideMark/>
          </w:tcPr>
          <w:p w14:paraId="772CE450"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Natural gas </w:t>
            </w:r>
          </w:p>
        </w:tc>
        <w:tc>
          <w:tcPr>
            <w:tcW w:w="1417" w:type="dxa"/>
            <w:tcBorders>
              <w:top w:val="nil"/>
              <w:left w:val="nil"/>
              <w:bottom w:val="nil"/>
              <w:right w:val="nil"/>
            </w:tcBorders>
            <w:shd w:val="clear" w:color="auto" w:fill="auto"/>
            <w:vAlign w:val="bottom"/>
            <w:hideMark/>
          </w:tcPr>
          <w:p w14:paraId="103FC0B5"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2,608 </w:t>
            </w:r>
          </w:p>
        </w:tc>
        <w:tc>
          <w:tcPr>
            <w:tcW w:w="1222" w:type="dxa"/>
            <w:tcBorders>
              <w:top w:val="nil"/>
              <w:left w:val="nil"/>
              <w:bottom w:val="nil"/>
              <w:right w:val="nil"/>
            </w:tcBorders>
            <w:shd w:val="clear" w:color="auto" w:fill="auto"/>
            <w:vAlign w:val="bottom"/>
            <w:hideMark/>
          </w:tcPr>
          <w:p w14:paraId="78D0AC1A"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2,497 </w:t>
            </w:r>
          </w:p>
        </w:tc>
      </w:tr>
      <w:tr w:rsidR="00BD77D8" w:rsidRPr="00BD77D8" w14:paraId="492B65DC" w14:textId="77777777" w:rsidTr="003057FB">
        <w:trPr>
          <w:trHeight w:val="269"/>
        </w:trPr>
        <w:tc>
          <w:tcPr>
            <w:tcW w:w="7797" w:type="dxa"/>
            <w:tcBorders>
              <w:top w:val="nil"/>
              <w:left w:val="nil"/>
              <w:bottom w:val="nil"/>
              <w:right w:val="nil"/>
            </w:tcBorders>
            <w:shd w:val="clear" w:color="auto" w:fill="auto"/>
            <w:vAlign w:val="center"/>
            <w:hideMark/>
          </w:tcPr>
          <w:p w14:paraId="31A1090D"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Life Support </w:t>
            </w:r>
          </w:p>
        </w:tc>
        <w:tc>
          <w:tcPr>
            <w:tcW w:w="1417" w:type="dxa"/>
            <w:tcBorders>
              <w:top w:val="nil"/>
              <w:left w:val="nil"/>
              <w:bottom w:val="nil"/>
              <w:right w:val="nil"/>
            </w:tcBorders>
            <w:shd w:val="clear" w:color="auto" w:fill="auto"/>
            <w:vAlign w:val="bottom"/>
            <w:hideMark/>
          </w:tcPr>
          <w:p w14:paraId="09E4F6E4"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1,973 </w:t>
            </w:r>
          </w:p>
        </w:tc>
        <w:tc>
          <w:tcPr>
            <w:tcW w:w="1222" w:type="dxa"/>
            <w:tcBorders>
              <w:top w:val="nil"/>
              <w:left w:val="nil"/>
              <w:bottom w:val="nil"/>
              <w:right w:val="nil"/>
            </w:tcBorders>
            <w:shd w:val="clear" w:color="auto" w:fill="auto"/>
            <w:vAlign w:val="bottom"/>
            <w:hideMark/>
          </w:tcPr>
          <w:p w14:paraId="2FE04107"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2,071 </w:t>
            </w:r>
          </w:p>
        </w:tc>
      </w:tr>
      <w:tr w:rsidR="00BD77D8" w:rsidRPr="00BD77D8" w14:paraId="786B8851" w14:textId="77777777" w:rsidTr="003057FB">
        <w:trPr>
          <w:trHeight w:val="269"/>
        </w:trPr>
        <w:tc>
          <w:tcPr>
            <w:tcW w:w="7797" w:type="dxa"/>
            <w:tcBorders>
              <w:top w:val="nil"/>
              <w:left w:val="nil"/>
              <w:bottom w:val="nil"/>
              <w:right w:val="nil"/>
            </w:tcBorders>
            <w:shd w:val="clear" w:color="auto" w:fill="auto"/>
            <w:vAlign w:val="center"/>
            <w:hideMark/>
          </w:tcPr>
          <w:p w14:paraId="20EF8B3B" w14:textId="77777777" w:rsidR="00B9311E" w:rsidRPr="00BD77D8" w:rsidRDefault="00B9311E" w:rsidP="00B9311E">
            <w:pPr>
              <w:spacing w:after="0" w:line="240" w:lineRule="auto"/>
              <w:rPr>
                <w:rFonts w:eastAsia="PMingLiU"/>
                <w:sz w:val="18"/>
                <w:szCs w:val="22"/>
              </w:rPr>
            </w:pPr>
            <w:r w:rsidRPr="00BD77D8">
              <w:rPr>
                <w:rFonts w:eastAsia="PMingLiU"/>
                <w:sz w:val="18"/>
                <w:szCs w:val="22"/>
              </w:rPr>
              <w:t xml:space="preserve"> Concession - Medical cooling and heating electricity </w:t>
            </w:r>
          </w:p>
        </w:tc>
        <w:tc>
          <w:tcPr>
            <w:tcW w:w="1417" w:type="dxa"/>
            <w:tcBorders>
              <w:top w:val="nil"/>
              <w:left w:val="nil"/>
              <w:bottom w:val="nil"/>
              <w:right w:val="nil"/>
            </w:tcBorders>
            <w:shd w:val="clear" w:color="auto" w:fill="auto"/>
            <w:vAlign w:val="bottom"/>
            <w:hideMark/>
          </w:tcPr>
          <w:p w14:paraId="20BD15E6"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1,750 </w:t>
            </w:r>
          </w:p>
        </w:tc>
        <w:tc>
          <w:tcPr>
            <w:tcW w:w="1222" w:type="dxa"/>
            <w:tcBorders>
              <w:top w:val="nil"/>
              <w:left w:val="nil"/>
              <w:bottom w:val="nil"/>
              <w:right w:val="nil"/>
            </w:tcBorders>
            <w:shd w:val="clear" w:color="auto" w:fill="auto"/>
            <w:vAlign w:val="bottom"/>
            <w:hideMark/>
          </w:tcPr>
          <w:p w14:paraId="10FDECA1" w14:textId="77777777" w:rsidR="00B9311E" w:rsidRPr="00BD77D8" w:rsidRDefault="00B9311E" w:rsidP="00B9311E">
            <w:pPr>
              <w:spacing w:after="0" w:line="240" w:lineRule="auto"/>
              <w:jc w:val="right"/>
              <w:rPr>
                <w:rFonts w:eastAsia="PMingLiU"/>
                <w:sz w:val="18"/>
                <w:szCs w:val="22"/>
              </w:rPr>
            </w:pPr>
            <w:r w:rsidRPr="00BD77D8">
              <w:rPr>
                <w:rFonts w:eastAsia="PMingLiU"/>
                <w:sz w:val="18"/>
                <w:szCs w:val="22"/>
              </w:rPr>
              <w:t xml:space="preserve">         1,716 </w:t>
            </w:r>
          </w:p>
        </w:tc>
      </w:tr>
      <w:tr w:rsidR="00BD77D8" w:rsidRPr="00BD77D8" w14:paraId="355B68B7" w14:textId="77777777" w:rsidTr="003057FB">
        <w:trPr>
          <w:trHeight w:val="269"/>
        </w:trPr>
        <w:tc>
          <w:tcPr>
            <w:tcW w:w="7797" w:type="dxa"/>
            <w:tcBorders>
              <w:top w:val="nil"/>
              <w:left w:val="nil"/>
              <w:bottom w:val="nil"/>
              <w:right w:val="nil"/>
            </w:tcBorders>
            <w:shd w:val="clear" w:color="auto" w:fill="auto"/>
            <w:vAlign w:val="center"/>
            <w:hideMark/>
          </w:tcPr>
          <w:p w14:paraId="50599598" w14:textId="77777777" w:rsidR="00B9311E" w:rsidRPr="00BD77D8" w:rsidRDefault="00B9311E" w:rsidP="00B9311E">
            <w:pPr>
              <w:spacing w:after="0" w:line="240" w:lineRule="auto"/>
              <w:rPr>
                <w:rFonts w:eastAsia="PMingLiU"/>
                <w:b/>
                <w:bCs/>
                <w:sz w:val="18"/>
                <w:szCs w:val="22"/>
              </w:rPr>
            </w:pPr>
            <w:r w:rsidRPr="00BD77D8">
              <w:rPr>
                <w:rFonts w:eastAsia="PMingLiU"/>
                <w:b/>
                <w:bCs/>
                <w:sz w:val="18"/>
                <w:szCs w:val="22"/>
              </w:rPr>
              <w:t xml:space="preserve"> Total concession payments </w:t>
            </w:r>
          </w:p>
        </w:tc>
        <w:tc>
          <w:tcPr>
            <w:tcW w:w="1417" w:type="dxa"/>
            <w:tcBorders>
              <w:top w:val="single" w:sz="4" w:space="0" w:color="auto"/>
              <w:left w:val="nil"/>
              <w:bottom w:val="single" w:sz="4" w:space="0" w:color="auto"/>
              <w:right w:val="nil"/>
            </w:tcBorders>
            <w:shd w:val="clear" w:color="auto" w:fill="auto"/>
            <w:vAlign w:val="bottom"/>
            <w:hideMark/>
          </w:tcPr>
          <w:p w14:paraId="17CCBFF6"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390,650 </w:t>
            </w:r>
          </w:p>
        </w:tc>
        <w:tc>
          <w:tcPr>
            <w:tcW w:w="1222" w:type="dxa"/>
            <w:tcBorders>
              <w:top w:val="single" w:sz="4" w:space="0" w:color="auto"/>
              <w:left w:val="nil"/>
              <w:bottom w:val="single" w:sz="4" w:space="0" w:color="auto"/>
              <w:right w:val="nil"/>
            </w:tcBorders>
            <w:shd w:val="clear" w:color="auto" w:fill="auto"/>
            <w:vAlign w:val="bottom"/>
            <w:hideMark/>
          </w:tcPr>
          <w:p w14:paraId="24ED0EBF"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401,653 </w:t>
            </w:r>
          </w:p>
        </w:tc>
      </w:tr>
      <w:tr w:rsidR="00B9311E" w:rsidRPr="00BD77D8" w14:paraId="2C042763" w14:textId="77777777" w:rsidTr="003057FB">
        <w:trPr>
          <w:trHeight w:val="269"/>
        </w:trPr>
        <w:tc>
          <w:tcPr>
            <w:tcW w:w="7797" w:type="dxa"/>
            <w:tcBorders>
              <w:top w:val="nil"/>
              <w:left w:val="nil"/>
              <w:bottom w:val="nil"/>
              <w:right w:val="nil"/>
            </w:tcBorders>
            <w:shd w:val="clear" w:color="auto" w:fill="auto"/>
            <w:vAlign w:val="center"/>
            <w:hideMark/>
          </w:tcPr>
          <w:p w14:paraId="0ECCF838" w14:textId="77777777" w:rsidR="00B9311E" w:rsidRPr="00BD77D8" w:rsidRDefault="00B9311E" w:rsidP="00B9311E">
            <w:pPr>
              <w:spacing w:after="0" w:line="240" w:lineRule="auto"/>
              <w:rPr>
                <w:rFonts w:eastAsia="PMingLiU"/>
                <w:b/>
                <w:bCs/>
                <w:sz w:val="18"/>
                <w:szCs w:val="22"/>
              </w:rPr>
            </w:pPr>
            <w:r w:rsidRPr="00BD77D8">
              <w:rPr>
                <w:rFonts w:eastAsia="PMingLiU"/>
                <w:b/>
                <w:bCs/>
                <w:sz w:val="18"/>
                <w:szCs w:val="22"/>
              </w:rPr>
              <w:t xml:space="preserve"> Total </w:t>
            </w:r>
          </w:p>
        </w:tc>
        <w:tc>
          <w:tcPr>
            <w:tcW w:w="1417" w:type="dxa"/>
            <w:tcBorders>
              <w:top w:val="nil"/>
              <w:left w:val="nil"/>
              <w:bottom w:val="single" w:sz="4" w:space="0" w:color="auto"/>
              <w:right w:val="nil"/>
            </w:tcBorders>
            <w:shd w:val="clear" w:color="auto" w:fill="auto"/>
            <w:vAlign w:val="bottom"/>
            <w:hideMark/>
          </w:tcPr>
          <w:p w14:paraId="685B379C"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2,405,434 </w:t>
            </w:r>
          </w:p>
        </w:tc>
        <w:tc>
          <w:tcPr>
            <w:tcW w:w="1222" w:type="dxa"/>
            <w:tcBorders>
              <w:top w:val="nil"/>
              <w:left w:val="nil"/>
              <w:bottom w:val="single" w:sz="4" w:space="0" w:color="auto"/>
              <w:right w:val="nil"/>
            </w:tcBorders>
            <w:shd w:val="clear" w:color="auto" w:fill="auto"/>
            <w:vAlign w:val="bottom"/>
            <w:hideMark/>
          </w:tcPr>
          <w:p w14:paraId="0E714F84" w14:textId="77777777" w:rsidR="00B9311E" w:rsidRPr="00BD77D8" w:rsidRDefault="00B9311E" w:rsidP="00B9311E">
            <w:pPr>
              <w:spacing w:after="0" w:line="240" w:lineRule="auto"/>
              <w:jc w:val="right"/>
              <w:rPr>
                <w:rFonts w:eastAsia="PMingLiU"/>
                <w:b/>
                <w:bCs/>
                <w:sz w:val="18"/>
                <w:szCs w:val="22"/>
              </w:rPr>
            </w:pPr>
            <w:r w:rsidRPr="00BD77D8">
              <w:rPr>
                <w:rFonts w:eastAsia="PMingLiU"/>
                <w:b/>
                <w:bCs/>
                <w:sz w:val="18"/>
                <w:szCs w:val="22"/>
              </w:rPr>
              <w:t xml:space="preserve"> 2,406,599 </w:t>
            </w:r>
          </w:p>
        </w:tc>
      </w:tr>
    </w:tbl>
    <w:p w14:paraId="3667CFCA" w14:textId="77777777" w:rsidR="00B9311E" w:rsidRPr="00BD77D8" w:rsidRDefault="00B9311E" w:rsidP="00B9311E">
      <w:pPr>
        <w:spacing w:after="0" w:line="20" w:lineRule="exact"/>
        <w:rPr>
          <w:rFonts w:eastAsia="PMingLiU"/>
          <w:sz w:val="18"/>
          <w:szCs w:val="22"/>
          <w:lang w:val="en-US" w:eastAsia="en-US"/>
        </w:rPr>
      </w:pPr>
    </w:p>
    <w:p w14:paraId="479B5585" w14:textId="77777777" w:rsidR="00B9311E" w:rsidRPr="00BD77D8" w:rsidRDefault="00B9311E" w:rsidP="00B9311E">
      <w:pPr>
        <w:spacing w:after="0" w:line="20" w:lineRule="exact"/>
        <w:rPr>
          <w:rFonts w:eastAsia="PMingLiU"/>
          <w:b/>
          <w:sz w:val="18"/>
          <w:szCs w:val="18"/>
          <w:lang w:eastAsia="en-US"/>
        </w:rPr>
      </w:pPr>
    </w:p>
    <w:p w14:paraId="2D2CA0B1" w14:textId="77777777" w:rsidR="00B9311E" w:rsidRPr="00BD77D8" w:rsidRDefault="00B9311E" w:rsidP="00B9311E">
      <w:pPr>
        <w:spacing w:after="0" w:line="20" w:lineRule="exact"/>
        <w:rPr>
          <w:rFonts w:eastAsia="PMingLiU"/>
          <w:b/>
          <w:sz w:val="18"/>
          <w:szCs w:val="18"/>
          <w:lang w:eastAsia="en-US"/>
        </w:rPr>
      </w:pPr>
    </w:p>
    <w:p w14:paraId="241D63D2" w14:textId="77777777" w:rsidR="00B9311E" w:rsidRPr="00BD77D8" w:rsidRDefault="00B9311E" w:rsidP="00B9311E">
      <w:pPr>
        <w:spacing w:after="0" w:line="20" w:lineRule="exact"/>
        <w:rPr>
          <w:rFonts w:eastAsia="PMingLiU"/>
          <w:b/>
          <w:sz w:val="18"/>
          <w:szCs w:val="18"/>
          <w:lang w:eastAsia="en-US"/>
        </w:rPr>
      </w:pPr>
    </w:p>
    <w:p w14:paraId="168B27A3" w14:textId="77777777" w:rsidR="00B9311E" w:rsidRPr="00BD77D8" w:rsidRDefault="00B9311E" w:rsidP="00B9311E">
      <w:pPr>
        <w:spacing w:after="0" w:line="20" w:lineRule="exact"/>
        <w:rPr>
          <w:rFonts w:eastAsia="PMingLiU"/>
          <w:b/>
          <w:sz w:val="18"/>
          <w:szCs w:val="18"/>
          <w:lang w:eastAsia="en-US"/>
        </w:rPr>
      </w:pPr>
    </w:p>
    <w:p w14:paraId="737C6277" w14:textId="77777777" w:rsidR="00B9311E" w:rsidRPr="00BD77D8" w:rsidRDefault="00B9311E" w:rsidP="00B9311E">
      <w:pPr>
        <w:spacing w:after="0" w:line="20" w:lineRule="exact"/>
        <w:rPr>
          <w:rFonts w:eastAsia="PMingLiU"/>
          <w:b/>
          <w:sz w:val="18"/>
          <w:szCs w:val="18"/>
          <w:lang w:eastAsia="en-US"/>
        </w:rPr>
      </w:pPr>
    </w:p>
    <w:p w14:paraId="05DA6FA9" w14:textId="77777777" w:rsidR="00B9311E" w:rsidRPr="00BD77D8" w:rsidRDefault="00B9311E" w:rsidP="00B9311E">
      <w:pPr>
        <w:spacing w:after="0" w:line="20" w:lineRule="exact"/>
        <w:rPr>
          <w:rFonts w:eastAsia="PMingLiU"/>
          <w:b/>
          <w:sz w:val="18"/>
          <w:szCs w:val="18"/>
          <w:lang w:eastAsia="en-US"/>
        </w:rPr>
      </w:pPr>
    </w:p>
    <w:p w14:paraId="27FA66C2" w14:textId="77777777" w:rsidR="00B9311E" w:rsidRPr="00BD77D8" w:rsidRDefault="00B9311E" w:rsidP="00B9311E">
      <w:pPr>
        <w:spacing w:after="0" w:line="20" w:lineRule="exact"/>
        <w:rPr>
          <w:rFonts w:eastAsia="PMingLiU"/>
          <w:b/>
          <w:sz w:val="18"/>
          <w:szCs w:val="18"/>
          <w:lang w:eastAsia="en-US"/>
        </w:rPr>
      </w:pPr>
    </w:p>
    <w:p w14:paraId="0D6EE529" w14:textId="3DC190CC" w:rsidR="00B9311E" w:rsidRPr="00BD77D8" w:rsidRDefault="00B9311E" w:rsidP="00B9311E">
      <w:pPr>
        <w:spacing w:after="0" w:line="205" w:lineRule="exact"/>
        <w:textAlignment w:val="baseline"/>
        <w:rPr>
          <w:rFonts w:eastAsia="PMingLiU"/>
          <w:sz w:val="16"/>
          <w:szCs w:val="20"/>
          <w:lang w:eastAsia="en-US"/>
        </w:rPr>
      </w:pPr>
      <w:r w:rsidRPr="00BD77D8">
        <w:rPr>
          <w:rFonts w:eastAsia="Arial"/>
          <w:iCs/>
          <w:spacing w:val="-3"/>
          <w:sz w:val="16"/>
          <w:szCs w:val="16"/>
          <w:lang w:eastAsia="en-US"/>
        </w:rPr>
        <w:t xml:space="preserve">* Transfer of land </w:t>
      </w:r>
      <w:r w:rsidRPr="00BD77D8">
        <w:rPr>
          <w:rFonts w:eastAsia="PMingLiU"/>
          <w:sz w:val="16"/>
          <w:szCs w:val="20"/>
          <w:lang w:eastAsia="en-US"/>
        </w:rPr>
        <w:t xml:space="preserve">and building, </w:t>
      </w:r>
      <w:proofErr w:type="spellStart"/>
      <w:r w:rsidRPr="00BD77D8">
        <w:rPr>
          <w:rFonts w:eastAsia="PMingLiU"/>
          <w:sz w:val="16"/>
          <w:szCs w:val="20"/>
          <w:lang w:eastAsia="en-US"/>
        </w:rPr>
        <w:t>Olandi</w:t>
      </w:r>
      <w:proofErr w:type="spellEnd"/>
      <w:r w:rsidRPr="00BD77D8">
        <w:rPr>
          <w:rFonts w:eastAsia="PMingLiU"/>
          <w:sz w:val="16"/>
          <w:szCs w:val="20"/>
          <w:lang w:eastAsia="en-US"/>
        </w:rPr>
        <w:t xml:space="preserve"> Hall, to the Torres Shire Council. Refer to the Statement of Changes in Equity for further information.</w:t>
      </w:r>
    </w:p>
    <w:p w14:paraId="0F42577B" w14:textId="46E97013" w:rsidR="00FE0355" w:rsidRPr="00BD77D8" w:rsidRDefault="00FE0355" w:rsidP="0089639E">
      <w:pPr>
        <w:spacing w:before="1200" w:after="0" w:line="205" w:lineRule="exact"/>
        <w:textAlignment w:val="baseline"/>
        <w:rPr>
          <w:rFonts w:eastAsia="Arial"/>
          <w:b/>
          <w:bCs/>
          <w:iCs/>
          <w:spacing w:val="-3"/>
          <w:sz w:val="18"/>
          <w:szCs w:val="18"/>
          <w:lang w:eastAsia="en-US"/>
        </w:rPr>
      </w:pP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6"/>
          <w:szCs w:val="20"/>
          <w:lang w:eastAsia="en-US"/>
        </w:rPr>
        <w:tab/>
      </w:r>
      <w:r w:rsidRPr="00BD77D8">
        <w:rPr>
          <w:rFonts w:eastAsia="PMingLiU"/>
          <w:sz w:val="18"/>
          <w:szCs w:val="18"/>
          <w:lang w:eastAsia="en-US"/>
        </w:rPr>
        <w:t>Page 42 of 45</w:t>
      </w:r>
    </w:p>
    <w:p w14:paraId="58FBC74D" w14:textId="77777777" w:rsidR="00B9311E" w:rsidRPr="00BD77D8" w:rsidRDefault="00B9311E" w:rsidP="00B9311E">
      <w:pPr>
        <w:spacing w:after="0" w:line="20" w:lineRule="exact"/>
        <w:rPr>
          <w:rFonts w:eastAsia="PMingLiU"/>
          <w:b/>
          <w:sz w:val="16"/>
          <w:szCs w:val="16"/>
          <w:lang w:eastAsia="en-US"/>
        </w:rPr>
      </w:pPr>
    </w:p>
    <w:p w14:paraId="4C599BF5" w14:textId="7988CA7B" w:rsidR="00A5785D" w:rsidRPr="00BD77D8" w:rsidRDefault="00A5785D" w:rsidP="00B9311E">
      <w:pPr>
        <w:spacing w:after="0" w:line="20" w:lineRule="exact"/>
        <w:rPr>
          <w:rFonts w:eastAsia="PMingLiU"/>
          <w:b/>
          <w:sz w:val="16"/>
          <w:szCs w:val="16"/>
          <w:lang w:eastAsia="en-US"/>
        </w:rPr>
      </w:pPr>
    </w:p>
    <w:p w14:paraId="0FCCC581" w14:textId="77777777" w:rsidR="00FE0355" w:rsidRPr="00BD77D8" w:rsidRDefault="00FE0355" w:rsidP="00B9311E">
      <w:pPr>
        <w:spacing w:after="0" w:line="20" w:lineRule="exact"/>
        <w:rPr>
          <w:rFonts w:eastAsia="PMingLiU"/>
          <w:b/>
          <w:sz w:val="16"/>
          <w:szCs w:val="16"/>
          <w:lang w:eastAsia="en-US"/>
        </w:rPr>
      </w:pPr>
    </w:p>
    <w:p w14:paraId="14588A2A" w14:textId="77777777" w:rsidR="00A5785D" w:rsidRPr="00BD77D8" w:rsidRDefault="00A5785D" w:rsidP="00B9311E">
      <w:pPr>
        <w:spacing w:after="0" w:line="20" w:lineRule="exact"/>
        <w:rPr>
          <w:rFonts w:eastAsia="PMingLiU"/>
          <w:b/>
          <w:sz w:val="16"/>
          <w:szCs w:val="16"/>
          <w:lang w:eastAsia="en-US"/>
        </w:rPr>
      </w:pPr>
    </w:p>
    <w:p w14:paraId="725A17D4" w14:textId="24C0D282" w:rsidR="00A5785D" w:rsidRPr="00BD77D8" w:rsidRDefault="00A5785D" w:rsidP="00B9311E">
      <w:pPr>
        <w:spacing w:after="0" w:line="20" w:lineRule="exact"/>
        <w:rPr>
          <w:rFonts w:eastAsia="PMingLiU"/>
          <w:b/>
          <w:sz w:val="16"/>
          <w:szCs w:val="16"/>
          <w:lang w:eastAsia="en-US"/>
        </w:rPr>
        <w:sectPr w:rsidR="00A5785D" w:rsidRPr="00BD77D8" w:rsidSect="000160CF">
          <w:type w:val="nextColumn"/>
          <w:pgSz w:w="11909" w:h="16838"/>
          <w:pgMar w:top="794" w:right="794" w:bottom="794" w:left="794" w:header="720" w:footer="720" w:gutter="0"/>
          <w:cols w:space="720"/>
        </w:sectPr>
      </w:pPr>
    </w:p>
    <w:p w14:paraId="05511A3A"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1367E071"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1319F977" w14:textId="77777777" w:rsidR="00B9311E" w:rsidRPr="00BD77D8" w:rsidRDefault="00B9311E" w:rsidP="00B9311E">
      <w:pPr>
        <w:spacing w:after="0" w:line="199"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6683F65C" w14:textId="77777777" w:rsidR="00B9311E" w:rsidRPr="00BD77D8" w:rsidRDefault="00B9311E" w:rsidP="00B9311E">
      <w:pPr>
        <w:pBdr>
          <w:bottom w:val="single" w:sz="4" w:space="1" w:color="auto"/>
        </w:pBdr>
        <w:spacing w:after="0" w:line="252" w:lineRule="exact"/>
        <w:textAlignment w:val="baseline"/>
        <w:rPr>
          <w:rFonts w:eastAsia="Arial"/>
          <w:b/>
          <w:spacing w:val="-1"/>
          <w:sz w:val="18"/>
          <w:szCs w:val="18"/>
          <w:lang w:eastAsia="en-US"/>
        </w:rPr>
      </w:pPr>
    </w:p>
    <w:p w14:paraId="61DBD7B3" w14:textId="77777777" w:rsidR="00B9311E" w:rsidRPr="00BD77D8" w:rsidRDefault="00B9311E" w:rsidP="00727CAE">
      <w:pPr>
        <w:spacing w:before="200" w:line="180" w:lineRule="atLeast"/>
        <w:textAlignment w:val="baseline"/>
        <w:rPr>
          <w:rFonts w:eastAsia="Arial"/>
          <w:b/>
          <w:bCs/>
          <w:spacing w:val="-1"/>
          <w:sz w:val="22"/>
          <w:szCs w:val="22"/>
          <w:lang w:eastAsia="en-US"/>
        </w:rPr>
      </w:pPr>
      <w:r w:rsidRPr="00BD77D8">
        <w:rPr>
          <w:rFonts w:eastAsia="Arial"/>
          <w:b/>
          <w:bCs/>
          <w:spacing w:val="-1"/>
          <w:sz w:val="22"/>
          <w:szCs w:val="22"/>
          <w:lang w:eastAsia="en-US"/>
        </w:rPr>
        <w:t>G1 Administered (continued)</w:t>
      </w:r>
    </w:p>
    <w:p w14:paraId="6CBAB02D" w14:textId="77777777" w:rsidR="00B9311E" w:rsidRPr="00BD77D8" w:rsidRDefault="00B9311E" w:rsidP="007D087A">
      <w:pPr>
        <w:rPr>
          <w:rFonts w:ascii="Calibri Light" w:eastAsia="Arial" w:hAnsi="Calibri Light" w:cs="Times New Roman"/>
          <w:b/>
          <w:bCs/>
          <w:sz w:val="22"/>
          <w:szCs w:val="22"/>
          <w:lang w:eastAsia="en-US"/>
        </w:rPr>
      </w:pPr>
      <w:bookmarkStart w:id="710" w:name="_Toc111494833"/>
      <w:bookmarkStart w:id="711" w:name="_Toc111540719"/>
      <w:bookmarkStart w:id="712" w:name="_Toc111559270"/>
      <w:bookmarkStart w:id="713" w:name="_Toc113196542"/>
      <w:bookmarkStart w:id="714" w:name="_Toc113196890"/>
      <w:bookmarkStart w:id="715" w:name="_Toc113262020"/>
      <w:bookmarkStart w:id="716" w:name="_Toc113349174"/>
      <w:bookmarkStart w:id="717" w:name="_Toc113358099"/>
      <w:r w:rsidRPr="00BD77D8">
        <w:rPr>
          <w:rFonts w:eastAsia="Arial"/>
          <w:b/>
          <w:bCs/>
          <w:sz w:val="22"/>
          <w:szCs w:val="22"/>
          <w:lang w:eastAsia="en-US"/>
        </w:rPr>
        <w:t>G1-7 Receivables</w:t>
      </w:r>
      <w:bookmarkEnd w:id="710"/>
      <w:bookmarkEnd w:id="711"/>
      <w:bookmarkEnd w:id="712"/>
      <w:bookmarkEnd w:id="713"/>
      <w:bookmarkEnd w:id="714"/>
      <w:bookmarkEnd w:id="715"/>
      <w:bookmarkEnd w:id="716"/>
      <w:bookmarkEnd w:id="717"/>
    </w:p>
    <w:tbl>
      <w:tblPr>
        <w:tblW w:w="10348" w:type="dxa"/>
        <w:tblCellMar>
          <w:left w:w="0" w:type="dxa"/>
          <w:right w:w="0" w:type="dxa"/>
        </w:tblCellMar>
        <w:tblLook w:val="04A0" w:firstRow="1" w:lastRow="0" w:firstColumn="1" w:lastColumn="0" w:noHBand="0" w:noVBand="1"/>
      </w:tblPr>
      <w:tblGrid>
        <w:gridCol w:w="7952"/>
        <w:gridCol w:w="1324"/>
        <w:gridCol w:w="1072"/>
      </w:tblGrid>
      <w:tr w:rsidR="00BD77D8" w:rsidRPr="00BD77D8" w14:paraId="4727BFDE" w14:textId="77777777" w:rsidTr="003057FB">
        <w:trPr>
          <w:trHeight w:val="283"/>
        </w:trPr>
        <w:tc>
          <w:tcPr>
            <w:tcW w:w="7984" w:type="dxa"/>
            <w:vMerge w:val="restart"/>
            <w:tcBorders>
              <w:top w:val="nil"/>
              <w:left w:val="nil"/>
              <w:bottom w:val="nil"/>
              <w:right w:val="nil"/>
            </w:tcBorders>
            <w:shd w:val="clear" w:color="auto" w:fill="auto"/>
            <w:vAlign w:val="bottom"/>
            <w:hideMark/>
          </w:tcPr>
          <w:p w14:paraId="51058EA1" w14:textId="77777777" w:rsidR="00B9311E" w:rsidRPr="00BD77D8" w:rsidRDefault="00B9311E" w:rsidP="00B9311E">
            <w:pPr>
              <w:spacing w:after="0" w:line="240" w:lineRule="auto"/>
              <w:rPr>
                <w:rFonts w:ascii="Times New Roman" w:hAnsi="Times New Roman" w:cs="Times New Roman"/>
                <w:sz w:val="24"/>
                <w:szCs w:val="24"/>
              </w:rPr>
            </w:pPr>
          </w:p>
        </w:tc>
        <w:tc>
          <w:tcPr>
            <w:tcW w:w="1308" w:type="dxa"/>
            <w:tcBorders>
              <w:top w:val="nil"/>
              <w:left w:val="nil"/>
              <w:bottom w:val="nil"/>
              <w:right w:val="nil"/>
            </w:tcBorders>
            <w:shd w:val="clear" w:color="auto" w:fill="auto"/>
            <w:noWrap/>
            <w:vAlign w:val="bottom"/>
            <w:hideMark/>
          </w:tcPr>
          <w:p w14:paraId="5D3DA010"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1056" w:type="dxa"/>
            <w:tcBorders>
              <w:top w:val="nil"/>
              <w:left w:val="nil"/>
              <w:bottom w:val="nil"/>
              <w:right w:val="nil"/>
            </w:tcBorders>
            <w:shd w:val="clear" w:color="auto" w:fill="auto"/>
            <w:noWrap/>
            <w:vAlign w:val="bottom"/>
            <w:hideMark/>
          </w:tcPr>
          <w:p w14:paraId="20325D08"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2EC400E3" w14:textId="77777777" w:rsidTr="003057FB">
        <w:trPr>
          <w:trHeight w:val="283"/>
        </w:trPr>
        <w:tc>
          <w:tcPr>
            <w:tcW w:w="7984" w:type="dxa"/>
            <w:vMerge/>
            <w:tcBorders>
              <w:top w:val="nil"/>
              <w:left w:val="nil"/>
              <w:bottom w:val="nil"/>
              <w:right w:val="nil"/>
            </w:tcBorders>
            <w:vAlign w:val="center"/>
            <w:hideMark/>
          </w:tcPr>
          <w:p w14:paraId="5AF877D2" w14:textId="77777777" w:rsidR="00B9311E" w:rsidRPr="00BD77D8" w:rsidRDefault="00B9311E" w:rsidP="00B9311E">
            <w:pPr>
              <w:spacing w:after="0" w:line="240" w:lineRule="auto"/>
              <w:rPr>
                <w:rFonts w:ascii="Times New Roman" w:hAnsi="Times New Roman" w:cs="Times New Roman"/>
                <w:sz w:val="24"/>
                <w:szCs w:val="24"/>
              </w:rPr>
            </w:pPr>
          </w:p>
        </w:tc>
        <w:tc>
          <w:tcPr>
            <w:tcW w:w="1308" w:type="dxa"/>
            <w:tcBorders>
              <w:top w:val="nil"/>
              <w:left w:val="nil"/>
              <w:bottom w:val="single" w:sz="4" w:space="0" w:color="auto"/>
              <w:right w:val="nil"/>
            </w:tcBorders>
            <w:shd w:val="clear" w:color="auto" w:fill="auto"/>
            <w:vAlign w:val="bottom"/>
            <w:hideMark/>
          </w:tcPr>
          <w:p w14:paraId="09199AC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1056" w:type="dxa"/>
            <w:tcBorders>
              <w:top w:val="nil"/>
              <w:left w:val="nil"/>
              <w:bottom w:val="single" w:sz="4" w:space="0" w:color="auto"/>
              <w:right w:val="nil"/>
            </w:tcBorders>
            <w:shd w:val="clear" w:color="auto" w:fill="auto"/>
            <w:vAlign w:val="bottom"/>
            <w:hideMark/>
          </w:tcPr>
          <w:p w14:paraId="36532520"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70E23C94" w14:textId="77777777" w:rsidTr="003057FB">
        <w:trPr>
          <w:trHeight w:val="283"/>
        </w:trPr>
        <w:tc>
          <w:tcPr>
            <w:tcW w:w="7984" w:type="dxa"/>
            <w:tcBorders>
              <w:top w:val="nil"/>
              <w:left w:val="nil"/>
              <w:bottom w:val="nil"/>
              <w:right w:val="nil"/>
            </w:tcBorders>
            <w:shd w:val="clear" w:color="auto" w:fill="auto"/>
            <w:vAlign w:val="bottom"/>
            <w:hideMark/>
          </w:tcPr>
          <w:p w14:paraId="3062CA26" w14:textId="77777777" w:rsidR="00B9311E" w:rsidRPr="00BD77D8" w:rsidRDefault="00B9311E" w:rsidP="00B9311E">
            <w:pPr>
              <w:spacing w:after="0" w:line="240" w:lineRule="auto"/>
              <w:rPr>
                <w:b/>
                <w:bCs/>
                <w:sz w:val="18"/>
                <w:szCs w:val="18"/>
              </w:rPr>
            </w:pPr>
            <w:r w:rsidRPr="00BD77D8">
              <w:rPr>
                <w:b/>
                <w:bCs/>
                <w:sz w:val="18"/>
                <w:szCs w:val="18"/>
              </w:rPr>
              <w:t xml:space="preserve"> Current </w:t>
            </w:r>
          </w:p>
        </w:tc>
        <w:tc>
          <w:tcPr>
            <w:tcW w:w="1308" w:type="dxa"/>
            <w:tcBorders>
              <w:top w:val="nil"/>
              <w:left w:val="nil"/>
              <w:bottom w:val="nil"/>
              <w:right w:val="nil"/>
            </w:tcBorders>
            <w:shd w:val="clear" w:color="auto" w:fill="auto"/>
            <w:vAlign w:val="bottom"/>
            <w:hideMark/>
          </w:tcPr>
          <w:p w14:paraId="58F1EACC" w14:textId="77777777" w:rsidR="00B9311E" w:rsidRPr="00BD77D8" w:rsidRDefault="00B9311E" w:rsidP="00B9311E">
            <w:pPr>
              <w:spacing w:after="0" w:line="240" w:lineRule="auto"/>
              <w:rPr>
                <w:b/>
                <w:bCs/>
                <w:sz w:val="18"/>
                <w:szCs w:val="18"/>
              </w:rPr>
            </w:pPr>
          </w:p>
        </w:tc>
        <w:tc>
          <w:tcPr>
            <w:tcW w:w="1056" w:type="dxa"/>
            <w:tcBorders>
              <w:top w:val="nil"/>
              <w:left w:val="nil"/>
              <w:bottom w:val="nil"/>
              <w:right w:val="nil"/>
            </w:tcBorders>
            <w:shd w:val="clear" w:color="auto" w:fill="auto"/>
            <w:vAlign w:val="bottom"/>
            <w:hideMark/>
          </w:tcPr>
          <w:p w14:paraId="53C96987"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76BA9B45" w14:textId="77777777" w:rsidTr="003057FB">
        <w:trPr>
          <w:trHeight w:val="283"/>
        </w:trPr>
        <w:tc>
          <w:tcPr>
            <w:tcW w:w="7984" w:type="dxa"/>
            <w:tcBorders>
              <w:top w:val="nil"/>
              <w:left w:val="nil"/>
              <w:bottom w:val="nil"/>
              <w:right w:val="nil"/>
            </w:tcBorders>
            <w:shd w:val="clear" w:color="auto" w:fill="auto"/>
            <w:vAlign w:val="bottom"/>
            <w:hideMark/>
          </w:tcPr>
          <w:p w14:paraId="323AE01E" w14:textId="77777777" w:rsidR="00B9311E" w:rsidRPr="00BD77D8" w:rsidRDefault="00B9311E" w:rsidP="00B9311E">
            <w:pPr>
              <w:spacing w:after="0" w:line="240" w:lineRule="auto"/>
              <w:rPr>
                <w:sz w:val="18"/>
                <w:szCs w:val="18"/>
              </w:rPr>
            </w:pPr>
            <w:r w:rsidRPr="00BD77D8">
              <w:rPr>
                <w:sz w:val="18"/>
                <w:szCs w:val="18"/>
              </w:rPr>
              <w:t xml:space="preserve"> Trade and other debtors </w:t>
            </w:r>
          </w:p>
        </w:tc>
        <w:tc>
          <w:tcPr>
            <w:tcW w:w="1308" w:type="dxa"/>
            <w:tcBorders>
              <w:top w:val="nil"/>
              <w:left w:val="nil"/>
              <w:bottom w:val="single" w:sz="4" w:space="0" w:color="auto"/>
              <w:right w:val="nil"/>
            </w:tcBorders>
            <w:shd w:val="clear" w:color="auto" w:fill="auto"/>
            <w:vAlign w:val="bottom"/>
            <w:hideMark/>
          </w:tcPr>
          <w:p w14:paraId="17B4BD89" w14:textId="77777777" w:rsidR="00B9311E" w:rsidRPr="00BD77D8" w:rsidRDefault="00B9311E" w:rsidP="00B9311E">
            <w:pPr>
              <w:spacing w:after="0" w:line="240" w:lineRule="auto"/>
              <w:jc w:val="right"/>
              <w:rPr>
                <w:sz w:val="18"/>
                <w:szCs w:val="18"/>
              </w:rPr>
            </w:pPr>
            <w:r w:rsidRPr="00BD77D8">
              <w:rPr>
                <w:sz w:val="18"/>
                <w:szCs w:val="18"/>
              </w:rPr>
              <w:t xml:space="preserve">              23 </w:t>
            </w:r>
          </w:p>
        </w:tc>
        <w:tc>
          <w:tcPr>
            <w:tcW w:w="1056" w:type="dxa"/>
            <w:tcBorders>
              <w:top w:val="nil"/>
              <w:left w:val="nil"/>
              <w:bottom w:val="single" w:sz="4" w:space="0" w:color="auto"/>
              <w:right w:val="nil"/>
            </w:tcBorders>
            <w:shd w:val="clear" w:color="auto" w:fill="auto"/>
            <w:vAlign w:val="bottom"/>
            <w:hideMark/>
          </w:tcPr>
          <w:p w14:paraId="0BD7F40F" w14:textId="77777777" w:rsidR="00B9311E" w:rsidRPr="00BD77D8" w:rsidRDefault="00B9311E" w:rsidP="00B9311E">
            <w:pPr>
              <w:spacing w:after="0" w:line="240" w:lineRule="auto"/>
              <w:jc w:val="right"/>
              <w:rPr>
                <w:sz w:val="18"/>
                <w:szCs w:val="18"/>
              </w:rPr>
            </w:pPr>
            <w:r w:rsidRPr="00BD77D8">
              <w:rPr>
                <w:sz w:val="18"/>
                <w:szCs w:val="18"/>
              </w:rPr>
              <w:t xml:space="preserve">                 - </w:t>
            </w:r>
          </w:p>
        </w:tc>
      </w:tr>
      <w:tr w:rsidR="00BD77D8" w:rsidRPr="00BD77D8" w14:paraId="2DF68C76" w14:textId="77777777" w:rsidTr="003057FB">
        <w:trPr>
          <w:trHeight w:val="298"/>
        </w:trPr>
        <w:tc>
          <w:tcPr>
            <w:tcW w:w="7984" w:type="dxa"/>
            <w:tcBorders>
              <w:top w:val="nil"/>
              <w:left w:val="nil"/>
              <w:bottom w:val="nil"/>
              <w:right w:val="nil"/>
            </w:tcBorders>
            <w:shd w:val="clear" w:color="auto" w:fill="auto"/>
            <w:vAlign w:val="bottom"/>
            <w:hideMark/>
          </w:tcPr>
          <w:p w14:paraId="6FE38C44" w14:textId="77777777" w:rsidR="00B9311E" w:rsidRPr="00BD77D8" w:rsidRDefault="00B9311E" w:rsidP="00B9311E">
            <w:pPr>
              <w:spacing w:after="0" w:line="240" w:lineRule="auto"/>
              <w:rPr>
                <w:b/>
                <w:bCs/>
                <w:sz w:val="24"/>
                <w:szCs w:val="24"/>
              </w:rPr>
            </w:pPr>
            <w:r w:rsidRPr="00BD77D8">
              <w:rPr>
                <w:b/>
                <w:bCs/>
                <w:sz w:val="24"/>
                <w:szCs w:val="24"/>
              </w:rPr>
              <w:t xml:space="preserve">   </w:t>
            </w:r>
          </w:p>
        </w:tc>
        <w:tc>
          <w:tcPr>
            <w:tcW w:w="1308" w:type="dxa"/>
            <w:tcBorders>
              <w:top w:val="nil"/>
              <w:left w:val="nil"/>
              <w:bottom w:val="nil"/>
              <w:right w:val="nil"/>
            </w:tcBorders>
            <w:shd w:val="clear" w:color="auto" w:fill="auto"/>
            <w:vAlign w:val="bottom"/>
            <w:hideMark/>
          </w:tcPr>
          <w:p w14:paraId="0789039E" w14:textId="77777777" w:rsidR="00B9311E" w:rsidRPr="00BD77D8" w:rsidRDefault="00B9311E" w:rsidP="00B9311E">
            <w:pPr>
              <w:spacing w:after="0" w:line="240" w:lineRule="auto"/>
              <w:jc w:val="right"/>
              <w:rPr>
                <w:b/>
                <w:bCs/>
                <w:sz w:val="18"/>
                <w:szCs w:val="18"/>
              </w:rPr>
            </w:pPr>
            <w:r w:rsidRPr="00BD77D8">
              <w:rPr>
                <w:b/>
                <w:bCs/>
                <w:sz w:val="18"/>
                <w:szCs w:val="18"/>
              </w:rPr>
              <w:t xml:space="preserve">              23 </w:t>
            </w:r>
          </w:p>
        </w:tc>
        <w:tc>
          <w:tcPr>
            <w:tcW w:w="1056" w:type="dxa"/>
            <w:tcBorders>
              <w:top w:val="nil"/>
              <w:left w:val="nil"/>
              <w:bottom w:val="nil"/>
              <w:right w:val="nil"/>
            </w:tcBorders>
            <w:shd w:val="clear" w:color="auto" w:fill="auto"/>
            <w:vAlign w:val="bottom"/>
            <w:hideMark/>
          </w:tcPr>
          <w:p w14:paraId="2E5C8211" w14:textId="77777777" w:rsidR="00B9311E" w:rsidRPr="00BD77D8" w:rsidRDefault="00B9311E" w:rsidP="00B9311E">
            <w:pPr>
              <w:spacing w:after="0" w:line="240" w:lineRule="auto"/>
              <w:jc w:val="right"/>
              <w:rPr>
                <w:b/>
                <w:bCs/>
                <w:sz w:val="18"/>
                <w:szCs w:val="18"/>
              </w:rPr>
            </w:pPr>
            <w:r w:rsidRPr="00BD77D8">
              <w:rPr>
                <w:b/>
                <w:bCs/>
                <w:sz w:val="18"/>
                <w:szCs w:val="18"/>
              </w:rPr>
              <w:t xml:space="preserve">                 - </w:t>
            </w:r>
          </w:p>
        </w:tc>
      </w:tr>
      <w:tr w:rsidR="00BD77D8" w:rsidRPr="00BD77D8" w14:paraId="0192FAA9" w14:textId="77777777" w:rsidTr="003057FB">
        <w:trPr>
          <w:trHeight w:val="119"/>
        </w:trPr>
        <w:tc>
          <w:tcPr>
            <w:tcW w:w="7984" w:type="dxa"/>
            <w:tcBorders>
              <w:top w:val="nil"/>
              <w:left w:val="nil"/>
              <w:bottom w:val="nil"/>
              <w:right w:val="nil"/>
            </w:tcBorders>
            <w:shd w:val="clear" w:color="auto" w:fill="auto"/>
            <w:vAlign w:val="bottom"/>
            <w:hideMark/>
          </w:tcPr>
          <w:p w14:paraId="66774CE1" w14:textId="77777777" w:rsidR="00B9311E" w:rsidRPr="00BD77D8" w:rsidRDefault="00B9311E" w:rsidP="00B9311E">
            <w:pPr>
              <w:spacing w:after="0" w:line="240" w:lineRule="auto"/>
              <w:jc w:val="right"/>
              <w:rPr>
                <w:sz w:val="18"/>
                <w:szCs w:val="18"/>
              </w:rPr>
            </w:pPr>
          </w:p>
        </w:tc>
        <w:tc>
          <w:tcPr>
            <w:tcW w:w="1308" w:type="dxa"/>
            <w:tcBorders>
              <w:top w:val="nil"/>
              <w:left w:val="nil"/>
              <w:bottom w:val="nil"/>
              <w:right w:val="nil"/>
            </w:tcBorders>
            <w:shd w:val="clear" w:color="auto" w:fill="auto"/>
            <w:vAlign w:val="bottom"/>
            <w:hideMark/>
          </w:tcPr>
          <w:p w14:paraId="09CD2E8E" w14:textId="77777777" w:rsidR="00B9311E" w:rsidRPr="00BD77D8" w:rsidRDefault="00B9311E" w:rsidP="00B9311E">
            <w:pPr>
              <w:spacing w:after="0" w:line="240" w:lineRule="auto"/>
              <w:rPr>
                <w:rFonts w:ascii="Times New Roman" w:hAnsi="Times New Roman" w:cs="Times New Roman"/>
                <w:sz w:val="20"/>
                <w:szCs w:val="20"/>
              </w:rPr>
            </w:pPr>
          </w:p>
        </w:tc>
        <w:tc>
          <w:tcPr>
            <w:tcW w:w="1056" w:type="dxa"/>
            <w:tcBorders>
              <w:top w:val="nil"/>
              <w:left w:val="nil"/>
              <w:bottom w:val="nil"/>
              <w:right w:val="nil"/>
            </w:tcBorders>
            <w:shd w:val="clear" w:color="auto" w:fill="auto"/>
            <w:vAlign w:val="bottom"/>
            <w:hideMark/>
          </w:tcPr>
          <w:p w14:paraId="1F7FB6C2"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359129CB" w14:textId="77777777" w:rsidTr="003057FB">
        <w:trPr>
          <w:trHeight w:val="283"/>
        </w:trPr>
        <w:tc>
          <w:tcPr>
            <w:tcW w:w="7984" w:type="dxa"/>
            <w:tcBorders>
              <w:top w:val="nil"/>
              <w:left w:val="nil"/>
              <w:bottom w:val="nil"/>
              <w:right w:val="nil"/>
            </w:tcBorders>
            <w:shd w:val="clear" w:color="auto" w:fill="auto"/>
            <w:vAlign w:val="bottom"/>
            <w:hideMark/>
          </w:tcPr>
          <w:p w14:paraId="7EA6D220" w14:textId="77777777" w:rsidR="00B9311E" w:rsidRPr="00BD77D8" w:rsidRDefault="00B9311E" w:rsidP="00B9311E">
            <w:pPr>
              <w:spacing w:after="0" w:line="240" w:lineRule="auto"/>
              <w:rPr>
                <w:sz w:val="18"/>
                <w:szCs w:val="18"/>
              </w:rPr>
            </w:pPr>
            <w:r w:rsidRPr="00BD77D8">
              <w:rPr>
                <w:sz w:val="18"/>
                <w:szCs w:val="18"/>
              </w:rPr>
              <w:t xml:space="preserve"> GST input tax credits receivable </w:t>
            </w:r>
          </w:p>
        </w:tc>
        <w:tc>
          <w:tcPr>
            <w:tcW w:w="1308" w:type="dxa"/>
            <w:tcBorders>
              <w:top w:val="nil"/>
              <w:left w:val="nil"/>
              <w:bottom w:val="nil"/>
              <w:right w:val="nil"/>
            </w:tcBorders>
            <w:shd w:val="clear" w:color="auto" w:fill="auto"/>
            <w:vAlign w:val="bottom"/>
            <w:hideMark/>
          </w:tcPr>
          <w:p w14:paraId="60D80053" w14:textId="77777777" w:rsidR="00B9311E" w:rsidRPr="00BD77D8" w:rsidRDefault="00B9311E" w:rsidP="00B9311E">
            <w:pPr>
              <w:spacing w:after="0" w:line="240" w:lineRule="auto"/>
              <w:jc w:val="right"/>
              <w:rPr>
                <w:sz w:val="18"/>
                <w:szCs w:val="18"/>
              </w:rPr>
            </w:pPr>
            <w:r w:rsidRPr="00BD77D8">
              <w:rPr>
                <w:sz w:val="18"/>
                <w:szCs w:val="18"/>
              </w:rPr>
              <w:t xml:space="preserve">         1,748 </w:t>
            </w:r>
          </w:p>
        </w:tc>
        <w:tc>
          <w:tcPr>
            <w:tcW w:w="1056" w:type="dxa"/>
            <w:tcBorders>
              <w:top w:val="nil"/>
              <w:left w:val="nil"/>
              <w:bottom w:val="nil"/>
              <w:right w:val="nil"/>
            </w:tcBorders>
            <w:shd w:val="clear" w:color="auto" w:fill="auto"/>
            <w:vAlign w:val="bottom"/>
            <w:hideMark/>
          </w:tcPr>
          <w:p w14:paraId="59914857" w14:textId="77777777" w:rsidR="00B9311E" w:rsidRPr="00BD77D8" w:rsidRDefault="00B9311E" w:rsidP="00B9311E">
            <w:pPr>
              <w:spacing w:after="0" w:line="240" w:lineRule="auto"/>
              <w:jc w:val="right"/>
              <w:rPr>
                <w:sz w:val="18"/>
                <w:szCs w:val="18"/>
              </w:rPr>
            </w:pPr>
            <w:r w:rsidRPr="00BD77D8">
              <w:rPr>
                <w:sz w:val="18"/>
                <w:szCs w:val="18"/>
              </w:rPr>
              <w:t xml:space="preserve">        1,959 </w:t>
            </w:r>
          </w:p>
        </w:tc>
      </w:tr>
      <w:tr w:rsidR="00BD77D8" w:rsidRPr="00BD77D8" w14:paraId="0B0E3D37" w14:textId="77777777" w:rsidTr="003057FB">
        <w:trPr>
          <w:trHeight w:val="283"/>
        </w:trPr>
        <w:tc>
          <w:tcPr>
            <w:tcW w:w="7984" w:type="dxa"/>
            <w:tcBorders>
              <w:top w:val="nil"/>
              <w:left w:val="nil"/>
              <w:bottom w:val="nil"/>
              <w:right w:val="nil"/>
            </w:tcBorders>
            <w:shd w:val="clear" w:color="auto" w:fill="auto"/>
            <w:vAlign w:val="bottom"/>
            <w:hideMark/>
          </w:tcPr>
          <w:p w14:paraId="1CFD11B6"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308" w:type="dxa"/>
            <w:tcBorders>
              <w:top w:val="single" w:sz="4" w:space="0" w:color="auto"/>
              <w:left w:val="nil"/>
              <w:bottom w:val="single" w:sz="4" w:space="0" w:color="auto"/>
              <w:right w:val="nil"/>
            </w:tcBorders>
            <w:shd w:val="clear" w:color="auto" w:fill="auto"/>
            <w:vAlign w:val="bottom"/>
            <w:hideMark/>
          </w:tcPr>
          <w:p w14:paraId="339D391A" w14:textId="77777777" w:rsidR="00B9311E" w:rsidRPr="00BD77D8" w:rsidRDefault="00B9311E" w:rsidP="00B9311E">
            <w:pPr>
              <w:spacing w:after="0" w:line="240" w:lineRule="auto"/>
              <w:jc w:val="right"/>
              <w:rPr>
                <w:b/>
                <w:bCs/>
                <w:sz w:val="18"/>
                <w:szCs w:val="18"/>
              </w:rPr>
            </w:pPr>
            <w:r w:rsidRPr="00BD77D8">
              <w:rPr>
                <w:b/>
                <w:bCs/>
                <w:sz w:val="18"/>
                <w:szCs w:val="18"/>
              </w:rPr>
              <w:t xml:space="preserve">         1,771 </w:t>
            </w:r>
          </w:p>
        </w:tc>
        <w:tc>
          <w:tcPr>
            <w:tcW w:w="1056" w:type="dxa"/>
            <w:tcBorders>
              <w:top w:val="single" w:sz="4" w:space="0" w:color="auto"/>
              <w:left w:val="nil"/>
              <w:bottom w:val="single" w:sz="4" w:space="0" w:color="auto"/>
              <w:right w:val="nil"/>
            </w:tcBorders>
            <w:shd w:val="clear" w:color="auto" w:fill="auto"/>
            <w:vAlign w:val="bottom"/>
            <w:hideMark/>
          </w:tcPr>
          <w:p w14:paraId="31A466F3" w14:textId="77777777" w:rsidR="00B9311E" w:rsidRPr="00BD77D8" w:rsidRDefault="00B9311E" w:rsidP="00B9311E">
            <w:pPr>
              <w:spacing w:after="0" w:line="240" w:lineRule="auto"/>
              <w:jc w:val="right"/>
              <w:rPr>
                <w:b/>
                <w:bCs/>
                <w:sz w:val="18"/>
                <w:szCs w:val="18"/>
              </w:rPr>
            </w:pPr>
            <w:r w:rsidRPr="00BD77D8">
              <w:rPr>
                <w:b/>
                <w:bCs/>
                <w:sz w:val="18"/>
                <w:szCs w:val="18"/>
              </w:rPr>
              <w:t xml:space="preserve">        1,959 </w:t>
            </w:r>
          </w:p>
        </w:tc>
      </w:tr>
    </w:tbl>
    <w:p w14:paraId="3C2ADD9D" w14:textId="77777777" w:rsidR="00B9311E" w:rsidRPr="00BD77D8" w:rsidRDefault="00B9311E" w:rsidP="00293C43">
      <w:pPr>
        <w:spacing w:before="480"/>
        <w:rPr>
          <w:rFonts w:ascii="Calibri Light" w:eastAsia="Arial" w:hAnsi="Calibri Light" w:cs="Times New Roman"/>
          <w:b/>
          <w:bCs/>
          <w:sz w:val="22"/>
          <w:szCs w:val="22"/>
          <w:lang w:eastAsia="en-US"/>
        </w:rPr>
      </w:pPr>
      <w:bookmarkStart w:id="718" w:name="_Toc111494834"/>
      <w:bookmarkStart w:id="719" w:name="_Toc111540720"/>
      <w:bookmarkStart w:id="720" w:name="_Toc111559271"/>
      <w:bookmarkStart w:id="721" w:name="_Toc113196543"/>
      <w:bookmarkStart w:id="722" w:name="_Toc113196891"/>
      <w:bookmarkStart w:id="723" w:name="_Toc113262021"/>
      <w:bookmarkStart w:id="724" w:name="_Toc113349175"/>
      <w:bookmarkStart w:id="725" w:name="_Toc113358100"/>
      <w:r w:rsidRPr="00BD77D8">
        <w:rPr>
          <w:rFonts w:eastAsia="Arial"/>
          <w:b/>
          <w:bCs/>
          <w:sz w:val="22"/>
          <w:szCs w:val="22"/>
          <w:lang w:eastAsia="en-US"/>
        </w:rPr>
        <w:t>G1-8 Payables</w:t>
      </w:r>
      <w:bookmarkEnd w:id="718"/>
      <w:bookmarkEnd w:id="719"/>
      <w:bookmarkEnd w:id="720"/>
      <w:bookmarkEnd w:id="721"/>
      <w:bookmarkEnd w:id="722"/>
      <w:bookmarkEnd w:id="723"/>
      <w:bookmarkEnd w:id="724"/>
      <w:bookmarkEnd w:id="725"/>
    </w:p>
    <w:tbl>
      <w:tblPr>
        <w:tblW w:w="10348" w:type="dxa"/>
        <w:tblLook w:val="04A0" w:firstRow="1" w:lastRow="0" w:firstColumn="1" w:lastColumn="0" w:noHBand="0" w:noVBand="1"/>
      </w:tblPr>
      <w:tblGrid>
        <w:gridCol w:w="8080"/>
        <w:gridCol w:w="1276"/>
        <w:gridCol w:w="992"/>
      </w:tblGrid>
      <w:tr w:rsidR="00BD77D8" w:rsidRPr="00BD77D8" w14:paraId="3C5EB652" w14:textId="77777777" w:rsidTr="003057FB">
        <w:trPr>
          <w:trHeight w:val="271"/>
        </w:trPr>
        <w:tc>
          <w:tcPr>
            <w:tcW w:w="8080" w:type="dxa"/>
            <w:vMerge w:val="restart"/>
            <w:tcBorders>
              <w:top w:val="nil"/>
              <w:left w:val="nil"/>
              <w:bottom w:val="nil"/>
              <w:right w:val="nil"/>
            </w:tcBorders>
            <w:shd w:val="clear" w:color="auto" w:fill="auto"/>
            <w:vAlign w:val="center"/>
            <w:hideMark/>
          </w:tcPr>
          <w:p w14:paraId="5384B33D" w14:textId="77777777" w:rsidR="00B9311E" w:rsidRPr="00BD77D8" w:rsidRDefault="00B9311E" w:rsidP="00B9311E">
            <w:pPr>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auto"/>
            <w:noWrap/>
            <w:vAlign w:val="bottom"/>
            <w:hideMark/>
          </w:tcPr>
          <w:p w14:paraId="24DD17E2"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992" w:type="dxa"/>
            <w:tcBorders>
              <w:top w:val="nil"/>
              <w:left w:val="nil"/>
              <w:bottom w:val="nil"/>
              <w:right w:val="nil"/>
            </w:tcBorders>
            <w:shd w:val="clear" w:color="auto" w:fill="auto"/>
            <w:noWrap/>
            <w:vAlign w:val="bottom"/>
            <w:hideMark/>
          </w:tcPr>
          <w:p w14:paraId="50EA0215"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1AE5AC2C" w14:textId="77777777" w:rsidTr="003057FB">
        <w:trPr>
          <w:trHeight w:val="271"/>
        </w:trPr>
        <w:tc>
          <w:tcPr>
            <w:tcW w:w="8080" w:type="dxa"/>
            <w:vMerge/>
            <w:tcBorders>
              <w:top w:val="nil"/>
              <w:left w:val="nil"/>
              <w:bottom w:val="nil"/>
              <w:right w:val="nil"/>
            </w:tcBorders>
            <w:vAlign w:val="center"/>
            <w:hideMark/>
          </w:tcPr>
          <w:p w14:paraId="188547B3" w14:textId="77777777" w:rsidR="00B9311E" w:rsidRPr="00BD77D8" w:rsidRDefault="00B9311E" w:rsidP="00B9311E">
            <w:pPr>
              <w:spacing w:after="0" w:line="240" w:lineRule="auto"/>
              <w:rPr>
                <w:rFonts w:ascii="Times New Roman" w:hAnsi="Times New Roman" w:cs="Times New Roman"/>
                <w:sz w:val="24"/>
                <w:szCs w:val="24"/>
              </w:rPr>
            </w:pPr>
          </w:p>
        </w:tc>
        <w:tc>
          <w:tcPr>
            <w:tcW w:w="1276" w:type="dxa"/>
            <w:tcBorders>
              <w:top w:val="nil"/>
              <w:left w:val="nil"/>
              <w:bottom w:val="single" w:sz="4" w:space="0" w:color="auto"/>
              <w:right w:val="nil"/>
            </w:tcBorders>
            <w:shd w:val="clear" w:color="auto" w:fill="auto"/>
            <w:vAlign w:val="center"/>
            <w:hideMark/>
          </w:tcPr>
          <w:p w14:paraId="4C1C64AF"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992" w:type="dxa"/>
            <w:tcBorders>
              <w:top w:val="nil"/>
              <w:left w:val="nil"/>
              <w:bottom w:val="single" w:sz="4" w:space="0" w:color="auto"/>
              <w:right w:val="nil"/>
            </w:tcBorders>
            <w:shd w:val="clear" w:color="auto" w:fill="auto"/>
            <w:vAlign w:val="center"/>
            <w:hideMark/>
          </w:tcPr>
          <w:p w14:paraId="784F726D"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58E14596" w14:textId="77777777" w:rsidTr="003057FB">
        <w:trPr>
          <w:trHeight w:val="271"/>
        </w:trPr>
        <w:tc>
          <w:tcPr>
            <w:tcW w:w="8080" w:type="dxa"/>
            <w:tcBorders>
              <w:top w:val="nil"/>
              <w:left w:val="nil"/>
              <w:bottom w:val="nil"/>
              <w:right w:val="nil"/>
            </w:tcBorders>
            <w:shd w:val="clear" w:color="auto" w:fill="auto"/>
            <w:vAlign w:val="center"/>
            <w:hideMark/>
          </w:tcPr>
          <w:p w14:paraId="780ACF1A" w14:textId="77777777" w:rsidR="00B9311E" w:rsidRPr="00BD77D8" w:rsidRDefault="00B9311E" w:rsidP="00B9311E">
            <w:pPr>
              <w:spacing w:after="0" w:line="240" w:lineRule="auto"/>
              <w:rPr>
                <w:b/>
                <w:bCs/>
                <w:sz w:val="18"/>
                <w:szCs w:val="18"/>
              </w:rPr>
            </w:pPr>
            <w:r w:rsidRPr="00BD77D8">
              <w:rPr>
                <w:b/>
                <w:bCs/>
                <w:sz w:val="18"/>
                <w:szCs w:val="18"/>
              </w:rPr>
              <w:t xml:space="preserve"> Current </w:t>
            </w:r>
          </w:p>
        </w:tc>
        <w:tc>
          <w:tcPr>
            <w:tcW w:w="1276" w:type="dxa"/>
            <w:tcBorders>
              <w:top w:val="nil"/>
              <w:left w:val="nil"/>
              <w:bottom w:val="nil"/>
              <w:right w:val="nil"/>
            </w:tcBorders>
            <w:shd w:val="clear" w:color="auto" w:fill="auto"/>
            <w:vAlign w:val="center"/>
            <w:hideMark/>
          </w:tcPr>
          <w:p w14:paraId="51B7FE59" w14:textId="77777777" w:rsidR="00B9311E" w:rsidRPr="00BD77D8" w:rsidRDefault="00B9311E" w:rsidP="00B9311E">
            <w:pPr>
              <w:spacing w:after="0" w:line="240" w:lineRule="auto"/>
              <w:rPr>
                <w:b/>
                <w:bCs/>
                <w:sz w:val="18"/>
                <w:szCs w:val="18"/>
              </w:rPr>
            </w:pPr>
          </w:p>
        </w:tc>
        <w:tc>
          <w:tcPr>
            <w:tcW w:w="992" w:type="dxa"/>
            <w:tcBorders>
              <w:top w:val="nil"/>
              <w:left w:val="nil"/>
              <w:bottom w:val="nil"/>
              <w:right w:val="nil"/>
            </w:tcBorders>
            <w:shd w:val="clear" w:color="auto" w:fill="auto"/>
            <w:vAlign w:val="center"/>
            <w:hideMark/>
          </w:tcPr>
          <w:p w14:paraId="1AA5775F" w14:textId="77777777" w:rsidR="00B9311E" w:rsidRPr="00BD77D8" w:rsidRDefault="00B9311E" w:rsidP="00B9311E">
            <w:pPr>
              <w:spacing w:after="0" w:line="240" w:lineRule="auto"/>
              <w:jc w:val="right"/>
              <w:rPr>
                <w:rFonts w:ascii="Times New Roman" w:hAnsi="Times New Roman" w:cs="Times New Roman"/>
                <w:b/>
                <w:bCs/>
                <w:sz w:val="20"/>
                <w:szCs w:val="20"/>
              </w:rPr>
            </w:pPr>
          </w:p>
        </w:tc>
      </w:tr>
      <w:tr w:rsidR="00BD77D8" w:rsidRPr="00BD77D8" w14:paraId="0F9EDA3F" w14:textId="77777777" w:rsidTr="003057FB">
        <w:trPr>
          <w:trHeight w:val="271"/>
        </w:trPr>
        <w:tc>
          <w:tcPr>
            <w:tcW w:w="8080" w:type="dxa"/>
            <w:tcBorders>
              <w:top w:val="nil"/>
              <w:left w:val="nil"/>
              <w:bottom w:val="nil"/>
              <w:right w:val="nil"/>
            </w:tcBorders>
            <w:shd w:val="clear" w:color="auto" w:fill="auto"/>
            <w:vAlign w:val="center"/>
            <w:hideMark/>
          </w:tcPr>
          <w:p w14:paraId="55376FAC" w14:textId="77777777" w:rsidR="00B9311E" w:rsidRPr="00BD77D8" w:rsidRDefault="00B9311E" w:rsidP="00B9311E">
            <w:pPr>
              <w:spacing w:after="0" w:line="240" w:lineRule="auto"/>
              <w:rPr>
                <w:sz w:val="18"/>
                <w:szCs w:val="18"/>
              </w:rPr>
            </w:pPr>
            <w:r w:rsidRPr="00BD77D8">
              <w:rPr>
                <w:sz w:val="18"/>
                <w:szCs w:val="18"/>
              </w:rPr>
              <w:t xml:space="preserve"> Trade creditors and accruals </w:t>
            </w:r>
          </w:p>
        </w:tc>
        <w:tc>
          <w:tcPr>
            <w:tcW w:w="1276" w:type="dxa"/>
            <w:tcBorders>
              <w:top w:val="nil"/>
              <w:left w:val="nil"/>
              <w:bottom w:val="nil"/>
              <w:right w:val="nil"/>
            </w:tcBorders>
            <w:shd w:val="clear" w:color="auto" w:fill="auto"/>
            <w:vAlign w:val="center"/>
            <w:hideMark/>
          </w:tcPr>
          <w:p w14:paraId="4AC3EDB4" w14:textId="77777777" w:rsidR="00B9311E" w:rsidRPr="00BD77D8" w:rsidRDefault="00B9311E" w:rsidP="00B9311E">
            <w:pPr>
              <w:spacing w:after="0" w:line="240" w:lineRule="auto"/>
              <w:jc w:val="right"/>
              <w:rPr>
                <w:sz w:val="18"/>
                <w:szCs w:val="18"/>
              </w:rPr>
            </w:pPr>
            <w:r w:rsidRPr="00BD77D8">
              <w:rPr>
                <w:sz w:val="18"/>
                <w:szCs w:val="18"/>
              </w:rPr>
              <w:t xml:space="preserve">              7 </w:t>
            </w:r>
          </w:p>
        </w:tc>
        <w:tc>
          <w:tcPr>
            <w:tcW w:w="992" w:type="dxa"/>
            <w:tcBorders>
              <w:top w:val="nil"/>
              <w:left w:val="nil"/>
              <w:bottom w:val="nil"/>
              <w:right w:val="nil"/>
            </w:tcBorders>
            <w:shd w:val="clear" w:color="auto" w:fill="auto"/>
            <w:vAlign w:val="center"/>
            <w:hideMark/>
          </w:tcPr>
          <w:p w14:paraId="5982F286" w14:textId="77777777" w:rsidR="00B9311E" w:rsidRPr="00BD77D8" w:rsidRDefault="00B9311E" w:rsidP="00B9311E">
            <w:pPr>
              <w:spacing w:after="0" w:line="240" w:lineRule="auto"/>
              <w:jc w:val="right"/>
              <w:rPr>
                <w:sz w:val="18"/>
                <w:szCs w:val="18"/>
              </w:rPr>
            </w:pPr>
            <w:r w:rsidRPr="00BD77D8">
              <w:rPr>
                <w:sz w:val="18"/>
                <w:szCs w:val="18"/>
              </w:rPr>
              <w:t xml:space="preserve">            3 </w:t>
            </w:r>
          </w:p>
        </w:tc>
      </w:tr>
      <w:tr w:rsidR="00BD77D8" w:rsidRPr="00BD77D8" w14:paraId="2DB3EFD8" w14:textId="77777777" w:rsidTr="003057FB">
        <w:trPr>
          <w:trHeight w:val="271"/>
        </w:trPr>
        <w:tc>
          <w:tcPr>
            <w:tcW w:w="8080" w:type="dxa"/>
            <w:tcBorders>
              <w:top w:val="nil"/>
              <w:left w:val="nil"/>
              <w:bottom w:val="nil"/>
              <w:right w:val="nil"/>
            </w:tcBorders>
            <w:shd w:val="clear" w:color="auto" w:fill="auto"/>
            <w:vAlign w:val="center"/>
            <w:hideMark/>
          </w:tcPr>
          <w:p w14:paraId="5C275503" w14:textId="77777777" w:rsidR="00B9311E" w:rsidRPr="00BD77D8" w:rsidRDefault="00B9311E" w:rsidP="00B9311E">
            <w:pPr>
              <w:spacing w:after="0" w:line="240" w:lineRule="auto"/>
              <w:rPr>
                <w:sz w:val="18"/>
                <w:szCs w:val="18"/>
              </w:rPr>
            </w:pPr>
            <w:r w:rsidRPr="00BD77D8">
              <w:rPr>
                <w:sz w:val="18"/>
                <w:szCs w:val="18"/>
              </w:rPr>
              <w:t xml:space="preserve"> Service Concessions payable </w:t>
            </w:r>
          </w:p>
        </w:tc>
        <w:tc>
          <w:tcPr>
            <w:tcW w:w="1276" w:type="dxa"/>
            <w:tcBorders>
              <w:top w:val="nil"/>
              <w:left w:val="nil"/>
              <w:bottom w:val="nil"/>
              <w:right w:val="nil"/>
            </w:tcBorders>
            <w:shd w:val="clear" w:color="auto" w:fill="auto"/>
            <w:vAlign w:val="center"/>
            <w:hideMark/>
          </w:tcPr>
          <w:p w14:paraId="6BF541C8" w14:textId="77777777" w:rsidR="00B9311E" w:rsidRPr="00BD77D8" w:rsidRDefault="00B9311E" w:rsidP="00B9311E">
            <w:pPr>
              <w:spacing w:after="0" w:line="240" w:lineRule="auto"/>
              <w:jc w:val="right"/>
              <w:rPr>
                <w:sz w:val="18"/>
                <w:szCs w:val="18"/>
              </w:rPr>
            </w:pPr>
            <w:r w:rsidRPr="00BD77D8">
              <w:rPr>
                <w:sz w:val="18"/>
                <w:szCs w:val="18"/>
              </w:rPr>
              <w:t xml:space="preserve">    22,894 </w:t>
            </w:r>
          </w:p>
        </w:tc>
        <w:tc>
          <w:tcPr>
            <w:tcW w:w="992" w:type="dxa"/>
            <w:tcBorders>
              <w:top w:val="nil"/>
              <w:left w:val="nil"/>
              <w:bottom w:val="nil"/>
              <w:right w:val="nil"/>
            </w:tcBorders>
            <w:shd w:val="clear" w:color="auto" w:fill="auto"/>
            <w:vAlign w:val="center"/>
            <w:hideMark/>
          </w:tcPr>
          <w:p w14:paraId="3AE992DD" w14:textId="77777777" w:rsidR="00B9311E" w:rsidRPr="00BD77D8" w:rsidRDefault="00B9311E" w:rsidP="00B9311E">
            <w:pPr>
              <w:spacing w:after="0" w:line="240" w:lineRule="auto"/>
              <w:jc w:val="right"/>
              <w:rPr>
                <w:sz w:val="18"/>
                <w:szCs w:val="18"/>
              </w:rPr>
            </w:pPr>
            <w:r w:rsidRPr="00BD77D8">
              <w:rPr>
                <w:sz w:val="18"/>
                <w:szCs w:val="18"/>
              </w:rPr>
              <w:t xml:space="preserve"> 26,808 </w:t>
            </w:r>
          </w:p>
        </w:tc>
      </w:tr>
      <w:tr w:rsidR="00BD77D8" w:rsidRPr="00BD77D8" w14:paraId="5FDA84A8" w14:textId="77777777" w:rsidTr="003057FB">
        <w:trPr>
          <w:trHeight w:val="271"/>
        </w:trPr>
        <w:tc>
          <w:tcPr>
            <w:tcW w:w="8080" w:type="dxa"/>
            <w:tcBorders>
              <w:top w:val="nil"/>
              <w:left w:val="nil"/>
              <w:bottom w:val="nil"/>
              <w:right w:val="nil"/>
            </w:tcBorders>
            <w:shd w:val="clear" w:color="auto" w:fill="auto"/>
            <w:vAlign w:val="center"/>
            <w:hideMark/>
          </w:tcPr>
          <w:p w14:paraId="6B04F6DA" w14:textId="77777777" w:rsidR="00B9311E" w:rsidRPr="00BD77D8" w:rsidRDefault="00B9311E" w:rsidP="00B9311E">
            <w:pPr>
              <w:spacing w:after="0" w:line="240" w:lineRule="auto"/>
              <w:rPr>
                <w:sz w:val="18"/>
                <w:szCs w:val="18"/>
              </w:rPr>
            </w:pPr>
            <w:r w:rsidRPr="00BD77D8">
              <w:rPr>
                <w:sz w:val="18"/>
                <w:szCs w:val="18"/>
              </w:rPr>
              <w:t xml:space="preserve"> Deferred appropriation payable to Consolidated Fund </w:t>
            </w:r>
          </w:p>
        </w:tc>
        <w:tc>
          <w:tcPr>
            <w:tcW w:w="1276" w:type="dxa"/>
            <w:tcBorders>
              <w:top w:val="nil"/>
              <w:left w:val="nil"/>
              <w:bottom w:val="nil"/>
              <w:right w:val="nil"/>
            </w:tcBorders>
            <w:shd w:val="clear" w:color="auto" w:fill="auto"/>
            <w:vAlign w:val="center"/>
            <w:hideMark/>
          </w:tcPr>
          <w:p w14:paraId="387EEAAE" w14:textId="77777777" w:rsidR="00B9311E" w:rsidRPr="00BD77D8" w:rsidRDefault="00B9311E" w:rsidP="00B9311E">
            <w:pPr>
              <w:spacing w:after="0" w:line="240" w:lineRule="auto"/>
              <w:jc w:val="right"/>
              <w:rPr>
                <w:sz w:val="18"/>
                <w:szCs w:val="18"/>
              </w:rPr>
            </w:pPr>
            <w:r w:rsidRPr="00BD77D8">
              <w:rPr>
                <w:sz w:val="18"/>
                <w:szCs w:val="18"/>
              </w:rPr>
              <w:t xml:space="preserve">    34,592 </w:t>
            </w:r>
          </w:p>
        </w:tc>
        <w:tc>
          <w:tcPr>
            <w:tcW w:w="992" w:type="dxa"/>
            <w:tcBorders>
              <w:top w:val="nil"/>
              <w:left w:val="nil"/>
              <w:bottom w:val="nil"/>
              <w:right w:val="nil"/>
            </w:tcBorders>
            <w:shd w:val="clear" w:color="auto" w:fill="auto"/>
            <w:vAlign w:val="center"/>
            <w:hideMark/>
          </w:tcPr>
          <w:p w14:paraId="77FDD4D2" w14:textId="77777777" w:rsidR="00B9311E" w:rsidRPr="00BD77D8" w:rsidRDefault="00B9311E" w:rsidP="00B9311E">
            <w:pPr>
              <w:spacing w:after="0" w:line="240" w:lineRule="auto"/>
              <w:jc w:val="right"/>
              <w:rPr>
                <w:sz w:val="18"/>
                <w:szCs w:val="18"/>
              </w:rPr>
            </w:pPr>
            <w:r w:rsidRPr="00BD77D8">
              <w:rPr>
                <w:sz w:val="18"/>
                <w:szCs w:val="18"/>
              </w:rPr>
              <w:t xml:space="preserve"> 20,921 </w:t>
            </w:r>
          </w:p>
        </w:tc>
      </w:tr>
      <w:tr w:rsidR="00BD77D8" w:rsidRPr="00BD77D8" w14:paraId="3B0656C9" w14:textId="77777777" w:rsidTr="003057FB">
        <w:trPr>
          <w:trHeight w:val="271"/>
        </w:trPr>
        <w:tc>
          <w:tcPr>
            <w:tcW w:w="8080" w:type="dxa"/>
            <w:tcBorders>
              <w:top w:val="nil"/>
              <w:left w:val="nil"/>
              <w:bottom w:val="nil"/>
              <w:right w:val="nil"/>
            </w:tcBorders>
            <w:shd w:val="clear" w:color="auto" w:fill="auto"/>
            <w:vAlign w:val="center"/>
            <w:hideMark/>
          </w:tcPr>
          <w:p w14:paraId="5D201159" w14:textId="77777777" w:rsidR="00B9311E" w:rsidRPr="00BD77D8" w:rsidRDefault="00B9311E" w:rsidP="00B9311E">
            <w:pPr>
              <w:spacing w:after="0" w:line="240" w:lineRule="auto"/>
              <w:rPr>
                <w:sz w:val="18"/>
                <w:szCs w:val="18"/>
              </w:rPr>
            </w:pPr>
            <w:r w:rsidRPr="00BD77D8">
              <w:rPr>
                <w:sz w:val="18"/>
                <w:szCs w:val="18"/>
              </w:rPr>
              <w:t xml:space="preserve"> Other </w:t>
            </w:r>
          </w:p>
        </w:tc>
        <w:tc>
          <w:tcPr>
            <w:tcW w:w="1276" w:type="dxa"/>
            <w:tcBorders>
              <w:top w:val="nil"/>
              <w:left w:val="nil"/>
              <w:bottom w:val="nil"/>
              <w:right w:val="nil"/>
            </w:tcBorders>
            <w:shd w:val="clear" w:color="auto" w:fill="auto"/>
            <w:vAlign w:val="center"/>
            <w:hideMark/>
          </w:tcPr>
          <w:p w14:paraId="324667E3" w14:textId="77777777" w:rsidR="00B9311E" w:rsidRPr="00BD77D8" w:rsidRDefault="00B9311E" w:rsidP="00B9311E">
            <w:pPr>
              <w:spacing w:after="0" w:line="240" w:lineRule="auto"/>
              <w:jc w:val="right"/>
              <w:rPr>
                <w:sz w:val="18"/>
                <w:szCs w:val="18"/>
              </w:rPr>
            </w:pPr>
            <w:r w:rsidRPr="00BD77D8">
              <w:rPr>
                <w:sz w:val="18"/>
                <w:szCs w:val="18"/>
              </w:rPr>
              <w:t xml:space="preserve">               - </w:t>
            </w:r>
          </w:p>
        </w:tc>
        <w:tc>
          <w:tcPr>
            <w:tcW w:w="992" w:type="dxa"/>
            <w:tcBorders>
              <w:top w:val="nil"/>
              <w:left w:val="nil"/>
              <w:bottom w:val="nil"/>
              <w:right w:val="nil"/>
            </w:tcBorders>
            <w:shd w:val="clear" w:color="auto" w:fill="auto"/>
            <w:vAlign w:val="center"/>
            <w:hideMark/>
          </w:tcPr>
          <w:p w14:paraId="520C4029" w14:textId="77777777" w:rsidR="00B9311E" w:rsidRPr="00BD77D8" w:rsidRDefault="00B9311E" w:rsidP="00B9311E">
            <w:pPr>
              <w:spacing w:after="0" w:line="240" w:lineRule="auto"/>
              <w:jc w:val="right"/>
              <w:rPr>
                <w:sz w:val="18"/>
                <w:szCs w:val="18"/>
              </w:rPr>
            </w:pPr>
            <w:r w:rsidRPr="00BD77D8">
              <w:rPr>
                <w:sz w:val="18"/>
                <w:szCs w:val="18"/>
              </w:rPr>
              <w:t xml:space="preserve">            1 </w:t>
            </w:r>
          </w:p>
        </w:tc>
      </w:tr>
      <w:tr w:rsidR="00BD77D8" w:rsidRPr="00BD77D8" w14:paraId="78DEF75E" w14:textId="77777777" w:rsidTr="003057FB">
        <w:trPr>
          <w:trHeight w:val="271"/>
        </w:trPr>
        <w:tc>
          <w:tcPr>
            <w:tcW w:w="8080" w:type="dxa"/>
            <w:tcBorders>
              <w:top w:val="nil"/>
              <w:left w:val="nil"/>
              <w:bottom w:val="nil"/>
              <w:right w:val="nil"/>
            </w:tcBorders>
            <w:shd w:val="clear" w:color="auto" w:fill="auto"/>
            <w:vAlign w:val="center"/>
            <w:hideMark/>
          </w:tcPr>
          <w:p w14:paraId="7D3C3A74" w14:textId="77777777" w:rsidR="00B9311E" w:rsidRPr="00BD77D8" w:rsidRDefault="00B9311E" w:rsidP="00B9311E">
            <w:pPr>
              <w:spacing w:after="0" w:line="240" w:lineRule="auto"/>
              <w:rPr>
                <w:b/>
                <w:bCs/>
                <w:sz w:val="18"/>
                <w:szCs w:val="18"/>
              </w:rPr>
            </w:pPr>
            <w:r w:rsidRPr="00BD77D8">
              <w:rPr>
                <w:b/>
                <w:bCs/>
                <w:sz w:val="18"/>
                <w:szCs w:val="18"/>
              </w:rPr>
              <w:t xml:space="preserve"> Total </w:t>
            </w:r>
          </w:p>
        </w:tc>
        <w:tc>
          <w:tcPr>
            <w:tcW w:w="1276" w:type="dxa"/>
            <w:tcBorders>
              <w:top w:val="single" w:sz="4" w:space="0" w:color="auto"/>
              <w:left w:val="nil"/>
              <w:bottom w:val="single" w:sz="4" w:space="0" w:color="auto"/>
              <w:right w:val="nil"/>
            </w:tcBorders>
            <w:shd w:val="clear" w:color="auto" w:fill="auto"/>
            <w:vAlign w:val="center"/>
            <w:hideMark/>
          </w:tcPr>
          <w:p w14:paraId="0A9B6164" w14:textId="77777777" w:rsidR="00B9311E" w:rsidRPr="00BD77D8" w:rsidRDefault="00B9311E" w:rsidP="00B9311E">
            <w:pPr>
              <w:spacing w:after="0" w:line="240" w:lineRule="auto"/>
              <w:jc w:val="right"/>
              <w:rPr>
                <w:b/>
                <w:bCs/>
                <w:sz w:val="18"/>
                <w:szCs w:val="18"/>
              </w:rPr>
            </w:pPr>
            <w:r w:rsidRPr="00BD77D8">
              <w:rPr>
                <w:b/>
                <w:bCs/>
                <w:sz w:val="18"/>
                <w:szCs w:val="18"/>
              </w:rPr>
              <w:t xml:space="preserve">    57,493 </w:t>
            </w:r>
          </w:p>
        </w:tc>
        <w:tc>
          <w:tcPr>
            <w:tcW w:w="992" w:type="dxa"/>
            <w:tcBorders>
              <w:top w:val="single" w:sz="4" w:space="0" w:color="auto"/>
              <w:left w:val="nil"/>
              <w:bottom w:val="single" w:sz="4" w:space="0" w:color="auto"/>
              <w:right w:val="nil"/>
            </w:tcBorders>
            <w:shd w:val="clear" w:color="auto" w:fill="auto"/>
            <w:vAlign w:val="center"/>
            <w:hideMark/>
          </w:tcPr>
          <w:p w14:paraId="05F3E684" w14:textId="77777777" w:rsidR="00B9311E" w:rsidRPr="00BD77D8" w:rsidRDefault="00B9311E" w:rsidP="00B9311E">
            <w:pPr>
              <w:spacing w:after="0" w:line="240" w:lineRule="auto"/>
              <w:jc w:val="right"/>
              <w:rPr>
                <w:b/>
                <w:bCs/>
                <w:sz w:val="18"/>
                <w:szCs w:val="18"/>
              </w:rPr>
            </w:pPr>
            <w:r w:rsidRPr="00BD77D8">
              <w:rPr>
                <w:b/>
                <w:bCs/>
                <w:sz w:val="18"/>
                <w:szCs w:val="18"/>
              </w:rPr>
              <w:t xml:space="preserve"> 47,733 </w:t>
            </w:r>
          </w:p>
        </w:tc>
      </w:tr>
    </w:tbl>
    <w:p w14:paraId="44BBB9C1" w14:textId="77777777" w:rsidR="00B9311E" w:rsidRPr="00BD77D8" w:rsidRDefault="00B9311E" w:rsidP="00293C43">
      <w:pPr>
        <w:spacing w:before="480"/>
        <w:rPr>
          <w:rFonts w:ascii="Calibri Light" w:eastAsia="Arial" w:hAnsi="Calibri Light" w:cs="Times New Roman"/>
          <w:b/>
          <w:bCs/>
          <w:sz w:val="22"/>
          <w:szCs w:val="22"/>
          <w:lang w:eastAsia="en-US"/>
        </w:rPr>
      </w:pPr>
      <w:bookmarkStart w:id="726" w:name="_Toc111494835"/>
      <w:bookmarkStart w:id="727" w:name="_Toc111540721"/>
      <w:bookmarkStart w:id="728" w:name="_Toc111559272"/>
      <w:bookmarkStart w:id="729" w:name="_Toc113196544"/>
      <w:bookmarkStart w:id="730" w:name="_Toc113196892"/>
      <w:bookmarkStart w:id="731" w:name="_Toc113262022"/>
      <w:bookmarkStart w:id="732" w:name="_Toc113349176"/>
      <w:bookmarkStart w:id="733" w:name="_Toc113358101"/>
      <w:r w:rsidRPr="00BD77D8">
        <w:rPr>
          <w:rFonts w:eastAsia="Arial"/>
          <w:b/>
          <w:bCs/>
          <w:sz w:val="22"/>
          <w:szCs w:val="22"/>
          <w:lang w:eastAsia="en-US"/>
        </w:rPr>
        <w:t>G1-9 Financial Instruments</w:t>
      </w:r>
      <w:bookmarkEnd w:id="726"/>
      <w:bookmarkEnd w:id="727"/>
      <w:bookmarkEnd w:id="728"/>
      <w:bookmarkEnd w:id="729"/>
      <w:bookmarkEnd w:id="730"/>
      <w:bookmarkEnd w:id="731"/>
      <w:bookmarkEnd w:id="732"/>
      <w:bookmarkEnd w:id="733"/>
    </w:p>
    <w:p w14:paraId="408FCB97" w14:textId="77777777" w:rsidR="00B9311E" w:rsidRPr="00BD77D8" w:rsidRDefault="00B9311E" w:rsidP="00293C43">
      <w:pPr>
        <w:spacing w:before="200" w:after="0" w:line="180" w:lineRule="atLeast"/>
        <w:ind w:right="289"/>
        <w:textAlignment w:val="baseline"/>
        <w:rPr>
          <w:rFonts w:eastAsia="Arial"/>
          <w:b/>
          <w:bCs/>
          <w:sz w:val="18"/>
          <w:szCs w:val="18"/>
          <w:lang w:eastAsia="en-US"/>
        </w:rPr>
      </w:pPr>
      <w:r w:rsidRPr="00BD77D8">
        <w:rPr>
          <w:rFonts w:eastAsia="Arial"/>
          <w:sz w:val="18"/>
          <w:szCs w:val="18"/>
          <w:lang w:eastAsia="en-US"/>
        </w:rPr>
        <w:t>The department does not consider that there are any material financial management risks associated with the above financial assets and liabilities.</w:t>
      </w:r>
    </w:p>
    <w:p w14:paraId="0BCF1D9D" w14:textId="77777777" w:rsidR="00B9311E" w:rsidRPr="00BD77D8" w:rsidRDefault="00B9311E" w:rsidP="00293C43">
      <w:pPr>
        <w:spacing w:before="200" w:after="0" w:line="205" w:lineRule="exact"/>
        <w:textAlignment w:val="baseline"/>
        <w:rPr>
          <w:rFonts w:eastAsia="PMingLiU"/>
          <w:sz w:val="18"/>
          <w:szCs w:val="22"/>
          <w:lang w:val="en-US" w:eastAsia="en-US"/>
        </w:rPr>
      </w:pPr>
      <w:r w:rsidRPr="00BD77D8">
        <w:rPr>
          <w:rFonts w:eastAsia="Arial"/>
          <w:sz w:val="18"/>
          <w:szCs w:val="18"/>
          <w:lang w:eastAsia="en-US"/>
        </w:rPr>
        <w:t>The department has the following categories of financial assets and financial liabilities</w:t>
      </w:r>
    </w:p>
    <w:tbl>
      <w:tblPr>
        <w:tblW w:w="10348" w:type="dxa"/>
        <w:tblLook w:val="04A0" w:firstRow="1" w:lastRow="0" w:firstColumn="1" w:lastColumn="0" w:noHBand="0" w:noVBand="1"/>
      </w:tblPr>
      <w:tblGrid>
        <w:gridCol w:w="6670"/>
        <w:gridCol w:w="1410"/>
        <w:gridCol w:w="1395"/>
        <w:gridCol w:w="873"/>
      </w:tblGrid>
      <w:tr w:rsidR="00BD77D8" w:rsidRPr="00BD77D8" w14:paraId="2D836494" w14:textId="77777777" w:rsidTr="003057FB">
        <w:trPr>
          <w:trHeight w:val="273"/>
        </w:trPr>
        <w:tc>
          <w:tcPr>
            <w:tcW w:w="0" w:type="auto"/>
            <w:tcBorders>
              <w:top w:val="nil"/>
              <w:left w:val="nil"/>
              <w:bottom w:val="nil"/>
              <w:right w:val="nil"/>
            </w:tcBorders>
            <w:shd w:val="clear" w:color="auto" w:fill="auto"/>
            <w:vAlign w:val="center"/>
            <w:hideMark/>
          </w:tcPr>
          <w:p w14:paraId="23AFC144" w14:textId="77777777" w:rsidR="00B9311E" w:rsidRPr="00BD77D8" w:rsidRDefault="00B9311E" w:rsidP="00B9311E">
            <w:pPr>
              <w:spacing w:after="0" w:line="240" w:lineRule="auto"/>
              <w:rPr>
                <w:rFonts w:ascii="Times New Roman" w:hAnsi="Times New Roman" w:cs="Times New Roman"/>
                <w:sz w:val="24"/>
                <w:szCs w:val="24"/>
              </w:rPr>
            </w:pPr>
          </w:p>
        </w:tc>
        <w:tc>
          <w:tcPr>
            <w:tcW w:w="1410" w:type="dxa"/>
            <w:tcBorders>
              <w:top w:val="nil"/>
              <w:left w:val="nil"/>
              <w:bottom w:val="nil"/>
              <w:right w:val="nil"/>
            </w:tcBorders>
            <w:shd w:val="clear" w:color="auto" w:fill="auto"/>
            <w:vAlign w:val="center"/>
            <w:hideMark/>
          </w:tcPr>
          <w:p w14:paraId="28960E25" w14:textId="77777777" w:rsidR="00B9311E" w:rsidRPr="00BD77D8" w:rsidRDefault="00B9311E" w:rsidP="00B9311E">
            <w:pPr>
              <w:spacing w:after="0" w:line="240" w:lineRule="auto"/>
              <w:rPr>
                <w:rFonts w:ascii="Times New Roman" w:hAnsi="Times New Roman" w:cs="Times New Roman"/>
                <w:sz w:val="20"/>
                <w:szCs w:val="20"/>
              </w:rPr>
            </w:pPr>
          </w:p>
        </w:tc>
        <w:tc>
          <w:tcPr>
            <w:tcW w:w="1395" w:type="dxa"/>
            <w:tcBorders>
              <w:top w:val="nil"/>
              <w:left w:val="nil"/>
              <w:bottom w:val="nil"/>
              <w:right w:val="nil"/>
            </w:tcBorders>
            <w:shd w:val="clear" w:color="auto" w:fill="auto"/>
            <w:noWrap/>
            <w:vAlign w:val="bottom"/>
            <w:hideMark/>
          </w:tcPr>
          <w:p w14:paraId="1FA95D03" w14:textId="77777777" w:rsidR="00B9311E" w:rsidRPr="00BD77D8" w:rsidRDefault="00B9311E" w:rsidP="00B9311E">
            <w:pPr>
              <w:spacing w:after="0" w:line="240" w:lineRule="auto"/>
              <w:jc w:val="right"/>
              <w:rPr>
                <w:b/>
                <w:bCs/>
                <w:sz w:val="18"/>
                <w:szCs w:val="18"/>
              </w:rPr>
            </w:pPr>
            <w:r w:rsidRPr="00BD77D8">
              <w:rPr>
                <w:b/>
                <w:bCs/>
                <w:sz w:val="18"/>
                <w:szCs w:val="18"/>
              </w:rPr>
              <w:t>2022</w:t>
            </w:r>
          </w:p>
        </w:tc>
        <w:tc>
          <w:tcPr>
            <w:tcW w:w="873" w:type="dxa"/>
            <w:tcBorders>
              <w:top w:val="nil"/>
              <w:left w:val="nil"/>
              <w:bottom w:val="nil"/>
              <w:right w:val="nil"/>
            </w:tcBorders>
            <w:shd w:val="clear" w:color="auto" w:fill="auto"/>
            <w:noWrap/>
            <w:vAlign w:val="bottom"/>
            <w:hideMark/>
          </w:tcPr>
          <w:p w14:paraId="3F61FF13" w14:textId="77777777" w:rsidR="00B9311E" w:rsidRPr="00BD77D8" w:rsidRDefault="00B9311E" w:rsidP="00B9311E">
            <w:pPr>
              <w:spacing w:after="0" w:line="240" w:lineRule="auto"/>
              <w:jc w:val="right"/>
              <w:rPr>
                <w:b/>
                <w:bCs/>
                <w:sz w:val="18"/>
                <w:szCs w:val="18"/>
              </w:rPr>
            </w:pPr>
            <w:r w:rsidRPr="00BD77D8">
              <w:rPr>
                <w:b/>
                <w:bCs/>
                <w:sz w:val="18"/>
                <w:szCs w:val="18"/>
              </w:rPr>
              <w:t>2021</w:t>
            </w:r>
          </w:p>
        </w:tc>
      </w:tr>
      <w:tr w:rsidR="00BD77D8" w:rsidRPr="00BD77D8" w14:paraId="7725A8FD" w14:textId="77777777" w:rsidTr="003057FB">
        <w:trPr>
          <w:trHeight w:val="273"/>
        </w:trPr>
        <w:tc>
          <w:tcPr>
            <w:tcW w:w="0" w:type="auto"/>
            <w:tcBorders>
              <w:top w:val="nil"/>
              <w:left w:val="nil"/>
              <w:bottom w:val="nil"/>
              <w:right w:val="nil"/>
            </w:tcBorders>
            <w:shd w:val="clear" w:color="auto" w:fill="auto"/>
            <w:vAlign w:val="center"/>
            <w:hideMark/>
          </w:tcPr>
          <w:p w14:paraId="24B65217" w14:textId="77777777" w:rsidR="00B9311E" w:rsidRPr="00BD77D8" w:rsidRDefault="00B9311E" w:rsidP="00B9311E">
            <w:pPr>
              <w:spacing w:after="0" w:line="240" w:lineRule="auto"/>
              <w:jc w:val="right"/>
              <w:rPr>
                <w:sz w:val="18"/>
                <w:szCs w:val="18"/>
              </w:rPr>
            </w:pPr>
          </w:p>
        </w:tc>
        <w:tc>
          <w:tcPr>
            <w:tcW w:w="1410" w:type="dxa"/>
            <w:tcBorders>
              <w:top w:val="nil"/>
              <w:left w:val="nil"/>
              <w:bottom w:val="nil"/>
              <w:right w:val="nil"/>
            </w:tcBorders>
            <w:shd w:val="clear" w:color="auto" w:fill="auto"/>
            <w:vAlign w:val="center"/>
            <w:hideMark/>
          </w:tcPr>
          <w:p w14:paraId="01780B69" w14:textId="77777777" w:rsidR="00B9311E" w:rsidRPr="00BD77D8" w:rsidRDefault="00B9311E" w:rsidP="00B9311E">
            <w:pPr>
              <w:spacing w:after="0" w:line="240" w:lineRule="auto"/>
              <w:jc w:val="center"/>
              <w:rPr>
                <w:b/>
                <w:bCs/>
                <w:sz w:val="18"/>
                <w:szCs w:val="18"/>
              </w:rPr>
            </w:pPr>
            <w:r w:rsidRPr="00BD77D8">
              <w:rPr>
                <w:b/>
                <w:bCs/>
                <w:sz w:val="18"/>
                <w:szCs w:val="18"/>
              </w:rPr>
              <w:t xml:space="preserve"> Note </w:t>
            </w:r>
          </w:p>
        </w:tc>
        <w:tc>
          <w:tcPr>
            <w:tcW w:w="1395" w:type="dxa"/>
            <w:tcBorders>
              <w:top w:val="nil"/>
              <w:left w:val="nil"/>
              <w:bottom w:val="single" w:sz="4" w:space="0" w:color="auto"/>
              <w:right w:val="nil"/>
            </w:tcBorders>
            <w:shd w:val="clear" w:color="auto" w:fill="auto"/>
            <w:vAlign w:val="center"/>
            <w:hideMark/>
          </w:tcPr>
          <w:p w14:paraId="755A6075"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c>
          <w:tcPr>
            <w:tcW w:w="873" w:type="dxa"/>
            <w:tcBorders>
              <w:top w:val="nil"/>
              <w:left w:val="nil"/>
              <w:bottom w:val="single" w:sz="4" w:space="0" w:color="auto"/>
              <w:right w:val="nil"/>
            </w:tcBorders>
            <w:shd w:val="clear" w:color="auto" w:fill="auto"/>
            <w:vAlign w:val="center"/>
            <w:hideMark/>
          </w:tcPr>
          <w:p w14:paraId="273353E1" w14:textId="77777777" w:rsidR="00B9311E" w:rsidRPr="00BD77D8" w:rsidRDefault="00B9311E" w:rsidP="00B9311E">
            <w:pPr>
              <w:spacing w:after="0" w:line="240" w:lineRule="auto"/>
              <w:jc w:val="right"/>
              <w:rPr>
                <w:b/>
                <w:bCs/>
                <w:sz w:val="18"/>
                <w:szCs w:val="18"/>
              </w:rPr>
            </w:pPr>
            <w:r w:rsidRPr="00BD77D8">
              <w:rPr>
                <w:b/>
                <w:bCs/>
                <w:sz w:val="18"/>
                <w:szCs w:val="18"/>
              </w:rPr>
              <w:t xml:space="preserve"> $'000 </w:t>
            </w:r>
          </w:p>
        </w:tc>
      </w:tr>
      <w:tr w:rsidR="00BD77D8" w:rsidRPr="00BD77D8" w14:paraId="093533C8" w14:textId="77777777" w:rsidTr="003057FB">
        <w:trPr>
          <w:trHeight w:val="273"/>
        </w:trPr>
        <w:tc>
          <w:tcPr>
            <w:tcW w:w="0" w:type="auto"/>
            <w:tcBorders>
              <w:top w:val="nil"/>
              <w:left w:val="nil"/>
              <w:bottom w:val="nil"/>
              <w:right w:val="nil"/>
            </w:tcBorders>
            <w:shd w:val="clear" w:color="auto" w:fill="auto"/>
            <w:vAlign w:val="center"/>
            <w:hideMark/>
          </w:tcPr>
          <w:p w14:paraId="7AD0F256" w14:textId="77777777" w:rsidR="00B9311E" w:rsidRPr="00BD77D8" w:rsidRDefault="00B9311E" w:rsidP="00B9311E">
            <w:pPr>
              <w:spacing w:after="0" w:line="240" w:lineRule="auto"/>
              <w:rPr>
                <w:b/>
                <w:bCs/>
                <w:sz w:val="18"/>
                <w:szCs w:val="18"/>
              </w:rPr>
            </w:pPr>
            <w:r w:rsidRPr="00BD77D8">
              <w:rPr>
                <w:b/>
                <w:bCs/>
                <w:sz w:val="18"/>
                <w:szCs w:val="18"/>
              </w:rPr>
              <w:t xml:space="preserve"> Financial Assets </w:t>
            </w:r>
          </w:p>
        </w:tc>
        <w:tc>
          <w:tcPr>
            <w:tcW w:w="1410" w:type="dxa"/>
            <w:tcBorders>
              <w:top w:val="nil"/>
              <w:left w:val="nil"/>
              <w:bottom w:val="nil"/>
              <w:right w:val="nil"/>
            </w:tcBorders>
            <w:shd w:val="clear" w:color="auto" w:fill="auto"/>
            <w:vAlign w:val="center"/>
            <w:hideMark/>
          </w:tcPr>
          <w:p w14:paraId="3CEDB3F8"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061E0C23"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73" w:type="dxa"/>
            <w:tcBorders>
              <w:top w:val="nil"/>
              <w:left w:val="nil"/>
              <w:bottom w:val="nil"/>
              <w:right w:val="nil"/>
            </w:tcBorders>
            <w:shd w:val="clear" w:color="auto" w:fill="auto"/>
            <w:vAlign w:val="bottom"/>
            <w:hideMark/>
          </w:tcPr>
          <w:p w14:paraId="49C4426D"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0F41A2C9" w14:textId="77777777" w:rsidTr="003057FB">
        <w:trPr>
          <w:trHeight w:val="273"/>
        </w:trPr>
        <w:tc>
          <w:tcPr>
            <w:tcW w:w="0" w:type="auto"/>
            <w:tcBorders>
              <w:top w:val="nil"/>
              <w:left w:val="nil"/>
              <w:bottom w:val="nil"/>
              <w:right w:val="nil"/>
            </w:tcBorders>
            <w:shd w:val="clear" w:color="auto" w:fill="auto"/>
            <w:vAlign w:val="center"/>
            <w:hideMark/>
          </w:tcPr>
          <w:p w14:paraId="59102D83" w14:textId="77777777" w:rsidR="00B9311E" w:rsidRPr="00BD77D8" w:rsidRDefault="00B9311E" w:rsidP="00B9311E">
            <w:pPr>
              <w:spacing w:after="0" w:line="240" w:lineRule="auto"/>
              <w:rPr>
                <w:sz w:val="18"/>
                <w:szCs w:val="18"/>
              </w:rPr>
            </w:pPr>
            <w:r w:rsidRPr="00BD77D8">
              <w:rPr>
                <w:sz w:val="18"/>
                <w:szCs w:val="18"/>
              </w:rPr>
              <w:t xml:space="preserve"> Cash and cash equivalents </w:t>
            </w:r>
          </w:p>
        </w:tc>
        <w:tc>
          <w:tcPr>
            <w:tcW w:w="1410" w:type="dxa"/>
            <w:tcBorders>
              <w:top w:val="nil"/>
              <w:left w:val="nil"/>
              <w:bottom w:val="nil"/>
              <w:right w:val="nil"/>
            </w:tcBorders>
            <w:shd w:val="clear" w:color="auto" w:fill="auto"/>
            <w:vAlign w:val="center"/>
            <w:hideMark/>
          </w:tcPr>
          <w:p w14:paraId="5CAEDAB9"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3B09C6C5" w14:textId="77777777" w:rsidR="00B9311E" w:rsidRPr="00BD77D8" w:rsidRDefault="00B9311E" w:rsidP="00B9311E">
            <w:pPr>
              <w:spacing w:after="0" w:line="240" w:lineRule="auto"/>
              <w:jc w:val="right"/>
              <w:rPr>
                <w:sz w:val="18"/>
                <w:szCs w:val="18"/>
              </w:rPr>
            </w:pPr>
            <w:r w:rsidRPr="00BD77D8">
              <w:rPr>
                <w:sz w:val="18"/>
                <w:szCs w:val="18"/>
              </w:rPr>
              <w:t xml:space="preserve">     54,365 </w:t>
            </w:r>
          </w:p>
        </w:tc>
        <w:tc>
          <w:tcPr>
            <w:tcW w:w="873" w:type="dxa"/>
            <w:tcBorders>
              <w:top w:val="nil"/>
              <w:left w:val="nil"/>
              <w:bottom w:val="nil"/>
              <w:right w:val="nil"/>
            </w:tcBorders>
            <w:shd w:val="clear" w:color="auto" w:fill="auto"/>
            <w:vAlign w:val="bottom"/>
            <w:hideMark/>
          </w:tcPr>
          <w:p w14:paraId="011B4C10" w14:textId="77777777" w:rsidR="00B9311E" w:rsidRPr="00BD77D8" w:rsidRDefault="00B9311E" w:rsidP="00B9311E">
            <w:pPr>
              <w:spacing w:after="0" w:line="240" w:lineRule="auto"/>
              <w:jc w:val="right"/>
              <w:rPr>
                <w:sz w:val="18"/>
                <w:szCs w:val="18"/>
              </w:rPr>
            </w:pPr>
            <w:r w:rsidRPr="00BD77D8">
              <w:rPr>
                <w:sz w:val="18"/>
                <w:szCs w:val="18"/>
              </w:rPr>
              <w:t xml:space="preserve"> 44,315 </w:t>
            </w:r>
          </w:p>
        </w:tc>
      </w:tr>
      <w:tr w:rsidR="00BD77D8" w:rsidRPr="00BD77D8" w14:paraId="691376CC" w14:textId="77777777" w:rsidTr="003057FB">
        <w:trPr>
          <w:trHeight w:val="273"/>
        </w:trPr>
        <w:tc>
          <w:tcPr>
            <w:tcW w:w="0" w:type="auto"/>
            <w:tcBorders>
              <w:top w:val="nil"/>
              <w:left w:val="nil"/>
              <w:bottom w:val="nil"/>
              <w:right w:val="nil"/>
            </w:tcBorders>
            <w:shd w:val="clear" w:color="auto" w:fill="auto"/>
            <w:vAlign w:val="center"/>
            <w:hideMark/>
          </w:tcPr>
          <w:p w14:paraId="640EA97F" w14:textId="77777777" w:rsidR="00B9311E" w:rsidRPr="00BD77D8" w:rsidRDefault="00B9311E" w:rsidP="00B9311E">
            <w:pPr>
              <w:spacing w:after="0" w:line="240" w:lineRule="auto"/>
              <w:rPr>
                <w:sz w:val="18"/>
                <w:szCs w:val="18"/>
              </w:rPr>
            </w:pPr>
            <w:r w:rsidRPr="00BD77D8">
              <w:rPr>
                <w:sz w:val="18"/>
                <w:szCs w:val="18"/>
              </w:rPr>
              <w:t xml:space="preserve"> Financial assets at amortised cost: </w:t>
            </w:r>
          </w:p>
        </w:tc>
        <w:tc>
          <w:tcPr>
            <w:tcW w:w="1410" w:type="dxa"/>
            <w:tcBorders>
              <w:top w:val="nil"/>
              <w:left w:val="nil"/>
              <w:bottom w:val="nil"/>
              <w:right w:val="nil"/>
            </w:tcBorders>
            <w:shd w:val="clear" w:color="auto" w:fill="auto"/>
            <w:vAlign w:val="center"/>
            <w:hideMark/>
          </w:tcPr>
          <w:p w14:paraId="2189667C"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2F2D7013"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73" w:type="dxa"/>
            <w:tcBorders>
              <w:top w:val="nil"/>
              <w:left w:val="nil"/>
              <w:bottom w:val="nil"/>
              <w:right w:val="nil"/>
            </w:tcBorders>
            <w:shd w:val="clear" w:color="auto" w:fill="auto"/>
            <w:vAlign w:val="bottom"/>
            <w:hideMark/>
          </w:tcPr>
          <w:p w14:paraId="7D31583F"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787EA5E9" w14:textId="77777777" w:rsidTr="003057FB">
        <w:trPr>
          <w:trHeight w:val="273"/>
        </w:trPr>
        <w:tc>
          <w:tcPr>
            <w:tcW w:w="0" w:type="auto"/>
            <w:tcBorders>
              <w:top w:val="nil"/>
              <w:left w:val="nil"/>
              <w:bottom w:val="nil"/>
              <w:right w:val="nil"/>
            </w:tcBorders>
            <w:shd w:val="clear" w:color="auto" w:fill="auto"/>
            <w:vAlign w:val="center"/>
            <w:hideMark/>
          </w:tcPr>
          <w:p w14:paraId="2AC17183" w14:textId="77777777" w:rsidR="00B9311E" w:rsidRPr="00BD77D8" w:rsidRDefault="00B9311E" w:rsidP="00B9311E">
            <w:pPr>
              <w:spacing w:after="0" w:line="240" w:lineRule="auto"/>
              <w:rPr>
                <w:sz w:val="18"/>
                <w:szCs w:val="18"/>
              </w:rPr>
            </w:pPr>
            <w:r w:rsidRPr="00BD77D8">
              <w:rPr>
                <w:sz w:val="18"/>
                <w:szCs w:val="18"/>
              </w:rPr>
              <w:t xml:space="preserve"> Current Receivables </w:t>
            </w:r>
          </w:p>
        </w:tc>
        <w:tc>
          <w:tcPr>
            <w:tcW w:w="1410" w:type="dxa"/>
            <w:tcBorders>
              <w:top w:val="nil"/>
              <w:left w:val="nil"/>
              <w:bottom w:val="nil"/>
              <w:right w:val="nil"/>
            </w:tcBorders>
            <w:shd w:val="clear" w:color="auto" w:fill="auto"/>
            <w:vAlign w:val="center"/>
            <w:hideMark/>
          </w:tcPr>
          <w:p w14:paraId="5A2C7CAA" w14:textId="77777777" w:rsidR="00B9311E" w:rsidRPr="00BD77D8" w:rsidRDefault="00B9311E" w:rsidP="00B9311E">
            <w:pPr>
              <w:spacing w:after="0" w:line="240" w:lineRule="auto"/>
              <w:jc w:val="center"/>
              <w:rPr>
                <w:b/>
                <w:bCs/>
                <w:sz w:val="18"/>
                <w:szCs w:val="18"/>
              </w:rPr>
            </w:pPr>
            <w:r w:rsidRPr="00BD77D8">
              <w:rPr>
                <w:b/>
                <w:bCs/>
                <w:sz w:val="18"/>
                <w:szCs w:val="18"/>
              </w:rPr>
              <w:t xml:space="preserve"> G1-5 </w:t>
            </w:r>
          </w:p>
        </w:tc>
        <w:tc>
          <w:tcPr>
            <w:tcW w:w="1395" w:type="dxa"/>
            <w:tcBorders>
              <w:top w:val="nil"/>
              <w:left w:val="nil"/>
              <w:bottom w:val="nil"/>
              <w:right w:val="nil"/>
            </w:tcBorders>
            <w:shd w:val="clear" w:color="auto" w:fill="auto"/>
            <w:vAlign w:val="bottom"/>
            <w:hideMark/>
          </w:tcPr>
          <w:p w14:paraId="77B769EF" w14:textId="77777777" w:rsidR="00B9311E" w:rsidRPr="00BD77D8" w:rsidRDefault="00B9311E" w:rsidP="00B9311E">
            <w:pPr>
              <w:spacing w:after="0" w:line="240" w:lineRule="auto"/>
              <w:jc w:val="right"/>
              <w:rPr>
                <w:sz w:val="18"/>
                <w:szCs w:val="18"/>
              </w:rPr>
            </w:pPr>
            <w:r w:rsidRPr="00BD77D8">
              <w:rPr>
                <w:sz w:val="18"/>
                <w:szCs w:val="18"/>
              </w:rPr>
              <w:t xml:space="preserve">        1,771 </w:t>
            </w:r>
          </w:p>
        </w:tc>
        <w:tc>
          <w:tcPr>
            <w:tcW w:w="873" w:type="dxa"/>
            <w:tcBorders>
              <w:top w:val="nil"/>
              <w:left w:val="nil"/>
              <w:bottom w:val="nil"/>
              <w:right w:val="nil"/>
            </w:tcBorders>
            <w:shd w:val="clear" w:color="auto" w:fill="auto"/>
            <w:vAlign w:val="bottom"/>
            <w:hideMark/>
          </w:tcPr>
          <w:p w14:paraId="5267F068" w14:textId="77777777" w:rsidR="00B9311E" w:rsidRPr="00BD77D8" w:rsidRDefault="00B9311E" w:rsidP="00B9311E">
            <w:pPr>
              <w:spacing w:after="0" w:line="240" w:lineRule="auto"/>
              <w:jc w:val="right"/>
              <w:rPr>
                <w:sz w:val="18"/>
                <w:szCs w:val="18"/>
              </w:rPr>
            </w:pPr>
            <w:r w:rsidRPr="00BD77D8">
              <w:rPr>
                <w:sz w:val="18"/>
                <w:szCs w:val="18"/>
              </w:rPr>
              <w:t xml:space="preserve">    1,959 </w:t>
            </w:r>
          </w:p>
        </w:tc>
      </w:tr>
      <w:tr w:rsidR="00BD77D8" w:rsidRPr="00BD77D8" w14:paraId="0D0713C1" w14:textId="77777777" w:rsidTr="003057FB">
        <w:trPr>
          <w:trHeight w:val="273"/>
        </w:trPr>
        <w:tc>
          <w:tcPr>
            <w:tcW w:w="0" w:type="auto"/>
            <w:tcBorders>
              <w:top w:val="nil"/>
              <w:left w:val="nil"/>
              <w:bottom w:val="nil"/>
              <w:right w:val="nil"/>
            </w:tcBorders>
            <w:shd w:val="clear" w:color="auto" w:fill="auto"/>
            <w:vAlign w:val="center"/>
            <w:hideMark/>
          </w:tcPr>
          <w:p w14:paraId="2DAFDD92" w14:textId="77777777" w:rsidR="00B9311E" w:rsidRPr="00BD77D8" w:rsidRDefault="00B9311E" w:rsidP="00B9311E">
            <w:pPr>
              <w:spacing w:after="0" w:line="240" w:lineRule="auto"/>
              <w:rPr>
                <w:b/>
                <w:bCs/>
                <w:sz w:val="18"/>
                <w:szCs w:val="18"/>
              </w:rPr>
            </w:pPr>
            <w:r w:rsidRPr="00BD77D8">
              <w:rPr>
                <w:b/>
                <w:bCs/>
                <w:sz w:val="18"/>
                <w:szCs w:val="18"/>
              </w:rPr>
              <w:t xml:space="preserve"> Total financial assets </w:t>
            </w:r>
          </w:p>
        </w:tc>
        <w:tc>
          <w:tcPr>
            <w:tcW w:w="1410" w:type="dxa"/>
            <w:tcBorders>
              <w:top w:val="nil"/>
              <w:left w:val="nil"/>
              <w:bottom w:val="nil"/>
              <w:right w:val="nil"/>
            </w:tcBorders>
            <w:shd w:val="clear" w:color="auto" w:fill="auto"/>
            <w:vAlign w:val="center"/>
            <w:hideMark/>
          </w:tcPr>
          <w:p w14:paraId="4ED402AE" w14:textId="77777777" w:rsidR="00B9311E" w:rsidRPr="00BD77D8" w:rsidRDefault="00B9311E" w:rsidP="00B9311E">
            <w:pPr>
              <w:spacing w:after="0" w:line="240" w:lineRule="auto"/>
              <w:rPr>
                <w:b/>
                <w:bCs/>
                <w:sz w:val="18"/>
                <w:szCs w:val="18"/>
              </w:rPr>
            </w:pPr>
          </w:p>
        </w:tc>
        <w:tc>
          <w:tcPr>
            <w:tcW w:w="1395" w:type="dxa"/>
            <w:tcBorders>
              <w:top w:val="single" w:sz="4" w:space="0" w:color="auto"/>
              <w:left w:val="nil"/>
              <w:bottom w:val="single" w:sz="4" w:space="0" w:color="auto"/>
              <w:right w:val="nil"/>
            </w:tcBorders>
            <w:shd w:val="clear" w:color="auto" w:fill="auto"/>
            <w:vAlign w:val="bottom"/>
            <w:hideMark/>
          </w:tcPr>
          <w:p w14:paraId="3677A27B" w14:textId="77777777" w:rsidR="00B9311E" w:rsidRPr="00BD77D8" w:rsidRDefault="00B9311E" w:rsidP="00B9311E">
            <w:pPr>
              <w:spacing w:after="0" w:line="240" w:lineRule="auto"/>
              <w:jc w:val="right"/>
              <w:rPr>
                <w:b/>
                <w:bCs/>
                <w:sz w:val="18"/>
                <w:szCs w:val="18"/>
              </w:rPr>
            </w:pPr>
            <w:r w:rsidRPr="00BD77D8">
              <w:rPr>
                <w:b/>
                <w:bCs/>
                <w:sz w:val="18"/>
                <w:szCs w:val="18"/>
              </w:rPr>
              <w:t xml:space="preserve">     56,136 </w:t>
            </w:r>
          </w:p>
        </w:tc>
        <w:tc>
          <w:tcPr>
            <w:tcW w:w="873" w:type="dxa"/>
            <w:tcBorders>
              <w:top w:val="single" w:sz="4" w:space="0" w:color="auto"/>
              <w:left w:val="nil"/>
              <w:bottom w:val="single" w:sz="4" w:space="0" w:color="auto"/>
              <w:right w:val="nil"/>
            </w:tcBorders>
            <w:shd w:val="clear" w:color="auto" w:fill="auto"/>
            <w:vAlign w:val="bottom"/>
            <w:hideMark/>
          </w:tcPr>
          <w:p w14:paraId="26A11749" w14:textId="77777777" w:rsidR="00B9311E" w:rsidRPr="00BD77D8" w:rsidRDefault="00B9311E" w:rsidP="00B9311E">
            <w:pPr>
              <w:spacing w:after="0" w:line="240" w:lineRule="auto"/>
              <w:jc w:val="right"/>
              <w:rPr>
                <w:b/>
                <w:bCs/>
                <w:sz w:val="18"/>
                <w:szCs w:val="18"/>
              </w:rPr>
            </w:pPr>
            <w:r w:rsidRPr="00BD77D8">
              <w:rPr>
                <w:b/>
                <w:bCs/>
                <w:sz w:val="18"/>
                <w:szCs w:val="18"/>
              </w:rPr>
              <w:t xml:space="preserve"> 46,274 </w:t>
            </w:r>
          </w:p>
        </w:tc>
      </w:tr>
      <w:tr w:rsidR="00BD77D8" w:rsidRPr="00BD77D8" w14:paraId="7711B029" w14:textId="77777777" w:rsidTr="003057FB">
        <w:trPr>
          <w:trHeight w:val="273"/>
        </w:trPr>
        <w:tc>
          <w:tcPr>
            <w:tcW w:w="0" w:type="auto"/>
            <w:tcBorders>
              <w:top w:val="nil"/>
              <w:left w:val="nil"/>
              <w:bottom w:val="nil"/>
              <w:right w:val="nil"/>
            </w:tcBorders>
            <w:shd w:val="clear" w:color="auto" w:fill="auto"/>
            <w:vAlign w:val="center"/>
            <w:hideMark/>
          </w:tcPr>
          <w:p w14:paraId="638D8A7C" w14:textId="77777777" w:rsidR="00B9311E" w:rsidRPr="00BD77D8" w:rsidRDefault="00B9311E" w:rsidP="00B9311E">
            <w:pPr>
              <w:spacing w:after="0" w:line="240" w:lineRule="auto"/>
              <w:rPr>
                <w:b/>
                <w:bCs/>
                <w:sz w:val="18"/>
                <w:szCs w:val="18"/>
              </w:rPr>
            </w:pPr>
            <w:r w:rsidRPr="00BD77D8">
              <w:rPr>
                <w:b/>
                <w:bCs/>
                <w:sz w:val="18"/>
                <w:szCs w:val="18"/>
              </w:rPr>
              <w:t xml:space="preserve"> Financial Liabilities </w:t>
            </w:r>
          </w:p>
        </w:tc>
        <w:tc>
          <w:tcPr>
            <w:tcW w:w="1410" w:type="dxa"/>
            <w:tcBorders>
              <w:top w:val="nil"/>
              <w:left w:val="nil"/>
              <w:bottom w:val="nil"/>
              <w:right w:val="nil"/>
            </w:tcBorders>
            <w:shd w:val="clear" w:color="auto" w:fill="auto"/>
            <w:vAlign w:val="center"/>
            <w:hideMark/>
          </w:tcPr>
          <w:p w14:paraId="480699CD"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404736BF"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73" w:type="dxa"/>
            <w:tcBorders>
              <w:top w:val="nil"/>
              <w:left w:val="nil"/>
              <w:bottom w:val="nil"/>
              <w:right w:val="nil"/>
            </w:tcBorders>
            <w:shd w:val="clear" w:color="auto" w:fill="auto"/>
            <w:vAlign w:val="bottom"/>
            <w:hideMark/>
          </w:tcPr>
          <w:p w14:paraId="070C1F19"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68644792" w14:textId="77777777" w:rsidTr="003057FB">
        <w:trPr>
          <w:trHeight w:val="273"/>
        </w:trPr>
        <w:tc>
          <w:tcPr>
            <w:tcW w:w="0" w:type="auto"/>
            <w:tcBorders>
              <w:top w:val="nil"/>
              <w:left w:val="nil"/>
              <w:bottom w:val="nil"/>
              <w:right w:val="nil"/>
            </w:tcBorders>
            <w:shd w:val="clear" w:color="auto" w:fill="auto"/>
            <w:vAlign w:val="center"/>
            <w:hideMark/>
          </w:tcPr>
          <w:p w14:paraId="7CA009EE" w14:textId="77777777" w:rsidR="00B9311E" w:rsidRPr="00BD77D8" w:rsidRDefault="00B9311E" w:rsidP="00B9311E">
            <w:pPr>
              <w:spacing w:after="0" w:line="240" w:lineRule="auto"/>
              <w:rPr>
                <w:sz w:val="18"/>
                <w:szCs w:val="18"/>
              </w:rPr>
            </w:pPr>
            <w:r w:rsidRPr="00BD77D8">
              <w:rPr>
                <w:sz w:val="18"/>
                <w:szCs w:val="18"/>
              </w:rPr>
              <w:t xml:space="preserve"> Financial liabilities at amortised cost: </w:t>
            </w:r>
          </w:p>
        </w:tc>
        <w:tc>
          <w:tcPr>
            <w:tcW w:w="1410" w:type="dxa"/>
            <w:tcBorders>
              <w:top w:val="nil"/>
              <w:left w:val="nil"/>
              <w:bottom w:val="nil"/>
              <w:right w:val="nil"/>
            </w:tcBorders>
            <w:shd w:val="clear" w:color="auto" w:fill="auto"/>
            <w:vAlign w:val="center"/>
            <w:hideMark/>
          </w:tcPr>
          <w:p w14:paraId="22A9E52D" w14:textId="77777777" w:rsidR="00B9311E" w:rsidRPr="00BD77D8" w:rsidRDefault="00B9311E" w:rsidP="00B9311E">
            <w:pPr>
              <w:spacing w:after="0" w:line="240" w:lineRule="auto"/>
              <w:rPr>
                <w:b/>
                <w:bCs/>
                <w:sz w:val="18"/>
                <w:szCs w:val="18"/>
              </w:rPr>
            </w:pPr>
          </w:p>
        </w:tc>
        <w:tc>
          <w:tcPr>
            <w:tcW w:w="1395" w:type="dxa"/>
            <w:tcBorders>
              <w:top w:val="nil"/>
              <w:left w:val="nil"/>
              <w:bottom w:val="nil"/>
              <w:right w:val="nil"/>
            </w:tcBorders>
            <w:shd w:val="clear" w:color="auto" w:fill="auto"/>
            <w:vAlign w:val="bottom"/>
            <w:hideMark/>
          </w:tcPr>
          <w:p w14:paraId="6AC9B09C" w14:textId="77777777" w:rsidR="00B9311E" w:rsidRPr="00BD77D8" w:rsidRDefault="00B9311E" w:rsidP="00B9311E">
            <w:pPr>
              <w:spacing w:after="0" w:line="240" w:lineRule="auto"/>
              <w:jc w:val="center"/>
              <w:rPr>
                <w:rFonts w:ascii="Times New Roman" w:hAnsi="Times New Roman" w:cs="Times New Roman"/>
                <w:sz w:val="20"/>
                <w:szCs w:val="20"/>
              </w:rPr>
            </w:pPr>
          </w:p>
        </w:tc>
        <w:tc>
          <w:tcPr>
            <w:tcW w:w="873" w:type="dxa"/>
            <w:tcBorders>
              <w:top w:val="nil"/>
              <w:left w:val="nil"/>
              <w:bottom w:val="nil"/>
              <w:right w:val="nil"/>
            </w:tcBorders>
            <w:shd w:val="clear" w:color="auto" w:fill="auto"/>
            <w:vAlign w:val="bottom"/>
            <w:hideMark/>
          </w:tcPr>
          <w:p w14:paraId="56893287" w14:textId="77777777" w:rsidR="00B9311E" w:rsidRPr="00BD77D8" w:rsidRDefault="00B9311E" w:rsidP="00B9311E">
            <w:pPr>
              <w:spacing w:after="0" w:line="240" w:lineRule="auto"/>
              <w:jc w:val="right"/>
              <w:rPr>
                <w:rFonts w:ascii="Times New Roman" w:hAnsi="Times New Roman" w:cs="Times New Roman"/>
                <w:sz w:val="20"/>
                <w:szCs w:val="20"/>
              </w:rPr>
            </w:pPr>
          </w:p>
        </w:tc>
      </w:tr>
      <w:tr w:rsidR="00BD77D8" w:rsidRPr="00BD77D8" w14:paraId="0E4A7562" w14:textId="77777777" w:rsidTr="003057FB">
        <w:trPr>
          <w:trHeight w:val="273"/>
        </w:trPr>
        <w:tc>
          <w:tcPr>
            <w:tcW w:w="0" w:type="auto"/>
            <w:tcBorders>
              <w:top w:val="nil"/>
              <w:left w:val="nil"/>
              <w:bottom w:val="nil"/>
              <w:right w:val="nil"/>
            </w:tcBorders>
            <w:shd w:val="clear" w:color="auto" w:fill="auto"/>
            <w:vAlign w:val="center"/>
            <w:hideMark/>
          </w:tcPr>
          <w:p w14:paraId="6A1AA6C5" w14:textId="77777777" w:rsidR="00B9311E" w:rsidRPr="00BD77D8" w:rsidRDefault="00B9311E" w:rsidP="00B9311E">
            <w:pPr>
              <w:spacing w:after="0" w:line="240" w:lineRule="auto"/>
              <w:rPr>
                <w:sz w:val="18"/>
                <w:szCs w:val="18"/>
              </w:rPr>
            </w:pPr>
            <w:r w:rsidRPr="00BD77D8">
              <w:rPr>
                <w:sz w:val="18"/>
                <w:szCs w:val="18"/>
              </w:rPr>
              <w:t xml:space="preserve"> Payables </w:t>
            </w:r>
          </w:p>
        </w:tc>
        <w:tc>
          <w:tcPr>
            <w:tcW w:w="1410" w:type="dxa"/>
            <w:tcBorders>
              <w:top w:val="nil"/>
              <w:left w:val="nil"/>
              <w:bottom w:val="nil"/>
              <w:right w:val="nil"/>
            </w:tcBorders>
            <w:shd w:val="clear" w:color="auto" w:fill="auto"/>
            <w:vAlign w:val="center"/>
            <w:hideMark/>
          </w:tcPr>
          <w:p w14:paraId="1B7CC1A3" w14:textId="77777777" w:rsidR="00B9311E" w:rsidRPr="00BD77D8" w:rsidRDefault="00B9311E" w:rsidP="00B9311E">
            <w:pPr>
              <w:spacing w:after="0" w:line="240" w:lineRule="auto"/>
              <w:jc w:val="center"/>
              <w:rPr>
                <w:b/>
                <w:bCs/>
                <w:sz w:val="18"/>
                <w:szCs w:val="18"/>
              </w:rPr>
            </w:pPr>
            <w:r w:rsidRPr="00BD77D8">
              <w:rPr>
                <w:b/>
                <w:bCs/>
                <w:sz w:val="18"/>
                <w:szCs w:val="18"/>
              </w:rPr>
              <w:t xml:space="preserve"> G1-6 </w:t>
            </w:r>
          </w:p>
        </w:tc>
        <w:tc>
          <w:tcPr>
            <w:tcW w:w="1395" w:type="dxa"/>
            <w:tcBorders>
              <w:top w:val="nil"/>
              <w:left w:val="nil"/>
              <w:bottom w:val="nil"/>
              <w:right w:val="nil"/>
            </w:tcBorders>
            <w:shd w:val="clear" w:color="auto" w:fill="auto"/>
            <w:vAlign w:val="bottom"/>
            <w:hideMark/>
          </w:tcPr>
          <w:p w14:paraId="1C1D5D8A" w14:textId="77777777" w:rsidR="00B9311E" w:rsidRPr="00BD77D8" w:rsidRDefault="00B9311E" w:rsidP="00B9311E">
            <w:pPr>
              <w:spacing w:after="0" w:line="240" w:lineRule="auto"/>
              <w:jc w:val="right"/>
              <w:rPr>
                <w:sz w:val="18"/>
                <w:szCs w:val="18"/>
              </w:rPr>
            </w:pPr>
            <w:r w:rsidRPr="00BD77D8">
              <w:rPr>
                <w:sz w:val="18"/>
                <w:szCs w:val="18"/>
              </w:rPr>
              <w:t xml:space="preserve">     57,493 </w:t>
            </w:r>
          </w:p>
        </w:tc>
        <w:tc>
          <w:tcPr>
            <w:tcW w:w="873" w:type="dxa"/>
            <w:tcBorders>
              <w:top w:val="nil"/>
              <w:left w:val="nil"/>
              <w:bottom w:val="nil"/>
              <w:right w:val="nil"/>
            </w:tcBorders>
            <w:shd w:val="clear" w:color="auto" w:fill="auto"/>
            <w:vAlign w:val="bottom"/>
            <w:hideMark/>
          </w:tcPr>
          <w:p w14:paraId="2D9A2A03" w14:textId="77777777" w:rsidR="00B9311E" w:rsidRPr="00BD77D8" w:rsidRDefault="00B9311E" w:rsidP="00B9311E">
            <w:pPr>
              <w:spacing w:after="0" w:line="240" w:lineRule="auto"/>
              <w:jc w:val="right"/>
              <w:rPr>
                <w:sz w:val="18"/>
                <w:szCs w:val="18"/>
              </w:rPr>
            </w:pPr>
            <w:r w:rsidRPr="00BD77D8">
              <w:rPr>
                <w:sz w:val="18"/>
                <w:szCs w:val="18"/>
              </w:rPr>
              <w:t xml:space="preserve"> 47,733 </w:t>
            </w:r>
          </w:p>
        </w:tc>
      </w:tr>
      <w:tr w:rsidR="00BD77D8" w:rsidRPr="00BD77D8" w14:paraId="7CE8D030" w14:textId="77777777" w:rsidTr="003057FB">
        <w:trPr>
          <w:trHeight w:val="273"/>
        </w:trPr>
        <w:tc>
          <w:tcPr>
            <w:tcW w:w="0" w:type="auto"/>
            <w:tcBorders>
              <w:top w:val="nil"/>
              <w:left w:val="nil"/>
              <w:bottom w:val="nil"/>
              <w:right w:val="nil"/>
            </w:tcBorders>
            <w:shd w:val="clear" w:color="auto" w:fill="auto"/>
            <w:vAlign w:val="center"/>
            <w:hideMark/>
          </w:tcPr>
          <w:p w14:paraId="5985DE3B" w14:textId="77777777" w:rsidR="00B9311E" w:rsidRPr="00BD77D8" w:rsidRDefault="00B9311E" w:rsidP="00B9311E">
            <w:pPr>
              <w:spacing w:after="0" w:line="240" w:lineRule="auto"/>
              <w:rPr>
                <w:b/>
                <w:bCs/>
                <w:sz w:val="18"/>
                <w:szCs w:val="18"/>
              </w:rPr>
            </w:pPr>
            <w:r w:rsidRPr="00BD77D8">
              <w:rPr>
                <w:b/>
                <w:bCs/>
                <w:sz w:val="18"/>
                <w:szCs w:val="18"/>
              </w:rPr>
              <w:t xml:space="preserve"> Total financial liabilities at amortised cost </w:t>
            </w:r>
          </w:p>
        </w:tc>
        <w:tc>
          <w:tcPr>
            <w:tcW w:w="1410" w:type="dxa"/>
            <w:tcBorders>
              <w:top w:val="nil"/>
              <w:left w:val="nil"/>
              <w:bottom w:val="nil"/>
              <w:right w:val="nil"/>
            </w:tcBorders>
            <w:shd w:val="clear" w:color="auto" w:fill="auto"/>
            <w:vAlign w:val="center"/>
            <w:hideMark/>
          </w:tcPr>
          <w:p w14:paraId="7FAB6F05" w14:textId="77777777" w:rsidR="00B9311E" w:rsidRPr="00BD77D8" w:rsidRDefault="00B9311E" w:rsidP="00B9311E">
            <w:pPr>
              <w:spacing w:after="0" w:line="240" w:lineRule="auto"/>
              <w:rPr>
                <w:b/>
                <w:bCs/>
                <w:sz w:val="18"/>
                <w:szCs w:val="18"/>
              </w:rPr>
            </w:pPr>
          </w:p>
        </w:tc>
        <w:tc>
          <w:tcPr>
            <w:tcW w:w="1395" w:type="dxa"/>
            <w:tcBorders>
              <w:top w:val="single" w:sz="4" w:space="0" w:color="auto"/>
              <w:left w:val="nil"/>
              <w:bottom w:val="single" w:sz="4" w:space="0" w:color="auto"/>
              <w:right w:val="nil"/>
            </w:tcBorders>
            <w:shd w:val="clear" w:color="auto" w:fill="auto"/>
            <w:vAlign w:val="bottom"/>
            <w:hideMark/>
          </w:tcPr>
          <w:p w14:paraId="6ECF211A" w14:textId="77777777" w:rsidR="00B9311E" w:rsidRPr="00BD77D8" w:rsidRDefault="00B9311E" w:rsidP="00B9311E">
            <w:pPr>
              <w:spacing w:after="0" w:line="240" w:lineRule="auto"/>
              <w:jc w:val="right"/>
              <w:rPr>
                <w:b/>
                <w:bCs/>
                <w:sz w:val="18"/>
                <w:szCs w:val="18"/>
              </w:rPr>
            </w:pPr>
            <w:r w:rsidRPr="00BD77D8">
              <w:rPr>
                <w:b/>
                <w:bCs/>
                <w:sz w:val="18"/>
                <w:szCs w:val="18"/>
              </w:rPr>
              <w:t xml:space="preserve">     57,493 </w:t>
            </w:r>
          </w:p>
        </w:tc>
        <w:tc>
          <w:tcPr>
            <w:tcW w:w="873" w:type="dxa"/>
            <w:tcBorders>
              <w:top w:val="single" w:sz="4" w:space="0" w:color="auto"/>
              <w:left w:val="nil"/>
              <w:bottom w:val="single" w:sz="4" w:space="0" w:color="auto"/>
              <w:right w:val="nil"/>
            </w:tcBorders>
            <w:shd w:val="clear" w:color="auto" w:fill="auto"/>
            <w:vAlign w:val="bottom"/>
            <w:hideMark/>
          </w:tcPr>
          <w:p w14:paraId="1B35E041" w14:textId="77777777" w:rsidR="00B9311E" w:rsidRPr="00BD77D8" w:rsidRDefault="00B9311E" w:rsidP="00B9311E">
            <w:pPr>
              <w:spacing w:after="0" w:line="240" w:lineRule="auto"/>
              <w:jc w:val="right"/>
              <w:rPr>
                <w:b/>
                <w:bCs/>
                <w:sz w:val="18"/>
                <w:szCs w:val="18"/>
              </w:rPr>
            </w:pPr>
            <w:r w:rsidRPr="00BD77D8">
              <w:rPr>
                <w:b/>
                <w:bCs/>
                <w:sz w:val="18"/>
                <w:szCs w:val="18"/>
              </w:rPr>
              <w:t xml:space="preserve"> 47,733 </w:t>
            </w:r>
          </w:p>
        </w:tc>
      </w:tr>
    </w:tbl>
    <w:p w14:paraId="42A1B06B" w14:textId="2D241129" w:rsidR="00B9311E" w:rsidRPr="00BD77D8" w:rsidRDefault="00FE0355" w:rsidP="0089639E">
      <w:pPr>
        <w:spacing w:before="1200" w:after="0" w:line="240" w:lineRule="auto"/>
        <w:rPr>
          <w:rFonts w:eastAsia="Arial"/>
          <w:bCs/>
          <w:sz w:val="18"/>
          <w:szCs w:val="18"/>
          <w:lang w:eastAsia="en-US"/>
        </w:rPr>
      </w:pP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r>
      <w:r w:rsidRPr="00BD77D8">
        <w:rPr>
          <w:rFonts w:eastAsia="Arial"/>
          <w:sz w:val="18"/>
          <w:szCs w:val="18"/>
          <w:lang w:eastAsia="en-US"/>
        </w:rPr>
        <w:tab/>
        <w:t>Page 43 of 45</w:t>
      </w:r>
      <w:r w:rsidR="00B9311E" w:rsidRPr="00BD77D8">
        <w:rPr>
          <w:rFonts w:eastAsia="Arial"/>
          <w:sz w:val="18"/>
          <w:szCs w:val="18"/>
          <w:lang w:eastAsia="en-US"/>
        </w:rPr>
        <w:br w:type="page"/>
      </w:r>
    </w:p>
    <w:p w14:paraId="4FF9C4B3"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3BFBD9F9"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t>Notes to the Financial Statements</w:t>
      </w:r>
    </w:p>
    <w:p w14:paraId="47E60238" w14:textId="77777777" w:rsidR="00B9311E" w:rsidRPr="00BD77D8" w:rsidRDefault="00B9311E" w:rsidP="00B9311E">
      <w:pP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5DEFF33C" w14:textId="77777777" w:rsidR="00B9311E" w:rsidRPr="00BD77D8" w:rsidRDefault="00B9311E" w:rsidP="00B9311E">
      <w:pPr>
        <w:pBdr>
          <w:bottom w:val="single" w:sz="4" w:space="1" w:color="auto"/>
        </w:pBdr>
        <w:spacing w:after="0" w:line="205" w:lineRule="exact"/>
        <w:textAlignment w:val="baseline"/>
        <w:rPr>
          <w:rFonts w:eastAsia="Arial"/>
          <w:b/>
          <w:sz w:val="18"/>
          <w:szCs w:val="18"/>
          <w:lang w:eastAsia="en-US"/>
        </w:rPr>
      </w:pPr>
    </w:p>
    <w:p w14:paraId="6962CFFD" w14:textId="77777777" w:rsidR="00B9311E" w:rsidRPr="00BD77D8" w:rsidRDefault="00B9311E" w:rsidP="00293C43">
      <w:pPr>
        <w:spacing w:before="200" w:line="240" w:lineRule="auto"/>
        <w:rPr>
          <w:rFonts w:eastAsia="PMingLiU"/>
          <w:b/>
          <w:bCs/>
          <w:sz w:val="22"/>
          <w:szCs w:val="28"/>
          <w:lang w:eastAsia="en-US"/>
        </w:rPr>
      </w:pPr>
      <w:r w:rsidRPr="00BD77D8">
        <w:rPr>
          <w:rFonts w:eastAsia="PMingLiU"/>
          <w:b/>
          <w:bCs/>
          <w:sz w:val="22"/>
          <w:szCs w:val="28"/>
          <w:lang w:eastAsia="en-US"/>
        </w:rPr>
        <w:t>G1 Administered (continued)</w:t>
      </w:r>
    </w:p>
    <w:p w14:paraId="2E014FB7" w14:textId="77777777" w:rsidR="00B9311E" w:rsidRPr="00BD77D8" w:rsidRDefault="00B9311E" w:rsidP="007D087A">
      <w:pPr>
        <w:spacing w:after="0"/>
        <w:rPr>
          <w:rFonts w:eastAsia="Arial"/>
          <w:b/>
          <w:bCs/>
          <w:sz w:val="22"/>
          <w:szCs w:val="22"/>
          <w:lang w:eastAsia="en-US"/>
        </w:rPr>
      </w:pPr>
      <w:bookmarkStart w:id="734" w:name="_Toc111494836"/>
      <w:bookmarkStart w:id="735" w:name="_Toc111540722"/>
      <w:bookmarkStart w:id="736" w:name="_Toc111559273"/>
      <w:bookmarkStart w:id="737" w:name="_Toc113196545"/>
      <w:bookmarkStart w:id="738" w:name="_Toc113196893"/>
      <w:bookmarkStart w:id="739" w:name="_Toc113262023"/>
      <w:bookmarkStart w:id="740" w:name="_Toc113349177"/>
      <w:bookmarkStart w:id="741" w:name="_Toc113358102"/>
      <w:r w:rsidRPr="00BD77D8">
        <w:rPr>
          <w:rFonts w:eastAsia="Arial"/>
          <w:b/>
          <w:bCs/>
          <w:sz w:val="22"/>
          <w:szCs w:val="22"/>
          <w:lang w:eastAsia="en-US"/>
        </w:rPr>
        <w:t>G1-10 Administered Budgetary Reporting Disclosures</w:t>
      </w:r>
      <w:bookmarkEnd w:id="734"/>
      <w:bookmarkEnd w:id="735"/>
      <w:bookmarkEnd w:id="736"/>
      <w:bookmarkEnd w:id="737"/>
      <w:bookmarkEnd w:id="738"/>
      <w:bookmarkEnd w:id="739"/>
      <w:bookmarkEnd w:id="740"/>
      <w:bookmarkEnd w:id="741"/>
    </w:p>
    <w:p w14:paraId="035BFCB2" w14:textId="77777777" w:rsidR="00B9311E" w:rsidRPr="00BD77D8" w:rsidRDefault="00B9311E" w:rsidP="00B9311E">
      <w:pPr>
        <w:tabs>
          <w:tab w:val="left" w:pos="504"/>
        </w:tabs>
        <w:spacing w:after="0" w:line="490" w:lineRule="exact"/>
        <w:textAlignment w:val="baseline"/>
        <w:rPr>
          <w:rFonts w:eastAsia="Arial"/>
          <w:b/>
          <w:bCs/>
          <w:i/>
          <w:iCs/>
          <w:sz w:val="20"/>
          <w:szCs w:val="20"/>
          <w:lang w:eastAsia="en-US"/>
        </w:rPr>
      </w:pPr>
      <w:r w:rsidRPr="00BD77D8">
        <w:rPr>
          <w:rFonts w:eastAsia="Arial"/>
          <w:b/>
          <w:bCs/>
          <w:sz w:val="20"/>
          <w:szCs w:val="20"/>
          <w:lang w:eastAsia="en-US"/>
        </w:rPr>
        <w:t>Explanation of Major Variances - Statement of comprehensive income</w:t>
      </w:r>
    </w:p>
    <w:p w14:paraId="7AF9EAA3" w14:textId="77777777" w:rsidR="00B9311E" w:rsidRPr="00BD77D8" w:rsidRDefault="00B9311E" w:rsidP="00B9311E">
      <w:pPr>
        <w:tabs>
          <w:tab w:val="left" w:pos="504"/>
        </w:tabs>
        <w:spacing w:after="0" w:line="490" w:lineRule="exact"/>
        <w:textAlignment w:val="baseline"/>
        <w:rPr>
          <w:rFonts w:eastAsia="Arial"/>
          <w:b/>
          <w:bCs/>
          <w:i/>
          <w:iCs/>
          <w:sz w:val="18"/>
          <w:szCs w:val="18"/>
          <w:lang w:eastAsia="en-US"/>
        </w:rPr>
      </w:pPr>
      <w:r w:rsidRPr="00BD77D8">
        <w:rPr>
          <w:rFonts w:eastAsia="Arial"/>
          <w:b/>
          <w:bCs/>
          <w:i/>
          <w:iCs/>
          <w:sz w:val="18"/>
          <w:szCs w:val="18"/>
          <w:lang w:eastAsia="en-US"/>
        </w:rPr>
        <w:t>Appropriation revenue</w:t>
      </w:r>
    </w:p>
    <w:p w14:paraId="60AB7556" w14:textId="77777777" w:rsidR="00B9311E" w:rsidRPr="00BD77D8" w:rsidRDefault="00B9311E" w:rsidP="00293C43">
      <w:pPr>
        <w:spacing w:line="207" w:lineRule="exact"/>
        <w:textAlignment w:val="baseline"/>
        <w:rPr>
          <w:rFonts w:eastAsia="Arial"/>
          <w:b/>
          <w:bCs/>
          <w:sz w:val="18"/>
          <w:szCs w:val="18"/>
          <w:lang w:eastAsia="en-US"/>
        </w:rPr>
      </w:pPr>
      <w:r w:rsidRPr="00BD77D8">
        <w:rPr>
          <w:rFonts w:eastAsia="Arial"/>
          <w:sz w:val="18"/>
          <w:szCs w:val="18"/>
          <w:lang w:eastAsia="en-US"/>
        </w:rPr>
        <w:t>Administered Appropriation revenue is $31.134M lower than the budget of $2.434B principally due to the timing of concessions payments for electricity rebates for households and small or medium businesses. The variance is influenced by timing of application of rebates to quarterly consumer bills.</w:t>
      </w:r>
    </w:p>
    <w:p w14:paraId="0D4673FE" w14:textId="77777777" w:rsidR="00B9311E" w:rsidRPr="00BD77D8" w:rsidRDefault="00B9311E" w:rsidP="00293C43">
      <w:pPr>
        <w:spacing w:line="205" w:lineRule="exact"/>
        <w:textAlignment w:val="baseline"/>
        <w:rPr>
          <w:rFonts w:eastAsia="Arial"/>
          <w:b/>
          <w:bCs/>
          <w:i/>
          <w:iCs/>
          <w:sz w:val="18"/>
          <w:szCs w:val="18"/>
          <w:lang w:eastAsia="en-US"/>
        </w:rPr>
      </w:pPr>
      <w:r w:rsidRPr="00BD77D8">
        <w:rPr>
          <w:rFonts w:eastAsia="Arial"/>
          <w:b/>
          <w:bCs/>
          <w:i/>
          <w:iCs/>
          <w:sz w:val="18"/>
          <w:szCs w:val="18"/>
          <w:lang w:eastAsia="en-US"/>
        </w:rPr>
        <w:t>Grants and other contributions revenue</w:t>
      </w:r>
    </w:p>
    <w:p w14:paraId="4339689C" w14:textId="77777777" w:rsidR="00B9311E" w:rsidRPr="00BD77D8" w:rsidRDefault="00B9311E" w:rsidP="00293C43">
      <w:pPr>
        <w:spacing w:line="207" w:lineRule="exact"/>
        <w:textAlignment w:val="baseline"/>
        <w:rPr>
          <w:rFonts w:eastAsia="Arial"/>
          <w:b/>
          <w:bCs/>
          <w:sz w:val="18"/>
          <w:szCs w:val="18"/>
          <w:lang w:eastAsia="en-US"/>
        </w:rPr>
      </w:pPr>
      <w:r w:rsidRPr="00BD77D8">
        <w:rPr>
          <w:rFonts w:eastAsia="Arial"/>
          <w:sz w:val="18"/>
          <w:szCs w:val="18"/>
          <w:lang w:eastAsia="en-US"/>
        </w:rPr>
        <w:t>Grants and other contributions are $1.800M higher than budget reflecting the recognition of Commonwealth funding received for the Family Responsibility Commission. The MOU with the Commonwealth formalising this funding arrangement was agreed post the publication of the 2021-22 State Budget.</w:t>
      </w:r>
    </w:p>
    <w:p w14:paraId="19E2ABB6" w14:textId="77777777" w:rsidR="00B9311E" w:rsidRPr="00BD77D8" w:rsidRDefault="00B9311E" w:rsidP="00293C43">
      <w:pPr>
        <w:spacing w:line="205" w:lineRule="exact"/>
        <w:textAlignment w:val="baseline"/>
        <w:rPr>
          <w:rFonts w:eastAsia="Arial"/>
          <w:b/>
          <w:bCs/>
          <w:i/>
          <w:iCs/>
          <w:sz w:val="18"/>
          <w:szCs w:val="18"/>
          <w:lang w:eastAsia="en-US"/>
        </w:rPr>
      </w:pPr>
      <w:r w:rsidRPr="00BD77D8">
        <w:rPr>
          <w:rFonts w:eastAsia="Arial"/>
          <w:b/>
          <w:bCs/>
          <w:i/>
          <w:iCs/>
          <w:sz w:val="18"/>
          <w:szCs w:val="18"/>
          <w:lang w:eastAsia="en-US"/>
        </w:rPr>
        <w:t>Grants and subsidies expenses</w:t>
      </w:r>
    </w:p>
    <w:p w14:paraId="2BDB6298" w14:textId="77777777" w:rsidR="00B9311E" w:rsidRPr="00BD77D8" w:rsidRDefault="00B9311E" w:rsidP="00B9311E">
      <w:pPr>
        <w:spacing w:after="0" w:line="207" w:lineRule="exact"/>
        <w:ind w:right="144"/>
        <w:textAlignment w:val="baseline"/>
        <w:rPr>
          <w:rFonts w:eastAsia="Arial"/>
          <w:b/>
          <w:bCs/>
          <w:sz w:val="18"/>
          <w:szCs w:val="18"/>
          <w:lang w:eastAsia="en-US"/>
        </w:rPr>
      </w:pPr>
      <w:r w:rsidRPr="00BD77D8">
        <w:rPr>
          <w:rFonts w:eastAsia="Arial"/>
          <w:sz w:val="18"/>
          <w:szCs w:val="18"/>
          <w:lang w:eastAsia="en-US"/>
        </w:rPr>
        <w:t xml:space="preserve">Grants and subsidies were $29.311M lower than the budget of $2.434B. The key contributor to the variance </w:t>
      </w:r>
    </w:p>
    <w:p w14:paraId="1A622914" w14:textId="77777777" w:rsidR="00B9311E" w:rsidRPr="00BD77D8" w:rsidRDefault="00B9311E" w:rsidP="00293C43">
      <w:pPr>
        <w:spacing w:line="207" w:lineRule="exact"/>
        <w:ind w:right="144"/>
        <w:textAlignment w:val="baseline"/>
        <w:rPr>
          <w:rFonts w:eastAsia="Arial"/>
          <w:b/>
          <w:bCs/>
          <w:sz w:val="18"/>
          <w:szCs w:val="18"/>
          <w:lang w:eastAsia="en-US"/>
        </w:rPr>
      </w:pPr>
      <w:r w:rsidRPr="00BD77D8">
        <w:rPr>
          <w:rFonts w:eastAsia="Arial"/>
          <w:sz w:val="18"/>
          <w:szCs w:val="18"/>
          <w:lang w:eastAsia="en-US"/>
        </w:rPr>
        <w:t>relates to electricity concessions and rebates for households and small or medium businesses with expenditure outlays influenced by the timing of application for the rebates.</w:t>
      </w:r>
    </w:p>
    <w:p w14:paraId="0BBCB8E5" w14:textId="77777777" w:rsidR="00B9311E" w:rsidRPr="00BD77D8" w:rsidRDefault="00B9311E" w:rsidP="00293C43">
      <w:pPr>
        <w:spacing w:line="240" w:lineRule="auto"/>
        <w:rPr>
          <w:rFonts w:eastAsia="Arial"/>
          <w:b/>
          <w:bCs/>
          <w:sz w:val="20"/>
          <w:szCs w:val="20"/>
          <w:lang w:eastAsia="en-US"/>
        </w:rPr>
      </w:pPr>
      <w:r w:rsidRPr="00BD77D8">
        <w:rPr>
          <w:rFonts w:eastAsia="Arial"/>
          <w:b/>
          <w:bCs/>
          <w:sz w:val="20"/>
          <w:szCs w:val="20"/>
          <w:lang w:eastAsia="en-US"/>
        </w:rPr>
        <w:t xml:space="preserve">Explanation of Major Variances – </w:t>
      </w:r>
      <w:r w:rsidRPr="00BD77D8">
        <w:rPr>
          <w:rFonts w:eastAsia="Arial"/>
          <w:b/>
          <w:bCs/>
          <w:spacing w:val="3"/>
          <w:sz w:val="20"/>
          <w:szCs w:val="20"/>
          <w:lang w:eastAsia="en-US"/>
        </w:rPr>
        <w:t>Statement of financial performance</w:t>
      </w:r>
    </w:p>
    <w:p w14:paraId="4ADFA662" w14:textId="77777777" w:rsidR="00B9311E" w:rsidRPr="00BD77D8" w:rsidRDefault="00B9311E" w:rsidP="00293C43">
      <w:pPr>
        <w:spacing w:line="240" w:lineRule="auto"/>
        <w:rPr>
          <w:rFonts w:eastAsia="Arial"/>
          <w:b/>
          <w:bCs/>
          <w:i/>
          <w:iCs/>
          <w:sz w:val="18"/>
          <w:szCs w:val="18"/>
          <w:lang w:eastAsia="en-US"/>
        </w:rPr>
      </w:pPr>
      <w:r w:rsidRPr="00BD77D8">
        <w:rPr>
          <w:rFonts w:eastAsia="Arial"/>
          <w:b/>
          <w:bCs/>
          <w:i/>
          <w:iCs/>
          <w:sz w:val="18"/>
          <w:szCs w:val="18"/>
          <w:lang w:eastAsia="en-US"/>
        </w:rPr>
        <w:t>Cash</w:t>
      </w:r>
    </w:p>
    <w:p w14:paraId="4EBDD7A4" w14:textId="77777777" w:rsidR="00B9311E" w:rsidRPr="00BD77D8" w:rsidRDefault="00B9311E" w:rsidP="00293C43">
      <w:pPr>
        <w:spacing w:line="240" w:lineRule="auto"/>
        <w:rPr>
          <w:rFonts w:eastAsia="Arial"/>
          <w:b/>
          <w:sz w:val="18"/>
          <w:szCs w:val="18"/>
          <w:lang w:eastAsia="en-US"/>
        </w:rPr>
      </w:pPr>
      <w:r w:rsidRPr="00BD77D8">
        <w:rPr>
          <w:rFonts w:eastAsia="Arial"/>
          <w:sz w:val="18"/>
          <w:szCs w:val="18"/>
          <w:lang w:eastAsia="en-US"/>
        </w:rPr>
        <w:t>The Cash balance is $156.166M lower than the budget of $210.531M reflecting revised timings to the payment of the State’s contribution to the National Disability Insurance Agency (NDIA), transitioning from a monthly in arrears to a quarterly in advance payment schedule which has resulted in lower cash balance than forecast and a commensurate offset of a lower budgeted payables position.</w:t>
      </w:r>
    </w:p>
    <w:p w14:paraId="69C62CD7" w14:textId="77777777" w:rsidR="00B9311E" w:rsidRPr="00BD77D8" w:rsidRDefault="00B9311E" w:rsidP="00293C43">
      <w:pPr>
        <w:spacing w:line="240" w:lineRule="auto"/>
        <w:rPr>
          <w:rFonts w:eastAsia="Arial"/>
          <w:b/>
          <w:bCs/>
          <w:i/>
          <w:iCs/>
          <w:sz w:val="18"/>
          <w:szCs w:val="18"/>
          <w:lang w:eastAsia="en-US"/>
        </w:rPr>
      </w:pPr>
      <w:r w:rsidRPr="00BD77D8">
        <w:rPr>
          <w:rFonts w:eastAsia="Arial"/>
          <w:b/>
          <w:bCs/>
          <w:i/>
          <w:iCs/>
          <w:sz w:val="18"/>
          <w:szCs w:val="18"/>
          <w:lang w:eastAsia="en-US"/>
        </w:rPr>
        <w:t>Receivables</w:t>
      </w:r>
    </w:p>
    <w:p w14:paraId="5ED698C9" w14:textId="77777777" w:rsidR="00B9311E" w:rsidRPr="00BD77D8" w:rsidRDefault="00B9311E" w:rsidP="00293C43">
      <w:pPr>
        <w:spacing w:line="240" w:lineRule="auto"/>
        <w:rPr>
          <w:rFonts w:eastAsia="Arial"/>
          <w:bCs/>
          <w:sz w:val="18"/>
          <w:szCs w:val="18"/>
          <w:lang w:eastAsia="en-US"/>
        </w:rPr>
      </w:pPr>
      <w:bookmarkStart w:id="742" w:name="_Hlk109661212"/>
      <w:r w:rsidRPr="00BD77D8">
        <w:rPr>
          <w:rFonts w:eastAsia="Arial"/>
          <w:sz w:val="18"/>
          <w:szCs w:val="18"/>
          <w:lang w:eastAsia="en-US"/>
        </w:rPr>
        <w:t>Receivables are $22.118M lower than the budget principally reflecting a lower Appropriation receivable position than forecast. The Administrative expenditure is below budget, and the department is in a net Appropriation payable position rather than an Appropriation receivable position</w:t>
      </w:r>
      <w:bookmarkEnd w:id="742"/>
      <w:r w:rsidRPr="00BD77D8">
        <w:rPr>
          <w:rFonts w:eastAsia="Arial"/>
          <w:sz w:val="18"/>
          <w:szCs w:val="18"/>
          <w:lang w:eastAsia="en-US"/>
        </w:rPr>
        <w:t>.</w:t>
      </w:r>
    </w:p>
    <w:p w14:paraId="290FA56C" w14:textId="77777777" w:rsidR="00B9311E" w:rsidRPr="00BD77D8" w:rsidRDefault="00B9311E" w:rsidP="00293C43">
      <w:pPr>
        <w:spacing w:line="240" w:lineRule="auto"/>
        <w:rPr>
          <w:rFonts w:eastAsia="Arial"/>
          <w:b/>
          <w:bCs/>
          <w:i/>
          <w:iCs/>
          <w:sz w:val="18"/>
          <w:szCs w:val="18"/>
          <w:lang w:eastAsia="en-US"/>
        </w:rPr>
      </w:pPr>
      <w:r w:rsidRPr="00BD77D8">
        <w:rPr>
          <w:rFonts w:eastAsia="Arial"/>
          <w:b/>
          <w:bCs/>
          <w:i/>
          <w:iCs/>
          <w:sz w:val="18"/>
          <w:szCs w:val="18"/>
          <w:lang w:eastAsia="en-US"/>
        </w:rPr>
        <w:t>Payables</w:t>
      </w:r>
    </w:p>
    <w:p w14:paraId="249EEF88" w14:textId="77777777" w:rsidR="00B9311E" w:rsidRPr="00BD77D8" w:rsidRDefault="00B9311E" w:rsidP="00B9311E">
      <w:pPr>
        <w:spacing w:after="0" w:line="240" w:lineRule="auto"/>
        <w:rPr>
          <w:rFonts w:eastAsia="Arial"/>
          <w:b/>
          <w:sz w:val="18"/>
          <w:szCs w:val="18"/>
          <w:lang w:eastAsia="en-US"/>
        </w:rPr>
      </w:pPr>
      <w:r w:rsidRPr="00BD77D8">
        <w:rPr>
          <w:rFonts w:eastAsia="Arial"/>
          <w:sz w:val="18"/>
          <w:szCs w:val="18"/>
          <w:lang w:eastAsia="en-US"/>
        </w:rPr>
        <w:t>Payables are $178.280M lower than the budget of $235.773M, principally reflecting revised timings for the payment of the State’s contribution to the NDIA, transitioning from a monthly in arrears to a quarterly in advance payment schedule.</w:t>
      </w:r>
    </w:p>
    <w:p w14:paraId="382C6D1D" w14:textId="0437BC7C" w:rsidR="00E215C7" w:rsidRPr="00BD77D8" w:rsidRDefault="00E215C7" w:rsidP="0089639E">
      <w:pPr>
        <w:spacing w:before="3360" w:after="0" w:line="240" w:lineRule="auto"/>
        <w:rPr>
          <w:rFonts w:eastAsia="PMingLiU"/>
          <w:bCs/>
          <w:sz w:val="18"/>
          <w:szCs w:val="18"/>
          <w:lang w:eastAsia="en-US"/>
        </w:rPr>
      </w:pP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r>
      <w:r w:rsidRPr="00BD77D8">
        <w:rPr>
          <w:rFonts w:eastAsia="PMingLiU"/>
          <w:bCs/>
          <w:sz w:val="18"/>
          <w:szCs w:val="18"/>
          <w:lang w:eastAsia="en-US"/>
        </w:rPr>
        <w:tab/>
        <w:t>Page 44 of 45</w:t>
      </w:r>
    </w:p>
    <w:p w14:paraId="0A530E6B" w14:textId="77777777" w:rsidR="00B9311E" w:rsidRPr="00BD77D8" w:rsidRDefault="00B9311E" w:rsidP="00B9311E">
      <w:pPr>
        <w:tabs>
          <w:tab w:val="left" w:pos="504"/>
        </w:tabs>
        <w:spacing w:after="0" w:line="490" w:lineRule="exact"/>
        <w:textAlignment w:val="baseline"/>
        <w:rPr>
          <w:rFonts w:eastAsia="PMingLiU"/>
          <w:sz w:val="18"/>
          <w:szCs w:val="18"/>
          <w:lang w:eastAsia="en-US"/>
        </w:rPr>
        <w:sectPr w:rsidR="00B9311E" w:rsidRPr="00BD77D8" w:rsidSect="000160CF">
          <w:type w:val="nextColumn"/>
          <w:pgSz w:w="11909" w:h="16838"/>
          <w:pgMar w:top="794" w:right="794" w:bottom="794" w:left="794" w:header="720" w:footer="720" w:gutter="0"/>
          <w:cols w:space="720"/>
        </w:sectPr>
      </w:pPr>
    </w:p>
    <w:p w14:paraId="4C3B9D21" w14:textId="77777777" w:rsidR="00E215C7" w:rsidRPr="00BD77D8" w:rsidRDefault="00E215C7" w:rsidP="00E215C7">
      <w:pPr>
        <w:spacing w:after="0" w:line="205" w:lineRule="exact"/>
        <w:textAlignment w:val="baseline"/>
        <w:rPr>
          <w:rFonts w:eastAsia="Arial"/>
          <w:b/>
          <w:bCs/>
          <w:sz w:val="18"/>
          <w:szCs w:val="18"/>
          <w:lang w:eastAsia="en-US"/>
        </w:rPr>
      </w:pPr>
      <w:r w:rsidRPr="00BD77D8">
        <w:rPr>
          <w:rFonts w:eastAsia="Arial"/>
          <w:b/>
          <w:bCs/>
          <w:sz w:val="18"/>
          <w:szCs w:val="18"/>
          <w:lang w:eastAsia="en-US"/>
        </w:rPr>
        <w:lastRenderedPageBreak/>
        <w:t>Department of Seniors, Disability Services and Aboriginal and Torres Strait Islander Partnerships</w:t>
      </w:r>
    </w:p>
    <w:p w14:paraId="2607DA13" w14:textId="77777777" w:rsidR="00E215C7" w:rsidRPr="00BD77D8" w:rsidRDefault="00E215C7" w:rsidP="00F007C4">
      <w:pPr>
        <w:spacing w:after="0" w:line="240" w:lineRule="auto"/>
        <w:rPr>
          <w:rFonts w:eastAsia="Arial"/>
          <w:b/>
          <w:bCs/>
          <w:sz w:val="18"/>
          <w:szCs w:val="18"/>
          <w:lang w:eastAsia="en-US"/>
        </w:rPr>
      </w:pPr>
      <w:bookmarkStart w:id="743" w:name="_Toc111494837"/>
      <w:bookmarkStart w:id="744" w:name="_Toc111540723"/>
      <w:bookmarkStart w:id="745" w:name="_Toc111559274"/>
      <w:bookmarkStart w:id="746" w:name="_Toc113196546"/>
      <w:bookmarkStart w:id="747" w:name="_Toc113196894"/>
      <w:bookmarkStart w:id="748" w:name="_Toc113262024"/>
      <w:r w:rsidRPr="00BD77D8">
        <w:rPr>
          <w:rFonts w:eastAsia="Arial"/>
          <w:b/>
          <w:bCs/>
          <w:sz w:val="18"/>
          <w:szCs w:val="18"/>
          <w:lang w:eastAsia="en-US"/>
        </w:rPr>
        <w:t>Management Certificate</w:t>
      </w:r>
      <w:bookmarkEnd w:id="743"/>
      <w:bookmarkEnd w:id="744"/>
      <w:bookmarkEnd w:id="745"/>
      <w:bookmarkEnd w:id="746"/>
      <w:bookmarkEnd w:id="747"/>
      <w:bookmarkEnd w:id="748"/>
    </w:p>
    <w:p w14:paraId="1645D1A3" w14:textId="77777777" w:rsidR="00E215C7" w:rsidRPr="00BD77D8" w:rsidRDefault="00E215C7" w:rsidP="00E215C7">
      <w:pPr>
        <w:spacing w:after="0" w:line="205" w:lineRule="exact"/>
        <w:textAlignment w:val="baseline"/>
        <w:rPr>
          <w:rFonts w:eastAsia="Arial"/>
          <w:b/>
          <w:bCs/>
          <w:sz w:val="18"/>
          <w:szCs w:val="18"/>
          <w:lang w:eastAsia="en-US"/>
        </w:rPr>
      </w:pPr>
      <w:r w:rsidRPr="00BD77D8">
        <w:rPr>
          <w:rFonts w:eastAsia="Arial"/>
          <w:b/>
          <w:bCs/>
          <w:sz w:val="18"/>
          <w:szCs w:val="18"/>
          <w:lang w:eastAsia="en-US"/>
        </w:rPr>
        <w:t>For the year ended 30 June 2022</w:t>
      </w:r>
    </w:p>
    <w:p w14:paraId="0F881FAD" w14:textId="77777777" w:rsidR="00E215C7" w:rsidRPr="00BD77D8" w:rsidRDefault="00E215C7" w:rsidP="00E215C7">
      <w:pPr>
        <w:pBdr>
          <w:bottom w:val="single" w:sz="4" w:space="1" w:color="auto"/>
        </w:pBdr>
        <w:spacing w:after="0" w:line="202" w:lineRule="exact"/>
        <w:textAlignment w:val="baseline"/>
        <w:rPr>
          <w:rFonts w:eastAsia="Arial"/>
          <w:bCs/>
          <w:spacing w:val="-1"/>
          <w:sz w:val="18"/>
          <w:szCs w:val="18"/>
          <w:lang w:eastAsia="en-US"/>
        </w:rPr>
      </w:pPr>
    </w:p>
    <w:p w14:paraId="07D53F9C" w14:textId="77777777" w:rsidR="00E215C7" w:rsidRPr="00BD77D8" w:rsidRDefault="00E215C7" w:rsidP="00293C43">
      <w:pPr>
        <w:spacing w:before="200" w:line="206" w:lineRule="exact"/>
        <w:ind w:right="505"/>
        <w:textAlignment w:val="baseline"/>
        <w:rPr>
          <w:rFonts w:eastAsia="Arial"/>
          <w:b/>
          <w:bCs/>
          <w:sz w:val="18"/>
          <w:szCs w:val="18"/>
          <w:lang w:eastAsia="en-US"/>
        </w:rPr>
      </w:pPr>
      <w:r w:rsidRPr="00BD77D8">
        <w:rPr>
          <w:rFonts w:eastAsia="Arial"/>
          <w:b/>
          <w:bCs/>
          <w:sz w:val="18"/>
          <w:szCs w:val="18"/>
          <w:lang w:eastAsia="en-US"/>
        </w:rPr>
        <w:t>CERTIFICATE OF THE DEPARTMENT OF SENIORS, DISABILITY SERVICES AND ABORIGINAL AND TORRES STRAIT ISLANDER PARTNERSHIPS</w:t>
      </w:r>
    </w:p>
    <w:p w14:paraId="69567BA1" w14:textId="0CBC3FF2" w:rsidR="00E215C7" w:rsidRPr="00BD77D8" w:rsidRDefault="00E215C7" w:rsidP="00293C43">
      <w:pPr>
        <w:spacing w:line="206" w:lineRule="exact"/>
        <w:ind w:right="258"/>
        <w:textAlignment w:val="baseline"/>
        <w:rPr>
          <w:rFonts w:eastAsia="Arial"/>
          <w:i/>
          <w:sz w:val="18"/>
          <w:szCs w:val="18"/>
          <w:lang w:eastAsia="en-US"/>
        </w:rPr>
      </w:pPr>
      <w:r w:rsidRPr="00BD77D8">
        <w:rPr>
          <w:rFonts w:eastAsia="Arial"/>
          <w:sz w:val="18"/>
          <w:szCs w:val="18"/>
          <w:lang w:eastAsia="en-US"/>
        </w:rPr>
        <w:t xml:space="preserve">These general-purpose financial statements have been prepared pursuant to s.62(1) of the </w:t>
      </w:r>
      <w:r w:rsidRPr="00BD77D8">
        <w:rPr>
          <w:rFonts w:eastAsia="Arial"/>
          <w:i/>
          <w:sz w:val="18"/>
          <w:szCs w:val="18"/>
          <w:lang w:eastAsia="en-US"/>
        </w:rPr>
        <w:t xml:space="preserve">Financial Accountability Act 2009 </w:t>
      </w:r>
      <w:r w:rsidRPr="00BD77D8">
        <w:rPr>
          <w:rFonts w:eastAsia="Arial"/>
          <w:sz w:val="18"/>
          <w:szCs w:val="18"/>
          <w:lang w:eastAsia="en-US"/>
        </w:rPr>
        <w:t xml:space="preserve">(the Act), section 38 of the </w:t>
      </w:r>
      <w:r w:rsidRPr="00BD77D8">
        <w:rPr>
          <w:rFonts w:eastAsia="Arial"/>
          <w:i/>
          <w:sz w:val="18"/>
          <w:szCs w:val="18"/>
          <w:lang w:eastAsia="en-US"/>
        </w:rPr>
        <w:t xml:space="preserve">Financial and Performance Management Standard 2019 </w:t>
      </w:r>
      <w:r w:rsidRPr="00BD77D8">
        <w:rPr>
          <w:rFonts w:eastAsia="Arial"/>
          <w:sz w:val="18"/>
          <w:szCs w:val="18"/>
          <w:lang w:eastAsia="en-US"/>
        </w:rPr>
        <w:t>and other prescribed requirements. In accordance with s.62(1)(b) of the Act we certify that in our opinion:</w:t>
      </w:r>
    </w:p>
    <w:p w14:paraId="4AF1A3CE" w14:textId="77777777" w:rsidR="00E215C7" w:rsidRPr="00BD77D8" w:rsidRDefault="00E215C7" w:rsidP="003954C5">
      <w:pPr>
        <w:numPr>
          <w:ilvl w:val="0"/>
          <w:numId w:val="76"/>
        </w:numPr>
        <w:spacing w:line="207" w:lineRule="exact"/>
        <w:ind w:right="258"/>
        <w:textAlignment w:val="baseline"/>
        <w:rPr>
          <w:rFonts w:eastAsia="Arial"/>
          <w:b/>
          <w:bCs/>
          <w:sz w:val="18"/>
          <w:szCs w:val="18"/>
          <w:lang w:eastAsia="en-US"/>
        </w:rPr>
      </w:pPr>
      <w:r w:rsidRPr="00BD77D8">
        <w:rPr>
          <w:rFonts w:eastAsia="Arial"/>
          <w:sz w:val="18"/>
          <w:szCs w:val="18"/>
          <w:lang w:eastAsia="en-US"/>
        </w:rPr>
        <w:t>the prescribed requirements for establishing and keeping the accounts have been complied with in all material respects; and</w:t>
      </w:r>
    </w:p>
    <w:p w14:paraId="4F2F6B20" w14:textId="77777777" w:rsidR="00E215C7" w:rsidRPr="00BD77D8" w:rsidRDefault="00E215C7" w:rsidP="003954C5">
      <w:pPr>
        <w:numPr>
          <w:ilvl w:val="0"/>
          <w:numId w:val="76"/>
        </w:numPr>
        <w:spacing w:line="208" w:lineRule="exact"/>
        <w:ind w:right="258"/>
        <w:textAlignment w:val="baseline"/>
        <w:rPr>
          <w:rFonts w:eastAsia="Arial"/>
          <w:b/>
          <w:bCs/>
          <w:sz w:val="18"/>
          <w:szCs w:val="18"/>
          <w:lang w:eastAsia="en-US"/>
        </w:rPr>
      </w:pPr>
      <w:r w:rsidRPr="00BD77D8">
        <w:rPr>
          <w:rFonts w:eastAsia="Arial"/>
          <w:sz w:val="18"/>
          <w:szCs w:val="18"/>
          <w:lang w:eastAsia="en-US"/>
        </w:rPr>
        <w:t>the financial statements have been drawn up to present a true and fair view, in accordance with prescribed accounting standards, of the transactions of the Department of Seniors, Disability Services and Aboriginal and Torres Strait Islander Partnerships for the financial year ended 30 June 2022 and of the financial position of the department at the end of that year.</w:t>
      </w:r>
    </w:p>
    <w:p w14:paraId="13BB09D6" w14:textId="77777777" w:rsidR="00E215C7" w:rsidRPr="00BD77D8" w:rsidRDefault="00E215C7" w:rsidP="0089639E">
      <w:pPr>
        <w:spacing w:after="1200" w:line="208" w:lineRule="exact"/>
        <w:ind w:right="255"/>
        <w:textAlignment w:val="baseline"/>
        <w:rPr>
          <w:rFonts w:eastAsia="Arial"/>
          <w:b/>
          <w:bCs/>
          <w:sz w:val="18"/>
          <w:szCs w:val="18"/>
          <w:lang w:eastAsia="en-US"/>
        </w:rPr>
      </w:pPr>
      <w:r w:rsidRPr="00BD77D8">
        <w:rPr>
          <w:rFonts w:eastAsia="Arial"/>
          <w:sz w:val="18"/>
          <w:szCs w:val="18"/>
          <w:lang w:eastAsia="en-US"/>
        </w:rPr>
        <w:t xml:space="preserve">The Director-General, as the Accountable Officer of the department, acknowledges responsibility under s.7 and s.11 of the </w:t>
      </w:r>
      <w:r w:rsidRPr="00BD77D8">
        <w:rPr>
          <w:rFonts w:eastAsia="Arial"/>
          <w:i/>
          <w:sz w:val="18"/>
          <w:szCs w:val="18"/>
          <w:lang w:eastAsia="en-US"/>
        </w:rPr>
        <w:t xml:space="preserve">Financial and Performance Management Standard 2019 </w:t>
      </w:r>
      <w:r w:rsidRPr="00BD77D8">
        <w:rPr>
          <w:rFonts w:eastAsia="Arial"/>
          <w:sz w:val="18"/>
          <w:szCs w:val="18"/>
          <w:lang w:eastAsia="en-US"/>
        </w:rPr>
        <w:t>for the establishment and maintenance, in all material respects, of an appropriate and effective system of internal controls and risk management processes with respect to financial reporting throughout the reporting period.</w:t>
      </w:r>
    </w:p>
    <w:p w14:paraId="3700E019" w14:textId="2DFBFB35" w:rsidR="003B6EE5" w:rsidRPr="00BD77D8" w:rsidRDefault="003B6EE5" w:rsidP="009C02E1">
      <w:pPr>
        <w:spacing w:after="0" w:line="240" w:lineRule="auto"/>
        <w:rPr>
          <w:rFonts w:eastAsia="Arial" w:cs="Times New Roman"/>
          <w:sz w:val="18"/>
          <w:szCs w:val="22"/>
          <w:lang w:val="en-US" w:eastAsia="en-US"/>
        </w:rPr>
      </w:pPr>
      <w:r w:rsidRPr="00BD77D8">
        <w:rPr>
          <w:rFonts w:eastAsia="Arial" w:cs="Times New Roman"/>
          <w:noProof/>
          <w:sz w:val="18"/>
          <w:szCs w:val="22"/>
          <w:lang w:val="en-US" w:eastAsia="en-US"/>
        </w:rPr>
        <w:drawing>
          <wp:inline distT="0" distB="0" distL="0" distR="0" wp14:anchorId="36E0F3BA" wp14:editId="4F9CE388">
            <wp:extent cx="5574182" cy="2209643"/>
            <wp:effectExtent l="0" t="0" r="7620" b="635"/>
            <wp:docPr id="3" name="Picture 3" descr="Signature of Narinder Singh, Chief Finance Officer, dated 29 August 2022 and Signature of Dr Chris Sarra, Director-General, dated 29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of Narinder Singh, Chief Finance Officer, dated 29 August 2022 and Signature of Dr Chris Sarra, Director-General, dated 29 August 2022"/>
                    <pic:cNvPicPr/>
                  </pic:nvPicPr>
                  <pic:blipFill>
                    <a:blip r:embed="rId45">
                      <a:extLst>
                        <a:ext uri="{28A0092B-C50C-407E-A947-70E740481C1C}">
                          <a14:useLocalDpi xmlns:a14="http://schemas.microsoft.com/office/drawing/2010/main" val="0"/>
                        </a:ext>
                      </a:extLst>
                    </a:blip>
                    <a:stretch>
                      <a:fillRect/>
                    </a:stretch>
                  </pic:blipFill>
                  <pic:spPr>
                    <a:xfrm>
                      <a:off x="0" y="0"/>
                      <a:ext cx="5614341" cy="2225562"/>
                    </a:xfrm>
                    <a:prstGeom prst="rect">
                      <a:avLst/>
                    </a:prstGeom>
                  </pic:spPr>
                </pic:pic>
              </a:graphicData>
            </a:graphic>
          </wp:inline>
        </w:drawing>
      </w:r>
    </w:p>
    <w:p w14:paraId="1B9FEE5F" w14:textId="46EE1E99" w:rsidR="0089639E" w:rsidRPr="00BD77D8" w:rsidRDefault="0089639E">
      <w:pPr>
        <w:spacing w:after="0" w:line="240" w:lineRule="auto"/>
        <w:rPr>
          <w:rFonts w:eastAsia="Arial" w:cs="Times New Roman"/>
          <w:sz w:val="18"/>
          <w:szCs w:val="22"/>
          <w:lang w:val="en-US" w:eastAsia="en-US"/>
        </w:rPr>
      </w:pPr>
      <w:r w:rsidRPr="00BD77D8">
        <w:rPr>
          <w:rFonts w:eastAsia="Arial" w:cs="Times New Roman"/>
          <w:sz w:val="18"/>
          <w:szCs w:val="22"/>
          <w:lang w:val="en-US" w:eastAsia="en-US"/>
        </w:rPr>
        <w:br w:type="page"/>
      </w:r>
    </w:p>
    <w:p w14:paraId="3818C147" w14:textId="77777777" w:rsidR="00E215C7" w:rsidRPr="00BD77D8" w:rsidRDefault="00E215C7" w:rsidP="009C02E1">
      <w:pPr>
        <w:spacing w:after="0" w:line="240" w:lineRule="auto"/>
        <w:rPr>
          <w:rFonts w:eastAsia="Arial" w:cs="Times New Roman"/>
          <w:sz w:val="18"/>
          <w:szCs w:val="22"/>
          <w:lang w:val="en-US" w:eastAsia="en-US"/>
        </w:rPr>
      </w:pPr>
    </w:p>
    <w:p w14:paraId="4C9FFFD6" w14:textId="335ED12D" w:rsidR="00E215C7" w:rsidRPr="00BD77D8" w:rsidRDefault="000A51A3" w:rsidP="000A51A3">
      <w:pPr>
        <w:spacing w:after="0" w:line="240" w:lineRule="auto"/>
        <w:ind w:left="709"/>
        <w:rPr>
          <w:rFonts w:eastAsia="Arial" w:cs="Times New Roman"/>
          <w:sz w:val="18"/>
          <w:szCs w:val="22"/>
          <w:lang w:val="en-US" w:eastAsia="en-US"/>
        </w:rPr>
      </w:pPr>
      <w:r w:rsidRPr="00BD77D8">
        <w:rPr>
          <w:rFonts w:eastAsia="Arial" w:cs="Times New Roman"/>
          <w:noProof/>
          <w:sz w:val="18"/>
          <w:szCs w:val="22"/>
          <w:lang w:val="en-US" w:eastAsia="en-US"/>
        </w:rPr>
        <w:drawing>
          <wp:inline distT="0" distB="0" distL="0" distR="0" wp14:anchorId="578B675D" wp14:editId="6D13D3A3">
            <wp:extent cx="2070201" cy="935990"/>
            <wp:effectExtent l="0" t="0" r="6350" b="0"/>
            <wp:docPr id="21" name="Picture 21" descr="Image for 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for Queensland Audit Office logo"/>
                    <pic:cNvPicPr/>
                  </pic:nvPicPr>
                  <pic:blipFill>
                    <a:blip r:embed="rId46">
                      <a:extLst>
                        <a:ext uri="{28A0092B-C50C-407E-A947-70E740481C1C}">
                          <a14:useLocalDpi xmlns:a14="http://schemas.microsoft.com/office/drawing/2010/main" val="0"/>
                        </a:ext>
                      </a:extLst>
                    </a:blip>
                    <a:stretch>
                      <a:fillRect/>
                    </a:stretch>
                  </pic:blipFill>
                  <pic:spPr>
                    <a:xfrm>
                      <a:off x="0" y="0"/>
                      <a:ext cx="2079393" cy="940146"/>
                    </a:xfrm>
                    <a:prstGeom prst="rect">
                      <a:avLst/>
                    </a:prstGeom>
                  </pic:spPr>
                </pic:pic>
              </a:graphicData>
            </a:graphic>
          </wp:inline>
        </w:drawing>
      </w:r>
    </w:p>
    <w:p w14:paraId="40E645DE" w14:textId="4E6F78F3" w:rsidR="003B6EE5" w:rsidRPr="00BD77D8" w:rsidRDefault="003B6EE5" w:rsidP="00293C43">
      <w:pPr>
        <w:pStyle w:val="Default"/>
        <w:spacing w:before="360" w:after="200"/>
        <w:ind w:right="680"/>
        <w:jc w:val="center"/>
        <w:rPr>
          <w:color w:val="auto"/>
          <w:sz w:val="22"/>
          <w:szCs w:val="22"/>
        </w:rPr>
      </w:pPr>
      <w:r w:rsidRPr="00BD77D8">
        <w:rPr>
          <w:b/>
          <w:bCs/>
          <w:color w:val="auto"/>
          <w:sz w:val="22"/>
          <w:szCs w:val="22"/>
        </w:rPr>
        <w:t>INDEPENDENT AUDITOR’S REPORT</w:t>
      </w:r>
    </w:p>
    <w:p w14:paraId="5D133422" w14:textId="3D9064C5"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To the Accountable Officer of the Department of Seniors, Disability Services and Aboriginal and Torres Strait Islander Partnerships </w:t>
      </w:r>
    </w:p>
    <w:p w14:paraId="44C3D810" w14:textId="4D498B6C" w:rsidR="003B6EE5" w:rsidRPr="00BD77D8" w:rsidRDefault="003B6EE5" w:rsidP="003B6EE5">
      <w:pPr>
        <w:pStyle w:val="Default"/>
        <w:spacing w:after="120"/>
        <w:ind w:left="709" w:right="683"/>
        <w:rPr>
          <w:color w:val="auto"/>
          <w:sz w:val="22"/>
          <w:szCs w:val="22"/>
        </w:rPr>
      </w:pPr>
      <w:r w:rsidRPr="00BD77D8">
        <w:rPr>
          <w:b/>
          <w:bCs/>
          <w:color w:val="auto"/>
          <w:sz w:val="22"/>
          <w:szCs w:val="22"/>
        </w:rPr>
        <w:t xml:space="preserve">Report on the audit of the financial report </w:t>
      </w:r>
    </w:p>
    <w:p w14:paraId="2844C43E" w14:textId="7399CF35" w:rsidR="003B6EE5" w:rsidRPr="00BD77D8" w:rsidRDefault="003B6EE5" w:rsidP="003B6EE5">
      <w:pPr>
        <w:pStyle w:val="Default"/>
        <w:spacing w:after="120"/>
        <w:ind w:left="709" w:right="683"/>
        <w:rPr>
          <w:color w:val="auto"/>
          <w:sz w:val="22"/>
          <w:szCs w:val="22"/>
        </w:rPr>
      </w:pPr>
      <w:r w:rsidRPr="00BD77D8">
        <w:rPr>
          <w:b/>
          <w:bCs/>
          <w:color w:val="auto"/>
          <w:sz w:val="22"/>
          <w:szCs w:val="22"/>
        </w:rPr>
        <w:t xml:space="preserve">Opinion </w:t>
      </w:r>
    </w:p>
    <w:p w14:paraId="71293D9C" w14:textId="5135E151"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 have audited the accompanying financial report of the Department of Seniors, Disability Services and Aboriginal and Torres Strait Islander Partnerships. </w:t>
      </w:r>
    </w:p>
    <w:p w14:paraId="562D87A0" w14:textId="42ABEB89"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In my opinion, the financial report: </w:t>
      </w:r>
    </w:p>
    <w:p w14:paraId="2BB8EC01" w14:textId="07A8D561"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a) gives a true and fair view of the department's financial position as at 30 June 2022, and its financial performance and cash flows for the year then ended </w:t>
      </w:r>
    </w:p>
    <w:p w14:paraId="7042A4E6"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b) complies with the </w:t>
      </w:r>
      <w:r w:rsidRPr="00BD77D8">
        <w:rPr>
          <w:i/>
          <w:iCs/>
          <w:color w:val="auto"/>
          <w:sz w:val="22"/>
          <w:szCs w:val="22"/>
        </w:rPr>
        <w:t>Financial Accountability Act 2009</w:t>
      </w:r>
      <w:r w:rsidRPr="00BD77D8">
        <w:rPr>
          <w:color w:val="auto"/>
          <w:sz w:val="22"/>
          <w:szCs w:val="22"/>
        </w:rPr>
        <w:t xml:space="preserve">, the Financial and Performance Management Standard 2019 and Australian Accounting Standards. </w:t>
      </w:r>
    </w:p>
    <w:p w14:paraId="366E11C8"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The financial report comprises the statement of financial position and statement of assets and liabilities by major departmental services as at 30 June 2022, the statement of comprehensive income, statement of changes in equity, statement of cash flows and statement of comprehensive income by major departmental services for the year then ended, notes to the financial statements including summaries of significant accounting policies and other explanatory information, and the management certificate. </w:t>
      </w:r>
    </w:p>
    <w:p w14:paraId="37ACF96D" w14:textId="77777777" w:rsidR="003B6EE5" w:rsidRPr="00BD77D8" w:rsidRDefault="003B6EE5" w:rsidP="003B6EE5">
      <w:pPr>
        <w:pStyle w:val="Default"/>
        <w:spacing w:after="120"/>
        <w:ind w:left="709" w:right="683"/>
        <w:rPr>
          <w:color w:val="auto"/>
          <w:sz w:val="22"/>
          <w:szCs w:val="22"/>
        </w:rPr>
      </w:pPr>
      <w:r w:rsidRPr="00BD77D8">
        <w:rPr>
          <w:b/>
          <w:bCs/>
          <w:color w:val="auto"/>
          <w:sz w:val="22"/>
          <w:szCs w:val="22"/>
        </w:rPr>
        <w:t xml:space="preserve">Basis for opinion </w:t>
      </w:r>
    </w:p>
    <w:p w14:paraId="01E9A74A"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 conducted my audit in accordance with the </w:t>
      </w:r>
      <w:r w:rsidRPr="00BD77D8">
        <w:rPr>
          <w:i/>
          <w:iCs/>
          <w:color w:val="auto"/>
          <w:sz w:val="22"/>
          <w:szCs w:val="22"/>
        </w:rPr>
        <w:t>Auditor-General Auditing Standards</w:t>
      </w:r>
      <w:r w:rsidRPr="00BD77D8">
        <w:rPr>
          <w:color w:val="auto"/>
          <w:sz w:val="22"/>
          <w:szCs w:val="22"/>
        </w:rPr>
        <w:t xml:space="preserve">, which incorporate the Australian Auditing Standards. My responsibilities under those standards are further described in the </w:t>
      </w:r>
      <w:r w:rsidRPr="00BD77D8">
        <w:rPr>
          <w:i/>
          <w:iCs/>
          <w:color w:val="auto"/>
          <w:sz w:val="22"/>
          <w:szCs w:val="22"/>
        </w:rPr>
        <w:t xml:space="preserve">Auditor’s Responsibilities for the Audit of the Financial Report </w:t>
      </w:r>
      <w:r w:rsidRPr="00BD77D8">
        <w:rPr>
          <w:color w:val="auto"/>
          <w:sz w:val="22"/>
          <w:szCs w:val="22"/>
        </w:rPr>
        <w:t xml:space="preserve">section of my report. </w:t>
      </w:r>
    </w:p>
    <w:p w14:paraId="7BC36971"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 am independent of the department in accordance with the ethical requirements of the Accounting Professional and Ethical Standards Board’s APES 110 </w:t>
      </w:r>
      <w:r w:rsidRPr="00BD77D8">
        <w:rPr>
          <w:i/>
          <w:iCs/>
          <w:color w:val="auto"/>
          <w:sz w:val="22"/>
          <w:szCs w:val="22"/>
        </w:rPr>
        <w:t xml:space="preserve">Code of Ethics for Professional Accountants </w:t>
      </w:r>
      <w:r w:rsidRPr="00BD77D8">
        <w:rPr>
          <w:color w:val="auto"/>
          <w:sz w:val="22"/>
          <w:szCs w:val="22"/>
        </w:rPr>
        <w:t xml:space="preserve">(the Code) that are relevant to my audit of the financial report in Australia. I have also fulfilled my other ethical responsibilities in accordance with the Code and the </w:t>
      </w:r>
      <w:r w:rsidRPr="00BD77D8">
        <w:rPr>
          <w:i/>
          <w:iCs/>
          <w:color w:val="auto"/>
          <w:sz w:val="22"/>
          <w:szCs w:val="22"/>
        </w:rPr>
        <w:t>Auditor-General Auditing Standards</w:t>
      </w:r>
      <w:r w:rsidRPr="00BD77D8">
        <w:rPr>
          <w:color w:val="auto"/>
          <w:sz w:val="22"/>
          <w:szCs w:val="22"/>
        </w:rPr>
        <w:t xml:space="preserve">. </w:t>
      </w:r>
    </w:p>
    <w:p w14:paraId="12B110A9" w14:textId="77777777" w:rsidR="003B6EE5" w:rsidRPr="00BD77D8" w:rsidRDefault="003B6EE5" w:rsidP="003B6EE5">
      <w:pPr>
        <w:pStyle w:val="Default"/>
        <w:spacing w:after="120"/>
        <w:ind w:left="709" w:right="683"/>
        <w:rPr>
          <w:color w:val="auto"/>
          <w:sz w:val="22"/>
          <w:szCs w:val="22"/>
        </w:rPr>
      </w:pPr>
      <w:r w:rsidRPr="00BD77D8">
        <w:rPr>
          <w:color w:val="auto"/>
          <w:sz w:val="22"/>
          <w:szCs w:val="22"/>
        </w:rPr>
        <w:t xml:space="preserve">I believe that the audit evidence I have obtained is sufficient and appropriate to provide a basis for my opinion. </w:t>
      </w:r>
    </w:p>
    <w:p w14:paraId="2DD8F07F" w14:textId="77777777" w:rsidR="003B6EE5" w:rsidRPr="00BD77D8" w:rsidRDefault="003B6EE5" w:rsidP="003B6EE5">
      <w:pPr>
        <w:pStyle w:val="Default"/>
        <w:spacing w:after="120"/>
        <w:ind w:left="709" w:right="683"/>
        <w:rPr>
          <w:color w:val="auto"/>
          <w:sz w:val="22"/>
          <w:szCs w:val="22"/>
        </w:rPr>
      </w:pPr>
      <w:r w:rsidRPr="00BD77D8">
        <w:rPr>
          <w:b/>
          <w:bCs/>
          <w:color w:val="auto"/>
          <w:sz w:val="22"/>
          <w:szCs w:val="22"/>
        </w:rPr>
        <w:t xml:space="preserve">Key audit matters </w:t>
      </w:r>
    </w:p>
    <w:p w14:paraId="2E746EB7" w14:textId="77777777" w:rsidR="003B6EE5" w:rsidRPr="00BD77D8" w:rsidRDefault="003B6EE5" w:rsidP="0089639E">
      <w:pPr>
        <w:spacing w:after="1080" w:line="240" w:lineRule="auto"/>
        <w:ind w:left="709" w:right="680"/>
        <w:rPr>
          <w:sz w:val="22"/>
          <w:szCs w:val="22"/>
        </w:rPr>
      </w:pPr>
      <w:r w:rsidRPr="00BD77D8">
        <w:rPr>
          <w:sz w:val="22"/>
          <w:szCs w:val="22"/>
        </w:rPr>
        <w:t>Key audit matters are those matters that, in my professional judgement, were of most significance in my audit of the financial report of the current period. I addressed these matters in the context of my audit of the financial report as a whole, and in forming my opinion thereon, and I do not provide a separate opinion on these matters.</w:t>
      </w:r>
    </w:p>
    <w:p w14:paraId="6CECA077" w14:textId="77777777" w:rsidR="00552F15" w:rsidRPr="00BD77D8" w:rsidRDefault="00552F15" w:rsidP="00552F15">
      <w:pPr>
        <w:spacing w:after="120" w:line="240" w:lineRule="auto"/>
        <w:ind w:right="683"/>
        <w:rPr>
          <w:b/>
          <w:bCs/>
          <w:i/>
          <w:iCs/>
          <w:sz w:val="22"/>
          <w:szCs w:val="22"/>
        </w:rPr>
      </w:pPr>
      <w:r w:rsidRPr="00BD77D8">
        <w:rPr>
          <w:rFonts w:eastAsia="Arial" w:cs="Times New Roman"/>
          <w:noProof/>
          <w:sz w:val="18"/>
          <w:szCs w:val="22"/>
          <w:lang w:val="en-US" w:eastAsia="en-US"/>
        </w:rPr>
        <w:lastRenderedPageBreak/>
        <w:drawing>
          <wp:inline distT="0" distB="0" distL="0" distR="0" wp14:anchorId="5F632170" wp14:editId="50964665">
            <wp:extent cx="2003531" cy="921715"/>
            <wp:effectExtent l="0" t="0" r="0" b="0"/>
            <wp:docPr id="20" name="Picture 20"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ueensland Audit Office logo"/>
                    <pic:cNvPicPr/>
                  </pic:nvPicPr>
                  <pic:blipFill>
                    <a:blip r:embed="rId46">
                      <a:extLst>
                        <a:ext uri="{28A0092B-C50C-407E-A947-70E740481C1C}">
                          <a14:useLocalDpi xmlns:a14="http://schemas.microsoft.com/office/drawing/2010/main" val="0"/>
                        </a:ext>
                      </a:extLst>
                    </a:blip>
                    <a:stretch>
                      <a:fillRect/>
                    </a:stretch>
                  </pic:blipFill>
                  <pic:spPr>
                    <a:xfrm>
                      <a:off x="0" y="0"/>
                      <a:ext cx="2011579" cy="925417"/>
                    </a:xfrm>
                    <a:prstGeom prst="rect">
                      <a:avLst/>
                    </a:prstGeom>
                  </pic:spPr>
                </pic:pic>
              </a:graphicData>
            </a:graphic>
          </wp:inline>
        </w:drawing>
      </w:r>
    </w:p>
    <w:p w14:paraId="31619EDE" w14:textId="7A5A1536" w:rsidR="007F263C" w:rsidRPr="00BD77D8" w:rsidRDefault="007F263C" w:rsidP="004A171D">
      <w:pPr>
        <w:spacing w:after="80" w:line="240" w:lineRule="auto"/>
        <w:ind w:right="680"/>
        <w:rPr>
          <w:rFonts w:eastAsia="Arial" w:cs="Times New Roman"/>
          <w:lang w:val="en-US" w:eastAsia="en-US"/>
        </w:rPr>
      </w:pPr>
      <w:r w:rsidRPr="00BD77D8">
        <w:rPr>
          <w:b/>
          <w:bCs/>
          <w:i/>
          <w:iCs/>
        </w:rPr>
        <w:t>Valuation of specialised buildings ($137.334 million)</w:t>
      </w:r>
    </w:p>
    <w:p w14:paraId="1BDDBAF5" w14:textId="77777777" w:rsidR="007F263C" w:rsidRPr="00BD77D8" w:rsidRDefault="007F263C" w:rsidP="004A171D">
      <w:pPr>
        <w:spacing w:after="80" w:line="240" w:lineRule="auto"/>
        <w:ind w:right="680"/>
        <w:rPr>
          <w:i/>
          <w:iCs/>
        </w:rPr>
      </w:pPr>
      <w:r w:rsidRPr="00BD77D8">
        <w:rPr>
          <w:i/>
          <w:iCs/>
        </w:rPr>
        <w:t>Refer to notes C4-4 and C4-7 in the financial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27"/>
      </w:tblGrid>
      <w:tr w:rsidR="00BD77D8" w:rsidRPr="00BD77D8" w14:paraId="6988B8DD" w14:textId="77777777" w:rsidTr="00466C49">
        <w:tc>
          <w:tcPr>
            <w:tcW w:w="5227" w:type="dxa"/>
            <w:tcBorders>
              <w:bottom w:val="single" w:sz="4" w:space="0" w:color="auto"/>
            </w:tcBorders>
            <w:shd w:val="clear" w:color="auto" w:fill="F2F2F2" w:themeFill="background1" w:themeFillShade="F2"/>
          </w:tcPr>
          <w:p w14:paraId="6C91CBD2" w14:textId="683111DF" w:rsidR="00466C49" w:rsidRPr="00BD77D8" w:rsidRDefault="00466C49" w:rsidP="00466C49">
            <w:pPr>
              <w:spacing w:after="120" w:line="240" w:lineRule="auto"/>
              <w:ind w:right="683"/>
              <w:jc w:val="center"/>
              <w:rPr>
                <w:rFonts w:ascii="Arial" w:eastAsia="Arial" w:hAnsi="Arial"/>
                <w:b/>
                <w:bCs/>
                <w:sz w:val="20"/>
                <w:szCs w:val="20"/>
                <w:lang w:val="en-US" w:eastAsia="en-US"/>
              </w:rPr>
            </w:pPr>
            <w:r w:rsidRPr="00BD77D8">
              <w:rPr>
                <w:rFonts w:ascii="Arial" w:eastAsia="Arial" w:hAnsi="Arial"/>
                <w:b/>
                <w:bCs/>
                <w:sz w:val="20"/>
                <w:szCs w:val="20"/>
                <w:lang w:val="en-US" w:eastAsia="en-US"/>
              </w:rPr>
              <w:t>Key audit matter</w:t>
            </w:r>
          </w:p>
        </w:tc>
        <w:tc>
          <w:tcPr>
            <w:tcW w:w="5227" w:type="dxa"/>
            <w:tcBorders>
              <w:bottom w:val="single" w:sz="4" w:space="0" w:color="auto"/>
            </w:tcBorders>
            <w:shd w:val="clear" w:color="auto" w:fill="F2F2F2" w:themeFill="background1" w:themeFillShade="F2"/>
          </w:tcPr>
          <w:p w14:paraId="30453180" w14:textId="7D3C8AC7" w:rsidR="00466C49" w:rsidRPr="00BD77D8" w:rsidRDefault="00466C49" w:rsidP="00466C49">
            <w:pPr>
              <w:spacing w:after="120" w:line="240" w:lineRule="auto"/>
              <w:ind w:right="683"/>
              <w:jc w:val="center"/>
              <w:rPr>
                <w:rFonts w:ascii="Arial" w:eastAsia="Arial" w:hAnsi="Arial"/>
                <w:b/>
                <w:bCs/>
                <w:sz w:val="20"/>
                <w:szCs w:val="20"/>
                <w:lang w:val="en-US" w:eastAsia="en-US"/>
              </w:rPr>
            </w:pPr>
            <w:r w:rsidRPr="00BD77D8">
              <w:rPr>
                <w:rFonts w:ascii="Arial" w:eastAsia="Arial" w:hAnsi="Arial"/>
                <w:b/>
                <w:bCs/>
                <w:sz w:val="20"/>
                <w:szCs w:val="20"/>
                <w:lang w:val="en-US" w:eastAsia="en-US"/>
              </w:rPr>
              <w:t>How my audit addressed the key audit matter</w:t>
            </w:r>
          </w:p>
        </w:tc>
      </w:tr>
      <w:tr w:rsidR="00BD77D8" w:rsidRPr="00BD77D8" w14:paraId="51F3513F" w14:textId="77777777" w:rsidTr="00466C49">
        <w:tc>
          <w:tcPr>
            <w:tcW w:w="5227" w:type="dxa"/>
            <w:tcBorders>
              <w:top w:val="single" w:sz="4" w:space="0" w:color="auto"/>
              <w:bottom w:val="single" w:sz="4" w:space="0" w:color="auto"/>
            </w:tcBorders>
          </w:tcPr>
          <w:p w14:paraId="12D4FBA2"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 xml:space="preserve">The Department of Seniors, Disability Services and Aboriginal and Torres Strait Islander Partnerships (DSDSATSIP) </w:t>
            </w:r>
            <w:proofErr w:type="spellStart"/>
            <w:r w:rsidRPr="00BD77D8">
              <w:rPr>
                <w:rFonts w:ascii="Arial" w:eastAsia="Arial" w:hAnsi="Arial"/>
                <w:sz w:val="20"/>
                <w:szCs w:val="20"/>
                <w:lang w:val="en-US" w:eastAsia="en-US"/>
              </w:rPr>
              <w:t>specialised</w:t>
            </w:r>
            <w:proofErr w:type="spellEnd"/>
            <w:r w:rsidRPr="00BD77D8">
              <w:rPr>
                <w:rFonts w:ascii="Arial" w:eastAsia="Arial" w:hAnsi="Arial"/>
                <w:sz w:val="20"/>
                <w:szCs w:val="20"/>
                <w:lang w:val="en-US" w:eastAsia="en-US"/>
              </w:rPr>
              <w:t xml:space="preserve"> building assets were valued at balance date using the current replacement cost method that comprises:</w:t>
            </w:r>
          </w:p>
          <w:p w14:paraId="0FC63339" w14:textId="44B60205"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Gross replacement cost, less</w:t>
            </w:r>
          </w:p>
          <w:p w14:paraId="41A7BC1E" w14:textId="3D69CA9E"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Accumulated depreciation.</w:t>
            </w:r>
          </w:p>
          <w:p w14:paraId="5AE89D65" w14:textId="77777777" w:rsidR="00466C49" w:rsidRPr="00BD77D8" w:rsidRDefault="00466C49" w:rsidP="00466C49">
            <w:pPr>
              <w:spacing w:after="120" w:line="240" w:lineRule="auto"/>
              <w:ind w:right="437"/>
              <w:rPr>
                <w:rFonts w:ascii="Arial" w:eastAsia="Arial" w:hAnsi="Arial"/>
                <w:sz w:val="20"/>
                <w:szCs w:val="20"/>
                <w:lang w:val="en-US" w:eastAsia="en-US"/>
              </w:rPr>
            </w:pPr>
            <w:proofErr w:type="spellStart"/>
            <w:r w:rsidRPr="00BD77D8">
              <w:rPr>
                <w:rFonts w:ascii="Arial" w:eastAsia="Arial" w:hAnsi="Arial"/>
                <w:sz w:val="20"/>
                <w:szCs w:val="20"/>
                <w:lang w:val="en-US" w:eastAsia="en-US"/>
              </w:rPr>
              <w:t>Specialised</w:t>
            </w:r>
            <w:proofErr w:type="spellEnd"/>
            <w:r w:rsidRPr="00BD77D8">
              <w:rPr>
                <w:rFonts w:ascii="Arial" w:eastAsia="Arial" w:hAnsi="Arial"/>
                <w:sz w:val="20"/>
                <w:szCs w:val="20"/>
                <w:lang w:val="en-US" w:eastAsia="en-US"/>
              </w:rPr>
              <w:t xml:space="preserve"> buildings represented 94 per cent of the total building assets as at balance date.</w:t>
            </w:r>
          </w:p>
          <w:p w14:paraId="28EB0502"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 xml:space="preserve">The department performs comprehensive revaluations of </w:t>
            </w:r>
            <w:proofErr w:type="gramStart"/>
            <w:r w:rsidRPr="00BD77D8">
              <w:rPr>
                <w:rFonts w:ascii="Arial" w:eastAsia="Arial" w:hAnsi="Arial"/>
                <w:sz w:val="20"/>
                <w:szCs w:val="20"/>
                <w:lang w:val="en-US" w:eastAsia="en-US"/>
              </w:rPr>
              <w:t>all of</w:t>
            </w:r>
            <w:proofErr w:type="gramEnd"/>
            <w:r w:rsidRPr="00BD77D8">
              <w:rPr>
                <w:rFonts w:ascii="Arial" w:eastAsia="Arial" w:hAnsi="Arial"/>
                <w:sz w:val="20"/>
                <w:szCs w:val="20"/>
                <w:lang w:val="en-US" w:eastAsia="en-US"/>
              </w:rPr>
              <w:t xml:space="preserve"> its buildings at least every five years, with desktop valuations conducted in the intervening period.</w:t>
            </w:r>
          </w:p>
          <w:p w14:paraId="5B2BE4FB"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In making these judgements, the department engaged an external valuation expert to perform a comprehensive revaluation of Aboriginal and Torres Strait Islander Partnerships Service Area land and buildings and perform a desktop revaluation of Disability Services and Seniors Services Service Areas land and buildings in 2021-22.</w:t>
            </w:r>
          </w:p>
          <w:p w14:paraId="3DFC676C"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The Department derived the gross replacement cost of its buildings at balance date using unit prices that required significant judgements for:</w:t>
            </w:r>
          </w:p>
          <w:p w14:paraId="171865D7" w14:textId="265AD8EB"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identifying the components of buildings with separately identifiable replacement costs (known as unit rate categories)</w:t>
            </w:r>
          </w:p>
          <w:p w14:paraId="1E07A726" w14:textId="14E449E1"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developing a unit rate for each of these components, including:</w:t>
            </w:r>
          </w:p>
          <w:p w14:paraId="26A41F91" w14:textId="10B0192A" w:rsidR="00466C49" w:rsidRPr="00BD77D8" w:rsidRDefault="00466C49" w:rsidP="003954C5">
            <w:pPr>
              <w:pStyle w:val="ListParagraph"/>
              <w:numPr>
                <w:ilvl w:val="1"/>
                <w:numId w:val="78"/>
              </w:numPr>
              <w:spacing w:after="120" w:line="240" w:lineRule="auto"/>
              <w:ind w:left="463" w:right="437" w:hanging="141"/>
              <w:rPr>
                <w:rFonts w:ascii="Arial" w:eastAsia="Arial" w:hAnsi="Arial"/>
                <w:sz w:val="20"/>
                <w:szCs w:val="20"/>
                <w:lang w:val="en-US" w:eastAsia="en-US"/>
              </w:rPr>
            </w:pPr>
            <w:r w:rsidRPr="00BD77D8">
              <w:rPr>
                <w:rFonts w:ascii="Arial" w:eastAsia="Arial" w:hAnsi="Arial"/>
                <w:sz w:val="20"/>
                <w:szCs w:val="20"/>
                <w:lang w:val="en-US" w:eastAsia="en-US"/>
              </w:rPr>
              <w:t>estimating the current cost for a modern substitute (including locality factors and oncosts), expressed as a rate per unit (</w:t>
            </w:r>
            <w:proofErr w:type="gramStart"/>
            <w:r w:rsidRPr="00BD77D8">
              <w:rPr>
                <w:rFonts w:ascii="Arial" w:eastAsia="Arial" w:hAnsi="Arial"/>
                <w:sz w:val="20"/>
                <w:szCs w:val="20"/>
                <w:lang w:val="en-US" w:eastAsia="en-US"/>
              </w:rPr>
              <w:t>e.g.</w:t>
            </w:r>
            <w:proofErr w:type="gramEnd"/>
            <w:r w:rsidRPr="00BD77D8">
              <w:rPr>
                <w:rFonts w:ascii="Arial" w:eastAsia="Arial" w:hAnsi="Arial"/>
                <w:sz w:val="20"/>
                <w:szCs w:val="20"/>
                <w:lang w:val="en-US" w:eastAsia="en-US"/>
              </w:rPr>
              <w:t xml:space="preserve"> $/square </w:t>
            </w:r>
            <w:proofErr w:type="spellStart"/>
            <w:r w:rsidRPr="00BD77D8">
              <w:rPr>
                <w:rFonts w:ascii="Arial" w:eastAsia="Arial" w:hAnsi="Arial"/>
                <w:sz w:val="20"/>
                <w:szCs w:val="20"/>
                <w:lang w:val="en-US" w:eastAsia="en-US"/>
              </w:rPr>
              <w:t>metre</w:t>
            </w:r>
            <w:proofErr w:type="spellEnd"/>
            <w:r w:rsidRPr="00BD77D8">
              <w:rPr>
                <w:rFonts w:ascii="Arial" w:eastAsia="Arial" w:hAnsi="Arial"/>
                <w:sz w:val="20"/>
                <w:szCs w:val="20"/>
                <w:lang w:val="en-US" w:eastAsia="en-US"/>
              </w:rPr>
              <w:t>)</w:t>
            </w:r>
          </w:p>
          <w:p w14:paraId="015BD173" w14:textId="1DD2DCEE" w:rsidR="00466C49" w:rsidRPr="00BD77D8" w:rsidRDefault="00466C49" w:rsidP="003954C5">
            <w:pPr>
              <w:pStyle w:val="ListParagraph"/>
              <w:numPr>
                <w:ilvl w:val="1"/>
                <w:numId w:val="78"/>
              </w:numPr>
              <w:spacing w:after="120" w:line="240" w:lineRule="auto"/>
              <w:ind w:left="463" w:right="437" w:hanging="141"/>
              <w:rPr>
                <w:rFonts w:ascii="Arial" w:eastAsia="Arial" w:hAnsi="Arial"/>
                <w:sz w:val="20"/>
                <w:szCs w:val="20"/>
                <w:lang w:val="en-US" w:eastAsia="en-US"/>
              </w:rPr>
            </w:pPr>
            <w:r w:rsidRPr="00BD77D8">
              <w:rPr>
                <w:rFonts w:ascii="Arial" w:eastAsia="Arial" w:hAnsi="Arial"/>
                <w:sz w:val="20"/>
                <w:szCs w:val="20"/>
                <w:lang w:val="en-US" w:eastAsia="en-US"/>
              </w:rPr>
              <w:t>identifying whether the existing building contains obsolescence or less utility compared to the modern substitute, and if so, estimating the adjustment to the unit rate required to reflect this difference</w:t>
            </w:r>
          </w:p>
          <w:p w14:paraId="3A7EDF1A" w14:textId="3B29769C" w:rsidR="00466C49" w:rsidRPr="00BD77D8" w:rsidRDefault="00466C49" w:rsidP="003954C5">
            <w:pPr>
              <w:pStyle w:val="ListParagraph"/>
              <w:numPr>
                <w:ilvl w:val="0"/>
                <w:numId w:val="78"/>
              </w:num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indexing unit rates for subsequent increases in input costs.</w:t>
            </w:r>
          </w:p>
          <w:p w14:paraId="3041B660" w14:textId="77777777" w:rsidR="00466C49" w:rsidRPr="00BD77D8" w:rsidRDefault="00466C49" w:rsidP="00466C49">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The measurement of accumulated depreciation involved significant judgements for forecasting the remaining useful lives of asset components.</w:t>
            </w:r>
          </w:p>
          <w:p w14:paraId="3D28ED6C" w14:textId="1A903DAF" w:rsidR="00466C49" w:rsidRPr="00BD77D8" w:rsidRDefault="00466C49" w:rsidP="004A171D">
            <w:pPr>
              <w:spacing w:after="120" w:line="240" w:lineRule="auto"/>
              <w:ind w:right="437"/>
              <w:rPr>
                <w:rFonts w:ascii="Arial" w:eastAsia="Arial" w:hAnsi="Arial"/>
                <w:sz w:val="20"/>
                <w:szCs w:val="20"/>
                <w:lang w:val="en-US" w:eastAsia="en-US"/>
              </w:rPr>
            </w:pPr>
            <w:r w:rsidRPr="00BD77D8">
              <w:rPr>
                <w:rFonts w:ascii="Arial" w:eastAsia="Arial" w:hAnsi="Arial"/>
                <w:sz w:val="20"/>
                <w:szCs w:val="20"/>
                <w:lang w:val="en-US" w:eastAsia="en-US"/>
              </w:rPr>
              <w:t>The significant judgements required for gross replacement cost and useful lives are also significant for calculating annual depreciation expense.</w:t>
            </w:r>
          </w:p>
        </w:tc>
        <w:tc>
          <w:tcPr>
            <w:tcW w:w="5227" w:type="dxa"/>
            <w:tcBorders>
              <w:top w:val="single" w:sz="4" w:space="0" w:color="auto"/>
              <w:bottom w:val="single" w:sz="4" w:space="0" w:color="auto"/>
            </w:tcBorders>
          </w:tcPr>
          <w:p w14:paraId="008841D9" w14:textId="77777777" w:rsidR="00466C49" w:rsidRPr="00BD77D8" w:rsidRDefault="00466C49" w:rsidP="00466C49">
            <w:p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My procedures included, but were not limited to:</w:t>
            </w:r>
          </w:p>
          <w:p w14:paraId="0652D5FC" w14:textId="0BC8572F"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Assessing the competence, capability, and objectivity of the valuation specialist.</w:t>
            </w:r>
          </w:p>
          <w:p w14:paraId="32E7E836" w14:textId="4B8FCCE2"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Assessing the adequacy of management’s review of the valuation process.</w:t>
            </w:r>
          </w:p>
          <w:p w14:paraId="05C41F6B" w14:textId="0033F827"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Obtaining an understanding of the methodology used and assessing its design, integrity and appropriateness using common industry practices.</w:t>
            </w:r>
          </w:p>
          <w:p w14:paraId="4FF5FE1C" w14:textId="5A3D41E0"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Assessing the appropriateness of the building components used for measuring gross replacement cost with reference to the department’s asset management plans and common industry practices.</w:t>
            </w:r>
          </w:p>
          <w:p w14:paraId="2B225D24" w14:textId="7438138A"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On a sample basis, evaluating the relevance, completeness and accuracy of source data used to derive the unit rates for the:</w:t>
            </w:r>
          </w:p>
          <w:p w14:paraId="605BEB85" w14:textId="77777777" w:rsidR="00466C49" w:rsidRPr="00BD77D8" w:rsidRDefault="00466C49" w:rsidP="00466C49">
            <w:pPr>
              <w:spacing w:after="120" w:line="240" w:lineRule="auto"/>
              <w:ind w:left="478" w:right="683"/>
              <w:rPr>
                <w:rFonts w:ascii="Arial" w:eastAsia="Arial" w:hAnsi="Arial"/>
                <w:sz w:val="20"/>
                <w:szCs w:val="20"/>
                <w:lang w:val="en-US" w:eastAsia="en-US"/>
              </w:rPr>
            </w:pPr>
            <w:r w:rsidRPr="00BD77D8">
              <w:rPr>
                <w:rFonts w:ascii="Arial" w:eastAsia="Arial" w:hAnsi="Arial"/>
                <w:sz w:val="20"/>
                <w:szCs w:val="20"/>
                <w:lang w:val="en-US" w:eastAsia="en-US"/>
              </w:rPr>
              <w:t>- modern substitute</w:t>
            </w:r>
          </w:p>
          <w:p w14:paraId="4167250F" w14:textId="77777777" w:rsidR="00466C49" w:rsidRPr="00BD77D8" w:rsidRDefault="00466C49" w:rsidP="00466C49">
            <w:pPr>
              <w:spacing w:after="120" w:line="240" w:lineRule="auto"/>
              <w:ind w:left="478" w:right="683"/>
              <w:rPr>
                <w:rFonts w:ascii="Arial" w:eastAsia="Arial" w:hAnsi="Arial"/>
                <w:sz w:val="20"/>
                <w:szCs w:val="20"/>
                <w:lang w:val="en-US" w:eastAsia="en-US"/>
              </w:rPr>
            </w:pPr>
            <w:r w:rsidRPr="00BD77D8">
              <w:rPr>
                <w:rFonts w:ascii="Arial" w:eastAsia="Arial" w:hAnsi="Arial"/>
                <w:sz w:val="20"/>
                <w:szCs w:val="20"/>
                <w:lang w:val="en-US" w:eastAsia="en-US"/>
              </w:rPr>
              <w:t>- adjustment for excess quality or obsolescence.</w:t>
            </w:r>
          </w:p>
          <w:p w14:paraId="2D057ED3" w14:textId="61C574DF"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Evaluating the reasonableness of the indices used against other publicly available information about movements in values for replacement costs of similar assets.</w:t>
            </w:r>
          </w:p>
          <w:p w14:paraId="46DF3E57" w14:textId="5B9BC155" w:rsidR="00466C49" w:rsidRPr="00BD77D8" w:rsidRDefault="00466C49" w:rsidP="003954C5">
            <w:pPr>
              <w:pStyle w:val="ListParagraph"/>
              <w:numPr>
                <w:ilvl w:val="0"/>
                <w:numId w:val="78"/>
              </w:numPr>
              <w:spacing w:after="120" w:line="240" w:lineRule="auto"/>
              <w:ind w:right="683"/>
              <w:rPr>
                <w:rFonts w:ascii="Arial" w:eastAsia="Arial" w:hAnsi="Arial"/>
                <w:sz w:val="20"/>
                <w:szCs w:val="20"/>
                <w:lang w:val="en-US" w:eastAsia="en-US"/>
              </w:rPr>
            </w:pPr>
            <w:r w:rsidRPr="00BD77D8">
              <w:rPr>
                <w:rFonts w:ascii="Arial" w:eastAsia="Arial" w:hAnsi="Arial"/>
                <w:sz w:val="20"/>
                <w:szCs w:val="20"/>
                <w:lang w:val="en-US" w:eastAsia="en-US"/>
              </w:rPr>
              <w:t>Evaluating useful life estimates for reasonableness by reviewing management’s annual assessment of useful lives.</w:t>
            </w:r>
          </w:p>
          <w:p w14:paraId="66291ABA" w14:textId="22E49DE8" w:rsidR="00466C49" w:rsidRPr="00BD77D8" w:rsidRDefault="00466C49" w:rsidP="003954C5">
            <w:pPr>
              <w:pStyle w:val="ListParagraph"/>
              <w:numPr>
                <w:ilvl w:val="0"/>
                <w:numId w:val="78"/>
              </w:numPr>
              <w:spacing w:after="120" w:line="240" w:lineRule="auto"/>
              <w:ind w:right="683"/>
              <w:rPr>
                <w:rFonts w:eastAsia="Arial"/>
                <w:sz w:val="20"/>
                <w:szCs w:val="20"/>
                <w:lang w:val="en-US" w:eastAsia="en-US"/>
              </w:rPr>
            </w:pPr>
            <w:r w:rsidRPr="00BD77D8">
              <w:rPr>
                <w:rFonts w:ascii="Arial" w:eastAsia="Arial" w:hAnsi="Arial"/>
                <w:sz w:val="20"/>
                <w:szCs w:val="20"/>
                <w:lang w:val="en-US" w:eastAsia="en-US"/>
              </w:rPr>
              <w:t>Performing reasonableness tests to confirm depreciation is calculated in accordance with the department’s accounting policies and industry standards.</w:t>
            </w:r>
          </w:p>
        </w:tc>
      </w:tr>
    </w:tbl>
    <w:p w14:paraId="5ECD2B0F" w14:textId="1680E6B5" w:rsidR="00466C49" w:rsidRPr="00BD77D8" w:rsidRDefault="00466C49" w:rsidP="00466C49">
      <w:pPr>
        <w:spacing w:after="120" w:line="240" w:lineRule="auto"/>
        <w:ind w:right="683"/>
        <w:rPr>
          <w:rFonts w:eastAsia="Arial" w:cs="Times New Roman"/>
          <w:sz w:val="18"/>
          <w:szCs w:val="22"/>
          <w:lang w:val="en-US" w:eastAsia="en-US"/>
        </w:rPr>
        <w:sectPr w:rsidR="00466C49" w:rsidRPr="00BD77D8" w:rsidSect="00C02ECF">
          <w:footerReference w:type="default" r:id="rId47"/>
          <w:pgSz w:w="11904" w:h="16824"/>
          <w:pgMar w:top="720" w:right="720" w:bottom="720" w:left="720" w:header="720" w:footer="720" w:gutter="0"/>
          <w:cols w:space="720"/>
          <w:docGrid w:linePitch="286"/>
        </w:sectPr>
      </w:pPr>
    </w:p>
    <w:p w14:paraId="0D881998" w14:textId="77777777" w:rsidR="00753CB5" w:rsidRPr="00BD77D8" w:rsidRDefault="00753CB5" w:rsidP="00753CB5">
      <w:pPr>
        <w:pStyle w:val="Default"/>
        <w:tabs>
          <w:tab w:val="left" w:pos="9923"/>
        </w:tabs>
        <w:spacing w:after="120"/>
        <w:ind w:left="426" w:right="264"/>
        <w:rPr>
          <w:b/>
          <w:bCs/>
          <w:color w:val="auto"/>
          <w:sz w:val="22"/>
          <w:szCs w:val="22"/>
        </w:rPr>
      </w:pPr>
    </w:p>
    <w:p w14:paraId="50EEEFF3" w14:textId="2A9AC172" w:rsidR="00753CB5" w:rsidRPr="00BD77D8" w:rsidRDefault="00552F15" w:rsidP="00552F15">
      <w:pPr>
        <w:pStyle w:val="Default"/>
        <w:tabs>
          <w:tab w:val="left" w:pos="9923"/>
        </w:tabs>
        <w:spacing w:after="120"/>
        <w:ind w:left="426" w:right="264"/>
        <w:rPr>
          <w:b/>
          <w:bCs/>
          <w:color w:val="auto"/>
          <w:sz w:val="22"/>
          <w:szCs w:val="22"/>
        </w:rPr>
      </w:pPr>
      <w:r w:rsidRPr="00BD77D8">
        <w:rPr>
          <w:b/>
          <w:bCs/>
          <w:noProof/>
          <w:color w:val="auto"/>
          <w:sz w:val="22"/>
          <w:szCs w:val="22"/>
        </w:rPr>
        <w:drawing>
          <wp:inline distT="0" distB="0" distL="0" distR="0" wp14:anchorId="68470799" wp14:editId="6BB7B970">
            <wp:extent cx="1989734" cy="1045845"/>
            <wp:effectExtent l="0" t="0" r="0" b="1905"/>
            <wp:docPr id="19" name="Picture 19"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ueensland Audit Office logo"/>
                    <pic:cNvPicPr/>
                  </pic:nvPicPr>
                  <pic:blipFill>
                    <a:blip r:embed="rId46">
                      <a:extLst>
                        <a:ext uri="{28A0092B-C50C-407E-A947-70E740481C1C}">
                          <a14:useLocalDpi xmlns:a14="http://schemas.microsoft.com/office/drawing/2010/main" val="0"/>
                        </a:ext>
                      </a:extLst>
                    </a:blip>
                    <a:stretch>
                      <a:fillRect/>
                    </a:stretch>
                  </pic:blipFill>
                  <pic:spPr>
                    <a:xfrm>
                      <a:off x="0" y="0"/>
                      <a:ext cx="2015343" cy="1059305"/>
                    </a:xfrm>
                    <a:prstGeom prst="rect">
                      <a:avLst/>
                    </a:prstGeom>
                  </pic:spPr>
                </pic:pic>
              </a:graphicData>
            </a:graphic>
          </wp:inline>
        </w:drawing>
      </w:r>
    </w:p>
    <w:p w14:paraId="15751075" w14:textId="4283AF75" w:rsidR="00466C49" w:rsidRPr="00BD77D8" w:rsidRDefault="00466C49" w:rsidP="00753CB5">
      <w:pPr>
        <w:pStyle w:val="Default"/>
        <w:tabs>
          <w:tab w:val="left" w:pos="9923"/>
        </w:tabs>
        <w:spacing w:after="120"/>
        <w:ind w:left="426" w:right="264"/>
        <w:rPr>
          <w:color w:val="auto"/>
          <w:sz w:val="22"/>
          <w:szCs w:val="22"/>
        </w:rPr>
      </w:pPr>
      <w:r w:rsidRPr="00BD77D8">
        <w:rPr>
          <w:b/>
          <w:bCs/>
          <w:color w:val="auto"/>
          <w:sz w:val="22"/>
          <w:szCs w:val="22"/>
        </w:rPr>
        <w:t xml:space="preserve">Responsibilities of the department for the financial report </w:t>
      </w:r>
    </w:p>
    <w:p w14:paraId="47050ED4" w14:textId="2BF08977" w:rsidR="00466C49" w:rsidRPr="00BD77D8" w:rsidRDefault="00466C49" w:rsidP="00753CB5">
      <w:pPr>
        <w:pStyle w:val="Default"/>
        <w:tabs>
          <w:tab w:val="left" w:pos="9923"/>
        </w:tabs>
        <w:spacing w:after="120"/>
        <w:ind w:left="426" w:right="547"/>
        <w:rPr>
          <w:color w:val="auto"/>
          <w:sz w:val="22"/>
          <w:szCs w:val="22"/>
        </w:rPr>
      </w:pPr>
      <w:r w:rsidRPr="00BD77D8">
        <w:rPr>
          <w:color w:val="auto"/>
          <w:sz w:val="22"/>
          <w:szCs w:val="22"/>
        </w:rPr>
        <w:t xml:space="preserve">The Accountable Officer is responsible for the preparation of the financial report that gives a true and fair view in accordance with the </w:t>
      </w:r>
      <w:r w:rsidRPr="00BD77D8">
        <w:rPr>
          <w:i/>
          <w:iCs/>
          <w:color w:val="auto"/>
          <w:sz w:val="22"/>
          <w:szCs w:val="22"/>
        </w:rPr>
        <w:t>Financial Accountability Act 2009</w:t>
      </w:r>
      <w:r w:rsidRPr="00BD77D8">
        <w:rPr>
          <w:color w:val="auto"/>
          <w:sz w:val="22"/>
          <w:szCs w:val="22"/>
        </w:rPr>
        <w:t xml:space="preserve">, the Financial and Performance Management Standard 2019 and Australian Accounting Standards, and for such internal control as the Accountable Officer determines is necessary to enable the preparation of the financial report that is free from material misstatement, whether due to fraud or error. </w:t>
      </w:r>
    </w:p>
    <w:p w14:paraId="2816A8F1" w14:textId="77777777" w:rsidR="00466C49" w:rsidRPr="00BD77D8" w:rsidRDefault="00466C49" w:rsidP="00753CB5">
      <w:pPr>
        <w:pStyle w:val="Default"/>
        <w:tabs>
          <w:tab w:val="left" w:pos="9923"/>
        </w:tabs>
        <w:spacing w:after="120"/>
        <w:ind w:left="426" w:right="264"/>
        <w:rPr>
          <w:color w:val="auto"/>
          <w:sz w:val="22"/>
          <w:szCs w:val="22"/>
        </w:rPr>
      </w:pPr>
      <w:r w:rsidRPr="00BD77D8">
        <w:rPr>
          <w:color w:val="auto"/>
          <w:sz w:val="22"/>
          <w:szCs w:val="22"/>
        </w:rPr>
        <w:t xml:space="preserve">The Accountable Officer is also responsible for assessing the department's ability to continue as a going concern, disclosing, as applicable, matters relating to going concern and using the going concern basis of accounting unless it is intended to abolish the department or to otherwise cease operations. </w:t>
      </w:r>
    </w:p>
    <w:p w14:paraId="085BFBCC" w14:textId="77777777" w:rsidR="00466C49" w:rsidRPr="00BD77D8" w:rsidRDefault="00466C49" w:rsidP="00753CB5">
      <w:pPr>
        <w:pStyle w:val="Default"/>
        <w:tabs>
          <w:tab w:val="left" w:pos="9923"/>
        </w:tabs>
        <w:spacing w:after="120"/>
        <w:ind w:left="426" w:right="264"/>
        <w:rPr>
          <w:color w:val="auto"/>
          <w:sz w:val="22"/>
          <w:szCs w:val="22"/>
        </w:rPr>
      </w:pPr>
      <w:r w:rsidRPr="00BD77D8">
        <w:rPr>
          <w:b/>
          <w:bCs/>
          <w:color w:val="auto"/>
          <w:sz w:val="22"/>
          <w:szCs w:val="22"/>
        </w:rPr>
        <w:t xml:space="preserve">Auditor’s responsibilities for the audit of the financial report </w:t>
      </w:r>
    </w:p>
    <w:p w14:paraId="4BD77735" w14:textId="77777777" w:rsidR="00466C49" w:rsidRPr="00BD77D8" w:rsidRDefault="00466C49" w:rsidP="00753CB5">
      <w:pPr>
        <w:pStyle w:val="Default"/>
        <w:tabs>
          <w:tab w:val="left" w:pos="9923"/>
        </w:tabs>
        <w:spacing w:after="120"/>
        <w:ind w:left="426" w:right="264"/>
        <w:rPr>
          <w:color w:val="auto"/>
          <w:sz w:val="22"/>
          <w:szCs w:val="22"/>
        </w:rPr>
      </w:pPr>
      <w:r w:rsidRPr="00BD77D8">
        <w:rPr>
          <w:color w:val="auto"/>
          <w:sz w:val="22"/>
          <w:szCs w:val="22"/>
        </w:rPr>
        <w:t xml:space="preserve">My objectives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w:t>
      </w:r>
    </w:p>
    <w:p w14:paraId="24050BA4" w14:textId="77777777" w:rsidR="00466C49" w:rsidRPr="00BD77D8" w:rsidRDefault="00466C49" w:rsidP="00753CB5">
      <w:pPr>
        <w:pStyle w:val="Default"/>
        <w:tabs>
          <w:tab w:val="left" w:pos="9923"/>
        </w:tabs>
        <w:spacing w:after="120"/>
        <w:ind w:left="426" w:right="264"/>
        <w:rPr>
          <w:color w:val="auto"/>
          <w:sz w:val="22"/>
          <w:szCs w:val="22"/>
        </w:rPr>
      </w:pPr>
      <w:r w:rsidRPr="00BD77D8">
        <w:rPr>
          <w:color w:val="auto"/>
          <w:sz w:val="22"/>
          <w:szCs w:val="22"/>
        </w:rPr>
        <w:t xml:space="preserve">As part of an audit in accordance with the Australian Auditing Standards, I exercise professional judgement and maintain professional scepticism throughout the audit. I also: </w:t>
      </w:r>
    </w:p>
    <w:p w14:paraId="709C4ED1" w14:textId="7B188DD1" w:rsidR="00466C49" w:rsidRPr="00BD77D8" w:rsidRDefault="00466C49" w:rsidP="003954C5">
      <w:pPr>
        <w:pStyle w:val="Default"/>
        <w:numPr>
          <w:ilvl w:val="0"/>
          <w:numId w:val="78"/>
        </w:numPr>
        <w:tabs>
          <w:tab w:val="left" w:pos="9923"/>
        </w:tabs>
        <w:spacing w:after="120"/>
        <w:ind w:left="709" w:right="264" w:hanging="283"/>
        <w:rPr>
          <w:color w:val="auto"/>
          <w:sz w:val="22"/>
          <w:szCs w:val="22"/>
        </w:rPr>
      </w:pPr>
      <w:r w:rsidRPr="00BD77D8">
        <w:rPr>
          <w:color w:val="auto"/>
          <w:sz w:val="22"/>
          <w:szCs w:val="22"/>
        </w:rPr>
        <w:t xml:space="preserve">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w:t>
      </w:r>
    </w:p>
    <w:p w14:paraId="3788A9A1" w14:textId="7805735F" w:rsidR="00466C49" w:rsidRPr="00BD77D8" w:rsidRDefault="00466C49" w:rsidP="003954C5">
      <w:pPr>
        <w:pStyle w:val="Default"/>
        <w:numPr>
          <w:ilvl w:val="0"/>
          <w:numId w:val="78"/>
        </w:numPr>
        <w:tabs>
          <w:tab w:val="left" w:pos="9923"/>
        </w:tabs>
        <w:spacing w:after="120"/>
        <w:ind w:left="709" w:right="264" w:hanging="283"/>
        <w:rPr>
          <w:color w:val="auto"/>
          <w:sz w:val="22"/>
          <w:szCs w:val="22"/>
        </w:rPr>
      </w:pPr>
      <w:r w:rsidRPr="00BD77D8">
        <w:rPr>
          <w:color w:val="auto"/>
          <w:sz w:val="22"/>
          <w:szCs w:val="22"/>
        </w:rPr>
        <w:t xml:space="preserve">Obtain an understanding of internal control relevant to the audit in order to design audit procedures that are appropriate in the circumstances. This is not done for the purpose of expressing an opinion on the effectiveness of the department's internal controls, but allows me to express an opinion on compliance with prescribed requirements. </w:t>
      </w:r>
    </w:p>
    <w:p w14:paraId="10E04927" w14:textId="04280BCF" w:rsidR="00466C49" w:rsidRPr="00BD77D8" w:rsidRDefault="00466C49" w:rsidP="003954C5">
      <w:pPr>
        <w:pStyle w:val="Default"/>
        <w:numPr>
          <w:ilvl w:val="0"/>
          <w:numId w:val="78"/>
        </w:numPr>
        <w:tabs>
          <w:tab w:val="left" w:pos="9923"/>
        </w:tabs>
        <w:spacing w:after="120"/>
        <w:ind w:left="709" w:right="264" w:hanging="283"/>
        <w:rPr>
          <w:color w:val="auto"/>
          <w:sz w:val="22"/>
          <w:szCs w:val="22"/>
        </w:rPr>
      </w:pPr>
      <w:r w:rsidRPr="00BD77D8">
        <w:rPr>
          <w:color w:val="auto"/>
          <w:sz w:val="22"/>
          <w:szCs w:val="22"/>
        </w:rPr>
        <w:t xml:space="preserve">Evaluate the appropriateness of accounting policies used and the reasonableness of accounting estimates and related disclosures made by the department. </w:t>
      </w:r>
    </w:p>
    <w:p w14:paraId="07631179" w14:textId="26340BF3" w:rsidR="00466C49" w:rsidRPr="00BD77D8" w:rsidRDefault="00466C49" w:rsidP="003954C5">
      <w:pPr>
        <w:pStyle w:val="Default"/>
        <w:numPr>
          <w:ilvl w:val="0"/>
          <w:numId w:val="78"/>
        </w:numPr>
        <w:tabs>
          <w:tab w:val="left" w:pos="9923"/>
        </w:tabs>
        <w:spacing w:after="120"/>
        <w:ind w:left="709" w:right="264" w:hanging="283"/>
        <w:rPr>
          <w:color w:val="auto"/>
          <w:sz w:val="22"/>
          <w:szCs w:val="22"/>
        </w:rPr>
      </w:pPr>
      <w:r w:rsidRPr="00BD77D8">
        <w:rPr>
          <w:color w:val="auto"/>
          <w:sz w:val="22"/>
          <w:szCs w:val="22"/>
        </w:rPr>
        <w:t xml:space="preserve">Conclude on the appropriateness of the department's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my auditor’s report to the related disclosures in the financial report or, if such disclosures are inadequate, to modify my opinion. I base my conclusions on the audit evidence obtained up to the date of my auditor’s report. However, future events or conditions may cause the department to cease to continue as a going concern. </w:t>
      </w:r>
    </w:p>
    <w:p w14:paraId="35BB27B2" w14:textId="67EE96E7" w:rsidR="00753CB5" w:rsidRPr="00BD77D8" w:rsidRDefault="00753CB5" w:rsidP="00753CB5">
      <w:pPr>
        <w:pStyle w:val="Default"/>
        <w:tabs>
          <w:tab w:val="left" w:pos="9923"/>
        </w:tabs>
        <w:spacing w:after="120"/>
        <w:ind w:right="264"/>
        <w:rPr>
          <w:color w:val="auto"/>
          <w:sz w:val="22"/>
          <w:szCs w:val="22"/>
        </w:rPr>
      </w:pPr>
    </w:p>
    <w:p w14:paraId="47200172" w14:textId="31E450FA" w:rsidR="00753CB5" w:rsidRPr="00BD77D8" w:rsidRDefault="00753CB5" w:rsidP="00753CB5">
      <w:pPr>
        <w:pStyle w:val="Default"/>
        <w:tabs>
          <w:tab w:val="left" w:pos="9923"/>
        </w:tabs>
        <w:spacing w:after="120"/>
        <w:ind w:right="264"/>
        <w:rPr>
          <w:color w:val="auto"/>
          <w:sz w:val="22"/>
          <w:szCs w:val="22"/>
        </w:rPr>
      </w:pPr>
    </w:p>
    <w:p w14:paraId="1F034324" w14:textId="5B337805" w:rsidR="00753CB5" w:rsidRPr="00BD77D8" w:rsidRDefault="00753CB5" w:rsidP="00753CB5">
      <w:pPr>
        <w:pStyle w:val="Default"/>
        <w:tabs>
          <w:tab w:val="left" w:pos="9923"/>
          <w:tab w:val="left" w:pos="10206"/>
        </w:tabs>
        <w:spacing w:after="120"/>
        <w:ind w:right="264"/>
        <w:rPr>
          <w:color w:val="auto"/>
          <w:sz w:val="22"/>
          <w:szCs w:val="22"/>
        </w:rPr>
      </w:pPr>
    </w:p>
    <w:p w14:paraId="60903DA4" w14:textId="534A8CB7" w:rsidR="00753CB5" w:rsidRPr="00BD77D8" w:rsidRDefault="00552F15" w:rsidP="00552F15">
      <w:pPr>
        <w:pStyle w:val="Default"/>
        <w:tabs>
          <w:tab w:val="left" w:pos="9923"/>
          <w:tab w:val="left" w:pos="10206"/>
        </w:tabs>
        <w:spacing w:after="120"/>
        <w:ind w:left="426" w:right="264"/>
        <w:rPr>
          <w:color w:val="auto"/>
          <w:sz w:val="22"/>
          <w:szCs w:val="22"/>
        </w:rPr>
      </w:pPr>
      <w:r w:rsidRPr="00BD77D8">
        <w:rPr>
          <w:noProof/>
          <w:color w:val="auto"/>
          <w:sz w:val="22"/>
          <w:szCs w:val="22"/>
        </w:rPr>
        <w:drawing>
          <wp:inline distT="0" distB="0" distL="0" distR="0" wp14:anchorId="6E053294" wp14:editId="2CDB4677">
            <wp:extent cx="1770278" cy="826135"/>
            <wp:effectExtent l="0" t="0" r="1905" b="0"/>
            <wp:docPr id="18" name="Picture 18"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ueensland Audit Office logo"/>
                    <pic:cNvPicPr/>
                  </pic:nvPicPr>
                  <pic:blipFill>
                    <a:blip r:embed="rId46">
                      <a:extLst>
                        <a:ext uri="{28A0092B-C50C-407E-A947-70E740481C1C}">
                          <a14:useLocalDpi xmlns:a14="http://schemas.microsoft.com/office/drawing/2010/main" val="0"/>
                        </a:ext>
                      </a:extLst>
                    </a:blip>
                    <a:stretch>
                      <a:fillRect/>
                    </a:stretch>
                  </pic:blipFill>
                  <pic:spPr>
                    <a:xfrm>
                      <a:off x="0" y="0"/>
                      <a:ext cx="1802865" cy="841342"/>
                    </a:xfrm>
                    <a:prstGeom prst="rect">
                      <a:avLst/>
                    </a:prstGeom>
                  </pic:spPr>
                </pic:pic>
              </a:graphicData>
            </a:graphic>
          </wp:inline>
        </w:drawing>
      </w:r>
    </w:p>
    <w:p w14:paraId="0BC69697" w14:textId="77777777" w:rsidR="00753CB5" w:rsidRPr="00BD77D8" w:rsidRDefault="00753CB5" w:rsidP="003954C5">
      <w:pPr>
        <w:pStyle w:val="Default"/>
        <w:numPr>
          <w:ilvl w:val="0"/>
          <w:numId w:val="78"/>
        </w:numPr>
        <w:tabs>
          <w:tab w:val="left" w:pos="9923"/>
          <w:tab w:val="left" w:pos="10206"/>
        </w:tabs>
        <w:spacing w:after="120"/>
        <w:ind w:left="709" w:right="264" w:hanging="283"/>
        <w:rPr>
          <w:color w:val="auto"/>
          <w:sz w:val="22"/>
          <w:szCs w:val="22"/>
        </w:rPr>
      </w:pPr>
      <w:r w:rsidRPr="00BD77D8">
        <w:rPr>
          <w:color w:val="auto"/>
          <w:sz w:val="22"/>
          <w:szCs w:val="22"/>
        </w:rPr>
        <w:t xml:space="preserve">Evaluate the overall presentation, structure and content of the financial report, including the disclosures, and whether the financial report represents the underlying transactions and events in a manner that achieves fair presentation. </w:t>
      </w:r>
    </w:p>
    <w:p w14:paraId="5C8BD8EC" w14:textId="77777777" w:rsidR="00753CB5" w:rsidRPr="00BD77D8" w:rsidRDefault="00753CB5" w:rsidP="00753CB5">
      <w:pPr>
        <w:pStyle w:val="Default"/>
        <w:tabs>
          <w:tab w:val="left" w:pos="10206"/>
        </w:tabs>
        <w:spacing w:after="120"/>
        <w:ind w:left="426"/>
        <w:rPr>
          <w:color w:val="auto"/>
          <w:sz w:val="22"/>
          <w:szCs w:val="22"/>
        </w:rPr>
      </w:pPr>
      <w:r w:rsidRPr="00BD77D8">
        <w:rPr>
          <w:color w:val="auto"/>
          <w:sz w:val="22"/>
          <w:szCs w:val="22"/>
        </w:rPr>
        <w:t xml:space="preserve">I communicate with the Accountable Officer regarding, among other matters, the planned scope and timing of the audit and significant audit findings, including any significant deficiencies in internal control that I identify during my audit. </w:t>
      </w:r>
    </w:p>
    <w:p w14:paraId="7C0DCD2B" w14:textId="77777777" w:rsidR="00753CB5" w:rsidRPr="00BD77D8" w:rsidRDefault="00753CB5" w:rsidP="00753CB5">
      <w:pPr>
        <w:pStyle w:val="Default"/>
        <w:tabs>
          <w:tab w:val="left" w:pos="10206"/>
        </w:tabs>
        <w:spacing w:after="120"/>
        <w:ind w:left="426"/>
        <w:rPr>
          <w:color w:val="auto"/>
          <w:sz w:val="22"/>
          <w:szCs w:val="22"/>
        </w:rPr>
      </w:pPr>
      <w:r w:rsidRPr="00BD77D8">
        <w:rPr>
          <w:color w:val="auto"/>
          <w:sz w:val="22"/>
          <w:szCs w:val="22"/>
        </w:rPr>
        <w:t xml:space="preserve">From the matters communicated with the Accountable Officer, I determine those matters that were of most significance in the audit of the financial report of the current period and are therefore the key audit matters. I describe these matters in my auditor’s report unless law or 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 </w:t>
      </w:r>
    </w:p>
    <w:p w14:paraId="3884D8FE" w14:textId="77777777" w:rsidR="00753CB5" w:rsidRPr="00BD77D8" w:rsidRDefault="00753CB5" w:rsidP="00753CB5">
      <w:pPr>
        <w:pStyle w:val="Default"/>
        <w:tabs>
          <w:tab w:val="left" w:pos="10206"/>
        </w:tabs>
        <w:spacing w:after="120"/>
        <w:ind w:left="426"/>
        <w:rPr>
          <w:color w:val="auto"/>
          <w:sz w:val="23"/>
          <w:szCs w:val="23"/>
        </w:rPr>
      </w:pPr>
      <w:r w:rsidRPr="00BD77D8">
        <w:rPr>
          <w:b/>
          <w:bCs/>
          <w:color w:val="auto"/>
          <w:sz w:val="23"/>
          <w:szCs w:val="23"/>
        </w:rPr>
        <w:t xml:space="preserve">Report on other legal and regulatory requirements </w:t>
      </w:r>
    </w:p>
    <w:p w14:paraId="5B85512D" w14:textId="77777777" w:rsidR="00753CB5" w:rsidRPr="00BD77D8" w:rsidRDefault="00753CB5" w:rsidP="00753CB5">
      <w:pPr>
        <w:pStyle w:val="Default"/>
        <w:tabs>
          <w:tab w:val="left" w:pos="10206"/>
        </w:tabs>
        <w:spacing w:after="120"/>
        <w:ind w:left="426"/>
        <w:rPr>
          <w:color w:val="auto"/>
          <w:sz w:val="23"/>
          <w:szCs w:val="23"/>
        </w:rPr>
      </w:pPr>
      <w:r w:rsidRPr="00BD77D8">
        <w:rPr>
          <w:b/>
          <w:bCs/>
          <w:color w:val="auto"/>
          <w:sz w:val="23"/>
          <w:szCs w:val="23"/>
        </w:rPr>
        <w:t xml:space="preserve">Statement </w:t>
      </w:r>
    </w:p>
    <w:p w14:paraId="24882170" w14:textId="77777777" w:rsidR="00753CB5" w:rsidRPr="00BD77D8" w:rsidRDefault="00753CB5" w:rsidP="00753CB5">
      <w:pPr>
        <w:pStyle w:val="Default"/>
        <w:tabs>
          <w:tab w:val="left" w:pos="10206"/>
        </w:tabs>
        <w:spacing w:after="120"/>
        <w:ind w:left="426"/>
        <w:rPr>
          <w:color w:val="auto"/>
          <w:sz w:val="22"/>
          <w:szCs w:val="22"/>
        </w:rPr>
      </w:pPr>
      <w:r w:rsidRPr="00BD77D8">
        <w:rPr>
          <w:color w:val="auto"/>
          <w:sz w:val="22"/>
          <w:szCs w:val="22"/>
        </w:rPr>
        <w:t xml:space="preserve">In accordance with s.40 of the </w:t>
      </w:r>
      <w:r w:rsidRPr="00BD77D8">
        <w:rPr>
          <w:i/>
          <w:iCs/>
          <w:color w:val="auto"/>
          <w:sz w:val="22"/>
          <w:szCs w:val="22"/>
        </w:rPr>
        <w:t>Auditor-General Act 2009</w:t>
      </w:r>
      <w:r w:rsidRPr="00BD77D8">
        <w:rPr>
          <w:color w:val="auto"/>
          <w:sz w:val="22"/>
          <w:szCs w:val="22"/>
        </w:rPr>
        <w:t xml:space="preserve">, for the year ended 30 June 2022: </w:t>
      </w:r>
    </w:p>
    <w:p w14:paraId="1577835B" w14:textId="77777777" w:rsidR="00753CB5" w:rsidRPr="00BD77D8" w:rsidRDefault="00753CB5" w:rsidP="00753CB5">
      <w:pPr>
        <w:pStyle w:val="Default"/>
        <w:tabs>
          <w:tab w:val="left" w:pos="10206"/>
        </w:tabs>
        <w:spacing w:after="120"/>
        <w:ind w:left="426"/>
        <w:rPr>
          <w:color w:val="auto"/>
          <w:sz w:val="22"/>
          <w:szCs w:val="22"/>
        </w:rPr>
      </w:pPr>
      <w:r w:rsidRPr="00BD77D8">
        <w:rPr>
          <w:color w:val="auto"/>
          <w:sz w:val="22"/>
          <w:szCs w:val="22"/>
        </w:rPr>
        <w:t xml:space="preserve">a) I received all the information and explanations I required. </w:t>
      </w:r>
    </w:p>
    <w:p w14:paraId="24F70058" w14:textId="77777777" w:rsidR="00753CB5" w:rsidRPr="00BD77D8" w:rsidRDefault="00753CB5" w:rsidP="00293C43">
      <w:pPr>
        <w:pStyle w:val="Default"/>
        <w:tabs>
          <w:tab w:val="left" w:pos="10206"/>
        </w:tabs>
        <w:spacing w:after="360"/>
        <w:ind w:left="425"/>
        <w:rPr>
          <w:color w:val="auto"/>
          <w:sz w:val="22"/>
          <w:szCs w:val="22"/>
        </w:rPr>
      </w:pPr>
      <w:r w:rsidRPr="00BD77D8">
        <w:rPr>
          <w:color w:val="auto"/>
          <w:sz w:val="22"/>
          <w:szCs w:val="22"/>
        </w:rPr>
        <w:t xml:space="preserve">b) I consider that, the prescribed requirements in relation to the establishment and keeping of accounts were complied with in all material respects. </w:t>
      </w:r>
    </w:p>
    <w:p w14:paraId="2E540500" w14:textId="77777777" w:rsidR="00753CB5" w:rsidRPr="00BD77D8" w:rsidRDefault="00753CB5" w:rsidP="00753CB5">
      <w:pPr>
        <w:pStyle w:val="Default"/>
        <w:tabs>
          <w:tab w:val="left" w:pos="10206"/>
        </w:tabs>
        <w:spacing w:after="120"/>
        <w:ind w:left="426"/>
        <w:rPr>
          <w:color w:val="auto"/>
          <w:sz w:val="23"/>
          <w:szCs w:val="23"/>
        </w:rPr>
      </w:pPr>
      <w:r w:rsidRPr="00BD77D8">
        <w:rPr>
          <w:b/>
          <w:bCs/>
          <w:color w:val="auto"/>
          <w:sz w:val="23"/>
          <w:szCs w:val="23"/>
        </w:rPr>
        <w:t xml:space="preserve">Prescribed requirements scope </w:t>
      </w:r>
    </w:p>
    <w:p w14:paraId="28175EBC" w14:textId="68508A2B" w:rsidR="00753CB5" w:rsidRPr="00BD77D8" w:rsidRDefault="00753CB5" w:rsidP="00293C43">
      <w:pPr>
        <w:pStyle w:val="Default"/>
        <w:tabs>
          <w:tab w:val="left" w:pos="9923"/>
          <w:tab w:val="left" w:pos="10206"/>
        </w:tabs>
        <w:spacing w:after="360"/>
        <w:ind w:left="425" w:right="266"/>
        <w:rPr>
          <w:color w:val="auto"/>
          <w:sz w:val="22"/>
          <w:szCs w:val="22"/>
        </w:rPr>
      </w:pPr>
      <w:r w:rsidRPr="00BD77D8">
        <w:rPr>
          <w:color w:val="auto"/>
          <w:sz w:val="22"/>
          <w:szCs w:val="22"/>
        </w:rPr>
        <w:t xml:space="preserve">The prescribed requirements for the establishment and keeping of accounts are contained in the </w:t>
      </w:r>
      <w:r w:rsidRPr="00BD77D8">
        <w:rPr>
          <w:i/>
          <w:iCs/>
          <w:color w:val="auto"/>
          <w:sz w:val="22"/>
          <w:szCs w:val="22"/>
        </w:rPr>
        <w:t>Financial Accountability Act 2009</w:t>
      </w:r>
      <w:r w:rsidRPr="00BD77D8">
        <w:rPr>
          <w:color w:val="auto"/>
          <w:sz w:val="22"/>
          <w:szCs w:val="22"/>
        </w:rPr>
        <w:t>, any other Act and the Financial and Performance Management Standard 2019. The applicable requirements include those for keeping financial records that correctly record and explain the department’s transactions and account balances to enable the preparation of a true and fair financial report.</w:t>
      </w:r>
    </w:p>
    <w:p w14:paraId="3F6696CD" w14:textId="182C5543" w:rsidR="00466C49" w:rsidRPr="00BD77D8" w:rsidRDefault="001054A6" w:rsidP="00753CB5">
      <w:pPr>
        <w:tabs>
          <w:tab w:val="left" w:pos="9923"/>
        </w:tabs>
        <w:spacing w:after="120" w:line="240" w:lineRule="auto"/>
        <w:ind w:left="426"/>
        <w:rPr>
          <w:rFonts w:eastAsia="Calibri"/>
          <w:bCs/>
          <w:iCs/>
          <w:sz w:val="32"/>
          <w:szCs w:val="32"/>
          <w:lang w:eastAsia="en-US"/>
        </w:rPr>
      </w:pPr>
      <w:r w:rsidRPr="00BD77D8">
        <w:rPr>
          <w:rFonts w:eastAsia="Calibri"/>
          <w:bCs/>
          <w:iCs/>
          <w:noProof/>
          <w:sz w:val="32"/>
          <w:szCs w:val="32"/>
          <w:lang w:eastAsia="en-US"/>
        </w:rPr>
        <w:drawing>
          <wp:inline distT="0" distB="0" distL="0" distR="0" wp14:anchorId="77CFB8E3" wp14:editId="0500CAEF">
            <wp:extent cx="6298387" cy="1384300"/>
            <wp:effectExtent l="0" t="0" r="7620" b="6350"/>
            <wp:docPr id="17" name="Picture 17" descr="Signature of Michelle Rejardon as delegate of the Auditor-General dated 31 August 2022, Queensland Audit Office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gnature of Michelle Rejardon as delegate of the Auditor-General dated 31 August 2022, Queensland Audit Office Brisbane"/>
                    <pic:cNvPicPr/>
                  </pic:nvPicPr>
                  <pic:blipFill>
                    <a:blip r:embed="rId48">
                      <a:extLst>
                        <a:ext uri="{28A0092B-C50C-407E-A947-70E740481C1C}">
                          <a14:useLocalDpi xmlns:a14="http://schemas.microsoft.com/office/drawing/2010/main" val="0"/>
                        </a:ext>
                      </a:extLst>
                    </a:blip>
                    <a:stretch>
                      <a:fillRect/>
                    </a:stretch>
                  </pic:blipFill>
                  <pic:spPr>
                    <a:xfrm>
                      <a:off x="0" y="0"/>
                      <a:ext cx="6299804" cy="1384611"/>
                    </a:xfrm>
                    <a:prstGeom prst="rect">
                      <a:avLst/>
                    </a:prstGeom>
                  </pic:spPr>
                </pic:pic>
              </a:graphicData>
            </a:graphic>
          </wp:inline>
        </w:drawing>
      </w:r>
      <w:r w:rsidR="00466C49" w:rsidRPr="00BD77D8">
        <w:rPr>
          <w:rFonts w:eastAsia="Calibri"/>
          <w:bCs/>
          <w:iCs/>
          <w:sz w:val="32"/>
          <w:szCs w:val="32"/>
          <w:lang w:eastAsia="en-US"/>
        </w:rPr>
        <w:br w:type="page"/>
      </w:r>
    </w:p>
    <w:p w14:paraId="5FDCAE43" w14:textId="77777777" w:rsidR="00466C49" w:rsidRPr="00BD77D8" w:rsidRDefault="00466C49">
      <w:pPr>
        <w:spacing w:after="0" w:line="240" w:lineRule="auto"/>
        <w:rPr>
          <w:rFonts w:eastAsia="Calibri"/>
          <w:bCs/>
          <w:iCs/>
          <w:sz w:val="32"/>
          <w:szCs w:val="32"/>
          <w:lang w:eastAsia="en-US"/>
        </w:rPr>
      </w:pPr>
    </w:p>
    <w:p w14:paraId="50CB6645" w14:textId="68FFD406" w:rsidR="007F34D8" w:rsidRPr="00BD77D8" w:rsidRDefault="00492CBD" w:rsidP="00C61780">
      <w:pPr>
        <w:pStyle w:val="Heading1"/>
        <w:rPr>
          <w:b/>
          <w:color w:val="auto"/>
          <w:sz w:val="20"/>
          <w:szCs w:val="20"/>
        </w:rPr>
      </w:pPr>
      <w:bookmarkStart w:id="749" w:name="_Toc113544418"/>
      <w:r w:rsidRPr="00BD77D8">
        <w:rPr>
          <w:color w:val="auto"/>
        </w:rPr>
        <w:t xml:space="preserve">08 </w:t>
      </w:r>
      <w:r w:rsidR="007F34D8" w:rsidRPr="00BD77D8">
        <w:rPr>
          <w:color w:val="auto"/>
        </w:rPr>
        <w:t>Compliance Checklist</w:t>
      </w:r>
      <w:bookmarkEnd w:id="749"/>
      <w:r w:rsidR="007F34D8" w:rsidRPr="00BD77D8">
        <w:rPr>
          <w:color w:val="auto"/>
        </w:rPr>
        <w:t xml:space="preserve"> </w:t>
      </w: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BD77D8" w:rsidRPr="00BD77D8" w14:paraId="6C60B89E" w14:textId="77777777" w:rsidTr="00A97F9F">
        <w:trPr>
          <w:cantSplit/>
          <w:tblHeader/>
        </w:trPr>
        <w:tc>
          <w:tcPr>
            <w:tcW w:w="5812" w:type="dxa"/>
            <w:gridSpan w:val="2"/>
            <w:tcBorders>
              <w:top w:val="single" w:sz="4" w:space="0" w:color="auto"/>
              <w:bottom w:val="single" w:sz="4" w:space="0" w:color="auto"/>
              <w:right w:val="single" w:sz="4" w:space="0" w:color="auto"/>
            </w:tcBorders>
            <w:shd w:val="clear" w:color="auto" w:fill="E6E6E6"/>
            <w:vAlign w:val="center"/>
          </w:tcPr>
          <w:p w14:paraId="261F5191" w14:textId="77777777" w:rsidR="007F34D8" w:rsidRPr="00BD77D8" w:rsidRDefault="007F34D8" w:rsidP="00A97F9F">
            <w:pPr>
              <w:tabs>
                <w:tab w:val="num" w:pos="1713"/>
              </w:tabs>
              <w:spacing w:before="120" w:after="120" w:line="240" w:lineRule="auto"/>
              <w:rPr>
                <w:b/>
                <w:sz w:val="18"/>
                <w:szCs w:val="18"/>
              </w:rPr>
            </w:pPr>
            <w:r w:rsidRPr="00BD77D8">
              <w:rPr>
                <w:b/>
                <w:sz w:val="18"/>
                <w:szCs w:val="18"/>
              </w:rPr>
              <w:t>Summary of requirement</w:t>
            </w:r>
          </w:p>
        </w:tc>
        <w:tc>
          <w:tcPr>
            <w:tcW w:w="2520" w:type="dxa"/>
            <w:tcBorders>
              <w:top w:val="single" w:sz="4" w:space="0" w:color="auto"/>
              <w:left w:val="single" w:sz="4" w:space="0" w:color="auto"/>
              <w:bottom w:val="single" w:sz="4" w:space="0" w:color="auto"/>
            </w:tcBorders>
            <w:shd w:val="clear" w:color="auto" w:fill="E6E6E6"/>
            <w:vAlign w:val="center"/>
          </w:tcPr>
          <w:p w14:paraId="1A88DBC1" w14:textId="77777777" w:rsidR="007F34D8" w:rsidRPr="00BD77D8" w:rsidRDefault="007F34D8" w:rsidP="00A97F9F">
            <w:pPr>
              <w:tabs>
                <w:tab w:val="num" w:pos="1713"/>
              </w:tabs>
              <w:spacing w:before="120" w:after="120" w:line="240" w:lineRule="auto"/>
              <w:jc w:val="center"/>
              <w:rPr>
                <w:b/>
                <w:sz w:val="18"/>
                <w:szCs w:val="18"/>
              </w:rPr>
            </w:pPr>
            <w:r w:rsidRPr="00BD77D8">
              <w:rPr>
                <w:b/>
                <w:sz w:val="18"/>
                <w:szCs w:val="18"/>
              </w:rPr>
              <w:t>Basis for requirement</w:t>
            </w:r>
          </w:p>
        </w:tc>
        <w:tc>
          <w:tcPr>
            <w:tcW w:w="1591" w:type="dxa"/>
            <w:tcBorders>
              <w:top w:val="single" w:sz="4" w:space="0" w:color="auto"/>
              <w:left w:val="single" w:sz="4" w:space="0" w:color="auto"/>
              <w:bottom w:val="single" w:sz="4" w:space="0" w:color="auto"/>
            </w:tcBorders>
            <w:shd w:val="clear" w:color="auto" w:fill="E6E6E6"/>
            <w:vAlign w:val="center"/>
          </w:tcPr>
          <w:p w14:paraId="0F6337CF" w14:textId="77777777" w:rsidR="007F34D8" w:rsidRPr="00BD77D8" w:rsidRDefault="007F34D8" w:rsidP="00A97F9F">
            <w:pPr>
              <w:tabs>
                <w:tab w:val="num" w:pos="1713"/>
              </w:tabs>
              <w:spacing w:before="120" w:after="120" w:line="240" w:lineRule="auto"/>
              <w:jc w:val="center"/>
              <w:rPr>
                <w:b/>
                <w:sz w:val="18"/>
                <w:szCs w:val="18"/>
              </w:rPr>
            </w:pPr>
            <w:r w:rsidRPr="00BD77D8">
              <w:rPr>
                <w:b/>
                <w:sz w:val="18"/>
                <w:szCs w:val="18"/>
              </w:rPr>
              <w:t>Annual report reference</w:t>
            </w:r>
          </w:p>
        </w:tc>
      </w:tr>
      <w:tr w:rsidR="00BD77D8" w:rsidRPr="00BD77D8" w14:paraId="6DC897FD" w14:textId="77777777" w:rsidTr="00A97F9F">
        <w:trPr>
          <w:cantSplit/>
        </w:trPr>
        <w:tc>
          <w:tcPr>
            <w:tcW w:w="1548" w:type="dxa"/>
            <w:tcBorders>
              <w:top w:val="single" w:sz="4" w:space="0" w:color="auto"/>
              <w:bottom w:val="single" w:sz="4" w:space="0" w:color="auto"/>
              <w:right w:val="single" w:sz="4" w:space="0" w:color="auto"/>
            </w:tcBorders>
          </w:tcPr>
          <w:p w14:paraId="55977CFC" w14:textId="77777777" w:rsidR="007F34D8" w:rsidRPr="00BD77D8" w:rsidRDefault="007F34D8" w:rsidP="00A97F9F">
            <w:pPr>
              <w:tabs>
                <w:tab w:val="num" w:pos="1713"/>
              </w:tabs>
              <w:spacing w:before="100" w:after="100" w:line="240" w:lineRule="auto"/>
              <w:rPr>
                <w:b/>
                <w:bCs/>
                <w:sz w:val="16"/>
                <w:szCs w:val="16"/>
              </w:rPr>
            </w:pPr>
            <w:r w:rsidRPr="00BD77D8">
              <w:rPr>
                <w:b/>
                <w:bCs/>
                <w:sz w:val="16"/>
                <w:szCs w:val="16"/>
              </w:rPr>
              <w:t>Letter of compliance</w:t>
            </w:r>
          </w:p>
        </w:tc>
        <w:tc>
          <w:tcPr>
            <w:tcW w:w="4264" w:type="dxa"/>
            <w:tcBorders>
              <w:top w:val="single" w:sz="4" w:space="0" w:color="auto"/>
              <w:left w:val="single" w:sz="4" w:space="0" w:color="auto"/>
              <w:bottom w:val="single" w:sz="4" w:space="0" w:color="auto"/>
              <w:right w:val="single" w:sz="4" w:space="0" w:color="auto"/>
            </w:tcBorders>
          </w:tcPr>
          <w:p w14:paraId="2FA2A57E"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A letter of compliance from the accountable officer or statutory body to the relevant Minister/s</w:t>
            </w:r>
          </w:p>
        </w:tc>
        <w:tc>
          <w:tcPr>
            <w:tcW w:w="2520" w:type="dxa"/>
            <w:tcBorders>
              <w:top w:val="single" w:sz="4" w:space="0" w:color="auto"/>
              <w:left w:val="single" w:sz="4" w:space="0" w:color="auto"/>
              <w:bottom w:val="single" w:sz="4" w:space="0" w:color="auto"/>
            </w:tcBorders>
            <w:shd w:val="clear" w:color="auto" w:fill="auto"/>
          </w:tcPr>
          <w:p w14:paraId="0DB3935D" w14:textId="77777777" w:rsidR="007F34D8" w:rsidRPr="00BD77D8" w:rsidRDefault="007F34D8" w:rsidP="00A97F9F">
            <w:pPr>
              <w:tabs>
                <w:tab w:val="num" w:pos="1713"/>
              </w:tabs>
              <w:spacing w:before="100" w:after="100" w:line="240" w:lineRule="auto"/>
              <w:rPr>
                <w:sz w:val="16"/>
                <w:szCs w:val="16"/>
              </w:rPr>
            </w:pPr>
            <w:r w:rsidRPr="00BD77D8">
              <w:rPr>
                <w:sz w:val="16"/>
                <w:szCs w:val="16"/>
              </w:rPr>
              <w:t>ARRs</w:t>
            </w:r>
            <w:r w:rsidRPr="00BD77D8">
              <w:rPr>
                <w:i/>
                <w:sz w:val="16"/>
                <w:szCs w:val="16"/>
              </w:rPr>
              <w:t xml:space="preserve"> – </w:t>
            </w:r>
            <w:r w:rsidRPr="00BD77D8">
              <w:rPr>
                <w:sz w:val="16"/>
                <w:szCs w:val="16"/>
              </w:rPr>
              <w:t>section 7</w:t>
            </w:r>
          </w:p>
        </w:tc>
        <w:tc>
          <w:tcPr>
            <w:tcW w:w="1591" w:type="dxa"/>
            <w:tcBorders>
              <w:top w:val="single" w:sz="4" w:space="0" w:color="auto"/>
              <w:left w:val="single" w:sz="4" w:space="0" w:color="auto"/>
              <w:bottom w:val="single" w:sz="4" w:space="0" w:color="auto"/>
            </w:tcBorders>
            <w:shd w:val="clear" w:color="auto" w:fill="auto"/>
          </w:tcPr>
          <w:p w14:paraId="3D29204A" w14:textId="38CFFE79" w:rsidR="007F34D8" w:rsidRPr="00BD77D8" w:rsidRDefault="00795C19" w:rsidP="00795C19">
            <w:pPr>
              <w:tabs>
                <w:tab w:val="num" w:pos="1713"/>
              </w:tabs>
              <w:spacing w:before="100" w:after="100" w:line="240" w:lineRule="auto"/>
              <w:jc w:val="center"/>
              <w:rPr>
                <w:sz w:val="16"/>
                <w:szCs w:val="16"/>
              </w:rPr>
            </w:pPr>
            <w:r w:rsidRPr="00BD77D8">
              <w:rPr>
                <w:sz w:val="16"/>
                <w:szCs w:val="16"/>
              </w:rPr>
              <w:t>3</w:t>
            </w:r>
          </w:p>
        </w:tc>
      </w:tr>
      <w:tr w:rsidR="00BD77D8" w:rsidRPr="00BD77D8" w14:paraId="7C26F471" w14:textId="77777777" w:rsidTr="00A97F9F">
        <w:trPr>
          <w:cantSplit/>
        </w:trPr>
        <w:tc>
          <w:tcPr>
            <w:tcW w:w="1548" w:type="dxa"/>
            <w:vMerge w:val="restart"/>
            <w:tcBorders>
              <w:top w:val="single" w:sz="4" w:space="0" w:color="auto"/>
              <w:right w:val="single" w:sz="4" w:space="0" w:color="auto"/>
            </w:tcBorders>
          </w:tcPr>
          <w:p w14:paraId="437BAE56" w14:textId="77777777" w:rsidR="007F34D8" w:rsidRPr="00BD77D8" w:rsidRDefault="007F34D8" w:rsidP="00A97F9F">
            <w:pPr>
              <w:tabs>
                <w:tab w:val="num" w:pos="1713"/>
              </w:tabs>
              <w:spacing w:before="100" w:after="100" w:line="240" w:lineRule="auto"/>
              <w:rPr>
                <w:b/>
                <w:bCs/>
                <w:sz w:val="16"/>
                <w:szCs w:val="16"/>
              </w:rPr>
            </w:pPr>
            <w:r w:rsidRPr="00BD77D8">
              <w:rPr>
                <w:b/>
                <w:bCs/>
                <w:sz w:val="16"/>
                <w:szCs w:val="16"/>
              </w:rPr>
              <w:t>Accessibility</w:t>
            </w:r>
          </w:p>
        </w:tc>
        <w:tc>
          <w:tcPr>
            <w:tcW w:w="4264" w:type="dxa"/>
            <w:tcBorders>
              <w:top w:val="single" w:sz="4" w:space="0" w:color="auto"/>
              <w:left w:val="single" w:sz="4" w:space="0" w:color="auto"/>
              <w:bottom w:val="single" w:sz="4" w:space="0" w:color="auto"/>
              <w:right w:val="single" w:sz="4" w:space="0" w:color="auto"/>
            </w:tcBorders>
          </w:tcPr>
          <w:p w14:paraId="7ADBE298"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Table of contents</w:t>
            </w:r>
          </w:p>
          <w:p w14:paraId="6090DAC0"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Glossary</w:t>
            </w:r>
          </w:p>
        </w:tc>
        <w:tc>
          <w:tcPr>
            <w:tcW w:w="2520" w:type="dxa"/>
            <w:tcBorders>
              <w:top w:val="single" w:sz="4" w:space="0" w:color="auto"/>
              <w:left w:val="single" w:sz="4" w:space="0" w:color="auto"/>
              <w:bottom w:val="single" w:sz="4" w:space="0" w:color="auto"/>
            </w:tcBorders>
            <w:shd w:val="clear" w:color="auto" w:fill="auto"/>
          </w:tcPr>
          <w:p w14:paraId="3024E991"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9.1</w:t>
            </w:r>
          </w:p>
        </w:tc>
        <w:tc>
          <w:tcPr>
            <w:tcW w:w="1591" w:type="dxa"/>
            <w:tcBorders>
              <w:top w:val="single" w:sz="4" w:space="0" w:color="auto"/>
              <w:left w:val="single" w:sz="4" w:space="0" w:color="auto"/>
              <w:bottom w:val="single" w:sz="4" w:space="0" w:color="auto"/>
            </w:tcBorders>
            <w:shd w:val="clear" w:color="auto" w:fill="auto"/>
          </w:tcPr>
          <w:p w14:paraId="13213625" w14:textId="1DDF4C47" w:rsidR="007F34D8" w:rsidRPr="00BD77D8" w:rsidRDefault="00795C19" w:rsidP="00A97F9F">
            <w:pPr>
              <w:tabs>
                <w:tab w:val="num" w:pos="1713"/>
              </w:tabs>
              <w:spacing w:before="100" w:after="100" w:line="240" w:lineRule="auto"/>
              <w:jc w:val="center"/>
              <w:rPr>
                <w:sz w:val="16"/>
                <w:szCs w:val="16"/>
              </w:rPr>
            </w:pPr>
            <w:r w:rsidRPr="00BD77D8">
              <w:rPr>
                <w:sz w:val="16"/>
                <w:szCs w:val="16"/>
              </w:rPr>
              <w:t>4-5</w:t>
            </w:r>
          </w:p>
        </w:tc>
      </w:tr>
      <w:tr w:rsidR="00BD77D8" w:rsidRPr="00BD77D8" w14:paraId="66018913" w14:textId="77777777" w:rsidTr="00A97F9F">
        <w:trPr>
          <w:cantSplit/>
        </w:trPr>
        <w:tc>
          <w:tcPr>
            <w:tcW w:w="1548" w:type="dxa"/>
            <w:vMerge/>
            <w:tcBorders>
              <w:right w:val="single" w:sz="4" w:space="0" w:color="auto"/>
            </w:tcBorders>
          </w:tcPr>
          <w:p w14:paraId="7D7C8C6E"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2E24620E"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Public availability</w:t>
            </w:r>
          </w:p>
        </w:tc>
        <w:tc>
          <w:tcPr>
            <w:tcW w:w="2520" w:type="dxa"/>
            <w:tcBorders>
              <w:top w:val="single" w:sz="4" w:space="0" w:color="auto"/>
              <w:left w:val="single" w:sz="4" w:space="0" w:color="auto"/>
              <w:bottom w:val="single" w:sz="4" w:space="0" w:color="auto"/>
            </w:tcBorders>
            <w:shd w:val="clear" w:color="auto" w:fill="auto"/>
          </w:tcPr>
          <w:p w14:paraId="44D283EF"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9.2</w:t>
            </w:r>
          </w:p>
        </w:tc>
        <w:tc>
          <w:tcPr>
            <w:tcW w:w="1591" w:type="dxa"/>
            <w:tcBorders>
              <w:top w:val="single" w:sz="4" w:space="0" w:color="auto"/>
              <w:left w:val="single" w:sz="4" w:space="0" w:color="auto"/>
              <w:bottom w:val="single" w:sz="4" w:space="0" w:color="auto"/>
            </w:tcBorders>
            <w:shd w:val="clear" w:color="auto" w:fill="auto"/>
          </w:tcPr>
          <w:p w14:paraId="5B1C414A" w14:textId="1A7DEF13" w:rsidR="007F34D8" w:rsidRPr="00BD77D8" w:rsidRDefault="00795C19" w:rsidP="00A97F9F">
            <w:pPr>
              <w:tabs>
                <w:tab w:val="num" w:pos="1713"/>
              </w:tabs>
              <w:spacing w:before="100" w:after="100" w:line="240" w:lineRule="auto"/>
              <w:jc w:val="center"/>
              <w:rPr>
                <w:sz w:val="16"/>
                <w:szCs w:val="16"/>
              </w:rPr>
            </w:pPr>
            <w:r w:rsidRPr="00BD77D8">
              <w:rPr>
                <w:sz w:val="16"/>
                <w:szCs w:val="16"/>
              </w:rPr>
              <w:t>2</w:t>
            </w:r>
          </w:p>
        </w:tc>
      </w:tr>
      <w:tr w:rsidR="00BD77D8" w:rsidRPr="00BD77D8" w14:paraId="2336A5BD" w14:textId="77777777" w:rsidTr="00A97F9F">
        <w:trPr>
          <w:cantSplit/>
        </w:trPr>
        <w:tc>
          <w:tcPr>
            <w:tcW w:w="1548" w:type="dxa"/>
            <w:vMerge/>
            <w:tcBorders>
              <w:right w:val="single" w:sz="4" w:space="0" w:color="auto"/>
            </w:tcBorders>
          </w:tcPr>
          <w:p w14:paraId="63F48BE5"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37A7C2E8"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Interpreter service statement</w:t>
            </w:r>
          </w:p>
        </w:tc>
        <w:tc>
          <w:tcPr>
            <w:tcW w:w="2520" w:type="dxa"/>
            <w:tcBorders>
              <w:top w:val="single" w:sz="4" w:space="0" w:color="auto"/>
              <w:left w:val="single" w:sz="4" w:space="0" w:color="auto"/>
              <w:bottom w:val="single" w:sz="4" w:space="0" w:color="auto"/>
            </w:tcBorders>
            <w:shd w:val="clear" w:color="auto" w:fill="auto"/>
          </w:tcPr>
          <w:p w14:paraId="39ED1BA5" w14:textId="77777777" w:rsidR="007F34D8" w:rsidRPr="00BD77D8" w:rsidRDefault="007F34D8" w:rsidP="00A97F9F">
            <w:pPr>
              <w:tabs>
                <w:tab w:val="num" w:pos="1713"/>
              </w:tabs>
              <w:spacing w:before="100" w:after="100" w:line="240" w:lineRule="auto"/>
              <w:rPr>
                <w:i/>
                <w:sz w:val="16"/>
                <w:szCs w:val="16"/>
              </w:rPr>
            </w:pPr>
            <w:r w:rsidRPr="00BD77D8">
              <w:rPr>
                <w:i/>
                <w:sz w:val="16"/>
                <w:szCs w:val="16"/>
              </w:rPr>
              <w:t>Queensland Government Language Services Policy</w:t>
            </w:r>
          </w:p>
          <w:p w14:paraId="584A48DB"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9.3</w:t>
            </w:r>
          </w:p>
        </w:tc>
        <w:tc>
          <w:tcPr>
            <w:tcW w:w="1591" w:type="dxa"/>
            <w:tcBorders>
              <w:top w:val="single" w:sz="4" w:space="0" w:color="auto"/>
              <w:left w:val="single" w:sz="4" w:space="0" w:color="auto"/>
              <w:bottom w:val="single" w:sz="4" w:space="0" w:color="auto"/>
            </w:tcBorders>
            <w:shd w:val="clear" w:color="auto" w:fill="auto"/>
          </w:tcPr>
          <w:p w14:paraId="34D9D113" w14:textId="6C4976FA" w:rsidR="007F34D8" w:rsidRPr="00BD77D8" w:rsidRDefault="00795C19" w:rsidP="00A97F9F">
            <w:pPr>
              <w:tabs>
                <w:tab w:val="num" w:pos="1713"/>
              </w:tabs>
              <w:spacing w:before="100" w:after="100" w:line="240" w:lineRule="auto"/>
              <w:jc w:val="center"/>
              <w:rPr>
                <w:sz w:val="16"/>
                <w:szCs w:val="16"/>
              </w:rPr>
            </w:pPr>
            <w:r w:rsidRPr="00BD77D8">
              <w:rPr>
                <w:sz w:val="16"/>
                <w:szCs w:val="16"/>
              </w:rPr>
              <w:t>2</w:t>
            </w:r>
          </w:p>
        </w:tc>
      </w:tr>
      <w:tr w:rsidR="00BD77D8" w:rsidRPr="00BD77D8" w14:paraId="18960A98" w14:textId="77777777" w:rsidTr="00A97F9F">
        <w:trPr>
          <w:cantSplit/>
        </w:trPr>
        <w:tc>
          <w:tcPr>
            <w:tcW w:w="1548" w:type="dxa"/>
            <w:vMerge/>
            <w:tcBorders>
              <w:right w:val="single" w:sz="4" w:space="0" w:color="auto"/>
            </w:tcBorders>
          </w:tcPr>
          <w:p w14:paraId="0281035A"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2A6A564F"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Copyright notice</w:t>
            </w:r>
          </w:p>
        </w:tc>
        <w:tc>
          <w:tcPr>
            <w:tcW w:w="2520" w:type="dxa"/>
            <w:tcBorders>
              <w:top w:val="single" w:sz="4" w:space="0" w:color="auto"/>
              <w:left w:val="single" w:sz="4" w:space="0" w:color="auto"/>
              <w:bottom w:val="single" w:sz="4" w:space="0" w:color="auto"/>
            </w:tcBorders>
            <w:shd w:val="clear" w:color="auto" w:fill="auto"/>
          </w:tcPr>
          <w:p w14:paraId="4C7DDA89" w14:textId="77777777" w:rsidR="007F34D8" w:rsidRPr="00BD77D8" w:rsidRDefault="007F34D8" w:rsidP="00A97F9F">
            <w:pPr>
              <w:tabs>
                <w:tab w:val="num" w:pos="1713"/>
              </w:tabs>
              <w:spacing w:before="100" w:after="100" w:line="240" w:lineRule="auto"/>
              <w:rPr>
                <w:i/>
                <w:sz w:val="16"/>
                <w:szCs w:val="16"/>
              </w:rPr>
            </w:pPr>
            <w:r w:rsidRPr="00BD77D8">
              <w:rPr>
                <w:i/>
                <w:sz w:val="16"/>
                <w:szCs w:val="16"/>
              </w:rPr>
              <w:t>Copyright Act 1968</w:t>
            </w:r>
          </w:p>
          <w:p w14:paraId="13358F57"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9.4</w:t>
            </w:r>
          </w:p>
        </w:tc>
        <w:tc>
          <w:tcPr>
            <w:tcW w:w="1591" w:type="dxa"/>
            <w:tcBorders>
              <w:top w:val="single" w:sz="4" w:space="0" w:color="auto"/>
              <w:left w:val="single" w:sz="4" w:space="0" w:color="auto"/>
              <w:bottom w:val="single" w:sz="4" w:space="0" w:color="auto"/>
            </w:tcBorders>
            <w:shd w:val="clear" w:color="auto" w:fill="auto"/>
          </w:tcPr>
          <w:p w14:paraId="08C8C0B8" w14:textId="5966552C" w:rsidR="007F34D8" w:rsidRPr="00BD77D8" w:rsidRDefault="00795C19" w:rsidP="00A97F9F">
            <w:pPr>
              <w:tabs>
                <w:tab w:val="num" w:pos="1713"/>
              </w:tabs>
              <w:spacing w:before="100" w:after="100" w:line="240" w:lineRule="auto"/>
              <w:jc w:val="center"/>
              <w:rPr>
                <w:sz w:val="16"/>
                <w:szCs w:val="16"/>
              </w:rPr>
            </w:pPr>
            <w:r w:rsidRPr="00BD77D8">
              <w:rPr>
                <w:sz w:val="16"/>
                <w:szCs w:val="16"/>
              </w:rPr>
              <w:t>2</w:t>
            </w:r>
          </w:p>
        </w:tc>
      </w:tr>
      <w:tr w:rsidR="00BD77D8" w:rsidRPr="00BD77D8" w14:paraId="7FD50F0E" w14:textId="77777777" w:rsidTr="00A97F9F">
        <w:trPr>
          <w:cantSplit/>
        </w:trPr>
        <w:tc>
          <w:tcPr>
            <w:tcW w:w="1548" w:type="dxa"/>
            <w:vMerge/>
            <w:tcBorders>
              <w:bottom w:val="single" w:sz="4" w:space="0" w:color="auto"/>
              <w:right w:val="single" w:sz="4" w:space="0" w:color="auto"/>
            </w:tcBorders>
          </w:tcPr>
          <w:p w14:paraId="4F212217"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4525A106"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Information Licensing</w:t>
            </w:r>
          </w:p>
        </w:tc>
        <w:tc>
          <w:tcPr>
            <w:tcW w:w="2520" w:type="dxa"/>
            <w:tcBorders>
              <w:top w:val="single" w:sz="4" w:space="0" w:color="auto"/>
              <w:left w:val="single" w:sz="4" w:space="0" w:color="auto"/>
              <w:bottom w:val="single" w:sz="4" w:space="0" w:color="auto"/>
            </w:tcBorders>
            <w:shd w:val="clear" w:color="auto" w:fill="auto"/>
          </w:tcPr>
          <w:p w14:paraId="4F9F46C2" w14:textId="77777777" w:rsidR="007F34D8" w:rsidRPr="00BD77D8" w:rsidRDefault="007F34D8" w:rsidP="00A97F9F">
            <w:pPr>
              <w:tabs>
                <w:tab w:val="num" w:pos="1713"/>
              </w:tabs>
              <w:spacing w:before="100" w:after="100" w:line="240" w:lineRule="auto"/>
              <w:rPr>
                <w:i/>
                <w:sz w:val="16"/>
                <w:szCs w:val="16"/>
              </w:rPr>
            </w:pPr>
            <w:r w:rsidRPr="00BD77D8">
              <w:rPr>
                <w:i/>
                <w:sz w:val="16"/>
                <w:szCs w:val="16"/>
              </w:rPr>
              <w:t>QGEA – Information Licensing</w:t>
            </w:r>
          </w:p>
          <w:p w14:paraId="2C6A69AD"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9.5</w:t>
            </w:r>
          </w:p>
        </w:tc>
        <w:tc>
          <w:tcPr>
            <w:tcW w:w="1591" w:type="dxa"/>
            <w:tcBorders>
              <w:top w:val="single" w:sz="4" w:space="0" w:color="auto"/>
              <w:left w:val="single" w:sz="4" w:space="0" w:color="auto"/>
              <w:bottom w:val="single" w:sz="4" w:space="0" w:color="auto"/>
            </w:tcBorders>
            <w:shd w:val="clear" w:color="auto" w:fill="auto"/>
          </w:tcPr>
          <w:p w14:paraId="0964EC97" w14:textId="45DE58AB" w:rsidR="007F34D8" w:rsidRPr="00BD77D8" w:rsidRDefault="00795C19" w:rsidP="00A97F9F">
            <w:pPr>
              <w:tabs>
                <w:tab w:val="num" w:pos="1713"/>
              </w:tabs>
              <w:spacing w:before="100" w:after="100" w:line="240" w:lineRule="auto"/>
              <w:jc w:val="center"/>
              <w:rPr>
                <w:sz w:val="16"/>
                <w:szCs w:val="16"/>
              </w:rPr>
            </w:pPr>
            <w:r w:rsidRPr="00BD77D8">
              <w:rPr>
                <w:sz w:val="16"/>
                <w:szCs w:val="16"/>
              </w:rPr>
              <w:t>2</w:t>
            </w:r>
          </w:p>
        </w:tc>
      </w:tr>
      <w:tr w:rsidR="00BD77D8" w:rsidRPr="00BD77D8" w14:paraId="10E25E7E" w14:textId="77777777" w:rsidTr="00A97F9F">
        <w:trPr>
          <w:cantSplit/>
          <w:trHeight w:val="485"/>
        </w:trPr>
        <w:tc>
          <w:tcPr>
            <w:tcW w:w="1548" w:type="dxa"/>
            <w:tcBorders>
              <w:top w:val="single" w:sz="4" w:space="0" w:color="auto"/>
              <w:right w:val="single" w:sz="4" w:space="0" w:color="auto"/>
            </w:tcBorders>
          </w:tcPr>
          <w:p w14:paraId="2BAF80C0" w14:textId="77777777" w:rsidR="007F34D8" w:rsidRPr="00BD77D8" w:rsidRDefault="007F34D8" w:rsidP="00A97F9F">
            <w:pPr>
              <w:tabs>
                <w:tab w:val="num" w:pos="1713"/>
              </w:tabs>
              <w:spacing w:before="100" w:after="100" w:line="240" w:lineRule="auto"/>
              <w:rPr>
                <w:b/>
                <w:bCs/>
                <w:sz w:val="16"/>
                <w:szCs w:val="16"/>
              </w:rPr>
            </w:pPr>
            <w:r w:rsidRPr="00BD77D8">
              <w:rPr>
                <w:b/>
                <w:bCs/>
                <w:sz w:val="16"/>
                <w:szCs w:val="16"/>
              </w:rPr>
              <w:t>General information</w:t>
            </w:r>
          </w:p>
        </w:tc>
        <w:tc>
          <w:tcPr>
            <w:tcW w:w="4264" w:type="dxa"/>
            <w:tcBorders>
              <w:top w:val="single" w:sz="4" w:space="0" w:color="auto"/>
              <w:left w:val="single" w:sz="4" w:space="0" w:color="auto"/>
              <w:bottom w:val="single" w:sz="4" w:space="0" w:color="auto"/>
              <w:right w:val="single" w:sz="4" w:space="0" w:color="auto"/>
            </w:tcBorders>
          </w:tcPr>
          <w:p w14:paraId="06EB188D"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Introductory Information</w:t>
            </w:r>
          </w:p>
        </w:tc>
        <w:tc>
          <w:tcPr>
            <w:tcW w:w="2520" w:type="dxa"/>
            <w:tcBorders>
              <w:top w:val="single" w:sz="4" w:space="0" w:color="auto"/>
              <w:left w:val="single" w:sz="4" w:space="0" w:color="auto"/>
              <w:bottom w:val="single" w:sz="4" w:space="0" w:color="auto"/>
            </w:tcBorders>
            <w:shd w:val="clear" w:color="auto" w:fill="auto"/>
          </w:tcPr>
          <w:p w14:paraId="041981B0"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10</w:t>
            </w:r>
          </w:p>
        </w:tc>
        <w:tc>
          <w:tcPr>
            <w:tcW w:w="1591" w:type="dxa"/>
            <w:tcBorders>
              <w:top w:val="single" w:sz="4" w:space="0" w:color="auto"/>
              <w:left w:val="single" w:sz="4" w:space="0" w:color="auto"/>
              <w:bottom w:val="single" w:sz="4" w:space="0" w:color="auto"/>
            </w:tcBorders>
            <w:shd w:val="clear" w:color="auto" w:fill="auto"/>
          </w:tcPr>
          <w:p w14:paraId="6190F3B5" w14:textId="2F0D509D" w:rsidR="007F34D8" w:rsidRPr="00BD77D8" w:rsidRDefault="00795C19" w:rsidP="00A97F9F">
            <w:pPr>
              <w:tabs>
                <w:tab w:val="num" w:pos="1713"/>
              </w:tabs>
              <w:spacing w:before="100" w:after="100" w:line="240" w:lineRule="auto"/>
              <w:jc w:val="center"/>
              <w:rPr>
                <w:sz w:val="16"/>
                <w:szCs w:val="16"/>
              </w:rPr>
            </w:pPr>
            <w:r w:rsidRPr="00BD77D8">
              <w:rPr>
                <w:sz w:val="16"/>
                <w:szCs w:val="16"/>
              </w:rPr>
              <w:t>9-18</w:t>
            </w:r>
          </w:p>
        </w:tc>
      </w:tr>
      <w:tr w:rsidR="00BD77D8" w:rsidRPr="00BD77D8" w14:paraId="7CF3A98A" w14:textId="77777777" w:rsidTr="00A97F9F">
        <w:trPr>
          <w:cantSplit/>
        </w:trPr>
        <w:tc>
          <w:tcPr>
            <w:tcW w:w="1548" w:type="dxa"/>
            <w:vMerge w:val="restart"/>
            <w:tcBorders>
              <w:top w:val="single" w:sz="4" w:space="0" w:color="auto"/>
              <w:right w:val="single" w:sz="4" w:space="0" w:color="auto"/>
            </w:tcBorders>
          </w:tcPr>
          <w:p w14:paraId="574FC54A" w14:textId="77777777" w:rsidR="007F34D8" w:rsidRPr="00BD77D8" w:rsidRDefault="007F34D8" w:rsidP="00A97F9F">
            <w:pPr>
              <w:tabs>
                <w:tab w:val="num" w:pos="1713"/>
              </w:tabs>
              <w:spacing w:before="100" w:after="100" w:line="240" w:lineRule="auto"/>
              <w:rPr>
                <w:b/>
                <w:bCs/>
                <w:sz w:val="16"/>
                <w:szCs w:val="16"/>
              </w:rPr>
            </w:pPr>
            <w:r w:rsidRPr="00BD77D8">
              <w:rPr>
                <w:b/>
                <w:bCs/>
                <w:sz w:val="16"/>
                <w:szCs w:val="16"/>
              </w:rPr>
              <w:t>Non-financial performance</w:t>
            </w:r>
          </w:p>
        </w:tc>
        <w:tc>
          <w:tcPr>
            <w:tcW w:w="4264" w:type="dxa"/>
            <w:tcBorders>
              <w:top w:val="single" w:sz="4" w:space="0" w:color="auto"/>
              <w:left w:val="single" w:sz="4" w:space="0" w:color="auto"/>
              <w:bottom w:val="single" w:sz="4" w:space="0" w:color="auto"/>
              <w:right w:val="single" w:sz="4" w:space="0" w:color="auto"/>
            </w:tcBorders>
          </w:tcPr>
          <w:p w14:paraId="2A508698"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Government’s objectives for the community and whole-of-government plans/specific initiatives</w:t>
            </w:r>
          </w:p>
        </w:tc>
        <w:tc>
          <w:tcPr>
            <w:tcW w:w="2520" w:type="dxa"/>
            <w:tcBorders>
              <w:top w:val="single" w:sz="4" w:space="0" w:color="auto"/>
              <w:left w:val="single" w:sz="4" w:space="0" w:color="auto"/>
            </w:tcBorders>
            <w:shd w:val="clear" w:color="auto" w:fill="auto"/>
          </w:tcPr>
          <w:p w14:paraId="6E483F78"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11.1</w:t>
            </w:r>
          </w:p>
        </w:tc>
        <w:tc>
          <w:tcPr>
            <w:tcW w:w="1591" w:type="dxa"/>
            <w:tcBorders>
              <w:top w:val="single" w:sz="4" w:space="0" w:color="auto"/>
              <w:left w:val="single" w:sz="4" w:space="0" w:color="auto"/>
              <w:bottom w:val="single" w:sz="4" w:space="0" w:color="auto"/>
            </w:tcBorders>
            <w:shd w:val="clear" w:color="auto" w:fill="auto"/>
          </w:tcPr>
          <w:p w14:paraId="64B7DF05" w14:textId="18FF5705" w:rsidR="007F34D8" w:rsidRPr="00BD77D8" w:rsidRDefault="00795C19" w:rsidP="00795C19">
            <w:pPr>
              <w:tabs>
                <w:tab w:val="num" w:pos="1713"/>
              </w:tabs>
              <w:spacing w:before="100" w:after="100" w:line="240" w:lineRule="auto"/>
              <w:rPr>
                <w:sz w:val="16"/>
                <w:szCs w:val="16"/>
              </w:rPr>
            </w:pPr>
            <w:r w:rsidRPr="00BD77D8">
              <w:rPr>
                <w:sz w:val="16"/>
                <w:szCs w:val="16"/>
              </w:rPr>
              <w:t>7, 10, 12, 13, 14, 17, 19, 20, 23, 26, 29, 31, 32, 34, 35, 36, 37, 38, 39, 40, 45, 46, 48, 49, 54</w:t>
            </w:r>
          </w:p>
        </w:tc>
      </w:tr>
      <w:tr w:rsidR="00BD77D8" w:rsidRPr="00BD77D8" w14:paraId="3F6CF0D9" w14:textId="77777777" w:rsidTr="00A97F9F">
        <w:trPr>
          <w:cantSplit/>
        </w:trPr>
        <w:tc>
          <w:tcPr>
            <w:tcW w:w="1548" w:type="dxa"/>
            <w:vMerge/>
            <w:tcBorders>
              <w:right w:val="single" w:sz="4" w:space="0" w:color="auto"/>
            </w:tcBorders>
          </w:tcPr>
          <w:p w14:paraId="2ABC1476"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0C69BA21"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Agency objectives and performance indicators</w:t>
            </w:r>
          </w:p>
        </w:tc>
        <w:tc>
          <w:tcPr>
            <w:tcW w:w="2520" w:type="dxa"/>
            <w:tcBorders>
              <w:left w:val="single" w:sz="4" w:space="0" w:color="auto"/>
            </w:tcBorders>
            <w:shd w:val="clear" w:color="auto" w:fill="auto"/>
          </w:tcPr>
          <w:p w14:paraId="4F162D7F"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11.2</w:t>
            </w:r>
          </w:p>
        </w:tc>
        <w:tc>
          <w:tcPr>
            <w:tcW w:w="1591" w:type="dxa"/>
            <w:tcBorders>
              <w:top w:val="single" w:sz="4" w:space="0" w:color="auto"/>
              <w:left w:val="single" w:sz="4" w:space="0" w:color="auto"/>
              <w:bottom w:val="single" w:sz="4" w:space="0" w:color="auto"/>
            </w:tcBorders>
            <w:shd w:val="clear" w:color="auto" w:fill="auto"/>
          </w:tcPr>
          <w:p w14:paraId="20DC531B" w14:textId="71E98BB8" w:rsidR="007F34D8" w:rsidRPr="00BD77D8" w:rsidRDefault="008212C5" w:rsidP="00A97F9F">
            <w:pPr>
              <w:tabs>
                <w:tab w:val="num" w:pos="1713"/>
              </w:tabs>
              <w:spacing w:before="100" w:after="100" w:line="240" w:lineRule="auto"/>
              <w:jc w:val="center"/>
              <w:rPr>
                <w:sz w:val="16"/>
                <w:szCs w:val="16"/>
              </w:rPr>
            </w:pPr>
            <w:r w:rsidRPr="00BD77D8">
              <w:rPr>
                <w:sz w:val="16"/>
                <w:szCs w:val="16"/>
              </w:rPr>
              <w:t>10, 17-18</w:t>
            </w:r>
            <w:r w:rsidR="002E046D" w:rsidRPr="00BD77D8">
              <w:rPr>
                <w:sz w:val="16"/>
                <w:szCs w:val="16"/>
              </w:rPr>
              <w:t>, 23, 28, 44-45</w:t>
            </w:r>
          </w:p>
        </w:tc>
      </w:tr>
      <w:tr w:rsidR="00BD77D8" w:rsidRPr="00BD77D8" w14:paraId="7D3BB365" w14:textId="77777777" w:rsidTr="00A97F9F">
        <w:trPr>
          <w:cantSplit/>
        </w:trPr>
        <w:tc>
          <w:tcPr>
            <w:tcW w:w="1548" w:type="dxa"/>
            <w:vMerge/>
            <w:tcBorders>
              <w:bottom w:val="nil"/>
              <w:right w:val="single" w:sz="4" w:space="0" w:color="auto"/>
            </w:tcBorders>
          </w:tcPr>
          <w:p w14:paraId="51609DF5"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029893C7"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 xml:space="preserve">Agency service areas and service standards </w:t>
            </w:r>
          </w:p>
        </w:tc>
        <w:tc>
          <w:tcPr>
            <w:tcW w:w="2520" w:type="dxa"/>
            <w:tcBorders>
              <w:left w:val="single" w:sz="4" w:space="0" w:color="auto"/>
            </w:tcBorders>
            <w:shd w:val="clear" w:color="auto" w:fill="auto"/>
          </w:tcPr>
          <w:p w14:paraId="3269EF9E" w14:textId="77777777" w:rsidR="007F34D8" w:rsidRPr="00BD77D8" w:rsidRDefault="007F34D8" w:rsidP="00A97F9F">
            <w:pPr>
              <w:tabs>
                <w:tab w:val="num" w:pos="1713"/>
              </w:tabs>
              <w:spacing w:before="100" w:after="100" w:line="240" w:lineRule="auto"/>
              <w:rPr>
                <w:i/>
                <w:sz w:val="16"/>
                <w:szCs w:val="16"/>
              </w:rPr>
            </w:pPr>
            <w:r w:rsidRPr="00BD77D8">
              <w:rPr>
                <w:sz w:val="16"/>
                <w:szCs w:val="16"/>
              </w:rPr>
              <w:t>ARRs – section 11.3</w:t>
            </w:r>
          </w:p>
        </w:tc>
        <w:tc>
          <w:tcPr>
            <w:tcW w:w="1591" w:type="dxa"/>
            <w:tcBorders>
              <w:top w:val="single" w:sz="4" w:space="0" w:color="auto"/>
              <w:left w:val="single" w:sz="4" w:space="0" w:color="auto"/>
              <w:bottom w:val="single" w:sz="4" w:space="0" w:color="auto"/>
            </w:tcBorders>
            <w:shd w:val="clear" w:color="auto" w:fill="auto"/>
          </w:tcPr>
          <w:p w14:paraId="251A4E54" w14:textId="67DB07C4" w:rsidR="007F34D8" w:rsidRPr="00BD77D8" w:rsidRDefault="008212C5" w:rsidP="00A97F9F">
            <w:pPr>
              <w:tabs>
                <w:tab w:val="num" w:pos="1713"/>
              </w:tabs>
              <w:spacing w:before="100" w:after="100" w:line="240" w:lineRule="auto"/>
              <w:jc w:val="center"/>
              <w:rPr>
                <w:sz w:val="16"/>
                <w:szCs w:val="16"/>
              </w:rPr>
            </w:pPr>
            <w:r w:rsidRPr="00BD77D8">
              <w:rPr>
                <w:sz w:val="16"/>
                <w:szCs w:val="16"/>
              </w:rPr>
              <w:t>23, 28, 44-45</w:t>
            </w:r>
          </w:p>
        </w:tc>
      </w:tr>
      <w:tr w:rsidR="00BD77D8" w:rsidRPr="00BD77D8" w14:paraId="04BA0605" w14:textId="77777777" w:rsidTr="00A97F9F">
        <w:trPr>
          <w:cantSplit/>
        </w:trPr>
        <w:tc>
          <w:tcPr>
            <w:tcW w:w="1548" w:type="dxa"/>
            <w:tcBorders>
              <w:top w:val="single" w:sz="4" w:space="0" w:color="auto"/>
              <w:bottom w:val="single" w:sz="4" w:space="0" w:color="auto"/>
              <w:right w:val="single" w:sz="4" w:space="0" w:color="auto"/>
            </w:tcBorders>
          </w:tcPr>
          <w:p w14:paraId="765E2372" w14:textId="77777777" w:rsidR="007F34D8" w:rsidRPr="00BD77D8" w:rsidRDefault="007F34D8" w:rsidP="00A97F9F">
            <w:pPr>
              <w:tabs>
                <w:tab w:val="num" w:pos="1713"/>
              </w:tabs>
              <w:spacing w:before="100" w:after="100" w:line="240" w:lineRule="auto"/>
              <w:rPr>
                <w:b/>
                <w:bCs/>
                <w:sz w:val="16"/>
                <w:szCs w:val="16"/>
              </w:rPr>
            </w:pPr>
            <w:r w:rsidRPr="00BD77D8">
              <w:rPr>
                <w:b/>
                <w:bCs/>
                <w:sz w:val="16"/>
                <w:szCs w:val="16"/>
              </w:rPr>
              <w:t>Financial performance</w:t>
            </w:r>
          </w:p>
        </w:tc>
        <w:tc>
          <w:tcPr>
            <w:tcW w:w="4264" w:type="dxa"/>
            <w:tcBorders>
              <w:top w:val="single" w:sz="4" w:space="0" w:color="auto"/>
              <w:left w:val="single" w:sz="4" w:space="0" w:color="auto"/>
              <w:bottom w:val="single" w:sz="4" w:space="0" w:color="auto"/>
              <w:right w:val="single" w:sz="4" w:space="0" w:color="auto"/>
            </w:tcBorders>
          </w:tcPr>
          <w:p w14:paraId="1482D310"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Summary of financial performance</w:t>
            </w:r>
          </w:p>
        </w:tc>
        <w:tc>
          <w:tcPr>
            <w:tcW w:w="2520" w:type="dxa"/>
            <w:tcBorders>
              <w:top w:val="single" w:sz="4" w:space="0" w:color="auto"/>
              <w:left w:val="single" w:sz="4" w:space="0" w:color="auto"/>
              <w:bottom w:val="single" w:sz="4" w:space="0" w:color="auto"/>
            </w:tcBorders>
            <w:shd w:val="clear" w:color="auto" w:fill="auto"/>
          </w:tcPr>
          <w:p w14:paraId="79E7D005"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12.1</w:t>
            </w:r>
          </w:p>
        </w:tc>
        <w:tc>
          <w:tcPr>
            <w:tcW w:w="1591" w:type="dxa"/>
            <w:tcBorders>
              <w:top w:val="single" w:sz="4" w:space="0" w:color="auto"/>
              <w:left w:val="single" w:sz="4" w:space="0" w:color="auto"/>
              <w:bottom w:val="single" w:sz="4" w:space="0" w:color="auto"/>
            </w:tcBorders>
            <w:shd w:val="clear" w:color="auto" w:fill="auto"/>
          </w:tcPr>
          <w:p w14:paraId="4D244D65" w14:textId="7AC22E60" w:rsidR="007F34D8" w:rsidRPr="00BD77D8" w:rsidRDefault="008212C5" w:rsidP="00A97F9F">
            <w:pPr>
              <w:tabs>
                <w:tab w:val="num" w:pos="1713"/>
              </w:tabs>
              <w:spacing w:before="100" w:after="100" w:line="240" w:lineRule="auto"/>
              <w:jc w:val="center"/>
              <w:rPr>
                <w:sz w:val="16"/>
                <w:szCs w:val="16"/>
              </w:rPr>
            </w:pPr>
            <w:r w:rsidRPr="00BD77D8">
              <w:rPr>
                <w:sz w:val="16"/>
                <w:szCs w:val="16"/>
              </w:rPr>
              <w:t>58-59</w:t>
            </w:r>
          </w:p>
        </w:tc>
      </w:tr>
      <w:tr w:rsidR="00BD77D8" w:rsidRPr="00BD77D8" w14:paraId="5E6EED16" w14:textId="77777777" w:rsidTr="00A97F9F">
        <w:trPr>
          <w:cantSplit/>
        </w:trPr>
        <w:tc>
          <w:tcPr>
            <w:tcW w:w="1548" w:type="dxa"/>
            <w:vMerge w:val="restart"/>
            <w:tcBorders>
              <w:top w:val="single" w:sz="4" w:space="0" w:color="auto"/>
              <w:bottom w:val="single" w:sz="4" w:space="0" w:color="auto"/>
              <w:right w:val="single" w:sz="4" w:space="0" w:color="auto"/>
            </w:tcBorders>
          </w:tcPr>
          <w:p w14:paraId="6F8597A0" w14:textId="77777777" w:rsidR="007F34D8" w:rsidRPr="00BD77D8" w:rsidRDefault="007F34D8" w:rsidP="00A97F9F">
            <w:pPr>
              <w:tabs>
                <w:tab w:val="num" w:pos="1713"/>
              </w:tabs>
              <w:spacing w:before="100" w:after="100" w:line="240" w:lineRule="auto"/>
              <w:rPr>
                <w:b/>
                <w:bCs/>
                <w:sz w:val="16"/>
                <w:szCs w:val="16"/>
              </w:rPr>
            </w:pPr>
            <w:r w:rsidRPr="00BD77D8">
              <w:rPr>
                <w:b/>
                <w:bCs/>
                <w:sz w:val="16"/>
                <w:szCs w:val="16"/>
              </w:rPr>
              <w:t>Governance – management and structure</w:t>
            </w:r>
          </w:p>
        </w:tc>
        <w:tc>
          <w:tcPr>
            <w:tcW w:w="4264" w:type="dxa"/>
            <w:tcBorders>
              <w:top w:val="single" w:sz="4" w:space="0" w:color="auto"/>
              <w:left w:val="single" w:sz="4" w:space="0" w:color="auto"/>
              <w:bottom w:val="single" w:sz="4" w:space="0" w:color="auto"/>
              <w:right w:val="single" w:sz="4" w:space="0" w:color="auto"/>
            </w:tcBorders>
          </w:tcPr>
          <w:p w14:paraId="7316BC99"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 xml:space="preserve">Organisational structure </w:t>
            </w:r>
          </w:p>
        </w:tc>
        <w:tc>
          <w:tcPr>
            <w:tcW w:w="2520" w:type="dxa"/>
            <w:tcBorders>
              <w:top w:val="single" w:sz="4" w:space="0" w:color="auto"/>
              <w:left w:val="single" w:sz="4" w:space="0" w:color="auto"/>
              <w:bottom w:val="single" w:sz="4" w:space="0" w:color="auto"/>
            </w:tcBorders>
            <w:shd w:val="clear" w:color="auto" w:fill="auto"/>
          </w:tcPr>
          <w:p w14:paraId="4A4E33F1"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13.1</w:t>
            </w:r>
          </w:p>
        </w:tc>
        <w:tc>
          <w:tcPr>
            <w:tcW w:w="1591" w:type="dxa"/>
            <w:tcBorders>
              <w:top w:val="single" w:sz="4" w:space="0" w:color="auto"/>
              <w:left w:val="single" w:sz="4" w:space="0" w:color="auto"/>
              <w:bottom w:val="single" w:sz="4" w:space="0" w:color="auto"/>
            </w:tcBorders>
            <w:shd w:val="clear" w:color="auto" w:fill="auto"/>
          </w:tcPr>
          <w:p w14:paraId="352B6FDB" w14:textId="157CE1E0" w:rsidR="007F34D8" w:rsidRPr="00BD77D8" w:rsidRDefault="008212C5" w:rsidP="00A97F9F">
            <w:pPr>
              <w:tabs>
                <w:tab w:val="num" w:pos="1713"/>
              </w:tabs>
              <w:spacing w:before="100" w:after="100" w:line="240" w:lineRule="auto"/>
              <w:jc w:val="center"/>
              <w:rPr>
                <w:sz w:val="16"/>
                <w:szCs w:val="16"/>
              </w:rPr>
            </w:pPr>
            <w:r w:rsidRPr="00BD77D8">
              <w:rPr>
                <w:sz w:val="16"/>
                <w:szCs w:val="16"/>
              </w:rPr>
              <w:t>11</w:t>
            </w:r>
          </w:p>
        </w:tc>
      </w:tr>
      <w:tr w:rsidR="00BD77D8" w:rsidRPr="00BD77D8" w14:paraId="47FE020C" w14:textId="77777777" w:rsidTr="00A97F9F">
        <w:trPr>
          <w:cantSplit/>
        </w:trPr>
        <w:tc>
          <w:tcPr>
            <w:tcW w:w="1548" w:type="dxa"/>
            <w:vMerge/>
            <w:tcBorders>
              <w:top w:val="single" w:sz="4" w:space="0" w:color="auto"/>
              <w:bottom w:val="single" w:sz="4" w:space="0" w:color="auto"/>
              <w:right w:val="single" w:sz="4" w:space="0" w:color="auto"/>
            </w:tcBorders>
          </w:tcPr>
          <w:p w14:paraId="608A5E99"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375C0C38"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Executive management</w:t>
            </w:r>
          </w:p>
        </w:tc>
        <w:tc>
          <w:tcPr>
            <w:tcW w:w="2520" w:type="dxa"/>
            <w:tcBorders>
              <w:top w:val="single" w:sz="4" w:space="0" w:color="auto"/>
              <w:left w:val="single" w:sz="4" w:space="0" w:color="auto"/>
              <w:bottom w:val="single" w:sz="4" w:space="0" w:color="auto"/>
            </w:tcBorders>
            <w:shd w:val="clear" w:color="auto" w:fill="auto"/>
          </w:tcPr>
          <w:p w14:paraId="614D84C0"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13.2</w:t>
            </w:r>
          </w:p>
        </w:tc>
        <w:tc>
          <w:tcPr>
            <w:tcW w:w="1591" w:type="dxa"/>
            <w:tcBorders>
              <w:top w:val="single" w:sz="4" w:space="0" w:color="auto"/>
              <w:left w:val="single" w:sz="4" w:space="0" w:color="auto"/>
              <w:bottom w:val="single" w:sz="4" w:space="0" w:color="auto"/>
            </w:tcBorders>
            <w:shd w:val="clear" w:color="auto" w:fill="auto"/>
          </w:tcPr>
          <w:p w14:paraId="75EAB3BB" w14:textId="12C86CF1" w:rsidR="007F34D8" w:rsidRPr="00BD77D8" w:rsidRDefault="008212C5" w:rsidP="00A97F9F">
            <w:pPr>
              <w:tabs>
                <w:tab w:val="num" w:pos="1713"/>
              </w:tabs>
              <w:spacing w:before="100" w:after="100" w:line="240" w:lineRule="auto"/>
              <w:jc w:val="center"/>
              <w:rPr>
                <w:sz w:val="16"/>
                <w:szCs w:val="16"/>
              </w:rPr>
            </w:pPr>
            <w:r w:rsidRPr="00BD77D8">
              <w:rPr>
                <w:sz w:val="16"/>
                <w:szCs w:val="16"/>
              </w:rPr>
              <w:t>12-15</w:t>
            </w:r>
          </w:p>
        </w:tc>
      </w:tr>
      <w:tr w:rsidR="00BD77D8" w:rsidRPr="00BD77D8" w14:paraId="6E0CCF67" w14:textId="77777777" w:rsidTr="00A97F9F">
        <w:trPr>
          <w:cantSplit/>
        </w:trPr>
        <w:tc>
          <w:tcPr>
            <w:tcW w:w="1548" w:type="dxa"/>
            <w:vMerge/>
            <w:tcBorders>
              <w:top w:val="single" w:sz="4" w:space="0" w:color="auto"/>
              <w:bottom w:val="single" w:sz="4" w:space="0" w:color="auto"/>
              <w:right w:val="single" w:sz="4" w:space="0" w:color="auto"/>
            </w:tcBorders>
          </w:tcPr>
          <w:p w14:paraId="76A15C99"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276A5C69"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Government bodies (statutory bodies and other entities)</w:t>
            </w:r>
          </w:p>
        </w:tc>
        <w:tc>
          <w:tcPr>
            <w:tcW w:w="2520" w:type="dxa"/>
            <w:tcBorders>
              <w:top w:val="single" w:sz="4" w:space="0" w:color="auto"/>
              <w:left w:val="single" w:sz="4" w:space="0" w:color="auto"/>
              <w:bottom w:val="single" w:sz="4" w:space="0" w:color="auto"/>
            </w:tcBorders>
            <w:shd w:val="clear" w:color="auto" w:fill="auto"/>
          </w:tcPr>
          <w:p w14:paraId="3667E151"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13.3</w:t>
            </w:r>
          </w:p>
        </w:tc>
        <w:tc>
          <w:tcPr>
            <w:tcW w:w="1591" w:type="dxa"/>
            <w:tcBorders>
              <w:top w:val="single" w:sz="4" w:space="0" w:color="auto"/>
              <w:left w:val="single" w:sz="4" w:space="0" w:color="auto"/>
              <w:bottom w:val="single" w:sz="4" w:space="0" w:color="auto"/>
            </w:tcBorders>
            <w:shd w:val="clear" w:color="auto" w:fill="auto"/>
          </w:tcPr>
          <w:p w14:paraId="4A3BAA9B" w14:textId="0D39C387" w:rsidR="007F34D8" w:rsidRPr="00BD77D8" w:rsidRDefault="008212C5" w:rsidP="00A97F9F">
            <w:pPr>
              <w:tabs>
                <w:tab w:val="num" w:pos="1713"/>
              </w:tabs>
              <w:spacing w:before="100" w:after="100" w:line="240" w:lineRule="auto"/>
              <w:jc w:val="center"/>
              <w:rPr>
                <w:sz w:val="16"/>
                <w:szCs w:val="16"/>
              </w:rPr>
            </w:pPr>
            <w:r w:rsidRPr="00BD77D8">
              <w:rPr>
                <w:sz w:val="16"/>
                <w:szCs w:val="16"/>
              </w:rPr>
              <w:t xml:space="preserve">16, </w:t>
            </w:r>
            <w:r w:rsidR="005A0DAC" w:rsidRPr="00BD77D8">
              <w:rPr>
                <w:sz w:val="16"/>
                <w:szCs w:val="16"/>
              </w:rPr>
              <w:t>72-8</w:t>
            </w:r>
            <w:r w:rsidR="002E046D" w:rsidRPr="00BD77D8">
              <w:rPr>
                <w:sz w:val="16"/>
                <w:szCs w:val="16"/>
              </w:rPr>
              <w:t>0</w:t>
            </w:r>
          </w:p>
        </w:tc>
      </w:tr>
      <w:tr w:rsidR="00BD77D8" w:rsidRPr="00BD77D8" w14:paraId="0F17FE27" w14:textId="77777777" w:rsidTr="00A97F9F">
        <w:trPr>
          <w:cantSplit/>
        </w:trPr>
        <w:tc>
          <w:tcPr>
            <w:tcW w:w="1548" w:type="dxa"/>
            <w:vMerge/>
            <w:tcBorders>
              <w:top w:val="single" w:sz="4" w:space="0" w:color="auto"/>
              <w:bottom w:val="single" w:sz="4" w:space="0" w:color="auto"/>
              <w:right w:val="single" w:sz="4" w:space="0" w:color="auto"/>
            </w:tcBorders>
          </w:tcPr>
          <w:p w14:paraId="7C7D8D1D"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779B848C"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Public Sector Ethics</w:t>
            </w:r>
            <w:r w:rsidRPr="00BD77D8">
              <w:rPr>
                <w:b/>
                <w:i/>
                <w:sz w:val="16"/>
                <w:szCs w:val="16"/>
              </w:rPr>
              <w:t xml:space="preserve"> </w:t>
            </w:r>
          </w:p>
        </w:tc>
        <w:tc>
          <w:tcPr>
            <w:tcW w:w="2520" w:type="dxa"/>
            <w:tcBorders>
              <w:top w:val="single" w:sz="4" w:space="0" w:color="auto"/>
              <w:left w:val="single" w:sz="4" w:space="0" w:color="auto"/>
              <w:bottom w:val="single" w:sz="4" w:space="0" w:color="auto"/>
            </w:tcBorders>
            <w:shd w:val="clear" w:color="auto" w:fill="auto"/>
          </w:tcPr>
          <w:p w14:paraId="2438E82C" w14:textId="77777777" w:rsidR="007F34D8" w:rsidRPr="00BD77D8" w:rsidRDefault="007F34D8" w:rsidP="00A97F9F">
            <w:pPr>
              <w:tabs>
                <w:tab w:val="num" w:pos="1713"/>
              </w:tabs>
              <w:spacing w:before="100" w:after="100" w:line="240" w:lineRule="auto"/>
              <w:rPr>
                <w:i/>
                <w:sz w:val="16"/>
                <w:szCs w:val="16"/>
              </w:rPr>
            </w:pPr>
            <w:r w:rsidRPr="00BD77D8">
              <w:rPr>
                <w:i/>
                <w:sz w:val="16"/>
                <w:szCs w:val="16"/>
              </w:rPr>
              <w:t>Public Sector Ethics Act 1994</w:t>
            </w:r>
          </w:p>
          <w:p w14:paraId="362F9675"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13.4</w:t>
            </w:r>
          </w:p>
        </w:tc>
        <w:tc>
          <w:tcPr>
            <w:tcW w:w="1591" w:type="dxa"/>
            <w:tcBorders>
              <w:top w:val="single" w:sz="4" w:space="0" w:color="auto"/>
              <w:left w:val="single" w:sz="4" w:space="0" w:color="auto"/>
              <w:bottom w:val="single" w:sz="4" w:space="0" w:color="auto"/>
            </w:tcBorders>
            <w:shd w:val="clear" w:color="auto" w:fill="auto"/>
          </w:tcPr>
          <w:p w14:paraId="5AABE25D" w14:textId="5854A770" w:rsidR="007F34D8" w:rsidRPr="00BD77D8" w:rsidRDefault="008212C5" w:rsidP="00A97F9F">
            <w:pPr>
              <w:tabs>
                <w:tab w:val="num" w:pos="1713"/>
              </w:tabs>
              <w:spacing w:before="100" w:after="100" w:line="240" w:lineRule="auto"/>
              <w:jc w:val="center"/>
              <w:rPr>
                <w:sz w:val="16"/>
                <w:szCs w:val="16"/>
              </w:rPr>
            </w:pPr>
            <w:r w:rsidRPr="00BD77D8">
              <w:rPr>
                <w:sz w:val="16"/>
                <w:szCs w:val="16"/>
              </w:rPr>
              <w:t>52</w:t>
            </w:r>
          </w:p>
        </w:tc>
      </w:tr>
      <w:tr w:rsidR="00BD77D8" w:rsidRPr="00BD77D8" w14:paraId="02EED97F" w14:textId="77777777" w:rsidTr="00A97F9F">
        <w:trPr>
          <w:cantSplit/>
        </w:trPr>
        <w:tc>
          <w:tcPr>
            <w:tcW w:w="1548" w:type="dxa"/>
            <w:vMerge/>
            <w:tcBorders>
              <w:top w:val="single" w:sz="4" w:space="0" w:color="auto"/>
              <w:bottom w:val="single" w:sz="4" w:space="0" w:color="auto"/>
              <w:right w:val="single" w:sz="4" w:space="0" w:color="auto"/>
            </w:tcBorders>
          </w:tcPr>
          <w:p w14:paraId="267DD504"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4461D2CB"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 xml:space="preserve">Human Rights </w:t>
            </w:r>
          </w:p>
        </w:tc>
        <w:tc>
          <w:tcPr>
            <w:tcW w:w="2520" w:type="dxa"/>
            <w:tcBorders>
              <w:top w:val="single" w:sz="4" w:space="0" w:color="auto"/>
              <w:left w:val="single" w:sz="4" w:space="0" w:color="auto"/>
              <w:bottom w:val="single" w:sz="4" w:space="0" w:color="auto"/>
            </w:tcBorders>
            <w:shd w:val="clear" w:color="auto" w:fill="auto"/>
          </w:tcPr>
          <w:p w14:paraId="77E09580" w14:textId="77777777" w:rsidR="007F34D8" w:rsidRPr="00BD77D8" w:rsidRDefault="007F34D8" w:rsidP="00A97F9F">
            <w:pPr>
              <w:tabs>
                <w:tab w:val="num" w:pos="1713"/>
              </w:tabs>
              <w:spacing w:before="100" w:after="100" w:line="240" w:lineRule="auto"/>
              <w:rPr>
                <w:i/>
                <w:sz w:val="16"/>
                <w:szCs w:val="16"/>
              </w:rPr>
            </w:pPr>
            <w:r w:rsidRPr="00BD77D8">
              <w:rPr>
                <w:i/>
                <w:sz w:val="16"/>
                <w:szCs w:val="16"/>
              </w:rPr>
              <w:t>Human Rights Act 2019</w:t>
            </w:r>
          </w:p>
          <w:p w14:paraId="7DD454F2"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13.5</w:t>
            </w:r>
          </w:p>
        </w:tc>
        <w:tc>
          <w:tcPr>
            <w:tcW w:w="1591" w:type="dxa"/>
            <w:tcBorders>
              <w:top w:val="single" w:sz="4" w:space="0" w:color="auto"/>
              <w:left w:val="single" w:sz="4" w:space="0" w:color="auto"/>
              <w:bottom w:val="single" w:sz="4" w:space="0" w:color="auto"/>
            </w:tcBorders>
            <w:shd w:val="clear" w:color="auto" w:fill="auto"/>
          </w:tcPr>
          <w:p w14:paraId="55CBB515" w14:textId="4CF856EA" w:rsidR="007F34D8" w:rsidRPr="00BD77D8" w:rsidRDefault="008212C5" w:rsidP="00A97F9F">
            <w:pPr>
              <w:tabs>
                <w:tab w:val="num" w:pos="1713"/>
              </w:tabs>
              <w:spacing w:before="100" w:after="100" w:line="240" w:lineRule="auto"/>
              <w:jc w:val="center"/>
              <w:rPr>
                <w:sz w:val="16"/>
                <w:szCs w:val="16"/>
              </w:rPr>
            </w:pPr>
            <w:r w:rsidRPr="00BD77D8">
              <w:rPr>
                <w:sz w:val="16"/>
                <w:szCs w:val="16"/>
              </w:rPr>
              <w:t>52-5</w:t>
            </w:r>
            <w:r w:rsidR="005E1AAE" w:rsidRPr="00BD77D8">
              <w:rPr>
                <w:sz w:val="16"/>
                <w:szCs w:val="16"/>
              </w:rPr>
              <w:t>5</w:t>
            </w:r>
          </w:p>
        </w:tc>
      </w:tr>
      <w:tr w:rsidR="00BD77D8" w:rsidRPr="00BD77D8" w14:paraId="67288B48" w14:textId="77777777" w:rsidTr="00A97F9F">
        <w:trPr>
          <w:cantSplit/>
        </w:trPr>
        <w:tc>
          <w:tcPr>
            <w:tcW w:w="1548" w:type="dxa"/>
            <w:vMerge/>
            <w:tcBorders>
              <w:top w:val="single" w:sz="4" w:space="0" w:color="auto"/>
              <w:bottom w:val="single" w:sz="4" w:space="0" w:color="auto"/>
              <w:right w:val="single" w:sz="4" w:space="0" w:color="auto"/>
            </w:tcBorders>
          </w:tcPr>
          <w:p w14:paraId="201AA213"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38C86A94" w14:textId="77777777" w:rsidR="007F34D8" w:rsidRPr="00BD77D8" w:rsidRDefault="007F34D8" w:rsidP="00A463E0">
            <w:pPr>
              <w:numPr>
                <w:ilvl w:val="0"/>
                <w:numId w:val="28"/>
              </w:numPr>
              <w:tabs>
                <w:tab w:val="clear" w:pos="360"/>
                <w:tab w:val="num" w:pos="252"/>
              </w:tabs>
              <w:spacing w:before="100" w:after="100" w:line="240" w:lineRule="auto"/>
              <w:ind w:left="252" w:hanging="252"/>
              <w:rPr>
                <w:b/>
                <w:i/>
                <w:sz w:val="16"/>
                <w:szCs w:val="16"/>
              </w:rPr>
            </w:pPr>
            <w:r w:rsidRPr="00BD77D8">
              <w:rPr>
                <w:b/>
                <w:sz w:val="16"/>
                <w:szCs w:val="16"/>
              </w:rPr>
              <w:t>Queensland public service values</w:t>
            </w:r>
          </w:p>
        </w:tc>
        <w:tc>
          <w:tcPr>
            <w:tcW w:w="2520" w:type="dxa"/>
            <w:tcBorders>
              <w:top w:val="single" w:sz="4" w:space="0" w:color="auto"/>
              <w:left w:val="single" w:sz="4" w:space="0" w:color="auto"/>
              <w:bottom w:val="single" w:sz="4" w:space="0" w:color="auto"/>
            </w:tcBorders>
            <w:shd w:val="clear" w:color="auto" w:fill="auto"/>
          </w:tcPr>
          <w:p w14:paraId="7BAD78AB" w14:textId="77777777" w:rsidR="007F34D8" w:rsidRPr="00BD77D8" w:rsidRDefault="007F34D8" w:rsidP="00A97F9F">
            <w:pPr>
              <w:tabs>
                <w:tab w:val="num" w:pos="1713"/>
              </w:tabs>
              <w:spacing w:before="100" w:after="100" w:line="240" w:lineRule="auto"/>
              <w:rPr>
                <w:i/>
                <w:sz w:val="16"/>
                <w:szCs w:val="16"/>
              </w:rPr>
            </w:pPr>
            <w:r w:rsidRPr="00BD77D8">
              <w:rPr>
                <w:sz w:val="16"/>
                <w:szCs w:val="16"/>
              </w:rPr>
              <w:t>ARRs – section 13.6</w:t>
            </w:r>
          </w:p>
        </w:tc>
        <w:tc>
          <w:tcPr>
            <w:tcW w:w="1591" w:type="dxa"/>
            <w:tcBorders>
              <w:top w:val="single" w:sz="4" w:space="0" w:color="auto"/>
              <w:left w:val="single" w:sz="4" w:space="0" w:color="auto"/>
              <w:bottom w:val="single" w:sz="4" w:space="0" w:color="auto"/>
            </w:tcBorders>
            <w:shd w:val="clear" w:color="auto" w:fill="auto"/>
          </w:tcPr>
          <w:p w14:paraId="48FB2E35" w14:textId="75E94299" w:rsidR="007F34D8" w:rsidRPr="00BD77D8" w:rsidRDefault="008212C5" w:rsidP="00A97F9F">
            <w:pPr>
              <w:tabs>
                <w:tab w:val="num" w:pos="1713"/>
              </w:tabs>
              <w:spacing w:before="100" w:after="100" w:line="240" w:lineRule="auto"/>
              <w:jc w:val="center"/>
              <w:rPr>
                <w:sz w:val="16"/>
                <w:szCs w:val="16"/>
              </w:rPr>
            </w:pPr>
            <w:r w:rsidRPr="00BD77D8">
              <w:rPr>
                <w:sz w:val="16"/>
                <w:szCs w:val="16"/>
              </w:rPr>
              <w:t>9-10</w:t>
            </w:r>
          </w:p>
        </w:tc>
      </w:tr>
      <w:tr w:rsidR="00BD77D8" w:rsidRPr="00BD77D8" w14:paraId="694CA37F" w14:textId="77777777" w:rsidTr="00A97F9F">
        <w:trPr>
          <w:cantSplit/>
        </w:trPr>
        <w:tc>
          <w:tcPr>
            <w:tcW w:w="1548" w:type="dxa"/>
            <w:vMerge w:val="restart"/>
            <w:tcBorders>
              <w:top w:val="single" w:sz="4" w:space="0" w:color="auto"/>
              <w:right w:val="single" w:sz="4" w:space="0" w:color="auto"/>
            </w:tcBorders>
          </w:tcPr>
          <w:p w14:paraId="197435CE" w14:textId="77777777" w:rsidR="007F34D8" w:rsidRPr="00BD77D8" w:rsidRDefault="007F34D8" w:rsidP="00A97F9F">
            <w:pPr>
              <w:tabs>
                <w:tab w:val="num" w:pos="1713"/>
              </w:tabs>
              <w:spacing w:before="100" w:after="100" w:line="240" w:lineRule="auto"/>
              <w:rPr>
                <w:b/>
                <w:bCs/>
                <w:sz w:val="16"/>
                <w:szCs w:val="16"/>
              </w:rPr>
            </w:pPr>
            <w:r w:rsidRPr="00BD77D8">
              <w:rPr>
                <w:b/>
                <w:bCs/>
                <w:sz w:val="16"/>
                <w:szCs w:val="16"/>
              </w:rPr>
              <w:t>Governance – risk management and accountability</w:t>
            </w:r>
          </w:p>
        </w:tc>
        <w:tc>
          <w:tcPr>
            <w:tcW w:w="4264" w:type="dxa"/>
            <w:tcBorders>
              <w:top w:val="nil"/>
              <w:left w:val="single" w:sz="4" w:space="0" w:color="auto"/>
              <w:bottom w:val="single" w:sz="4" w:space="0" w:color="auto"/>
              <w:right w:val="single" w:sz="4" w:space="0" w:color="auto"/>
            </w:tcBorders>
          </w:tcPr>
          <w:p w14:paraId="1A40E1DA"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Risk management</w:t>
            </w:r>
          </w:p>
        </w:tc>
        <w:tc>
          <w:tcPr>
            <w:tcW w:w="2520" w:type="dxa"/>
            <w:tcBorders>
              <w:top w:val="nil"/>
              <w:left w:val="single" w:sz="4" w:space="0" w:color="auto"/>
              <w:bottom w:val="single" w:sz="4" w:space="0" w:color="auto"/>
            </w:tcBorders>
            <w:shd w:val="clear" w:color="auto" w:fill="auto"/>
          </w:tcPr>
          <w:p w14:paraId="46251CA5" w14:textId="77777777" w:rsidR="007F34D8" w:rsidRPr="00BD77D8" w:rsidRDefault="007F34D8" w:rsidP="00A97F9F">
            <w:pPr>
              <w:tabs>
                <w:tab w:val="num" w:pos="1713"/>
                <w:tab w:val="right" w:pos="2304"/>
              </w:tabs>
              <w:spacing w:before="100" w:after="100" w:line="240" w:lineRule="auto"/>
              <w:rPr>
                <w:sz w:val="16"/>
                <w:szCs w:val="16"/>
              </w:rPr>
            </w:pPr>
            <w:r w:rsidRPr="00BD77D8">
              <w:rPr>
                <w:sz w:val="16"/>
                <w:szCs w:val="16"/>
              </w:rPr>
              <w:t>ARRs – section 14.1</w:t>
            </w:r>
          </w:p>
        </w:tc>
        <w:tc>
          <w:tcPr>
            <w:tcW w:w="1591" w:type="dxa"/>
            <w:tcBorders>
              <w:top w:val="nil"/>
              <w:left w:val="single" w:sz="4" w:space="0" w:color="auto"/>
              <w:bottom w:val="single" w:sz="4" w:space="0" w:color="auto"/>
            </w:tcBorders>
            <w:shd w:val="clear" w:color="auto" w:fill="auto"/>
          </w:tcPr>
          <w:p w14:paraId="18C8C57A" w14:textId="532E0863" w:rsidR="007F34D8" w:rsidRPr="00BD77D8" w:rsidRDefault="008212C5" w:rsidP="00A97F9F">
            <w:pPr>
              <w:tabs>
                <w:tab w:val="num" w:pos="1713"/>
              </w:tabs>
              <w:spacing w:before="100" w:after="100" w:line="240" w:lineRule="auto"/>
              <w:jc w:val="center"/>
              <w:rPr>
                <w:sz w:val="16"/>
                <w:szCs w:val="16"/>
              </w:rPr>
            </w:pPr>
            <w:r w:rsidRPr="00BD77D8">
              <w:rPr>
                <w:sz w:val="16"/>
                <w:szCs w:val="16"/>
              </w:rPr>
              <w:t>55</w:t>
            </w:r>
          </w:p>
        </w:tc>
      </w:tr>
      <w:tr w:rsidR="00BD77D8" w:rsidRPr="00BD77D8" w14:paraId="40514E84" w14:textId="77777777" w:rsidTr="00A97F9F">
        <w:trPr>
          <w:cantSplit/>
        </w:trPr>
        <w:tc>
          <w:tcPr>
            <w:tcW w:w="1548" w:type="dxa"/>
            <w:vMerge/>
            <w:tcBorders>
              <w:right w:val="single" w:sz="4" w:space="0" w:color="auto"/>
            </w:tcBorders>
          </w:tcPr>
          <w:p w14:paraId="3C293899"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146D09EB"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Audit committee</w:t>
            </w:r>
          </w:p>
        </w:tc>
        <w:tc>
          <w:tcPr>
            <w:tcW w:w="2520" w:type="dxa"/>
            <w:tcBorders>
              <w:top w:val="single" w:sz="4" w:space="0" w:color="auto"/>
              <w:left w:val="single" w:sz="4" w:space="0" w:color="auto"/>
              <w:bottom w:val="single" w:sz="4" w:space="0" w:color="auto"/>
            </w:tcBorders>
            <w:shd w:val="clear" w:color="auto" w:fill="auto"/>
          </w:tcPr>
          <w:p w14:paraId="36224906"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14.2</w:t>
            </w:r>
          </w:p>
        </w:tc>
        <w:tc>
          <w:tcPr>
            <w:tcW w:w="1591" w:type="dxa"/>
            <w:tcBorders>
              <w:top w:val="single" w:sz="4" w:space="0" w:color="auto"/>
              <w:left w:val="single" w:sz="4" w:space="0" w:color="auto"/>
              <w:bottom w:val="single" w:sz="4" w:space="0" w:color="auto"/>
            </w:tcBorders>
            <w:shd w:val="clear" w:color="auto" w:fill="auto"/>
          </w:tcPr>
          <w:p w14:paraId="5C583E0D" w14:textId="783D9803" w:rsidR="007F34D8" w:rsidRPr="00BD77D8" w:rsidRDefault="008212C5" w:rsidP="00A97F9F">
            <w:pPr>
              <w:tabs>
                <w:tab w:val="num" w:pos="1713"/>
              </w:tabs>
              <w:spacing w:before="100" w:after="100" w:line="240" w:lineRule="auto"/>
              <w:jc w:val="center"/>
              <w:rPr>
                <w:sz w:val="16"/>
                <w:szCs w:val="16"/>
              </w:rPr>
            </w:pPr>
            <w:r w:rsidRPr="00BD77D8">
              <w:rPr>
                <w:sz w:val="16"/>
                <w:szCs w:val="16"/>
              </w:rPr>
              <w:t>68</w:t>
            </w:r>
            <w:r w:rsidR="00350A84" w:rsidRPr="00BD77D8">
              <w:rPr>
                <w:sz w:val="16"/>
                <w:szCs w:val="16"/>
              </w:rPr>
              <w:t>-69</w:t>
            </w:r>
          </w:p>
        </w:tc>
      </w:tr>
      <w:tr w:rsidR="00BD77D8" w:rsidRPr="00BD77D8" w14:paraId="0995075F" w14:textId="77777777" w:rsidTr="00A97F9F">
        <w:trPr>
          <w:cantSplit/>
          <w:trHeight w:val="422"/>
        </w:trPr>
        <w:tc>
          <w:tcPr>
            <w:tcW w:w="1548" w:type="dxa"/>
            <w:vMerge/>
            <w:tcBorders>
              <w:right w:val="single" w:sz="4" w:space="0" w:color="auto"/>
            </w:tcBorders>
          </w:tcPr>
          <w:p w14:paraId="0A3DF6F9"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063859D8"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Internal audit</w:t>
            </w:r>
          </w:p>
        </w:tc>
        <w:tc>
          <w:tcPr>
            <w:tcW w:w="2520" w:type="dxa"/>
            <w:tcBorders>
              <w:top w:val="single" w:sz="4" w:space="0" w:color="auto"/>
              <w:left w:val="single" w:sz="4" w:space="0" w:color="auto"/>
              <w:bottom w:val="single" w:sz="4" w:space="0" w:color="auto"/>
            </w:tcBorders>
            <w:shd w:val="clear" w:color="auto" w:fill="auto"/>
          </w:tcPr>
          <w:p w14:paraId="3ADB6D77"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14.3</w:t>
            </w:r>
          </w:p>
        </w:tc>
        <w:tc>
          <w:tcPr>
            <w:tcW w:w="1591" w:type="dxa"/>
            <w:tcBorders>
              <w:top w:val="single" w:sz="4" w:space="0" w:color="auto"/>
              <w:left w:val="single" w:sz="4" w:space="0" w:color="auto"/>
              <w:bottom w:val="single" w:sz="4" w:space="0" w:color="auto"/>
            </w:tcBorders>
            <w:shd w:val="clear" w:color="auto" w:fill="auto"/>
          </w:tcPr>
          <w:p w14:paraId="0F033856" w14:textId="0606EE75" w:rsidR="007F34D8" w:rsidRPr="00BD77D8" w:rsidRDefault="008212C5" w:rsidP="00A97F9F">
            <w:pPr>
              <w:tabs>
                <w:tab w:val="num" w:pos="1713"/>
              </w:tabs>
              <w:spacing w:before="100" w:after="100" w:line="240" w:lineRule="auto"/>
              <w:jc w:val="center"/>
              <w:rPr>
                <w:sz w:val="16"/>
                <w:szCs w:val="16"/>
              </w:rPr>
            </w:pPr>
            <w:r w:rsidRPr="00BD77D8">
              <w:rPr>
                <w:sz w:val="16"/>
                <w:szCs w:val="16"/>
              </w:rPr>
              <w:t>56</w:t>
            </w:r>
            <w:r w:rsidR="005A0DAC" w:rsidRPr="00BD77D8">
              <w:rPr>
                <w:sz w:val="16"/>
                <w:szCs w:val="16"/>
              </w:rPr>
              <w:t>-57</w:t>
            </w:r>
          </w:p>
        </w:tc>
      </w:tr>
      <w:tr w:rsidR="00BD77D8" w:rsidRPr="00BD77D8" w14:paraId="20081192" w14:textId="77777777" w:rsidTr="00A97F9F">
        <w:trPr>
          <w:cantSplit/>
          <w:trHeight w:val="422"/>
        </w:trPr>
        <w:tc>
          <w:tcPr>
            <w:tcW w:w="1548" w:type="dxa"/>
            <w:vMerge/>
            <w:tcBorders>
              <w:right w:val="single" w:sz="4" w:space="0" w:color="auto"/>
            </w:tcBorders>
          </w:tcPr>
          <w:p w14:paraId="35488FF8"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3BC7E95F"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External scrutiny</w:t>
            </w:r>
          </w:p>
        </w:tc>
        <w:tc>
          <w:tcPr>
            <w:tcW w:w="2520" w:type="dxa"/>
            <w:tcBorders>
              <w:top w:val="single" w:sz="4" w:space="0" w:color="auto"/>
              <w:left w:val="single" w:sz="4" w:space="0" w:color="auto"/>
              <w:bottom w:val="single" w:sz="4" w:space="0" w:color="auto"/>
            </w:tcBorders>
            <w:shd w:val="clear" w:color="auto" w:fill="auto"/>
          </w:tcPr>
          <w:p w14:paraId="7F50B7E7"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14.4</w:t>
            </w:r>
          </w:p>
        </w:tc>
        <w:tc>
          <w:tcPr>
            <w:tcW w:w="1591" w:type="dxa"/>
            <w:tcBorders>
              <w:top w:val="single" w:sz="4" w:space="0" w:color="auto"/>
              <w:left w:val="single" w:sz="4" w:space="0" w:color="auto"/>
              <w:bottom w:val="single" w:sz="4" w:space="0" w:color="auto"/>
            </w:tcBorders>
            <w:shd w:val="clear" w:color="auto" w:fill="auto"/>
          </w:tcPr>
          <w:p w14:paraId="56AC0351" w14:textId="3C6B09E6" w:rsidR="007F34D8" w:rsidRPr="00BD77D8" w:rsidRDefault="00350A84" w:rsidP="00A97F9F">
            <w:pPr>
              <w:tabs>
                <w:tab w:val="num" w:pos="1713"/>
              </w:tabs>
              <w:spacing w:before="100" w:after="100" w:line="240" w:lineRule="auto"/>
              <w:jc w:val="center"/>
              <w:rPr>
                <w:sz w:val="16"/>
                <w:szCs w:val="16"/>
              </w:rPr>
            </w:pPr>
            <w:r w:rsidRPr="00BD77D8">
              <w:rPr>
                <w:sz w:val="16"/>
                <w:szCs w:val="16"/>
              </w:rPr>
              <w:t>57</w:t>
            </w:r>
          </w:p>
        </w:tc>
      </w:tr>
      <w:tr w:rsidR="00BD77D8" w:rsidRPr="00BD77D8" w14:paraId="3DD5A938" w14:textId="77777777" w:rsidTr="00A97F9F">
        <w:trPr>
          <w:cantSplit/>
          <w:trHeight w:val="422"/>
        </w:trPr>
        <w:tc>
          <w:tcPr>
            <w:tcW w:w="1548" w:type="dxa"/>
            <w:vMerge/>
            <w:tcBorders>
              <w:right w:val="single" w:sz="4" w:space="0" w:color="auto"/>
            </w:tcBorders>
          </w:tcPr>
          <w:p w14:paraId="7096CB07"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63F7C633"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Information systems and recordkeeping</w:t>
            </w:r>
          </w:p>
        </w:tc>
        <w:tc>
          <w:tcPr>
            <w:tcW w:w="2520" w:type="dxa"/>
            <w:tcBorders>
              <w:top w:val="single" w:sz="4" w:space="0" w:color="auto"/>
              <w:left w:val="single" w:sz="4" w:space="0" w:color="auto"/>
              <w:bottom w:val="single" w:sz="4" w:space="0" w:color="auto"/>
            </w:tcBorders>
            <w:shd w:val="clear" w:color="auto" w:fill="auto"/>
          </w:tcPr>
          <w:p w14:paraId="337B79B4"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14.5</w:t>
            </w:r>
          </w:p>
        </w:tc>
        <w:tc>
          <w:tcPr>
            <w:tcW w:w="1591" w:type="dxa"/>
            <w:tcBorders>
              <w:top w:val="single" w:sz="4" w:space="0" w:color="auto"/>
              <w:left w:val="single" w:sz="4" w:space="0" w:color="auto"/>
              <w:bottom w:val="single" w:sz="4" w:space="0" w:color="auto"/>
            </w:tcBorders>
            <w:shd w:val="clear" w:color="auto" w:fill="auto"/>
          </w:tcPr>
          <w:p w14:paraId="22F8CCCD" w14:textId="2D42FBED" w:rsidR="007F34D8" w:rsidRPr="00BD77D8" w:rsidRDefault="008212C5" w:rsidP="00A97F9F">
            <w:pPr>
              <w:tabs>
                <w:tab w:val="num" w:pos="1713"/>
              </w:tabs>
              <w:spacing w:before="100" w:after="100" w:line="240" w:lineRule="auto"/>
              <w:jc w:val="center"/>
              <w:rPr>
                <w:sz w:val="16"/>
                <w:szCs w:val="16"/>
              </w:rPr>
            </w:pPr>
            <w:r w:rsidRPr="00BD77D8">
              <w:rPr>
                <w:sz w:val="16"/>
                <w:szCs w:val="16"/>
              </w:rPr>
              <w:t>56</w:t>
            </w:r>
          </w:p>
        </w:tc>
      </w:tr>
      <w:tr w:rsidR="00BD77D8" w:rsidRPr="00BD77D8" w14:paraId="17674F6F" w14:textId="77777777" w:rsidTr="00A97F9F">
        <w:trPr>
          <w:cantSplit/>
          <w:trHeight w:val="422"/>
        </w:trPr>
        <w:tc>
          <w:tcPr>
            <w:tcW w:w="1548" w:type="dxa"/>
            <w:vMerge/>
            <w:tcBorders>
              <w:bottom w:val="single" w:sz="4" w:space="0" w:color="auto"/>
              <w:right w:val="single" w:sz="4" w:space="0" w:color="auto"/>
            </w:tcBorders>
          </w:tcPr>
          <w:p w14:paraId="48C98D87"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7747591E"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Information Security attestation</w:t>
            </w:r>
          </w:p>
        </w:tc>
        <w:tc>
          <w:tcPr>
            <w:tcW w:w="2520" w:type="dxa"/>
            <w:tcBorders>
              <w:top w:val="single" w:sz="4" w:space="0" w:color="auto"/>
              <w:left w:val="single" w:sz="4" w:space="0" w:color="auto"/>
              <w:bottom w:val="single" w:sz="4" w:space="0" w:color="auto"/>
            </w:tcBorders>
            <w:shd w:val="clear" w:color="auto" w:fill="auto"/>
          </w:tcPr>
          <w:p w14:paraId="0732D561"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14.6</w:t>
            </w:r>
          </w:p>
        </w:tc>
        <w:tc>
          <w:tcPr>
            <w:tcW w:w="1591" w:type="dxa"/>
            <w:tcBorders>
              <w:top w:val="single" w:sz="4" w:space="0" w:color="auto"/>
              <w:left w:val="single" w:sz="4" w:space="0" w:color="auto"/>
              <w:bottom w:val="single" w:sz="4" w:space="0" w:color="auto"/>
            </w:tcBorders>
            <w:shd w:val="clear" w:color="auto" w:fill="auto"/>
          </w:tcPr>
          <w:p w14:paraId="443098EB" w14:textId="5E505A18" w:rsidR="007F34D8" w:rsidRPr="00BD77D8" w:rsidRDefault="008212C5" w:rsidP="00A97F9F">
            <w:pPr>
              <w:tabs>
                <w:tab w:val="num" w:pos="1713"/>
              </w:tabs>
              <w:spacing w:before="100" w:after="100" w:line="240" w:lineRule="auto"/>
              <w:jc w:val="center"/>
              <w:rPr>
                <w:sz w:val="16"/>
                <w:szCs w:val="16"/>
              </w:rPr>
            </w:pPr>
            <w:r w:rsidRPr="00BD77D8">
              <w:rPr>
                <w:sz w:val="16"/>
                <w:szCs w:val="16"/>
              </w:rPr>
              <w:t>56</w:t>
            </w:r>
          </w:p>
        </w:tc>
      </w:tr>
      <w:tr w:rsidR="00BD77D8" w:rsidRPr="00BD77D8" w14:paraId="539A1561" w14:textId="77777777" w:rsidTr="00A97F9F">
        <w:trPr>
          <w:cantSplit/>
        </w:trPr>
        <w:tc>
          <w:tcPr>
            <w:tcW w:w="1548" w:type="dxa"/>
            <w:vMerge w:val="restart"/>
            <w:tcBorders>
              <w:top w:val="single" w:sz="4" w:space="0" w:color="auto"/>
              <w:right w:val="single" w:sz="4" w:space="0" w:color="auto"/>
            </w:tcBorders>
          </w:tcPr>
          <w:p w14:paraId="715F038D" w14:textId="77777777" w:rsidR="007F34D8" w:rsidRPr="00BD77D8" w:rsidRDefault="007F34D8" w:rsidP="00A97F9F">
            <w:pPr>
              <w:tabs>
                <w:tab w:val="num" w:pos="1713"/>
              </w:tabs>
              <w:spacing w:before="100" w:after="100" w:line="240" w:lineRule="auto"/>
              <w:rPr>
                <w:b/>
                <w:bCs/>
                <w:sz w:val="16"/>
                <w:szCs w:val="16"/>
              </w:rPr>
            </w:pPr>
            <w:r w:rsidRPr="00BD77D8">
              <w:rPr>
                <w:b/>
                <w:bCs/>
                <w:sz w:val="16"/>
                <w:szCs w:val="16"/>
              </w:rPr>
              <w:t>Governance – human resources</w:t>
            </w:r>
          </w:p>
        </w:tc>
        <w:tc>
          <w:tcPr>
            <w:tcW w:w="4264" w:type="dxa"/>
            <w:tcBorders>
              <w:top w:val="single" w:sz="4" w:space="0" w:color="auto"/>
              <w:left w:val="single" w:sz="4" w:space="0" w:color="auto"/>
              <w:bottom w:val="single" w:sz="4" w:space="0" w:color="auto"/>
              <w:right w:val="single" w:sz="4" w:space="0" w:color="auto"/>
            </w:tcBorders>
          </w:tcPr>
          <w:p w14:paraId="65183B32"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Strategic workforce planning and performance</w:t>
            </w:r>
          </w:p>
        </w:tc>
        <w:tc>
          <w:tcPr>
            <w:tcW w:w="2520" w:type="dxa"/>
            <w:tcBorders>
              <w:top w:val="single" w:sz="4" w:space="0" w:color="auto"/>
              <w:left w:val="single" w:sz="4" w:space="0" w:color="auto"/>
              <w:bottom w:val="single" w:sz="4" w:space="0" w:color="auto"/>
            </w:tcBorders>
            <w:shd w:val="clear" w:color="auto" w:fill="auto"/>
          </w:tcPr>
          <w:p w14:paraId="6DA3DA7B"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15.1</w:t>
            </w:r>
          </w:p>
        </w:tc>
        <w:tc>
          <w:tcPr>
            <w:tcW w:w="1591" w:type="dxa"/>
            <w:tcBorders>
              <w:top w:val="single" w:sz="4" w:space="0" w:color="auto"/>
              <w:left w:val="single" w:sz="4" w:space="0" w:color="auto"/>
              <w:bottom w:val="single" w:sz="4" w:space="0" w:color="auto"/>
            </w:tcBorders>
            <w:shd w:val="clear" w:color="auto" w:fill="auto"/>
          </w:tcPr>
          <w:p w14:paraId="4201A169" w14:textId="5AC8EF90" w:rsidR="007F34D8" w:rsidRPr="00BD77D8" w:rsidRDefault="008212C5" w:rsidP="00A97F9F">
            <w:pPr>
              <w:tabs>
                <w:tab w:val="num" w:pos="1713"/>
              </w:tabs>
              <w:spacing w:before="100" w:after="100" w:line="240" w:lineRule="auto"/>
              <w:jc w:val="center"/>
              <w:rPr>
                <w:sz w:val="16"/>
                <w:szCs w:val="16"/>
              </w:rPr>
            </w:pPr>
            <w:r w:rsidRPr="00BD77D8">
              <w:rPr>
                <w:sz w:val="16"/>
                <w:szCs w:val="16"/>
              </w:rPr>
              <w:t>48</w:t>
            </w:r>
            <w:r w:rsidR="002B4586" w:rsidRPr="00BD77D8">
              <w:rPr>
                <w:sz w:val="16"/>
                <w:szCs w:val="16"/>
              </w:rPr>
              <w:t>-49</w:t>
            </w:r>
          </w:p>
        </w:tc>
      </w:tr>
      <w:tr w:rsidR="00BD77D8" w:rsidRPr="00BD77D8" w14:paraId="14CFA7CD" w14:textId="77777777" w:rsidTr="00A97F9F">
        <w:trPr>
          <w:cantSplit/>
        </w:trPr>
        <w:tc>
          <w:tcPr>
            <w:tcW w:w="1548" w:type="dxa"/>
            <w:vMerge/>
            <w:tcBorders>
              <w:right w:val="single" w:sz="4" w:space="0" w:color="auto"/>
            </w:tcBorders>
          </w:tcPr>
          <w:p w14:paraId="59331B14" w14:textId="77777777" w:rsidR="007F34D8" w:rsidRPr="00BD77D8" w:rsidRDefault="007F34D8" w:rsidP="00A97F9F">
            <w:pPr>
              <w:tabs>
                <w:tab w:val="num" w:pos="1713"/>
              </w:tabs>
              <w:spacing w:before="100" w:after="100" w:line="240" w:lineRule="auto"/>
              <w:rPr>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18A2BD3D"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Early retirement, redundancy and retrenchment</w:t>
            </w:r>
          </w:p>
        </w:tc>
        <w:tc>
          <w:tcPr>
            <w:tcW w:w="2520" w:type="dxa"/>
            <w:tcBorders>
              <w:top w:val="single" w:sz="4" w:space="0" w:color="auto"/>
              <w:left w:val="single" w:sz="4" w:space="0" w:color="auto"/>
              <w:bottom w:val="single" w:sz="4" w:space="0" w:color="auto"/>
            </w:tcBorders>
            <w:shd w:val="clear" w:color="auto" w:fill="auto"/>
          </w:tcPr>
          <w:p w14:paraId="36428103" w14:textId="77777777" w:rsidR="007F34D8" w:rsidRPr="00BD77D8" w:rsidRDefault="007F34D8" w:rsidP="00A97F9F">
            <w:pPr>
              <w:tabs>
                <w:tab w:val="num" w:pos="1713"/>
              </w:tabs>
              <w:spacing w:before="100" w:after="100" w:line="240" w:lineRule="auto"/>
              <w:rPr>
                <w:sz w:val="16"/>
                <w:szCs w:val="16"/>
              </w:rPr>
            </w:pPr>
            <w:r w:rsidRPr="00BD77D8">
              <w:rPr>
                <w:sz w:val="16"/>
                <w:szCs w:val="16"/>
              </w:rPr>
              <w:t xml:space="preserve">Directive No.04/18 </w:t>
            </w:r>
            <w:r w:rsidRPr="00BD77D8">
              <w:rPr>
                <w:i/>
                <w:sz w:val="16"/>
                <w:szCs w:val="16"/>
              </w:rPr>
              <w:t xml:space="preserve">Early Retirement, Redundancy and Retrenchment </w:t>
            </w:r>
          </w:p>
          <w:p w14:paraId="305C1E3E"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15.2</w:t>
            </w:r>
          </w:p>
        </w:tc>
        <w:tc>
          <w:tcPr>
            <w:tcW w:w="1591" w:type="dxa"/>
            <w:tcBorders>
              <w:top w:val="single" w:sz="4" w:space="0" w:color="auto"/>
              <w:left w:val="single" w:sz="4" w:space="0" w:color="auto"/>
              <w:bottom w:val="single" w:sz="4" w:space="0" w:color="auto"/>
            </w:tcBorders>
            <w:shd w:val="clear" w:color="auto" w:fill="auto"/>
          </w:tcPr>
          <w:p w14:paraId="5900F54E" w14:textId="33DAC6C3" w:rsidR="007F34D8" w:rsidRPr="00BD77D8" w:rsidRDefault="008212C5" w:rsidP="00A97F9F">
            <w:pPr>
              <w:tabs>
                <w:tab w:val="num" w:pos="1713"/>
              </w:tabs>
              <w:spacing w:before="100" w:after="100" w:line="240" w:lineRule="auto"/>
              <w:jc w:val="center"/>
              <w:rPr>
                <w:sz w:val="16"/>
                <w:szCs w:val="16"/>
              </w:rPr>
            </w:pPr>
            <w:r w:rsidRPr="00BD77D8">
              <w:rPr>
                <w:sz w:val="16"/>
                <w:szCs w:val="16"/>
              </w:rPr>
              <w:t>52</w:t>
            </w:r>
          </w:p>
        </w:tc>
      </w:tr>
      <w:tr w:rsidR="00BD77D8" w:rsidRPr="00BD77D8" w14:paraId="082919D2" w14:textId="77777777" w:rsidTr="00A97F9F">
        <w:trPr>
          <w:cantSplit/>
        </w:trPr>
        <w:tc>
          <w:tcPr>
            <w:tcW w:w="1548" w:type="dxa"/>
            <w:vMerge w:val="restart"/>
            <w:tcBorders>
              <w:top w:val="single" w:sz="4" w:space="0" w:color="auto"/>
              <w:right w:val="single" w:sz="4" w:space="0" w:color="auto"/>
            </w:tcBorders>
          </w:tcPr>
          <w:p w14:paraId="7D651D9D" w14:textId="77777777" w:rsidR="007F34D8" w:rsidRPr="00BD77D8" w:rsidRDefault="007F34D8" w:rsidP="00A97F9F">
            <w:pPr>
              <w:tabs>
                <w:tab w:val="num" w:pos="1713"/>
              </w:tabs>
              <w:spacing w:before="100" w:after="100" w:line="240" w:lineRule="auto"/>
              <w:rPr>
                <w:b/>
                <w:bCs/>
                <w:sz w:val="16"/>
                <w:szCs w:val="20"/>
              </w:rPr>
            </w:pPr>
            <w:r w:rsidRPr="00BD77D8">
              <w:rPr>
                <w:b/>
                <w:bCs/>
                <w:sz w:val="16"/>
                <w:szCs w:val="20"/>
              </w:rPr>
              <w:t>Open Data</w:t>
            </w:r>
          </w:p>
        </w:tc>
        <w:tc>
          <w:tcPr>
            <w:tcW w:w="4264" w:type="dxa"/>
            <w:tcBorders>
              <w:top w:val="single" w:sz="4" w:space="0" w:color="auto"/>
              <w:left w:val="single" w:sz="4" w:space="0" w:color="auto"/>
              <w:bottom w:val="single" w:sz="4" w:space="0" w:color="auto"/>
              <w:right w:val="single" w:sz="4" w:space="0" w:color="auto"/>
            </w:tcBorders>
          </w:tcPr>
          <w:p w14:paraId="2B2E0E71"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Statement advising publication of information</w:t>
            </w:r>
          </w:p>
        </w:tc>
        <w:tc>
          <w:tcPr>
            <w:tcW w:w="2520" w:type="dxa"/>
            <w:tcBorders>
              <w:top w:val="single" w:sz="4" w:space="0" w:color="auto"/>
              <w:left w:val="single" w:sz="4" w:space="0" w:color="auto"/>
              <w:bottom w:val="single" w:sz="4" w:space="0" w:color="auto"/>
            </w:tcBorders>
            <w:shd w:val="clear" w:color="auto" w:fill="auto"/>
          </w:tcPr>
          <w:p w14:paraId="20ECC903"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16</w:t>
            </w:r>
          </w:p>
        </w:tc>
        <w:tc>
          <w:tcPr>
            <w:tcW w:w="1591" w:type="dxa"/>
            <w:tcBorders>
              <w:top w:val="single" w:sz="4" w:space="0" w:color="auto"/>
              <w:left w:val="single" w:sz="4" w:space="0" w:color="auto"/>
              <w:bottom w:val="single" w:sz="4" w:space="0" w:color="auto"/>
            </w:tcBorders>
            <w:shd w:val="clear" w:color="auto" w:fill="auto"/>
          </w:tcPr>
          <w:p w14:paraId="36E84844" w14:textId="2D3FC2B0" w:rsidR="007F34D8" w:rsidRPr="00BD77D8" w:rsidRDefault="008212C5" w:rsidP="00A97F9F">
            <w:pPr>
              <w:tabs>
                <w:tab w:val="num" w:pos="1713"/>
              </w:tabs>
              <w:spacing w:before="100" w:after="100" w:line="240" w:lineRule="auto"/>
              <w:jc w:val="center"/>
              <w:rPr>
                <w:sz w:val="16"/>
                <w:szCs w:val="16"/>
              </w:rPr>
            </w:pPr>
            <w:r w:rsidRPr="00BD77D8">
              <w:rPr>
                <w:sz w:val="16"/>
                <w:szCs w:val="16"/>
              </w:rPr>
              <w:t>57</w:t>
            </w:r>
          </w:p>
        </w:tc>
      </w:tr>
      <w:tr w:rsidR="00BD77D8" w:rsidRPr="00BD77D8" w14:paraId="7E4B544D" w14:textId="77777777" w:rsidTr="00A97F9F">
        <w:trPr>
          <w:cantSplit/>
        </w:trPr>
        <w:tc>
          <w:tcPr>
            <w:tcW w:w="1548" w:type="dxa"/>
            <w:vMerge/>
            <w:tcBorders>
              <w:right w:val="single" w:sz="4" w:space="0" w:color="auto"/>
            </w:tcBorders>
          </w:tcPr>
          <w:p w14:paraId="2BD03AD9"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6E6E5B17"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 xml:space="preserve">Consultancies </w:t>
            </w:r>
          </w:p>
        </w:tc>
        <w:tc>
          <w:tcPr>
            <w:tcW w:w="2520" w:type="dxa"/>
            <w:tcBorders>
              <w:top w:val="single" w:sz="4" w:space="0" w:color="auto"/>
              <w:left w:val="single" w:sz="4" w:space="0" w:color="auto"/>
              <w:bottom w:val="single" w:sz="4" w:space="0" w:color="auto"/>
            </w:tcBorders>
            <w:shd w:val="clear" w:color="auto" w:fill="auto"/>
          </w:tcPr>
          <w:p w14:paraId="1AA96D68"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31.1</w:t>
            </w:r>
          </w:p>
        </w:tc>
        <w:tc>
          <w:tcPr>
            <w:tcW w:w="1591" w:type="dxa"/>
            <w:tcBorders>
              <w:top w:val="single" w:sz="4" w:space="0" w:color="auto"/>
              <w:left w:val="single" w:sz="4" w:space="0" w:color="auto"/>
              <w:bottom w:val="single" w:sz="4" w:space="0" w:color="auto"/>
            </w:tcBorders>
            <w:shd w:val="clear" w:color="auto" w:fill="auto"/>
          </w:tcPr>
          <w:p w14:paraId="70D6DF8F" w14:textId="77777777" w:rsidR="007F34D8" w:rsidRPr="00BD77D8" w:rsidRDefault="007F34D8" w:rsidP="00A97F9F">
            <w:pPr>
              <w:tabs>
                <w:tab w:val="num" w:pos="1713"/>
              </w:tabs>
              <w:spacing w:before="100" w:after="100" w:line="240" w:lineRule="auto"/>
              <w:jc w:val="center"/>
              <w:rPr>
                <w:sz w:val="12"/>
                <w:szCs w:val="12"/>
              </w:rPr>
            </w:pPr>
            <w:r w:rsidRPr="00BD77D8">
              <w:rPr>
                <w:sz w:val="12"/>
                <w:szCs w:val="12"/>
                <w:u w:val="single"/>
              </w:rPr>
              <w:t>https://data.qld.gov.au</w:t>
            </w:r>
          </w:p>
        </w:tc>
      </w:tr>
      <w:tr w:rsidR="00BD77D8" w:rsidRPr="00BD77D8" w14:paraId="2E91BA13" w14:textId="77777777" w:rsidTr="00A97F9F">
        <w:trPr>
          <w:cantSplit/>
        </w:trPr>
        <w:tc>
          <w:tcPr>
            <w:tcW w:w="1548" w:type="dxa"/>
            <w:vMerge/>
            <w:tcBorders>
              <w:right w:val="single" w:sz="4" w:space="0" w:color="auto"/>
            </w:tcBorders>
          </w:tcPr>
          <w:p w14:paraId="2AEE08C8"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08D3AF69"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Overseas travel</w:t>
            </w:r>
          </w:p>
        </w:tc>
        <w:tc>
          <w:tcPr>
            <w:tcW w:w="2520" w:type="dxa"/>
            <w:tcBorders>
              <w:top w:val="single" w:sz="4" w:space="0" w:color="auto"/>
              <w:left w:val="single" w:sz="4" w:space="0" w:color="auto"/>
              <w:bottom w:val="single" w:sz="4" w:space="0" w:color="auto"/>
            </w:tcBorders>
            <w:shd w:val="clear" w:color="auto" w:fill="auto"/>
          </w:tcPr>
          <w:p w14:paraId="3BFCFEF3"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31.2</w:t>
            </w:r>
          </w:p>
        </w:tc>
        <w:tc>
          <w:tcPr>
            <w:tcW w:w="1591" w:type="dxa"/>
            <w:tcBorders>
              <w:top w:val="single" w:sz="4" w:space="0" w:color="auto"/>
              <w:left w:val="single" w:sz="4" w:space="0" w:color="auto"/>
              <w:bottom w:val="single" w:sz="4" w:space="0" w:color="auto"/>
            </w:tcBorders>
            <w:shd w:val="clear" w:color="auto" w:fill="auto"/>
          </w:tcPr>
          <w:p w14:paraId="73CD85C5" w14:textId="77777777" w:rsidR="007F34D8" w:rsidRPr="00BD77D8" w:rsidRDefault="007F34D8" w:rsidP="00A97F9F">
            <w:pPr>
              <w:tabs>
                <w:tab w:val="num" w:pos="1713"/>
              </w:tabs>
              <w:spacing w:before="100" w:after="100" w:line="240" w:lineRule="auto"/>
              <w:jc w:val="center"/>
              <w:rPr>
                <w:sz w:val="12"/>
                <w:szCs w:val="12"/>
              </w:rPr>
            </w:pPr>
            <w:r w:rsidRPr="00BD77D8">
              <w:rPr>
                <w:sz w:val="12"/>
                <w:szCs w:val="12"/>
                <w:u w:val="single"/>
              </w:rPr>
              <w:t>https://data.qld.gov.au</w:t>
            </w:r>
          </w:p>
        </w:tc>
      </w:tr>
      <w:tr w:rsidR="00BD77D8" w:rsidRPr="00BD77D8" w14:paraId="42005C38" w14:textId="77777777" w:rsidTr="00A97F9F">
        <w:trPr>
          <w:cantSplit/>
        </w:trPr>
        <w:tc>
          <w:tcPr>
            <w:tcW w:w="1548" w:type="dxa"/>
            <w:vMerge/>
            <w:tcBorders>
              <w:right w:val="single" w:sz="4" w:space="0" w:color="auto"/>
            </w:tcBorders>
          </w:tcPr>
          <w:p w14:paraId="279C26C6" w14:textId="77777777" w:rsidR="007F34D8" w:rsidRPr="00BD77D8" w:rsidRDefault="007F34D8" w:rsidP="00A97F9F">
            <w:pPr>
              <w:tabs>
                <w:tab w:val="num" w:pos="1713"/>
              </w:tabs>
              <w:spacing w:before="100" w:after="100" w:line="240" w:lineRule="auto"/>
              <w:rPr>
                <w:b/>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2C88326D"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Queensland Language Services Policy</w:t>
            </w:r>
          </w:p>
        </w:tc>
        <w:tc>
          <w:tcPr>
            <w:tcW w:w="2520" w:type="dxa"/>
            <w:tcBorders>
              <w:top w:val="single" w:sz="4" w:space="0" w:color="auto"/>
              <w:left w:val="single" w:sz="4" w:space="0" w:color="auto"/>
              <w:bottom w:val="single" w:sz="4" w:space="0" w:color="auto"/>
            </w:tcBorders>
            <w:shd w:val="clear" w:color="auto" w:fill="auto"/>
          </w:tcPr>
          <w:p w14:paraId="000357CB"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31.3</w:t>
            </w:r>
          </w:p>
        </w:tc>
        <w:tc>
          <w:tcPr>
            <w:tcW w:w="1591" w:type="dxa"/>
            <w:tcBorders>
              <w:top w:val="single" w:sz="4" w:space="0" w:color="auto"/>
              <w:left w:val="single" w:sz="4" w:space="0" w:color="auto"/>
              <w:bottom w:val="single" w:sz="4" w:space="0" w:color="auto"/>
            </w:tcBorders>
            <w:shd w:val="clear" w:color="auto" w:fill="auto"/>
          </w:tcPr>
          <w:p w14:paraId="1B4BB235" w14:textId="77777777" w:rsidR="007F34D8" w:rsidRPr="00BD77D8" w:rsidRDefault="007F34D8" w:rsidP="00A97F9F">
            <w:pPr>
              <w:tabs>
                <w:tab w:val="num" w:pos="1713"/>
              </w:tabs>
              <w:spacing w:before="100" w:after="100" w:line="240" w:lineRule="auto"/>
              <w:jc w:val="center"/>
              <w:rPr>
                <w:sz w:val="12"/>
                <w:szCs w:val="12"/>
              </w:rPr>
            </w:pPr>
            <w:r w:rsidRPr="00BD77D8">
              <w:rPr>
                <w:sz w:val="12"/>
                <w:szCs w:val="12"/>
                <w:u w:val="single"/>
              </w:rPr>
              <w:t>https://data.qld.gov.au</w:t>
            </w:r>
          </w:p>
        </w:tc>
      </w:tr>
      <w:tr w:rsidR="00BD77D8" w:rsidRPr="00BD77D8" w14:paraId="4C6F8BDB" w14:textId="77777777" w:rsidTr="00A97F9F">
        <w:trPr>
          <w:cantSplit/>
        </w:trPr>
        <w:tc>
          <w:tcPr>
            <w:tcW w:w="1548" w:type="dxa"/>
            <w:vMerge w:val="restart"/>
            <w:tcBorders>
              <w:top w:val="single" w:sz="4" w:space="0" w:color="auto"/>
              <w:bottom w:val="single" w:sz="4" w:space="0" w:color="auto"/>
              <w:right w:val="single" w:sz="4" w:space="0" w:color="auto"/>
            </w:tcBorders>
          </w:tcPr>
          <w:p w14:paraId="22DEA427" w14:textId="77777777" w:rsidR="007F34D8" w:rsidRPr="00BD77D8" w:rsidRDefault="007F34D8" w:rsidP="00A97F9F">
            <w:pPr>
              <w:tabs>
                <w:tab w:val="num" w:pos="1713"/>
              </w:tabs>
              <w:spacing w:before="100" w:after="100" w:line="240" w:lineRule="auto"/>
              <w:rPr>
                <w:b/>
                <w:bCs/>
                <w:sz w:val="16"/>
                <w:szCs w:val="20"/>
              </w:rPr>
            </w:pPr>
            <w:r w:rsidRPr="00BD77D8">
              <w:rPr>
                <w:b/>
                <w:bCs/>
                <w:sz w:val="16"/>
                <w:szCs w:val="20"/>
              </w:rPr>
              <w:t>Financial statements</w:t>
            </w:r>
          </w:p>
        </w:tc>
        <w:tc>
          <w:tcPr>
            <w:tcW w:w="4264" w:type="dxa"/>
            <w:tcBorders>
              <w:top w:val="single" w:sz="4" w:space="0" w:color="auto"/>
              <w:left w:val="single" w:sz="4" w:space="0" w:color="auto"/>
              <w:bottom w:val="single" w:sz="4" w:space="0" w:color="auto"/>
              <w:right w:val="single" w:sz="4" w:space="0" w:color="auto"/>
            </w:tcBorders>
          </w:tcPr>
          <w:p w14:paraId="524C3932"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Certification of financial statements</w:t>
            </w:r>
          </w:p>
        </w:tc>
        <w:tc>
          <w:tcPr>
            <w:tcW w:w="2520" w:type="dxa"/>
            <w:tcBorders>
              <w:top w:val="single" w:sz="4" w:space="0" w:color="auto"/>
              <w:left w:val="single" w:sz="4" w:space="0" w:color="auto"/>
              <w:bottom w:val="single" w:sz="4" w:space="0" w:color="auto"/>
            </w:tcBorders>
            <w:shd w:val="clear" w:color="auto" w:fill="auto"/>
          </w:tcPr>
          <w:p w14:paraId="513B0283" w14:textId="77777777" w:rsidR="007F34D8" w:rsidRPr="00BD77D8" w:rsidRDefault="007F34D8" w:rsidP="00A97F9F">
            <w:pPr>
              <w:tabs>
                <w:tab w:val="num" w:pos="1713"/>
              </w:tabs>
              <w:spacing w:before="100" w:after="100" w:line="240" w:lineRule="auto"/>
              <w:rPr>
                <w:sz w:val="16"/>
                <w:szCs w:val="16"/>
              </w:rPr>
            </w:pPr>
            <w:r w:rsidRPr="00BD77D8">
              <w:rPr>
                <w:sz w:val="16"/>
                <w:szCs w:val="16"/>
              </w:rPr>
              <w:t>FAA – section 62</w:t>
            </w:r>
          </w:p>
          <w:p w14:paraId="5FDC4324" w14:textId="77777777" w:rsidR="007F34D8" w:rsidRPr="00BD77D8" w:rsidRDefault="007F34D8" w:rsidP="00A97F9F">
            <w:pPr>
              <w:tabs>
                <w:tab w:val="num" w:pos="1713"/>
              </w:tabs>
              <w:spacing w:before="100" w:after="100" w:line="240" w:lineRule="auto"/>
              <w:rPr>
                <w:sz w:val="16"/>
                <w:szCs w:val="16"/>
              </w:rPr>
            </w:pPr>
            <w:r w:rsidRPr="00BD77D8">
              <w:rPr>
                <w:sz w:val="16"/>
                <w:szCs w:val="16"/>
              </w:rPr>
              <w:t>FPMS – sections 38, 39 and 46</w:t>
            </w:r>
          </w:p>
          <w:p w14:paraId="200896F8"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17.1</w:t>
            </w:r>
          </w:p>
        </w:tc>
        <w:tc>
          <w:tcPr>
            <w:tcW w:w="1591" w:type="dxa"/>
            <w:tcBorders>
              <w:top w:val="single" w:sz="4" w:space="0" w:color="auto"/>
              <w:left w:val="single" w:sz="4" w:space="0" w:color="auto"/>
              <w:bottom w:val="single" w:sz="4" w:space="0" w:color="auto"/>
            </w:tcBorders>
            <w:shd w:val="clear" w:color="auto" w:fill="auto"/>
          </w:tcPr>
          <w:p w14:paraId="0494683C" w14:textId="5D68F4BD" w:rsidR="007F34D8" w:rsidRPr="00BD77D8" w:rsidRDefault="00350A84" w:rsidP="00A97F9F">
            <w:pPr>
              <w:tabs>
                <w:tab w:val="num" w:pos="1713"/>
              </w:tabs>
              <w:spacing w:before="100" w:after="100" w:line="240" w:lineRule="auto"/>
              <w:jc w:val="center"/>
              <w:rPr>
                <w:sz w:val="16"/>
                <w:szCs w:val="16"/>
              </w:rPr>
            </w:pPr>
            <w:r w:rsidRPr="00BD77D8">
              <w:rPr>
                <w:sz w:val="16"/>
                <w:szCs w:val="16"/>
              </w:rPr>
              <w:t>12</w:t>
            </w:r>
            <w:r w:rsidR="002E046D" w:rsidRPr="00BD77D8">
              <w:rPr>
                <w:sz w:val="16"/>
                <w:szCs w:val="16"/>
              </w:rPr>
              <w:t>7</w:t>
            </w:r>
          </w:p>
        </w:tc>
      </w:tr>
      <w:tr w:rsidR="00BD77D8" w:rsidRPr="00BD77D8" w14:paraId="1C521673" w14:textId="77777777" w:rsidTr="00A97F9F">
        <w:trPr>
          <w:cantSplit/>
        </w:trPr>
        <w:tc>
          <w:tcPr>
            <w:tcW w:w="1548" w:type="dxa"/>
            <w:vMerge/>
            <w:tcBorders>
              <w:top w:val="single" w:sz="4" w:space="0" w:color="auto"/>
              <w:bottom w:val="single" w:sz="4" w:space="0" w:color="auto"/>
              <w:right w:val="single" w:sz="4" w:space="0" w:color="auto"/>
            </w:tcBorders>
          </w:tcPr>
          <w:p w14:paraId="6E552407" w14:textId="77777777" w:rsidR="007F34D8" w:rsidRPr="00BD77D8" w:rsidRDefault="007F34D8" w:rsidP="00A97F9F">
            <w:pPr>
              <w:tabs>
                <w:tab w:val="num" w:pos="1713"/>
              </w:tabs>
              <w:spacing w:before="100" w:after="100" w:line="240" w:lineRule="auto"/>
              <w:rPr>
                <w:bCs/>
                <w:sz w:val="16"/>
                <w:szCs w:val="20"/>
              </w:rPr>
            </w:pPr>
          </w:p>
        </w:tc>
        <w:tc>
          <w:tcPr>
            <w:tcW w:w="4264" w:type="dxa"/>
            <w:tcBorders>
              <w:top w:val="single" w:sz="4" w:space="0" w:color="auto"/>
              <w:left w:val="single" w:sz="4" w:space="0" w:color="auto"/>
              <w:bottom w:val="single" w:sz="4" w:space="0" w:color="auto"/>
              <w:right w:val="single" w:sz="4" w:space="0" w:color="auto"/>
            </w:tcBorders>
          </w:tcPr>
          <w:p w14:paraId="535407B8" w14:textId="77777777" w:rsidR="007F34D8" w:rsidRPr="00BD77D8" w:rsidRDefault="007F34D8" w:rsidP="00A463E0">
            <w:pPr>
              <w:numPr>
                <w:ilvl w:val="0"/>
                <w:numId w:val="28"/>
              </w:numPr>
              <w:tabs>
                <w:tab w:val="clear" w:pos="360"/>
                <w:tab w:val="num" w:pos="252"/>
              </w:tabs>
              <w:spacing w:before="100" w:after="100" w:line="240" w:lineRule="auto"/>
              <w:ind w:left="252" w:hanging="252"/>
              <w:rPr>
                <w:b/>
                <w:sz w:val="16"/>
                <w:szCs w:val="16"/>
              </w:rPr>
            </w:pPr>
            <w:r w:rsidRPr="00BD77D8">
              <w:rPr>
                <w:b/>
                <w:sz w:val="16"/>
                <w:szCs w:val="16"/>
              </w:rPr>
              <w:t>Independent Auditor’s Report</w:t>
            </w:r>
          </w:p>
        </w:tc>
        <w:tc>
          <w:tcPr>
            <w:tcW w:w="2520" w:type="dxa"/>
            <w:tcBorders>
              <w:top w:val="single" w:sz="4" w:space="0" w:color="auto"/>
              <w:left w:val="single" w:sz="4" w:space="0" w:color="auto"/>
              <w:bottom w:val="single" w:sz="4" w:space="0" w:color="auto"/>
            </w:tcBorders>
            <w:shd w:val="clear" w:color="auto" w:fill="auto"/>
          </w:tcPr>
          <w:p w14:paraId="59B8FC54" w14:textId="77777777" w:rsidR="007F34D8" w:rsidRPr="00BD77D8" w:rsidRDefault="007F34D8" w:rsidP="00A97F9F">
            <w:pPr>
              <w:tabs>
                <w:tab w:val="num" w:pos="1713"/>
              </w:tabs>
              <w:spacing w:before="100" w:after="100" w:line="240" w:lineRule="auto"/>
              <w:rPr>
                <w:sz w:val="16"/>
                <w:szCs w:val="16"/>
              </w:rPr>
            </w:pPr>
            <w:r w:rsidRPr="00BD77D8">
              <w:rPr>
                <w:sz w:val="16"/>
                <w:szCs w:val="16"/>
              </w:rPr>
              <w:t>FAA – section 62</w:t>
            </w:r>
          </w:p>
          <w:p w14:paraId="28B4FE3B" w14:textId="77777777" w:rsidR="007F34D8" w:rsidRPr="00BD77D8" w:rsidRDefault="007F34D8" w:rsidP="00A97F9F">
            <w:pPr>
              <w:tabs>
                <w:tab w:val="num" w:pos="1713"/>
              </w:tabs>
              <w:spacing w:before="100" w:after="100" w:line="240" w:lineRule="auto"/>
              <w:rPr>
                <w:sz w:val="16"/>
                <w:szCs w:val="16"/>
              </w:rPr>
            </w:pPr>
            <w:r w:rsidRPr="00BD77D8">
              <w:rPr>
                <w:sz w:val="16"/>
                <w:szCs w:val="16"/>
              </w:rPr>
              <w:t>FPMS – section 46</w:t>
            </w:r>
          </w:p>
          <w:p w14:paraId="4289DD7F" w14:textId="77777777" w:rsidR="007F34D8" w:rsidRPr="00BD77D8" w:rsidRDefault="007F34D8" w:rsidP="00A97F9F">
            <w:pPr>
              <w:tabs>
                <w:tab w:val="num" w:pos="1713"/>
              </w:tabs>
              <w:spacing w:before="100" w:after="100" w:line="240" w:lineRule="auto"/>
              <w:rPr>
                <w:sz w:val="16"/>
                <w:szCs w:val="16"/>
              </w:rPr>
            </w:pPr>
            <w:r w:rsidRPr="00BD77D8">
              <w:rPr>
                <w:sz w:val="16"/>
                <w:szCs w:val="16"/>
              </w:rPr>
              <w:t>ARRs – section 17.2</w:t>
            </w:r>
          </w:p>
        </w:tc>
        <w:tc>
          <w:tcPr>
            <w:tcW w:w="1591" w:type="dxa"/>
            <w:tcBorders>
              <w:top w:val="single" w:sz="4" w:space="0" w:color="auto"/>
              <w:left w:val="single" w:sz="4" w:space="0" w:color="auto"/>
              <w:bottom w:val="single" w:sz="4" w:space="0" w:color="auto"/>
            </w:tcBorders>
            <w:shd w:val="clear" w:color="auto" w:fill="auto"/>
          </w:tcPr>
          <w:p w14:paraId="3E033697" w14:textId="6533391F" w:rsidR="007F34D8" w:rsidRPr="00BD77D8" w:rsidRDefault="008212C5" w:rsidP="00A97F9F">
            <w:pPr>
              <w:tabs>
                <w:tab w:val="num" w:pos="1713"/>
              </w:tabs>
              <w:spacing w:before="100" w:after="100" w:line="240" w:lineRule="auto"/>
              <w:jc w:val="center"/>
              <w:rPr>
                <w:sz w:val="16"/>
                <w:szCs w:val="16"/>
              </w:rPr>
            </w:pPr>
            <w:r w:rsidRPr="00BD77D8">
              <w:rPr>
                <w:sz w:val="16"/>
                <w:szCs w:val="16"/>
              </w:rPr>
              <w:t>12</w:t>
            </w:r>
            <w:r w:rsidR="002E046D" w:rsidRPr="00BD77D8">
              <w:rPr>
                <w:sz w:val="16"/>
                <w:szCs w:val="16"/>
              </w:rPr>
              <w:t>8</w:t>
            </w:r>
            <w:r w:rsidR="00350A84" w:rsidRPr="00BD77D8">
              <w:rPr>
                <w:sz w:val="16"/>
                <w:szCs w:val="16"/>
              </w:rPr>
              <w:t>-13</w:t>
            </w:r>
            <w:r w:rsidR="002E046D" w:rsidRPr="00BD77D8">
              <w:rPr>
                <w:sz w:val="16"/>
                <w:szCs w:val="16"/>
              </w:rPr>
              <w:t>1</w:t>
            </w:r>
          </w:p>
        </w:tc>
      </w:tr>
    </w:tbl>
    <w:p w14:paraId="1433FA38" w14:textId="77777777" w:rsidR="007F34D8" w:rsidRPr="00BD77D8" w:rsidRDefault="007F34D8" w:rsidP="007F34D8">
      <w:pPr>
        <w:spacing w:after="0" w:line="240" w:lineRule="auto"/>
        <w:rPr>
          <w:sz w:val="16"/>
          <w:szCs w:val="16"/>
        </w:rPr>
      </w:pPr>
      <w:r w:rsidRPr="00BD77D8">
        <w:rPr>
          <w:sz w:val="16"/>
          <w:szCs w:val="16"/>
        </w:rPr>
        <w:t xml:space="preserve">FAA </w:t>
      </w:r>
      <w:r w:rsidRPr="00BD77D8">
        <w:rPr>
          <w:sz w:val="16"/>
          <w:szCs w:val="16"/>
        </w:rPr>
        <w:tab/>
      </w:r>
      <w:r w:rsidRPr="00BD77D8">
        <w:rPr>
          <w:i/>
          <w:iCs/>
          <w:sz w:val="16"/>
          <w:szCs w:val="16"/>
        </w:rPr>
        <w:t>Financial Accountability Act 2009</w:t>
      </w:r>
      <w:r w:rsidRPr="00BD77D8">
        <w:rPr>
          <w:sz w:val="16"/>
          <w:szCs w:val="16"/>
        </w:rPr>
        <w:t xml:space="preserve"> </w:t>
      </w:r>
    </w:p>
    <w:p w14:paraId="2912F1EA" w14:textId="77777777" w:rsidR="007F34D8" w:rsidRPr="00BD77D8" w:rsidRDefault="007F34D8" w:rsidP="007F34D8">
      <w:pPr>
        <w:spacing w:after="0" w:line="240" w:lineRule="auto"/>
        <w:rPr>
          <w:sz w:val="16"/>
          <w:szCs w:val="16"/>
        </w:rPr>
      </w:pPr>
      <w:r w:rsidRPr="00BD77D8">
        <w:rPr>
          <w:sz w:val="16"/>
          <w:szCs w:val="16"/>
        </w:rPr>
        <w:t xml:space="preserve">FPMS </w:t>
      </w:r>
      <w:r w:rsidRPr="00BD77D8">
        <w:rPr>
          <w:sz w:val="16"/>
          <w:szCs w:val="16"/>
        </w:rPr>
        <w:tab/>
      </w:r>
      <w:r w:rsidRPr="00BD77D8">
        <w:rPr>
          <w:i/>
          <w:iCs/>
          <w:sz w:val="16"/>
          <w:szCs w:val="16"/>
        </w:rPr>
        <w:t>Financial and Performance Management Standard 2019</w:t>
      </w:r>
    </w:p>
    <w:p w14:paraId="0A3C3969" w14:textId="56D760FE" w:rsidR="007F34D8" w:rsidRPr="00BD77D8" w:rsidRDefault="007F34D8" w:rsidP="007F34D8">
      <w:pPr>
        <w:spacing w:after="0" w:line="240" w:lineRule="auto"/>
        <w:rPr>
          <w:rFonts w:eastAsia="Calibri"/>
          <w:caps/>
          <w:sz w:val="22"/>
          <w:szCs w:val="22"/>
          <w:lang w:val="en-GB" w:eastAsia="en-US"/>
        </w:rPr>
      </w:pPr>
      <w:r w:rsidRPr="00BD77D8">
        <w:rPr>
          <w:sz w:val="16"/>
          <w:szCs w:val="16"/>
        </w:rPr>
        <w:t>ARRs</w:t>
      </w:r>
      <w:r w:rsidRPr="00BD77D8">
        <w:rPr>
          <w:sz w:val="16"/>
          <w:szCs w:val="16"/>
        </w:rPr>
        <w:tab/>
      </w:r>
      <w:r w:rsidRPr="00BD77D8">
        <w:rPr>
          <w:i/>
          <w:iCs/>
          <w:sz w:val="16"/>
          <w:szCs w:val="16"/>
        </w:rPr>
        <w:t>Annual report requirements for Queensland Government agencies</w:t>
      </w:r>
      <w:r w:rsidRPr="00BD77D8">
        <w:rPr>
          <w:caps/>
          <w:sz w:val="22"/>
          <w:szCs w:val="22"/>
          <w:lang w:val="en-GB"/>
        </w:rPr>
        <w:br w:type="page"/>
      </w:r>
    </w:p>
    <w:p w14:paraId="0E3DD33B" w14:textId="797EA2E6" w:rsidR="00652270" w:rsidRPr="00BD77D8" w:rsidRDefault="00807F67" w:rsidP="00652270">
      <w:pPr>
        <w:pStyle w:val="BasicParagraph"/>
        <w:tabs>
          <w:tab w:val="right" w:pos="0"/>
        </w:tabs>
        <w:suppressAutoHyphens/>
        <w:spacing w:before="13000"/>
        <w:rPr>
          <w:rFonts w:ascii="Arial" w:hAnsi="Arial" w:cs="Arial"/>
          <w:color w:val="auto"/>
          <w:sz w:val="22"/>
          <w:szCs w:val="22"/>
          <w:lang w:val="en-GB"/>
        </w:rPr>
      </w:pPr>
      <w:r w:rsidRPr="00BD77D8">
        <w:rPr>
          <w:rFonts w:ascii="Arial" w:hAnsi="Arial" w:cs="Arial"/>
          <w:caps/>
          <w:color w:val="auto"/>
          <w:sz w:val="22"/>
          <w:szCs w:val="22"/>
          <w:lang w:val="en-GB"/>
        </w:rPr>
        <w:lastRenderedPageBreak/>
        <w:t>A</w:t>
      </w:r>
      <w:r w:rsidR="00652270" w:rsidRPr="00BD77D8">
        <w:rPr>
          <w:rFonts w:ascii="Arial" w:hAnsi="Arial" w:cs="Arial"/>
          <w:caps/>
          <w:color w:val="auto"/>
          <w:sz w:val="22"/>
          <w:szCs w:val="22"/>
          <w:lang w:val="en-GB"/>
        </w:rPr>
        <w:t xml:space="preserve">nnual Report </w:t>
      </w:r>
      <w:r w:rsidR="00652270" w:rsidRPr="00BD77D8">
        <w:rPr>
          <w:rFonts w:ascii="Arial" w:hAnsi="Arial" w:cs="Arial"/>
          <w:caps/>
          <w:color w:val="auto"/>
          <w:spacing w:val="-2"/>
          <w:sz w:val="22"/>
          <w:szCs w:val="22"/>
          <w:lang w:val="en-GB"/>
        </w:rPr>
        <w:t>202</w:t>
      </w:r>
      <w:r w:rsidR="00F506D9" w:rsidRPr="00BD77D8">
        <w:rPr>
          <w:rFonts w:ascii="Arial" w:hAnsi="Arial" w:cs="Arial"/>
          <w:caps/>
          <w:color w:val="auto"/>
          <w:spacing w:val="-2"/>
          <w:sz w:val="22"/>
          <w:szCs w:val="22"/>
          <w:lang w:val="en-GB"/>
        </w:rPr>
        <w:t>1-2022</w:t>
      </w:r>
    </w:p>
    <w:p w14:paraId="74DD2A30" w14:textId="77777777" w:rsidR="00652270" w:rsidRPr="00BD77D8" w:rsidRDefault="00652270" w:rsidP="00652270">
      <w:pPr>
        <w:pStyle w:val="BasicParagraph"/>
        <w:tabs>
          <w:tab w:val="right" w:pos="0"/>
        </w:tabs>
        <w:suppressAutoHyphens/>
        <w:rPr>
          <w:rFonts w:ascii="Arial" w:hAnsi="Arial" w:cs="Arial"/>
          <w:b/>
          <w:bCs/>
          <w:color w:val="auto"/>
          <w:sz w:val="22"/>
          <w:szCs w:val="22"/>
          <w:lang w:val="en-GB"/>
        </w:rPr>
      </w:pPr>
      <w:r w:rsidRPr="00BD77D8">
        <w:rPr>
          <w:rFonts w:ascii="Arial" w:hAnsi="Arial" w:cs="Arial"/>
          <w:b/>
          <w:bCs/>
          <w:color w:val="auto"/>
          <w:sz w:val="22"/>
          <w:szCs w:val="22"/>
          <w:lang w:val="en-GB"/>
        </w:rPr>
        <w:t>Department of Seniors, Disability Services and Aboriginal and Torres Strait Islander Partnerships</w:t>
      </w:r>
    </w:p>
    <w:p w14:paraId="2AC92323" w14:textId="6FCD1A6B" w:rsidR="00335568" w:rsidRPr="00BD77D8" w:rsidRDefault="00652270" w:rsidP="00652270">
      <w:pPr>
        <w:pStyle w:val="BasicParagraph"/>
        <w:rPr>
          <w:rFonts w:ascii="Arial" w:hAnsi="Arial" w:cs="Arial"/>
          <w:b/>
          <w:bCs/>
          <w:color w:val="auto"/>
          <w:sz w:val="30"/>
          <w:szCs w:val="30"/>
          <w14:textOutline w14:w="9525" w14:cap="flat" w14:cmpd="sng" w14:algn="ctr">
            <w14:noFill/>
            <w14:prstDash w14:val="solid"/>
            <w14:round/>
          </w14:textOutline>
        </w:rPr>
      </w:pPr>
      <w:r w:rsidRPr="00BD77D8">
        <w:rPr>
          <w:rFonts w:ascii="Arial" w:hAnsi="Arial" w:cs="Arial"/>
          <w:color w:val="auto"/>
          <w:sz w:val="22"/>
          <w:szCs w:val="22"/>
          <w:lang w:val="en-GB"/>
        </w:rPr>
        <w:t>www.dsdsatsip.qld.gov.au</w:t>
      </w:r>
    </w:p>
    <w:sectPr w:rsidR="00335568" w:rsidRPr="00BD77D8" w:rsidSect="00753CB5">
      <w:footerReference w:type="default" r:id="rId49"/>
      <w:headerReference w:type="first" r:id="rId50"/>
      <w:footerReference w:type="first" r:id="rId51"/>
      <w:pgSz w:w="11910" w:h="16840"/>
      <w:pgMar w:top="720" w:right="995" w:bottom="720" w:left="720" w:header="720" w:footer="720" w:gutter="0"/>
      <w:cols w:space="721"/>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531C0" w14:textId="77777777" w:rsidR="003954C5" w:rsidRDefault="003954C5" w:rsidP="00DB66C3">
      <w:r>
        <w:separator/>
      </w:r>
    </w:p>
    <w:p w14:paraId="5AE24FBE" w14:textId="77777777" w:rsidR="003954C5" w:rsidRDefault="003954C5" w:rsidP="00DB66C3"/>
    <w:p w14:paraId="371A0052" w14:textId="77777777" w:rsidR="003954C5" w:rsidRDefault="003954C5"/>
    <w:p w14:paraId="7B8B0A86" w14:textId="77777777" w:rsidR="003954C5" w:rsidRDefault="003954C5"/>
  </w:endnote>
  <w:endnote w:type="continuationSeparator" w:id="0">
    <w:p w14:paraId="7B5BD1FC" w14:textId="77777777" w:rsidR="003954C5" w:rsidRDefault="003954C5" w:rsidP="00DB66C3">
      <w:r>
        <w:continuationSeparator/>
      </w:r>
    </w:p>
    <w:p w14:paraId="0C93A1B1" w14:textId="77777777" w:rsidR="003954C5" w:rsidRDefault="003954C5" w:rsidP="00DB66C3"/>
    <w:p w14:paraId="16AEC192" w14:textId="77777777" w:rsidR="003954C5" w:rsidRDefault="003954C5"/>
    <w:p w14:paraId="4944AF57" w14:textId="77777777" w:rsidR="003954C5" w:rsidRDefault="00395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80"/>
    <w:family w:val="auto"/>
    <w:pitch w:val="variable"/>
    <w:sig w:usb0="00000000" w:usb1="00000000" w:usb2="07040407"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Pro-Norm">
    <w:altName w:val="Calibri"/>
    <w:panose1 w:val="00000000000000000000"/>
    <w:charset w:val="00"/>
    <w:family w:val="swiss"/>
    <w:notTrueType/>
    <w:pitch w:val="variable"/>
    <w:sig w:usb0="A00002FF" w:usb1="4000207B" w:usb2="00000000" w:usb3="00000000" w:csb0="0000009F" w:csb1="00000000"/>
  </w:font>
  <w:font w:name="MetaPro-Bold">
    <w:altName w:val="Calibri"/>
    <w:panose1 w:val="00000000000000000000"/>
    <w:charset w:val="00"/>
    <w:family w:val="swiss"/>
    <w:notTrueType/>
    <w:pitch w:val="variable"/>
    <w:sig w:usb0="A00002FF" w:usb1="4000207B" w:usb2="00000000" w:usb3="00000000" w:csb0="0000009F" w:csb1="00000000"/>
  </w:font>
  <w:font w:name="MetaPro-Light">
    <w:altName w:val="Calibri"/>
    <w:panose1 w:val="00000000000000000000"/>
    <w:charset w:val="00"/>
    <w:family w:val="swiss"/>
    <w:notTrueType/>
    <w:pitch w:val="variable"/>
    <w:sig w:usb0="A00002FF" w:usb1="4000207B" w:usb2="00000000" w:usb3="00000000" w:csb0="0000009F" w:csb1="00000000"/>
  </w:font>
  <w:font w:name="MetaPro-LightIta">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066251088"/>
      <w:docPartObj>
        <w:docPartGallery w:val="Page Numbers (Bottom of Page)"/>
        <w:docPartUnique/>
      </w:docPartObj>
    </w:sdtPr>
    <w:sdtEndPr>
      <w:rPr>
        <w:noProof/>
      </w:rPr>
    </w:sdtEndPr>
    <w:sdtContent>
      <w:p w14:paraId="6D21A394" w14:textId="4FF76065" w:rsidR="00B9311E" w:rsidRDefault="00B9311E">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0D73F0FC" w14:textId="77777777" w:rsidR="00B9311E" w:rsidRDefault="00B93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81654137"/>
      <w:docPartObj>
        <w:docPartGallery w:val="Page Numbers (Bottom of Page)"/>
        <w:docPartUnique/>
      </w:docPartObj>
    </w:sdtPr>
    <w:sdtEndPr>
      <w:rPr>
        <w:noProof/>
      </w:rPr>
    </w:sdtEndPr>
    <w:sdtContent>
      <w:p w14:paraId="64D8018F" w14:textId="733C6284" w:rsidR="005D1832" w:rsidRDefault="005D1832">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07D82EB4" w14:textId="77777777" w:rsidR="005D1832" w:rsidRDefault="005D1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22837009"/>
      <w:docPartObj>
        <w:docPartGallery w:val="Page Numbers (Bottom of Page)"/>
        <w:docPartUnique/>
      </w:docPartObj>
    </w:sdtPr>
    <w:sdtEndPr>
      <w:rPr>
        <w:noProof/>
      </w:rPr>
    </w:sdtEndPr>
    <w:sdtContent>
      <w:p w14:paraId="37FB957D" w14:textId="2C67B408" w:rsidR="00BF0604" w:rsidRDefault="00BF0604">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481CB41B" w14:textId="77777777" w:rsidR="00D5080C" w:rsidRDefault="00D5080C"/>
  <w:p w14:paraId="71169770" w14:textId="77777777" w:rsidR="00F059D5" w:rsidRDefault="00F059D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A473" w14:textId="29FC06B0" w:rsidR="00D5080C" w:rsidRDefault="00D5080C" w:rsidP="00FC716F">
    <w:r>
      <w:rPr>
        <w:noProof/>
      </w:rPr>
      <w:drawing>
        <wp:anchor distT="0" distB="0" distL="114300" distR="114300" simplePos="0" relativeHeight="251657728" behindDoc="0" locked="0" layoutInCell="1" allowOverlap="0" wp14:anchorId="2D4EABFF" wp14:editId="3EDFE70D">
          <wp:simplePos x="0" y="0"/>
          <wp:positionH relativeFrom="column">
            <wp:posOffset>163195</wp:posOffset>
          </wp:positionH>
          <wp:positionV relativeFrom="paragraph">
            <wp:posOffset>-3524250</wp:posOffset>
          </wp:positionV>
          <wp:extent cx="6673850" cy="454660"/>
          <wp:effectExtent l="0" t="0" r="0" b="0"/>
          <wp:wrapNone/>
          <wp:docPr id="1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798EC" w14:textId="77777777" w:rsidR="003954C5" w:rsidRDefault="003954C5" w:rsidP="00DB66C3">
      <w:r>
        <w:separator/>
      </w:r>
    </w:p>
    <w:p w14:paraId="59028933" w14:textId="77777777" w:rsidR="003954C5" w:rsidRDefault="003954C5" w:rsidP="00DB66C3"/>
    <w:p w14:paraId="51563FD8" w14:textId="77777777" w:rsidR="003954C5" w:rsidRDefault="003954C5"/>
    <w:p w14:paraId="74DC24E5" w14:textId="77777777" w:rsidR="003954C5" w:rsidRDefault="003954C5"/>
  </w:footnote>
  <w:footnote w:type="continuationSeparator" w:id="0">
    <w:p w14:paraId="24F5430F" w14:textId="77777777" w:rsidR="003954C5" w:rsidRDefault="003954C5" w:rsidP="00DB66C3">
      <w:r>
        <w:continuationSeparator/>
      </w:r>
    </w:p>
    <w:p w14:paraId="701A55D6" w14:textId="77777777" w:rsidR="003954C5" w:rsidRDefault="003954C5" w:rsidP="00DB66C3"/>
    <w:p w14:paraId="3D5BE635" w14:textId="77777777" w:rsidR="003954C5" w:rsidRDefault="003954C5"/>
    <w:p w14:paraId="099B55A6" w14:textId="77777777" w:rsidR="003954C5" w:rsidRDefault="003954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E547" w14:textId="544820CE" w:rsidR="00D5080C" w:rsidRDefault="00D5080C" w:rsidP="00FC716F">
    <w:r>
      <w:rPr>
        <w:noProof/>
      </w:rPr>
      <w:drawing>
        <wp:anchor distT="0" distB="0" distL="114300" distR="114300" simplePos="0" relativeHeight="251659776" behindDoc="1" locked="0" layoutInCell="1" allowOverlap="1" wp14:anchorId="742AF69C" wp14:editId="062CC75B">
          <wp:simplePos x="0" y="0"/>
          <wp:positionH relativeFrom="column">
            <wp:posOffset>-718185</wp:posOffset>
          </wp:positionH>
          <wp:positionV relativeFrom="paragraph">
            <wp:posOffset>-474345</wp:posOffset>
          </wp:positionV>
          <wp:extent cx="7570470" cy="1071308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0" wp14:anchorId="53E4B5CB" wp14:editId="7EE8AA73">
          <wp:simplePos x="0" y="0"/>
          <wp:positionH relativeFrom="column">
            <wp:posOffset>882650</wp:posOffset>
          </wp:positionH>
          <wp:positionV relativeFrom="paragraph">
            <wp:posOffset>6762750</wp:posOffset>
          </wp:positionV>
          <wp:extent cx="6673850" cy="45466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4165306"/>
    <w:lvl w:ilvl="0">
      <w:start w:val="1"/>
      <w:numFmt w:val="decimal"/>
      <w:pStyle w:val="ListNumber"/>
      <w:lvlText w:val="%1."/>
      <w:lvlJc w:val="left"/>
      <w:pPr>
        <w:tabs>
          <w:tab w:val="num" w:pos="360"/>
        </w:tabs>
        <w:ind w:left="360" w:hanging="360"/>
      </w:pPr>
      <w:rPr>
        <w:color w:val="000000"/>
      </w:rPr>
    </w:lvl>
  </w:abstractNum>
  <w:abstractNum w:abstractNumId="1" w15:restartNumberingAfterBreak="0">
    <w:nsid w:val="FFFFFF89"/>
    <w:multiLevelType w:val="singleLevel"/>
    <w:tmpl w:val="1BBEBC34"/>
    <w:lvl w:ilvl="0">
      <w:start w:val="1"/>
      <w:numFmt w:val="bullet"/>
      <w:pStyle w:val="ListBullet"/>
      <w:lvlText w:val=""/>
      <w:lvlJc w:val="left"/>
      <w:pPr>
        <w:tabs>
          <w:tab w:val="num" w:pos="360"/>
        </w:tabs>
        <w:ind w:left="360" w:hanging="360"/>
      </w:pPr>
      <w:rPr>
        <w:rFonts w:ascii="Symbol" w:hAnsi="Symbol" w:hint="default"/>
        <w:color w:val="000000"/>
      </w:rPr>
    </w:lvl>
  </w:abstractNum>
  <w:abstractNum w:abstractNumId="2" w15:restartNumberingAfterBreak="0">
    <w:nsid w:val="000C15CB"/>
    <w:multiLevelType w:val="hybridMultilevel"/>
    <w:tmpl w:val="A746AFFE"/>
    <w:lvl w:ilvl="0" w:tplc="1424E5E8">
      <w:start w:val="1"/>
      <w:numFmt w:val="bullet"/>
      <w:lvlText w:val=""/>
      <w:lvlJc w:val="left"/>
      <w:pPr>
        <w:ind w:left="720" w:hanging="360"/>
      </w:pPr>
      <w:rPr>
        <w:rFonts w:ascii="Symbol" w:hAnsi="Symbol" w:hint="default"/>
      </w:rPr>
    </w:lvl>
    <w:lvl w:ilvl="1" w:tplc="7068A090">
      <w:start w:val="1"/>
      <w:numFmt w:val="bullet"/>
      <w:lvlText w:val="o"/>
      <w:lvlJc w:val="left"/>
      <w:pPr>
        <w:ind w:left="1440" w:hanging="360"/>
      </w:pPr>
      <w:rPr>
        <w:rFonts w:ascii="Courier New" w:hAnsi="Courier New" w:hint="default"/>
      </w:rPr>
    </w:lvl>
    <w:lvl w:ilvl="2" w:tplc="238AD70C">
      <w:start w:val="1"/>
      <w:numFmt w:val="bullet"/>
      <w:lvlText w:val=""/>
      <w:lvlJc w:val="left"/>
      <w:pPr>
        <w:ind w:left="2160" w:hanging="360"/>
      </w:pPr>
      <w:rPr>
        <w:rFonts w:ascii="Wingdings" w:hAnsi="Wingdings" w:hint="default"/>
      </w:rPr>
    </w:lvl>
    <w:lvl w:ilvl="3" w:tplc="89FAA7BE">
      <w:start w:val="1"/>
      <w:numFmt w:val="bullet"/>
      <w:lvlText w:val=""/>
      <w:lvlJc w:val="left"/>
      <w:pPr>
        <w:ind w:left="2880" w:hanging="360"/>
      </w:pPr>
      <w:rPr>
        <w:rFonts w:ascii="Symbol" w:hAnsi="Symbol" w:hint="default"/>
      </w:rPr>
    </w:lvl>
    <w:lvl w:ilvl="4" w:tplc="8FFC6136">
      <w:start w:val="1"/>
      <w:numFmt w:val="bullet"/>
      <w:lvlText w:val="o"/>
      <w:lvlJc w:val="left"/>
      <w:pPr>
        <w:ind w:left="3600" w:hanging="360"/>
      </w:pPr>
      <w:rPr>
        <w:rFonts w:ascii="Courier New" w:hAnsi="Courier New" w:hint="default"/>
      </w:rPr>
    </w:lvl>
    <w:lvl w:ilvl="5" w:tplc="DF6823DA">
      <w:start w:val="1"/>
      <w:numFmt w:val="bullet"/>
      <w:lvlText w:val=""/>
      <w:lvlJc w:val="left"/>
      <w:pPr>
        <w:ind w:left="4320" w:hanging="360"/>
      </w:pPr>
      <w:rPr>
        <w:rFonts w:ascii="Wingdings" w:hAnsi="Wingdings" w:hint="default"/>
      </w:rPr>
    </w:lvl>
    <w:lvl w:ilvl="6" w:tplc="D4AEB350">
      <w:start w:val="1"/>
      <w:numFmt w:val="bullet"/>
      <w:lvlText w:val=""/>
      <w:lvlJc w:val="left"/>
      <w:pPr>
        <w:ind w:left="5040" w:hanging="360"/>
      </w:pPr>
      <w:rPr>
        <w:rFonts w:ascii="Symbol" w:hAnsi="Symbol" w:hint="default"/>
      </w:rPr>
    </w:lvl>
    <w:lvl w:ilvl="7" w:tplc="B4F0FB3C">
      <w:start w:val="1"/>
      <w:numFmt w:val="bullet"/>
      <w:lvlText w:val="o"/>
      <w:lvlJc w:val="left"/>
      <w:pPr>
        <w:ind w:left="5760" w:hanging="360"/>
      </w:pPr>
      <w:rPr>
        <w:rFonts w:ascii="Courier New" w:hAnsi="Courier New" w:hint="default"/>
      </w:rPr>
    </w:lvl>
    <w:lvl w:ilvl="8" w:tplc="D3227AFA">
      <w:start w:val="1"/>
      <w:numFmt w:val="bullet"/>
      <w:lvlText w:val=""/>
      <w:lvlJc w:val="left"/>
      <w:pPr>
        <w:ind w:left="6480" w:hanging="360"/>
      </w:pPr>
      <w:rPr>
        <w:rFonts w:ascii="Wingdings" w:hAnsi="Wingdings" w:hint="default"/>
      </w:rPr>
    </w:lvl>
  </w:abstractNum>
  <w:abstractNum w:abstractNumId="3" w15:restartNumberingAfterBreak="0">
    <w:nsid w:val="00E87976"/>
    <w:multiLevelType w:val="hybridMultilevel"/>
    <w:tmpl w:val="F4424F28"/>
    <w:lvl w:ilvl="0" w:tplc="787E1DE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D453F5"/>
    <w:multiLevelType w:val="multilevel"/>
    <w:tmpl w:val="5D4A3E8A"/>
    <w:lvl w:ilvl="0">
      <w:start w:val="1"/>
      <w:numFmt w:val="bullet"/>
      <w:pStyle w:val="PortfolioBullet"/>
      <w:lvlText w:val=""/>
      <w:lvlJc w:val="left"/>
      <w:pPr>
        <w:tabs>
          <w:tab w:val="num" w:pos="567"/>
        </w:tabs>
        <w:ind w:left="567" w:hanging="567"/>
      </w:pPr>
      <w:rPr>
        <w:rFonts w:ascii="Symbol" w:hAnsi="Symbol" w:hint="default"/>
      </w:rPr>
    </w:lvl>
    <w:lvl w:ilvl="1">
      <w:start w:val="1"/>
      <w:numFmt w:val="bullet"/>
      <w:pStyle w:val="PortfolioBullet2"/>
      <w:lvlText w:val=""/>
      <w:lvlJc w:val="left"/>
      <w:pPr>
        <w:tabs>
          <w:tab w:val="num" w:pos="1134"/>
        </w:tabs>
        <w:ind w:left="1134" w:hanging="567"/>
      </w:pPr>
      <w:rPr>
        <w:rFonts w:ascii="Symbol" w:hAnsi="Symbol" w:hint="default"/>
      </w:rPr>
    </w:lvl>
    <w:lvl w:ilvl="2">
      <w:start w:val="1"/>
      <w:numFmt w:val="bullet"/>
      <w:pStyle w:val="Portfolio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1"/>
        </w:tabs>
        <w:ind w:left="4321" w:hanging="721"/>
      </w:pPr>
      <w:rPr>
        <w:rFonts w:ascii="Symbol" w:hAnsi="Symbol" w:hint="default"/>
      </w:rPr>
    </w:lvl>
    <w:lvl w:ilvl="6">
      <w:start w:val="1"/>
      <w:numFmt w:val="bullet"/>
      <w:lvlText w:val=""/>
      <w:lvlJc w:val="left"/>
      <w:pPr>
        <w:tabs>
          <w:tab w:val="num" w:pos="5041"/>
        </w:tabs>
        <w:ind w:left="5041" w:hanging="720"/>
      </w:pPr>
      <w:rPr>
        <w:rFonts w:ascii="Symbol" w:hAnsi="Symbol" w:hint="default"/>
      </w:rPr>
    </w:lvl>
    <w:lvl w:ilvl="7">
      <w:start w:val="1"/>
      <w:numFmt w:val="bullet"/>
      <w:lvlText w:val=""/>
      <w:lvlJc w:val="left"/>
      <w:pPr>
        <w:tabs>
          <w:tab w:val="num" w:pos="5761"/>
        </w:tabs>
        <w:ind w:left="5761" w:hanging="720"/>
      </w:pPr>
      <w:rPr>
        <w:rFonts w:ascii="Symbol" w:hAnsi="Symbol" w:hint="default"/>
      </w:rPr>
    </w:lvl>
    <w:lvl w:ilvl="8">
      <w:start w:val="1"/>
      <w:numFmt w:val="bullet"/>
      <w:lvlText w:val=""/>
      <w:lvlJc w:val="left"/>
      <w:pPr>
        <w:tabs>
          <w:tab w:val="num" w:pos="6481"/>
        </w:tabs>
        <w:ind w:left="6481" w:hanging="720"/>
      </w:pPr>
      <w:rPr>
        <w:rFonts w:ascii="Symbol" w:hAnsi="Symbol" w:hint="default"/>
      </w:rPr>
    </w:lvl>
  </w:abstractNum>
  <w:abstractNum w:abstractNumId="5" w15:restartNumberingAfterBreak="0">
    <w:nsid w:val="04542B2E"/>
    <w:multiLevelType w:val="hybridMultilevel"/>
    <w:tmpl w:val="9C329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A4848"/>
    <w:multiLevelType w:val="hybridMultilevel"/>
    <w:tmpl w:val="4B628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145D6B"/>
    <w:multiLevelType w:val="hybridMultilevel"/>
    <w:tmpl w:val="3C8414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FD5AF4"/>
    <w:multiLevelType w:val="hybridMultilevel"/>
    <w:tmpl w:val="36FA8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3C0C85"/>
    <w:multiLevelType w:val="hybridMultilevel"/>
    <w:tmpl w:val="00122216"/>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34E59B1"/>
    <w:multiLevelType w:val="hybridMultilevel"/>
    <w:tmpl w:val="B54821F6"/>
    <w:lvl w:ilvl="0" w:tplc="A76C8E4E">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49257E5"/>
    <w:multiLevelType w:val="hybridMultilevel"/>
    <w:tmpl w:val="D88E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1C4E1A"/>
    <w:multiLevelType w:val="hybridMultilevel"/>
    <w:tmpl w:val="EADE0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136654"/>
    <w:multiLevelType w:val="hybridMultilevel"/>
    <w:tmpl w:val="D382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3A30D2"/>
    <w:multiLevelType w:val="hybridMultilevel"/>
    <w:tmpl w:val="44FA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87F80"/>
    <w:multiLevelType w:val="hybridMultilevel"/>
    <w:tmpl w:val="3E8CEF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1487693"/>
    <w:multiLevelType w:val="hybridMultilevel"/>
    <w:tmpl w:val="54BE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FC722C"/>
    <w:multiLevelType w:val="hybridMultilevel"/>
    <w:tmpl w:val="A01CF4DA"/>
    <w:lvl w:ilvl="0" w:tplc="FFFFFFFF">
      <w:start w:val="1"/>
      <w:numFmt w:val="bullet"/>
      <w:lvlText w:val=""/>
      <w:lvlJc w:val="left"/>
      <w:pPr>
        <w:ind w:left="720" w:hanging="360"/>
      </w:pPr>
      <w:rPr>
        <w:rFonts w:ascii="Symbol" w:hAnsi="Symbol" w:hint="default"/>
      </w:rPr>
    </w:lvl>
    <w:lvl w:ilvl="1" w:tplc="356E1ADE">
      <w:start w:val="1"/>
      <w:numFmt w:val="bullet"/>
      <w:lvlText w:val=""/>
      <w:lvlJc w:val="left"/>
      <w:pPr>
        <w:ind w:left="1440" w:hanging="360"/>
      </w:pPr>
      <w:rPr>
        <w:rFonts w:ascii="Wingdings" w:hAnsi="Wingdings" w:hint="default"/>
        <w:sz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4A28D1"/>
    <w:multiLevelType w:val="hybridMultilevel"/>
    <w:tmpl w:val="00724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7426B0"/>
    <w:multiLevelType w:val="hybridMultilevel"/>
    <w:tmpl w:val="D5769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EE5B7E"/>
    <w:multiLevelType w:val="multilevel"/>
    <w:tmpl w:val="67721454"/>
    <w:lvl w:ilvl="0">
      <w:numFmt w:val="bullet"/>
      <w:lvlText w:val="·"/>
      <w:lvlJc w:val="left"/>
      <w:pPr>
        <w:tabs>
          <w:tab w:val="left" w:pos="648"/>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77348D"/>
    <w:multiLevelType w:val="hybridMultilevel"/>
    <w:tmpl w:val="65DAE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D5541C"/>
    <w:multiLevelType w:val="hybridMultilevel"/>
    <w:tmpl w:val="FC0CED78"/>
    <w:lvl w:ilvl="0" w:tplc="827092E4">
      <w:start w:val="1"/>
      <w:numFmt w:val="bullet"/>
      <w:lvlText w:val=""/>
      <w:lvlJc w:val="left"/>
      <w:pPr>
        <w:ind w:left="780" w:hanging="360"/>
      </w:pPr>
      <w:rPr>
        <w:rFonts w:ascii="Symbol" w:hAnsi="Symbol" w:hint="default"/>
        <w:color w:val="000000" w:themeColor="text1"/>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2F6C7F55"/>
    <w:multiLevelType w:val="hybridMultilevel"/>
    <w:tmpl w:val="568811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D05207"/>
    <w:multiLevelType w:val="hybridMultilevel"/>
    <w:tmpl w:val="58203236"/>
    <w:lvl w:ilvl="0" w:tplc="0C090001">
      <w:start w:val="1"/>
      <w:numFmt w:val="bullet"/>
      <w:lvlText w:val=""/>
      <w:lvlJc w:val="left"/>
      <w:pPr>
        <w:ind w:left="869" w:hanging="360"/>
      </w:pPr>
      <w:rPr>
        <w:rFonts w:ascii="Symbol" w:hAnsi="Symbol" w:hint="default"/>
        <w:color w:val="000000"/>
      </w:rPr>
    </w:lvl>
    <w:lvl w:ilvl="1" w:tplc="0C090003" w:tentative="1">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25" w15:restartNumberingAfterBreak="0">
    <w:nsid w:val="31E31346"/>
    <w:multiLevelType w:val="hybridMultilevel"/>
    <w:tmpl w:val="9D821220"/>
    <w:lvl w:ilvl="0" w:tplc="0C090001">
      <w:start w:val="1"/>
      <w:numFmt w:val="bullet"/>
      <w:lvlText w:val=""/>
      <w:lvlJc w:val="left"/>
      <w:pPr>
        <w:ind w:left="360" w:hanging="360"/>
      </w:pPr>
      <w:rPr>
        <w:rFonts w:ascii="Symbol" w:hAnsi="Symbol" w:hint="default"/>
      </w:rPr>
    </w:lvl>
    <w:lvl w:ilvl="1" w:tplc="DA9C13CC">
      <w:numFmt w:val="bullet"/>
      <w:lvlText w:val="-"/>
      <w:lvlJc w:val="left"/>
      <w:pPr>
        <w:ind w:left="1080" w:hanging="36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2C8593B"/>
    <w:multiLevelType w:val="hybridMultilevel"/>
    <w:tmpl w:val="F5881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0FA90D"/>
    <w:multiLevelType w:val="hybridMultilevel"/>
    <w:tmpl w:val="8DB254B0"/>
    <w:lvl w:ilvl="0" w:tplc="6130EA60">
      <w:start w:val="1"/>
      <w:numFmt w:val="bullet"/>
      <w:lvlText w:val="·"/>
      <w:lvlJc w:val="left"/>
      <w:pPr>
        <w:ind w:left="720" w:hanging="360"/>
      </w:pPr>
      <w:rPr>
        <w:rFonts w:ascii="Symbol" w:hAnsi="Symbol" w:hint="default"/>
      </w:rPr>
    </w:lvl>
    <w:lvl w:ilvl="1" w:tplc="10282F30">
      <w:start w:val="1"/>
      <w:numFmt w:val="bullet"/>
      <w:lvlText w:val="o"/>
      <w:lvlJc w:val="left"/>
      <w:pPr>
        <w:ind w:left="1440" w:hanging="360"/>
      </w:pPr>
      <w:rPr>
        <w:rFonts w:ascii="Courier New" w:hAnsi="Courier New" w:hint="default"/>
      </w:rPr>
    </w:lvl>
    <w:lvl w:ilvl="2" w:tplc="939A2826">
      <w:start w:val="1"/>
      <w:numFmt w:val="bullet"/>
      <w:lvlText w:val=""/>
      <w:lvlJc w:val="left"/>
      <w:pPr>
        <w:ind w:left="2160" w:hanging="360"/>
      </w:pPr>
      <w:rPr>
        <w:rFonts w:ascii="Wingdings" w:hAnsi="Wingdings" w:hint="default"/>
      </w:rPr>
    </w:lvl>
    <w:lvl w:ilvl="3" w:tplc="9B4A15D4">
      <w:start w:val="1"/>
      <w:numFmt w:val="bullet"/>
      <w:lvlText w:val=""/>
      <w:lvlJc w:val="left"/>
      <w:pPr>
        <w:ind w:left="2880" w:hanging="360"/>
      </w:pPr>
      <w:rPr>
        <w:rFonts w:ascii="Symbol" w:hAnsi="Symbol" w:hint="default"/>
      </w:rPr>
    </w:lvl>
    <w:lvl w:ilvl="4" w:tplc="D918F998">
      <w:start w:val="1"/>
      <w:numFmt w:val="bullet"/>
      <w:lvlText w:val="o"/>
      <w:lvlJc w:val="left"/>
      <w:pPr>
        <w:ind w:left="3600" w:hanging="360"/>
      </w:pPr>
      <w:rPr>
        <w:rFonts w:ascii="Courier New" w:hAnsi="Courier New" w:hint="default"/>
      </w:rPr>
    </w:lvl>
    <w:lvl w:ilvl="5" w:tplc="DEDA0B2C">
      <w:start w:val="1"/>
      <w:numFmt w:val="bullet"/>
      <w:lvlText w:val=""/>
      <w:lvlJc w:val="left"/>
      <w:pPr>
        <w:ind w:left="4320" w:hanging="360"/>
      </w:pPr>
      <w:rPr>
        <w:rFonts w:ascii="Wingdings" w:hAnsi="Wingdings" w:hint="default"/>
      </w:rPr>
    </w:lvl>
    <w:lvl w:ilvl="6" w:tplc="0FCC6648">
      <w:start w:val="1"/>
      <w:numFmt w:val="bullet"/>
      <w:lvlText w:val=""/>
      <w:lvlJc w:val="left"/>
      <w:pPr>
        <w:ind w:left="5040" w:hanging="360"/>
      </w:pPr>
      <w:rPr>
        <w:rFonts w:ascii="Symbol" w:hAnsi="Symbol" w:hint="default"/>
      </w:rPr>
    </w:lvl>
    <w:lvl w:ilvl="7" w:tplc="642C5368">
      <w:start w:val="1"/>
      <w:numFmt w:val="bullet"/>
      <w:lvlText w:val="o"/>
      <w:lvlJc w:val="left"/>
      <w:pPr>
        <w:ind w:left="5760" w:hanging="360"/>
      </w:pPr>
      <w:rPr>
        <w:rFonts w:ascii="Courier New" w:hAnsi="Courier New" w:hint="default"/>
      </w:rPr>
    </w:lvl>
    <w:lvl w:ilvl="8" w:tplc="517670CA">
      <w:start w:val="1"/>
      <w:numFmt w:val="bullet"/>
      <w:lvlText w:val=""/>
      <w:lvlJc w:val="left"/>
      <w:pPr>
        <w:ind w:left="6480" w:hanging="360"/>
      </w:pPr>
      <w:rPr>
        <w:rFonts w:ascii="Wingdings" w:hAnsi="Wingdings" w:hint="default"/>
      </w:rPr>
    </w:lvl>
  </w:abstractNum>
  <w:abstractNum w:abstractNumId="28" w15:restartNumberingAfterBreak="0">
    <w:nsid w:val="33DD65B4"/>
    <w:multiLevelType w:val="hybridMultilevel"/>
    <w:tmpl w:val="02D06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E552E0"/>
    <w:multiLevelType w:val="hybridMultilevel"/>
    <w:tmpl w:val="64A8E7CA"/>
    <w:lvl w:ilvl="0" w:tplc="0C090001">
      <w:start w:val="1"/>
      <w:numFmt w:val="bullet"/>
      <w:lvlText w:val=""/>
      <w:lvlJc w:val="left"/>
      <w:pPr>
        <w:ind w:left="720" w:hanging="360"/>
      </w:pPr>
      <w:rPr>
        <w:rFonts w:ascii="Symbol" w:hAnsi="Symbol" w:hint="default"/>
      </w:rPr>
    </w:lvl>
    <w:lvl w:ilvl="1" w:tplc="BFE42BB4">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2F4D0C"/>
    <w:multiLevelType w:val="hybridMultilevel"/>
    <w:tmpl w:val="F3D242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9F7B35"/>
    <w:multiLevelType w:val="hybridMultilevel"/>
    <w:tmpl w:val="F156F2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7E93410"/>
    <w:multiLevelType w:val="hybridMultilevel"/>
    <w:tmpl w:val="41B056B0"/>
    <w:lvl w:ilvl="0" w:tplc="8738EE02">
      <w:start w:val="1"/>
      <w:numFmt w:val="bullet"/>
      <w:lvlText w:val=""/>
      <w:lvlJc w:val="left"/>
      <w:pPr>
        <w:ind w:left="928" w:hanging="360"/>
      </w:pPr>
      <w:rPr>
        <w:rFonts w:ascii="Symbol" w:hAnsi="Symbol" w:hint="default"/>
        <w:color w:val="000000" w:themeColor="text1"/>
        <w:sz w:val="2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3" w15:restartNumberingAfterBreak="0">
    <w:nsid w:val="38066C1F"/>
    <w:multiLevelType w:val="hybridMultilevel"/>
    <w:tmpl w:val="62A0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6A2927"/>
    <w:multiLevelType w:val="hybridMultilevel"/>
    <w:tmpl w:val="E4FA0D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3DDB3BA7"/>
    <w:multiLevelType w:val="hybridMultilevel"/>
    <w:tmpl w:val="808E4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7D5ACE"/>
    <w:multiLevelType w:val="multilevel"/>
    <w:tmpl w:val="949A6FBC"/>
    <w:lvl w:ilvl="0">
      <w:numFmt w:val="bullet"/>
      <w:lvlText w:val="·"/>
      <w:lvlJc w:val="left"/>
      <w:pPr>
        <w:tabs>
          <w:tab w:val="left" w:pos="648"/>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0937DD0"/>
    <w:multiLevelType w:val="hybridMultilevel"/>
    <w:tmpl w:val="D6CCE07C"/>
    <w:lvl w:ilvl="0" w:tplc="0C09000B">
      <w:start w:val="1"/>
      <w:numFmt w:val="bullet"/>
      <w:lvlText w:val=""/>
      <w:lvlJc w:val="left"/>
      <w:pPr>
        <w:ind w:left="928" w:hanging="360"/>
      </w:pPr>
      <w:rPr>
        <w:rFonts w:ascii="Wingdings" w:hAnsi="Wingdings"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8" w15:restartNumberingAfterBreak="0">
    <w:nsid w:val="40A95BF5"/>
    <w:multiLevelType w:val="hybridMultilevel"/>
    <w:tmpl w:val="EEDC2FEE"/>
    <w:lvl w:ilvl="0" w:tplc="6A86FF94">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9" w15:restartNumberingAfterBreak="0">
    <w:nsid w:val="4474498D"/>
    <w:multiLevelType w:val="hybridMultilevel"/>
    <w:tmpl w:val="F8AED234"/>
    <w:lvl w:ilvl="0" w:tplc="CAE41798">
      <w:start w:val="1"/>
      <w:numFmt w:val="bullet"/>
      <w:lvlText w:val=""/>
      <w:lvlJc w:val="left"/>
      <w:pPr>
        <w:ind w:left="720" w:hanging="360"/>
      </w:pPr>
      <w:rPr>
        <w:rFonts w:ascii="Symbol" w:hAnsi="Symbol" w:hint="default"/>
      </w:rPr>
    </w:lvl>
    <w:lvl w:ilvl="1" w:tplc="A058F9A0">
      <w:start w:val="1"/>
      <w:numFmt w:val="bullet"/>
      <w:lvlText w:val="o"/>
      <w:lvlJc w:val="left"/>
      <w:pPr>
        <w:ind w:left="1440" w:hanging="360"/>
      </w:pPr>
      <w:rPr>
        <w:rFonts w:ascii="Courier New" w:hAnsi="Courier New" w:hint="default"/>
      </w:rPr>
    </w:lvl>
    <w:lvl w:ilvl="2" w:tplc="09EADAD2">
      <w:start w:val="1"/>
      <w:numFmt w:val="bullet"/>
      <w:lvlText w:val=""/>
      <w:lvlJc w:val="left"/>
      <w:pPr>
        <w:ind w:left="2160" w:hanging="360"/>
      </w:pPr>
      <w:rPr>
        <w:rFonts w:ascii="Wingdings" w:hAnsi="Wingdings" w:hint="default"/>
      </w:rPr>
    </w:lvl>
    <w:lvl w:ilvl="3" w:tplc="3D9608AA">
      <w:start w:val="1"/>
      <w:numFmt w:val="bullet"/>
      <w:lvlText w:val=""/>
      <w:lvlJc w:val="left"/>
      <w:pPr>
        <w:ind w:left="2880" w:hanging="360"/>
      </w:pPr>
      <w:rPr>
        <w:rFonts w:ascii="Symbol" w:hAnsi="Symbol" w:hint="default"/>
      </w:rPr>
    </w:lvl>
    <w:lvl w:ilvl="4" w:tplc="AD7271A6">
      <w:start w:val="1"/>
      <w:numFmt w:val="bullet"/>
      <w:lvlText w:val="o"/>
      <w:lvlJc w:val="left"/>
      <w:pPr>
        <w:ind w:left="3600" w:hanging="360"/>
      </w:pPr>
      <w:rPr>
        <w:rFonts w:ascii="Courier New" w:hAnsi="Courier New" w:hint="default"/>
      </w:rPr>
    </w:lvl>
    <w:lvl w:ilvl="5" w:tplc="4FB8AB10">
      <w:start w:val="1"/>
      <w:numFmt w:val="bullet"/>
      <w:lvlText w:val=""/>
      <w:lvlJc w:val="left"/>
      <w:pPr>
        <w:ind w:left="4320" w:hanging="360"/>
      </w:pPr>
      <w:rPr>
        <w:rFonts w:ascii="Wingdings" w:hAnsi="Wingdings" w:hint="default"/>
      </w:rPr>
    </w:lvl>
    <w:lvl w:ilvl="6" w:tplc="0DF4BA96">
      <w:start w:val="1"/>
      <w:numFmt w:val="bullet"/>
      <w:lvlText w:val=""/>
      <w:lvlJc w:val="left"/>
      <w:pPr>
        <w:ind w:left="5040" w:hanging="360"/>
      </w:pPr>
      <w:rPr>
        <w:rFonts w:ascii="Symbol" w:hAnsi="Symbol" w:hint="default"/>
      </w:rPr>
    </w:lvl>
    <w:lvl w:ilvl="7" w:tplc="80B8AA42">
      <w:start w:val="1"/>
      <w:numFmt w:val="bullet"/>
      <w:lvlText w:val="o"/>
      <w:lvlJc w:val="left"/>
      <w:pPr>
        <w:ind w:left="5760" w:hanging="360"/>
      </w:pPr>
      <w:rPr>
        <w:rFonts w:ascii="Courier New" w:hAnsi="Courier New" w:hint="default"/>
      </w:rPr>
    </w:lvl>
    <w:lvl w:ilvl="8" w:tplc="36E8C442">
      <w:start w:val="1"/>
      <w:numFmt w:val="bullet"/>
      <w:lvlText w:val=""/>
      <w:lvlJc w:val="left"/>
      <w:pPr>
        <w:ind w:left="6480" w:hanging="360"/>
      </w:pPr>
      <w:rPr>
        <w:rFonts w:ascii="Wingdings" w:hAnsi="Wingdings" w:hint="default"/>
      </w:rPr>
    </w:lvl>
  </w:abstractNum>
  <w:abstractNum w:abstractNumId="40" w15:restartNumberingAfterBreak="0">
    <w:nsid w:val="452B50A5"/>
    <w:multiLevelType w:val="hybridMultilevel"/>
    <w:tmpl w:val="2CE6C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42" w15:restartNumberingAfterBreak="0">
    <w:nsid w:val="459367C1"/>
    <w:multiLevelType w:val="hybridMultilevel"/>
    <w:tmpl w:val="414E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E46D03"/>
    <w:multiLevelType w:val="hybridMultilevel"/>
    <w:tmpl w:val="B20C2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AD2F1D"/>
    <w:multiLevelType w:val="hybridMultilevel"/>
    <w:tmpl w:val="34342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D80014"/>
    <w:multiLevelType w:val="hybridMultilevel"/>
    <w:tmpl w:val="974489FC"/>
    <w:lvl w:ilvl="0" w:tplc="F51028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7EAD749"/>
    <w:multiLevelType w:val="hybridMultilevel"/>
    <w:tmpl w:val="50427590"/>
    <w:lvl w:ilvl="0" w:tplc="9BFC941A">
      <w:start w:val="1"/>
      <w:numFmt w:val="bullet"/>
      <w:lvlText w:val=""/>
      <w:lvlJc w:val="left"/>
      <w:pPr>
        <w:ind w:left="720" w:hanging="360"/>
      </w:pPr>
      <w:rPr>
        <w:rFonts w:ascii="Symbol" w:hAnsi="Symbol" w:hint="default"/>
      </w:rPr>
    </w:lvl>
    <w:lvl w:ilvl="1" w:tplc="33FEF798">
      <w:start w:val="1"/>
      <w:numFmt w:val="bullet"/>
      <w:lvlText w:val="o"/>
      <w:lvlJc w:val="left"/>
      <w:pPr>
        <w:ind w:left="1440" w:hanging="360"/>
      </w:pPr>
      <w:rPr>
        <w:rFonts w:ascii="Courier New" w:hAnsi="Courier New" w:hint="default"/>
      </w:rPr>
    </w:lvl>
    <w:lvl w:ilvl="2" w:tplc="2BC0E69A">
      <w:start w:val="1"/>
      <w:numFmt w:val="bullet"/>
      <w:lvlText w:val=""/>
      <w:lvlJc w:val="left"/>
      <w:pPr>
        <w:ind w:left="2160" w:hanging="360"/>
      </w:pPr>
      <w:rPr>
        <w:rFonts w:ascii="Wingdings" w:hAnsi="Wingdings" w:hint="default"/>
      </w:rPr>
    </w:lvl>
    <w:lvl w:ilvl="3" w:tplc="3456134C">
      <w:start w:val="1"/>
      <w:numFmt w:val="bullet"/>
      <w:lvlText w:val=""/>
      <w:lvlJc w:val="left"/>
      <w:pPr>
        <w:ind w:left="2880" w:hanging="360"/>
      </w:pPr>
      <w:rPr>
        <w:rFonts w:ascii="Symbol" w:hAnsi="Symbol" w:hint="default"/>
      </w:rPr>
    </w:lvl>
    <w:lvl w:ilvl="4" w:tplc="ABD0D4C4">
      <w:start w:val="1"/>
      <w:numFmt w:val="bullet"/>
      <w:lvlText w:val="o"/>
      <w:lvlJc w:val="left"/>
      <w:pPr>
        <w:ind w:left="3600" w:hanging="360"/>
      </w:pPr>
      <w:rPr>
        <w:rFonts w:ascii="Courier New" w:hAnsi="Courier New" w:hint="default"/>
      </w:rPr>
    </w:lvl>
    <w:lvl w:ilvl="5" w:tplc="0EA8BCE6">
      <w:start w:val="1"/>
      <w:numFmt w:val="bullet"/>
      <w:lvlText w:val=""/>
      <w:lvlJc w:val="left"/>
      <w:pPr>
        <w:ind w:left="4320" w:hanging="360"/>
      </w:pPr>
      <w:rPr>
        <w:rFonts w:ascii="Wingdings" w:hAnsi="Wingdings" w:hint="default"/>
      </w:rPr>
    </w:lvl>
    <w:lvl w:ilvl="6" w:tplc="36166A82">
      <w:start w:val="1"/>
      <w:numFmt w:val="bullet"/>
      <w:lvlText w:val=""/>
      <w:lvlJc w:val="left"/>
      <w:pPr>
        <w:ind w:left="5040" w:hanging="360"/>
      </w:pPr>
      <w:rPr>
        <w:rFonts w:ascii="Symbol" w:hAnsi="Symbol" w:hint="default"/>
      </w:rPr>
    </w:lvl>
    <w:lvl w:ilvl="7" w:tplc="7F484D5C">
      <w:start w:val="1"/>
      <w:numFmt w:val="bullet"/>
      <w:lvlText w:val="o"/>
      <w:lvlJc w:val="left"/>
      <w:pPr>
        <w:ind w:left="5760" w:hanging="360"/>
      </w:pPr>
      <w:rPr>
        <w:rFonts w:ascii="Courier New" w:hAnsi="Courier New" w:hint="default"/>
      </w:rPr>
    </w:lvl>
    <w:lvl w:ilvl="8" w:tplc="3EA84114">
      <w:start w:val="1"/>
      <w:numFmt w:val="bullet"/>
      <w:lvlText w:val=""/>
      <w:lvlJc w:val="left"/>
      <w:pPr>
        <w:ind w:left="6480" w:hanging="360"/>
      </w:pPr>
      <w:rPr>
        <w:rFonts w:ascii="Wingdings" w:hAnsi="Wingdings" w:hint="default"/>
      </w:rPr>
    </w:lvl>
  </w:abstractNum>
  <w:abstractNum w:abstractNumId="47" w15:restartNumberingAfterBreak="0">
    <w:nsid w:val="49574193"/>
    <w:multiLevelType w:val="hybridMultilevel"/>
    <w:tmpl w:val="DA72F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0369AF"/>
    <w:multiLevelType w:val="hybridMultilevel"/>
    <w:tmpl w:val="388CAB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B2A3F16"/>
    <w:multiLevelType w:val="hybridMultilevel"/>
    <w:tmpl w:val="BBFC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853DB8"/>
    <w:multiLevelType w:val="hybridMultilevel"/>
    <w:tmpl w:val="25D269F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1" w15:restartNumberingAfterBreak="0">
    <w:nsid w:val="4F7621DE"/>
    <w:multiLevelType w:val="hybridMultilevel"/>
    <w:tmpl w:val="01E88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FFB249F"/>
    <w:multiLevelType w:val="hybridMultilevel"/>
    <w:tmpl w:val="59D4AF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011741C"/>
    <w:multiLevelType w:val="multilevel"/>
    <w:tmpl w:val="2E34E0D8"/>
    <w:lvl w:ilvl="0">
      <w:numFmt w:val="bullet"/>
      <w:lvlText w:val="·"/>
      <w:lvlJc w:val="left"/>
      <w:pPr>
        <w:tabs>
          <w:tab w:val="left" w:pos="720"/>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55" w15:restartNumberingAfterBreak="0">
    <w:nsid w:val="54E64578"/>
    <w:multiLevelType w:val="hybridMultilevel"/>
    <w:tmpl w:val="9418F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5A448F8"/>
    <w:multiLevelType w:val="hybridMultilevel"/>
    <w:tmpl w:val="459CD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71B6B35"/>
    <w:multiLevelType w:val="hybridMultilevel"/>
    <w:tmpl w:val="3ACE6F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51EE84"/>
    <w:multiLevelType w:val="hybridMultilevel"/>
    <w:tmpl w:val="8CECCF4C"/>
    <w:lvl w:ilvl="0" w:tplc="0E0EA4F2">
      <w:start w:val="1"/>
      <w:numFmt w:val="bullet"/>
      <w:lvlText w:val="·"/>
      <w:lvlJc w:val="left"/>
      <w:pPr>
        <w:ind w:left="720" w:hanging="360"/>
      </w:pPr>
      <w:rPr>
        <w:rFonts w:ascii="Symbol" w:hAnsi="Symbol" w:hint="default"/>
      </w:rPr>
    </w:lvl>
    <w:lvl w:ilvl="1" w:tplc="4400311C">
      <w:start w:val="1"/>
      <w:numFmt w:val="bullet"/>
      <w:lvlText w:val="o"/>
      <w:lvlJc w:val="left"/>
      <w:pPr>
        <w:ind w:left="1440" w:hanging="360"/>
      </w:pPr>
      <w:rPr>
        <w:rFonts w:ascii="Courier New" w:hAnsi="Courier New" w:hint="default"/>
      </w:rPr>
    </w:lvl>
    <w:lvl w:ilvl="2" w:tplc="79620B5C">
      <w:start w:val="1"/>
      <w:numFmt w:val="bullet"/>
      <w:lvlText w:val=""/>
      <w:lvlJc w:val="left"/>
      <w:pPr>
        <w:ind w:left="2160" w:hanging="360"/>
      </w:pPr>
      <w:rPr>
        <w:rFonts w:ascii="Wingdings" w:hAnsi="Wingdings" w:hint="default"/>
      </w:rPr>
    </w:lvl>
    <w:lvl w:ilvl="3" w:tplc="280841F6">
      <w:start w:val="1"/>
      <w:numFmt w:val="bullet"/>
      <w:lvlText w:val=""/>
      <w:lvlJc w:val="left"/>
      <w:pPr>
        <w:ind w:left="2880" w:hanging="360"/>
      </w:pPr>
      <w:rPr>
        <w:rFonts w:ascii="Symbol" w:hAnsi="Symbol" w:hint="default"/>
      </w:rPr>
    </w:lvl>
    <w:lvl w:ilvl="4" w:tplc="DCDA3E86">
      <w:start w:val="1"/>
      <w:numFmt w:val="bullet"/>
      <w:lvlText w:val="o"/>
      <w:lvlJc w:val="left"/>
      <w:pPr>
        <w:ind w:left="3600" w:hanging="360"/>
      </w:pPr>
      <w:rPr>
        <w:rFonts w:ascii="Courier New" w:hAnsi="Courier New" w:hint="default"/>
      </w:rPr>
    </w:lvl>
    <w:lvl w:ilvl="5" w:tplc="F2402196">
      <w:start w:val="1"/>
      <w:numFmt w:val="bullet"/>
      <w:lvlText w:val=""/>
      <w:lvlJc w:val="left"/>
      <w:pPr>
        <w:ind w:left="4320" w:hanging="360"/>
      </w:pPr>
      <w:rPr>
        <w:rFonts w:ascii="Wingdings" w:hAnsi="Wingdings" w:hint="default"/>
      </w:rPr>
    </w:lvl>
    <w:lvl w:ilvl="6" w:tplc="D87A7806">
      <w:start w:val="1"/>
      <w:numFmt w:val="bullet"/>
      <w:lvlText w:val=""/>
      <w:lvlJc w:val="left"/>
      <w:pPr>
        <w:ind w:left="5040" w:hanging="360"/>
      </w:pPr>
      <w:rPr>
        <w:rFonts w:ascii="Symbol" w:hAnsi="Symbol" w:hint="default"/>
      </w:rPr>
    </w:lvl>
    <w:lvl w:ilvl="7" w:tplc="EAAC7002">
      <w:start w:val="1"/>
      <w:numFmt w:val="bullet"/>
      <w:lvlText w:val="o"/>
      <w:lvlJc w:val="left"/>
      <w:pPr>
        <w:ind w:left="5760" w:hanging="360"/>
      </w:pPr>
      <w:rPr>
        <w:rFonts w:ascii="Courier New" w:hAnsi="Courier New" w:hint="default"/>
      </w:rPr>
    </w:lvl>
    <w:lvl w:ilvl="8" w:tplc="8D80D332">
      <w:start w:val="1"/>
      <w:numFmt w:val="bullet"/>
      <w:lvlText w:val=""/>
      <w:lvlJc w:val="left"/>
      <w:pPr>
        <w:ind w:left="6480" w:hanging="360"/>
      </w:pPr>
      <w:rPr>
        <w:rFonts w:ascii="Wingdings" w:hAnsi="Wingdings" w:hint="default"/>
      </w:rPr>
    </w:lvl>
  </w:abstractNum>
  <w:abstractNum w:abstractNumId="59" w15:restartNumberingAfterBreak="0">
    <w:nsid w:val="576E6623"/>
    <w:multiLevelType w:val="hybridMultilevel"/>
    <w:tmpl w:val="335015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61" w15:restartNumberingAfterBreak="0">
    <w:nsid w:val="5A12405F"/>
    <w:multiLevelType w:val="hybridMultilevel"/>
    <w:tmpl w:val="6028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B7D0EA1"/>
    <w:multiLevelType w:val="hybridMultilevel"/>
    <w:tmpl w:val="F6549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C29528C"/>
    <w:multiLevelType w:val="hybridMultilevel"/>
    <w:tmpl w:val="BCE05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B512F1"/>
    <w:multiLevelType w:val="hybridMultilevel"/>
    <w:tmpl w:val="C334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EF64EE7"/>
    <w:multiLevelType w:val="hybridMultilevel"/>
    <w:tmpl w:val="678C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01375C7"/>
    <w:multiLevelType w:val="hybridMultilevel"/>
    <w:tmpl w:val="3EE42A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0A1429E"/>
    <w:multiLevelType w:val="hybridMultilevel"/>
    <w:tmpl w:val="DB40D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2C91463"/>
    <w:multiLevelType w:val="hybridMultilevel"/>
    <w:tmpl w:val="4ED84ECC"/>
    <w:lvl w:ilvl="0" w:tplc="98602FBE">
      <w:start w:val="1"/>
      <w:numFmt w:val="bullet"/>
      <w:pStyle w:val="Bullets"/>
      <w:lvlText w:val=""/>
      <w:lvlJc w:val="left"/>
      <w:pPr>
        <w:ind w:left="1495"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2FD496D"/>
    <w:multiLevelType w:val="hybridMultilevel"/>
    <w:tmpl w:val="563CC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5E1241D"/>
    <w:multiLevelType w:val="hybridMultilevel"/>
    <w:tmpl w:val="6DF48F4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69523957"/>
    <w:multiLevelType w:val="hybridMultilevel"/>
    <w:tmpl w:val="FF945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9B3676"/>
    <w:multiLevelType w:val="hybridMultilevel"/>
    <w:tmpl w:val="052A5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9B21A28"/>
    <w:multiLevelType w:val="hybridMultilevel"/>
    <w:tmpl w:val="2DA8F4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6A8E1EED"/>
    <w:multiLevelType w:val="hybridMultilevel"/>
    <w:tmpl w:val="2DE4F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C302C45"/>
    <w:multiLevelType w:val="hybridMultilevel"/>
    <w:tmpl w:val="2DEAE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65730BC"/>
    <w:multiLevelType w:val="multilevel"/>
    <w:tmpl w:val="9ED00FC6"/>
    <w:lvl w:ilvl="0">
      <w:start w:val="1"/>
      <w:numFmt w:val="lowerLetter"/>
      <w:lvlText w:val="(%1)"/>
      <w:lvlJc w:val="left"/>
      <w:pPr>
        <w:tabs>
          <w:tab w:val="left" w:pos="720"/>
        </w:tabs>
      </w:pPr>
      <w:rPr>
        <w:rFonts w:ascii="Arial" w:eastAsia="Arial" w:hAnsi="Aria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5D369B"/>
    <w:multiLevelType w:val="hybridMultilevel"/>
    <w:tmpl w:val="9CD06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A304490"/>
    <w:multiLevelType w:val="hybridMultilevel"/>
    <w:tmpl w:val="FF3E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B1066D9"/>
    <w:multiLevelType w:val="hybridMultilevel"/>
    <w:tmpl w:val="9C48F35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7F4A1B73"/>
    <w:multiLevelType w:val="hybridMultilevel"/>
    <w:tmpl w:val="5F363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0"/>
  </w:num>
  <w:num w:numId="4">
    <w:abstractNumId w:val="67"/>
  </w:num>
  <w:num w:numId="5">
    <w:abstractNumId w:val="54"/>
  </w:num>
  <w:num w:numId="6">
    <w:abstractNumId w:val="60"/>
  </w:num>
  <w:num w:numId="7">
    <w:abstractNumId w:val="69"/>
  </w:num>
  <w:num w:numId="8">
    <w:abstractNumId w:val="4"/>
  </w:num>
  <w:num w:numId="9">
    <w:abstractNumId w:val="65"/>
  </w:num>
  <w:num w:numId="10">
    <w:abstractNumId w:val="3"/>
  </w:num>
  <w:num w:numId="11">
    <w:abstractNumId w:val="9"/>
  </w:num>
  <w:num w:numId="12">
    <w:abstractNumId w:val="71"/>
  </w:num>
  <w:num w:numId="13">
    <w:abstractNumId w:val="80"/>
  </w:num>
  <w:num w:numId="14">
    <w:abstractNumId w:val="19"/>
  </w:num>
  <w:num w:numId="15">
    <w:abstractNumId w:val="35"/>
  </w:num>
  <w:num w:numId="16">
    <w:abstractNumId w:val="72"/>
  </w:num>
  <w:num w:numId="17">
    <w:abstractNumId w:val="37"/>
  </w:num>
  <w:num w:numId="18">
    <w:abstractNumId w:val="44"/>
  </w:num>
  <w:num w:numId="19">
    <w:abstractNumId w:val="12"/>
  </w:num>
  <w:num w:numId="20">
    <w:abstractNumId w:val="56"/>
  </w:num>
  <w:num w:numId="21">
    <w:abstractNumId w:val="11"/>
  </w:num>
  <w:num w:numId="22">
    <w:abstractNumId w:val="68"/>
  </w:num>
  <w:num w:numId="23">
    <w:abstractNumId w:val="18"/>
  </w:num>
  <w:num w:numId="24">
    <w:abstractNumId w:val="75"/>
  </w:num>
  <w:num w:numId="25">
    <w:abstractNumId w:val="10"/>
  </w:num>
  <w:num w:numId="26">
    <w:abstractNumId w:val="22"/>
  </w:num>
  <w:num w:numId="27">
    <w:abstractNumId w:val="38"/>
  </w:num>
  <w:num w:numId="28">
    <w:abstractNumId w:val="41"/>
  </w:num>
  <w:num w:numId="29">
    <w:abstractNumId w:val="63"/>
  </w:num>
  <w:num w:numId="30">
    <w:abstractNumId w:val="33"/>
  </w:num>
  <w:num w:numId="31">
    <w:abstractNumId w:val="50"/>
  </w:num>
  <w:num w:numId="32">
    <w:abstractNumId w:val="81"/>
  </w:num>
  <w:num w:numId="33">
    <w:abstractNumId w:val="51"/>
  </w:num>
  <w:num w:numId="34">
    <w:abstractNumId w:val="70"/>
  </w:num>
  <w:num w:numId="35">
    <w:abstractNumId w:val="29"/>
  </w:num>
  <w:num w:numId="36">
    <w:abstractNumId w:val="14"/>
  </w:num>
  <w:num w:numId="37">
    <w:abstractNumId w:val="28"/>
  </w:num>
  <w:num w:numId="38">
    <w:abstractNumId w:val="73"/>
  </w:num>
  <w:num w:numId="39">
    <w:abstractNumId w:val="55"/>
  </w:num>
  <w:num w:numId="40">
    <w:abstractNumId w:val="30"/>
  </w:num>
  <w:num w:numId="41">
    <w:abstractNumId w:val="76"/>
  </w:num>
  <w:num w:numId="42">
    <w:abstractNumId w:val="21"/>
  </w:num>
  <w:num w:numId="43">
    <w:abstractNumId w:val="13"/>
  </w:num>
  <w:num w:numId="44">
    <w:abstractNumId w:val="43"/>
  </w:num>
  <w:num w:numId="45">
    <w:abstractNumId w:val="79"/>
  </w:num>
  <w:num w:numId="46">
    <w:abstractNumId w:val="23"/>
  </w:num>
  <w:num w:numId="47">
    <w:abstractNumId w:val="47"/>
  </w:num>
  <w:num w:numId="48">
    <w:abstractNumId w:val="64"/>
  </w:num>
  <w:num w:numId="49">
    <w:abstractNumId w:val="61"/>
  </w:num>
  <w:num w:numId="50">
    <w:abstractNumId w:val="8"/>
  </w:num>
  <w:num w:numId="51">
    <w:abstractNumId w:val="78"/>
  </w:num>
  <w:num w:numId="52">
    <w:abstractNumId w:val="42"/>
  </w:num>
  <w:num w:numId="53">
    <w:abstractNumId w:val="5"/>
  </w:num>
  <w:num w:numId="54">
    <w:abstractNumId w:val="49"/>
  </w:num>
  <w:num w:numId="55">
    <w:abstractNumId w:val="40"/>
  </w:num>
  <w:num w:numId="56">
    <w:abstractNumId w:val="32"/>
  </w:num>
  <w:num w:numId="57">
    <w:abstractNumId w:val="16"/>
  </w:num>
  <w:num w:numId="58">
    <w:abstractNumId w:val="46"/>
  </w:num>
  <w:num w:numId="59">
    <w:abstractNumId w:val="39"/>
  </w:num>
  <w:num w:numId="60">
    <w:abstractNumId w:val="27"/>
  </w:num>
  <w:num w:numId="61">
    <w:abstractNumId w:val="58"/>
  </w:num>
  <w:num w:numId="62">
    <w:abstractNumId w:val="2"/>
  </w:num>
  <w:num w:numId="63">
    <w:abstractNumId w:val="6"/>
  </w:num>
  <w:num w:numId="64">
    <w:abstractNumId w:val="66"/>
  </w:num>
  <w:num w:numId="65">
    <w:abstractNumId w:val="7"/>
  </w:num>
  <w:num w:numId="66">
    <w:abstractNumId w:val="52"/>
  </w:num>
  <w:num w:numId="67">
    <w:abstractNumId w:val="48"/>
  </w:num>
  <w:num w:numId="68">
    <w:abstractNumId w:val="59"/>
  </w:num>
  <w:num w:numId="69">
    <w:abstractNumId w:val="17"/>
  </w:num>
  <w:num w:numId="70">
    <w:abstractNumId w:val="74"/>
  </w:num>
  <w:num w:numId="71">
    <w:abstractNumId w:val="15"/>
  </w:num>
  <w:num w:numId="72">
    <w:abstractNumId w:val="31"/>
  </w:num>
  <w:num w:numId="73">
    <w:abstractNumId w:val="34"/>
  </w:num>
  <w:num w:numId="74">
    <w:abstractNumId w:val="53"/>
  </w:num>
  <w:num w:numId="75">
    <w:abstractNumId w:val="20"/>
  </w:num>
  <w:num w:numId="76">
    <w:abstractNumId w:val="77"/>
  </w:num>
  <w:num w:numId="77">
    <w:abstractNumId w:val="36"/>
  </w:num>
  <w:num w:numId="78">
    <w:abstractNumId w:val="25"/>
  </w:num>
  <w:num w:numId="79">
    <w:abstractNumId w:val="45"/>
  </w:num>
  <w:num w:numId="80">
    <w:abstractNumId w:val="57"/>
  </w:num>
  <w:num w:numId="81">
    <w:abstractNumId w:val="26"/>
  </w:num>
  <w:num w:numId="82">
    <w:abstractNumId w:val="6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autoFormatOverride/>
  <w:defaultTabStop w:val="284"/>
  <w:drawingGridHorizontalSpacing w:val="181"/>
  <w:drawingGridVerticalSpacing w:val="181"/>
  <w:characterSpacingControl w:val="doNotCompress"/>
  <w:hdrShapeDefaults>
    <o:shapedefaults v:ext="edit" spidmax="2050"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01083"/>
    <w:rsid w:val="000025EE"/>
    <w:rsid w:val="00002E59"/>
    <w:rsid w:val="000030A2"/>
    <w:rsid w:val="00003131"/>
    <w:rsid w:val="00003151"/>
    <w:rsid w:val="00003F36"/>
    <w:rsid w:val="0000441C"/>
    <w:rsid w:val="0000516B"/>
    <w:rsid w:val="0000545B"/>
    <w:rsid w:val="00005808"/>
    <w:rsid w:val="00006164"/>
    <w:rsid w:val="00006711"/>
    <w:rsid w:val="00006FE9"/>
    <w:rsid w:val="0000700B"/>
    <w:rsid w:val="00010122"/>
    <w:rsid w:val="0001058A"/>
    <w:rsid w:val="00010F0F"/>
    <w:rsid w:val="00011507"/>
    <w:rsid w:val="00011AC7"/>
    <w:rsid w:val="00011F69"/>
    <w:rsid w:val="000127B7"/>
    <w:rsid w:val="00012D14"/>
    <w:rsid w:val="000130DE"/>
    <w:rsid w:val="00013B3C"/>
    <w:rsid w:val="0001471E"/>
    <w:rsid w:val="000153F9"/>
    <w:rsid w:val="0001613F"/>
    <w:rsid w:val="0001625A"/>
    <w:rsid w:val="00016525"/>
    <w:rsid w:val="00016A5E"/>
    <w:rsid w:val="00017551"/>
    <w:rsid w:val="0002035C"/>
    <w:rsid w:val="000207F1"/>
    <w:rsid w:val="000208DD"/>
    <w:rsid w:val="00020E37"/>
    <w:rsid w:val="00021AD6"/>
    <w:rsid w:val="00021E1B"/>
    <w:rsid w:val="00022416"/>
    <w:rsid w:val="000227A4"/>
    <w:rsid w:val="00022A7B"/>
    <w:rsid w:val="00022F61"/>
    <w:rsid w:val="000236CF"/>
    <w:rsid w:val="00023F3C"/>
    <w:rsid w:val="000249D3"/>
    <w:rsid w:val="00024B31"/>
    <w:rsid w:val="000259D5"/>
    <w:rsid w:val="00025C55"/>
    <w:rsid w:val="00025D35"/>
    <w:rsid w:val="0002610D"/>
    <w:rsid w:val="0002678D"/>
    <w:rsid w:val="00026D64"/>
    <w:rsid w:val="0002730C"/>
    <w:rsid w:val="00027C11"/>
    <w:rsid w:val="000310B2"/>
    <w:rsid w:val="0003145F"/>
    <w:rsid w:val="000316DA"/>
    <w:rsid w:val="00031C7F"/>
    <w:rsid w:val="00032A18"/>
    <w:rsid w:val="00033203"/>
    <w:rsid w:val="00033424"/>
    <w:rsid w:val="00033510"/>
    <w:rsid w:val="00033B96"/>
    <w:rsid w:val="00033C3A"/>
    <w:rsid w:val="000352FE"/>
    <w:rsid w:val="000356FA"/>
    <w:rsid w:val="0003634A"/>
    <w:rsid w:val="00036544"/>
    <w:rsid w:val="0003734D"/>
    <w:rsid w:val="000376A1"/>
    <w:rsid w:val="00037A5F"/>
    <w:rsid w:val="000400AD"/>
    <w:rsid w:val="00040758"/>
    <w:rsid w:val="00040AD7"/>
    <w:rsid w:val="00040BAA"/>
    <w:rsid w:val="00041101"/>
    <w:rsid w:val="000416F1"/>
    <w:rsid w:val="00041E10"/>
    <w:rsid w:val="000424D7"/>
    <w:rsid w:val="000425C8"/>
    <w:rsid w:val="00042900"/>
    <w:rsid w:val="00042EBD"/>
    <w:rsid w:val="000436F0"/>
    <w:rsid w:val="0004436F"/>
    <w:rsid w:val="0004484D"/>
    <w:rsid w:val="00044BF4"/>
    <w:rsid w:val="00045045"/>
    <w:rsid w:val="000450C2"/>
    <w:rsid w:val="0004515C"/>
    <w:rsid w:val="000453C4"/>
    <w:rsid w:val="00045AC9"/>
    <w:rsid w:val="00045C30"/>
    <w:rsid w:val="000470AA"/>
    <w:rsid w:val="0004738B"/>
    <w:rsid w:val="000473ED"/>
    <w:rsid w:val="00047A44"/>
    <w:rsid w:val="00047DB8"/>
    <w:rsid w:val="00050E39"/>
    <w:rsid w:val="000510B8"/>
    <w:rsid w:val="0005151F"/>
    <w:rsid w:val="00051762"/>
    <w:rsid w:val="0005190D"/>
    <w:rsid w:val="00052087"/>
    <w:rsid w:val="00052201"/>
    <w:rsid w:val="0005284F"/>
    <w:rsid w:val="0005311B"/>
    <w:rsid w:val="000547B5"/>
    <w:rsid w:val="00054D61"/>
    <w:rsid w:val="00055209"/>
    <w:rsid w:val="0005615E"/>
    <w:rsid w:val="00056A2C"/>
    <w:rsid w:val="00056D3A"/>
    <w:rsid w:val="000574F0"/>
    <w:rsid w:val="000577E2"/>
    <w:rsid w:val="00057F7B"/>
    <w:rsid w:val="000601B3"/>
    <w:rsid w:val="00060270"/>
    <w:rsid w:val="0006153C"/>
    <w:rsid w:val="0006158E"/>
    <w:rsid w:val="00061E9F"/>
    <w:rsid w:val="00062AD0"/>
    <w:rsid w:val="00062E30"/>
    <w:rsid w:val="000642E3"/>
    <w:rsid w:val="000643B2"/>
    <w:rsid w:val="00064468"/>
    <w:rsid w:val="00064FB7"/>
    <w:rsid w:val="00065911"/>
    <w:rsid w:val="00065920"/>
    <w:rsid w:val="00065CD7"/>
    <w:rsid w:val="000661B3"/>
    <w:rsid w:val="00066725"/>
    <w:rsid w:val="0006674B"/>
    <w:rsid w:val="000667FB"/>
    <w:rsid w:val="000674B0"/>
    <w:rsid w:val="000679A7"/>
    <w:rsid w:val="00067ADB"/>
    <w:rsid w:val="00067B5A"/>
    <w:rsid w:val="00067B7B"/>
    <w:rsid w:val="00067FDE"/>
    <w:rsid w:val="00070ACD"/>
    <w:rsid w:val="00070D23"/>
    <w:rsid w:val="00070E8F"/>
    <w:rsid w:val="00070FFC"/>
    <w:rsid w:val="00071371"/>
    <w:rsid w:val="00071D91"/>
    <w:rsid w:val="00071DB5"/>
    <w:rsid w:val="0007249B"/>
    <w:rsid w:val="000727DE"/>
    <w:rsid w:val="00072A1C"/>
    <w:rsid w:val="00072CE9"/>
    <w:rsid w:val="00072F8F"/>
    <w:rsid w:val="0007357A"/>
    <w:rsid w:val="000736F0"/>
    <w:rsid w:val="000739FC"/>
    <w:rsid w:val="00073A59"/>
    <w:rsid w:val="00073D35"/>
    <w:rsid w:val="00073F72"/>
    <w:rsid w:val="0007413F"/>
    <w:rsid w:val="000748D7"/>
    <w:rsid w:val="00074CD5"/>
    <w:rsid w:val="0007506D"/>
    <w:rsid w:val="00075253"/>
    <w:rsid w:val="000753DF"/>
    <w:rsid w:val="0007554E"/>
    <w:rsid w:val="0007563C"/>
    <w:rsid w:val="00075879"/>
    <w:rsid w:val="000764A1"/>
    <w:rsid w:val="000767DE"/>
    <w:rsid w:val="00076906"/>
    <w:rsid w:val="00076B77"/>
    <w:rsid w:val="00076CDE"/>
    <w:rsid w:val="00076EE5"/>
    <w:rsid w:val="00076F9E"/>
    <w:rsid w:val="00077710"/>
    <w:rsid w:val="00077BD8"/>
    <w:rsid w:val="00077C6B"/>
    <w:rsid w:val="00080E21"/>
    <w:rsid w:val="000815E9"/>
    <w:rsid w:val="000825F1"/>
    <w:rsid w:val="00082D6B"/>
    <w:rsid w:val="0008316E"/>
    <w:rsid w:val="0008389F"/>
    <w:rsid w:val="00083DEB"/>
    <w:rsid w:val="00084EED"/>
    <w:rsid w:val="000869BF"/>
    <w:rsid w:val="0008714D"/>
    <w:rsid w:val="00087BC6"/>
    <w:rsid w:val="00090050"/>
    <w:rsid w:val="000900A2"/>
    <w:rsid w:val="00090413"/>
    <w:rsid w:val="0009170B"/>
    <w:rsid w:val="000917B8"/>
    <w:rsid w:val="00092DEC"/>
    <w:rsid w:val="00093321"/>
    <w:rsid w:val="000933CC"/>
    <w:rsid w:val="00093A74"/>
    <w:rsid w:val="00093DA4"/>
    <w:rsid w:val="00093FCF"/>
    <w:rsid w:val="00094B42"/>
    <w:rsid w:val="00095568"/>
    <w:rsid w:val="000958D1"/>
    <w:rsid w:val="00095A16"/>
    <w:rsid w:val="00095C18"/>
    <w:rsid w:val="00096BE4"/>
    <w:rsid w:val="00097EAE"/>
    <w:rsid w:val="000A0139"/>
    <w:rsid w:val="000A093B"/>
    <w:rsid w:val="000A0CEA"/>
    <w:rsid w:val="000A0FD1"/>
    <w:rsid w:val="000A11D1"/>
    <w:rsid w:val="000A25FE"/>
    <w:rsid w:val="000A494C"/>
    <w:rsid w:val="000A49A8"/>
    <w:rsid w:val="000A51A3"/>
    <w:rsid w:val="000A5380"/>
    <w:rsid w:val="000A5AF3"/>
    <w:rsid w:val="000A61B4"/>
    <w:rsid w:val="000A6885"/>
    <w:rsid w:val="000A69DF"/>
    <w:rsid w:val="000A7CF6"/>
    <w:rsid w:val="000B0364"/>
    <w:rsid w:val="000B0612"/>
    <w:rsid w:val="000B0A54"/>
    <w:rsid w:val="000B0C3A"/>
    <w:rsid w:val="000B0DFD"/>
    <w:rsid w:val="000B24F8"/>
    <w:rsid w:val="000B278A"/>
    <w:rsid w:val="000B288B"/>
    <w:rsid w:val="000B34FA"/>
    <w:rsid w:val="000B39B5"/>
    <w:rsid w:val="000B430F"/>
    <w:rsid w:val="000B5510"/>
    <w:rsid w:val="000B582A"/>
    <w:rsid w:val="000B5E4A"/>
    <w:rsid w:val="000B63FC"/>
    <w:rsid w:val="000B672D"/>
    <w:rsid w:val="000B6B83"/>
    <w:rsid w:val="000C0052"/>
    <w:rsid w:val="000C191A"/>
    <w:rsid w:val="000C1D23"/>
    <w:rsid w:val="000C1F24"/>
    <w:rsid w:val="000C2525"/>
    <w:rsid w:val="000C28ED"/>
    <w:rsid w:val="000C35EE"/>
    <w:rsid w:val="000C404E"/>
    <w:rsid w:val="000C4277"/>
    <w:rsid w:val="000C4D3C"/>
    <w:rsid w:val="000C58F9"/>
    <w:rsid w:val="000C5D2D"/>
    <w:rsid w:val="000C5DE0"/>
    <w:rsid w:val="000C698F"/>
    <w:rsid w:val="000C6ECF"/>
    <w:rsid w:val="000C716E"/>
    <w:rsid w:val="000C7D37"/>
    <w:rsid w:val="000D0943"/>
    <w:rsid w:val="000D0CF1"/>
    <w:rsid w:val="000D0E9C"/>
    <w:rsid w:val="000D14AD"/>
    <w:rsid w:val="000D186F"/>
    <w:rsid w:val="000D1DC4"/>
    <w:rsid w:val="000D2C4E"/>
    <w:rsid w:val="000D2D45"/>
    <w:rsid w:val="000D3540"/>
    <w:rsid w:val="000D48B8"/>
    <w:rsid w:val="000D4944"/>
    <w:rsid w:val="000D4D7D"/>
    <w:rsid w:val="000D58C8"/>
    <w:rsid w:val="000D5960"/>
    <w:rsid w:val="000D5E86"/>
    <w:rsid w:val="000D621C"/>
    <w:rsid w:val="000D6D9F"/>
    <w:rsid w:val="000D7125"/>
    <w:rsid w:val="000D7851"/>
    <w:rsid w:val="000D79D9"/>
    <w:rsid w:val="000E0617"/>
    <w:rsid w:val="000E0671"/>
    <w:rsid w:val="000E09F9"/>
    <w:rsid w:val="000E191D"/>
    <w:rsid w:val="000E1DEA"/>
    <w:rsid w:val="000E2423"/>
    <w:rsid w:val="000E2713"/>
    <w:rsid w:val="000E2EF1"/>
    <w:rsid w:val="000E310E"/>
    <w:rsid w:val="000E3429"/>
    <w:rsid w:val="000E39BD"/>
    <w:rsid w:val="000E4C43"/>
    <w:rsid w:val="000E635D"/>
    <w:rsid w:val="000E6AA7"/>
    <w:rsid w:val="000E72B8"/>
    <w:rsid w:val="000E77B7"/>
    <w:rsid w:val="000F0F49"/>
    <w:rsid w:val="000F19CA"/>
    <w:rsid w:val="000F2804"/>
    <w:rsid w:val="000F2B18"/>
    <w:rsid w:val="000F2C23"/>
    <w:rsid w:val="000F30E6"/>
    <w:rsid w:val="000F36C7"/>
    <w:rsid w:val="000F3779"/>
    <w:rsid w:val="000F3D54"/>
    <w:rsid w:val="000F3E08"/>
    <w:rsid w:val="000F3F09"/>
    <w:rsid w:val="000F3FB0"/>
    <w:rsid w:val="000F47B4"/>
    <w:rsid w:val="000F484D"/>
    <w:rsid w:val="000F4852"/>
    <w:rsid w:val="000F48B9"/>
    <w:rsid w:val="000F49F4"/>
    <w:rsid w:val="000F4C28"/>
    <w:rsid w:val="000F4CFA"/>
    <w:rsid w:val="000F4EE1"/>
    <w:rsid w:val="000F5461"/>
    <w:rsid w:val="000F55EC"/>
    <w:rsid w:val="000F6463"/>
    <w:rsid w:val="000F6DA1"/>
    <w:rsid w:val="000F6F30"/>
    <w:rsid w:val="000F7F6B"/>
    <w:rsid w:val="001004FE"/>
    <w:rsid w:val="00100857"/>
    <w:rsid w:val="00100A82"/>
    <w:rsid w:val="00100C85"/>
    <w:rsid w:val="0010227C"/>
    <w:rsid w:val="0010343E"/>
    <w:rsid w:val="0010417C"/>
    <w:rsid w:val="00104AD3"/>
    <w:rsid w:val="00104C30"/>
    <w:rsid w:val="00104D3E"/>
    <w:rsid w:val="001051A6"/>
    <w:rsid w:val="001054A6"/>
    <w:rsid w:val="001058F8"/>
    <w:rsid w:val="00105F9F"/>
    <w:rsid w:val="00107142"/>
    <w:rsid w:val="00107309"/>
    <w:rsid w:val="00107420"/>
    <w:rsid w:val="00107964"/>
    <w:rsid w:val="00107CCD"/>
    <w:rsid w:val="00110644"/>
    <w:rsid w:val="0011071A"/>
    <w:rsid w:val="00110C54"/>
    <w:rsid w:val="001114E9"/>
    <w:rsid w:val="00112891"/>
    <w:rsid w:val="0011334C"/>
    <w:rsid w:val="00114142"/>
    <w:rsid w:val="00114276"/>
    <w:rsid w:val="001144A3"/>
    <w:rsid w:val="00114BF6"/>
    <w:rsid w:val="001153B4"/>
    <w:rsid w:val="0011557F"/>
    <w:rsid w:val="00115D4C"/>
    <w:rsid w:val="00115D8D"/>
    <w:rsid w:val="00116313"/>
    <w:rsid w:val="0011648E"/>
    <w:rsid w:val="001166A8"/>
    <w:rsid w:val="00116D2B"/>
    <w:rsid w:val="00116EAA"/>
    <w:rsid w:val="00117CEB"/>
    <w:rsid w:val="00120009"/>
    <w:rsid w:val="00120052"/>
    <w:rsid w:val="001201BC"/>
    <w:rsid w:val="00120561"/>
    <w:rsid w:val="00120A14"/>
    <w:rsid w:val="001214D0"/>
    <w:rsid w:val="001217C4"/>
    <w:rsid w:val="00121C5E"/>
    <w:rsid w:val="00121D8A"/>
    <w:rsid w:val="00122370"/>
    <w:rsid w:val="00122803"/>
    <w:rsid w:val="001238D3"/>
    <w:rsid w:val="0012395E"/>
    <w:rsid w:val="00123C3C"/>
    <w:rsid w:val="00124910"/>
    <w:rsid w:val="00124F58"/>
    <w:rsid w:val="00125536"/>
    <w:rsid w:val="00125612"/>
    <w:rsid w:val="001260B7"/>
    <w:rsid w:val="00126FD5"/>
    <w:rsid w:val="0013030C"/>
    <w:rsid w:val="00130507"/>
    <w:rsid w:val="00130AFC"/>
    <w:rsid w:val="0013156D"/>
    <w:rsid w:val="0013215C"/>
    <w:rsid w:val="00132795"/>
    <w:rsid w:val="001327B3"/>
    <w:rsid w:val="001329AD"/>
    <w:rsid w:val="00132A29"/>
    <w:rsid w:val="001339B4"/>
    <w:rsid w:val="00134E20"/>
    <w:rsid w:val="00135A6C"/>
    <w:rsid w:val="0013610A"/>
    <w:rsid w:val="00136620"/>
    <w:rsid w:val="00137403"/>
    <w:rsid w:val="001379CF"/>
    <w:rsid w:val="00137F11"/>
    <w:rsid w:val="00140059"/>
    <w:rsid w:val="0014156E"/>
    <w:rsid w:val="001415A9"/>
    <w:rsid w:val="001417C9"/>
    <w:rsid w:val="00141925"/>
    <w:rsid w:val="00141A0C"/>
    <w:rsid w:val="00141ACE"/>
    <w:rsid w:val="00142265"/>
    <w:rsid w:val="001426EA"/>
    <w:rsid w:val="0014462D"/>
    <w:rsid w:val="00144B2C"/>
    <w:rsid w:val="0014522D"/>
    <w:rsid w:val="001458A5"/>
    <w:rsid w:val="00145D8C"/>
    <w:rsid w:val="00145DA2"/>
    <w:rsid w:val="00146D72"/>
    <w:rsid w:val="00147279"/>
    <w:rsid w:val="00147C52"/>
    <w:rsid w:val="00150291"/>
    <w:rsid w:val="00150520"/>
    <w:rsid w:val="00150577"/>
    <w:rsid w:val="001511B9"/>
    <w:rsid w:val="00151646"/>
    <w:rsid w:val="00151E5F"/>
    <w:rsid w:val="001521EB"/>
    <w:rsid w:val="001526E9"/>
    <w:rsid w:val="00152CEB"/>
    <w:rsid w:val="00152D48"/>
    <w:rsid w:val="001532DE"/>
    <w:rsid w:val="00153460"/>
    <w:rsid w:val="00153889"/>
    <w:rsid w:val="00153C37"/>
    <w:rsid w:val="00154F3A"/>
    <w:rsid w:val="001553D6"/>
    <w:rsid w:val="00155B30"/>
    <w:rsid w:val="00156696"/>
    <w:rsid w:val="00156755"/>
    <w:rsid w:val="001569CA"/>
    <w:rsid w:val="0015705C"/>
    <w:rsid w:val="00157DCE"/>
    <w:rsid w:val="0016008B"/>
    <w:rsid w:val="0016050E"/>
    <w:rsid w:val="001606FE"/>
    <w:rsid w:val="00160940"/>
    <w:rsid w:val="00160E74"/>
    <w:rsid w:val="00160F78"/>
    <w:rsid w:val="0016133C"/>
    <w:rsid w:val="00161AA1"/>
    <w:rsid w:val="00161D6A"/>
    <w:rsid w:val="00161F05"/>
    <w:rsid w:val="00162833"/>
    <w:rsid w:val="00163256"/>
    <w:rsid w:val="0016419E"/>
    <w:rsid w:val="0016465A"/>
    <w:rsid w:val="001649EB"/>
    <w:rsid w:val="00164C51"/>
    <w:rsid w:val="0016561A"/>
    <w:rsid w:val="0016579E"/>
    <w:rsid w:val="001662AA"/>
    <w:rsid w:val="00166CDA"/>
    <w:rsid w:val="00167623"/>
    <w:rsid w:val="00167A71"/>
    <w:rsid w:val="00167DC4"/>
    <w:rsid w:val="00167E43"/>
    <w:rsid w:val="001708B8"/>
    <w:rsid w:val="00171477"/>
    <w:rsid w:val="00171652"/>
    <w:rsid w:val="001716F5"/>
    <w:rsid w:val="001717E5"/>
    <w:rsid w:val="0017207F"/>
    <w:rsid w:val="0017270E"/>
    <w:rsid w:val="00172CB1"/>
    <w:rsid w:val="00172E96"/>
    <w:rsid w:val="001734EE"/>
    <w:rsid w:val="00173699"/>
    <w:rsid w:val="00173A87"/>
    <w:rsid w:val="00173C1D"/>
    <w:rsid w:val="00173D76"/>
    <w:rsid w:val="00175F45"/>
    <w:rsid w:val="00175F9F"/>
    <w:rsid w:val="00176997"/>
    <w:rsid w:val="00177A29"/>
    <w:rsid w:val="00180006"/>
    <w:rsid w:val="0018005E"/>
    <w:rsid w:val="00180615"/>
    <w:rsid w:val="0018094A"/>
    <w:rsid w:val="00180B09"/>
    <w:rsid w:val="00181863"/>
    <w:rsid w:val="001818F8"/>
    <w:rsid w:val="00181949"/>
    <w:rsid w:val="00181ABF"/>
    <w:rsid w:val="00181FAF"/>
    <w:rsid w:val="00181FC3"/>
    <w:rsid w:val="00182498"/>
    <w:rsid w:val="00182599"/>
    <w:rsid w:val="00182E20"/>
    <w:rsid w:val="00183343"/>
    <w:rsid w:val="00183378"/>
    <w:rsid w:val="0018409E"/>
    <w:rsid w:val="001842C0"/>
    <w:rsid w:val="00184525"/>
    <w:rsid w:val="00184DCD"/>
    <w:rsid w:val="00185256"/>
    <w:rsid w:val="001854DD"/>
    <w:rsid w:val="00185BFB"/>
    <w:rsid w:val="0018616D"/>
    <w:rsid w:val="001862C0"/>
    <w:rsid w:val="001868ED"/>
    <w:rsid w:val="00186B07"/>
    <w:rsid w:val="00190200"/>
    <w:rsid w:val="00190629"/>
    <w:rsid w:val="0019089C"/>
    <w:rsid w:val="00190CF2"/>
    <w:rsid w:val="00191119"/>
    <w:rsid w:val="00191381"/>
    <w:rsid w:val="001913FA"/>
    <w:rsid w:val="00191CD3"/>
    <w:rsid w:val="001924D1"/>
    <w:rsid w:val="001928F5"/>
    <w:rsid w:val="00192B0F"/>
    <w:rsid w:val="0019393C"/>
    <w:rsid w:val="00195A80"/>
    <w:rsid w:val="00195E30"/>
    <w:rsid w:val="00195FC8"/>
    <w:rsid w:val="00196338"/>
    <w:rsid w:val="00197D4E"/>
    <w:rsid w:val="001A008E"/>
    <w:rsid w:val="001A0155"/>
    <w:rsid w:val="001A01B3"/>
    <w:rsid w:val="001A07B5"/>
    <w:rsid w:val="001A0C5C"/>
    <w:rsid w:val="001A13F8"/>
    <w:rsid w:val="001A175C"/>
    <w:rsid w:val="001A1851"/>
    <w:rsid w:val="001A1C26"/>
    <w:rsid w:val="001A1F2A"/>
    <w:rsid w:val="001A22ED"/>
    <w:rsid w:val="001A2542"/>
    <w:rsid w:val="001A2FF0"/>
    <w:rsid w:val="001A3886"/>
    <w:rsid w:val="001A4361"/>
    <w:rsid w:val="001A4D61"/>
    <w:rsid w:val="001A57D7"/>
    <w:rsid w:val="001A5A6C"/>
    <w:rsid w:val="001A5C9A"/>
    <w:rsid w:val="001A5FD9"/>
    <w:rsid w:val="001A6382"/>
    <w:rsid w:val="001A7190"/>
    <w:rsid w:val="001B0E4A"/>
    <w:rsid w:val="001B2580"/>
    <w:rsid w:val="001B3B36"/>
    <w:rsid w:val="001B3DA9"/>
    <w:rsid w:val="001B40C7"/>
    <w:rsid w:val="001B421B"/>
    <w:rsid w:val="001B4A1B"/>
    <w:rsid w:val="001B5502"/>
    <w:rsid w:val="001B6733"/>
    <w:rsid w:val="001B6A19"/>
    <w:rsid w:val="001B702B"/>
    <w:rsid w:val="001B7240"/>
    <w:rsid w:val="001B7317"/>
    <w:rsid w:val="001B76DB"/>
    <w:rsid w:val="001B7CBC"/>
    <w:rsid w:val="001C1079"/>
    <w:rsid w:val="001C108E"/>
    <w:rsid w:val="001C1E0C"/>
    <w:rsid w:val="001C2290"/>
    <w:rsid w:val="001C22E9"/>
    <w:rsid w:val="001C2E86"/>
    <w:rsid w:val="001C3D1C"/>
    <w:rsid w:val="001C4749"/>
    <w:rsid w:val="001C511C"/>
    <w:rsid w:val="001C5646"/>
    <w:rsid w:val="001C5683"/>
    <w:rsid w:val="001C57DC"/>
    <w:rsid w:val="001C5C62"/>
    <w:rsid w:val="001C62BC"/>
    <w:rsid w:val="001C6C87"/>
    <w:rsid w:val="001C6D95"/>
    <w:rsid w:val="001C6E8F"/>
    <w:rsid w:val="001C7973"/>
    <w:rsid w:val="001C7FA4"/>
    <w:rsid w:val="001D0756"/>
    <w:rsid w:val="001D08F0"/>
    <w:rsid w:val="001D14C1"/>
    <w:rsid w:val="001D1E3D"/>
    <w:rsid w:val="001D243D"/>
    <w:rsid w:val="001D29C5"/>
    <w:rsid w:val="001D2B07"/>
    <w:rsid w:val="001D2DBA"/>
    <w:rsid w:val="001D30F1"/>
    <w:rsid w:val="001D35E6"/>
    <w:rsid w:val="001D3E7C"/>
    <w:rsid w:val="001D4226"/>
    <w:rsid w:val="001D4F71"/>
    <w:rsid w:val="001D6B61"/>
    <w:rsid w:val="001D6B77"/>
    <w:rsid w:val="001D705F"/>
    <w:rsid w:val="001D798A"/>
    <w:rsid w:val="001D7E0B"/>
    <w:rsid w:val="001E046A"/>
    <w:rsid w:val="001E06E9"/>
    <w:rsid w:val="001E13F4"/>
    <w:rsid w:val="001E18A2"/>
    <w:rsid w:val="001E1C0B"/>
    <w:rsid w:val="001E1CD2"/>
    <w:rsid w:val="001E212F"/>
    <w:rsid w:val="001E25CB"/>
    <w:rsid w:val="001E265A"/>
    <w:rsid w:val="001E2B63"/>
    <w:rsid w:val="001E3014"/>
    <w:rsid w:val="001E3773"/>
    <w:rsid w:val="001E5720"/>
    <w:rsid w:val="001E5A0D"/>
    <w:rsid w:val="001E5A9A"/>
    <w:rsid w:val="001E5C6A"/>
    <w:rsid w:val="001E65EC"/>
    <w:rsid w:val="001E6793"/>
    <w:rsid w:val="001E6842"/>
    <w:rsid w:val="001E76B8"/>
    <w:rsid w:val="001E78A2"/>
    <w:rsid w:val="001F0330"/>
    <w:rsid w:val="001F0DBE"/>
    <w:rsid w:val="001F1231"/>
    <w:rsid w:val="001F25FE"/>
    <w:rsid w:val="001F264E"/>
    <w:rsid w:val="001F305F"/>
    <w:rsid w:val="001F37FE"/>
    <w:rsid w:val="001F3859"/>
    <w:rsid w:val="001F3F45"/>
    <w:rsid w:val="001F481A"/>
    <w:rsid w:val="001F4AF4"/>
    <w:rsid w:val="001F4B5B"/>
    <w:rsid w:val="001F5044"/>
    <w:rsid w:val="001F5611"/>
    <w:rsid w:val="001F58C6"/>
    <w:rsid w:val="001F75A7"/>
    <w:rsid w:val="001F77BA"/>
    <w:rsid w:val="001F7DF0"/>
    <w:rsid w:val="0020083E"/>
    <w:rsid w:val="00200845"/>
    <w:rsid w:val="00200CB2"/>
    <w:rsid w:val="0020106F"/>
    <w:rsid w:val="0020285F"/>
    <w:rsid w:val="00203404"/>
    <w:rsid w:val="0020410D"/>
    <w:rsid w:val="002052EF"/>
    <w:rsid w:val="00205A86"/>
    <w:rsid w:val="0020675F"/>
    <w:rsid w:val="0020677E"/>
    <w:rsid w:val="00206A07"/>
    <w:rsid w:val="00206AF3"/>
    <w:rsid w:val="00206C52"/>
    <w:rsid w:val="00207111"/>
    <w:rsid w:val="002071B4"/>
    <w:rsid w:val="00207A02"/>
    <w:rsid w:val="00207DF8"/>
    <w:rsid w:val="00207EBD"/>
    <w:rsid w:val="0021013D"/>
    <w:rsid w:val="00210EFA"/>
    <w:rsid w:val="002128EE"/>
    <w:rsid w:val="00212946"/>
    <w:rsid w:val="00213218"/>
    <w:rsid w:val="0021324A"/>
    <w:rsid w:val="00214D6B"/>
    <w:rsid w:val="0021539C"/>
    <w:rsid w:val="002154EC"/>
    <w:rsid w:val="00215AFC"/>
    <w:rsid w:val="00215B79"/>
    <w:rsid w:val="00215CB4"/>
    <w:rsid w:val="0021617E"/>
    <w:rsid w:val="0021691C"/>
    <w:rsid w:val="002169EC"/>
    <w:rsid w:val="00217046"/>
    <w:rsid w:val="00217244"/>
    <w:rsid w:val="00217794"/>
    <w:rsid w:val="00217FE4"/>
    <w:rsid w:val="0022049F"/>
    <w:rsid w:val="002205FA"/>
    <w:rsid w:val="00220D69"/>
    <w:rsid w:val="00220DF9"/>
    <w:rsid w:val="00220E28"/>
    <w:rsid w:val="00221C59"/>
    <w:rsid w:val="002221A7"/>
    <w:rsid w:val="00222923"/>
    <w:rsid w:val="002229E3"/>
    <w:rsid w:val="002243C1"/>
    <w:rsid w:val="00224B99"/>
    <w:rsid w:val="00224E78"/>
    <w:rsid w:val="00225F85"/>
    <w:rsid w:val="002263F5"/>
    <w:rsid w:val="00226B6F"/>
    <w:rsid w:val="00226F51"/>
    <w:rsid w:val="0022764D"/>
    <w:rsid w:val="00227DA1"/>
    <w:rsid w:val="00230250"/>
    <w:rsid w:val="00230B4D"/>
    <w:rsid w:val="00231E6E"/>
    <w:rsid w:val="00231E91"/>
    <w:rsid w:val="002320B3"/>
    <w:rsid w:val="00232376"/>
    <w:rsid w:val="002333A7"/>
    <w:rsid w:val="0023378D"/>
    <w:rsid w:val="00233AC0"/>
    <w:rsid w:val="00233C61"/>
    <w:rsid w:val="00233F8A"/>
    <w:rsid w:val="00235265"/>
    <w:rsid w:val="002352B8"/>
    <w:rsid w:val="002352D0"/>
    <w:rsid w:val="00236759"/>
    <w:rsid w:val="0023701E"/>
    <w:rsid w:val="002379FC"/>
    <w:rsid w:val="00237A4E"/>
    <w:rsid w:val="00237CC2"/>
    <w:rsid w:val="0024075F"/>
    <w:rsid w:val="002409F5"/>
    <w:rsid w:val="00241333"/>
    <w:rsid w:val="00241FC6"/>
    <w:rsid w:val="002421A7"/>
    <w:rsid w:val="002426CC"/>
    <w:rsid w:val="002431C7"/>
    <w:rsid w:val="00243B86"/>
    <w:rsid w:val="00243FD7"/>
    <w:rsid w:val="00244352"/>
    <w:rsid w:val="0024452C"/>
    <w:rsid w:val="00244765"/>
    <w:rsid w:val="00244895"/>
    <w:rsid w:val="002451B1"/>
    <w:rsid w:val="00245964"/>
    <w:rsid w:val="00245DDB"/>
    <w:rsid w:val="0024655F"/>
    <w:rsid w:val="002466FC"/>
    <w:rsid w:val="00246AFE"/>
    <w:rsid w:val="00246E42"/>
    <w:rsid w:val="00247050"/>
    <w:rsid w:val="00250721"/>
    <w:rsid w:val="0025092C"/>
    <w:rsid w:val="00251896"/>
    <w:rsid w:val="002522DC"/>
    <w:rsid w:val="002536CB"/>
    <w:rsid w:val="00253EF7"/>
    <w:rsid w:val="00254520"/>
    <w:rsid w:val="00254945"/>
    <w:rsid w:val="00255FC8"/>
    <w:rsid w:val="002571A8"/>
    <w:rsid w:val="00257515"/>
    <w:rsid w:val="00257577"/>
    <w:rsid w:val="002579F5"/>
    <w:rsid w:val="002603CC"/>
    <w:rsid w:val="002604D3"/>
    <w:rsid w:val="002605FE"/>
    <w:rsid w:val="00260688"/>
    <w:rsid w:val="002611CC"/>
    <w:rsid w:val="002611FF"/>
    <w:rsid w:val="00261A16"/>
    <w:rsid w:val="00261D31"/>
    <w:rsid w:val="00261D3D"/>
    <w:rsid w:val="00261E11"/>
    <w:rsid w:val="00262D18"/>
    <w:rsid w:val="00262D6A"/>
    <w:rsid w:val="00262D7D"/>
    <w:rsid w:val="002635D0"/>
    <w:rsid w:val="00263693"/>
    <w:rsid w:val="00264358"/>
    <w:rsid w:val="00264733"/>
    <w:rsid w:val="002648AD"/>
    <w:rsid w:val="002649B8"/>
    <w:rsid w:val="00264AD0"/>
    <w:rsid w:val="00265099"/>
    <w:rsid w:val="0026523B"/>
    <w:rsid w:val="00265836"/>
    <w:rsid w:val="00265A5D"/>
    <w:rsid w:val="00265B3F"/>
    <w:rsid w:val="00265E5E"/>
    <w:rsid w:val="00266B50"/>
    <w:rsid w:val="0026721B"/>
    <w:rsid w:val="002672A5"/>
    <w:rsid w:val="0026778D"/>
    <w:rsid w:val="002704E5"/>
    <w:rsid w:val="002709C2"/>
    <w:rsid w:val="00270C3E"/>
    <w:rsid w:val="002714BC"/>
    <w:rsid w:val="00271911"/>
    <w:rsid w:val="0027218C"/>
    <w:rsid w:val="00272F83"/>
    <w:rsid w:val="00273010"/>
    <w:rsid w:val="0027527E"/>
    <w:rsid w:val="0027574F"/>
    <w:rsid w:val="00275A20"/>
    <w:rsid w:val="00275EE6"/>
    <w:rsid w:val="00275F76"/>
    <w:rsid w:val="00276423"/>
    <w:rsid w:val="0027670F"/>
    <w:rsid w:val="002808BC"/>
    <w:rsid w:val="00280B08"/>
    <w:rsid w:val="00280BC9"/>
    <w:rsid w:val="0028130F"/>
    <w:rsid w:val="002813B8"/>
    <w:rsid w:val="00281E51"/>
    <w:rsid w:val="00281F23"/>
    <w:rsid w:val="00281FCF"/>
    <w:rsid w:val="00282503"/>
    <w:rsid w:val="00282C66"/>
    <w:rsid w:val="0028378E"/>
    <w:rsid w:val="00284E18"/>
    <w:rsid w:val="0028572D"/>
    <w:rsid w:val="00285740"/>
    <w:rsid w:val="00285C01"/>
    <w:rsid w:val="00285E09"/>
    <w:rsid w:val="0028677E"/>
    <w:rsid w:val="00286F3B"/>
    <w:rsid w:val="002878C5"/>
    <w:rsid w:val="002879E0"/>
    <w:rsid w:val="002901EE"/>
    <w:rsid w:val="002906A9"/>
    <w:rsid w:val="00290740"/>
    <w:rsid w:val="00290802"/>
    <w:rsid w:val="002915E3"/>
    <w:rsid w:val="002917B5"/>
    <w:rsid w:val="0029192A"/>
    <w:rsid w:val="00293383"/>
    <w:rsid w:val="00293C43"/>
    <w:rsid w:val="00294B24"/>
    <w:rsid w:val="002957F3"/>
    <w:rsid w:val="00296439"/>
    <w:rsid w:val="002964CD"/>
    <w:rsid w:val="0029657C"/>
    <w:rsid w:val="00296958"/>
    <w:rsid w:val="002971AD"/>
    <w:rsid w:val="002979A8"/>
    <w:rsid w:val="00297A1D"/>
    <w:rsid w:val="002A05D7"/>
    <w:rsid w:val="002A06B9"/>
    <w:rsid w:val="002A0780"/>
    <w:rsid w:val="002A0A53"/>
    <w:rsid w:val="002A1A15"/>
    <w:rsid w:val="002A1C20"/>
    <w:rsid w:val="002A1D7A"/>
    <w:rsid w:val="002A40E2"/>
    <w:rsid w:val="002A46E7"/>
    <w:rsid w:val="002A4738"/>
    <w:rsid w:val="002A4A6F"/>
    <w:rsid w:val="002A55FB"/>
    <w:rsid w:val="002A565F"/>
    <w:rsid w:val="002A57CD"/>
    <w:rsid w:val="002A6012"/>
    <w:rsid w:val="002A643F"/>
    <w:rsid w:val="002A6526"/>
    <w:rsid w:val="002A6B18"/>
    <w:rsid w:val="002A7862"/>
    <w:rsid w:val="002A79A0"/>
    <w:rsid w:val="002A7BEE"/>
    <w:rsid w:val="002A7D95"/>
    <w:rsid w:val="002A7DDB"/>
    <w:rsid w:val="002B0053"/>
    <w:rsid w:val="002B1298"/>
    <w:rsid w:val="002B12BB"/>
    <w:rsid w:val="002B1A7A"/>
    <w:rsid w:val="002B1C76"/>
    <w:rsid w:val="002B1ECC"/>
    <w:rsid w:val="002B29E2"/>
    <w:rsid w:val="002B4586"/>
    <w:rsid w:val="002B4797"/>
    <w:rsid w:val="002B52C8"/>
    <w:rsid w:val="002B58D5"/>
    <w:rsid w:val="002B6659"/>
    <w:rsid w:val="002B672C"/>
    <w:rsid w:val="002B6EB1"/>
    <w:rsid w:val="002B6EDC"/>
    <w:rsid w:val="002B7BC0"/>
    <w:rsid w:val="002B7F6E"/>
    <w:rsid w:val="002C0691"/>
    <w:rsid w:val="002C0A88"/>
    <w:rsid w:val="002C127D"/>
    <w:rsid w:val="002C22B1"/>
    <w:rsid w:val="002C2968"/>
    <w:rsid w:val="002C3425"/>
    <w:rsid w:val="002C3C13"/>
    <w:rsid w:val="002C4A9E"/>
    <w:rsid w:val="002C4F51"/>
    <w:rsid w:val="002C51CF"/>
    <w:rsid w:val="002C55D8"/>
    <w:rsid w:val="002C5DCE"/>
    <w:rsid w:val="002C5E0F"/>
    <w:rsid w:val="002C6206"/>
    <w:rsid w:val="002C6460"/>
    <w:rsid w:val="002C64A9"/>
    <w:rsid w:val="002C7861"/>
    <w:rsid w:val="002D00A3"/>
    <w:rsid w:val="002D0670"/>
    <w:rsid w:val="002D0982"/>
    <w:rsid w:val="002D0CDA"/>
    <w:rsid w:val="002D13A3"/>
    <w:rsid w:val="002D14AE"/>
    <w:rsid w:val="002D1632"/>
    <w:rsid w:val="002D2B11"/>
    <w:rsid w:val="002D3AF5"/>
    <w:rsid w:val="002D55FF"/>
    <w:rsid w:val="002D5B30"/>
    <w:rsid w:val="002D768A"/>
    <w:rsid w:val="002D7FA9"/>
    <w:rsid w:val="002E046D"/>
    <w:rsid w:val="002E0A7D"/>
    <w:rsid w:val="002E0A95"/>
    <w:rsid w:val="002E0FC3"/>
    <w:rsid w:val="002E113E"/>
    <w:rsid w:val="002E13A2"/>
    <w:rsid w:val="002E1554"/>
    <w:rsid w:val="002E1648"/>
    <w:rsid w:val="002E371E"/>
    <w:rsid w:val="002E3A2B"/>
    <w:rsid w:val="002E4FE2"/>
    <w:rsid w:val="002E52F1"/>
    <w:rsid w:val="002E57F8"/>
    <w:rsid w:val="002E5CFC"/>
    <w:rsid w:val="002E60D9"/>
    <w:rsid w:val="002E6216"/>
    <w:rsid w:val="002E63A3"/>
    <w:rsid w:val="002E6E38"/>
    <w:rsid w:val="002E6E6E"/>
    <w:rsid w:val="002E73FF"/>
    <w:rsid w:val="002E7B9F"/>
    <w:rsid w:val="002F1114"/>
    <w:rsid w:val="002F13B2"/>
    <w:rsid w:val="002F2190"/>
    <w:rsid w:val="002F2A4E"/>
    <w:rsid w:val="002F3110"/>
    <w:rsid w:val="002F3E45"/>
    <w:rsid w:val="002F4461"/>
    <w:rsid w:val="002F4ED6"/>
    <w:rsid w:val="002F5CCA"/>
    <w:rsid w:val="002F6598"/>
    <w:rsid w:val="002F7BBE"/>
    <w:rsid w:val="00300472"/>
    <w:rsid w:val="0030140D"/>
    <w:rsid w:val="003016A7"/>
    <w:rsid w:val="00301FDD"/>
    <w:rsid w:val="00302129"/>
    <w:rsid w:val="00302FF2"/>
    <w:rsid w:val="0030331B"/>
    <w:rsid w:val="00303602"/>
    <w:rsid w:val="00304315"/>
    <w:rsid w:val="00304505"/>
    <w:rsid w:val="0030478B"/>
    <w:rsid w:val="00304E87"/>
    <w:rsid w:val="003053E5"/>
    <w:rsid w:val="003059A9"/>
    <w:rsid w:val="00305A8F"/>
    <w:rsid w:val="00305D00"/>
    <w:rsid w:val="003069C2"/>
    <w:rsid w:val="00306D6C"/>
    <w:rsid w:val="00306F4C"/>
    <w:rsid w:val="003072D6"/>
    <w:rsid w:val="003077DC"/>
    <w:rsid w:val="0030783B"/>
    <w:rsid w:val="00307C41"/>
    <w:rsid w:val="00307CB5"/>
    <w:rsid w:val="00307D47"/>
    <w:rsid w:val="00310246"/>
    <w:rsid w:val="00310579"/>
    <w:rsid w:val="003122DA"/>
    <w:rsid w:val="00312556"/>
    <w:rsid w:val="0031303A"/>
    <w:rsid w:val="003135B1"/>
    <w:rsid w:val="00313839"/>
    <w:rsid w:val="00313C5C"/>
    <w:rsid w:val="00314B38"/>
    <w:rsid w:val="00315064"/>
    <w:rsid w:val="00315454"/>
    <w:rsid w:val="00315660"/>
    <w:rsid w:val="00316DEA"/>
    <w:rsid w:val="00317653"/>
    <w:rsid w:val="00317847"/>
    <w:rsid w:val="00317B87"/>
    <w:rsid w:val="00317BF5"/>
    <w:rsid w:val="00317EA4"/>
    <w:rsid w:val="003207D4"/>
    <w:rsid w:val="0032095F"/>
    <w:rsid w:val="003210AE"/>
    <w:rsid w:val="00321430"/>
    <w:rsid w:val="00321EC4"/>
    <w:rsid w:val="00322057"/>
    <w:rsid w:val="00322382"/>
    <w:rsid w:val="0032275F"/>
    <w:rsid w:val="00322FDE"/>
    <w:rsid w:val="003239E5"/>
    <w:rsid w:val="00323E06"/>
    <w:rsid w:val="003248C8"/>
    <w:rsid w:val="00324BEB"/>
    <w:rsid w:val="003251A6"/>
    <w:rsid w:val="003257D3"/>
    <w:rsid w:val="003260A5"/>
    <w:rsid w:val="003260F6"/>
    <w:rsid w:val="00326274"/>
    <w:rsid w:val="00326649"/>
    <w:rsid w:val="0032683A"/>
    <w:rsid w:val="003269FA"/>
    <w:rsid w:val="00326C8A"/>
    <w:rsid w:val="00327231"/>
    <w:rsid w:val="003274FF"/>
    <w:rsid w:val="00327546"/>
    <w:rsid w:val="00327B77"/>
    <w:rsid w:val="003312D3"/>
    <w:rsid w:val="00331477"/>
    <w:rsid w:val="00331D18"/>
    <w:rsid w:val="00331D7A"/>
    <w:rsid w:val="00332124"/>
    <w:rsid w:val="0033276A"/>
    <w:rsid w:val="00332C2F"/>
    <w:rsid w:val="00332DF4"/>
    <w:rsid w:val="00332E43"/>
    <w:rsid w:val="0033352C"/>
    <w:rsid w:val="0033359D"/>
    <w:rsid w:val="003336F8"/>
    <w:rsid w:val="00333A9B"/>
    <w:rsid w:val="003341B7"/>
    <w:rsid w:val="00335568"/>
    <w:rsid w:val="00335B04"/>
    <w:rsid w:val="0033652B"/>
    <w:rsid w:val="003365CF"/>
    <w:rsid w:val="00336DE9"/>
    <w:rsid w:val="003370DB"/>
    <w:rsid w:val="00337128"/>
    <w:rsid w:val="00337969"/>
    <w:rsid w:val="00337DC2"/>
    <w:rsid w:val="00337E45"/>
    <w:rsid w:val="00340AE6"/>
    <w:rsid w:val="00340E33"/>
    <w:rsid w:val="00340EE8"/>
    <w:rsid w:val="00341210"/>
    <w:rsid w:val="003414BD"/>
    <w:rsid w:val="0034190B"/>
    <w:rsid w:val="00341A1C"/>
    <w:rsid w:val="003434E8"/>
    <w:rsid w:val="00343B9C"/>
    <w:rsid w:val="00344A45"/>
    <w:rsid w:val="00344E87"/>
    <w:rsid w:val="003450BE"/>
    <w:rsid w:val="003454F2"/>
    <w:rsid w:val="0034644E"/>
    <w:rsid w:val="003469C3"/>
    <w:rsid w:val="0034752C"/>
    <w:rsid w:val="00347E62"/>
    <w:rsid w:val="00350110"/>
    <w:rsid w:val="00350A84"/>
    <w:rsid w:val="00350A98"/>
    <w:rsid w:val="00350D35"/>
    <w:rsid w:val="00351199"/>
    <w:rsid w:val="00352285"/>
    <w:rsid w:val="00352292"/>
    <w:rsid w:val="00352524"/>
    <w:rsid w:val="003525C4"/>
    <w:rsid w:val="0035264E"/>
    <w:rsid w:val="00352742"/>
    <w:rsid w:val="003531BF"/>
    <w:rsid w:val="00353257"/>
    <w:rsid w:val="00353C89"/>
    <w:rsid w:val="00354556"/>
    <w:rsid w:val="00354828"/>
    <w:rsid w:val="00354B28"/>
    <w:rsid w:val="00354BF7"/>
    <w:rsid w:val="00355AB5"/>
    <w:rsid w:val="003562CE"/>
    <w:rsid w:val="00356782"/>
    <w:rsid w:val="0035771F"/>
    <w:rsid w:val="00357824"/>
    <w:rsid w:val="00357A99"/>
    <w:rsid w:val="003602D2"/>
    <w:rsid w:val="003608BD"/>
    <w:rsid w:val="00360ED2"/>
    <w:rsid w:val="003618CF"/>
    <w:rsid w:val="00361E7B"/>
    <w:rsid w:val="00362B57"/>
    <w:rsid w:val="00362C3F"/>
    <w:rsid w:val="00362EFE"/>
    <w:rsid w:val="0036338D"/>
    <w:rsid w:val="003636A0"/>
    <w:rsid w:val="00365548"/>
    <w:rsid w:val="00365750"/>
    <w:rsid w:val="00365AD1"/>
    <w:rsid w:val="003660A0"/>
    <w:rsid w:val="00367222"/>
    <w:rsid w:val="00367311"/>
    <w:rsid w:val="00367A64"/>
    <w:rsid w:val="00370B32"/>
    <w:rsid w:val="00370BA8"/>
    <w:rsid w:val="00371538"/>
    <w:rsid w:val="003718BD"/>
    <w:rsid w:val="00372765"/>
    <w:rsid w:val="00372DA8"/>
    <w:rsid w:val="00373C3D"/>
    <w:rsid w:val="003746B9"/>
    <w:rsid w:val="0037494D"/>
    <w:rsid w:val="00375B71"/>
    <w:rsid w:val="00376C8C"/>
    <w:rsid w:val="00377345"/>
    <w:rsid w:val="003775CA"/>
    <w:rsid w:val="00377725"/>
    <w:rsid w:val="00377D1D"/>
    <w:rsid w:val="00377D79"/>
    <w:rsid w:val="00380587"/>
    <w:rsid w:val="00380DDD"/>
    <w:rsid w:val="00380EAE"/>
    <w:rsid w:val="00380ECE"/>
    <w:rsid w:val="00381838"/>
    <w:rsid w:val="00382586"/>
    <w:rsid w:val="0038265E"/>
    <w:rsid w:val="00382DEA"/>
    <w:rsid w:val="00383434"/>
    <w:rsid w:val="00383C37"/>
    <w:rsid w:val="00383CBC"/>
    <w:rsid w:val="00383ED4"/>
    <w:rsid w:val="0038428D"/>
    <w:rsid w:val="003842EB"/>
    <w:rsid w:val="0038492E"/>
    <w:rsid w:val="00384C58"/>
    <w:rsid w:val="00385291"/>
    <w:rsid w:val="003857C6"/>
    <w:rsid w:val="003871E5"/>
    <w:rsid w:val="00387F0A"/>
    <w:rsid w:val="003901C4"/>
    <w:rsid w:val="003909B8"/>
    <w:rsid w:val="00390BD9"/>
    <w:rsid w:val="00391236"/>
    <w:rsid w:val="0039123E"/>
    <w:rsid w:val="0039178E"/>
    <w:rsid w:val="00391F86"/>
    <w:rsid w:val="00392334"/>
    <w:rsid w:val="0039242F"/>
    <w:rsid w:val="003924A2"/>
    <w:rsid w:val="0039259E"/>
    <w:rsid w:val="00392640"/>
    <w:rsid w:val="00392761"/>
    <w:rsid w:val="00392961"/>
    <w:rsid w:val="003936AA"/>
    <w:rsid w:val="00393FCB"/>
    <w:rsid w:val="003942F2"/>
    <w:rsid w:val="003945E5"/>
    <w:rsid w:val="00394AD3"/>
    <w:rsid w:val="00394B0A"/>
    <w:rsid w:val="00394D7A"/>
    <w:rsid w:val="003950D4"/>
    <w:rsid w:val="003954C5"/>
    <w:rsid w:val="00396C53"/>
    <w:rsid w:val="00397B57"/>
    <w:rsid w:val="00397B5F"/>
    <w:rsid w:val="00397B98"/>
    <w:rsid w:val="00397F31"/>
    <w:rsid w:val="003A0168"/>
    <w:rsid w:val="003A05CF"/>
    <w:rsid w:val="003A0C2B"/>
    <w:rsid w:val="003A11AF"/>
    <w:rsid w:val="003A1CB3"/>
    <w:rsid w:val="003A1E26"/>
    <w:rsid w:val="003A2861"/>
    <w:rsid w:val="003A308A"/>
    <w:rsid w:val="003A30FF"/>
    <w:rsid w:val="003A3B1B"/>
    <w:rsid w:val="003A3C0F"/>
    <w:rsid w:val="003A4262"/>
    <w:rsid w:val="003A489E"/>
    <w:rsid w:val="003A4AA4"/>
    <w:rsid w:val="003A5373"/>
    <w:rsid w:val="003A542C"/>
    <w:rsid w:val="003A6A4E"/>
    <w:rsid w:val="003A733F"/>
    <w:rsid w:val="003A7BEA"/>
    <w:rsid w:val="003B09F7"/>
    <w:rsid w:val="003B1765"/>
    <w:rsid w:val="003B1A2C"/>
    <w:rsid w:val="003B1FCB"/>
    <w:rsid w:val="003B3332"/>
    <w:rsid w:val="003B3C13"/>
    <w:rsid w:val="003B3D1E"/>
    <w:rsid w:val="003B489D"/>
    <w:rsid w:val="003B4BBF"/>
    <w:rsid w:val="003B4D93"/>
    <w:rsid w:val="003B51F4"/>
    <w:rsid w:val="003B539D"/>
    <w:rsid w:val="003B566B"/>
    <w:rsid w:val="003B5989"/>
    <w:rsid w:val="003B5CE3"/>
    <w:rsid w:val="003B6CD3"/>
    <w:rsid w:val="003B6EE5"/>
    <w:rsid w:val="003B76BD"/>
    <w:rsid w:val="003C083E"/>
    <w:rsid w:val="003C0DB9"/>
    <w:rsid w:val="003C10E5"/>
    <w:rsid w:val="003C12C4"/>
    <w:rsid w:val="003C1B9B"/>
    <w:rsid w:val="003C222D"/>
    <w:rsid w:val="003C235A"/>
    <w:rsid w:val="003C25C7"/>
    <w:rsid w:val="003C2B94"/>
    <w:rsid w:val="003C2F0C"/>
    <w:rsid w:val="003C2F41"/>
    <w:rsid w:val="003C408D"/>
    <w:rsid w:val="003C4786"/>
    <w:rsid w:val="003C4B68"/>
    <w:rsid w:val="003C5731"/>
    <w:rsid w:val="003C5A96"/>
    <w:rsid w:val="003C5AAD"/>
    <w:rsid w:val="003C5CCB"/>
    <w:rsid w:val="003C6493"/>
    <w:rsid w:val="003C6B92"/>
    <w:rsid w:val="003C6E5B"/>
    <w:rsid w:val="003C72ED"/>
    <w:rsid w:val="003C7A49"/>
    <w:rsid w:val="003C7BEC"/>
    <w:rsid w:val="003D052F"/>
    <w:rsid w:val="003D0D43"/>
    <w:rsid w:val="003D100F"/>
    <w:rsid w:val="003D17D1"/>
    <w:rsid w:val="003D215E"/>
    <w:rsid w:val="003D2296"/>
    <w:rsid w:val="003D243F"/>
    <w:rsid w:val="003D2585"/>
    <w:rsid w:val="003D34E3"/>
    <w:rsid w:val="003D3C22"/>
    <w:rsid w:val="003D516F"/>
    <w:rsid w:val="003D63EE"/>
    <w:rsid w:val="003D6422"/>
    <w:rsid w:val="003D7BBA"/>
    <w:rsid w:val="003D7D67"/>
    <w:rsid w:val="003D7FE2"/>
    <w:rsid w:val="003E0086"/>
    <w:rsid w:val="003E0957"/>
    <w:rsid w:val="003E1F81"/>
    <w:rsid w:val="003E233B"/>
    <w:rsid w:val="003E266E"/>
    <w:rsid w:val="003E278A"/>
    <w:rsid w:val="003E36AF"/>
    <w:rsid w:val="003E3DA3"/>
    <w:rsid w:val="003E4786"/>
    <w:rsid w:val="003E4A40"/>
    <w:rsid w:val="003E56EA"/>
    <w:rsid w:val="003E6373"/>
    <w:rsid w:val="003E638A"/>
    <w:rsid w:val="003E6455"/>
    <w:rsid w:val="003E6D74"/>
    <w:rsid w:val="003E6F5B"/>
    <w:rsid w:val="003E6FE1"/>
    <w:rsid w:val="003F1894"/>
    <w:rsid w:val="003F1AD6"/>
    <w:rsid w:val="003F283D"/>
    <w:rsid w:val="003F2FF5"/>
    <w:rsid w:val="003F30C4"/>
    <w:rsid w:val="003F3AAF"/>
    <w:rsid w:val="003F3D74"/>
    <w:rsid w:val="003F4289"/>
    <w:rsid w:val="003F4992"/>
    <w:rsid w:val="003F4D12"/>
    <w:rsid w:val="003F5AD8"/>
    <w:rsid w:val="003F6664"/>
    <w:rsid w:val="0040048D"/>
    <w:rsid w:val="00400ED6"/>
    <w:rsid w:val="0040162B"/>
    <w:rsid w:val="0040181B"/>
    <w:rsid w:val="0040288C"/>
    <w:rsid w:val="00404574"/>
    <w:rsid w:val="004047F1"/>
    <w:rsid w:val="00404B18"/>
    <w:rsid w:val="00404BEA"/>
    <w:rsid w:val="004051BE"/>
    <w:rsid w:val="004058FE"/>
    <w:rsid w:val="004059D0"/>
    <w:rsid w:val="004059F7"/>
    <w:rsid w:val="00406638"/>
    <w:rsid w:val="004067EB"/>
    <w:rsid w:val="00406A0F"/>
    <w:rsid w:val="00406DF3"/>
    <w:rsid w:val="004074D8"/>
    <w:rsid w:val="004079B4"/>
    <w:rsid w:val="00407D51"/>
    <w:rsid w:val="004108F7"/>
    <w:rsid w:val="00412DF8"/>
    <w:rsid w:val="00414547"/>
    <w:rsid w:val="0041466D"/>
    <w:rsid w:val="00414C31"/>
    <w:rsid w:val="004153CF"/>
    <w:rsid w:val="00415570"/>
    <w:rsid w:val="00415EE6"/>
    <w:rsid w:val="0041619F"/>
    <w:rsid w:val="0041660E"/>
    <w:rsid w:val="00416CA2"/>
    <w:rsid w:val="00416CD3"/>
    <w:rsid w:val="0041737F"/>
    <w:rsid w:val="004175FB"/>
    <w:rsid w:val="0042011B"/>
    <w:rsid w:val="00420909"/>
    <w:rsid w:val="00420E04"/>
    <w:rsid w:val="00421059"/>
    <w:rsid w:val="00421255"/>
    <w:rsid w:val="00421538"/>
    <w:rsid w:val="004219C8"/>
    <w:rsid w:val="00421D28"/>
    <w:rsid w:val="004249DE"/>
    <w:rsid w:val="00424C00"/>
    <w:rsid w:val="004252B2"/>
    <w:rsid w:val="004268F8"/>
    <w:rsid w:val="0042766D"/>
    <w:rsid w:val="00427DC7"/>
    <w:rsid w:val="00427E54"/>
    <w:rsid w:val="00430272"/>
    <w:rsid w:val="0043039E"/>
    <w:rsid w:val="004313B1"/>
    <w:rsid w:val="00431A0E"/>
    <w:rsid w:val="00432375"/>
    <w:rsid w:val="00433A9A"/>
    <w:rsid w:val="00433B70"/>
    <w:rsid w:val="00435020"/>
    <w:rsid w:val="00435077"/>
    <w:rsid w:val="00435151"/>
    <w:rsid w:val="004361C0"/>
    <w:rsid w:val="0043639B"/>
    <w:rsid w:val="00436841"/>
    <w:rsid w:val="00436E9E"/>
    <w:rsid w:val="004374B9"/>
    <w:rsid w:val="004377DD"/>
    <w:rsid w:val="00437E1E"/>
    <w:rsid w:val="004404B2"/>
    <w:rsid w:val="00440E79"/>
    <w:rsid w:val="0044127A"/>
    <w:rsid w:val="004419C8"/>
    <w:rsid w:val="00441C2F"/>
    <w:rsid w:val="004427D2"/>
    <w:rsid w:val="0044309D"/>
    <w:rsid w:val="00443668"/>
    <w:rsid w:val="00444293"/>
    <w:rsid w:val="00444795"/>
    <w:rsid w:val="00445009"/>
    <w:rsid w:val="0044536C"/>
    <w:rsid w:val="00445884"/>
    <w:rsid w:val="0044589A"/>
    <w:rsid w:val="004478A0"/>
    <w:rsid w:val="0045024D"/>
    <w:rsid w:val="00450A26"/>
    <w:rsid w:val="00450D25"/>
    <w:rsid w:val="00451BD6"/>
    <w:rsid w:val="00452085"/>
    <w:rsid w:val="00452933"/>
    <w:rsid w:val="00452AB8"/>
    <w:rsid w:val="00452CA8"/>
    <w:rsid w:val="0045334C"/>
    <w:rsid w:val="00453C3A"/>
    <w:rsid w:val="0045482D"/>
    <w:rsid w:val="004553C2"/>
    <w:rsid w:val="00455AF9"/>
    <w:rsid w:val="00455CD5"/>
    <w:rsid w:val="0045620C"/>
    <w:rsid w:val="00456815"/>
    <w:rsid w:val="0045686B"/>
    <w:rsid w:val="00456BF9"/>
    <w:rsid w:val="00457097"/>
    <w:rsid w:val="004575FB"/>
    <w:rsid w:val="00457B41"/>
    <w:rsid w:val="00460600"/>
    <w:rsid w:val="00461091"/>
    <w:rsid w:val="00461A3A"/>
    <w:rsid w:val="00461B4A"/>
    <w:rsid w:val="004621E0"/>
    <w:rsid w:val="00462488"/>
    <w:rsid w:val="0046255C"/>
    <w:rsid w:val="004633EF"/>
    <w:rsid w:val="00463870"/>
    <w:rsid w:val="0046460B"/>
    <w:rsid w:val="00464F6E"/>
    <w:rsid w:val="0046593E"/>
    <w:rsid w:val="004659F7"/>
    <w:rsid w:val="00466024"/>
    <w:rsid w:val="00466594"/>
    <w:rsid w:val="0046662F"/>
    <w:rsid w:val="0046686E"/>
    <w:rsid w:val="00466C49"/>
    <w:rsid w:val="004674F4"/>
    <w:rsid w:val="0047013B"/>
    <w:rsid w:val="00470DEB"/>
    <w:rsid w:val="00471480"/>
    <w:rsid w:val="00471A29"/>
    <w:rsid w:val="00471DF0"/>
    <w:rsid w:val="00472046"/>
    <w:rsid w:val="0047373A"/>
    <w:rsid w:val="00473FDE"/>
    <w:rsid w:val="004743E6"/>
    <w:rsid w:val="0047467D"/>
    <w:rsid w:val="0047580A"/>
    <w:rsid w:val="00475AF3"/>
    <w:rsid w:val="004767D6"/>
    <w:rsid w:val="00476980"/>
    <w:rsid w:val="00476B51"/>
    <w:rsid w:val="00477521"/>
    <w:rsid w:val="0047797F"/>
    <w:rsid w:val="004802E4"/>
    <w:rsid w:val="00480544"/>
    <w:rsid w:val="00480DBB"/>
    <w:rsid w:val="00480E9E"/>
    <w:rsid w:val="00481FC6"/>
    <w:rsid w:val="004829F3"/>
    <w:rsid w:val="00483443"/>
    <w:rsid w:val="00483490"/>
    <w:rsid w:val="004836C9"/>
    <w:rsid w:val="004838A3"/>
    <w:rsid w:val="00483A03"/>
    <w:rsid w:val="00483AAD"/>
    <w:rsid w:val="00484E85"/>
    <w:rsid w:val="00485617"/>
    <w:rsid w:val="0048584D"/>
    <w:rsid w:val="004859D4"/>
    <w:rsid w:val="00485BCA"/>
    <w:rsid w:val="00485E8D"/>
    <w:rsid w:val="00486D32"/>
    <w:rsid w:val="004876E4"/>
    <w:rsid w:val="004902B8"/>
    <w:rsid w:val="004904C1"/>
    <w:rsid w:val="0049054E"/>
    <w:rsid w:val="00490E62"/>
    <w:rsid w:val="00491772"/>
    <w:rsid w:val="00491CF0"/>
    <w:rsid w:val="00491D27"/>
    <w:rsid w:val="004923CD"/>
    <w:rsid w:val="00492CBD"/>
    <w:rsid w:val="00493C22"/>
    <w:rsid w:val="00494237"/>
    <w:rsid w:val="00494549"/>
    <w:rsid w:val="00494A9B"/>
    <w:rsid w:val="00494BC3"/>
    <w:rsid w:val="00495FEA"/>
    <w:rsid w:val="0049651C"/>
    <w:rsid w:val="00496553"/>
    <w:rsid w:val="00496ACF"/>
    <w:rsid w:val="00496BF5"/>
    <w:rsid w:val="00496EF7"/>
    <w:rsid w:val="00497E44"/>
    <w:rsid w:val="004A0119"/>
    <w:rsid w:val="004A0685"/>
    <w:rsid w:val="004A0A67"/>
    <w:rsid w:val="004A171D"/>
    <w:rsid w:val="004A18E9"/>
    <w:rsid w:val="004A26A9"/>
    <w:rsid w:val="004A2D1D"/>
    <w:rsid w:val="004A2D37"/>
    <w:rsid w:val="004A3332"/>
    <w:rsid w:val="004A344B"/>
    <w:rsid w:val="004A5849"/>
    <w:rsid w:val="004A5CFD"/>
    <w:rsid w:val="004A60DF"/>
    <w:rsid w:val="004A72AE"/>
    <w:rsid w:val="004B0456"/>
    <w:rsid w:val="004B0C31"/>
    <w:rsid w:val="004B0D5D"/>
    <w:rsid w:val="004B0E1F"/>
    <w:rsid w:val="004B2061"/>
    <w:rsid w:val="004B24AD"/>
    <w:rsid w:val="004B27AB"/>
    <w:rsid w:val="004B4A83"/>
    <w:rsid w:val="004B5161"/>
    <w:rsid w:val="004B521C"/>
    <w:rsid w:val="004B526E"/>
    <w:rsid w:val="004B5867"/>
    <w:rsid w:val="004B6CA6"/>
    <w:rsid w:val="004B6CB2"/>
    <w:rsid w:val="004B6D6D"/>
    <w:rsid w:val="004B6F62"/>
    <w:rsid w:val="004B76EC"/>
    <w:rsid w:val="004B7B7E"/>
    <w:rsid w:val="004C054E"/>
    <w:rsid w:val="004C1E8E"/>
    <w:rsid w:val="004C24C7"/>
    <w:rsid w:val="004C2A07"/>
    <w:rsid w:val="004C3EEA"/>
    <w:rsid w:val="004C4162"/>
    <w:rsid w:val="004C474E"/>
    <w:rsid w:val="004C498A"/>
    <w:rsid w:val="004C4DBA"/>
    <w:rsid w:val="004C5309"/>
    <w:rsid w:val="004C5902"/>
    <w:rsid w:val="004C5AE5"/>
    <w:rsid w:val="004C63CF"/>
    <w:rsid w:val="004C6595"/>
    <w:rsid w:val="004C6C01"/>
    <w:rsid w:val="004C7DD2"/>
    <w:rsid w:val="004C7FBB"/>
    <w:rsid w:val="004D0B0A"/>
    <w:rsid w:val="004D0CFD"/>
    <w:rsid w:val="004D11FE"/>
    <w:rsid w:val="004D131F"/>
    <w:rsid w:val="004D14FC"/>
    <w:rsid w:val="004D1E33"/>
    <w:rsid w:val="004D2049"/>
    <w:rsid w:val="004D28D7"/>
    <w:rsid w:val="004D2EE5"/>
    <w:rsid w:val="004D3170"/>
    <w:rsid w:val="004D3305"/>
    <w:rsid w:val="004D33B4"/>
    <w:rsid w:val="004D3AAF"/>
    <w:rsid w:val="004D418A"/>
    <w:rsid w:val="004D41F3"/>
    <w:rsid w:val="004D44FB"/>
    <w:rsid w:val="004D4AF5"/>
    <w:rsid w:val="004D51E6"/>
    <w:rsid w:val="004D54F9"/>
    <w:rsid w:val="004D57FC"/>
    <w:rsid w:val="004D5F6C"/>
    <w:rsid w:val="004D657C"/>
    <w:rsid w:val="004D67E8"/>
    <w:rsid w:val="004D7635"/>
    <w:rsid w:val="004D784E"/>
    <w:rsid w:val="004D7A90"/>
    <w:rsid w:val="004E02DD"/>
    <w:rsid w:val="004E0B9D"/>
    <w:rsid w:val="004E1420"/>
    <w:rsid w:val="004E197D"/>
    <w:rsid w:val="004E1B24"/>
    <w:rsid w:val="004E1E07"/>
    <w:rsid w:val="004E2DA4"/>
    <w:rsid w:val="004E3032"/>
    <w:rsid w:val="004E41C3"/>
    <w:rsid w:val="004E4467"/>
    <w:rsid w:val="004E4C4C"/>
    <w:rsid w:val="004E4E4A"/>
    <w:rsid w:val="004E73C6"/>
    <w:rsid w:val="004E7995"/>
    <w:rsid w:val="004F0C98"/>
    <w:rsid w:val="004F0CD3"/>
    <w:rsid w:val="004F0FCB"/>
    <w:rsid w:val="004F1104"/>
    <w:rsid w:val="004F130E"/>
    <w:rsid w:val="004F1352"/>
    <w:rsid w:val="004F2102"/>
    <w:rsid w:val="004F2609"/>
    <w:rsid w:val="004F311E"/>
    <w:rsid w:val="004F37AE"/>
    <w:rsid w:val="004F3A6A"/>
    <w:rsid w:val="004F4B81"/>
    <w:rsid w:val="004F5C2E"/>
    <w:rsid w:val="004F5C83"/>
    <w:rsid w:val="004F63A1"/>
    <w:rsid w:val="004F674B"/>
    <w:rsid w:val="004F6F7B"/>
    <w:rsid w:val="004F70E8"/>
    <w:rsid w:val="004F7818"/>
    <w:rsid w:val="00500308"/>
    <w:rsid w:val="0050054C"/>
    <w:rsid w:val="00500F76"/>
    <w:rsid w:val="0050133E"/>
    <w:rsid w:val="005015A4"/>
    <w:rsid w:val="0050174D"/>
    <w:rsid w:val="005031BB"/>
    <w:rsid w:val="005035DB"/>
    <w:rsid w:val="00503DDA"/>
    <w:rsid w:val="00504AA2"/>
    <w:rsid w:val="0050609C"/>
    <w:rsid w:val="0050787B"/>
    <w:rsid w:val="00510508"/>
    <w:rsid w:val="00512874"/>
    <w:rsid w:val="0051291D"/>
    <w:rsid w:val="00512C46"/>
    <w:rsid w:val="0051449C"/>
    <w:rsid w:val="005145D7"/>
    <w:rsid w:val="00515143"/>
    <w:rsid w:val="00515B3A"/>
    <w:rsid w:val="00516961"/>
    <w:rsid w:val="00516985"/>
    <w:rsid w:val="005205C5"/>
    <w:rsid w:val="0052202E"/>
    <w:rsid w:val="005223B1"/>
    <w:rsid w:val="00522665"/>
    <w:rsid w:val="0052339A"/>
    <w:rsid w:val="0052356E"/>
    <w:rsid w:val="005239C4"/>
    <w:rsid w:val="005239FC"/>
    <w:rsid w:val="00523F8F"/>
    <w:rsid w:val="00523FF9"/>
    <w:rsid w:val="0052430C"/>
    <w:rsid w:val="005250BB"/>
    <w:rsid w:val="0052565E"/>
    <w:rsid w:val="0052577E"/>
    <w:rsid w:val="005263FB"/>
    <w:rsid w:val="005265C7"/>
    <w:rsid w:val="00526807"/>
    <w:rsid w:val="00526B87"/>
    <w:rsid w:val="00526CD2"/>
    <w:rsid w:val="00527969"/>
    <w:rsid w:val="00530405"/>
    <w:rsid w:val="005306F0"/>
    <w:rsid w:val="00531002"/>
    <w:rsid w:val="0053168A"/>
    <w:rsid w:val="005321F3"/>
    <w:rsid w:val="00532994"/>
    <w:rsid w:val="00532D22"/>
    <w:rsid w:val="00533462"/>
    <w:rsid w:val="00533622"/>
    <w:rsid w:val="00533A22"/>
    <w:rsid w:val="0053507C"/>
    <w:rsid w:val="005361D6"/>
    <w:rsid w:val="0053654A"/>
    <w:rsid w:val="00536B43"/>
    <w:rsid w:val="0053743D"/>
    <w:rsid w:val="0053769C"/>
    <w:rsid w:val="005377D5"/>
    <w:rsid w:val="00537DE9"/>
    <w:rsid w:val="00540230"/>
    <w:rsid w:val="00540C1F"/>
    <w:rsid w:val="0054255F"/>
    <w:rsid w:val="00542977"/>
    <w:rsid w:val="00542D41"/>
    <w:rsid w:val="005437BE"/>
    <w:rsid w:val="005447BA"/>
    <w:rsid w:val="00544A20"/>
    <w:rsid w:val="005451EE"/>
    <w:rsid w:val="005453F2"/>
    <w:rsid w:val="00546634"/>
    <w:rsid w:val="00546AA4"/>
    <w:rsid w:val="00546B75"/>
    <w:rsid w:val="00547474"/>
    <w:rsid w:val="00547716"/>
    <w:rsid w:val="0054773C"/>
    <w:rsid w:val="00550435"/>
    <w:rsid w:val="005509E9"/>
    <w:rsid w:val="00551645"/>
    <w:rsid w:val="005517AB"/>
    <w:rsid w:val="0055235D"/>
    <w:rsid w:val="005523F0"/>
    <w:rsid w:val="0055274B"/>
    <w:rsid w:val="00552958"/>
    <w:rsid w:val="00552A38"/>
    <w:rsid w:val="00552B4C"/>
    <w:rsid w:val="00552BBF"/>
    <w:rsid w:val="00552F15"/>
    <w:rsid w:val="00552F25"/>
    <w:rsid w:val="00553B03"/>
    <w:rsid w:val="00553D30"/>
    <w:rsid w:val="00554CC1"/>
    <w:rsid w:val="00555068"/>
    <w:rsid w:val="005551D8"/>
    <w:rsid w:val="005553ED"/>
    <w:rsid w:val="00555BCD"/>
    <w:rsid w:val="00555DF5"/>
    <w:rsid w:val="00556642"/>
    <w:rsid w:val="00556743"/>
    <w:rsid w:val="0055684C"/>
    <w:rsid w:val="00556B10"/>
    <w:rsid w:val="00560309"/>
    <w:rsid w:val="00560618"/>
    <w:rsid w:val="00560926"/>
    <w:rsid w:val="00560ADA"/>
    <w:rsid w:val="00560BED"/>
    <w:rsid w:val="00561070"/>
    <w:rsid w:val="00561254"/>
    <w:rsid w:val="00561F69"/>
    <w:rsid w:val="00562965"/>
    <w:rsid w:val="00562E94"/>
    <w:rsid w:val="00563E20"/>
    <w:rsid w:val="0056482D"/>
    <w:rsid w:val="0056592D"/>
    <w:rsid w:val="00566DE0"/>
    <w:rsid w:val="00566E50"/>
    <w:rsid w:val="00566E9A"/>
    <w:rsid w:val="005670FF"/>
    <w:rsid w:val="00567927"/>
    <w:rsid w:val="005679A3"/>
    <w:rsid w:val="00570072"/>
    <w:rsid w:val="0057052C"/>
    <w:rsid w:val="0057139C"/>
    <w:rsid w:val="00571B97"/>
    <w:rsid w:val="00572107"/>
    <w:rsid w:val="00572652"/>
    <w:rsid w:val="00572F6E"/>
    <w:rsid w:val="005737CB"/>
    <w:rsid w:val="00574447"/>
    <w:rsid w:val="00574DE2"/>
    <w:rsid w:val="00575E9E"/>
    <w:rsid w:val="00576798"/>
    <w:rsid w:val="0057718B"/>
    <w:rsid w:val="00577232"/>
    <w:rsid w:val="00577834"/>
    <w:rsid w:val="00580215"/>
    <w:rsid w:val="005805F0"/>
    <w:rsid w:val="0058064C"/>
    <w:rsid w:val="005809C7"/>
    <w:rsid w:val="0058123D"/>
    <w:rsid w:val="00583219"/>
    <w:rsid w:val="00583E96"/>
    <w:rsid w:val="0058405E"/>
    <w:rsid w:val="00584101"/>
    <w:rsid w:val="005847DE"/>
    <w:rsid w:val="00584C59"/>
    <w:rsid w:val="0058531C"/>
    <w:rsid w:val="005860BE"/>
    <w:rsid w:val="0058665E"/>
    <w:rsid w:val="00586A12"/>
    <w:rsid w:val="00586D82"/>
    <w:rsid w:val="00586F02"/>
    <w:rsid w:val="00587212"/>
    <w:rsid w:val="00587372"/>
    <w:rsid w:val="005874FD"/>
    <w:rsid w:val="0058799F"/>
    <w:rsid w:val="00587E62"/>
    <w:rsid w:val="00590299"/>
    <w:rsid w:val="00590528"/>
    <w:rsid w:val="00590B77"/>
    <w:rsid w:val="00590ED0"/>
    <w:rsid w:val="00591789"/>
    <w:rsid w:val="00591BB9"/>
    <w:rsid w:val="00591FF4"/>
    <w:rsid w:val="00592850"/>
    <w:rsid w:val="00592A02"/>
    <w:rsid w:val="0059419A"/>
    <w:rsid w:val="0059467D"/>
    <w:rsid w:val="00595920"/>
    <w:rsid w:val="005964BD"/>
    <w:rsid w:val="00596687"/>
    <w:rsid w:val="00596A59"/>
    <w:rsid w:val="00596F21"/>
    <w:rsid w:val="0059722C"/>
    <w:rsid w:val="00597A63"/>
    <w:rsid w:val="00597AD6"/>
    <w:rsid w:val="005A03AA"/>
    <w:rsid w:val="005A0C75"/>
    <w:rsid w:val="005A0DAC"/>
    <w:rsid w:val="005A10C0"/>
    <w:rsid w:val="005A1404"/>
    <w:rsid w:val="005A1538"/>
    <w:rsid w:val="005A1AB3"/>
    <w:rsid w:val="005A1C92"/>
    <w:rsid w:val="005A2429"/>
    <w:rsid w:val="005A2A39"/>
    <w:rsid w:val="005A33A7"/>
    <w:rsid w:val="005A34FB"/>
    <w:rsid w:val="005A5C3C"/>
    <w:rsid w:val="005A5D57"/>
    <w:rsid w:val="005A5FF7"/>
    <w:rsid w:val="005A6004"/>
    <w:rsid w:val="005A6128"/>
    <w:rsid w:val="005A62CB"/>
    <w:rsid w:val="005A64FA"/>
    <w:rsid w:val="005A6AFC"/>
    <w:rsid w:val="005A7DB5"/>
    <w:rsid w:val="005B091D"/>
    <w:rsid w:val="005B128A"/>
    <w:rsid w:val="005B2483"/>
    <w:rsid w:val="005B281C"/>
    <w:rsid w:val="005B293E"/>
    <w:rsid w:val="005B3D5C"/>
    <w:rsid w:val="005B50CE"/>
    <w:rsid w:val="005B549A"/>
    <w:rsid w:val="005B5CE0"/>
    <w:rsid w:val="005B64C4"/>
    <w:rsid w:val="005B68DF"/>
    <w:rsid w:val="005B7818"/>
    <w:rsid w:val="005C109A"/>
    <w:rsid w:val="005C1742"/>
    <w:rsid w:val="005C1C44"/>
    <w:rsid w:val="005C2319"/>
    <w:rsid w:val="005C2484"/>
    <w:rsid w:val="005C34E5"/>
    <w:rsid w:val="005C4D9E"/>
    <w:rsid w:val="005C4DCF"/>
    <w:rsid w:val="005C500B"/>
    <w:rsid w:val="005C6E98"/>
    <w:rsid w:val="005C77E0"/>
    <w:rsid w:val="005C7984"/>
    <w:rsid w:val="005C7C3D"/>
    <w:rsid w:val="005C7E39"/>
    <w:rsid w:val="005C7FCB"/>
    <w:rsid w:val="005D010E"/>
    <w:rsid w:val="005D0600"/>
    <w:rsid w:val="005D063B"/>
    <w:rsid w:val="005D11B2"/>
    <w:rsid w:val="005D11B5"/>
    <w:rsid w:val="005D1832"/>
    <w:rsid w:val="005D1B10"/>
    <w:rsid w:val="005D2042"/>
    <w:rsid w:val="005D279A"/>
    <w:rsid w:val="005D2F1C"/>
    <w:rsid w:val="005D3032"/>
    <w:rsid w:val="005D44AC"/>
    <w:rsid w:val="005D72BF"/>
    <w:rsid w:val="005D75CC"/>
    <w:rsid w:val="005D7850"/>
    <w:rsid w:val="005D7F6E"/>
    <w:rsid w:val="005E06A0"/>
    <w:rsid w:val="005E0897"/>
    <w:rsid w:val="005E0B58"/>
    <w:rsid w:val="005E0D45"/>
    <w:rsid w:val="005E1AAE"/>
    <w:rsid w:val="005E1E0A"/>
    <w:rsid w:val="005E282E"/>
    <w:rsid w:val="005E43F7"/>
    <w:rsid w:val="005E4A21"/>
    <w:rsid w:val="005E578C"/>
    <w:rsid w:val="005E5AD9"/>
    <w:rsid w:val="005E5E0E"/>
    <w:rsid w:val="005E5F13"/>
    <w:rsid w:val="005E63B0"/>
    <w:rsid w:val="005E7918"/>
    <w:rsid w:val="005E79DB"/>
    <w:rsid w:val="005E7F17"/>
    <w:rsid w:val="005F036C"/>
    <w:rsid w:val="005F125A"/>
    <w:rsid w:val="005F24E6"/>
    <w:rsid w:val="005F39AC"/>
    <w:rsid w:val="005F4622"/>
    <w:rsid w:val="005F4768"/>
    <w:rsid w:val="005F479C"/>
    <w:rsid w:val="005F55B0"/>
    <w:rsid w:val="005F5AEE"/>
    <w:rsid w:val="005F6369"/>
    <w:rsid w:val="005F7795"/>
    <w:rsid w:val="005F7A71"/>
    <w:rsid w:val="00600073"/>
    <w:rsid w:val="006002CD"/>
    <w:rsid w:val="00601FAD"/>
    <w:rsid w:val="00602723"/>
    <w:rsid w:val="00602C27"/>
    <w:rsid w:val="00602FF2"/>
    <w:rsid w:val="0060330E"/>
    <w:rsid w:val="00604A89"/>
    <w:rsid w:val="00604D3C"/>
    <w:rsid w:val="0060511F"/>
    <w:rsid w:val="006052D8"/>
    <w:rsid w:val="00605509"/>
    <w:rsid w:val="0060599C"/>
    <w:rsid w:val="00605B32"/>
    <w:rsid w:val="00606134"/>
    <w:rsid w:val="00606461"/>
    <w:rsid w:val="00606754"/>
    <w:rsid w:val="006067BA"/>
    <w:rsid w:val="00606E46"/>
    <w:rsid w:val="0060703C"/>
    <w:rsid w:val="00607084"/>
    <w:rsid w:val="00607168"/>
    <w:rsid w:val="00607611"/>
    <w:rsid w:val="00607803"/>
    <w:rsid w:val="00607D55"/>
    <w:rsid w:val="00607E8B"/>
    <w:rsid w:val="00611311"/>
    <w:rsid w:val="00611369"/>
    <w:rsid w:val="006115D9"/>
    <w:rsid w:val="00612220"/>
    <w:rsid w:val="0061280B"/>
    <w:rsid w:val="006128CD"/>
    <w:rsid w:val="00612DD8"/>
    <w:rsid w:val="00614170"/>
    <w:rsid w:val="00614571"/>
    <w:rsid w:val="00614B3C"/>
    <w:rsid w:val="00614B79"/>
    <w:rsid w:val="00615E69"/>
    <w:rsid w:val="00621E8D"/>
    <w:rsid w:val="006226A9"/>
    <w:rsid w:val="00622B09"/>
    <w:rsid w:val="00623187"/>
    <w:rsid w:val="00624211"/>
    <w:rsid w:val="00624363"/>
    <w:rsid w:val="00624882"/>
    <w:rsid w:val="00624ACF"/>
    <w:rsid w:val="00624F3B"/>
    <w:rsid w:val="00625BED"/>
    <w:rsid w:val="00625F6D"/>
    <w:rsid w:val="00626BB0"/>
    <w:rsid w:val="0062702E"/>
    <w:rsid w:val="00627489"/>
    <w:rsid w:val="0062765B"/>
    <w:rsid w:val="00627CFF"/>
    <w:rsid w:val="006303E5"/>
    <w:rsid w:val="006303FD"/>
    <w:rsid w:val="006306DE"/>
    <w:rsid w:val="00630DCE"/>
    <w:rsid w:val="00631BF8"/>
    <w:rsid w:val="0063218D"/>
    <w:rsid w:val="00633348"/>
    <w:rsid w:val="006335CE"/>
    <w:rsid w:val="0063418D"/>
    <w:rsid w:val="00634215"/>
    <w:rsid w:val="00634554"/>
    <w:rsid w:val="00634730"/>
    <w:rsid w:val="0063533D"/>
    <w:rsid w:val="006353D7"/>
    <w:rsid w:val="00635C3B"/>
    <w:rsid w:val="00635CAC"/>
    <w:rsid w:val="0063635B"/>
    <w:rsid w:val="0063701C"/>
    <w:rsid w:val="0063735B"/>
    <w:rsid w:val="0063758C"/>
    <w:rsid w:val="0063783E"/>
    <w:rsid w:val="006409EF"/>
    <w:rsid w:val="0064141F"/>
    <w:rsid w:val="0064158F"/>
    <w:rsid w:val="0064172E"/>
    <w:rsid w:val="00641920"/>
    <w:rsid w:val="006423AA"/>
    <w:rsid w:val="00642974"/>
    <w:rsid w:val="00642F8D"/>
    <w:rsid w:val="006442A3"/>
    <w:rsid w:val="00644552"/>
    <w:rsid w:val="006445D9"/>
    <w:rsid w:val="00644E1D"/>
    <w:rsid w:val="006456E6"/>
    <w:rsid w:val="00645E61"/>
    <w:rsid w:val="0064609E"/>
    <w:rsid w:val="00650041"/>
    <w:rsid w:val="0065050C"/>
    <w:rsid w:val="0065096B"/>
    <w:rsid w:val="006509F6"/>
    <w:rsid w:val="00650B6A"/>
    <w:rsid w:val="006518ED"/>
    <w:rsid w:val="00652270"/>
    <w:rsid w:val="00652406"/>
    <w:rsid w:val="006531F8"/>
    <w:rsid w:val="006532CD"/>
    <w:rsid w:val="00654376"/>
    <w:rsid w:val="006547F3"/>
    <w:rsid w:val="00654984"/>
    <w:rsid w:val="00654CB7"/>
    <w:rsid w:val="006555A6"/>
    <w:rsid w:val="006559F4"/>
    <w:rsid w:val="00655D55"/>
    <w:rsid w:val="00655E73"/>
    <w:rsid w:val="00656186"/>
    <w:rsid w:val="00656566"/>
    <w:rsid w:val="00656604"/>
    <w:rsid w:val="00656BE4"/>
    <w:rsid w:val="00656F04"/>
    <w:rsid w:val="0065797A"/>
    <w:rsid w:val="006609E8"/>
    <w:rsid w:val="00661313"/>
    <w:rsid w:val="00662273"/>
    <w:rsid w:val="00662437"/>
    <w:rsid w:val="00662736"/>
    <w:rsid w:val="00663DAE"/>
    <w:rsid w:val="00663FBD"/>
    <w:rsid w:val="00665006"/>
    <w:rsid w:val="00665480"/>
    <w:rsid w:val="006658E9"/>
    <w:rsid w:val="00665FFE"/>
    <w:rsid w:val="006668F2"/>
    <w:rsid w:val="006670DA"/>
    <w:rsid w:val="006674A5"/>
    <w:rsid w:val="00667F5D"/>
    <w:rsid w:val="006700A8"/>
    <w:rsid w:val="00670B6D"/>
    <w:rsid w:val="00670DA3"/>
    <w:rsid w:val="0067103E"/>
    <w:rsid w:val="006710CA"/>
    <w:rsid w:val="00671741"/>
    <w:rsid w:val="0067187C"/>
    <w:rsid w:val="00671ADD"/>
    <w:rsid w:val="00672031"/>
    <w:rsid w:val="006722F7"/>
    <w:rsid w:val="00672A53"/>
    <w:rsid w:val="00672BA1"/>
    <w:rsid w:val="00673768"/>
    <w:rsid w:val="00673C2C"/>
    <w:rsid w:val="00673D8C"/>
    <w:rsid w:val="00673F9E"/>
    <w:rsid w:val="0067410D"/>
    <w:rsid w:val="00675780"/>
    <w:rsid w:val="00675D0F"/>
    <w:rsid w:val="00675FDA"/>
    <w:rsid w:val="00676179"/>
    <w:rsid w:val="00676888"/>
    <w:rsid w:val="006775AB"/>
    <w:rsid w:val="00677643"/>
    <w:rsid w:val="00677BA1"/>
    <w:rsid w:val="0068080C"/>
    <w:rsid w:val="00680987"/>
    <w:rsid w:val="00681951"/>
    <w:rsid w:val="006821E9"/>
    <w:rsid w:val="00683BA5"/>
    <w:rsid w:val="00683DE1"/>
    <w:rsid w:val="00683FFE"/>
    <w:rsid w:val="006845A5"/>
    <w:rsid w:val="00684676"/>
    <w:rsid w:val="006847C9"/>
    <w:rsid w:val="00684D7E"/>
    <w:rsid w:val="00685286"/>
    <w:rsid w:val="006857A8"/>
    <w:rsid w:val="00686BDE"/>
    <w:rsid w:val="0068718F"/>
    <w:rsid w:val="00687C32"/>
    <w:rsid w:val="00687DF2"/>
    <w:rsid w:val="006902E5"/>
    <w:rsid w:val="00690593"/>
    <w:rsid w:val="006910D6"/>
    <w:rsid w:val="0069200E"/>
    <w:rsid w:val="006920C2"/>
    <w:rsid w:val="0069376E"/>
    <w:rsid w:val="00694CFD"/>
    <w:rsid w:val="00694D57"/>
    <w:rsid w:val="00694E42"/>
    <w:rsid w:val="00695773"/>
    <w:rsid w:val="00695B2C"/>
    <w:rsid w:val="00695B61"/>
    <w:rsid w:val="00695BCA"/>
    <w:rsid w:val="00696030"/>
    <w:rsid w:val="00697B75"/>
    <w:rsid w:val="00697B81"/>
    <w:rsid w:val="00697C58"/>
    <w:rsid w:val="00697D58"/>
    <w:rsid w:val="00697E5C"/>
    <w:rsid w:val="00697E6A"/>
    <w:rsid w:val="006A0611"/>
    <w:rsid w:val="006A08B1"/>
    <w:rsid w:val="006A0BEC"/>
    <w:rsid w:val="006A0CD4"/>
    <w:rsid w:val="006A13CE"/>
    <w:rsid w:val="006A18B3"/>
    <w:rsid w:val="006A33B1"/>
    <w:rsid w:val="006A3945"/>
    <w:rsid w:val="006A4184"/>
    <w:rsid w:val="006A5DA4"/>
    <w:rsid w:val="006A5DCF"/>
    <w:rsid w:val="006A6205"/>
    <w:rsid w:val="006A6474"/>
    <w:rsid w:val="006A6EB4"/>
    <w:rsid w:val="006A713B"/>
    <w:rsid w:val="006B0646"/>
    <w:rsid w:val="006B0ACE"/>
    <w:rsid w:val="006B0D1A"/>
    <w:rsid w:val="006B1CBB"/>
    <w:rsid w:val="006B2C94"/>
    <w:rsid w:val="006B3BB9"/>
    <w:rsid w:val="006B3DFA"/>
    <w:rsid w:val="006B4169"/>
    <w:rsid w:val="006B4A4A"/>
    <w:rsid w:val="006B51F7"/>
    <w:rsid w:val="006B6319"/>
    <w:rsid w:val="006B6E86"/>
    <w:rsid w:val="006B741C"/>
    <w:rsid w:val="006B7999"/>
    <w:rsid w:val="006C0507"/>
    <w:rsid w:val="006C0CA9"/>
    <w:rsid w:val="006C0CF5"/>
    <w:rsid w:val="006C0D90"/>
    <w:rsid w:val="006C13C4"/>
    <w:rsid w:val="006C1447"/>
    <w:rsid w:val="006C1D56"/>
    <w:rsid w:val="006C253E"/>
    <w:rsid w:val="006C3BC3"/>
    <w:rsid w:val="006C43ED"/>
    <w:rsid w:val="006C55C7"/>
    <w:rsid w:val="006C5E23"/>
    <w:rsid w:val="006C601C"/>
    <w:rsid w:val="006C60AA"/>
    <w:rsid w:val="006C681E"/>
    <w:rsid w:val="006C7BA8"/>
    <w:rsid w:val="006D0908"/>
    <w:rsid w:val="006D0A3F"/>
    <w:rsid w:val="006D0D46"/>
    <w:rsid w:val="006D1846"/>
    <w:rsid w:val="006D2D2F"/>
    <w:rsid w:val="006D2F99"/>
    <w:rsid w:val="006D31F1"/>
    <w:rsid w:val="006D3739"/>
    <w:rsid w:val="006D3745"/>
    <w:rsid w:val="006D42B1"/>
    <w:rsid w:val="006D4747"/>
    <w:rsid w:val="006D4B11"/>
    <w:rsid w:val="006D4C01"/>
    <w:rsid w:val="006D50FA"/>
    <w:rsid w:val="006D6DA6"/>
    <w:rsid w:val="006D6DB7"/>
    <w:rsid w:val="006D7B43"/>
    <w:rsid w:val="006D7C7F"/>
    <w:rsid w:val="006E0100"/>
    <w:rsid w:val="006E167C"/>
    <w:rsid w:val="006E1786"/>
    <w:rsid w:val="006E17CC"/>
    <w:rsid w:val="006E22E0"/>
    <w:rsid w:val="006E3233"/>
    <w:rsid w:val="006E3AE3"/>
    <w:rsid w:val="006E4726"/>
    <w:rsid w:val="006E5530"/>
    <w:rsid w:val="006E5555"/>
    <w:rsid w:val="006E58EF"/>
    <w:rsid w:val="006E70C7"/>
    <w:rsid w:val="006E75FB"/>
    <w:rsid w:val="006F00D1"/>
    <w:rsid w:val="006F0DF2"/>
    <w:rsid w:val="006F0ED6"/>
    <w:rsid w:val="006F2599"/>
    <w:rsid w:val="006F30C6"/>
    <w:rsid w:val="006F34C2"/>
    <w:rsid w:val="006F3F15"/>
    <w:rsid w:val="006F3F53"/>
    <w:rsid w:val="006F4894"/>
    <w:rsid w:val="006F5644"/>
    <w:rsid w:val="006F5A3E"/>
    <w:rsid w:val="006F5B4F"/>
    <w:rsid w:val="006F6FBC"/>
    <w:rsid w:val="006F7309"/>
    <w:rsid w:val="00700123"/>
    <w:rsid w:val="00700648"/>
    <w:rsid w:val="00701A21"/>
    <w:rsid w:val="00701B9C"/>
    <w:rsid w:val="00702AE3"/>
    <w:rsid w:val="007036AB"/>
    <w:rsid w:val="00703D43"/>
    <w:rsid w:val="00704FC6"/>
    <w:rsid w:val="0070510A"/>
    <w:rsid w:val="00705520"/>
    <w:rsid w:val="007056CC"/>
    <w:rsid w:val="0070580C"/>
    <w:rsid w:val="00705811"/>
    <w:rsid w:val="00705D8E"/>
    <w:rsid w:val="00705F21"/>
    <w:rsid w:val="00706F92"/>
    <w:rsid w:val="00707312"/>
    <w:rsid w:val="00707699"/>
    <w:rsid w:val="00710488"/>
    <w:rsid w:val="0071077B"/>
    <w:rsid w:val="00711BCE"/>
    <w:rsid w:val="00712591"/>
    <w:rsid w:val="00712D59"/>
    <w:rsid w:val="00713233"/>
    <w:rsid w:val="00713817"/>
    <w:rsid w:val="00713876"/>
    <w:rsid w:val="00714E88"/>
    <w:rsid w:val="00714FEB"/>
    <w:rsid w:val="007150A3"/>
    <w:rsid w:val="0071538B"/>
    <w:rsid w:val="007167FF"/>
    <w:rsid w:val="00716C5F"/>
    <w:rsid w:val="00716CA7"/>
    <w:rsid w:val="00716CC0"/>
    <w:rsid w:val="00717304"/>
    <w:rsid w:val="007176AD"/>
    <w:rsid w:val="007201BC"/>
    <w:rsid w:val="00720489"/>
    <w:rsid w:val="00720913"/>
    <w:rsid w:val="00721BAA"/>
    <w:rsid w:val="00721BD4"/>
    <w:rsid w:val="00721C00"/>
    <w:rsid w:val="007223AA"/>
    <w:rsid w:val="0072266E"/>
    <w:rsid w:val="00722A44"/>
    <w:rsid w:val="00722BCD"/>
    <w:rsid w:val="00722EA3"/>
    <w:rsid w:val="00723419"/>
    <w:rsid w:val="00723813"/>
    <w:rsid w:val="0072406C"/>
    <w:rsid w:val="00724FFC"/>
    <w:rsid w:val="00725863"/>
    <w:rsid w:val="00725BEB"/>
    <w:rsid w:val="00726382"/>
    <w:rsid w:val="007266B0"/>
    <w:rsid w:val="0072699B"/>
    <w:rsid w:val="00726E84"/>
    <w:rsid w:val="0072736A"/>
    <w:rsid w:val="00727CAE"/>
    <w:rsid w:val="00727DEF"/>
    <w:rsid w:val="00730DE4"/>
    <w:rsid w:val="00731336"/>
    <w:rsid w:val="00732C46"/>
    <w:rsid w:val="00733602"/>
    <w:rsid w:val="00733684"/>
    <w:rsid w:val="0073373B"/>
    <w:rsid w:val="00734B25"/>
    <w:rsid w:val="00735FF6"/>
    <w:rsid w:val="0073630F"/>
    <w:rsid w:val="00736BEF"/>
    <w:rsid w:val="00736D06"/>
    <w:rsid w:val="00736E87"/>
    <w:rsid w:val="0074031D"/>
    <w:rsid w:val="00741480"/>
    <w:rsid w:val="00741DAD"/>
    <w:rsid w:val="00742149"/>
    <w:rsid w:val="00742182"/>
    <w:rsid w:val="007421BF"/>
    <w:rsid w:val="00742DCE"/>
    <w:rsid w:val="00744077"/>
    <w:rsid w:val="00744115"/>
    <w:rsid w:val="007441D9"/>
    <w:rsid w:val="007448AE"/>
    <w:rsid w:val="0074560B"/>
    <w:rsid w:val="007461A7"/>
    <w:rsid w:val="007473CA"/>
    <w:rsid w:val="00750248"/>
    <w:rsid w:val="0075083A"/>
    <w:rsid w:val="00750968"/>
    <w:rsid w:val="00750A95"/>
    <w:rsid w:val="00750CC7"/>
    <w:rsid w:val="00751C71"/>
    <w:rsid w:val="00751C7A"/>
    <w:rsid w:val="00751CBF"/>
    <w:rsid w:val="00752048"/>
    <w:rsid w:val="007524AB"/>
    <w:rsid w:val="007529A1"/>
    <w:rsid w:val="00752DBE"/>
    <w:rsid w:val="00753280"/>
    <w:rsid w:val="007539BA"/>
    <w:rsid w:val="00753CB5"/>
    <w:rsid w:val="00753D82"/>
    <w:rsid w:val="00754810"/>
    <w:rsid w:val="0075535C"/>
    <w:rsid w:val="0075579F"/>
    <w:rsid w:val="007558EF"/>
    <w:rsid w:val="00757D47"/>
    <w:rsid w:val="0076028B"/>
    <w:rsid w:val="00760ABD"/>
    <w:rsid w:val="00760D9A"/>
    <w:rsid w:val="007610C3"/>
    <w:rsid w:val="00761254"/>
    <w:rsid w:val="0076126B"/>
    <w:rsid w:val="00761A9F"/>
    <w:rsid w:val="007625C3"/>
    <w:rsid w:val="00763B81"/>
    <w:rsid w:val="0076590C"/>
    <w:rsid w:val="00767710"/>
    <w:rsid w:val="00767B27"/>
    <w:rsid w:val="00767B3D"/>
    <w:rsid w:val="007707EC"/>
    <w:rsid w:val="00773200"/>
    <w:rsid w:val="00773BAC"/>
    <w:rsid w:val="00773E90"/>
    <w:rsid w:val="00774103"/>
    <w:rsid w:val="007744C2"/>
    <w:rsid w:val="007745E2"/>
    <w:rsid w:val="0077477A"/>
    <w:rsid w:val="00775593"/>
    <w:rsid w:val="007757DC"/>
    <w:rsid w:val="007758D9"/>
    <w:rsid w:val="0078020D"/>
    <w:rsid w:val="00780ADB"/>
    <w:rsid w:val="00781C3E"/>
    <w:rsid w:val="007826DE"/>
    <w:rsid w:val="007828E8"/>
    <w:rsid w:val="00782C2D"/>
    <w:rsid w:val="0078335A"/>
    <w:rsid w:val="0078348E"/>
    <w:rsid w:val="007841E9"/>
    <w:rsid w:val="007856FE"/>
    <w:rsid w:val="00787259"/>
    <w:rsid w:val="007877AA"/>
    <w:rsid w:val="007878A8"/>
    <w:rsid w:val="00787FD7"/>
    <w:rsid w:val="007904D0"/>
    <w:rsid w:val="00792BE1"/>
    <w:rsid w:val="00793667"/>
    <w:rsid w:val="00794690"/>
    <w:rsid w:val="00794924"/>
    <w:rsid w:val="00794AAB"/>
    <w:rsid w:val="007953FF"/>
    <w:rsid w:val="00795C19"/>
    <w:rsid w:val="00796AB0"/>
    <w:rsid w:val="007975EE"/>
    <w:rsid w:val="00797BC9"/>
    <w:rsid w:val="007A0466"/>
    <w:rsid w:val="007A05EB"/>
    <w:rsid w:val="007A1284"/>
    <w:rsid w:val="007A1FCC"/>
    <w:rsid w:val="007A24E7"/>
    <w:rsid w:val="007A3138"/>
    <w:rsid w:val="007A3F1B"/>
    <w:rsid w:val="007A47B6"/>
    <w:rsid w:val="007A48E4"/>
    <w:rsid w:val="007A5028"/>
    <w:rsid w:val="007A54C6"/>
    <w:rsid w:val="007A5611"/>
    <w:rsid w:val="007A5CA9"/>
    <w:rsid w:val="007A727D"/>
    <w:rsid w:val="007A7F88"/>
    <w:rsid w:val="007B00AC"/>
    <w:rsid w:val="007B0C56"/>
    <w:rsid w:val="007B0EED"/>
    <w:rsid w:val="007B13A7"/>
    <w:rsid w:val="007B1564"/>
    <w:rsid w:val="007B1635"/>
    <w:rsid w:val="007B16AB"/>
    <w:rsid w:val="007B1B10"/>
    <w:rsid w:val="007B1ED4"/>
    <w:rsid w:val="007B2167"/>
    <w:rsid w:val="007B2FB5"/>
    <w:rsid w:val="007B39A1"/>
    <w:rsid w:val="007B3BA8"/>
    <w:rsid w:val="007B3BE8"/>
    <w:rsid w:val="007B3FC0"/>
    <w:rsid w:val="007B470C"/>
    <w:rsid w:val="007B4BFD"/>
    <w:rsid w:val="007B54DA"/>
    <w:rsid w:val="007B57B3"/>
    <w:rsid w:val="007B5840"/>
    <w:rsid w:val="007B585C"/>
    <w:rsid w:val="007B678B"/>
    <w:rsid w:val="007B6C44"/>
    <w:rsid w:val="007B7F87"/>
    <w:rsid w:val="007C10F5"/>
    <w:rsid w:val="007C130C"/>
    <w:rsid w:val="007C1345"/>
    <w:rsid w:val="007C2C78"/>
    <w:rsid w:val="007C3B71"/>
    <w:rsid w:val="007C4F27"/>
    <w:rsid w:val="007C542C"/>
    <w:rsid w:val="007C6B4E"/>
    <w:rsid w:val="007D019B"/>
    <w:rsid w:val="007D01A6"/>
    <w:rsid w:val="007D087A"/>
    <w:rsid w:val="007D0D14"/>
    <w:rsid w:val="007D1559"/>
    <w:rsid w:val="007D19A5"/>
    <w:rsid w:val="007D269B"/>
    <w:rsid w:val="007D2AA4"/>
    <w:rsid w:val="007D326D"/>
    <w:rsid w:val="007D3957"/>
    <w:rsid w:val="007D415A"/>
    <w:rsid w:val="007D4989"/>
    <w:rsid w:val="007D4A06"/>
    <w:rsid w:val="007D4B7F"/>
    <w:rsid w:val="007D4E1D"/>
    <w:rsid w:val="007D4FCB"/>
    <w:rsid w:val="007D501A"/>
    <w:rsid w:val="007D52FA"/>
    <w:rsid w:val="007D56BA"/>
    <w:rsid w:val="007D6017"/>
    <w:rsid w:val="007D672E"/>
    <w:rsid w:val="007D6E76"/>
    <w:rsid w:val="007D6EFD"/>
    <w:rsid w:val="007D6F7F"/>
    <w:rsid w:val="007D7152"/>
    <w:rsid w:val="007D78D9"/>
    <w:rsid w:val="007D7C76"/>
    <w:rsid w:val="007E08F3"/>
    <w:rsid w:val="007E08FD"/>
    <w:rsid w:val="007E0B42"/>
    <w:rsid w:val="007E18ED"/>
    <w:rsid w:val="007E1B9F"/>
    <w:rsid w:val="007E1BFB"/>
    <w:rsid w:val="007E2A39"/>
    <w:rsid w:val="007E2C70"/>
    <w:rsid w:val="007E321F"/>
    <w:rsid w:val="007E3A4B"/>
    <w:rsid w:val="007E50B0"/>
    <w:rsid w:val="007E5432"/>
    <w:rsid w:val="007E6074"/>
    <w:rsid w:val="007E66C9"/>
    <w:rsid w:val="007E6DF6"/>
    <w:rsid w:val="007F1D69"/>
    <w:rsid w:val="007F1FFF"/>
    <w:rsid w:val="007F263C"/>
    <w:rsid w:val="007F2E46"/>
    <w:rsid w:val="007F3370"/>
    <w:rsid w:val="007F34D8"/>
    <w:rsid w:val="007F4C17"/>
    <w:rsid w:val="007F5C7E"/>
    <w:rsid w:val="007F5E20"/>
    <w:rsid w:val="007F619E"/>
    <w:rsid w:val="007F62D5"/>
    <w:rsid w:val="007F6465"/>
    <w:rsid w:val="007F6D12"/>
    <w:rsid w:val="007F6FD9"/>
    <w:rsid w:val="007F773B"/>
    <w:rsid w:val="007F7902"/>
    <w:rsid w:val="0080006D"/>
    <w:rsid w:val="008001A6"/>
    <w:rsid w:val="00800852"/>
    <w:rsid w:val="008017E6"/>
    <w:rsid w:val="00801826"/>
    <w:rsid w:val="00801F4D"/>
    <w:rsid w:val="00802176"/>
    <w:rsid w:val="00802404"/>
    <w:rsid w:val="008028CF"/>
    <w:rsid w:val="008028FF"/>
    <w:rsid w:val="00802A6D"/>
    <w:rsid w:val="00803BCB"/>
    <w:rsid w:val="00803F8F"/>
    <w:rsid w:val="00804333"/>
    <w:rsid w:val="008068FA"/>
    <w:rsid w:val="00806E91"/>
    <w:rsid w:val="00807105"/>
    <w:rsid w:val="00807868"/>
    <w:rsid w:val="00807F67"/>
    <w:rsid w:val="00810223"/>
    <w:rsid w:val="00810225"/>
    <w:rsid w:val="00810CCE"/>
    <w:rsid w:val="00811E61"/>
    <w:rsid w:val="008120AC"/>
    <w:rsid w:val="00812376"/>
    <w:rsid w:val="008129D0"/>
    <w:rsid w:val="008135FE"/>
    <w:rsid w:val="00814886"/>
    <w:rsid w:val="008148BC"/>
    <w:rsid w:val="00814EBE"/>
    <w:rsid w:val="00815609"/>
    <w:rsid w:val="00815D34"/>
    <w:rsid w:val="00816C30"/>
    <w:rsid w:val="00817F71"/>
    <w:rsid w:val="00817FD3"/>
    <w:rsid w:val="008208FB"/>
    <w:rsid w:val="008212C5"/>
    <w:rsid w:val="00821C67"/>
    <w:rsid w:val="0082347B"/>
    <w:rsid w:val="008237DF"/>
    <w:rsid w:val="00823ADB"/>
    <w:rsid w:val="00824415"/>
    <w:rsid w:val="0082480B"/>
    <w:rsid w:val="0082518A"/>
    <w:rsid w:val="00825755"/>
    <w:rsid w:val="008263C2"/>
    <w:rsid w:val="00826DA3"/>
    <w:rsid w:val="008270B6"/>
    <w:rsid w:val="00827C4B"/>
    <w:rsid w:val="00830A71"/>
    <w:rsid w:val="008315CB"/>
    <w:rsid w:val="00831EA2"/>
    <w:rsid w:val="00831F08"/>
    <w:rsid w:val="0083240B"/>
    <w:rsid w:val="008328A1"/>
    <w:rsid w:val="00832BAE"/>
    <w:rsid w:val="00833216"/>
    <w:rsid w:val="0083398D"/>
    <w:rsid w:val="00833B5F"/>
    <w:rsid w:val="00835472"/>
    <w:rsid w:val="00835E22"/>
    <w:rsid w:val="00835E69"/>
    <w:rsid w:val="00835F41"/>
    <w:rsid w:val="0083673E"/>
    <w:rsid w:val="0083687D"/>
    <w:rsid w:val="00836A90"/>
    <w:rsid w:val="00836C1C"/>
    <w:rsid w:val="00836D54"/>
    <w:rsid w:val="00837088"/>
    <w:rsid w:val="00837E9F"/>
    <w:rsid w:val="0084006B"/>
    <w:rsid w:val="008408B6"/>
    <w:rsid w:val="00840BBA"/>
    <w:rsid w:val="0084188A"/>
    <w:rsid w:val="00841AAF"/>
    <w:rsid w:val="00842432"/>
    <w:rsid w:val="00843931"/>
    <w:rsid w:val="00845008"/>
    <w:rsid w:val="0084561F"/>
    <w:rsid w:val="008456BB"/>
    <w:rsid w:val="00845DCB"/>
    <w:rsid w:val="00846114"/>
    <w:rsid w:val="0084622D"/>
    <w:rsid w:val="008464EC"/>
    <w:rsid w:val="00846B40"/>
    <w:rsid w:val="00846E5E"/>
    <w:rsid w:val="00846EE5"/>
    <w:rsid w:val="0084736A"/>
    <w:rsid w:val="00847C8E"/>
    <w:rsid w:val="00850280"/>
    <w:rsid w:val="0085097A"/>
    <w:rsid w:val="008516A3"/>
    <w:rsid w:val="00851AE1"/>
    <w:rsid w:val="008521E2"/>
    <w:rsid w:val="008526F1"/>
    <w:rsid w:val="00852789"/>
    <w:rsid w:val="00852880"/>
    <w:rsid w:val="008532A6"/>
    <w:rsid w:val="00853BD8"/>
    <w:rsid w:val="00853BF5"/>
    <w:rsid w:val="00854576"/>
    <w:rsid w:val="00854AC9"/>
    <w:rsid w:val="00854B99"/>
    <w:rsid w:val="00854DE8"/>
    <w:rsid w:val="00855B10"/>
    <w:rsid w:val="00855E93"/>
    <w:rsid w:val="00856071"/>
    <w:rsid w:val="0085647D"/>
    <w:rsid w:val="00856DAC"/>
    <w:rsid w:val="00856EFB"/>
    <w:rsid w:val="008574F3"/>
    <w:rsid w:val="00857A61"/>
    <w:rsid w:val="00857D70"/>
    <w:rsid w:val="00860DC4"/>
    <w:rsid w:val="00860E4F"/>
    <w:rsid w:val="008615C6"/>
    <w:rsid w:val="00861930"/>
    <w:rsid w:val="00861AB3"/>
    <w:rsid w:val="0086288D"/>
    <w:rsid w:val="00863447"/>
    <w:rsid w:val="008634AA"/>
    <w:rsid w:val="0086397F"/>
    <w:rsid w:val="00864EB7"/>
    <w:rsid w:val="00865087"/>
    <w:rsid w:val="008651C6"/>
    <w:rsid w:val="00865AD6"/>
    <w:rsid w:val="00865CC7"/>
    <w:rsid w:val="008661ED"/>
    <w:rsid w:val="008667B4"/>
    <w:rsid w:val="0086722F"/>
    <w:rsid w:val="008677EE"/>
    <w:rsid w:val="0086793D"/>
    <w:rsid w:val="00870CA3"/>
    <w:rsid w:val="00871AD2"/>
    <w:rsid w:val="00871F9F"/>
    <w:rsid w:val="008720D5"/>
    <w:rsid w:val="008725FF"/>
    <w:rsid w:val="00872E52"/>
    <w:rsid w:val="00872E9D"/>
    <w:rsid w:val="008735CC"/>
    <w:rsid w:val="00873AD9"/>
    <w:rsid w:val="00873FC0"/>
    <w:rsid w:val="00875411"/>
    <w:rsid w:val="00875481"/>
    <w:rsid w:val="00875A1E"/>
    <w:rsid w:val="00875B93"/>
    <w:rsid w:val="00876388"/>
    <w:rsid w:val="008766FC"/>
    <w:rsid w:val="0087688F"/>
    <w:rsid w:val="00877343"/>
    <w:rsid w:val="00877BBF"/>
    <w:rsid w:val="00877CDA"/>
    <w:rsid w:val="008805BB"/>
    <w:rsid w:val="00880D26"/>
    <w:rsid w:val="00881319"/>
    <w:rsid w:val="0088166D"/>
    <w:rsid w:val="00881691"/>
    <w:rsid w:val="00881EBD"/>
    <w:rsid w:val="0088210B"/>
    <w:rsid w:val="0088247B"/>
    <w:rsid w:val="008828BE"/>
    <w:rsid w:val="0088374D"/>
    <w:rsid w:val="008839FB"/>
    <w:rsid w:val="00883B4E"/>
    <w:rsid w:val="00883B8F"/>
    <w:rsid w:val="00884027"/>
    <w:rsid w:val="008840EE"/>
    <w:rsid w:val="008857CE"/>
    <w:rsid w:val="00885B7B"/>
    <w:rsid w:val="00886227"/>
    <w:rsid w:val="00886849"/>
    <w:rsid w:val="0088727B"/>
    <w:rsid w:val="00887A18"/>
    <w:rsid w:val="00890734"/>
    <w:rsid w:val="00890EBF"/>
    <w:rsid w:val="0089100B"/>
    <w:rsid w:val="00891154"/>
    <w:rsid w:val="008912B7"/>
    <w:rsid w:val="0089150E"/>
    <w:rsid w:val="00891E0C"/>
    <w:rsid w:val="00892255"/>
    <w:rsid w:val="00892323"/>
    <w:rsid w:val="0089239A"/>
    <w:rsid w:val="00892696"/>
    <w:rsid w:val="008927E0"/>
    <w:rsid w:val="00892A40"/>
    <w:rsid w:val="00892BB2"/>
    <w:rsid w:val="008936E6"/>
    <w:rsid w:val="008936E7"/>
    <w:rsid w:val="0089418D"/>
    <w:rsid w:val="0089639E"/>
    <w:rsid w:val="00896A3F"/>
    <w:rsid w:val="0089704A"/>
    <w:rsid w:val="008971C9"/>
    <w:rsid w:val="00897741"/>
    <w:rsid w:val="008977D0"/>
    <w:rsid w:val="00897E67"/>
    <w:rsid w:val="008A0004"/>
    <w:rsid w:val="008A0488"/>
    <w:rsid w:val="008A06CB"/>
    <w:rsid w:val="008A0B6B"/>
    <w:rsid w:val="008A10C1"/>
    <w:rsid w:val="008A12AE"/>
    <w:rsid w:val="008A150C"/>
    <w:rsid w:val="008A21C1"/>
    <w:rsid w:val="008A2E23"/>
    <w:rsid w:val="008A3F06"/>
    <w:rsid w:val="008A42F1"/>
    <w:rsid w:val="008A47CE"/>
    <w:rsid w:val="008A4AA2"/>
    <w:rsid w:val="008A7308"/>
    <w:rsid w:val="008A7743"/>
    <w:rsid w:val="008A78DA"/>
    <w:rsid w:val="008A7CB1"/>
    <w:rsid w:val="008B0296"/>
    <w:rsid w:val="008B09CB"/>
    <w:rsid w:val="008B0A66"/>
    <w:rsid w:val="008B139F"/>
    <w:rsid w:val="008B144B"/>
    <w:rsid w:val="008B1A7D"/>
    <w:rsid w:val="008B1E44"/>
    <w:rsid w:val="008B2321"/>
    <w:rsid w:val="008B2D6A"/>
    <w:rsid w:val="008B320A"/>
    <w:rsid w:val="008B385E"/>
    <w:rsid w:val="008B3C5C"/>
    <w:rsid w:val="008B4F26"/>
    <w:rsid w:val="008B6715"/>
    <w:rsid w:val="008B6A32"/>
    <w:rsid w:val="008B6D56"/>
    <w:rsid w:val="008B783C"/>
    <w:rsid w:val="008C1553"/>
    <w:rsid w:val="008C1E8E"/>
    <w:rsid w:val="008C312E"/>
    <w:rsid w:val="008C39B9"/>
    <w:rsid w:val="008C3B22"/>
    <w:rsid w:val="008C3BB9"/>
    <w:rsid w:val="008C3E8A"/>
    <w:rsid w:val="008C3EFB"/>
    <w:rsid w:val="008C3FDF"/>
    <w:rsid w:val="008C53F4"/>
    <w:rsid w:val="008C596D"/>
    <w:rsid w:val="008C6F6C"/>
    <w:rsid w:val="008C78BD"/>
    <w:rsid w:val="008D0053"/>
    <w:rsid w:val="008D11D7"/>
    <w:rsid w:val="008D145A"/>
    <w:rsid w:val="008D1D09"/>
    <w:rsid w:val="008D1D55"/>
    <w:rsid w:val="008D30A2"/>
    <w:rsid w:val="008D426E"/>
    <w:rsid w:val="008D42ED"/>
    <w:rsid w:val="008D45EE"/>
    <w:rsid w:val="008D4CE7"/>
    <w:rsid w:val="008D5BFE"/>
    <w:rsid w:val="008D5F45"/>
    <w:rsid w:val="008D7FAE"/>
    <w:rsid w:val="008E00EF"/>
    <w:rsid w:val="008E0A6A"/>
    <w:rsid w:val="008E0CA5"/>
    <w:rsid w:val="008E0DAB"/>
    <w:rsid w:val="008E1119"/>
    <w:rsid w:val="008E1B08"/>
    <w:rsid w:val="008E1BEB"/>
    <w:rsid w:val="008E213A"/>
    <w:rsid w:val="008E296E"/>
    <w:rsid w:val="008E3343"/>
    <w:rsid w:val="008E3CD4"/>
    <w:rsid w:val="008E3FFE"/>
    <w:rsid w:val="008E5987"/>
    <w:rsid w:val="008E5F57"/>
    <w:rsid w:val="008E6632"/>
    <w:rsid w:val="008E6E51"/>
    <w:rsid w:val="008E71A3"/>
    <w:rsid w:val="008F0256"/>
    <w:rsid w:val="008F08F7"/>
    <w:rsid w:val="008F09F1"/>
    <w:rsid w:val="008F0B02"/>
    <w:rsid w:val="008F0FE3"/>
    <w:rsid w:val="008F1233"/>
    <w:rsid w:val="008F1762"/>
    <w:rsid w:val="008F3395"/>
    <w:rsid w:val="008F3D8F"/>
    <w:rsid w:val="008F4FC2"/>
    <w:rsid w:val="008F581B"/>
    <w:rsid w:val="008F64E9"/>
    <w:rsid w:val="008F6839"/>
    <w:rsid w:val="008F7F88"/>
    <w:rsid w:val="009002C3"/>
    <w:rsid w:val="009005AB"/>
    <w:rsid w:val="00900AEB"/>
    <w:rsid w:val="00901950"/>
    <w:rsid w:val="00901F6A"/>
    <w:rsid w:val="009037E1"/>
    <w:rsid w:val="00903816"/>
    <w:rsid w:val="00904234"/>
    <w:rsid w:val="00904238"/>
    <w:rsid w:val="00904B93"/>
    <w:rsid w:val="0090541A"/>
    <w:rsid w:val="00905568"/>
    <w:rsid w:val="00906207"/>
    <w:rsid w:val="00906728"/>
    <w:rsid w:val="00906CED"/>
    <w:rsid w:val="00911234"/>
    <w:rsid w:val="00911849"/>
    <w:rsid w:val="00911A3B"/>
    <w:rsid w:val="00911CAF"/>
    <w:rsid w:val="00912281"/>
    <w:rsid w:val="00912311"/>
    <w:rsid w:val="00912DBB"/>
    <w:rsid w:val="00913505"/>
    <w:rsid w:val="00913601"/>
    <w:rsid w:val="00913D96"/>
    <w:rsid w:val="00914B9D"/>
    <w:rsid w:val="00914F86"/>
    <w:rsid w:val="009169DC"/>
    <w:rsid w:val="00916AFD"/>
    <w:rsid w:val="009171A9"/>
    <w:rsid w:val="0091739E"/>
    <w:rsid w:val="009178F3"/>
    <w:rsid w:val="009205B4"/>
    <w:rsid w:val="0092070F"/>
    <w:rsid w:val="009208BC"/>
    <w:rsid w:val="009211F3"/>
    <w:rsid w:val="00921859"/>
    <w:rsid w:val="00922DE4"/>
    <w:rsid w:val="009234E3"/>
    <w:rsid w:val="0092371C"/>
    <w:rsid w:val="00923D4A"/>
    <w:rsid w:val="00923FA7"/>
    <w:rsid w:val="00924075"/>
    <w:rsid w:val="009243BA"/>
    <w:rsid w:val="00924AB2"/>
    <w:rsid w:val="00924D55"/>
    <w:rsid w:val="00924FA2"/>
    <w:rsid w:val="00925263"/>
    <w:rsid w:val="009257E6"/>
    <w:rsid w:val="009259EE"/>
    <w:rsid w:val="00926340"/>
    <w:rsid w:val="00926766"/>
    <w:rsid w:val="009272CA"/>
    <w:rsid w:val="00930393"/>
    <w:rsid w:val="0093071C"/>
    <w:rsid w:val="009307AC"/>
    <w:rsid w:val="00930E7E"/>
    <w:rsid w:val="00931433"/>
    <w:rsid w:val="009325BF"/>
    <w:rsid w:val="00932845"/>
    <w:rsid w:val="00932F48"/>
    <w:rsid w:val="00933391"/>
    <w:rsid w:val="00933CAE"/>
    <w:rsid w:val="0093401A"/>
    <w:rsid w:val="00934BA7"/>
    <w:rsid w:val="00934DBD"/>
    <w:rsid w:val="009353E8"/>
    <w:rsid w:val="009362D1"/>
    <w:rsid w:val="00936765"/>
    <w:rsid w:val="00936783"/>
    <w:rsid w:val="00936CFF"/>
    <w:rsid w:val="00937A85"/>
    <w:rsid w:val="00940068"/>
    <w:rsid w:val="00940A58"/>
    <w:rsid w:val="00940EF1"/>
    <w:rsid w:val="009426AB"/>
    <w:rsid w:val="00942C10"/>
    <w:rsid w:val="00943012"/>
    <w:rsid w:val="009433CC"/>
    <w:rsid w:val="00943496"/>
    <w:rsid w:val="00943BB8"/>
    <w:rsid w:val="00943C72"/>
    <w:rsid w:val="00943CC5"/>
    <w:rsid w:val="009443C3"/>
    <w:rsid w:val="009443E6"/>
    <w:rsid w:val="00944B5D"/>
    <w:rsid w:val="00944B84"/>
    <w:rsid w:val="00944C86"/>
    <w:rsid w:val="00944D85"/>
    <w:rsid w:val="00944FD1"/>
    <w:rsid w:val="00945ABE"/>
    <w:rsid w:val="00946A3A"/>
    <w:rsid w:val="00946CB0"/>
    <w:rsid w:val="00946EEA"/>
    <w:rsid w:val="009471EA"/>
    <w:rsid w:val="009474C2"/>
    <w:rsid w:val="00947C94"/>
    <w:rsid w:val="00947CA2"/>
    <w:rsid w:val="00947FD7"/>
    <w:rsid w:val="009506FC"/>
    <w:rsid w:val="00950973"/>
    <w:rsid w:val="00951156"/>
    <w:rsid w:val="00951B91"/>
    <w:rsid w:val="00952651"/>
    <w:rsid w:val="009528BE"/>
    <w:rsid w:val="00952A72"/>
    <w:rsid w:val="0095345F"/>
    <w:rsid w:val="00953B3E"/>
    <w:rsid w:val="00953E3A"/>
    <w:rsid w:val="00953F59"/>
    <w:rsid w:val="009543AB"/>
    <w:rsid w:val="0095457E"/>
    <w:rsid w:val="0095471A"/>
    <w:rsid w:val="0095525B"/>
    <w:rsid w:val="00955979"/>
    <w:rsid w:val="00955EAC"/>
    <w:rsid w:val="00956006"/>
    <w:rsid w:val="00956167"/>
    <w:rsid w:val="0095688F"/>
    <w:rsid w:val="00957641"/>
    <w:rsid w:val="00957D5C"/>
    <w:rsid w:val="00960627"/>
    <w:rsid w:val="00960638"/>
    <w:rsid w:val="0096077B"/>
    <w:rsid w:val="00960F36"/>
    <w:rsid w:val="009618BC"/>
    <w:rsid w:val="00961BC2"/>
    <w:rsid w:val="00962A39"/>
    <w:rsid w:val="00963331"/>
    <w:rsid w:val="009635E8"/>
    <w:rsid w:val="009637E7"/>
    <w:rsid w:val="0096497B"/>
    <w:rsid w:val="00965980"/>
    <w:rsid w:val="009660C6"/>
    <w:rsid w:val="00966FE7"/>
    <w:rsid w:val="00967504"/>
    <w:rsid w:val="0096754E"/>
    <w:rsid w:val="009679A6"/>
    <w:rsid w:val="0097063F"/>
    <w:rsid w:val="00970D79"/>
    <w:rsid w:val="009712CC"/>
    <w:rsid w:val="009717D5"/>
    <w:rsid w:val="0097220D"/>
    <w:rsid w:val="00972893"/>
    <w:rsid w:val="00973106"/>
    <w:rsid w:val="00973353"/>
    <w:rsid w:val="00973D6F"/>
    <w:rsid w:val="00973E2A"/>
    <w:rsid w:val="00974676"/>
    <w:rsid w:val="0097492F"/>
    <w:rsid w:val="00975465"/>
    <w:rsid w:val="00975974"/>
    <w:rsid w:val="00975B4C"/>
    <w:rsid w:val="00975DD7"/>
    <w:rsid w:val="00975E64"/>
    <w:rsid w:val="00975FE2"/>
    <w:rsid w:val="009779AE"/>
    <w:rsid w:val="00977B9A"/>
    <w:rsid w:val="00980C62"/>
    <w:rsid w:val="0098115E"/>
    <w:rsid w:val="009817AC"/>
    <w:rsid w:val="00981911"/>
    <w:rsid w:val="009822BF"/>
    <w:rsid w:val="00982445"/>
    <w:rsid w:val="00982684"/>
    <w:rsid w:val="00982B15"/>
    <w:rsid w:val="00982B27"/>
    <w:rsid w:val="00983179"/>
    <w:rsid w:val="00983539"/>
    <w:rsid w:val="0098366D"/>
    <w:rsid w:val="009838DD"/>
    <w:rsid w:val="00983ACE"/>
    <w:rsid w:val="00983EC9"/>
    <w:rsid w:val="00984D3A"/>
    <w:rsid w:val="009851C7"/>
    <w:rsid w:val="009855C5"/>
    <w:rsid w:val="00985EC0"/>
    <w:rsid w:val="00985F52"/>
    <w:rsid w:val="00986306"/>
    <w:rsid w:val="00986E93"/>
    <w:rsid w:val="00987691"/>
    <w:rsid w:val="00987D14"/>
    <w:rsid w:val="00987E91"/>
    <w:rsid w:val="009904D3"/>
    <w:rsid w:val="00990D26"/>
    <w:rsid w:val="009914E1"/>
    <w:rsid w:val="00991933"/>
    <w:rsid w:val="009922F6"/>
    <w:rsid w:val="009924BD"/>
    <w:rsid w:val="0099365C"/>
    <w:rsid w:val="009938A2"/>
    <w:rsid w:val="00993B5D"/>
    <w:rsid w:val="00993EFA"/>
    <w:rsid w:val="00994774"/>
    <w:rsid w:val="009950CC"/>
    <w:rsid w:val="00995113"/>
    <w:rsid w:val="0099593B"/>
    <w:rsid w:val="00995EB2"/>
    <w:rsid w:val="00996932"/>
    <w:rsid w:val="00996BDF"/>
    <w:rsid w:val="0099742C"/>
    <w:rsid w:val="0099754F"/>
    <w:rsid w:val="00997741"/>
    <w:rsid w:val="009977B8"/>
    <w:rsid w:val="00997B19"/>
    <w:rsid w:val="009A061D"/>
    <w:rsid w:val="009A110B"/>
    <w:rsid w:val="009A185D"/>
    <w:rsid w:val="009A1D66"/>
    <w:rsid w:val="009A229D"/>
    <w:rsid w:val="009A2338"/>
    <w:rsid w:val="009A259E"/>
    <w:rsid w:val="009A2D63"/>
    <w:rsid w:val="009A2E58"/>
    <w:rsid w:val="009A2F95"/>
    <w:rsid w:val="009A3A3F"/>
    <w:rsid w:val="009A3C35"/>
    <w:rsid w:val="009A5894"/>
    <w:rsid w:val="009A6019"/>
    <w:rsid w:val="009A60F2"/>
    <w:rsid w:val="009A6E14"/>
    <w:rsid w:val="009A734A"/>
    <w:rsid w:val="009A7619"/>
    <w:rsid w:val="009A76C8"/>
    <w:rsid w:val="009A7795"/>
    <w:rsid w:val="009A7989"/>
    <w:rsid w:val="009A79F8"/>
    <w:rsid w:val="009A7FBB"/>
    <w:rsid w:val="009B038C"/>
    <w:rsid w:val="009B167F"/>
    <w:rsid w:val="009B2211"/>
    <w:rsid w:val="009B37D6"/>
    <w:rsid w:val="009B39F4"/>
    <w:rsid w:val="009B3F16"/>
    <w:rsid w:val="009B460C"/>
    <w:rsid w:val="009B462F"/>
    <w:rsid w:val="009B4C8E"/>
    <w:rsid w:val="009B66A3"/>
    <w:rsid w:val="009B7BC9"/>
    <w:rsid w:val="009C02E1"/>
    <w:rsid w:val="009C03D4"/>
    <w:rsid w:val="009C192E"/>
    <w:rsid w:val="009C1E4B"/>
    <w:rsid w:val="009C1ED7"/>
    <w:rsid w:val="009C1F84"/>
    <w:rsid w:val="009C2131"/>
    <w:rsid w:val="009C2187"/>
    <w:rsid w:val="009C35C0"/>
    <w:rsid w:val="009C3614"/>
    <w:rsid w:val="009C3900"/>
    <w:rsid w:val="009C3BA8"/>
    <w:rsid w:val="009C52C5"/>
    <w:rsid w:val="009C5397"/>
    <w:rsid w:val="009C58CC"/>
    <w:rsid w:val="009C5B02"/>
    <w:rsid w:val="009C5C3B"/>
    <w:rsid w:val="009C65EF"/>
    <w:rsid w:val="009C7777"/>
    <w:rsid w:val="009C7FC9"/>
    <w:rsid w:val="009D1359"/>
    <w:rsid w:val="009D190D"/>
    <w:rsid w:val="009D24E9"/>
    <w:rsid w:val="009D250B"/>
    <w:rsid w:val="009D3396"/>
    <w:rsid w:val="009D387F"/>
    <w:rsid w:val="009D3CBA"/>
    <w:rsid w:val="009D4221"/>
    <w:rsid w:val="009D48F1"/>
    <w:rsid w:val="009D57D0"/>
    <w:rsid w:val="009E00FE"/>
    <w:rsid w:val="009E02C1"/>
    <w:rsid w:val="009E03B0"/>
    <w:rsid w:val="009E04EC"/>
    <w:rsid w:val="009E1CF0"/>
    <w:rsid w:val="009E2096"/>
    <w:rsid w:val="009E2F13"/>
    <w:rsid w:val="009E36CD"/>
    <w:rsid w:val="009E3994"/>
    <w:rsid w:val="009E4C5F"/>
    <w:rsid w:val="009E4DDB"/>
    <w:rsid w:val="009E513F"/>
    <w:rsid w:val="009E573A"/>
    <w:rsid w:val="009E6E5C"/>
    <w:rsid w:val="009E7268"/>
    <w:rsid w:val="009F0B19"/>
    <w:rsid w:val="009F1059"/>
    <w:rsid w:val="009F17BB"/>
    <w:rsid w:val="009F1FB5"/>
    <w:rsid w:val="009F2148"/>
    <w:rsid w:val="009F266F"/>
    <w:rsid w:val="009F275B"/>
    <w:rsid w:val="009F2792"/>
    <w:rsid w:val="009F2980"/>
    <w:rsid w:val="009F2B4C"/>
    <w:rsid w:val="009F3A56"/>
    <w:rsid w:val="009F3D49"/>
    <w:rsid w:val="009F40DC"/>
    <w:rsid w:val="009F4CF0"/>
    <w:rsid w:val="009F4DF0"/>
    <w:rsid w:val="009F56D7"/>
    <w:rsid w:val="009F5922"/>
    <w:rsid w:val="009F5D86"/>
    <w:rsid w:val="009F6FC3"/>
    <w:rsid w:val="009F71C3"/>
    <w:rsid w:val="009F7A37"/>
    <w:rsid w:val="009F7C77"/>
    <w:rsid w:val="00A00433"/>
    <w:rsid w:val="00A0069C"/>
    <w:rsid w:val="00A016CB"/>
    <w:rsid w:val="00A019C6"/>
    <w:rsid w:val="00A023D4"/>
    <w:rsid w:val="00A0326D"/>
    <w:rsid w:val="00A04862"/>
    <w:rsid w:val="00A049AD"/>
    <w:rsid w:val="00A04A0F"/>
    <w:rsid w:val="00A04B9B"/>
    <w:rsid w:val="00A04C38"/>
    <w:rsid w:val="00A04C43"/>
    <w:rsid w:val="00A04DC3"/>
    <w:rsid w:val="00A0538E"/>
    <w:rsid w:val="00A055ED"/>
    <w:rsid w:val="00A05B66"/>
    <w:rsid w:val="00A062EF"/>
    <w:rsid w:val="00A06383"/>
    <w:rsid w:val="00A06753"/>
    <w:rsid w:val="00A076C5"/>
    <w:rsid w:val="00A07DB0"/>
    <w:rsid w:val="00A07FF0"/>
    <w:rsid w:val="00A1088A"/>
    <w:rsid w:val="00A10E75"/>
    <w:rsid w:val="00A1159E"/>
    <w:rsid w:val="00A11BE8"/>
    <w:rsid w:val="00A11EBD"/>
    <w:rsid w:val="00A121A7"/>
    <w:rsid w:val="00A12248"/>
    <w:rsid w:val="00A14E35"/>
    <w:rsid w:val="00A152EE"/>
    <w:rsid w:val="00A15638"/>
    <w:rsid w:val="00A1591D"/>
    <w:rsid w:val="00A15B72"/>
    <w:rsid w:val="00A17391"/>
    <w:rsid w:val="00A17F65"/>
    <w:rsid w:val="00A20518"/>
    <w:rsid w:val="00A207D2"/>
    <w:rsid w:val="00A20A11"/>
    <w:rsid w:val="00A20CD4"/>
    <w:rsid w:val="00A21096"/>
    <w:rsid w:val="00A214B8"/>
    <w:rsid w:val="00A21715"/>
    <w:rsid w:val="00A21932"/>
    <w:rsid w:val="00A222F9"/>
    <w:rsid w:val="00A23364"/>
    <w:rsid w:val="00A254A6"/>
    <w:rsid w:val="00A25DE4"/>
    <w:rsid w:val="00A2658D"/>
    <w:rsid w:val="00A269F5"/>
    <w:rsid w:val="00A273F5"/>
    <w:rsid w:val="00A27796"/>
    <w:rsid w:val="00A27F2B"/>
    <w:rsid w:val="00A30125"/>
    <w:rsid w:val="00A3020A"/>
    <w:rsid w:val="00A30488"/>
    <w:rsid w:val="00A30722"/>
    <w:rsid w:val="00A30E13"/>
    <w:rsid w:val="00A30E48"/>
    <w:rsid w:val="00A31C9B"/>
    <w:rsid w:val="00A31D55"/>
    <w:rsid w:val="00A31D83"/>
    <w:rsid w:val="00A31D93"/>
    <w:rsid w:val="00A320B9"/>
    <w:rsid w:val="00A320F2"/>
    <w:rsid w:val="00A32A09"/>
    <w:rsid w:val="00A32CA2"/>
    <w:rsid w:val="00A3329D"/>
    <w:rsid w:val="00A33676"/>
    <w:rsid w:val="00A33D26"/>
    <w:rsid w:val="00A33E51"/>
    <w:rsid w:val="00A33FC9"/>
    <w:rsid w:val="00A3427F"/>
    <w:rsid w:val="00A344ED"/>
    <w:rsid w:val="00A34829"/>
    <w:rsid w:val="00A35280"/>
    <w:rsid w:val="00A35725"/>
    <w:rsid w:val="00A35C24"/>
    <w:rsid w:val="00A35CAD"/>
    <w:rsid w:val="00A35CE0"/>
    <w:rsid w:val="00A37020"/>
    <w:rsid w:val="00A3708B"/>
    <w:rsid w:val="00A370A8"/>
    <w:rsid w:val="00A373E2"/>
    <w:rsid w:val="00A37592"/>
    <w:rsid w:val="00A379E4"/>
    <w:rsid w:val="00A37C30"/>
    <w:rsid w:val="00A4046D"/>
    <w:rsid w:val="00A40D3A"/>
    <w:rsid w:val="00A410B3"/>
    <w:rsid w:val="00A41210"/>
    <w:rsid w:val="00A4161A"/>
    <w:rsid w:val="00A4161C"/>
    <w:rsid w:val="00A41F26"/>
    <w:rsid w:val="00A41FA4"/>
    <w:rsid w:val="00A42ABD"/>
    <w:rsid w:val="00A42B70"/>
    <w:rsid w:val="00A42CEF"/>
    <w:rsid w:val="00A42EAB"/>
    <w:rsid w:val="00A434D4"/>
    <w:rsid w:val="00A436C7"/>
    <w:rsid w:val="00A43701"/>
    <w:rsid w:val="00A43C9D"/>
    <w:rsid w:val="00A455CA"/>
    <w:rsid w:val="00A45A80"/>
    <w:rsid w:val="00A46075"/>
    <w:rsid w:val="00A4634C"/>
    <w:rsid w:val="00A463E0"/>
    <w:rsid w:val="00A46B87"/>
    <w:rsid w:val="00A47407"/>
    <w:rsid w:val="00A47FBC"/>
    <w:rsid w:val="00A523AD"/>
    <w:rsid w:val="00A5270C"/>
    <w:rsid w:val="00A52E5F"/>
    <w:rsid w:val="00A53324"/>
    <w:rsid w:val="00A537A3"/>
    <w:rsid w:val="00A54054"/>
    <w:rsid w:val="00A5415B"/>
    <w:rsid w:val="00A54D0A"/>
    <w:rsid w:val="00A553E9"/>
    <w:rsid w:val="00A559F5"/>
    <w:rsid w:val="00A55F0D"/>
    <w:rsid w:val="00A560FB"/>
    <w:rsid w:val="00A561CE"/>
    <w:rsid w:val="00A56284"/>
    <w:rsid w:val="00A5785D"/>
    <w:rsid w:val="00A57D22"/>
    <w:rsid w:val="00A60072"/>
    <w:rsid w:val="00A60399"/>
    <w:rsid w:val="00A607E1"/>
    <w:rsid w:val="00A60890"/>
    <w:rsid w:val="00A60B29"/>
    <w:rsid w:val="00A6124D"/>
    <w:rsid w:val="00A6234F"/>
    <w:rsid w:val="00A62D66"/>
    <w:rsid w:val="00A63962"/>
    <w:rsid w:val="00A64CB3"/>
    <w:rsid w:val="00A64E76"/>
    <w:rsid w:val="00A65D19"/>
    <w:rsid w:val="00A65D3B"/>
    <w:rsid w:val="00A66CA1"/>
    <w:rsid w:val="00A66F16"/>
    <w:rsid w:val="00A673E6"/>
    <w:rsid w:val="00A674F9"/>
    <w:rsid w:val="00A67690"/>
    <w:rsid w:val="00A67AF3"/>
    <w:rsid w:val="00A70130"/>
    <w:rsid w:val="00A705BE"/>
    <w:rsid w:val="00A70981"/>
    <w:rsid w:val="00A71273"/>
    <w:rsid w:val="00A71301"/>
    <w:rsid w:val="00A71895"/>
    <w:rsid w:val="00A71DC8"/>
    <w:rsid w:val="00A7201F"/>
    <w:rsid w:val="00A725A3"/>
    <w:rsid w:val="00A725D6"/>
    <w:rsid w:val="00A743F8"/>
    <w:rsid w:val="00A748F2"/>
    <w:rsid w:val="00A7519A"/>
    <w:rsid w:val="00A757AC"/>
    <w:rsid w:val="00A766B8"/>
    <w:rsid w:val="00A77220"/>
    <w:rsid w:val="00A772C6"/>
    <w:rsid w:val="00A80F48"/>
    <w:rsid w:val="00A81FA8"/>
    <w:rsid w:val="00A82BA3"/>
    <w:rsid w:val="00A82F4D"/>
    <w:rsid w:val="00A83123"/>
    <w:rsid w:val="00A83378"/>
    <w:rsid w:val="00A8341C"/>
    <w:rsid w:val="00A84937"/>
    <w:rsid w:val="00A84D32"/>
    <w:rsid w:val="00A85FEC"/>
    <w:rsid w:val="00A86127"/>
    <w:rsid w:val="00A901B7"/>
    <w:rsid w:val="00A90917"/>
    <w:rsid w:val="00A915CF"/>
    <w:rsid w:val="00A91895"/>
    <w:rsid w:val="00A91BD9"/>
    <w:rsid w:val="00A91BDE"/>
    <w:rsid w:val="00A922F3"/>
    <w:rsid w:val="00A92BB3"/>
    <w:rsid w:val="00A92FF2"/>
    <w:rsid w:val="00A93226"/>
    <w:rsid w:val="00A9495D"/>
    <w:rsid w:val="00A95EC2"/>
    <w:rsid w:val="00A9643F"/>
    <w:rsid w:val="00A96BE9"/>
    <w:rsid w:val="00A9715B"/>
    <w:rsid w:val="00A9784E"/>
    <w:rsid w:val="00A97899"/>
    <w:rsid w:val="00A97C65"/>
    <w:rsid w:val="00A97F9F"/>
    <w:rsid w:val="00AA0333"/>
    <w:rsid w:val="00AA0AB3"/>
    <w:rsid w:val="00AA0AFF"/>
    <w:rsid w:val="00AA141B"/>
    <w:rsid w:val="00AA1581"/>
    <w:rsid w:val="00AA268B"/>
    <w:rsid w:val="00AA2816"/>
    <w:rsid w:val="00AA297D"/>
    <w:rsid w:val="00AA30D8"/>
    <w:rsid w:val="00AA319A"/>
    <w:rsid w:val="00AA422C"/>
    <w:rsid w:val="00AA441F"/>
    <w:rsid w:val="00AA4875"/>
    <w:rsid w:val="00AA5105"/>
    <w:rsid w:val="00AA5132"/>
    <w:rsid w:val="00AA53D5"/>
    <w:rsid w:val="00AA565F"/>
    <w:rsid w:val="00AA7E6A"/>
    <w:rsid w:val="00AB0045"/>
    <w:rsid w:val="00AB143B"/>
    <w:rsid w:val="00AB1573"/>
    <w:rsid w:val="00AB15D2"/>
    <w:rsid w:val="00AB1EE6"/>
    <w:rsid w:val="00AB2954"/>
    <w:rsid w:val="00AB2A00"/>
    <w:rsid w:val="00AB2D94"/>
    <w:rsid w:val="00AB33CF"/>
    <w:rsid w:val="00AB394D"/>
    <w:rsid w:val="00AB397F"/>
    <w:rsid w:val="00AB40EE"/>
    <w:rsid w:val="00AB439A"/>
    <w:rsid w:val="00AB4400"/>
    <w:rsid w:val="00AB49BD"/>
    <w:rsid w:val="00AB4C89"/>
    <w:rsid w:val="00AB4D70"/>
    <w:rsid w:val="00AB4D98"/>
    <w:rsid w:val="00AB4DBD"/>
    <w:rsid w:val="00AB5674"/>
    <w:rsid w:val="00AB5B7A"/>
    <w:rsid w:val="00AB5D9A"/>
    <w:rsid w:val="00AB77A9"/>
    <w:rsid w:val="00AB7F56"/>
    <w:rsid w:val="00AC07FF"/>
    <w:rsid w:val="00AC0CC0"/>
    <w:rsid w:val="00AC1582"/>
    <w:rsid w:val="00AC1F4B"/>
    <w:rsid w:val="00AC2714"/>
    <w:rsid w:val="00AC32C7"/>
    <w:rsid w:val="00AC37E6"/>
    <w:rsid w:val="00AC3A41"/>
    <w:rsid w:val="00AC3B79"/>
    <w:rsid w:val="00AC42F7"/>
    <w:rsid w:val="00AC4388"/>
    <w:rsid w:val="00AC48B9"/>
    <w:rsid w:val="00AC4BFD"/>
    <w:rsid w:val="00AC4D48"/>
    <w:rsid w:val="00AC4DF3"/>
    <w:rsid w:val="00AC4EDB"/>
    <w:rsid w:val="00AC6AFA"/>
    <w:rsid w:val="00AC73A6"/>
    <w:rsid w:val="00AC7596"/>
    <w:rsid w:val="00AC767D"/>
    <w:rsid w:val="00AD1719"/>
    <w:rsid w:val="00AD1803"/>
    <w:rsid w:val="00AD24EE"/>
    <w:rsid w:val="00AD2753"/>
    <w:rsid w:val="00AD2EE9"/>
    <w:rsid w:val="00AD3C0F"/>
    <w:rsid w:val="00AD45BB"/>
    <w:rsid w:val="00AD4CF0"/>
    <w:rsid w:val="00AD521E"/>
    <w:rsid w:val="00AD5308"/>
    <w:rsid w:val="00AD5743"/>
    <w:rsid w:val="00AD5FC1"/>
    <w:rsid w:val="00AD60B6"/>
    <w:rsid w:val="00AD66D3"/>
    <w:rsid w:val="00AD6FD9"/>
    <w:rsid w:val="00AD735E"/>
    <w:rsid w:val="00AD7622"/>
    <w:rsid w:val="00AD76B2"/>
    <w:rsid w:val="00AD7EEB"/>
    <w:rsid w:val="00AE0887"/>
    <w:rsid w:val="00AE152F"/>
    <w:rsid w:val="00AE156F"/>
    <w:rsid w:val="00AE1C9E"/>
    <w:rsid w:val="00AE21EC"/>
    <w:rsid w:val="00AE2F55"/>
    <w:rsid w:val="00AE3611"/>
    <w:rsid w:val="00AE4D34"/>
    <w:rsid w:val="00AE4E94"/>
    <w:rsid w:val="00AE528D"/>
    <w:rsid w:val="00AE56CE"/>
    <w:rsid w:val="00AE5DB7"/>
    <w:rsid w:val="00AE617E"/>
    <w:rsid w:val="00AE64C7"/>
    <w:rsid w:val="00AE6B96"/>
    <w:rsid w:val="00AE6D1C"/>
    <w:rsid w:val="00AE7A9E"/>
    <w:rsid w:val="00AF0738"/>
    <w:rsid w:val="00AF0882"/>
    <w:rsid w:val="00AF08B2"/>
    <w:rsid w:val="00AF1866"/>
    <w:rsid w:val="00AF2400"/>
    <w:rsid w:val="00AF2D1F"/>
    <w:rsid w:val="00AF2DD0"/>
    <w:rsid w:val="00AF31AC"/>
    <w:rsid w:val="00AF31DD"/>
    <w:rsid w:val="00AF37B9"/>
    <w:rsid w:val="00AF51AA"/>
    <w:rsid w:val="00AF6CB8"/>
    <w:rsid w:val="00AF6CD7"/>
    <w:rsid w:val="00AF6D33"/>
    <w:rsid w:val="00AF799B"/>
    <w:rsid w:val="00AF7E5E"/>
    <w:rsid w:val="00B00827"/>
    <w:rsid w:val="00B009D1"/>
    <w:rsid w:val="00B00C91"/>
    <w:rsid w:val="00B01B53"/>
    <w:rsid w:val="00B01BF4"/>
    <w:rsid w:val="00B0223A"/>
    <w:rsid w:val="00B0284C"/>
    <w:rsid w:val="00B031E4"/>
    <w:rsid w:val="00B03697"/>
    <w:rsid w:val="00B04B7C"/>
    <w:rsid w:val="00B04CF1"/>
    <w:rsid w:val="00B057B8"/>
    <w:rsid w:val="00B05E24"/>
    <w:rsid w:val="00B06206"/>
    <w:rsid w:val="00B06F2C"/>
    <w:rsid w:val="00B070B9"/>
    <w:rsid w:val="00B076BB"/>
    <w:rsid w:val="00B07A10"/>
    <w:rsid w:val="00B07B1E"/>
    <w:rsid w:val="00B07C4A"/>
    <w:rsid w:val="00B1081F"/>
    <w:rsid w:val="00B10D62"/>
    <w:rsid w:val="00B10F23"/>
    <w:rsid w:val="00B1175F"/>
    <w:rsid w:val="00B11F5E"/>
    <w:rsid w:val="00B1270F"/>
    <w:rsid w:val="00B1298E"/>
    <w:rsid w:val="00B12D7F"/>
    <w:rsid w:val="00B12EC6"/>
    <w:rsid w:val="00B1425D"/>
    <w:rsid w:val="00B14C4F"/>
    <w:rsid w:val="00B151E0"/>
    <w:rsid w:val="00B15768"/>
    <w:rsid w:val="00B15BAE"/>
    <w:rsid w:val="00B161F3"/>
    <w:rsid w:val="00B16304"/>
    <w:rsid w:val="00B169E8"/>
    <w:rsid w:val="00B178C3"/>
    <w:rsid w:val="00B17C12"/>
    <w:rsid w:val="00B21A4C"/>
    <w:rsid w:val="00B22693"/>
    <w:rsid w:val="00B22B0A"/>
    <w:rsid w:val="00B23478"/>
    <w:rsid w:val="00B242D6"/>
    <w:rsid w:val="00B251A3"/>
    <w:rsid w:val="00B252D7"/>
    <w:rsid w:val="00B25CF3"/>
    <w:rsid w:val="00B2690B"/>
    <w:rsid w:val="00B26F95"/>
    <w:rsid w:val="00B26FC7"/>
    <w:rsid w:val="00B27242"/>
    <w:rsid w:val="00B273EF"/>
    <w:rsid w:val="00B275EB"/>
    <w:rsid w:val="00B27B97"/>
    <w:rsid w:val="00B27CEA"/>
    <w:rsid w:val="00B27E0D"/>
    <w:rsid w:val="00B3008E"/>
    <w:rsid w:val="00B301A4"/>
    <w:rsid w:val="00B3020C"/>
    <w:rsid w:val="00B310A5"/>
    <w:rsid w:val="00B318F2"/>
    <w:rsid w:val="00B323D5"/>
    <w:rsid w:val="00B34D46"/>
    <w:rsid w:val="00B35317"/>
    <w:rsid w:val="00B35B32"/>
    <w:rsid w:val="00B35CF7"/>
    <w:rsid w:val="00B35D39"/>
    <w:rsid w:val="00B36AE2"/>
    <w:rsid w:val="00B370A0"/>
    <w:rsid w:val="00B37248"/>
    <w:rsid w:val="00B375FA"/>
    <w:rsid w:val="00B37977"/>
    <w:rsid w:val="00B4013D"/>
    <w:rsid w:val="00B40409"/>
    <w:rsid w:val="00B4106E"/>
    <w:rsid w:val="00B410C1"/>
    <w:rsid w:val="00B419FB"/>
    <w:rsid w:val="00B4253E"/>
    <w:rsid w:val="00B42605"/>
    <w:rsid w:val="00B4260D"/>
    <w:rsid w:val="00B4271D"/>
    <w:rsid w:val="00B436A1"/>
    <w:rsid w:val="00B43A32"/>
    <w:rsid w:val="00B44832"/>
    <w:rsid w:val="00B44F20"/>
    <w:rsid w:val="00B456E5"/>
    <w:rsid w:val="00B459FF"/>
    <w:rsid w:val="00B462CB"/>
    <w:rsid w:val="00B4642F"/>
    <w:rsid w:val="00B4656D"/>
    <w:rsid w:val="00B46720"/>
    <w:rsid w:val="00B467D8"/>
    <w:rsid w:val="00B46AB2"/>
    <w:rsid w:val="00B47173"/>
    <w:rsid w:val="00B4791B"/>
    <w:rsid w:val="00B47FEA"/>
    <w:rsid w:val="00B47FF1"/>
    <w:rsid w:val="00B5079E"/>
    <w:rsid w:val="00B50914"/>
    <w:rsid w:val="00B50E08"/>
    <w:rsid w:val="00B50FC6"/>
    <w:rsid w:val="00B5154C"/>
    <w:rsid w:val="00B515C0"/>
    <w:rsid w:val="00B517DD"/>
    <w:rsid w:val="00B519D9"/>
    <w:rsid w:val="00B51B90"/>
    <w:rsid w:val="00B51B91"/>
    <w:rsid w:val="00B520F2"/>
    <w:rsid w:val="00B52A14"/>
    <w:rsid w:val="00B52CF2"/>
    <w:rsid w:val="00B53AF6"/>
    <w:rsid w:val="00B53D4D"/>
    <w:rsid w:val="00B53EDB"/>
    <w:rsid w:val="00B53F63"/>
    <w:rsid w:val="00B5407C"/>
    <w:rsid w:val="00B542DF"/>
    <w:rsid w:val="00B5473C"/>
    <w:rsid w:val="00B55868"/>
    <w:rsid w:val="00B562EE"/>
    <w:rsid w:val="00B56630"/>
    <w:rsid w:val="00B56691"/>
    <w:rsid w:val="00B56794"/>
    <w:rsid w:val="00B57B41"/>
    <w:rsid w:val="00B57E93"/>
    <w:rsid w:val="00B610F0"/>
    <w:rsid w:val="00B62571"/>
    <w:rsid w:val="00B62E79"/>
    <w:rsid w:val="00B6360C"/>
    <w:rsid w:val="00B63968"/>
    <w:rsid w:val="00B63FCA"/>
    <w:rsid w:val="00B64A25"/>
    <w:rsid w:val="00B65FA9"/>
    <w:rsid w:val="00B65FAA"/>
    <w:rsid w:val="00B66129"/>
    <w:rsid w:val="00B66898"/>
    <w:rsid w:val="00B67B8A"/>
    <w:rsid w:val="00B7017E"/>
    <w:rsid w:val="00B701F7"/>
    <w:rsid w:val="00B7032D"/>
    <w:rsid w:val="00B71089"/>
    <w:rsid w:val="00B714DC"/>
    <w:rsid w:val="00B71C39"/>
    <w:rsid w:val="00B71DEF"/>
    <w:rsid w:val="00B71E37"/>
    <w:rsid w:val="00B71FC3"/>
    <w:rsid w:val="00B73E96"/>
    <w:rsid w:val="00B73FA6"/>
    <w:rsid w:val="00B746A0"/>
    <w:rsid w:val="00B74C2B"/>
    <w:rsid w:val="00B74C92"/>
    <w:rsid w:val="00B755DF"/>
    <w:rsid w:val="00B75A6C"/>
    <w:rsid w:val="00B75CE6"/>
    <w:rsid w:val="00B767FB"/>
    <w:rsid w:val="00B76F6D"/>
    <w:rsid w:val="00B76FF8"/>
    <w:rsid w:val="00B777CD"/>
    <w:rsid w:val="00B80204"/>
    <w:rsid w:val="00B8069B"/>
    <w:rsid w:val="00B81E93"/>
    <w:rsid w:val="00B82A8A"/>
    <w:rsid w:val="00B83048"/>
    <w:rsid w:val="00B8326F"/>
    <w:rsid w:val="00B837B5"/>
    <w:rsid w:val="00B83F9D"/>
    <w:rsid w:val="00B840B2"/>
    <w:rsid w:val="00B844F2"/>
    <w:rsid w:val="00B848FC"/>
    <w:rsid w:val="00B856A7"/>
    <w:rsid w:val="00B85C9A"/>
    <w:rsid w:val="00B8621B"/>
    <w:rsid w:val="00B86662"/>
    <w:rsid w:val="00B867AF"/>
    <w:rsid w:val="00B86C59"/>
    <w:rsid w:val="00B86E89"/>
    <w:rsid w:val="00B878D5"/>
    <w:rsid w:val="00B87AD4"/>
    <w:rsid w:val="00B90999"/>
    <w:rsid w:val="00B90FE0"/>
    <w:rsid w:val="00B91298"/>
    <w:rsid w:val="00B91766"/>
    <w:rsid w:val="00B917B2"/>
    <w:rsid w:val="00B91D24"/>
    <w:rsid w:val="00B91E05"/>
    <w:rsid w:val="00B9210B"/>
    <w:rsid w:val="00B92CD5"/>
    <w:rsid w:val="00B9311E"/>
    <w:rsid w:val="00B933A1"/>
    <w:rsid w:val="00B93580"/>
    <w:rsid w:val="00B93C9D"/>
    <w:rsid w:val="00B93E69"/>
    <w:rsid w:val="00B946CA"/>
    <w:rsid w:val="00B94EE7"/>
    <w:rsid w:val="00B94F00"/>
    <w:rsid w:val="00B95697"/>
    <w:rsid w:val="00B95D85"/>
    <w:rsid w:val="00B96275"/>
    <w:rsid w:val="00B964EF"/>
    <w:rsid w:val="00B96E09"/>
    <w:rsid w:val="00B97320"/>
    <w:rsid w:val="00B977C1"/>
    <w:rsid w:val="00B97D7B"/>
    <w:rsid w:val="00BA0785"/>
    <w:rsid w:val="00BA0BAE"/>
    <w:rsid w:val="00BA178D"/>
    <w:rsid w:val="00BA17C6"/>
    <w:rsid w:val="00BA2F51"/>
    <w:rsid w:val="00BA2FFD"/>
    <w:rsid w:val="00BA414D"/>
    <w:rsid w:val="00BA439C"/>
    <w:rsid w:val="00BA4EF2"/>
    <w:rsid w:val="00BA51F4"/>
    <w:rsid w:val="00BA5C93"/>
    <w:rsid w:val="00BA62A3"/>
    <w:rsid w:val="00BA6551"/>
    <w:rsid w:val="00BA68F4"/>
    <w:rsid w:val="00BA691A"/>
    <w:rsid w:val="00BA6F2C"/>
    <w:rsid w:val="00BA706B"/>
    <w:rsid w:val="00BA7224"/>
    <w:rsid w:val="00BA751A"/>
    <w:rsid w:val="00BA76BC"/>
    <w:rsid w:val="00BB039C"/>
    <w:rsid w:val="00BB0877"/>
    <w:rsid w:val="00BB171C"/>
    <w:rsid w:val="00BB28B8"/>
    <w:rsid w:val="00BB381E"/>
    <w:rsid w:val="00BB3C22"/>
    <w:rsid w:val="00BB4461"/>
    <w:rsid w:val="00BB4594"/>
    <w:rsid w:val="00BB4A7C"/>
    <w:rsid w:val="00BB4E9A"/>
    <w:rsid w:val="00BB521E"/>
    <w:rsid w:val="00BB5579"/>
    <w:rsid w:val="00BB56C8"/>
    <w:rsid w:val="00BB5EE6"/>
    <w:rsid w:val="00BB6D96"/>
    <w:rsid w:val="00BB7BF1"/>
    <w:rsid w:val="00BC04C0"/>
    <w:rsid w:val="00BC0507"/>
    <w:rsid w:val="00BC0C99"/>
    <w:rsid w:val="00BC0CD1"/>
    <w:rsid w:val="00BC0E55"/>
    <w:rsid w:val="00BC1A9F"/>
    <w:rsid w:val="00BC1AE1"/>
    <w:rsid w:val="00BC278C"/>
    <w:rsid w:val="00BC2FDF"/>
    <w:rsid w:val="00BC3183"/>
    <w:rsid w:val="00BC38E9"/>
    <w:rsid w:val="00BC3969"/>
    <w:rsid w:val="00BC532B"/>
    <w:rsid w:val="00BC53B1"/>
    <w:rsid w:val="00BC5775"/>
    <w:rsid w:val="00BC5B0D"/>
    <w:rsid w:val="00BC5C76"/>
    <w:rsid w:val="00BC7529"/>
    <w:rsid w:val="00BC7608"/>
    <w:rsid w:val="00BC7F2F"/>
    <w:rsid w:val="00BD00F9"/>
    <w:rsid w:val="00BD0247"/>
    <w:rsid w:val="00BD0914"/>
    <w:rsid w:val="00BD0A02"/>
    <w:rsid w:val="00BD0C3B"/>
    <w:rsid w:val="00BD0EAC"/>
    <w:rsid w:val="00BD173D"/>
    <w:rsid w:val="00BD19CC"/>
    <w:rsid w:val="00BD1B66"/>
    <w:rsid w:val="00BD246F"/>
    <w:rsid w:val="00BD24F6"/>
    <w:rsid w:val="00BD2A32"/>
    <w:rsid w:val="00BD2FEB"/>
    <w:rsid w:val="00BD32CE"/>
    <w:rsid w:val="00BD3737"/>
    <w:rsid w:val="00BD38FB"/>
    <w:rsid w:val="00BD3ED8"/>
    <w:rsid w:val="00BD3F1C"/>
    <w:rsid w:val="00BD3FE8"/>
    <w:rsid w:val="00BD446B"/>
    <w:rsid w:val="00BD449F"/>
    <w:rsid w:val="00BD45BB"/>
    <w:rsid w:val="00BD46AC"/>
    <w:rsid w:val="00BD4BDE"/>
    <w:rsid w:val="00BD4D15"/>
    <w:rsid w:val="00BD58A9"/>
    <w:rsid w:val="00BD77D8"/>
    <w:rsid w:val="00BD788B"/>
    <w:rsid w:val="00BD7D07"/>
    <w:rsid w:val="00BE076F"/>
    <w:rsid w:val="00BE07F5"/>
    <w:rsid w:val="00BE0F41"/>
    <w:rsid w:val="00BE0F6C"/>
    <w:rsid w:val="00BE1F41"/>
    <w:rsid w:val="00BE28A1"/>
    <w:rsid w:val="00BE2C0E"/>
    <w:rsid w:val="00BE2CCC"/>
    <w:rsid w:val="00BE3606"/>
    <w:rsid w:val="00BE425C"/>
    <w:rsid w:val="00BE45CE"/>
    <w:rsid w:val="00BE4DEA"/>
    <w:rsid w:val="00BE5036"/>
    <w:rsid w:val="00BE5162"/>
    <w:rsid w:val="00BE572B"/>
    <w:rsid w:val="00BE64F6"/>
    <w:rsid w:val="00BE6775"/>
    <w:rsid w:val="00BE6830"/>
    <w:rsid w:val="00BE6C32"/>
    <w:rsid w:val="00BE6D49"/>
    <w:rsid w:val="00BE6FEC"/>
    <w:rsid w:val="00BE7AD1"/>
    <w:rsid w:val="00BE7DD3"/>
    <w:rsid w:val="00BF00F7"/>
    <w:rsid w:val="00BF034C"/>
    <w:rsid w:val="00BF0604"/>
    <w:rsid w:val="00BF0A1A"/>
    <w:rsid w:val="00BF0FA6"/>
    <w:rsid w:val="00BF1017"/>
    <w:rsid w:val="00BF13F5"/>
    <w:rsid w:val="00BF1467"/>
    <w:rsid w:val="00BF1968"/>
    <w:rsid w:val="00BF1E75"/>
    <w:rsid w:val="00BF2485"/>
    <w:rsid w:val="00BF2C3B"/>
    <w:rsid w:val="00BF2C62"/>
    <w:rsid w:val="00BF2D08"/>
    <w:rsid w:val="00BF2EC9"/>
    <w:rsid w:val="00BF43F6"/>
    <w:rsid w:val="00BF44BE"/>
    <w:rsid w:val="00BF4880"/>
    <w:rsid w:val="00BF4BB7"/>
    <w:rsid w:val="00BF525D"/>
    <w:rsid w:val="00BF5E4E"/>
    <w:rsid w:val="00BF5F01"/>
    <w:rsid w:val="00BF6242"/>
    <w:rsid w:val="00BF6514"/>
    <w:rsid w:val="00C00072"/>
    <w:rsid w:val="00C000A7"/>
    <w:rsid w:val="00C01821"/>
    <w:rsid w:val="00C0188F"/>
    <w:rsid w:val="00C026A7"/>
    <w:rsid w:val="00C026D2"/>
    <w:rsid w:val="00C02DD4"/>
    <w:rsid w:val="00C02ECF"/>
    <w:rsid w:val="00C03160"/>
    <w:rsid w:val="00C034C6"/>
    <w:rsid w:val="00C0355C"/>
    <w:rsid w:val="00C0390B"/>
    <w:rsid w:val="00C04578"/>
    <w:rsid w:val="00C05C6C"/>
    <w:rsid w:val="00C05D53"/>
    <w:rsid w:val="00C06A25"/>
    <w:rsid w:val="00C06A62"/>
    <w:rsid w:val="00C06C34"/>
    <w:rsid w:val="00C06C4A"/>
    <w:rsid w:val="00C06CEE"/>
    <w:rsid w:val="00C078A0"/>
    <w:rsid w:val="00C101EC"/>
    <w:rsid w:val="00C10671"/>
    <w:rsid w:val="00C107F9"/>
    <w:rsid w:val="00C11AB5"/>
    <w:rsid w:val="00C11C7F"/>
    <w:rsid w:val="00C12027"/>
    <w:rsid w:val="00C12B68"/>
    <w:rsid w:val="00C13303"/>
    <w:rsid w:val="00C134C3"/>
    <w:rsid w:val="00C134FF"/>
    <w:rsid w:val="00C1361E"/>
    <w:rsid w:val="00C13699"/>
    <w:rsid w:val="00C137CE"/>
    <w:rsid w:val="00C146EE"/>
    <w:rsid w:val="00C14CB8"/>
    <w:rsid w:val="00C164AF"/>
    <w:rsid w:val="00C16B1E"/>
    <w:rsid w:val="00C170E4"/>
    <w:rsid w:val="00C17AF0"/>
    <w:rsid w:val="00C203DF"/>
    <w:rsid w:val="00C2059F"/>
    <w:rsid w:val="00C20891"/>
    <w:rsid w:val="00C21014"/>
    <w:rsid w:val="00C221B1"/>
    <w:rsid w:val="00C23016"/>
    <w:rsid w:val="00C23642"/>
    <w:rsid w:val="00C23830"/>
    <w:rsid w:val="00C23E9E"/>
    <w:rsid w:val="00C26075"/>
    <w:rsid w:val="00C26982"/>
    <w:rsid w:val="00C26EC5"/>
    <w:rsid w:val="00C27413"/>
    <w:rsid w:val="00C305FF"/>
    <w:rsid w:val="00C30682"/>
    <w:rsid w:val="00C308F3"/>
    <w:rsid w:val="00C31090"/>
    <w:rsid w:val="00C31283"/>
    <w:rsid w:val="00C32362"/>
    <w:rsid w:val="00C3286D"/>
    <w:rsid w:val="00C32DB8"/>
    <w:rsid w:val="00C3344E"/>
    <w:rsid w:val="00C3396D"/>
    <w:rsid w:val="00C33CD6"/>
    <w:rsid w:val="00C34202"/>
    <w:rsid w:val="00C3464C"/>
    <w:rsid w:val="00C35056"/>
    <w:rsid w:val="00C3515C"/>
    <w:rsid w:val="00C36502"/>
    <w:rsid w:val="00C365D7"/>
    <w:rsid w:val="00C36674"/>
    <w:rsid w:val="00C37084"/>
    <w:rsid w:val="00C37D3D"/>
    <w:rsid w:val="00C404FA"/>
    <w:rsid w:val="00C4160C"/>
    <w:rsid w:val="00C41A31"/>
    <w:rsid w:val="00C41A8F"/>
    <w:rsid w:val="00C41B43"/>
    <w:rsid w:val="00C42F09"/>
    <w:rsid w:val="00C43052"/>
    <w:rsid w:val="00C43AF8"/>
    <w:rsid w:val="00C441D0"/>
    <w:rsid w:val="00C448A9"/>
    <w:rsid w:val="00C462CC"/>
    <w:rsid w:val="00C462E3"/>
    <w:rsid w:val="00C4753D"/>
    <w:rsid w:val="00C47901"/>
    <w:rsid w:val="00C50843"/>
    <w:rsid w:val="00C509BC"/>
    <w:rsid w:val="00C509F9"/>
    <w:rsid w:val="00C50C17"/>
    <w:rsid w:val="00C516A7"/>
    <w:rsid w:val="00C51AD7"/>
    <w:rsid w:val="00C52541"/>
    <w:rsid w:val="00C52542"/>
    <w:rsid w:val="00C52763"/>
    <w:rsid w:val="00C527CC"/>
    <w:rsid w:val="00C52B68"/>
    <w:rsid w:val="00C52B90"/>
    <w:rsid w:val="00C52CD3"/>
    <w:rsid w:val="00C53077"/>
    <w:rsid w:val="00C5313E"/>
    <w:rsid w:val="00C542F8"/>
    <w:rsid w:val="00C545BA"/>
    <w:rsid w:val="00C54645"/>
    <w:rsid w:val="00C54660"/>
    <w:rsid w:val="00C54F30"/>
    <w:rsid w:val="00C55487"/>
    <w:rsid w:val="00C57B21"/>
    <w:rsid w:val="00C57F0C"/>
    <w:rsid w:val="00C61780"/>
    <w:rsid w:val="00C62589"/>
    <w:rsid w:val="00C62659"/>
    <w:rsid w:val="00C62E51"/>
    <w:rsid w:val="00C6343E"/>
    <w:rsid w:val="00C6384F"/>
    <w:rsid w:val="00C639A0"/>
    <w:rsid w:val="00C64BCF"/>
    <w:rsid w:val="00C64D93"/>
    <w:rsid w:val="00C64FFC"/>
    <w:rsid w:val="00C65BEF"/>
    <w:rsid w:val="00C65F40"/>
    <w:rsid w:val="00C66141"/>
    <w:rsid w:val="00C6630A"/>
    <w:rsid w:val="00C66CEE"/>
    <w:rsid w:val="00C7056C"/>
    <w:rsid w:val="00C70B84"/>
    <w:rsid w:val="00C70CB2"/>
    <w:rsid w:val="00C7171F"/>
    <w:rsid w:val="00C71ACE"/>
    <w:rsid w:val="00C71D30"/>
    <w:rsid w:val="00C726B8"/>
    <w:rsid w:val="00C72EF1"/>
    <w:rsid w:val="00C72F2A"/>
    <w:rsid w:val="00C7383B"/>
    <w:rsid w:val="00C74D6F"/>
    <w:rsid w:val="00C750C5"/>
    <w:rsid w:val="00C75A46"/>
    <w:rsid w:val="00C75DE2"/>
    <w:rsid w:val="00C76F73"/>
    <w:rsid w:val="00C76FE5"/>
    <w:rsid w:val="00C77166"/>
    <w:rsid w:val="00C77E23"/>
    <w:rsid w:val="00C77E32"/>
    <w:rsid w:val="00C81413"/>
    <w:rsid w:val="00C81771"/>
    <w:rsid w:val="00C81C2A"/>
    <w:rsid w:val="00C82260"/>
    <w:rsid w:val="00C8309B"/>
    <w:rsid w:val="00C83B21"/>
    <w:rsid w:val="00C83FDB"/>
    <w:rsid w:val="00C84006"/>
    <w:rsid w:val="00C843F6"/>
    <w:rsid w:val="00C84424"/>
    <w:rsid w:val="00C847AE"/>
    <w:rsid w:val="00C85A23"/>
    <w:rsid w:val="00C86A0C"/>
    <w:rsid w:val="00C86EDB"/>
    <w:rsid w:val="00C87AD3"/>
    <w:rsid w:val="00C907F4"/>
    <w:rsid w:val="00C90B89"/>
    <w:rsid w:val="00C90D37"/>
    <w:rsid w:val="00C91175"/>
    <w:rsid w:val="00C925B6"/>
    <w:rsid w:val="00C9317B"/>
    <w:rsid w:val="00C936CF"/>
    <w:rsid w:val="00C9371D"/>
    <w:rsid w:val="00C956DA"/>
    <w:rsid w:val="00C96182"/>
    <w:rsid w:val="00C9678D"/>
    <w:rsid w:val="00C97370"/>
    <w:rsid w:val="00C97D0E"/>
    <w:rsid w:val="00CA0481"/>
    <w:rsid w:val="00CA0D06"/>
    <w:rsid w:val="00CA152C"/>
    <w:rsid w:val="00CA1598"/>
    <w:rsid w:val="00CA15B2"/>
    <w:rsid w:val="00CA20D2"/>
    <w:rsid w:val="00CA2556"/>
    <w:rsid w:val="00CA2B61"/>
    <w:rsid w:val="00CA2BF8"/>
    <w:rsid w:val="00CA2C9C"/>
    <w:rsid w:val="00CA5820"/>
    <w:rsid w:val="00CA6243"/>
    <w:rsid w:val="00CA633A"/>
    <w:rsid w:val="00CA643C"/>
    <w:rsid w:val="00CA6545"/>
    <w:rsid w:val="00CA656F"/>
    <w:rsid w:val="00CA6958"/>
    <w:rsid w:val="00CA6D4D"/>
    <w:rsid w:val="00CA7961"/>
    <w:rsid w:val="00CB04BB"/>
    <w:rsid w:val="00CB067B"/>
    <w:rsid w:val="00CB08BB"/>
    <w:rsid w:val="00CB110C"/>
    <w:rsid w:val="00CB14A2"/>
    <w:rsid w:val="00CB1AA1"/>
    <w:rsid w:val="00CB26DD"/>
    <w:rsid w:val="00CB2B6A"/>
    <w:rsid w:val="00CB387F"/>
    <w:rsid w:val="00CB3BFC"/>
    <w:rsid w:val="00CB407E"/>
    <w:rsid w:val="00CB455B"/>
    <w:rsid w:val="00CB473D"/>
    <w:rsid w:val="00CB49EA"/>
    <w:rsid w:val="00CB5253"/>
    <w:rsid w:val="00CB537D"/>
    <w:rsid w:val="00CB5585"/>
    <w:rsid w:val="00CB674C"/>
    <w:rsid w:val="00CB6861"/>
    <w:rsid w:val="00CB6A45"/>
    <w:rsid w:val="00CB6C11"/>
    <w:rsid w:val="00CB6DE3"/>
    <w:rsid w:val="00CB7BCF"/>
    <w:rsid w:val="00CC0661"/>
    <w:rsid w:val="00CC126A"/>
    <w:rsid w:val="00CC12B6"/>
    <w:rsid w:val="00CC190C"/>
    <w:rsid w:val="00CC230A"/>
    <w:rsid w:val="00CC261D"/>
    <w:rsid w:val="00CC2C95"/>
    <w:rsid w:val="00CC2D93"/>
    <w:rsid w:val="00CC3B90"/>
    <w:rsid w:val="00CC4A2A"/>
    <w:rsid w:val="00CC56B5"/>
    <w:rsid w:val="00CC5C24"/>
    <w:rsid w:val="00CC6C9E"/>
    <w:rsid w:val="00CC721E"/>
    <w:rsid w:val="00CC73CC"/>
    <w:rsid w:val="00CC7487"/>
    <w:rsid w:val="00CC7BCE"/>
    <w:rsid w:val="00CD0927"/>
    <w:rsid w:val="00CD09E1"/>
    <w:rsid w:val="00CD1A54"/>
    <w:rsid w:val="00CD1BAF"/>
    <w:rsid w:val="00CD1CA2"/>
    <w:rsid w:val="00CD2032"/>
    <w:rsid w:val="00CD23A3"/>
    <w:rsid w:val="00CD2A17"/>
    <w:rsid w:val="00CD3123"/>
    <w:rsid w:val="00CD351A"/>
    <w:rsid w:val="00CD3C50"/>
    <w:rsid w:val="00CD504B"/>
    <w:rsid w:val="00CD60F4"/>
    <w:rsid w:val="00CD63C8"/>
    <w:rsid w:val="00CD63DD"/>
    <w:rsid w:val="00CD6BCB"/>
    <w:rsid w:val="00CD6BEC"/>
    <w:rsid w:val="00CD7263"/>
    <w:rsid w:val="00CD7504"/>
    <w:rsid w:val="00CD753A"/>
    <w:rsid w:val="00CD7FAC"/>
    <w:rsid w:val="00CE0122"/>
    <w:rsid w:val="00CE03B2"/>
    <w:rsid w:val="00CE09DE"/>
    <w:rsid w:val="00CE15C3"/>
    <w:rsid w:val="00CE1FD6"/>
    <w:rsid w:val="00CE2381"/>
    <w:rsid w:val="00CE2872"/>
    <w:rsid w:val="00CE2934"/>
    <w:rsid w:val="00CE2CF2"/>
    <w:rsid w:val="00CE2DA3"/>
    <w:rsid w:val="00CE3C32"/>
    <w:rsid w:val="00CE44F8"/>
    <w:rsid w:val="00CE570E"/>
    <w:rsid w:val="00CE5722"/>
    <w:rsid w:val="00CE6029"/>
    <w:rsid w:val="00CE60AC"/>
    <w:rsid w:val="00CE612B"/>
    <w:rsid w:val="00CE618E"/>
    <w:rsid w:val="00CE6F1C"/>
    <w:rsid w:val="00CE70F5"/>
    <w:rsid w:val="00CE761E"/>
    <w:rsid w:val="00CE78C9"/>
    <w:rsid w:val="00CE79EC"/>
    <w:rsid w:val="00CE7CA8"/>
    <w:rsid w:val="00CF0159"/>
    <w:rsid w:val="00CF140F"/>
    <w:rsid w:val="00CF1BCD"/>
    <w:rsid w:val="00CF245A"/>
    <w:rsid w:val="00CF29FB"/>
    <w:rsid w:val="00CF2BEE"/>
    <w:rsid w:val="00CF326A"/>
    <w:rsid w:val="00CF38B6"/>
    <w:rsid w:val="00CF3B46"/>
    <w:rsid w:val="00CF3DB7"/>
    <w:rsid w:val="00CF4AC7"/>
    <w:rsid w:val="00CF4D77"/>
    <w:rsid w:val="00CF5219"/>
    <w:rsid w:val="00CF654A"/>
    <w:rsid w:val="00CF6D8D"/>
    <w:rsid w:val="00CF70E0"/>
    <w:rsid w:val="00CF7C9E"/>
    <w:rsid w:val="00CF7F9D"/>
    <w:rsid w:val="00D00323"/>
    <w:rsid w:val="00D00A66"/>
    <w:rsid w:val="00D00DA8"/>
    <w:rsid w:val="00D00DE7"/>
    <w:rsid w:val="00D00E43"/>
    <w:rsid w:val="00D01FFC"/>
    <w:rsid w:val="00D02611"/>
    <w:rsid w:val="00D02714"/>
    <w:rsid w:val="00D02915"/>
    <w:rsid w:val="00D03029"/>
    <w:rsid w:val="00D046F7"/>
    <w:rsid w:val="00D04CAB"/>
    <w:rsid w:val="00D0541C"/>
    <w:rsid w:val="00D05507"/>
    <w:rsid w:val="00D05C2A"/>
    <w:rsid w:val="00D05D41"/>
    <w:rsid w:val="00D05D7D"/>
    <w:rsid w:val="00D06598"/>
    <w:rsid w:val="00D0697A"/>
    <w:rsid w:val="00D06BDB"/>
    <w:rsid w:val="00D07097"/>
    <w:rsid w:val="00D0746F"/>
    <w:rsid w:val="00D07FF4"/>
    <w:rsid w:val="00D1013F"/>
    <w:rsid w:val="00D1093F"/>
    <w:rsid w:val="00D10C67"/>
    <w:rsid w:val="00D10EE0"/>
    <w:rsid w:val="00D11294"/>
    <w:rsid w:val="00D113F6"/>
    <w:rsid w:val="00D11A09"/>
    <w:rsid w:val="00D1248D"/>
    <w:rsid w:val="00D12569"/>
    <w:rsid w:val="00D12723"/>
    <w:rsid w:val="00D13283"/>
    <w:rsid w:val="00D13492"/>
    <w:rsid w:val="00D13AD1"/>
    <w:rsid w:val="00D1554A"/>
    <w:rsid w:val="00D155C5"/>
    <w:rsid w:val="00D157E4"/>
    <w:rsid w:val="00D15D4C"/>
    <w:rsid w:val="00D16089"/>
    <w:rsid w:val="00D169E7"/>
    <w:rsid w:val="00D175D3"/>
    <w:rsid w:val="00D200B7"/>
    <w:rsid w:val="00D2034B"/>
    <w:rsid w:val="00D207AA"/>
    <w:rsid w:val="00D212CA"/>
    <w:rsid w:val="00D21656"/>
    <w:rsid w:val="00D21C63"/>
    <w:rsid w:val="00D21D66"/>
    <w:rsid w:val="00D22B03"/>
    <w:rsid w:val="00D23298"/>
    <w:rsid w:val="00D24191"/>
    <w:rsid w:val="00D24A0F"/>
    <w:rsid w:val="00D2599E"/>
    <w:rsid w:val="00D26503"/>
    <w:rsid w:val="00D2663B"/>
    <w:rsid w:val="00D26F5A"/>
    <w:rsid w:val="00D27EF9"/>
    <w:rsid w:val="00D27F58"/>
    <w:rsid w:val="00D307ED"/>
    <w:rsid w:val="00D30FE8"/>
    <w:rsid w:val="00D318C2"/>
    <w:rsid w:val="00D31C88"/>
    <w:rsid w:val="00D32799"/>
    <w:rsid w:val="00D33258"/>
    <w:rsid w:val="00D335E8"/>
    <w:rsid w:val="00D33691"/>
    <w:rsid w:val="00D354BD"/>
    <w:rsid w:val="00D3589A"/>
    <w:rsid w:val="00D36696"/>
    <w:rsid w:val="00D36B54"/>
    <w:rsid w:val="00D36E31"/>
    <w:rsid w:val="00D374AC"/>
    <w:rsid w:val="00D37C2C"/>
    <w:rsid w:val="00D37E95"/>
    <w:rsid w:val="00D4006B"/>
    <w:rsid w:val="00D4036F"/>
    <w:rsid w:val="00D40B68"/>
    <w:rsid w:val="00D40D23"/>
    <w:rsid w:val="00D41259"/>
    <w:rsid w:val="00D43D1A"/>
    <w:rsid w:val="00D43D7F"/>
    <w:rsid w:val="00D43F0E"/>
    <w:rsid w:val="00D44131"/>
    <w:rsid w:val="00D44144"/>
    <w:rsid w:val="00D442CC"/>
    <w:rsid w:val="00D444E2"/>
    <w:rsid w:val="00D44AFF"/>
    <w:rsid w:val="00D44B0D"/>
    <w:rsid w:val="00D44C2A"/>
    <w:rsid w:val="00D452A6"/>
    <w:rsid w:val="00D45311"/>
    <w:rsid w:val="00D455C0"/>
    <w:rsid w:val="00D4693B"/>
    <w:rsid w:val="00D46DFB"/>
    <w:rsid w:val="00D470CA"/>
    <w:rsid w:val="00D47D8A"/>
    <w:rsid w:val="00D5080C"/>
    <w:rsid w:val="00D51181"/>
    <w:rsid w:val="00D5124A"/>
    <w:rsid w:val="00D51450"/>
    <w:rsid w:val="00D514B3"/>
    <w:rsid w:val="00D51A9A"/>
    <w:rsid w:val="00D5218F"/>
    <w:rsid w:val="00D53EA9"/>
    <w:rsid w:val="00D54C44"/>
    <w:rsid w:val="00D55B05"/>
    <w:rsid w:val="00D55B73"/>
    <w:rsid w:val="00D55CA8"/>
    <w:rsid w:val="00D56A09"/>
    <w:rsid w:val="00D60608"/>
    <w:rsid w:val="00D607CA"/>
    <w:rsid w:val="00D60A00"/>
    <w:rsid w:val="00D61B47"/>
    <w:rsid w:val="00D61BC2"/>
    <w:rsid w:val="00D61E53"/>
    <w:rsid w:val="00D6246D"/>
    <w:rsid w:val="00D62A9B"/>
    <w:rsid w:val="00D67523"/>
    <w:rsid w:val="00D70CFD"/>
    <w:rsid w:val="00D7123A"/>
    <w:rsid w:val="00D719A7"/>
    <w:rsid w:val="00D71F09"/>
    <w:rsid w:val="00D721AF"/>
    <w:rsid w:val="00D722F5"/>
    <w:rsid w:val="00D728FD"/>
    <w:rsid w:val="00D72D7E"/>
    <w:rsid w:val="00D736C4"/>
    <w:rsid w:val="00D73D0A"/>
    <w:rsid w:val="00D7429C"/>
    <w:rsid w:val="00D74410"/>
    <w:rsid w:val="00D746FE"/>
    <w:rsid w:val="00D74AB1"/>
    <w:rsid w:val="00D74AE3"/>
    <w:rsid w:val="00D74BB0"/>
    <w:rsid w:val="00D75E09"/>
    <w:rsid w:val="00D75FD8"/>
    <w:rsid w:val="00D76867"/>
    <w:rsid w:val="00D769C8"/>
    <w:rsid w:val="00D76D89"/>
    <w:rsid w:val="00D76E23"/>
    <w:rsid w:val="00D7742A"/>
    <w:rsid w:val="00D77F1A"/>
    <w:rsid w:val="00D804D9"/>
    <w:rsid w:val="00D80E2A"/>
    <w:rsid w:val="00D80F92"/>
    <w:rsid w:val="00D81543"/>
    <w:rsid w:val="00D82236"/>
    <w:rsid w:val="00D823AA"/>
    <w:rsid w:val="00D82E1D"/>
    <w:rsid w:val="00D833BB"/>
    <w:rsid w:val="00D8367C"/>
    <w:rsid w:val="00D83B53"/>
    <w:rsid w:val="00D84558"/>
    <w:rsid w:val="00D86395"/>
    <w:rsid w:val="00D86493"/>
    <w:rsid w:val="00D8763D"/>
    <w:rsid w:val="00D90EAB"/>
    <w:rsid w:val="00D91244"/>
    <w:rsid w:val="00D91ED2"/>
    <w:rsid w:val="00D92223"/>
    <w:rsid w:val="00D92D02"/>
    <w:rsid w:val="00D92F9C"/>
    <w:rsid w:val="00D9324E"/>
    <w:rsid w:val="00D93770"/>
    <w:rsid w:val="00D938AD"/>
    <w:rsid w:val="00D93F20"/>
    <w:rsid w:val="00D940AA"/>
    <w:rsid w:val="00D946D0"/>
    <w:rsid w:val="00D9484C"/>
    <w:rsid w:val="00D94D8C"/>
    <w:rsid w:val="00D94DAD"/>
    <w:rsid w:val="00D9510F"/>
    <w:rsid w:val="00D952A1"/>
    <w:rsid w:val="00D95FF8"/>
    <w:rsid w:val="00D96DA6"/>
    <w:rsid w:val="00D97229"/>
    <w:rsid w:val="00D9754D"/>
    <w:rsid w:val="00D978ED"/>
    <w:rsid w:val="00DA053F"/>
    <w:rsid w:val="00DA0E54"/>
    <w:rsid w:val="00DA14CA"/>
    <w:rsid w:val="00DA20A4"/>
    <w:rsid w:val="00DA21A0"/>
    <w:rsid w:val="00DA3CAB"/>
    <w:rsid w:val="00DA3CCC"/>
    <w:rsid w:val="00DA3D83"/>
    <w:rsid w:val="00DA40F7"/>
    <w:rsid w:val="00DA4255"/>
    <w:rsid w:val="00DA57B6"/>
    <w:rsid w:val="00DA5A49"/>
    <w:rsid w:val="00DA68AB"/>
    <w:rsid w:val="00DA7BBC"/>
    <w:rsid w:val="00DA7C25"/>
    <w:rsid w:val="00DB0113"/>
    <w:rsid w:val="00DB0129"/>
    <w:rsid w:val="00DB024A"/>
    <w:rsid w:val="00DB04AA"/>
    <w:rsid w:val="00DB12A6"/>
    <w:rsid w:val="00DB171A"/>
    <w:rsid w:val="00DB1D24"/>
    <w:rsid w:val="00DB26CB"/>
    <w:rsid w:val="00DB286E"/>
    <w:rsid w:val="00DB2EF1"/>
    <w:rsid w:val="00DB3F48"/>
    <w:rsid w:val="00DB4E34"/>
    <w:rsid w:val="00DB54E6"/>
    <w:rsid w:val="00DB5608"/>
    <w:rsid w:val="00DB59EC"/>
    <w:rsid w:val="00DB66C3"/>
    <w:rsid w:val="00DB7626"/>
    <w:rsid w:val="00DC0008"/>
    <w:rsid w:val="00DC00CE"/>
    <w:rsid w:val="00DC0461"/>
    <w:rsid w:val="00DC06D4"/>
    <w:rsid w:val="00DC1DE1"/>
    <w:rsid w:val="00DC23DC"/>
    <w:rsid w:val="00DC275D"/>
    <w:rsid w:val="00DC3100"/>
    <w:rsid w:val="00DC341A"/>
    <w:rsid w:val="00DC34FA"/>
    <w:rsid w:val="00DC3C64"/>
    <w:rsid w:val="00DC3F9C"/>
    <w:rsid w:val="00DC4DAB"/>
    <w:rsid w:val="00DC544C"/>
    <w:rsid w:val="00DC54DB"/>
    <w:rsid w:val="00DC5FC0"/>
    <w:rsid w:val="00DC63B7"/>
    <w:rsid w:val="00DC671B"/>
    <w:rsid w:val="00DC67BA"/>
    <w:rsid w:val="00DC6A45"/>
    <w:rsid w:val="00DC6CDD"/>
    <w:rsid w:val="00DC75A4"/>
    <w:rsid w:val="00DD01EB"/>
    <w:rsid w:val="00DD073A"/>
    <w:rsid w:val="00DD09A8"/>
    <w:rsid w:val="00DD2717"/>
    <w:rsid w:val="00DD2BAB"/>
    <w:rsid w:val="00DD40FC"/>
    <w:rsid w:val="00DD424C"/>
    <w:rsid w:val="00DD4C26"/>
    <w:rsid w:val="00DD5204"/>
    <w:rsid w:val="00DD58A0"/>
    <w:rsid w:val="00DD5C35"/>
    <w:rsid w:val="00DD6B6F"/>
    <w:rsid w:val="00DD6C9F"/>
    <w:rsid w:val="00DD72FA"/>
    <w:rsid w:val="00DD75BA"/>
    <w:rsid w:val="00DD7D99"/>
    <w:rsid w:val="00DD7F02"/>
    <w:rsid w:val="00DE00C5"/>
    <w:rsid w:val="00DE0121"/>
    <w:rsid w:val="00DE0270"/>
    <w:rsid w:val="00DE0ADB"/>
    <w:rsid w:val="00DE19FE"/>
    <w:rsid w:val="00DE1CC3"/>
    <w:rsid w:val="00DE1FE3"/>
    <w:rsid w:val="00DE23E4"/>
    <w:rsid w:val="00DE3211"/>
    <w:rsid w:val="00DE382E"/>
    <w:rsid w:val="00DE430D"/>
    <w:rsid w:val="00DE4C6D"/>
    <w:rsid w:val="00DE514A"/>
    <w:rsid w:val="00DE5AC8"/>
    <w:rsid w:val="00DE78DA"/>
    <w:rsid w:val="00DF008F"/>
    <w:rsid w:val="00DF0110"/>
    <w:rsid w:val="00DF04CC"/>
    <w:rsid w:val="00DF0A4A"/>
    <w:rsid w:val="00DF0E77"/>
    <w:rsid w:val="00DF1135"/>
    <w:rsid w:val="00DF15B6"/>
    <w:rsid w:val="00DF2B65"/>
    <w:rsid w:val="00DF3FC2"/>
    <w:rsid w:val="00DF4636"/>
    <w:rsid w:val="00DF4756"/>
    <w:rsid w:val="00DF5564"/>
    <w:rsid w:val="00DF55B4"/>
    <w:rsid w:val="00DF574C"/>
    <w:rsid w:val="00DF5EF4"/>
    <w:rsid w:val="00DF5F6A"/>
    <w:rsid w:val="00DF67CB"/>
    <w:rsid w:val="00DF6CE0"/>
    <w:rsid w:val="00DF7257"/>
    <w:rsid w:val="00DF7B87"/>
    <w:rsid w:val="00DF7CF7"/>
    <w:rsid w:val="00DF7E60"/>
    <w:rsid w:val="00DF7F01"/>
    <w:rsid w:val="00E004F7"/>
    <w:rsid w:val="00E00A1B"/>
    <w:rsid w:val="00E0193E"/>
    <w:rsid w:val="00E025DB"/>
    <w:rsid w:val="00E02786"/>
    <w:rsid w:val="00E0302D"/>
    <w:rsid w:val="00E03BC0"/>
    <w:rsid w:val="00E03DDB"/>
    <w:rsid w:val="00E03ED3"/>
    <w:rsid w:val="00E041B9"/>
    <w:rsid w:val="00E04770"/>
    <w:rsid w:val="00E0529C"/>
    <w:rsid w:val="00E057EE"/>
    <w:rsid w:val="00E05DD3"/>
    <w:rsid w:val="00E07306"/>
    <w:rsid w:val="00E1014D"/>
    <w:rsid w:val="00E1041B"/>
    <w:rsid w:val="00E1053E"/>
    <w:rsid w:val="00E10A6C"/>
    <w:rsid w:val="00E11B08"/>
    <w:rsid w:val="00E11DBF"/>
    <w:rsid w:val="00E1218E"/>
    <w:rsid w:val="00E1248F"/>
    <w:rsid w:val="00E1251D"/>
    <w:rsid w:val="00E1387B"/>
    <w:rsid w:val="00E13E9F"/>
    <w:rsid w:val="00E14C16"/>
    <w:rsid w:val="00E151AE"/>
    <w:rsid w:val="00E15683"/>
    <w:rsid w:val="00E1580F"/>
    <w:rsid w:val="00E15E23"/>
    <w:rsid w:val="00E17363"/>
    <w:rsid w:val="00E1739D"/>
    <w:rsid w:val="00E1778E"/>
    <w:rsid w:val="00E178FE"/>
    <w:rsid w:val="00E17A2F"/>
    <w:rsid w:val="00E17A9B"/>
    <w:rsid w:val="00E2144B"/>
    <w:rsid w:val="00E215C7"/>
    <w:rsid w:val="00E21646"/>
    <w:rsid w:val="00E2195D"/>
    <w:rsid w:val="00E21A61"/>
    <w:rsid w:val="00E21D5B"/>
    <w:rsid w:val="00E22D8B"/>
    <w:rsid w:val="00E23449"/>
    <w:rsid w:val="00E23E99"/>
    <w:rsid w:val="00E24B76"/>
    <w:rsid w:val="00E24E5B"/>
    <w:rsid w:val="00E2597D"/>
    <w:rsid w:val="00E25FD1"/>
    <w:rsid w:val="00E26549"/>
    <w:rsid w:val="00E26657"/>
    <w:rsid w:val="00E26955"/>
    <w:rsid w:val="00E270C4"/>
    <w:rsid w:val="00E27F0C"/>
    <w:rsid w:val="00E27F96"/>
    <w:rsid w:val="00E3035F"/>
    <w:rsid w:val="00E30AF6"/>
    <w:rsid w:val="00E30D37"/>
    <w:rsid w:val="00E30F3F"/>
    <w:rsid w:val="00E31780"/>
    <w:rsid w:val="00E31B5F"/>
    <w:rsid w:val="00E32AAD"/>
    <w:rsid w:val="00E33205"/>
    <w:rsid w:val="00E332E0"/>
    <w:rsid w:val="00E337C2"/>
    <w:rsid w:val="00E33A40"/>
    <w:rsid w:val="00E35680"/>
    <w:rsid w:val="00E360AC"/>
    <w:rsid w:val="00E3763A"/>
    <w:rsid w:val="00E3797A"/>
    <w:rsid w:val="00E37E6B"/>
    <w:rsid w:val="00E40B4E"/>
    <w:rsid w:val="00E40D68"/>
    <w:rsid w:val="00E410A3"/>
    <w:rsid w:val="00E41A27"/>
    <w:rsid w:val="00E420D0"/>
    <w:rsid w:val="00E42684"/>
    <w:rsid w:val="00E427D6"/>
    <w:rsid w:val="00E429B7"/>
    <w:rsid w:val="00E43202"/>
    <w:rsid w:val="00E434A2"/>
    <w:rsid w:val="00E43CC6"/>
    <w:rsid w:val="00E443F8"/>
    <w:rsid w:val="00E4449B"/>
    <w:rsid w:val="00E44565"/>
    <w:rsid w:val="00E45123"/>
    <w:rsid w:val="00E457A6"/>
    <w:rsid w:val="00E458C8"/>
    <w:rsid w:val="00E45AAD"/>
    <w:rsid w:val="00E45BB1"/>
    <w:rsid w:val="00E45FDB"/>
    <w:rsid w:val="00E46656"/>
    <w:rsid w:val="00E46ED0"/>
    <w:rsid w:val="00E46F20"/>
    <w:rsid w:val="00E46F33"/>
    <w:rsid w:val="00E47363"/>
    <w:rsid w:val="00E47A6E"/>
    <w:rsid w:val="00E47B42"/>
    <w:rsid w:val="00E47E45"/>
    <w:rsid w:val="00E50008"/>
    <w:rsid w:val="00E500B8"/>
    <w:rsid w:val="00E5047B"/>
    <w:rsid w:val="00E514A1"/>
    <w:rsid w:val="00E51668"/>
    <w:rsid w:val="00E5298F"/>
    <w:rsid w:val="00E52FB2"/>
    <w:rsid w:val="00E530E7"/>
    <w:rsid w:val="00E532EB"/>
    <w:rsid w:val="00E53A76"/>
    <w:rsid w:val="00E54407"/>
    <w:rsid w:val="00E54C0A"/>
    <w:rsid w:val="00E57732"/>
    <w:rsid w:val="00E57DFC"/>
    <w:rsid w:val="00E61013"/>
    <w:rsid w:val="00E6147A"/>
    <w:rsid w:val="00E615B4"/>
    <w:rsid w:val="00E61BA9"/>
    <w:rsid w:val="00E6211E"/>
    <w:rsid w:val="00E639D3"/>
    <w:rsid w:val="00E63D29"/>
    <w:rsid w:val="00E63E00"/>
    <w:rsid w:val="00E6425C"/>
    <w:rsid w:val="00E64C7D"/>
    <w:rsid w:val="00E651DD"/>
    <w:rsid w:val="00E657BD"/>
    <w:rsid w:val="00E65A17"/>
    <w:rsid w:val="00E65AA5"/>
    <w:rsid w:val="00E679AA"/>
    <w:rsid w:val="00E67BC9"/>
    <w:rsid w:val="00E67CB1"/>
    <w:rsid w:val="00E67CC1"/>
    <w:rsid w:val="00E707D6"/>
    <w:rsid w:val="00E70CE8"/>
    <w:rsid w:val="00E71ABF"/>
    <w:rsid w:val="00E72D85"/>
    <w:rsid w:val="00E72DB0"/>
    <w:rsid w:val="00E7378A"/>
    <w:rsid w:val="00E74CA6"/>
    <w:rsid w:val="00E75338"/>
    <w:rsid w:val="00E75452"/>
    <w:rsid w:val="00E7582A"/>
    <w:rsid w:val="00E762C8"/>
    <w:rsid w:val="00E767FE"/>
    <w:rsid w:val="00E76982"/>
    <w:rsid w:val="00E772CD"/>
    <w:rsid w:val="00E776DB"/>
    <w:rsid w:val="00E776E2"/>
    <w:rsid w:val="00E779C7"/>
    <w:rsid w:val="00E8029F"/>
    <w:rsid w:val="00E8242F"/>
    <w:rsid w:val="00E8303E"/>
    <w:rsid w:val="00E836FC"/>
    <w:rsid w:val="00E840C9"/>
    <w:rsid w:val="00E8430E"/>
    <w:rsid w:val="00E84514"/>
    <w:rsid w:val="00E847C1"/>
    <w:rsid w:val="00E84B42"/>
    <w:rsid w:val="00E85121"/>
    <w:rsid w:val="00E85243"/>
    <w:rsid w:val="00E86FF9"/>
    <w:rsid w:val="00E904B0"/>
    <w:rsid w:val="00E90958"/>
    <w:rsid w:val="00E90ABE"/>
    <w:rsid w:val="00E9183A"/>
    <w:rsid w:val="00E92699"/>
    <w:rsid w:val="00E94443"/>
    <w:rsid w:val="00E956DC"/>
    <w:rsid w:val="00E95F14"/>
    <w:rsid w:val="00E960BE"/>
    <w:rsid w:val="00E967BC"/>
    <w:rsid w:val="00E96E92"/>
    <w:rsid w:val="00E97335"/>
    <w:rsid w:val="00EA0242"/>
    <w:rsid w:val="00EA08A6"/>
    <w:rsid w:val="00EA08C2"/>
    <w:rsid w:val="00EA1525"/>
    <w:rsid w:val="00EA1A00"/>
    <w:rsid w:val="00EA1DA0"/>
    <w:rsid w:val="00EA2684"/>
    <w:rsid w:val="00EA30BB"/>
    <w:rsid w:val="00EA3119"/>
    <w:rsid w:val="00EA32D1"/>
    <w:rsid w:val="00EA3DE6"/>
    <w:rsid w:val="00EA61EA"/>
    <w:rsid w:val="00EA6CFA"/>
    <w:rsid w:val="00EB02C4"/>
    <w:rsid w:val="00EB0526"/>
    <w:rsid w:val="00EB055F"/>
    <w:rsid w:val="00EB0737"/>
    <w:rsid w:val="00EB1DCA"/>
    <w:rsid w:val="00EB2215"/>
    <w:rsid w:val="00EB2330"/>
    <w:rsid w:val="00EB2387"/>
    <w:rsid w:val="00EB270F"/>
    <w:rsid w:val="00EB3875"/>
    <w:rsid w:val="00EB3A3C"/>
    <w:rsid w:val="00EB414A"/>
    <w:rsid w:val="00EB5A96"/>
    <w:rsid w:val="00EB5D11"/>
    <w:rsid w:val="00EB5D61"/>
    <w:rsid w:val="00EB6510"/>
    <w:rsid w:val="00EB66E9"/>
    <w:rsid w:val="00EB7A7B"/>
    <w:rsid w:val="00EB7BE6"/>
    <w:rsid w:val="00EC04CC"/>
    <w:rsid w:val="00EC11FB"/>
    <w:rsid w:val="00EC144F"/>
    <w:rsid w:val="00EC20B3"/>
    <w:rsid w:val="00EC2220"/>
    <w:rsid w:val="00EC28A6"/>
    <w:rsid w:val="00EC3667"/>
    <w:rsid w:val="00EC4335"/>
    <w:rsid w:val="00EC4F09"/>
    <w:rsid w:val="00EC50A2"/>
    <w:rsid w:val="00EC5DD3"/>
    <w:rsid w:val="00EC6949"/>
    <w:rsid w:val="00EC69AB"/>
    <w:rsid w:val="00ED08E4"/>
    <w:rsid w:val="00ED0BA0"/>
    <w:rsid w:val="00ED1073"/>
    <w:rsid w:val="00ED2019"/>
    <w:rsid w:val="00ED208E"/>
    <w:rsid w:val="00ED253B"/>
    <w:rsid w:val="00ED2F79"/>
    <w:rsid w:val="00ED3419"/>
    <w:rsid w:val="00ED3712"/>
    <w:rsid w:val="00ED3CA1"/>
    <w:rsid w:val="00ED3EFC"/>
    <w:rsid w:val="00ED45B3"/>
    <w:rsid w:val="00ED4D87"/>
    <w:rsid w:val="00ED4F5A"/>
    <w:rsid w:val="00ED53FE"/>
    <w:rsid w:val="00ED5F14"/>
    <w:rsid w:val="00ED6BF7"/>
    <w:rsid w:val="00ED6E9E"/>
    <w:rsid w:val="00ED7777"/>
    <w:rsid w:val="00ED799F"/>
    <w:rsid w:val="00ED7DC0"/>
    <w:rsid w:val="00EE0135"/>
    <w:rsid w:val="00EE0320"/>
    <w:rsid w:val="00EE0DA3"/>
    <w:rsid w:val="00EE0FE6"/>
    <w:rsid w:val="00EE162B"/>
    <w:rsid w:val="00EE20B5"/>
    <w:rsid w:val="00EE2ADC"/>
    <w:rsid w:val="00EE2DF4"/>
    <w:rsid w:val="00EE2FC8"/>
    <w:rsid w:val="00EE323D"/>
    <w:rsid w:val="00EE37BE"/>
    <w:rsid w:val="00EE38DE"/>
    <w:rsid w:val="00EE3D98"/>
    <w:rsid w:val="00EE3DB8"/>
    <w:rsid w:val="00EE3E9E"/>
    <w:rsid w:val="00EE482C"/>
    <w:rsid w:val="00EE5FE7"/>
    <w:rsid w:val="00EE6085"/>
    <w:rsid w:val="00EE70F6"/>
    <w:rsid w:val="00EE7669"/>
    <w:rsid w:val="00EE7C5C"/>
    <w:rsid w:val="00EF00F9"/>
    <w:rsid w:val="00EF0963"/>
    <w:rsid w:val="00EF1046"/>
    <w:rsid w:val="00EF2B9B"/>
    <w:rsid w:val="00EF2E4C"/>
    <w:rsid w:val="00EF43B1"/>
    <w:rsid w:val="00EF4A05"/>
    <w:rsid w:val="00EF4F22"/>
    <w:rsid w:val="00EF4F28"/>
    <w:rsid w:val="00EF530C"/>
    <w:rsid w:val="00EF6C1C"/>
    <w:rsid w:val="00EF6D0F"/>
    <w:rsid w:val="00EF6F74"/>
    <w:rsid w:val="00EF72B8"/>
    <w:rsid w:val="00EF72EE"/>
    <w:rsid w:val="00EF736C"/>
    <w:rsid w:val="00EF738E"/>
    <w:rsid w:val="00EF7607"/>
    <w:rsid w:val="00EF77CB"/>
    <w:rsid w:val="00F007C4"/>
    <w:rsid w:val="00F01C50"/>
    <w:rsid w:val="00F01EE5"/>
    <w:rsid w:val="00F022E2"/>
    <w:rsid w:val="00F02EEB"/>
    <w:rsid w:val="00F0441E"/>
    <w:rsid w:val="00F04D1C"/>
    <w:rsid w:val="00F04FF8"/>
    <w:rsid w:val="00F05026"/>
    <w:rsid w:val="00F05057"/>
    <w:rsid w:val="00F059D5"/>
    <w:rsid w:val="00F0626E"/>
    <w:rsid w:val="00F064BA"/>
    <w:rsid w:val="00F07949"/>
    <w:rsid w:val="00F07A15"/>
    <w:rsid w:val="00F1028A"/>
    <w:rsid w:val="00F1109B"/>
    <w:rsid w:val="00F115F7"/>
    <w:rsid w:val="00F11B6F"/>
    <w:rsid w:val="00F13C1E"/>
    <w:rsid w:val="00F13FED"/>
    <w:rsid w:val="00F14186"/>
    <w:rsid w:val="00F14781"/>
    <w:rsid w:val="00F14AED"/>
    <w:rsid w:val="00F1595E"/>
    <w:rsid w:val="00F159BF"/>
    <w:rsid w:val="00F15A21"/>
    <w:rsid w:val="00F15ABF"/>
    <w:rsid w:val="00F15AE8"/>
    <w:rsid w:val="00F17C28"/>
    <w:rsid w:val="00F17E3C"/>
    <w:rsid w:val="00F17F99"/>
    <w:rsid w:val="00F201F6"/>
    <w:rsid w:val="00F205BA"/>
    <w:rsid w:val="00F20BF0"/>
    <w:rsid w:val="00F2106A"/>
    <w:rsid w:val="00F214BC"/>
    <w:rsid w:val="00F22C35"/>
    <w:rsid w:val="00F23BE1"/>
    <w:rsid w:val="00F23D98"/>
    <w:rsid w:val="00F24F78"/>
    <w:rsid w:val="00F26C57"/>
    <w:rsid w:val="00F27179"/>
    <w:rsid w:val="00F27225"/>
    <w:rsid w:val="00F30118"/>
    <w:rsid w:val="00F3057B"/>
    <w:rsid w:val="00F30FFC"/>
    <w:rsid w:val="00F3114F"/>
    <w:rsid w:val="00F31AD0"/>
    <w:rsid w:val="00F31E64"/>
    <w:rsid w:val="00F325A9"/>
    <w:rsid w:val="00F325CC"/>
    <w:rsid w:val="00F32F2E"/>
    <w:rsid w:val="00F34056"/>
    <w:rsid w:val="00F34864"/>
    <w:rsid w:val="00F34D56"/>
    <w:rsid w:val="00F34DA5"/>
    <w:rsid w:val="00F350EE"/>
    <w:rsid w:val="00F357DE"/>
    <w:rsid w:val="00F35846"/>
    <w:rsid w:val="00F35998"/>
    <w:rsid w:val="00F35F88"/>
    <w:rsid w:val="00F3612E"/>
    <w:rsid w:val="00F36789"/>
    <w:rsid w:val="00F36D50"/>
    <w:rsid w:val="00F37066"/>
    <w:rsid w:val="00F37126"/>
    <w:rsid w:val="00F37FE8"/>
    <w:rsid w:val="00F40247"/>
    <w:rsid w:val="00F4067B"/>
    <w:rsid w:val="00F42D34"/>
    <w:rsid w:val="00F4348C"/>
    <w:rsid w:val="00F43D15"/>
    <w:rsid w:val="00F44C76"/>
    <w:rsid w:val="00F45E44"/>
    <w:rsid w:val="00F45FDE"/>
    <w:rsid w:val="00F460A2"/>
    <w:rsid w:val="00F462E2"/>
    <w:rsid w:val="00F46BC7"/>
    <w:rsid w:val="00F46D94"/>
    <w:rsid w:val="00F47331"/>
    <w:rsid w:val="00F4766F"/>
    <w:rsid w:val="00F506D9"/>
    <w:rsid w:val="00F5080F"/>
    <w:rsid w:val="00F508C3"/>
    <w:rsid w:val="00F51A89"/>
    <w:rsid w:val="00F51FCB"/>
    <w:rsid w:val="00F52664"/>
    <w:rsid w:val="00F52C57"/>
    <w:rsid w:val="00F5363A"/>
    <w:rsid w:val="00F5378C"/>
    <w:rsid w:val="00F53801"/>
    <w:rsid w:val="00F54381"/>
    <w:rsid w:val="00F544B8"/>
    <w:rsid w:val="00F555F5"/>
    <w:rsid w:val="00F55809"/>
    <w:rsid w:val="00F56641"/>
    <w:rsid w:val="00F56834"/>
    <w:rsid w:val="00F56A31"/>
    <w:rsid w:val="00F60236"/>
    <w:rsid w:val="00F602FC"/>
    <w:rsid w:val="00F609E7"/>
    <w:rsid w:val="00F60D5A"/>
    <w:rsid w:val="00F61881"/>
    <w:rsid w:val="00F6238E"/>
    <w:rsid w:val="00F623B4"/>
    <w:rsid w:val="00F626F6"/>
    <w:rsid w:val="00F628E8"/>
    <w:rsid w:val="00F62E6D"/>
    <w:rsid w:val="00F63590"/>
    <w:rsid w:val="00F63817"/>
    <w:rsid w:val="00F63D33"/>
    <w:rsid w:val="00F63FF1"/>
    <w:rsid w:val="00F659B9"/>
    <w:rsid w:val="00F65B99"/>
    <w:rsid w:val="00F65F5F"/>
    <w:rsid w:val="00F66439"/>
    <w:rsid w:val="00F66454"/>
    <w:rsid w:val="00F66E29"/>
    <w:rsid w:val="00F6772E"/>
    <w:rsid w:val="00F704D9"/>
    <w:rsid w:val="00F70507"/>
    <w:rsid w:val="00F718C7"/>
    <w:rsid w:val="00F723E7"/>
    <w:rsid w:val="00F729B3"/>
    <w:rsid w:val="00F72F9B"/>
    <w:rsid w:val="00F73A76"/>
    <w:rsid w:val="00F73DD1"/>
    <w:rsid w:val="00F746B6"/>
    <w:rsid w:val="00F74844"/>
    <w:rsid w:val="00F74F11"/>
    <w:rsid w:val="00F75140"/>
    <w:rsid w:val="00F75218"/>
    <w:rsid w:val="00F75CE6"/>
    <w:rsid w:val="00F75E73"/>
    <w:rsid w:val="00F76419"/>
    <w:rsid w:val="00F76660"/>
    <w:rsid w:val="00F767EA"/>
    <w:rsid w:val="00F76DD4"/>
    <w:rsid w:val="00F7717C"/>
    <w:rsid w:val="00F7737E"/>
    <w:rsid w:val="00F77609"/>
    <w:rsid w:val="00F77B1E"/>
    <w:rsid w:val="00F807D8"/>
    <w:rsid w:val="00F80E07"/>
    <w:rsid w:val="00F8105F"/>
    <w:rsid w:val="00F8180B"/>
    <w:rsid w:val="00F8186A"/>
    <w:rsid w:val="00F81C4F"/>
    <w:rsid w:val="00F81FAC"/>
    <w:rsid w:val="00F821AD"/>
    <w:rsid w:val="00F83147"/>
    <w:rsid w:val="00F8344F"/>
    <w:rsid w:val="00F834ED"/>
    <w:rsid w:val="00F83810"/>
    <w:rsid w:val="00F839EF"/>
    <w:rsid w:val="00F844BA"/>
    <w:rsid w:val="00F84E54"/>
    <w:rsid w:val="00F85248"/>
    <w:rsid w:val="00F861A0"/>
    <w:rsid w:val="00F864C2"/>
    <w:rsid w:val="00F86C15"/>
    <w:rsid w:val="00F86D83"/>
    <w:rsid w:val="00F8721C"/>
    <w:rsid w:val="00F90726"/>
    <w:rsid w:val="00F90A07"/>
    <w:rsid w:val="00F90DF1"/>
    <w:rsid w:val="00F91A39"/>
    <w:rsid w:val="00F91EFE"/>
    <w:rsid w:val="00F92945"/>
    <w:rsid w:val="00F92BFE"/>
    <w:rsid w:val="00F92D97"/>
    <w:rsid w:val="00F93369"/>
    <w:rsid w:val="00F93D26"/>
    <w:rsid w:val="00F93F44"/>
    <w:rsid w:val="00F94CBB"/>
    <w:rsid w:val="00F9515B"/>
    <w:rsid w:val="00F9682D"/>
    <w:rsid w:val="00F96ACA"/>
    <w:rsid w:val="00F96E0A"/>
    <w:rsid w:val="00F970F3"/>
    <w:rsid w:val="00F9781C"/>
    <w:rsid w:val="00F97882"/>
    <w:rsid w:val="00FA0C4B"/>
    <w:rsid w:val="00FA1BA8"/>
    <w:rsid w:val="00FA20D6"/>
    <w:rsid w:val="00FA20F9"/>
    <w:rsid w:val="00FA2560"/>
    <w:rsid w:val="00FA25C8"/>
    <w:rsid w:val="00FA29B9"/>
    <w:rsid w:val="00FA2CA9"/>
    <w:rsid w:val="00FA3181"/>
    <w:rsid w:val="00FA3438"/>
    <w:rsid w:val="00FA3493"/>
    <w:rsid w:val="00FA3664"/>
    <w:rsid w:val="00FA48C3"/>
    <w:rsid w:val="00FA4983"/>
    <w:rsid w:val="00FA4E24"/>
    <w:rsid w:val="00FA59A0"/>
    <w:rsid w:val="00FA5BA2"/>
    <w:rsid w:val="00FA5E37"/>
    <w:rsid w:val="00FA659B"/>
    <w:rsid w:val="00FA671D"/>
    <w:rsid w:val="00FA6FC1"/>
    <w:rsid w:val="00FB0485"/>
    <w:rsid w:val="00FB0A0C"/>
    <w:rsid w:val="00FB0C99"/>
    <w:rsid w:val="00FB123D"/>
    <w:rsid w:val="00FB1719"/>
    <w:rsid w:val="00FB18FF"/>
    <w:rsid w:val="00FB209B"/>
    <w:rsid w:val="00FB39A3"/>
    <w:rsid w:val="00FB48FC"/>
    <w:rsid w:val="00FB4DC6"/>
    <w:rsid w:val="00FB5813"/>
    <w:rsid w:val="00FB63ED"/>
    <w:rsid w:val="00FB6874"/>
    <w:rsid w:val="00FB7170"/>
    <w:rsid w:val="00FB717E"/>
    <w:rsid w:val="00FB7725"/>
    <w:rsid w:val="00FC0247"/>
    <w:rsid w:val="00FC037C"/>
    <w:rsid w:val="00FC0A0D"/>
    <w:rsid w:val="00FC0A8B"/>
    <w:rsid w:val="00FC15A1"/>
    <w:rsid w:val="00FC2371"/>
    <w:rsid w:val="00FC23C7"/>
    <w:rsid w:val="00FC2F1E"/>
    <w:rsid w:val="00FC3234"/>
    <w:rsid w:val="00FC39D0"/>
    <w:rsid w:val="00FC605E"/>
    <w:rsid w:val="00FC6DB2"/>
    <w:rsid w:val="00FC6FB4"/>
    <w:rsid w:val="00FC712B"/>
    <w:rsid w:val="00FC716F"/>
    <w:rsid w:val="00FC73DF"/>
    <w:rsid w:val="00FC76CD"/>
    <w:rsid w:val="00FC77C2"/>
    <w:rsid w:val="00FC7DD4"/>
    <w:rsid w:val="00FD028A"/>
    <w:rsid w:val="00FD10A9"/>
    <w:rsid w:val="00FD2B87"/>
    <w:rsid w:val="00FD3760"/>
    <w:rsid w:val="00FD3786"/>
    <w:rsid w:val="00FD3988"/>
    <w:rsid w:val="00FD3B33"/>
    <w:rsid w:val="00FD4935"/>
    <w:rsid w:val="00FD4AD2"/>
    <w:rsid w:val="00FD4D98"/>
    <w:rsid w:val="00FD5204"/>
    <w:rsid w:val="00FD5FED"/>
    <w:rsid w:val="00FD614C"/>
    <w:rsid w:val="00FD62D8"/>
    <w:rsid w:val="00FD6AE9"/>
    <w:rsid w:val="00FD6C3C"/>
    <w:rsid w:val="00FE0355"/>
    <w:rsid w:val="00FE03DE"/>
    <w:rsid w:val="00FE0619"/>
    <w:rsid w:val="00FE102A"/>
    <w:rsid w:val="00FE176B"/>
    <w:rsid w:val="00FE1959"/>
    <w:rsid w:val="00FE2BE4"/>
    <w:rsid w:val="00FE3061"/>
    <w:rsid w:val="00FE32B3"/>
    <w:rsid w:val="00FE37F3"/>
    <w:rsid w:val="00FE43E3"/>
    <w:rsid w:val="00FE4AF5"/>
    <w:rsid w:val="00FE4B19"/>
    <w:rsid w:val="00FE569C"/>
    <w:rsid w:val="00FE5A56"/>
    <w:rsid w:val="00FE5CD8"/>
    <w:rsid w:val="00FE5E4C"/>
    <w:rsid w:val="00FE5F5A"/>
    <w:rsid w:val="00FE61DF"/>
    <w:rsid w:val="00FE7A0A"/>
    <w:rsid w:val="00FF07CA"/>
    <w:rsid w:val="00FF0C79"/>
    <w:rsid w:val="00FF140E"/>
    <w:rsid w:val="00FF17F6"/>
    <w:rsid w:val="00FF1F9A"/>
    <w:rsid w:val="00FF2A0D"/>
    <w:rsid w:val="00FF2BF1"/>
    <w:rsid w:val="00FF2CF8"/>
    <w:rsid w:val="00FF31F2"/>
    <w:rsid w:val="00FF36BE"/>
    <w:rsid w:val="00FF36F0"/>
    <w:rsid w:val="00FF3A80"/>
    <w:rsid w:val="00FF3EC0"/>
    <w:rsid w:val="00FF546D"/>
    <w:rsid w:val="00FF55D4"/>
    <w:rsid w:val="00FF5671"/>
    <w:rsid w:val="00FF5997"/>
    <w:rsid w:val="00FF5CF8"/>
    <w:rsid w:val="00FF64A1"/>
    <w:rsid w:val="00FF6F67"/>
    <w:rsid w:val="00FF74C3"/>
    <w:rsid w:val="00FF7D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mso-width-relative:margin;mso-height-relative:margin;v-text-anchor:bottom" fill="f" fillcolor="white" stroke="f">
      <v:fill color="white" on="f"/>
      <v:stroke weight=".5pt" on="f"/>
      <v:textbox inset="0,0,0,0"/>
    </o:shapedefaults>
    <o:shapelayout v:ext="edit">
      <o:idmap v:ext="edit" data="2"/>
    </o:shapelayout>
  </w:shapeDefaults>
  <w:decimalSymbol w:val="."/>
  <w:listSeparator w:val=","/>
  <w14:docId w14:val="42D95D8A"/>
  <w15:docId w15:val="{15D87F5D-46E0-48B1-B4E8-50801ABD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6234F"/>
    <w:pPr>
      <w:spacing w:after="200" w:line="276" w:lineRule="auto"/>
    </w:pPr>
    <w:rPr>
      <w:rFonts w:cs="Arial"/>
      <w:sz w:val="21"/>
      <w:szCs w:val="21"/>
    </w:rPr>
  </w:style>
  <w:style w:type="paragraph" w:styleId="Heading1">
    <w:name w:val="heading 1"/>
    <w:basedOn w:val="Normal"/>
    <w:next w:val="Normal"/>
    <w:link w:val="Heading1Char"/>
    <w:uiPriority w:val="9"/>
    <w:qFormat/>
    <w:rsid w:val="001C5683"/>
    <w:pPr>
      <w:keepNext/>
      <w:spacing w:after="180" w:line="240" w:lineRule="auto"/>
      <w:outlineLvl w:val="0"/>
    </w:pPr>
    <w:rPr>
      <w:bCs/>
      <w:noProof/>
      <w:color w:val="262626" w:themeColor="text1" w:themeTint="D9"/>
      <w:kern w:val="32"/>
      <w:sz w:val="40"/>
      <w:szCs w:val="40"/>
      <w:lang w:eastAsia="en-US"/>
    </w:rPr>
  </w:style>
  <w:style w:type="paragraph" w:styleId="Heading2">
    <w:name w:val="heading 2"/>
    <w:basedOn w:val="Normal"/>
    <w:next w:val="Normal"/>
    <w:link w:val="Heading2Char"/>
    <w:uiPriority w:val="9"/>
    <w:qFormat/>
    <w:rsid w:val="00392640"/>
    <w:pPr>
      <w:keepNext/>
      <w:spacing w:after="120" w:line="240" w:lineRule="auto"/>
      <w:outlineLvl w:val="1"/>
    </w:pPr>
    <w:rPr>
      <w:rFonts w:eastAsia="Calibri"/>
      <w:bCs/>
      <w:iCs/>
      <w:color w:val="595959" w:themeColor="text1" w:themeTint="A6"/>
      <w:sz w:val="32"/>
      <w:szCs w:val="32"/>
      <w:lang w:eastAsia="en-US"/>
    </w:rPr>
  </w:style>
  <w:style w:type="paragraph" w:styleId="Heading3">
    <w:name w:val="heading 3"/>
    <w:basedOn w:val="Normal"/>
    <w:next w:val="Normal"/>
    <w:link w:val="Heading3Char"/>
    <w:uiPriority w:val="9"/>
    <w:qFormat/>
    <w:rsid w:val="00215CB4"/>
    <w:pPr>
      <w:spacing w:after="120" w:line="240" w:lineRule="auto"/>
      <w:outlineLvl w:val="2"/>
    </w:pPr>
    <w:rPr>
      <w:bCs/>
      <w:sz w:val="26"/>
      <w:szCs w:val="26"/>
      <w:lang w:eastAsia="en-US"/>
    </w:rPr>
  </w:style>
  <w:style w:type="paragraph" w:styleId="Heading4">
    <w:name w:val="heading 4"/>
    <w:basedOn w:val="BodyText"/>
    <w:next w:val="Normal"/>
    <w:link w:val="Heading4Char"/>
    <w:uiPriority w:val="9"/>
    <w:unhideWhenUsed/>
    <w:qFormat/>
    <w:rsid w:val="00D21656"/>
    <w:pPr>
      <w:spacing w:after="40"/>
      <w:outlineLvl w:val="3"/>
    </w:pPr>
    <w:rPr>
      <w:rFonts w:eastAsia="Calibri"/>
      <w:b/>
      <w:sz w:val="23"/>
      <w:szCs w:val="23"/>
      <w:lang w:val="en-US" w:eastAsia="en-US"/>
    </w:rPr>
  </w:style>
  <w:style w:type="paragraph" w:styleId="Heading5">
    <w:name w:val="heading 5"/>
    <w:basedOn w:val="BodyText"/>
    <w:next w:val="Normal"/>
    <w:link w:val="Heading5Char"/>
    <w:uiPriority w:val="9"/>
    <w:unhideWhenUsed/>
    <w:qFormat/>
    <w:rsid w:val="00D21656"/>
    <w:pPr>
      <w:spacing w:after="40"/>
      <w:outlineLvl w:val="4"/>
    </w:pPr>
    <w:rPr>
      <w:rFonts w:eastAsia="Calibri"/>
      <w:b/>
      <w:i/>
      <w:lang w:val="en-US" w:eastAsia="en-US"/>
    </w:rPr>
  </w:style>
  <w:style w:type="paragraph" w:styleId="Heading6">
    <w:name w:val="heading 6"/>
    <w:basedOn w:val="Normal"/>
    <w:next w:val="Normal"/>
    <w:link w:val="Heading6Char"/>
    <w:uiPriority w:val="9"/>
    <w:unhideWhenUsed/>
    <w:qFormat/>
    <w:rsid w:val="009712CC"/>
    <w:pPr>
      <w:spacing w:before="240" w:after="60"/>
      <w:outlineLvl w:val="5"/>
    </w:pPr>
    <w:rPr>
      <w:rFonts w:cs="Times New Roman"/>
      <w:bCs/>
      <w:szCs w:val="22"/>
    </w:rPr>
  </w:style>
  <w:style w:type="paragraph" w:styleId="Heading7">
    <w:name w:val="heading 7"/>
    <w:basedOn w:val="TableFigure"/>
    <w:next w:val="Normal"/>
    <w:link w:val="Heading7Char"/>
    <w:uiPriority w:val="1"/>
    <w:unhideWhenUsed/>
    <w:qFormat/>
    <w:locked/>
    <w:rsid w:val="00E32AAD"/>
    <w:pPr>
      <w:outlineLvl w:val="6"/>
    </w:pPr>
    <w:rPr>
      <w:sz w:val="21"/>
      <w:szCs w:val="21"/>
    </w:rPr>
  </w:style>
  <w:style w:type="paragraph" w:styleId="Heading8">
    <w:name w:val="heading 8"/>
    <w:basedOn w:val="Normal"/>
    <w:next w:val="Normal"/>
    <w:link w:val="Heading8Char"/>
    <w:uiPriority w:val="1"/>
    <w:unhideWhenUsed/>
    <w:qFormat/>
    <w:locked/>
    <w:rsid w:val="008A10C1"/>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1"/>
    <w:unhideWhenUsed/>
    <w:qFormat/>
    <w:locked/>
    <w:rsid w:val="008A10C1"/>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92640"/>
    <w:rPr>
      <w:rFonts w:eastAsia="Calibri" w:cs="Arial"/>
      <w:bCs/>
      <w:iCs/>
      <w:color w:val="595959" w:themeColor="text1" w:themeTint="A6"/>
      <w:sz w:val="32"/>
      <w:szCs w:val="32"/>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uiPriority w:val="9"/>
    <w:rsid w:val="001C5683"/>
    <w:rPr>
      <w:rFonts w:cs="Arial"/>
      <w:bCs/>
      <w:noProof/>
      <w:color w:val="262626" w:themeColor="text1" w:themeTint="D9"/>
      <w:kern w:val="32"/>
      <w:sz w:val="40"/>
      <w:szCs w:val="40"/>
      <w:lang w:eastAsia="en-US"/>
    </w:rPr>
  </w:style>
  <w:style w:type="character" w:customStyle="1" w:styleId="Heading3Char">
    <w:name w:val="Heading 3 Char"/>
    <w:link w:val="Heading3"/>
    <w:uiPriority w:val="9"/>
    <w:rsid w:val="00215CB4"/>
    <w:rPr>
      <w:rFonts w:cs="Arial"/>
      <w:bCs/>
      <w:sz w:val="26"/>
      <w:szCs w:val="26"/>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uiPriority w:val="1"/>
    <w:qFormat/>
    <w:rsid w:val="00EE3D98"/>
  </w:style>
  <w:style w:type="character" w:customStyle="1" w:styleId="BodyTextChar">
    <w:name w:val="Body Text Char"/>
    <w:link w:val="BodyText"/>
    <w:uiPriority w:val="1"/>
    <w:rsid w:val="00EE3D98"/>
    <w:rPr>
      <w:rFonts w:ascii="Arial" w:hAnsi="Arial" w:cs="Arial"/>
      <w:sz w:val="21"/>
      <w:szCs w:val="21"/>
      <w:lang w:val="en-US"/>
    </w:rPr>
  </w:style>
  <w:style w:type="paragraph" w:styleId="Footer">
    <w:name w:val="footer"/>
    <w:basedOn w:val="Normal"/>
    <w:link w:val="FooterChar"/>
    <w:uiPriority w:val="99"/>
    <w:rsid w:val="00AD2753"/>
    <w:pPr>
      <w:tabs>
        <w:tab w:val="center" w:pos="4153"/>
        <w:tab w:val="right" w:pos="9639"/>
        <w:tab w:val="right" w:pos="14601"/>
      </w:tabs>
    </w:pPr>
    <w:rPr>
      <w:noProof/>
      <w:sz w:val="16"/>
      <w:szCs w:val="16"/>
    </w:rPr>
  </w:style>
  <w:style w:type="character" w:customStyle="1" w:styleId="FooterChar">
    <w:name w:val="Footer Char"/>
    <w:link w:val="Footer"/>
    <w:uiPriority w:val="99"/>
    <w:rsid w:val="00AD2753"/>
    <w:rPr>
      <w:rFonts w:cs="Arial"/>
      <w:noProof/>
      <w:sz w:val="16"/>
      <w:szCs w:val="16"/>
    </w:rPr>
  </w:style>
  <w:style w:type="paragraph" w:styleId="Header">
    <w:name w:val="header"/>
    <w:basedOn w:val="Normal"/>
    <w:link w:val="HeaderChar"/>
    <w:uiPriority w:val="99"/>
    <w:rsid w:val="009F5922"/>
    <w:pPr>
      <w:tabs>
        <w:tab w:val="center" w:pos="4153"/>
        <w:tab w:val="right" w:pos="8306"/>
      </w:tabs>
    </w:pPr>
    <w:rPr>
      <w:noProof/>
      <w:color w:val="7F7F7F" w:themeColor="text1" w:themeTint="80"/>
      <w:sz w:val="20"/>
    </w:rPr>
  </w:style>
  <w:style w:type="character" w:customStyle="1" w:styleId="HeaderChar">
    <w:name w:val="Header Char"/>
    <w:link w:val="Header"/>
    <w:uiPriority w:val="99"/>
    <w:rsid w:val="009F5922"/>
    <w:rPr>
      <w:rFonts w:cs="Arial"/>
      <w:noProof/>
      <w:color w:val="7F7F7F" w:themeColor="text1" w:themeTint="80"/>
      <w:szCs w:val="21"/>
      <w:lang w:val="en-US"/>
    </w:rPr>
  </w:style>
  <w:style w:type="paragraph" w:styleId="ListBullet">
    <w:name w:val="List Bullet"/>
    <w:basedOn w:val="Normal"/>
    <w:qFormat/>
    <w:rsid w:val="00F27225"/>
    <w:pPr>
      <w:numPr>
        <w:numId w:val="1"/>
      </w:numPr>
      <w:spacing w:after="120"/>
      <w:contextualSpacing/>
    </w:pPr>
  </w:style>
  <w:style w:type="paragraph" w:styleId="ListBullet2">
    <w:name w:val="List Bullet 2"/>
    <w:basedOn w:val="ListBullet"/>
    <w:qFormat/>
    <w:rsid w:val="00F27225"/>
    <w:pPr>
      <w:numPr>
        <w:numId w:val="0"/>
      </w:numPr>
    </w:pPr>
  </w:style>
  <w:style w:type="paragraph" w:styleId="ListNumber">
    <w:name w:val="List Number"/>
    <w:basedOn w:val="Normal"/>
    <w:rsid w:val="00F27225"/>
    <w:pPr>
      <w:numPr>
        <w:numId w:val="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uiPriority w:val="9"/>
    <w:rsid w:val="00D21656"/>
    <w:rPr>
      <w:rFonts w:eastAsia="Calibri" w:cs="Arial"/>
      <w:b/>
      <w:sz w:val="23"/>
      <w:szCs w:val="23"/>
      <w:lang w:val="en-US" w:eastAsia="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814EBE"/>
    <w:pPr>
      <w:shd w:val="clear" w:color="auto" w:fill="7F7F7F"/>
      <w:ind w:left="142"/>
    </w:pPr>
    <w:rPr>
      <w:rFonts w:cs="Arial"/>
      <w:color w:val="FFFFFF"/>
      <w:sz w:val="21"/>
      <w:szCs w:val="21"/>
      <w:lang w:val="en-US"/>
    </w:rPr>
  </w:style>
  <w:style w:type="paragraph" w:customStyle="1" w:styleId="Tabletext">
    <w:name w:val="Table text"/>
    <w:uiPriority w:val="99"/>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qFormat/>
    <w:rsid w:val="009C7777"/>
    <w:pPr>
      <w:tabs>
        <w:tab w:val="right" w:pos="10348"/>
      </w:tabs>
      <w:spacing w:before="120" w:after="0"/>
    </w:pPr>
    <w:rPr>
      <w:rFonts w:eastAsia="Calibri"/>
      <w:b/>
      <w:bCs/>
      <w:noProof/>
      <w:sz w:val="24"/>
      <w:szCs w:val="24"/>
    </w:rPr>
  </w:style>
  <w:style w:type="paragraph" w:styleId="TOC2">
    <w:name w:val="toc 2"/>
    <w:basedOn w:val="Normal"/>
    <w:next w:val="Normal"/>
    <w:autoRedefine/>
    <w:uiPriority w:val="39"/>
    <w:qFormat/>
    <w:rsid w:val="00B00C91"/>
    <w:pPr>
      <w:tabs>
        <w:tab w:val="right" w:pos="10348"/>
      </w:tabs>
      <w:spacing w:before="60" w:after="0"/>
      <w:ind w:left="210"/>
    </w:pPr>
    <w:rPr>
      <w:noProof/>
      <w:sz w:val="22"/>
      <w:szCs w:val="22"/>
    </w:rPr>
  </w:style>
  <w:style w:type="paragraph" w:styleId="TOC3">
    <w:name w:val="toc 3"/>
    <w:basedOn w:val="Normal"/>
    <w:next w:val="Normal"/>
    <w:autoRedefine/>
    <w:uiPriority w:val="39"/>
    <w:qFormat/>
    <w:rsid w:val="0033276A"/>
    <w:pPr>
      <w:spacing w:after="0"/>
      <w:ind w:left="420"/>
    </w:pPr>
    <w:rPr>
      <w:rFonts w:asciiTheme="minorHAnsi" w:hAnsiTheme="minorHAnsi"/>
      <w:sz w:val="20"/>
      <w:szCs w:val="20"/>
    </w:rPr>
  </w:style>
  <w:style w:type="paragraph" w:styleId="TOCHeading">
    <w:name w:val="TOC Heading"/>
    <w:next w:val="Normal"/>
    <w:uiPriority w:val="39"/>
    <w:unhideWhenUsed/>
    <w:qFormat/>
    <w:rsid w:val="00A62D66"/>
    <w:pPr>
      <w:pageBreakBefore/>
      <w:spacing w:after="180" w:line="276" w:lineRule="auto"/>
    </w:pPr>
    <w:rPr>
      <w:rFonts w:cs="Arial"/>
      <w:bCs/>
      <w:iCs/>
      <w:noProof/>
      <w:color w:val="000000" w:themeColor="text1"/>
      <w:sz w:val="36"/>
      <w:szCs w:val="36"/>
    </w:rPr>
  </w:style>
  <w:style w:type="character" w:styleId="Hyperlink">
    <w:name w:val="Hyperlink"/>
    <w:uiPriority w:val="99"/>
    <w:unhideWhenUsed/>
    <w:rsid w:val="00E1387B"/>
    <w:rPr>
      <w:color w:val="0000FF"/>
      <w:u w:val="single"/>
    </w:rPr>
  </w:style>
  <w:style w:type="character" w:styleId="Strong">
    <w:name w:val="Strong"/>
    <w:uiPriority w:val="22"/>
    <w:qFormat/>
    <w:rsid w:val="00A320B9"/>
    <w:rPr>
      <w:b/>
      <w:bCs/>
    </w:rPr>
  </w:style>
  <w:style w:type="table" w:styleId="TableGrid">
    <w:name w:val="Table Grid"/>
    <w:basedOn w:val="TableNormal"/>
    <w:uiPriority w:val="39"/>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E1387B"/>
    <w:pPr>
      <w:spacing w:after="500"/>
    </w:pPr>
    <w:rPr>
      <w:rFonts w:cs="Arial"/>
      <w:bCs/>
      <w:color w:val="FFFFFF"/>
      <w:kern w:val="32"/>
      <w:sz w:val="60"/>
      <w:szCs w:val="60"/>
      <w:lang w:val="en-US"/>
    </w:rPr>
  </w:style>
  <w:style w:type="paragraph" w:customStyle="1" w:styleId="Coverpageyear">
    <w:name w:val="Cover page: year"/>
    <w:qFormat/>
    <w:rsid w:val="00E1387B"/>
    <w:pPr>
      <w:spacing w:after="120"/>
    </w:pPr>
    <w:rPr>
      <w:rFonts w:cs="Arial"/>
      <w:color w:val="FFFFFF"/>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D21656"/>
    <w:rPr>
      <w:rFonts w:eastAsia="Calibri" w:cs="Arial"/>
      <w:b/>
      <w:i/>
      <w:sz w:val="21"/>
      <w:szCs w:val="21"/>
      <w:lang w:val="en-US" w:eastAsia="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6902E5"/>
    <w:pPr>
      <w:pBdr>
        <w:top w:val="single" w:sz="2" w:space="1" w:color="5C215E"/>
        <w:bottom w:val="single" w:sz="2" w:space="1" w:color="5C215E"/>
      </w:pBdr>
      <w:spacing w:before="300" w:after="300"/>
      <w:ind w:right="126"/>
    </w:pPr>
    <w:rPr>
      <w:i/>
      <w:color w:val="55C5CA"/>
      <w:sz w:val="24"/>
      <w:szCs w:val="24"/>
    </w:rPr>
  </w:style>
  <w:style w:type="character" w:customStyle="1" w:styleId="Heading6Char">
    <w:name w:val="Heading 6 Char"/>
    <w:link w:val="Heading6"/>
    <w:uiPriority w:val="1"/>
    <w:rsid w:val="009712CC"/>
    <w:rPr>
      <w:bCs/>
      <w:sz w:val="21"/>
      <w:szCs w:val="22"/>
    </w:rPr>
  </w:style>
  <w:style w:type="character" w:customStyle="1" w:styleId="Heading7Char">
    <w:name w:val="Heading 7 Char"/>
    <w:link w:val="Heading7"/>
    <w:uiPriority w:val="1"/>
    <w:rsid w:val="00E32AAD"/>
    <w:rPr>
      <w:rFonts w:cs="Arial"/>
      <w:i/>
      <w:color w:val="7F7F7F"/>
      <w:sz w:val="21"/>
      <w:szCs w:val="21"/>
      <w:lang w:val="en-US"/>
    </w:rPr>
  </w:style>
  <w:style w:type="character" w:customStyle="1" w:styleId="Heading8Char">
    <w:name w:val="Heading 8 Char"/>
    <w:link w:val="Heading8"/>
    <w:uiPriority w:val="1"/>
    <w:rsid w:val="008A10C1"/>
    <w:rPr>
      <w:rFonts w:ascii="Calibri" w:hAnsi="Calibri"/>
      <w:i/>
      <w:iCs/>
      <w:sz w:val="24"/>
      <w:szCs w:val="24"/>
    </w:rPr>
  </w:style>
  <w:style w:type="character" w:customStyle="1" w:styleId="Heading9Char">
    <w:name w:val="Heading 9 Char"/>
    <w:link w:val="Heading9"/>
    <w:uiPriority w:val="1"/>
    <w:rsid w:val="008A10C1"/>
    <w:rPr>
      <w:rFonts w:ascii="Cambria" w:hAnsi="Cambria"/>
      <w:sz w:val="22"/>
      <w:szCs w:val="22"/>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rPr>
  </w:style>
  <w:style w:type="paragraph" w:styleId="ListParagraph">
    <w:name w:val="List Paragraph"/>
    <w:aliases w:val="List Paragraph1,List Paragraph11,Recommendation,Bullet point,Bulleted List,NAST Quote,List Paragraph Number,Bulleted Para,NFP GP Bulleted List,bullet point list,L,Bullet points,Content descriptions,Bullet Point,List Paragraph2,Dot pt,列出段落"/>
    <w:basedOn w:val="Normal"/>
    <w:link w:val="ListParagraphChar"/>
    <w:uiPriority w:val="34"/>
    <w:qFormat/>
    <w:rsid w:val="00EC50A2"/>
    <w:pPr>
      <w:ind w:left="720"/>
      <w:contextualSpacing/>
    </w:pPr>
  </w:style>
  <w:style w:type="paragraph" w:customStyle="1" w:styleId="TableParagraph">
    <w:name w:val="Table Paragraph"/>
    <w:basedOn w:val="Normal"/>
    <w:uiPriority w:val="1"/>
    <w:qFormat/>
    <w:rsid w:val="00D53EA9"/>
    <w:pPr>
      <w:widowControl w:val="0"/>
      <w:spacing w:after="0" w:line="240" w:lineRule="auto"/>
    </w:pPr>
    <w:rPr>
      <w:rFonts w:ascii="Calibri" w:eastAsia="Calibri" w:hAnsi="Calibri" w:cs="Times New Roman"/>
      <w:sz w:val="22"/>
      <w:szCs w:val="22"/>
      <w:lang w:eastAsia="en-US"/>
    </w:rPr>
  </w:style>
  <w:style w:type="numbering" w:customStyle="1" w:styleId="NoList1">
    <w:name w:val="No List1"/>
    <w:next w:val="NoList"/>
    <w:uiPriority w:val="99"/>
    <w:semiHidden/>
    <w:unhideWhenUsed/>
    <w:rsid w:val="002C51CF"/>
  </w:style>
  <w:style w:type="numbering" w:customStyle="1" w:styleId="NoList2">
    <w:name w:val="No List2"/>
    <w:next w:val="NoList"/>
    <w:uiPriority w:val="99"/>
    <w:semiHidden/>
    <w:unhideWhenUsed/>
    <w:rsid w:val="00FB48FC"/>
  </w:style>
  <w:style w:type="numbering" w:customStyle="1" w:styleId="NoList3">
    <w:name w:val="No List3"/>
    <w:next w:val="NoList"/>
    <w:uiPriority w:val="99"/>
    <w:semiHidden/>
    <w:unhideWhenUsed/>
    <w:rsid w:val="00926340"/>
  </w:style>
  <w:style w:type="table" w:customStyle="1" w:styleId="TableGrid1">
    <w:name w:val="Table Grid1"/>
    <w:basedOn w:val="TableNormal"/>
    <w:next w:val="TableGrid"/>
    <w:uiPriority w:val="39"/>
    <w:rsid w:val="007F6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locked/>
    <w:rsid w:val="000B34FA"/>
    <w:pPr>
      <w:spacing w:after="0"/>
      <w:ind w:left="630"/>
    </w:pPr>
    <w:rPr>
      <w:rFonts w:asciiTheme="minorHAnsi" w:hAnsiTheme="minorHAnsi"/>
      <w:sz w:val="20"/>
      <w:szCs w:val="20"/>
    </w:rPr>
  </w:style>
  <w:style w:type="paragraph" w:styleId="TOC5">
    <w:name w:val="toc 5"/>
    <w:basedOn w:val="Normal"/>
    <w:next w:val="Normal"/>
    <w:autoRedefine/>
    <w:uiPriority w:val="39"/>
    <w:unhideWhenUsed/>
    <w:locked/>
    <w:rsid w:val="000B34FA"/>
    <w:pPr>
      <w:spacing w:after="0"/>
      <w:ind w:left="840"/>
    </w:pPr>
    <w:rPr>
      <w:rFonts w:asciiTheme="minorHAnsi" w:hAnsiTheme="minorHAnsi"/>
      <w:sz w:val="20"/>
      <w:szCs w:val="20"/>
    </w:rPr>
  </w:style>
  <w:style w:type="paragraph" w:styleId="TOC6">
    <w:name w:val="toc 6"/>
    <w:basedOn w:val="Normal"/>
    <w:next w:val="Normal"/>
    <w:autoRedefine/>
    <w:uiPriority w:val="39"/>
    <w:unhideWhenUsed/>
    <w:locked/>
    <w:rsid w:val="000B34FA"/>
    <w:pPr>
      <w:spacing w:after="0"/>
      <w:ind w:left="1050"/>
    </w:pPr>
    <w:rPr>
      <w:rFonts w:asciiTheme="minorHAnsi" w:hAnsiTheme="minorHAnsi"/>
      <w:sz w:val="20"/>
      <w:szCs w:val="20"/>
    </w:rPr>
  </w:style>
  <w:style w:type="paragraph" w:styleId="TOC7">
    <w:name w:val="toc 7"/>
    <w:basedOn w:val="Normal"/>
    <w:next w:val="Normal"/>
    <w:autoRedefine/>
    <w:uiPriority w:val="39"/>
    <w:unhideWhenUsed/>
    <w:locked/>
    <w:rsid w:val="000B34FA"/>
    <w:pPr>
      <w:spacing w:after="0"/>
      <w:ind w:left="1260"/>
    </w:pPr>
    <w:rPr>
      <w:rFonts w:asciiTheme="minorHAnsi" w:hAnsiTheme="minorHAnsi"/>
      <w:sz w:val="20"/>
      <w:szCs w:val="20"/>
    </w:rPr>
  </w:style>
  <w:style w:type="paragraph" w:styleId="TOC8">
    <w:name w:val="toc 8"/>
    <w:basedOn w:val="Normal"/>
    <w:next w:val="Normal"/>
    <w:autoRedefine/>
    <w:uiPriority w:val="39"/>
    <w:unhideWhenUsed/>
    <w:locked/>
    <w:rsid w:val="000B34FA"/>
    <w:pPr>
      <w:spacing w:after="0"/>
      <w:ind w:left="1470"/>
    </w:pPr>
    <w:rPr>
      <w:rFonts w:asciiTheme="minorHAnsi" w:hAnsiTheme="minorHAnsi"/>
      <w:sz w:val="20"/>
      <w:szCs w:val="20"/>
    </w:rPr>
  </w:style>
  <w:style w:type="paragraph" w:styleId="TOC9">
    <w:name w:val="toc 9"/>
    <w:basedOn w:val="Normal"/>
    <w:next w:val="Normal"/>
    <w:autoRedefine/>
    <w:uiPriority w:val="39"/>
    <w:unhideWhenUsed/>
    <w:locked/>
    <w:rsid w:val="000B34FA"/>
    <w:pPr>
      <w:spacing w:after="0"/>
      <w:ind w:left="1680"/>
    </w:pPr>
    <w:rPr>
      <w:rFonts w:asciiTheme="minorHAnsi" w:hAnsiTheme="minorHAnsi"/>
      <w:sz w:val="20"/>
      <w:szCs w:val="20"/>
    </w:rPr>
  </w:style>
  <w:style w:type="paragraph" w:styleId="NormalWeb">
    <w:name w:val="Normal (Web)"/>
    <w:basedOn w:val="Normal"/>
    <w:uiPriority w:val="99"/>
    <w:semiHidden/>
    <w:unhideWhenUsed/>
    <w:locked/>
    <w:rsid w:val="00421255"/>
    <w:pPr>
      <w:spacing w:before="120" w:after="24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locked/>
    <w:rsid w:val="00E05DD3"/>
    <w:rPr>
      <w:sz w:val="16"/>
      <w:szCs w:val="16"/>
    </w:rPr>
  </w:style>
  <w:style w:type="paragraph" w:styleId="CommentText">
    <w:name w:val="annotation text"/>
    <w:basedOn w:val="Normal"/>
    <w:link w:val="CommentTextChar"/>
    <w:uiPriority w:val="99"/>
    <w:unhideWhenUsed/>
    <w:locked/>
    <w:rsid w:val="00E05DD3"/>
    <w:pPr>
      <w:spacing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E05DD3"/>
    <w:rPr>
      <w:rFonts w:asciiTheme="minorHAnsi" w:eastAsiaTheme="minorHAnsi" w:hAnsiTheme="minorHAnsi" w:cstheme="minorBidi"/>
      <w:lang w:eastAsia="en-US"/>
    </w:rPr>
  </w:style>
  <w:style w:type="table" w:customStyle="1" w:styleId="TableGrid2">
    <w:name w:val="Table Grid2"/>
    <w:basedOn w:val="TableNormal"/>
    <w:next w:val="TableGrid"/>
    <w:uiPriority w:val="39"/>
    <w:rsid w:val="00995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D4B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E0619"/>
    <w:rPr>
      <w:color w:val="800080" w:themeColor="followedHyperlink"/>
      <w:u w:val="single"/>
    </w:rPr>
  </w:style>
  <w:style w:type="paragraph" w:styleId="CommentSubject">
    <w:name w:val="annotation subject"/>
    <w:basedOn w:val="CommentText"/>
    <w:next w:val="CommentText"/>
    <w:link w:val="CommentSubjectChar"/>
    <w:uiPriority w:val="99"/>
    <w:semiHidden/>
    <w:unhideWhenUsed/>
    <w:locked/>
    <w:rsid w:val="00161D6A"/>
    <w:pPr>
      <w:spacing w:after="200"/>
    </w:pPr>
    <w:rPr>
      <w:rFonts w:ascii="Arial" w:eastAsia="Times New Roman" w:hAnsi="Arial" w:cs="Arial"/>
      <w:b/>
      <w:bCs/>
      <w:lang w:val="en-US" w:eastAsia="en-AU"/>
    </w:rPr>
  </w:style>
  <w:style w:type="character" w:customStyle="1" w:styleId="CommentSubjectChar">
    <w:name w:val="Comment Subject Char"/>
    <w:basedOn w:val="CommentTextChar"/>
    <w:link w:val="CommentSubject"/>
    <w:uiPriority w:val="99"/>
    <w:semiHidden/>
    <w:rsid w:val="00161D6A"/>
    <w:rPr>
      <w:rFonts w:asciiTheme="minorHAnsi" w:eastAsiaTheme="minorHAnsi" w:hAnsiTheme="minorHAnsi" w:cs="Arial"/>
      <w:b/>
      <w:bCs/>
      <w:lang w:val="en-US" w:eastAsia="en-US"/>
    </w:rPr>
  </w:style>
  <w:style w:type="paragraph" w:styleId="Revision">
    <w:name w:val="Revision"/>
    <w:hidden/>
    <w:uiPriority w:val="99"/>
    <w:semiHidden/>
    <w:rsid w:val="00EB3875"/>
    <w:rPr>
      <w:rFonts w:cs="Arial"/>
      <w:sz w:val="21"/>
      <w:szCs w:val="21"/>
    </w:rPr>
  </w:style>
  <w:style w:type="numbering" w:customStyle="1" w:styleId="NoList4">
    <w:name w:val="No List4"/>
    <w:next w:val="NoList"/>
    <w:uiPriority w:val="99"/>
    <w:semiHidden/>
    <w:unhideWhenUsed/>
    <w:rsid w:val="00F86D83"/>
  </w:style>
  <w:style w:type="paragraph" w:customStyle="1" w:styleId="Default">
    <w:name w:val="Default"/>
    <w:rsid w:val="00B610F0"/>
    <w:pPr>
      <w:autoSpaceDE w:val="0"/>
      <w:autoSpaceDN w:val="0"/>
      <w:adjustRightInd w:val="0"/>
    </w:pPr>
    <w:rPr>
      <w:rFonts w:cs="Arial"/>
      <w:color w:val="000000"/>
      <w:sz w:val="24"/>
      <w:szCs w:val="24"/>
    </w:rPr>
  </w:style>
  <w:style w:type="character" w:styleId="FootnoteReference">
    <w:name w:val="footnote reference"/>
    <w:basedOn w:val="DefaultParagraphFont"/>
    <w:uiPriority w:val="99"/>
    <w:semiHidden/>
    <w:unhideWhenUsed/>
    <w:rsid w:val="00831F08"/>
    <w:rPr>
      <w:vertAlign w:val="superscript"/>
    </w:rPr>
  </w:style>
  <w:style w:type="character" w:customStyle="1" w:styleId="UnresolvedMention1">
    <w:name w:val="Unresolved Mention1"/>
    <w:basedOn w:val="DefaultParagraphFont"/>
    <w:uiPriority w:val="99"/>
    <w:semiHidden/>
    <w:unhideWhenUsed/>
    <w:rsid w:val="00FA0C4B"/>
    <w:rPr>
      <w:color w:val="605E5C"/>
      <w:shd w:val="clear" w:color="auto" w:fill="E1DFDD"/>
    </w:rPr>
  </w:style>
  <w:style w:type="numbering" w:customStyle="1" w:styleId="NoList5">
    <w:name w:val="No List5"/>
    <w:next w:val="NoList"/>
    <w:uiPriority w:val="99"/>
    <w:semiHidden/>
    <w:unhideWhenUsed/>
    <w:rsid w:val="00C90D37"/>
  </w:style>
  <w:style w:type="numbering" w:customStyle="1" w:styleId="NoList6">
    <w:name w:val="No List6"/>
    <w:next w:val="NoList"/>
    <w:uiPriority w:val="99"/>
    <w:semiHidden/>
    <w:unhideWhenUsed/>
    <w:rsid w:val="001426EA"/>
  </w:style>
  <w:style w:type="numbering" w:customStyle="1" w:styleId="NoList7">
    <w:name w:val="No List7"/>
    <w:next w:val="NoList"/>
    <w:uiPriority w:val="99"/>
    <w:semiHidden/>
    <w:unhideWhenUsed/>
    <w:rsid w:val="001426EA"/>
  </w:style>
  <w:style w:type="numbering" w:customStyle="1" w:styleId="NoList8">
    <w:name w:val="No List8"/>
    <w:next w:val="NoList"/>
    <w:uiPriority w:val="99"/>
    <w:semiHidden/>
    <w:unhideWhenUsed/>
    <w:rsid w:val="00A31C9B"/>
  </w:style>
  <w:style w:type="paragraph" w:customStyle="1" w:styleId="Paragraph">
    <w:name w:val="Paragraph"/>
    <w:basedOn w:val="Normal"/>
    <w:qFormat/>
    <w:rsid w:val="00C36502"/>
    <w:pPr>
      <w:overflowPunct w:val="0"/>
      <w:autoSpaceDE w:val="0"/>
      <w:autoSpaceDN w:val="0"/>
      <w:adjustRightInd w:val="0"/>
      <w:spacing w:line="240" w:lineRule="auto"/>
      <w:ind w:left="567" w:hanging="567"/>
    </w:pPr>
    <w:rPr>
      <w:rFonts w:cs="Times New Roman"/>
      <w:sz w:val="22"/>
      <w:szCs w:val="20"/>
      <w:lang w:eastAsia="en-US"/>
    </w:rPr>
  </w:style>
  <w:style w:type="character" w:styleId="Emphasis">
    <w:name w:val="Emphasis"/>
    <w:basedOn w:val="DefaultParagraphFont"/>
    <w:uiPriority w:val="20"/>
    <w:qFormat/>
    <w:locked/>
    <w:rsid w:val="00CA7961"/>
    <w:rPr>
      <w:i/>
      <w:iCs/>
    </w:rPr>
  </w:style>
  <w:style w:type="table" w:customStyle="1" w:styleId="TableGrid4">
    <w:name w:val="Table Grid4"/>
    <w:basedOn w:val="TableNormal"/>
    <w:next w:val="TableGrid"/>
    <w:uiPriority w:val="39"/>
    <w:rsid w:val="001656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56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30E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qFormat/>
    <w:rsid w:val="00C5313E"/>
    <w:pPr>
      <w:numPr>
        <w:numId w:val="7"/>
      </w:numPr>
      <w:spacing w:after="113"/>
      <w:ind w:left="360"/>
    </w:pPr>
    <w:rPr>
      <w:rFonts w:eastAsiaTheme="minorHAnsi" w:cs="Arial"/>
      <w:sz w:val="22"/>
      <w:szCs w:val="22"/>
      <w:lang w:eastAsia="en-US"/>
    </w:rPr>
  </w:style>
  <w:style w:type="paragraph" w:customStyle="1" w:styleId="Tablebody">
    <w:name w:val="Table body"/>
    <w:basedOn w:val="Normal"/>
    <w:qFormat/>
    <w:rsid w:val="00886227"/>
    <w:pPr>
      <w:spacing w:after="227" w:line="240" w:lineRule="auto"/>
    </w:pPr>
    <w:rPr>
      <w:rFonts w:eastAsiaTheme="minorHAnsi"/>
      <w:sz w:val="20"/>
      <w:szCs w:val="20"/>
      <w:lang w:eastAsia="en-US"/>
    </w:rPr>
  </w:style>
  <w:style w:type="table" w:customStyle="1" w:styleId="TableGrid7">
    <w:name w:val="Table Grid7"/>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844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532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532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7D2"/>
    <w:rPr>
      <w:color w:val="605E5C"/>
      <w:shd w:val="clear" w:color="auto" w:fill="E1DFDD"/>
    </w:rPr>
  </w:style>
  <w:style w:type="character" w:customStyle="1" w:styleId="ListParagraphChar">
    <w:name w:val="List Paragraph Char"/>
    <w:aliases w:val="List Paragraph1 Char,List Paragraph11 Char,Recommendation Char,Bullet point Char,Bulleted List Char,NAST Quote Char,List Paragraph Number Char,Bulleted Para Char,NFP GP Bulleted List Char,bullet point list Char,L Char,Dot pt Char"/>
    <w:link w:val="ListParagraph"/>
    <w:uiPriority w:val="34"/>
    <w:locked/>
    <w:rsid w:val="00C448A9"/>
    <w:rPr>
      <w:rFonts w:cs="Arial"/>
      <w:sz w:val="21"/>
      <w:szCs w:val="21"/>
    </w:rPr>
  </w:style>
  <w:style w:type="paragraph" w:customStyle="1" w:styleId="PortfolioBullet">
    <w:name w:val="Portfolio_Bullet"/>
    <w:basedOn w:val="Normal"/>
    <w:rsid w:val="007E08FD"/>
    <w:pPr>
      <w:keepLines/>
      <w:numPr>
        <w:numId w:val="8"/>
      </w:numPr>
      <w:spacing w:after="240" w:line="240" w:lineRule="auto"/>
      <w:jc w:val="both"/>
    </w:pPr>
    <w:rPr>
      <w:rFonts w:cs="Times New Roman"/>
      <w:sz w:val="22"/>
      <w:szCs w:val="20"/>
      <w:lang w:eastAsia="en-US"/>
    </w:rPr>
  </w:style>
  <w:style w:type="paragraph" w:customStyle="1" w:styleId="PortfolioBullet2">
    <w:name w:val="Portfolio_Bullet2"/>
    <w:basedOn w:val="Normal"/>
    <w:rsid w:val="007E08FD"/>
    <w:pPr>
      <w:keepLines/>
      <w:numPr>
        <w:ilvl w:val="1"/>
        <w:numId w:val="8"/>
      </w:numPr>
      <w:spacing w:after="240" w:line="240" w:lineRule="auto"/>
      <w:jc w:val="both"/>
    </w:pPr>
    <w:rPr>
      <w:rFonts w:cs="Times New Roman"/>
      <w:sz w:val="22"/>
      <w:szCs w:val="20"/>
      <w:lang w:eastAsia="en-US"/>
    </w:rPr>
  </w:style>
  <w:style w:type="paragraph" w:customStyle="1" w:styleId="PortfolioBullet3">
    <w:name w:val="Portfolio_Bullet3"/>
    <w:basedOn w:val="Normal"/>
    <w:rsid w:val="007E08FD"/>
    <w:pPr>
      <w:keepLines/>
      <w:numPr>
        <w:ilvl w:val="2"/>
        <w:numId w:val="8"/>
      </w:numPr>
      <w:spacing w:after="240" w:line="240" w:lineRule="auto"/>
      <w:jc w:val="both"/>
    </w:pPr>
    <w:rPr>
      <w:rFonts w:cs="Times New Roman"/>
      <w:sz w:val="22"/>
      <w:szCs w:val="20"/>
      <w:lang w:eastAsia="en-US"/>
    </w:rPr>
  </w:style>
  <w:style w:type="character" w:customStyle="1" w:styleId="normaltextrun1">
    <w:name w:val="normaltextrun1"/>
    <w:basedOn w:val="DefaultParagraphFont"/>
    <w:rsid w:val="00A1591D"/>
  </w:style>
  <w:style w:type="paragraph" w:customStyle="1" w:styleId="paragraph0">
    <w:name w:val="paragraph"/>
    <w:basedOn w:val="Normal"/>
    <w:rsid w:val="00A1591D"/>
    <w:pPr>
      <w:spacing w:after="0" w:line="240" w:lineRule="auto"/>
    </w:pPr>
    <w:rPr>
      <w:rFonts w:ascii="Times New Roman" w:hAnsi="Times New Roman" w:cs="Times New Roman"/>
      <w:sz w:val="24"/>
      <w:szCs w:val="24"/>
    </w:rPr>
  </w:style>
  <w:style w:type="character" w:customStyle="1" w:styleId="eop">
    <w:name w:val="eop"/>
    <w:basedOn w:val="DefaultParagraphFont"/>
    <w:rsid w:val="00A1591D"/>
  </w:style>
  <w:style w:type="paragraph" w:styleId="FootnoteText">
    <w:name w:val="footnote text"/>
    <w:basedOn w:val="Normal"/>
    <w:link w:val="FootnoteTextChar"/>
    <w:uiPriority w:val="99"/>
    <w:semiHidden/>
    <w:unhideWhenUsed/>
    <w:rsid w:val="00A159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591D"/>
    <w:rPr>
      <w:rFonts w:cs="Arial"/>
    </w:rPr>
  </w:style>
  <w:style w:type="numbering" w:customStyle="1" w:styleId="NoList9">
    <w:name w:val="No List9"/>
    <w:next w:val="NoList"/>
    <w:uiPriority w:val="99"/>
    <w:semiHidden/>
    <w:unhideWhenUsed/>
    <w:rsid w:val="000B582A"/>
  </w:style>
  <w:style w:type="table" w:customStyle="1" w:styleId="Tablestyle-header1">
    <w:name w:val="Table style - header1"/>
    <w:basedOn w:val="TableNormal"/>
    <w:uiPriority w:val="99"/>
    <w:rsid w:val="000B582A"/>
    <w:tblPr/>
  </w:style>
  <w:style w:type="table" w:customStyle="1" w:styleId="TableGrid13">
    <w:name w:val="Table Grid13"/>
    <w:basedOn w:val="TableNormal"/>
    <w:next w:val="TableGrid"/>
    <w:locked/>
    <w:rsid w:val="000B58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B582A"/>
  </w:style>
  <w:style w:type="numbering" w:customStyle="1" w:styleId="NoList21">
    <w:name w:val="No List21"/>
    <w:next w:val="NoList"/>
    <w:uiPriority w:val="99"/>
    <w:semiHidden/>
    <w:unhideWhenUsed/>
    <w:rsid w:val="000B582A"/>
  </w:style>
  <w:style w:type="numbering" w:customStyle="1" w:styleId="NoList31">
    <w:name w:val="No List31"/>
    <w:next w:val="NoList"/>
    <w:uiPriority w:val="99"/>
    <w:semiHidden/>
    <w:unhideWhenUsed/>
    <w:rsid w:val="000B582A"/>
  </w:style>
  <w:style w:type="table" w:customStyle="1" w:styleId="TableGrid14">
    <w:name w:val="Table Grid14"/>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B582A"/>
  </w:style>
  <w:style w:type="numbering" w:customStyle="1" w:styleId="NoList51">
    <w:name w:val="No List51"/>
    <w:next w:val="NoList"/>
    <w:uiPriority w:val="99"/>
    <w:semiHidden/>
    <w:unhideWhenUsed/>
    <w:rsid w:val="000B582A"/>
  </w:style>
  <w:style w:type="numbering" w:customStyle="1" w:styleId="NoList61">
    <w:name w:val="No List61"/>
    <w:next w:val="NoList"/>
    <w:uiPriority w:val="99"/>
    <w:semiHidden/>
    <w:unhideWhenUsed/>
    <w:rsid w:val="000B582A"/>
  </w:style>
  <w:style w:type="numbering" w:customStyle="1" w:styleId="NoList71">
    <w:name w:val="No List71"/>
    <w:next w:val="NoList"/>
    <w:uiPriority w:val="99"/>
    <w:semiHidden/>
    <w:unhideWhenUsed/>
    <w:rsid w:val="000B582A"/>
  </w:style>
  <w:style w:type="numbering" w:customStyle="1" w:styleId="NoList81">
    <w:name w:val="No List81"/>
    <w:next w:val="NoList"/>
    <w:uiPriority w:val="99"/>
    <w:semiHidden/>
    <w:unhideWhenUsed/>
    <w:rsid w:val="000B582A"/>
  </w:style>
  <w:style w:type="table" w:customStyle="1" w:styleId="TableGrid41">
    <w:name w:val="Table Grid4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qFormat/>
    <w:rsid w:val="0049054E"/>
    <w:rPr>
      <w:rFonts w:eastAsiaTheme="minorHAnsi" w:cs="Arial"/>
      <w:b/>
      <w:sz w:val="56"/>
      <w:szCs w:val="56"/>
      <w:lang w:eastAsia="en-US"/>
    </w:rPr>
  </w:style>
  <w:style w:type="paragraph" w:customStyle="1" w:styleId="H2">
    <w:name w:val="H2"/>
    <w:qFormat/>
    <w:rsid w:val="0049054E"/>
    <w:rPr>
      <w:rFonts w:eastAsiaTheme="minorHAnsi" w:cs="Arial"/>
      <w:b/>
      <w:sz w:val="32"/>
      <w:szCs w:val="32"/>
      <w:lang w:eastAsia="en-US"/>
    </w:rPr>
  </w:style>
  <w:style w:type="paragraph" w:customStyle="1" w:styleId="Bulletsindented">
    <w:name w:val="Bullets indented"/>
    <w:next w:val="Normal"/>
    <w:qFormat/>
    <w:rsid w:val="0049054E"/>
    <w:pPr>
      <w:ind w:left="1440" w:hanging="360"/>
    </w:pPr>
    <w:rPr>
      <w:rFonts w:eastAsiaTheme="minorHAnsi" w:cs="Arial"/>
      <w:sz w:val="22"/>
      <w:szCs w:val="22"/>
      <w:lang w:eastAsia="en-US"/>
    </w:rPr>
  </w:style>
  <w:style w:type="paragraph" w:customStyle="1" w:styleId="BasicParagraph">
    <w:name w:val="[Basic Paragraph]"/>
    <w:basedOn w:val="Normal"/>
    <w:uiPriority w:val="99"/>
    <w:rsid w:val="009E4C5F"/>
    <w:pPr>
      <w:autoSpaceDE w:val="0"/>
      <w:autoSpaceDN w:val="0"/>
      <w:adjustRightInd w:val="0"/>
      <w:spacing w:after="0" w:line="220" w:lineRule="atLeast"/>
      <w:textAlignment w:val="center"/>
    </w:pPr>
    <w:rPr>
      <w:rFonts w:ascii="MetaPro-Norm" w:eastAsia="Calibri" w:hAnsi="MetaPro-Norm" w:cs="MetaPro-Norm"/>
      <w:color w:val="000000"/>
      <w:sz w:val="18"/>
      <w:szCs w:val="18"/>
      <w:lang w:val="en-US" w:eastAsia="en-US"/>
    </w:rPr>
  </w:style>
  <w:style w:type="numbering" w:customStyle="1" w:styleId="NoList10">
    <w:name w:val="No List10"/>
    <w:next w:val="NoList"/>
    <w:uiPriority w:val="99"/>
    <w:semiHidden/>
    <w:unhideWhenUsed/>
    <w:rsid w:val="00AD5FC1"/>
  </w:style>
  <w:style w:type="paragraph" w:customStyle="1" w:styleId="Pa32">
    <w:name w:val="Pa32"/>
    <w:basedOn w:val="Default"/>
    <w:next w:val="Default"/>
    <w:uiPriority w:val="99"/>
    <w:rsid w:val="00C06A25"/>
    <w:pPr>
      <w:spacing w:line="201" w:lineRule="atLeast"/>
    </w:pPr>
    <w:rPr>
      <w:rFonts w:ascii="MetaPro-Bold" w:hAnsi="MetaPro-Bold" w:cs="Times New Roman"/>
      <w:color w:val="auto"/>
      <w:lang w:val="en-GB"/>
    </w:rPr>
  </w:style>
  <w:style w:type="paragraph" w:styleId="NoSpacing">
    <w:name w:val="No Spacing"/>
    <w:link w:val="NoSpacingChar"/>
    <w:uiPriority w:val="1"/>
    <w:qFormat/>
    <w:locked/>
    <w:rsid w:val="00C06A25"/>
    <w:rPr>
      <w:rFonts w:cs="Arial"/>
      <w:sz w:val="21"/>
      <w:szCs w:val="21"/>
    </w:rPr>
  </w:style>
  <w:style w:type="paragraph" w:customStyle="1" w:styleId="Pa33">
    <w:name w:val="Pa33"/>
    <w:basedOn w:val="Default"/>
    <w:next w:val="Default"/>
    <w:uiPriority w:val="99"/>
    <w:rsid w:val="00C06A25"/>
    <w:pPr>
      <w:spacing w:line="161" w:lineRule="atLeast"/>
    </w:pPr>
    <w:rPr>
      <w:rFonts w:ascii="MetaPro-Light" w:hAnsi="MetaPro-Light" w:cs="Times New Roman"/>
      <w:color w:val="auto"/>
      <w:lang w:val="en-GB"/>
    </w:rPr>
  </w:style>
  <w:style w:type="paragraph" w:customStyle="1" w:styleId="Chart">
    <w:name w:val="Chart"/>
    <w:qFormat/>
    <w:rsid w:val="00B93580"/>
    <w:pPr>
      <w:jc w:val="center"/>
    </w:pPr>
    <w:rPr>
      <w:rFonts w:cs="Arial"/>
      <w:color w:val="FFFFFF" w:themeColor="background1"/>
      <w:sz w:val="18"/>
      <w:szCs w:val="18"/>
    </w:rPr>
  </w:style>
  <w:style w:type="paragraph" w:customStyle="1" w:styleId="H1notlinked">
    <w:name w:val="H1 not linked"/>
    <w:qFormat/>
    <w:rsid w:val="00496BF5"/>
    <w:pPr>
      <w:spacing w:after="200"/>
    </w:pPr>
    <w:rPr>
      <w:rFonts w:eastAsia="Calibri" w:cs="Arial"/>
      <w:bCs/>
      <w:noProof/>
      <w:color w:val="262626" w:themeColor="text1" w:themeTint="D9"/>
      <w:kern w:val="32"/>
      <w:sz w:val="40"/>
      <w:szCs w:val="40"/>
      <w:lang w:eastAsia="en-US"/>
    </w:rPr>
  </w:style>
  <w:style w:type="numbering" w:customStyle="1" w:styleId="NoList12">
    <w:name w:val="No List12"/>
    <w:next w:val="NoList"/>
    <w:uiPriority w:val="99"/>
    <w:semiHidden/>
    <w:unhideWhenUsed/>
    <w:rsid w:val="00AC2714"/>
  </w:style>
  <w:style w:type="paragraph" w:customStyle="1" w:styleId="NoteIndent">
    <w:name w:val="Note Indent"/>
    <w:basedOn w:val="Normal"/>
    <w:uiPriority w:val="22"/>
    <w:qFormat/>
    <w:rsid w:val="00096BE4"/>
    <w:pPr>
      <w:numPr>
        <w:numId w:val="27"/>
      </w:numPr>
      <w:tabs>
        <w:tab w:val="left" w:pos="357"/>
      </w:tabs>
      <w:spacing w:before="60" w:after="60" w:line="264" w:lineRule="auto"/>
    </w:pPr>
    <w:rPr>
      <w:rFonts w:eastAsiaTheme="minorHAnsi" w:cstheme="minorBidi"/>
      <w:sz w:val="16"/>
      <w:szCs w:val="18"/>
      <w:lang w:eastAsia="en-US"/>
    </w:rPr>
  </w:style>
  <w:style w:type="character" w:customStyle="1" w:styleId="Italics">
    <w:name w:val="Italics"/>
    <w:basedOn w:val="DefaultParagraphFont"/>
    <w:uiPriority w:val="1"/>
    <w:qFormat/>
    <w:rsid w:val="00096BE4"/>
    <w:rPr>
      <w:i/>
    </w:rPr>
  </w:style>
  <w:style w:type="character" w:customStyle="1" w:styleId="Superscript">
    <w:name w:val="Superscript"/>
    <w:basedOn w:val="DefaultParagraphFont"/>
    <w:uiPriority w:val="1"/>
    <w:qFormat/>
    <w:rsid w:val="00096BE4"/>
    <w:rPr>
      <w:vertAlign w:val="superscript"/>
    </w:rPr>
  </w:style>
  <w:style w:type="paragraph" w:customStyle="1" w:styleId="CM131">
    <w:name w:val="CM131"/>
    <w:basedOn w:val="Default"/>
    <w:next w:val="Default"/>
    <w:uiPriority w:val="99"/>
    <w:rsid w:val="00BF0604"/>
    <w:rPr>
      <w:rFonts w:ascii="MetaPro-LightIta" w:hAnsi="MetaPro-LightIta" w:cs="Times New Roman"/>
      <w:color w:val="auto"/>
    </w:rPr>
  </w:style>
  <w:style w:type="paragraph" w:customStyle="1" w:styleId="ARINTROPARA">
    <w:name w:val="AR INTRO PARA"/>
    <w:basedOn w:val="BodyText"/>
    <w:qFormat/>
    <w:rsid w:val="009005AB"/>
    <w:pPr>
      <w:widowControl w:val="0"/>
      <w:suppressAutoHyphens/>
      <w:spacing w:after="240" w:line="288" w:lineRule="auto"/>
    </w:pPr>
    <w:rPr>
      <w:rFonts w:eastAsia="Arial" w:cstheme="minorBidi"/>
      <w:color w:val="C00000"/>
      <w:sz w:val="24"/>
      <w:szCs w:val="24"/>
      <w:lang w:val="en-US" w:eastAsia="en-US"/>
    </w:rPr>
  </w:style>
  <w:style w:type="table" w:customStyle="1" w:styleId="TableGrid101">
    <w:name w:val="Table Grid101"/>
    <w:basedOn w:val="TableNormal"/>
    <w:next w:val="TableGrid"/>
    <w:uiPriority w:val="39"/>
    <w:rsid w:val="00C77E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4192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5376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5376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B63F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34E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34E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23E99"/>
    <w:rPr>
      <w:rFonts w:cs="Arial"/>
      <w:sz w:val="21"/>
      <w:szCs w:val="21"/>
    </w:rPr>
  </w:style>
  <w:style w:type="numbering" w:customStyle="1" w:styleId="NoList13">
    <w:name w:val="No List13"/>
    <w:next w:val="NoList"/>
    <w:uiPriority w:val="99"/>
    <w:semiHidden/>
    <w:unhideWhenUsed/>
    <w:rsid w:val="00B9311E"/>
  </w:style>
  <w:style w:type="table" w:customStyle="1" w:styleId="TableGrid19">
    <w:name w:val="Table Grid19"/>
    <w:basedOn w:val="TableNormal"/>
    <w:next w:val="TableGrid"/>
    <w:uiPriority w:val="39"/>
    <w:rsid w:val="00B9311E"/>
    <w:rPr>
      <w:rFonts w:eastAsia="PMingLiU" w:cs="Arial"/>
      <w:color w:val="000000"/>
      <w:sz w:val="1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F101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550">
      <w:bodyDiv w:val="1"/>
      <w:marLeft w:val="0"/>
      <w:marRight w:val="0"/>
      <w:marTop w:val="0"/>
      <w:marBottom w:val="0"/>
      <w:divBdr>
        <w:top w:val="none" w:sz="0" w:space="0" w:color="auto"/>
        <w:left w:val="none" w:sz="0" w:space="0" w:color="auto"/>
        <w:bottom w:val="none" w:sz="0" w:space="0" w:color="auto"/>
        <w:right w:val="none" w:sz="0" w:space="0" w:color="auto"/>
      </w:divBdr>
    </w:div>
    <w:div w:id="82915713">
      <w:bodyDiv w:val="1"/>
      <w:marLeft w:val="0"/>
      <w:marRight w:val="0"/>
      <w:marTop w:val="0"/>
      <w:marBottom w:val="0"/>
      <w:divBdr>
        <w:top w:val="none" w:sz="0" w:space="0" w:color="auto"/>
        <w:left w:val="none" w:sz="0" w:space="0" w:color="auto"/>
        <w:bottom w:val="none" w:sz="0" w:space="0" w:color="auto"/>
        <w:right w:val="none" w:sz="0" w:space="0" w:color="auto"/>
      </w:divBdr>
    </w:div>
    <w:div w:id="94404039">
      <w:bodyDiv w:val="1"/>
      <w:marLeft w:val="0"/>
      <w:marRight w:val="0"/>
      <w:marTop w:val="0"/>
      <w:marBottom w:val="0"/>
      <w:divBdr>
        <w:top w:val="none" w:sz="0" w:space="0" w:color="auto"/>
        <w:left w:val="none" w:sz="0" w:space="0" w:color="auto"/>
        <w:bottom w:val="none" w:sz="0" w:space="0" w:color="auto"/>
        <w:right w:val="none" w:sz="0" w:space="0" w:color="auto"/>
      </w:divBdr>
    </w:div>
    <w:div w:id="104159672">
      <w:bodyDiv w:val="1"/>
      <w:marLeft w:val="0"/>
      <w:marRight w:val="0"/>
      <w:marTop w:val="0"/>
      <w:marBottom w:val="0"/>
      <w:divBdr>
        <w:top w:val="none" w:sz="0" w:space="0" w:color="auto"/>
        <w:left w:val="none" w:sz="0" w:space="0" w:color="auto"/>
        <w:bottom w:val="none" w:sz="0" w:space="0" w:color="auto"/>
        <w:right w:val="none" w:sz="0" w:space="0" w:color="auto"/>
      </w:divBdr>
      <w:divsChild>
        <w:div w:id="1397362629">
          <w:marLeft w:val="0"/>
          <w:marRight w:val="0"/>
          <w:marTop w:val="0"/>
          <w:marBottom w:val="0"/>
          <w:divBdr>
            <w:top w:val="none" w:sz="0" w:space="0" w:color="auto"/>
            <w:left w:val="none" w:sz="0" w:space="0" w:color="auto"/>
            <w:bottom w:val="none" w:sz="0" w:space="0" w:color="auto"/>
            <w:right w:val="none" w:sz="0" w:space="0" w:color="auto"/>
          </w:divBdr>
          <w:divsChild>
            <w:div w:id="841894582">
              <w:marLeft w:val="0"/>
              <w:marRight w:val="0"/>
              <w:marTop w:val="0"/>
              <w:marBottom w:val="0"/>
              <w:divBdr>
                <w:top w:val="none" w:sz="0" w:space="0" w:color="auto"/>
                <w:left w:val="none" w:sz="0" w:space="0" w:color="auto"/>
                <w:bottom w:val="none" w:sz="0" w:space="0" w:color="auto"/>
                <w:right w:val="none" w:sz="0" w:space="0" w:color="auto"/>
              </w:divBdr>
              <w:divsChild>
                <w:div w:id="576328073">
                  <w:marLeft w:val="0"/>
                  <w:marRight w:val="0"/>
                  <w:marTop w:val="0"/>
                  <w:marBottom w:val="0"/>
                  <w:divBdr>
                    <w:top w:val="none" w:sz="0" w:space="0" w:color="auto"/>
                    <w:left w:val="none" w:sz="0" w:space="0" w:color="auto"/>
                    <w:bottom w:val="none" w:sz="0" w:space="0" w:color="auto"/>
                    <w:right w:val="none" w:sz="0" w:space="0" w:color="auto"/>
                  </w:divBdr>
                  <w:divsChild>
                    <w:div w:id="144901121">
                      <w:marLeft w:val="0"/>
                      <w:marRight w:val="0"/>
                      <w:marTop w:val="0"/>
                      <w:marBottom w:val="0"/>
                      <w:divBdr>
                        <w:top w:val="none" w:sz="0" w:space="0" w:color="auto"/>
                        <w:left w:val="none" w:sz="0" w:space="0" w:color="auto"/>
                        <w:bottom w:val="none" w:sz="0" w:space="0" w:color="auto"/>
                        <w:right w:val="none" w:sz="0" w:space="0" w:color="auto"/>
                      </w:divBdr>
                      <w:divsChild>
                        <w:div w:id="277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31282">
      <w:bodyDiv w:val="1"/>
      <w:marLeft w:val="0"/>
      <w:marRight w:val="0"/>
      <w:marTop w:val="0"/>
      <w:marBottom w:val="0"/>
      <w:divBdr>
        <w:top w:val="none" w:sz="0" w:space="0" w:color="auto"/>
        <w:left w:val="none" w:sz="0" w:space="0" w:color="auto"/>
        <w:bottom w:val="none" w:sz="0" w:space="0" w:color="auto"/>
        <w:right w:val="none" w:sz="0" w:space="0" w:color="auto"/>
      </w:divBdr>
    </w:div>
    <w:div w:id="112867176">
      <w:bodyDiv w:val="1"/>
      <w:marLeft w:val="0"/>
      <w:marRight w:val="0"/>
      <w:marTop w:val="0"/>
      <w:marBottom w:val="0"/>
      <w:divBdr>
        <w:top w:val="none" w:sz="0" w:space="0" w:color="auto"/>
        <w:left w:val="none" w:sz="0" w:space="0" w:color="auto"/>
        <w:bottom w:val="none" w:sz="0" w:space="0" w:color="auto"/>
        <w:right w:val="none" w:sz="0" w:space="0" w:color="auto"/>
      </w:divBdr>
      <w:divsChild>
        <w:div w:id="1778527435">
          <w:marLeft w:val="0"/>
          <w:marRight w:val="0"/>
          <w:marTop w:val="0"/>
          <w:marBottom w:val="0"/>
          <w:divBdr>
            <w:top w:val="none" w:sz="0" w:space="0" w:color="auto"/>
            <w:left w:val="none" w:sz="0" w:space="0" w:color="auto"/>
            <w:bottom w:val="none" w:sz="0" w:space="0" w:color="auto"/>
            <w:right w:val="none" w:sz="0" w:space="0" w:color="auto"/>
          </w:divBdr>
          <w:divsChild>
            <w:div w:id="2067487323">
              <w:marLeft w:val="0"/>
              <w:marRight w:val="0"/>
              <w:marTop w:val="0"/>
              <w:marBottom w:val="0"/>
              <w:divBdr>
                <w:top w:val="none" w:sz="0" w:space="0" w:color="auto"/>
                <w:left w:val="none" w:sz="0" w:space="0" w:color="auto"/>
                <w:bottom w:val="none" w:sz="0" w:space="0" w:color="auto"/>
                <w:right w:val="none" w:sz="0" w:space="0" w:color="auto"/>
              </w:divBdr>
              <w:divsChild>
                <w:div w:id="212741246">
                  <w:marLeft w:val="0"/>
                  <w:marRight w:val="0"/>
                  <w:marTop w:val="0"/>
                  <w:marBottom w:val="0"/>
                  <w:divBdr>
                    <w:top w:val="none" w:sz="0" w:space="0" w:color="auto"/>
                    <w:left w:val="none" w:sz="0" w:space="0" w:color="auto"/>
                    <w:bottom w:val="none" w:sz="0" w:space="0" w:color="auto"/>
                    <w:right w:val="none" w:sz="0" w:space="0" w:color="auto"/>
                  </w:divBdr>
                  <w:divsChild>
                    <w:div w:id="1880048281">
                      <w:marLeft w:val="0"/>
                      <w:marRight w:val="0"/>
                      <w:marTop w:val="0"/>
                      <w:marBottom w:val="0"/>
                      <w:divBdr>
                        <w:top w:val="none" w:sz="0" w:space="0" w:color="auto"/>
                        <w:left w:val="none" w:sz="0" w:space="0" w:color="auto"/>
                        <w:bottom w:val="none" w:sz="0" w:space="0" w:color="auto"/>
                        <w:right w:val="none" w:sz="0" w:space="0" w:color="auto"/>
                      </w:divBdr>
                      <w:divsChild>
                        <w:div w:id="1430617647">
                          <w:marLeft w:val="340"/>
                          <w:marRight w:val="0"/>
                          <w:marTop w:val="300"/>
                          <w:marBottom w:val="120"/>
                          <w:divBdr>
                            <w:top w:val="none" w:sz="0" w:space="0" w:color="auto"/>
                            <w:left w:val="none" w:sz="0" w:space="0" w:color="auto"/>
                            <w:bottom w:val="none" w:sz="0" w:space="0" w:color="auto"/>
                            <w:right w:val="none" w:sz="0" w:space="0" w:color="auto"/>
                          </w:divBdr>
                          <w:divsChild>
                            <w:div w:id="2081950232">
                              <w:marLeft w:val="0"/>
                              <w:marRight w:val="0"/>
                              <w:marTop w:val="0"/>
                              <w:marBottom w:val="0"/>
                              <w:divBdr>
                                <w:top w:val="none" w:sz="0" w:space="0" w:color="auto"/>
                                <w:left w:val="none" w:sz="0" w:space="0" w:color="auto"/>
                                <w:bottom w:val="none" w:sz="0" w:space="0" w:color="auto"/>
                                <w:right w:val="none" w:sz="0" w:space="0" w:color="auto"/>
                              </w:divBdr>
                              <w:divsChild>
                                <w:div w:id="249169680">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381250876">
                                      <w:blockQuote w:val="1"/>
                                      <w:marLeft w:val="600"/>
                                      <w:marRight w:val="0"/>
                                      <w:marTop w:val="120"/>
                                      <w:marBottom w:val="120"/>
                                      <w:divBdr>
                                        <w:top w:val="none" w:sz="0" w:space="0" w:color="auto"/>
                                        <w:left w:val="none" w:sz="0" w:space="0" w:color="auto"/>
                                        <w:bottom w:val="none" w:sz="0" w:space="0" w:color="auto"/>
                                        <w:right w:val="none" w:sz="0" w:space="0" w:color="auto"/>
                                      </w:divBdr>
                                    </w:div>
                                    <w:div w:id="119996933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34957">
      <w:bodyDiv w:val="1"/>
      <w:marLeft w:val="0"/>
      <w:marRight w:val="0"/>
      <w:marTop w:val="0"/>
      <w:marBottom w:val="0"/>
      <w:divBdr>
        <w:top w:val="none" w:sz="0" w:space="0" w:color="auto"/>
        <w:left w:val="none" w:sz="0" w:space="0" w:color="auto"/>
        <w:bottom w:val="none" w:sz="0" w:space="0" w:color="auto"/>
        <w:right w:val="none" w:sz="0" w:space="0" w:color="auto"/>
      </w:divBdr>
      <w:divsChild>
        <w:div w:id="1950308291">
          <w:marLeft w:val="0"/>
          <w:marRight w:val="0"/>
          <w:marTop w:val="0"/>
          <w:marBottom w:val="0"/>
          <w:divBdr>
            <w:top w:val="none" w:sz="0" w:space="0" w:color="auto"/>
            <w:left w:val="none" w:sz="0" w:space="0" w:color="auto"/>
            <w:bottom w:val="none" w:sz="0" w:space="0" w:color="auto"/>
            <w:right w:val="none" w:sz="0" w:space="0" w:color="auto"/>
          </w:divBdr>
          <w:divsChild>
            <w:div w:id="1650209034">
              <w:marLeft w:val="0"/>
              <w:marRight w:val="0"/>
              <w:marTop w:val="0"/>
              <w:marBottom w:val="0"/>
              <w:divBdr>
                <w:top w:val="none" w:sz="0" w:space="0" w:color="auto"/>
                <w:left w:val="none" w:sz="0" w:space="0" w:color="auto"/>
                <w:bottom w:val="none" w:sz="0" w:space="0" w:color="auto"/>
                <w:right w:val="none" w:sz="0" w:space="0" w:color="auto"/>
              </w:divBdr>
              <w:divsChild>
                <w:div w:id="258485761">
                  <w:marLeft w:val="0"/>
                  <w:marRight w:val="0"/>
                  <w:marTop w:val="0"/>
                  <w:marBottom w:val="0"/>
                  <w:divBdr>
                    <w:top w:val="none" w:sz="0" w:space="0" w:color="auto"/>
                    <w:left w:val="none" w:sz="0" w:space="0" w:color="auto"/>
                    <w:bottom w:val="none" w:sz="0" w:space="0" w:color="auto"/>
                    <w:right w:val="none" w:sz="0" w:space="0" w:color="auto"/>
                  </w:divBdr>
                  <w:divsChild>
                    <w:div w:id="2045476506">
                      <w:marLeft w:val="0"/>
                      <w:marRight w:val="0"/>
                      <w:marTop w:val="0"/>
                      <w:marBottom w:val="0"/>
                      <w:divBdr>
                        <w:top w:val="none" w:sz="0" w:space="0" w:color="auto"/>
                        <w:left w:val="none" w:sz="0" w:space="0" w:color="auto"/>
                        <w:bottom w:val="none" w:sz="0" w:space="0" w:color="auto"/>
                        <w:right w:val="none" w:sz="0" w:space="0" w:color="auto"/>
                      </w:divBdr>
                      <w:divsChild>
                        <w:div w:id="3905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08720">
      <w:bodyDiv w:val="1"/>
      <w:marLeft w:val="0"/>
      <w:marRight w:val="0"/>
      <w:marTop w:val="0"/>
      <w:marBottom w:val="0"/>
      <w:divBdr>
        <w:top w:val="none" w:sz="0" w:space="0" w:color="auto"/>
        <w:left w:val="none" w:sz="0" w:space="0" w:color="auto"/>
        <w:bottom w:val="none" w:sz="0" w:space="0" w:color="auto"/>
        <w:right w:val="none" w:sz="0" w:space="0" w:color="auto"/>
      </w:divBdr>
      <w:divsChild>
        <w:div w:id="263996087">
          <w:marLeft w:val="0"/>
          <w:marRight w:val="0"/>
          <w:marTop w:val="0"/>
          <w:marBottom w:val="0"/>
          <w:divBdr>
            <w:top w:val="none" w:sz="0" w:space="0" w:color="auto"/>
            <w:left w:val="none" w:sz="0" w:space="0" w:color="auto"/>
            <w:bottom w:val="none" w:sz="0" w:space="0" w:color="auto"/>
            <w:right w:val="none" w:sz="0" w:space="0" w:color="auto"/>
          </w:divBdr>
          <w:divsChild>
            <w:div w:id="365713318">
              <w:marLeft w:val="0"/>
              <w:marRight w:val="0"/>
              <w:marTop w:val="0"/>
              <w:marBottom w:val="0"/>
              <w:divBdr>
                <w:top w:val="none" w:sz="0" w:space="0" w:color="auto"/>
                <w:left w:val="none" w:sz="0" w:space="0" w:color="auto"/>
                <w:bottom w:val="none" w:sz="0" w:space="0" w:color="auto"/>
                <w:right w:val="none" w:sz="0" w:space="0" w:color="auto"/>
              </w:divBdr>
              <w:divsChild>
                <w:div w:id="1717729919">
                  <w:marLeft w:val="0"/>
                  <w:marRight w:val="0"/>
                  <w:marTop w:val="0"/>
                  <w:marBottom w:val="0"/>
                  <w:divBdr>
                    <w:top w:val="none" w:sz="0" w:space="0" w:color="auto"/>
                    <w:left w:val="none" w:sz="0" w:space="0" w:color="auto"/>
                    <w:bottom w:val="none" w:sz="0" w:space="0" w:color="auto"/>
                    <w:right w:val="none" w:sz="0" w:space="0" w:color="auto"/>
                  </w:divBdr>
                  <w:divsChild>
                    <w:div w:id="2147040046">
                      <w:marLeft w:val="0"/>
                      <w:marRight w:val="0"/>
                      <w:marTop w:val="0"/>
                      <w:marBottom w:val="0"/>
                      <w:divBdr>
                        <w:top w:val="none" w:sz="0" w:space="0" w:color="auto"/>
                        <w:left w:val="none" w:sz="0" w:space="0" w:color="auto"/>
                        <w:bottom w:val="none" w:sz="0" w:space="0" w:color="auto"/>
                        <w:right w:val="none" w:sz="0" w:space="0" w:color="auto"/>
                      </w:divBdr>
                      <w:divsChild>
                        <w:div w:id="907764773">
                          <w:marLeft w:val="340"/>
                          <w:marRight w:val="0"/>
                          <w:marTop w:val="300"/>
                          <w:marBottom w:val="120"/>
                          <w:divBdr>
                            <w:top w:val="none" w:sz="0" w:space="0" w:color="auto"/>
                            <w:left w:val="none" w:sz="0" w:space="0" w:color="auto"/>
                            <w:bottom w:val="none" w:sz="0" w:space="0" w:color="auto"/>
                            <w:right w:val="none" w:sz="0" w:space="0" w:color="auto"/>
                          </w:divBdr>
                          <w:divsChild>
                            <w:div w:id="82378970">
                              <w:marLeft w:val="0"/>
                              <w:marRight w:val="0"/>
                              <w:marTop w:val="0"/>
                              <w:marBottom w:val="0"/>
                              <w:divBdr>
                                <w:top w:val="none" w:sz="0" w:space="0" w:color="auto"/>
                                <w:left w:val="none" w:sz="0" w:space="0" w:color="auto"/>
                                <w:bottom w:val="none" w:sz="0" w:space="0" w:color="auto"/>
                                <w:right w:val="none" w:sz="0" w:space="0" w:color="auto"/>
                              </w:divBdr>
                              <w:divsChild>
                                <w:div w:id="953290109">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84096301">
                                      <w:blockQuote w:val="1"/>
                                      <w:marLeft w:val="600"/>
                                      <w:marRight w:val="0"/>
                                      <w:marTop w:val="120"/>
                                      <w:marBottom w:val="120"/>
                                      <w:divBdr>
                                        <w:top w:val="none" w:sz="0" w:space="0" w:color="auto"/>
                                        <w:left w:val="none" w:sz="0" w:space="0" w:color="auto"/>
                                        <w:bottom w:val="none" w:sz="0" w:space="0" w:color="auto"/>
                                        <w:right w:val="none" w:sz="0" w:space="0" w:color="auto"/>
                                      </w:divBdr>
                                    </w:div>
                                    <w:div w:id="971716650">
                                      <w:blockQuote w:val="1"/>
                                      <w:marLeft w:val="600"/>
                                      <w:marRight w:val="0"/>
                                      <w:marTop w:val="120"/>
                                      <w:marBottom w:val="120"/>
                                      <w:divBdr>
                                        <w:top w:val="none" w:sz="0" w:space="0" w:color="auto"/>
                                        <w:left w:val="none" w:sz="0" w:space="0" w:color="auto"/>
                                        <w:bottom w:val="none" w:sz="0" w:space="0" w:color="auto"/>
                                        <w:right w:val="none" w:sz="0" w:space="0" w:color="auto"/>
                                      </w:divBdr>
                                    </w:div>
                                    <w:div w:id="1079713437">
                                      <w:blockQuote w:val="1"/>
                                      <w:marLeft w:val="600"/>
                                      <w:marRight w:val="0"/>
                                      <w:marTop w:val="120"/>
                                      <w:marBottom w:val="120"/>
                                      <w:divBdr>
                                        <w:top w:val="none" w:sz="0" w:space="0" w:color="auto"/>
                                        <w:left w:val="none" w:sz="0" w:space="0" w:color="auto"/>
                                        <w:bottom w:val="none" w:sz="0" w:space="0" w:color="auto"/>
                                        <w:right w:val="none" w:sz="0" w:space="0" w:color="auto"/>
                                      </w:divBdr>
                                    </w:div>
                                    <w:div w:id="152247141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045305">
      <w:bodyDiv w:val="1"/>
      <w:marLeft w:val="0"/>
      <w:marRight w:val="0"/>
      <w:marTop w:val="0"/>
      <w:marBottom w:val="0"/>
      <w:divBdr>
        <w:top w:val="none" w:sz="0" w:space="0" w:color="auto"/>
        <w:left w:val="none" w:sz="0" w:space="0" w:color="auto"/>
        <w:bottom w:val="none" w:sz="0" w:space="0" w:color="auto"/>
        <w:right w:val="none" w:sz="0" w:space="0" w:color="auto"/>
      </w:divBdr>
    </w:div>
    <w:div w:id="239481552">
      <w:bodyDiv w:val="1"/>
      <w:marLeft w:val="0"/>
      <w:marRight w:val="0"/>
      <w:marTop w:val="0"/>
      <w:marBottom w:val="0"/>
      <w:divBdr>
        <w:top w:val="none" w:sz="0" w:space="0" w:color="auto"/>
        <w:left w:val="none" w:sz="0" w:space="0" w:color="auto"/>
        <w:bottom w:val="none" w:sz="0" w:space="0" w:color="auto"/>
        <w:right w:val="none" w:sz="0" w:space="0" w:color="auto"/>
      </w:divBdr>
    </w:div>
    <w:div w:id="251553190">
      <w:bodyDiv w:val="1"/>
      <w:marLeft w:val="0"/>
      <w:marRight w:val="0"/>
      <w:marTop w:val="0"/>
      <w:marBottom w:val="0"/>
      <w:divBdr>
        <w:top w:val="none" w:sz="0" w:space="0" w:color="auto"/>
        <w:left w:val="none" w:sz="0" w:space="0" w:color="auto"/>
        <w:bottom w:val="none" w:sz="0" w:space="0" w:color="auto"/>
        <w:right w:val="none" w:sz="0" w:space="0" w:color="auto"/>
      </w:divBdr>
    </w:div>
    <w:div w:id="289556923">
      <w:bodyDiv w:val="1"/>
      <w:marLeft w:val="0"/>
      <w:marRight w:val="0"/>
      <w:marTop w:val="0"/>
      <w:marBottom w:val="0"/>
      <w:divBdr>
        <w:top w:val="none" w:sz="0" w:space="0" w:color="auto"/>
        <w:left w:val="none" w:sz="0" w:space="0" w:color="auto"/>
        <w:bottom w:val="none" w:sz="0" w:space="0" w:color="auto"/>
        <w:right w:val="none" w:sz="0" w:space="0" w:color="auto"/>
      </w:divBdr>
    </w:div>
    <w:div w:id="30115812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79326179">
      <w:bodyDiv w:val="1"/>
      <w:marLeft w:val="0"/>
      <w:marRight w:val="0"/>
      <w:marTop w:val="0"/>
      <w:marBottom w:val="0"/>
      <w:divBdr>
        <w:top w:val="none" w:sz="0" w:space="0" w:color="auto"/>
        <w:left w:val="none" w:sz="0" w:space="0" w:color="auto"/>
        <w:bottom w:val="none" w:sz="0" w:space="0" w:color="auto"/>
        <w:right w:val="none" w:sz="0" w:space="0" w:color="auto"/>
      </w:divBdr>
    </w:div>
    <w:div w:id="387145628">
      <w:bodyDiv w:val="1"/>
      <w:marLeft w:val="0"/>
      <w:marRight w:val="0"/>
      <w:marTop w:val="0"/>
      <w:marBottom w:val="0"/>
      <w:divBdr>
        <w:top w:val="none" w:sz="0" w:space="0" w:color="auto"/>
        <w:left w:val="none" w:sz="0" w:space="0" w:color="auto"/>
        <w:bottom w:val="none" w:sz="0" w:space="0" w:color="auto"/>
        <w:right w:val="none" w:sz="0" w:space="0" w:color="auto"/>
      </w:divBdr>
    </w:div>
    <w:div w:id="389038005">
      <w:bodyDiv w:val="1"/>
      <w:marLeft w:val="0"/>
      <w:marRight w:val="0"/>
      <w:marTop w:val="0"/>
      <w:marBottom w:val="0"/>
      <w:divBdr>
        <w:top w:val="none" w:sz="0" w:space="0" w:color="auto"/>
        <w:left w:val="none" w:sz="0" w:space="0" w:color="auto"/>
        <w:bottom w:val="none" w:sz="0" w:space="0" w:color="auto"/>
        <w:right w:val="none" w:sz="0" w:space="0" w:color="auto"/>
      </w:divBdr>
    </w:div>
    <w:div w:id="401029405">
      <w:bodyDiv w:val="1"/>
      <w:marLeft w:val="0"/>
      <w:marRight w:val="0"/>
      <w:marTop w:val="0"/>
      <w:marBottom w:val="0"/>
      <w:divBdr>
        <w:top w:val="none" w:sz="0" w:space="0" w:color="auto"/>
        <w:left w:val="none" w:sz="0" w:space="0" w:color="auto"/>
        <w:bottom w:val="none" w:sz="0" w:space="0" w:color="auto"/>
        <w:right w:val="none" w:sz="0" w:space="0" w:color="auto"/>
      </w:divBdr>
      <w:divsChild>
        <w:div w:id="1577127951">
          <w:marLeft w:val="0"/>
          <w:marRight w:val="0"/>
          <w:marTop w:val="0"/>
          <w:marBottom w:val="0"/>
          <w:divBdr>
            <w:top w:val="none" w:sz="0" w:space="0" w:color="auto"/>
            <w:left w:val="none" w:sz="0" w:space="0" w:color="auto"/>
            <w:bottom w:val="none" w:sz="0" w:space="0" w:color="auto"/>
            <w:right w:val="none" w:sz="0" w:space="0" w:color="auto"/>
          </w:divBdr>
          <w:divsChild>
            <w:div w:id="805315305">
              <w:marLeft w:val="0"/>
              <w:marRight w:val="0"/>
              <w:marTop w:val="0"/>
              <w:marBottom w:val="0"/>
              <w:divBdr>
                <w:top w:val="none" w:sz="0" w:space="0" w:color="auto"/>
                <w:left w:val="none" w:sz="0" w:space="0" w:color="auto"/>
                <w:bottom w:val="none" w:sz="0" w:space="0" w:color="auto"/>
                <w:right w:val="none" w:sz="0" w:space="0" w:color="auto"/>
              </w:divBdr>
              <w:divsChild>
                <w:div w:id="1610773617">
                  <w:marLeft w:val="-375"/>
                  <w:marRight w:val="-375"/>
                  <w:marTop w:val="0"/>
                  <w:marBottom w:val="0"/>
                  <w:divBdr>
                    <w:top w:val="none" w:sz="0" w:space="0" w:color="auto"/>
                    <w:left w:val="none" w:sz="0" w:space="0" w:color="auto"/>
                    <w:bottom w:val="none" w:sz="0" w:space="0" w:color="auto"/>
                    <w:right w:val="none" w:sz="0" w:space="0" w:color="auto"/>
                  </w:divBdr>
                  <w:divsChild>
                    <w:div w:id="2044866099">
                      <w:marLeft w:val="0"/>
                      <w:marRight w:val="0"/>
                      <w:marTop w:val="450"/>
                      <w:marBottom w:val="0"/>
                      <w:divBdr>
                        <w:top w:val="none" w:sz="0" w:space="0" w:color="auto"/>
                        <w:left w:val="none" w:sz="0" w:space="0" w:color="auto"/>
                        <w:bottom w:val="none" w:sz="0" w:space="0" w:color="auto"/>
                        <w:right w:val="none" w:sz="0" w:space="0" w:color="auto"/>
                      </w:divBdr>
                      <w:divsChild>
                        <w:div w:id="1112481871">
                          <w:marLeft w:val="0"/>
                          <w:marRight w:val="0"/>
                          <w:marTop w:val="0"/>
                          <w:marBottom w:val="0"/>
                          <w:divBdr>
                            <w:top w:val="none" w:sz="0" w:space="0" w:color="auto"/>
                            <w:left w:val="none" w:sz="0" w:space="0" w:color="auto"/>
                            <w:bottom w:val="none" w:sz="0" w:space="0" w:color="auto"/>
                            <w:right w:val="none" w:sz="0" w:space="0" w:color="auto"/>
                          </w:divBdr>
                          <w:divsChild>
                            <w:div w:id="1556968618">
                              <w:marLeft w:val="0"/>
                              <w:marRight w:val="0"/>
                              <w:marTop w:val="0"/>
                              <w:marBottom w:val="0"/>
                              <w:divBdr>
                                <w:top w:val="none" w:sz="0" w:space="0" w:color="auto"/>
                                <w:left w:val="none" w:sz="0" w:space="0" w:color="auto"/>
                                <w:bottom w:val="none" w:sz="0" w:space="0" w:color="auto"/>
                                <w:right w:val="none" w:sz="0" w:space="0" w:color="auto"/>
                              </w:divBdr>
                              <w:divsChild>
                                <w:div w:id="761991445">
                                  <w:marLeft w:val="0"/>
                                  <w:marRight w:val="0"/>
                                  <w:marTop w:val="0"/>
                                  <w:marBottom w:val="0"/>
                                  <w:divBdr>
                                    <w:top w:val="none" w:sz="0" w:space="0" w:color="auto"/>
                                    <w:left w:val="none" w:sz="0" w:space="0" w:color="auto"/>
                                    <w:bottom w:val="none" w:sz="0" w:space="0" w:color="auto"/>
                                    <w:right w:val="none" w:sz="0" w:space="0" w:color="auto"/>
                                  </w:divBdr>
                                  <w:divsChild>
                                    <w:div w:id="18525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608682">
      <w:bodyDiv w:val="1"/>
      <w:marLeft w:val="0"/>
      <w:marRight w:val="0"/>
      <w:marTop w:val="0"/>
      <w:marBottom w:val="0"/>
      <w:divBdr>
        <w:top w:val="none" w:sz="0" w:space="0" w:color="auto"/>
        <w:left w:val="none" w:sz="0" w:space="0" w:color="auto"/>
        <w:bottom w:val="none" w:sz="0" w:space="0" w:color="auto"/>
        <w:right w:val="none" w:sz="0" w:space="0" w:color="auto"/>
      </w:divBdr>
      <w:divsChild>
        <w:div w:id="1056733980">
          <w:marLeft w:val="0"/>
          <w:marRight w:val="0"/>
          <w:marTop w:val="0"/>
          <w:marBottom w:val="0"/>
          <w:divBdr>
            <w:top w:val="none" w:sz="0" w:space="0" w:color="auto"/>
            <w:left w:val="none" w:sz="0" w:space="0" w:color="auto"/>
            <w:bottom w:val="none" w:sz="0" w:space="0" w:color="auto"/>
            <w:right w:val="none" w:sz="0" w:space="0" w:color="auto"/>
          </w:divBdr>
          <w:divsChild>
            <w:div w:id="1056704801">
              <w:marLeft w:val="0"/>
              <w:marRight w:val="0"/>
              <w:marTop w:val="0"/>
              <w:marBottom w:val="0"/>
              <w:divBdr>
                <w:top w:val="none" w:sz="0" w:space="0" w:color="auto"/>
                <w:left w:val="none" w:sz="0" w:space="0" w:color="auto"/>
                <w:bottom w:val="none" w:sz="0" w:space="0" w:color="auto"/>
                <w:right w:val="none" w:sz="0" w:space="0" w:color="auto"/>
              </w:divBdr>
              <w:divsChild>
                <w:div w:id="1923565344">
                  <w:marLeft w:val="0"/>
                  <w:marRight w:val="0"/>
                  <w:marTop w:val="0"/>
                  <w:marBottom w:val="0"/>
                  <w:divBdr>
                    <w:top w:val="none" w:sz="0" w:space="0" w:color="auto"/>
                    <w:left w:val="none" w:sz="0" w:space="0" w:color="auto"/>
                    <w:bottom w:val="none" w:sz="0" w:space="0" w:color="auto"/>
                    <w:right w:val="none" w:sz="0" w:space="0" w:color="auto"/>
                  </w:divBdr>
                  <w:divsChild>
                    <w:div w:id="1293366812">
                      <w:marLeft w:val="0"/>
                      <w:marRight w:val="0"/>
                      <w:marTop w:val="0"/>
                      <w:marBottom w:val="0"/>
                      <w:divBdr>
                        <w:top w:val="none" w:sz="0" w:space="0" w:color="auto"/>
                        <w:left w:val="none" w:sz="0" w:space="0" w:color="auto"/>
                        <w:bottom w:val="none" w:sz="0" w:space="0" w:color="auto"/>
                        <w:right w:val="none" w:sz="0" w:space="0" w:color="auto"/>
                      </w:divBdr>
                      <w:divsChild>
                        <w:div w:id="19641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4536">
      <w:bodyDiv w:val="1"/>
      <w:marLeft w:val="0"/>
      <w:marRight w:val="0"/>
      <w:marTop w:val="0"/>
      <w:marBottom w:val="0"/>
      <w:divBdr>
        <w:top w:val="none" w:sz="0" w:space="0" w:color="auto"/>
        <w:left w:val="none" w:sz="0" w:space="0" w:color="auto"/>
        <w:bottom w:val="none" w:sz="0" w:space="0" w:color="auto"/>
        <w:right w:val="none" w:sz="0" w:space="0" w:color="auto"/>
      </w:divBdr>
    </w:div>
    <w:div w:id="425687910">
      <w:bodyDiv w:val="1"/>
      <w:marLeft w:val="0"/>
      <w:marRight w:val="0"/>
      <w:marTop w:val="0"/>
      <w:marBottom w:val="0"/>
      <w:divBdr>
        <w:top w:val="none" w:sz="0" w:space="0" w:color="auto"/>
        <w:left w:val="none" w:sz="0" w:space="0" w:color="auto"/>
        <w:bottom w:val="none" w:sz="0" w:space="0" w:color="auto"/>
        <w:right w:val="none" w:sz="0" w:space="0" w:color="auto"/>
      </w:divBdr>
    </w:div>
    <w:div w:id="437142696">
      <w:bodyDiv w:val="1"/>
      <w:marLeft w:val="0"/>
      <w:marRight w:val="0"/>
      <w:marTop w:val="0"/>
      <w:marBottom w:val="0"/>
      <w:divBdr>
        <w:top w:val="none" w:sz="0" w:space="0" w:color="auto"/>
        <w:left w:val="none" w:sz="0" w:space="0" w:color="auto"/>
        <w:bottom w:val="none" w:sz="0" w:space="0" w:color="auto"/>
        <w:right w:val="none" w:sz="0" w:space="0" w:color="auto"/>
      </w:divBdr>
    </w:div>
    <w:div w:id="449787313">
      <w:bodyDiv w:val="1"/>
      <w:marLeft w:val="0"/>
      <w:marRight w:val="0"/>
      <w:marTop w:val="0"/>
      <w:marBottom w:val="0"/>
      <w:divBdr>
        <w:top w:val="none" w:sz="0" w:space="0" w:color="auto"/>
        <w:left w:val="none" w:sz="0" w:space="0" w:color="auto"/>
        <w:bottom w:val="none" w:sz="0" w:space="0" w:color="auto"/>
        <w:right w:val="none" w:sz="0" w:space="0" w:color="auto"/>
      </w:divBdr>
    </w:div>
    <w:div w:id="506790973">
      <w:bodyDiv w:val="1"/>
      <w:marLeft w:val="0"/>
      <w:marRight w:val="0"/>
      <w:marTop w:val="0"/>
      <w:marBottom w:val="0"/>
      <w:divBdr>
        <w:top w:val="none" w:sz="0" w:space="0" w:color="auto"/>
        <w:left w:val="none" w:sz="0" w:space="0" w:color="auto"/>
        <w:bottom w:val="none" w:sz="0" w:space="0" w:color="auto"/>
        <w:right w:val="none" w:sz="0" w:space="0" w:color="auto"/>
      </w:divBdr>
    </w:div>
    <w:div w:id="508717855">
      <w:bodyDiv w:val="1"/>
      <w:marLeft w:val="0"/>
      <w:marRight w:val="0"/>
      <w:marTop w:val="0"/>
      <w:marBottom w:val="0"/>
      <w:divBdr>
        <w:top w:val="none" w:sz="0" w:space="0" w:color="auto"/>
        <w:left w:val="none" w:sz="0" w:space="0" w:color="auto"/>
        <w:bottom w:val="none" w:sz="0" w:space="0" w:color="auto"/>
        <w:right w:val="none" w:sz="0" w:space="0" w:color="auto"/>
      </w:divBdr>
    </w:div>
    <w:div w:id="520516471">
      <w:bodyDiv w:val="1"/>
      <w:marLeft w:val="0"/>
      <w:marRight w:val="0"/>
      <w:marTop w:val="0"/>
      <w:marBottom w:val="0"/>
      <w:divBdr>
        <w:top w:val="none" w:sz="0" w:space="0" w:color="auto"/>
        <w:left w:val="none" w:sz="0" w:space="0" w:color="auto"/>
        <w:bottom w:val="none" w:sz="0" w:space="0" w:color="auto"/>
        <w:right w:val="none" w:sz="0" w:space="0" w:color="auto"/>
      </w:divBdr>
    </w:div>
    <w:div w:id="533613713">
      <w:bodyDiv w:val="1"/>
      <w:marLeft w:val="0"/>
      <w:marRight w:val="0"/>
      <w:marTop w:val="0"/>
      <w:marBottom w:val="0"/>
      <w:divBdr>
        <w:top w:val="none" w:sz="0" w:space="0" w:color="auto"/>
        <w:left w:val="none" w:sz="0" w:space="0" w:color="auto"/>
        <w:bottom w:val="none" w:sz="0" w:space="0" w:color="auto"/>
        <w:right w:val="none" w:sz="0" w:space="0" w:color="auto"/>
      </w:divBdr>
    </w:div>
    <w:div w:id="563225222">
      <w:bodyDiv w:val="1"/>
      <w:marLeft w:val="0"/>
      <w:marRight w:val="0"/>
      <w:marTop w:val="0"/>
      <w:marBottom w:val="0"/>
      <w:divBdr>
        <w:top w:val="none" w:sz="0" w:space="0" w:color="auto"/>
        <w:left w:val="none" w:sz="0" w:space="0" w:color="auto"/>
        <w:bottom w:val="none" w:sz="0" w:space="0" w:color="auto"/>
        <w:right w:val="none" w:sz="0" w:space="0" w:color="auto"/>
      </w:divBdr>
    </w:div>
    <w:div w:id="568658209">
      <w:bodyDiv w:val="1"/>
      <w:marLeft w:val="0"/>
      <w:marRight w:val="0"/>
      <w:marTop w:val="0"/>
      <w:marBottom w:val="0"/>
      <w:divBdr>
        <w:top w:val="none" w:sz="0" w:space="0" w:color="auto"/>
        <w:left w:val="none" w:sz="0" w:space="0" w:color="auto"/>
        <w:bottom w:val="none" w:sz="0" w:space="0" w:color="auto"/>
        <w:right w:val="none" w:sz="0" w:space="0" w:color="auto"/>
      </w:divBdr>
    </w:div>
    <w:div w:id="578903744">
      <w:bodyDiv w:val="1"/>
      <w:marLeft w:val="0"/>
      <w:marRight w:val="0"/>
      <w:marTop w:val="0"/>
      <w:marBottom w:val="0"/>
      <w:divBdr>
        <w:top w:val="none" w:sz="0" w:space="0" w:color="auto"/>
        <w:left w:val="none" w:sz="0" w:space="0" w:color="auto"/>
        <w:bottom w:val="none" w:sz="0" w:space="0" w:color="auto"/>
        <w:right w:val="none" w:sz="0" w:space="0" w:color="auto"/>
      </w:divBdr>
    </w:div>
    <w:div w:id="750589164">
      <w:bodyDiv w:val="1"/>
      <w:marLeft w:val="0"/>
      <w:marRight w:val="0"/>
      <w:marTop w:val="0"/>
      <w:marBottom w:val="0"/>
      <w:divBdr>
        <w:top w:val="none" w:sz="0" w:space="0" w:color="auto"/>
        <w:left w:val="none" w:sz="0" w:space="0" w:color="auto"/>
        <w:bottom w:val="none" w:sz="0" w:space="0" w:color="auto"/>
        <w:right w:val="none" w:sz="0" w:space="0" w:color="auto"/>
      </w:divBdr>
      <w:divsChild>
        <w:div w:id="2138793559">
          <w:marLeft w:val="0"/>
          <w:marRight w:val="0"/>
          <w:marTop w:val="0"/>
          <w:marBottom w:val="0"/>
          <w:divBdr>
            <w:top w:val="none" w:sz="0" w:space="0" w:color="auto"/>
            <w:left w:val="none" w:sz="0" w:space="0" w:color="auto"/>
            <w:bottom w:val="none" w:sz="0" w:space="0" w:color="auto"/>
            <w:right w:val="none" w:sz="0" w:space="0" w:color="auto"/>
          </w:divBdr>
          <w:divsChild>
            <w:div w:id="1697846397">
              <w:marLeft w:val="0"/>
              <w:marRight w:val="0"/>
              <w:marTop w:val="0"/>
              <w:marBottom w:val="0"/>
              <w:divBdr>
                <w:top w:val="none" w:sz="0" w:space="0" w:color="auto"/>
                <w:left w:val="none" w:sz="0" w:space="0" w:color="auto"/>
                <w:bottom w:val="none" w:sz="0" w:space="0" w:color="auto"/>
                <w:right w:val="none" w:sz="0" w:space="0" w:color="auto"/>
              </w:divBdr>
              <w:divsChild>
                <w:div w:id="382483926">
                  <w:marLeft w:val="0"/>
                  <w:marRight w:val="0"/>
                  <w:marTop w:val="0"/>
                  <w:marBottom w:val="0"/>
                  <w:divBdr>
                    <w:top w:val="none" w:sz="0" w:space="0" w:color="auto"/>
                    <w:left w:val="none" w:sz="0" w:space="0" w:color="auto"/>
                    <w:bottom w:val="none" w:sz="0" w:space="0" w:color="auto"/>
                    <w:right w:val="none" w:sz="0" w:space="0" w:color="auto"/>
                  </w:divBdr>
                  <w:divsChild>
                    <w:div w:id="354826">
                      <w:marLeft w:val="0"/>
                      <w:marRight w:val="0"/>
                      <w:marTop w:val="0"/>
                      <w:marBottom w:val="0"/>
                      <w:divBdr>
                        <w:top w:val="none" w:sz="0" w:space="0" w:color="auto"/>
                        <w:left w:val="none" w:sz="0" w:space="0" w:color="auto"/>
                        <w:bottom w:val="none" w:sz="0" w:space="0" w:color="auto"/>
                        <w:right w:val="none" w:sz="0" w:space="0" w:color="auto"/>
                      </w:divBdr>
                      <w:divsChild>
                        <w:div w:id="299844599">
                          <w:marLeft w:val="340"/>
                          <w:marRight w:val="0"/>
                          <w:marTop w:val="300"/>
                          <w:marBottom w:val="120"/>
                          <w:divBdr>
                            <w:top w:val="none" w:sz="0" w:space="0" w:color="auto"/>
                            <w:left w:val="none" w:sz="0" w:space="0" w:color="auto"/>
                            <w:bottom w:val="none" w:sz="0" w:space="0" w:color="auto"/>
                            <w:right w:val="none" w:sz="0" w:space="0" w:color="auto"/>
                          </w:divBdr>
                          <w:divsChild>
                            <w:div w:id="589046363">
                              <w:marLeft w:val="0"/>
                              <w:marRight w:val="0"/>
                              <w:marTop w:val="0"/>
                              <w:marBottom w:val="0"/>
                              <w:divBdr>
                                <w:top w:val="none" w:sz="0" w:space="0" w:color="auto"/>
                                <w:left w:val="none" w:sz="0" w:space="0" w:color="auto"/>
                                <w:bottom w:val="none" w:sz="0" w:space="0" w:color="auto"/>
                                <w:right w:val="none" w:sz="0" w:space="0" w:color="auto"/>
                              </w:divBdr>
                              <w:divsChild>
                                <w:div w:id="472143712">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40777521">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904492650">
                                          <w:blockQuote w:val="1"/>
                                          <w:marLeft w:val="600"/>
                                          <w:marRight w:val="0"/>
                                          <w:marTop w:val="120"/>
                                          <w:marBottom w:val="120"/>
                                          <w:divBdr>
                                            <w:top w:val="none" w:sz="0" w:space="0" w:color="auto"/>
                                            <w:left w:val="none" w:sz="0" w:space="0" w:color="auto"/>
                                            <w:bottom w:val="none" w:sz="0" w:space="0" w:color="auto"/>
                                            <w:right w:val="none" w:sz="0" w:space="0" w:color="auto"/>
                                          </w:divBdr>
                                        </w:div>
                                        <w:div w:id="1551840032">
                                          <w:blockQuote w:val="1"/>
                                          <w:marLeft w:val="600"/>
                                          <w:marRight w:val="0"/>
                                          <w:marTop w:val="120"/>
                                          <w:marBottom w:val="120"/>
                                          <w:divBdr>
                                            <w:top w:val="none" w:sz="0" w:space="0" w:color="auto"/>
                                            <w:left w:val="none" w:sz="0" w:space="0" w:color="auto"/>
                                            <w:bottom w:val="none" w:sz="0" w:space="0" w:color="auto"/>
                                            <w:right w:val="none" w:sz="0" w:space="0" w:color="auto"/>
                                          </w:divBdr>
                                        </w:div>
                                        <w:div w:id="183444517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82939098">
                                              <w:blockQuote w:val="1"/>
                                              <w:marLeft w:val="600"/>
                                              <w:marRight w:val="0"/>
                                              <w:marTop w:val="120"/>
                                              <w:marBottom w:val="120"/>
                                              <w:divBdr>
                                                <w:top w:val="none" w:sz="0" w:space="0" w:color="auto"/>
                                                <w:left w:val="none" w:sz="0" w:space="0" w:color="auto"/>
                                                <w:bottom w:val="none" w:sz="0" w:space="0" w:color="auto"/>
                                                <w:right w:val="none" w:sz="0" w:space="0" w:color="auto"/>
                                              </w:divBdr>
                                            </w:div>
                                            <w:div w:id="184477922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204610308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281940">
      <w:bodyDiv w:val="1"/>
      <w:marLeft w:val="0"/>
      <w:marRight w:val="0"/>
      <w:marTop w:val="0"/>
      <w:marBottom w:val="0"/>
      <w:divBdr>
        <w:top w:val="none" w:sz="0" w:space="0" w:color="auto"/>
        <w:left w:val="none" w:sz="0" w:space="0" w:color="auto"/>
        <w:bottom w:val="none" w:sz="0" w:space="0" w:color="auto"/>
        <w:right w:val="none" w:sz="0" w:space="0" w:color="auto"/>
      </w:divBdr>
    </w:div>
    <w:div w:id="836458164">
      <w:bodyDiv w:val="1"/>
      <w:marLeft w:val="0"/>
      <w:marRight w:val="0"/>
      <w:marTop w:val="0"/>
      <w:marBottom w:val="0"/>
      <w:divBdr>
        <w:top w:val="none" w:sz="0" w:space="0" w:color="auto"/>
        <w:left w:val="none" w:sz="0" w:space="0" w:color="auto"/>
        <w:bottom w:val="none" w:sz="0" w:space="0" w:color="auto"/>
        <w:right w:val="none" w:sz="0" w:space="0" w:color="auto"/>
      </w:divBdr>
    </w:div>
    <w:div w:id="883104174">
      <w:bodyDiv w:val="1"/>
      <w:marLeft w:val="0"/>
      <w:marRight w:val="0"/>
      <w:marTop w:val="0"/>
      <w:marBottom w:val="0"/>
      <w:divBdr>
        <w:top w:val="none" w:sz="0" w:space="0" w:color="auto"/>
        <w:left w:val="none" w:sz="0" w:space="0" w:color="auto"/>
        <w:bottom w:val="none" w:sz="0" w:space="0" w:color="auto"/>
        <w:right w:val="none" w:sz="0" w:space="0" w:color="auto"/>
      </w:divBdr>
    </w:div>
    <w:div w:id="887300485">
      <w:bodyDiv w:val="1"/>
      <w:marLeft w:val="0"/>
      <w:marRight w:val="0"/>
      <w:marTop w:val="0"/>
      <w:marBottom w:val="0"/>
      <w:divBdr>
        <w:top w:val="none" w:sz="0" w:space="0" w:color="auto"/>
        <w:left w:val="none" w:sz="0" w:space="0" w:color="auto"/>
        <w:bottom w:val="none" w:sz="0" w:space="0" w:color="auto"/>
        <w:right w:val="none" w:sz="0" w:space="0" w:color="auto"/>
      </w:divBdr>
    </w:div>
    <w:div w:id="901716891">
      <w:bodyDiv w:val="1"/>
      <w:marLeft w:val="0"/>
      <w:marRight w:val="0"/>
      <w:marTop w:val="0"/>
      <w:marBottom w:val="0"/>
      <w:divBdr>
        <w:top w:val="none" w:sz="0" w:space="0" w:color="auto"/>
        <w:left w:val="none" w:sz="0" w:space="0" w:color="auto"/>
        <w:bottom w:val="none" w:sz="0" w:space="0" w:color="auto"/>
        <w:right w:val="none" w:sz="0" w:space="0" w:color="auto"/>
      </w:divBdr>
    </w:div>
    <w:div w:id="903685926">
      <w:bodyDiv w:val="1"/>
      <w:marLeft w:val="0"/>
      <w:marRight w:val="0"/>
      <w:marTop w:val="0"/>
      <w:marBottom w:val="0"/>
      <w:divBdr>
        <w:top w:val="none" w:sz="0" w:space="0" w:color="auto"/>
        <w:left w:val="none" w:sz="0" w:space="0" w:color="auto"/>
        <w:bottom w:val="none" w:sz="0" w:space="0" w:color="auto"/>
        <w:right w:val="none" w:sz="0" w:space="0" w:color="auto"/>
      </w:divBdr>
    </w:div>
    <w:div w:id="948316685">
      <w:bodyDiv w:val="1"/>
      <w:marLeft w:val="0"/>
      <w:marRight w:val="0"/>
      <w:marTop w:val="0"/>
      <w:marBottom w:val="0"/>
      <w:divBdr>
        <w:top w:val="none" w:sz="0" w:space="0" w:color="auto"/>
        <w:left w:val="none" w:sz="0" w:space="0" w:color="auto"/>
        <w:bottom w:val="none" w:sz="0" w:space="0" w:color="auto"/>
        <w:right w:val="none" w:sz="0" w:space="0" w:color="auto"/>
      </w:divBdr>
    </w:div>
    <w:div w:id="948665624">
      <w:bodyDiv w:val="1"/>
      <w:marLeft w:val="0"/>
      <w:marRight w:val="0"/>
      <w:marTop w:val="0"/>
      <w:marBottom w:val="0"/>
      <w:divBdr>
        <w:top w:val="none" w:sz="0" w:space="0" w:color="auto"/>
        <w:left w:val="none" w:sz="0" w:space="0" w:color="auto"/>
        <w:bottom w:val="none" w:sz="0" w:space="0" w:color="auto"/>
        <w:right w:val="none" w:sz="0" w:space="0" w:color="auto"/>
      </w:divBdr>
    </w:div>
    <w:div w:id="974674503">
      <w:bodyDiv w:val="1"/>
      <w:marLeft w:val="0"/>
      <w:marRight w:val="0"/>
      <w:marTop w:val="0"/>
      <w:marBottom w:val="0"/>
      <w:divBdr>
        <w:top w:val="none" w:sz="0" w:space="0" w:color="auto"/>
        <w:left w:val="none" w:sz="0" w:space="0" w:color="auto"/>
        <w:bottom w:val="none" w:sz="0" w:space="0" w:color="auto"/>
        <w:right w:val="none" w:sz="0" w:space="0" w:color="auto"/>
      </w:divBdr>
    </w:div>
    <w:div w:id="1005403865">
      <w:bodyDiv w:val="1"/>
      <w:marLeft w:val="0"/>
      <w:marRight w:val="0"/>
      <w:marTop w:val="0"/>
      <w:marBottom w:val="0"/>
      <w:divBdr>
        <w:top w:val="none" w:sz="0" w:space="0" w:color="auto"/>
        <w:left w:val="none" w:sz="0" w:space="0" w:color="auto"/>
        <w:bottom w:val="none" w:sz="0" w:space="0" w:color="auto"/>
        <w:right w:val="none" w:sz="0" w:space="0" w:color="auto"/>
      </w:divBdr>
    </w:div>
    <w:div w:id="1021586793">
      <w:bodyDiv w:val="1"/>
      <w:marLeft w:val="0"/>
      <w:marRight w:val="0"/>
      <w:marTop w:val="0"/>
      <w:marBottom w:val="0"/>
      <w:divBdr>
        <w:top w:val="none" w:sz="0" w:space="0" w:color="auto"/>
        <w:left w:val="none" w:sz="0" w:space="0" w:color="auto"/>
        <w:bottom w:val="none" w:sz="0" w:space="0" w:color="auto"/>
        <w:right w:val="none" w:sz="0" w:space="0" w:color="auto"/>
      </w:divBdr>
    </w:div>
    <w:div w:id="1042636381">
      <w:bodyDiv w:val="1"/>
      <w:marLeft w:val="0"/>
      <w:marRight w:val="0"/>
      <w:marTop w:val="0"/>
      <w:marBottom w:val="0"/>
      <w:divBdr>
        <w:top w:val="none" w:sz="0" w:space="0" w:color="auto"/>
        <w:left w:val="none" w:sz="0" w:space="0" w:color="auto"/>
        <w:bottom w:val="none" w:sz="0" w:space="0" w:color="auto"/>
        <w:right w:val="none" w:sz="0" w:space="0" w:color="auto"/>
      </w:divBdr>
      <w:divsChild>
        <w:div w:id="1192260844">
          <w:marLeft w:val="0"/>
          <w:marRight w:val="0"/>
          <w:marTop w:val="0"/>
          <w:marBottom w:val="0"/>
          <w:divBdr>
            <w:top w:val="none" w:sz="0" w:space="0" w:color="auto"/>
            <w:left w:val="none" w:sz="0" w:space="0" w:color="auto"/>
            <w:bottom w:val="none" w:sz="0" w:space="0" w:color="auto"/>
            <w:right w:val="none" w:sz="0" w:space="0" w:color="auto"/>
          </w:divBdr>
          <w:divsChild>
            <w:div w:id="523830768">
              <w:marLeft w:val="0"/>
              <w:marRight w:val="0"/>
              <w:marTop w:val="0"/>
              <w:marBottom w:val="0"/>
              <w:divBdr>
                <w:top w:val="none" w:sz="0" w:space="0" w:color="auto"/>
                <w:left w:val="none" w:sz="0" w:space="0" w:color="auto"/>
                <w:bottom w:val="none" w:sz="0" w:space="0" w:color="auto"/>
                <w:right w:val="none" w:sz="0" w:space="0" w:color="auto"/>
              </w:divBdr>
              <w:divsChild>
                <w:div w:id="1315842292">
                  <w:marLeft w:val="0"/>
                  <w:marRight w:val="0"/>
                  <w:marTop w:val="0"/>
                  <w:marBottom w:val="0"/>
                  <w:divBdr>
                    <w:top w:val="none" w:sz="0" w:space="0" w:color="auto"/>
                    <w:left w:val="none" w:sz="0" w:space="0" w:color="auto"/>
                    <w:bottom w:val="none" w:sz="0" w:space="0" w:color="auto"/>
                    <w:right w:val="none" w:sz="0" w:space="0" w:color="auto"/>
                  </w:divBdr>
                  <w:divsChild>
                    <w:div w:id="130102665">
                      <w:marLeft w:val="0"/>
                      <w:marRight w:val="0"/>
                      <w:marTop w:val="0"/>
                      <w:marBottom w:val="0"/>
                      <w:divBdr>
                        <w:top w:val="none" w:sz="0" w:space="0" w:color="auto"/>
                        <w:left w:val="none" w:sz="0" w:space="0" w:color="auto"/>
                        <w:bottom w:val="none" w:sz="0" w:space="0" w:color="auto"/>
                        <w:right w:val="none" w:sz="0" w:space="0" w:color="auto"/>
                      </w:divBdr>
                      <w:divsChild>
                        <w:div w:id="1164928698">
                          <w:marLeft w:val="0"/>
                          <w:marRight w:val="0"/>
                          <w:marTop w:val="0"/>
                          <w:marBottom w:val="0"/>
                          <w:divBdr>
                            <w:top w:val="none" w:sz="0" w:space="0" w:color="auto"/>
                            <w:left w:val="none" w:sz="0" w:space="0" w:color="auto"/>
                            <w:bottom w:val="none" w:sz="0" w:space="0" w:color="auto"/>
                            <w:right w:val="none" w:sz="0" w:space="0" w:color="auto"/>
                          </w:divBdr>
                          <w:divsChild>
                            <w:div w:id="1926187372">
                              <w:marLeft w:val="36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002281">
      <w:bodyDiv w:val="1"/>
      <w:marLeft w:val="0"/>
      <w:marRight w:val="0"/>
      <w:marTop w:val="0"/>
      <w:marBottom w:val="0"/>
      <w:divBdr>
        <w:top w:val="none" w:sz="0" w:space="0" w:color="auto"/>
        <w:left w:val="none" w:sz="0" w:space="0" w:color="auto"/>
        <w:bottom w:val="none" w:sz="0" w:space="0" w:color="auto"/>
        <w:right w:val="none" w:sz="0" w:space="0" w:color="auto"/>
      </w:divBdr>
      <w:divsChild>
        <w:div w:id="1163935336">
          <w:marLeft w:val="0"/>
          <w:marRight w:val="0"/>
          <w:marTop w:val="0"/>
          <w:marBottom w:val="0"/>
          <w:divBdr>
            <w:top w:val="none" w:sz="0" w:space="0" w:color="auto"/>
            <w:left w:val="none" w:sz="0" w:space="0" w:color="auto"/>
            <w:bottom w:val="none" w:sz="0" w:space="0" w:color="auto"/>
            <w:right w:val="none" w:sz="0" w:space="0" w:color="auto"/>
          </w:divBdr>
          <w:divsChild>
            <w:div w:id="2904418">
              <w:marLeft w:val="0"/>
              <w:marRight w:val="0"/>
              <w:marTop w:val="0"/>
              <w:marBottom w:val="0"/>
              <w:divBdr>
                <w:top w:val="none" w:sz="0" w:space="0" w:color="auto"/>
                <w:left w:val="none" w:sz="0" w:space="0" w:color="auto"/>
                <w:bottom w:val="none" w:sz="0" w:space="0" w:color="auto"/>
                <w:right w:val="none" w:sz="0" w:space="0" w:color="auto"/>
              </w:divBdr>
              <w:divsChild>
                <w:div w:id="121269826">
                  <w:marLeft w:val="0"/>
                  <w:marRight w:val="0"/>
                  <w:marTop w:val="0"/>
                  <w:marBottom w:val="0"/>
                  <w:divBdr>
                    <w:top w:val="none" w:sz="0" w:space="0" w:color="auto"/>
                    <w:left w:val="none" w:sz="0" w:space="0" w:color="auto"/>
                    <w:bottom w:val="none" w:sz="0" w:space="0" w:color="auto"/>
                    <w:right w:val="none" w:sz="0" w:space="0" w:color="auto"/>
                  </w:divBdr>
                  <w:divsChild>
                    <w:div w:id="1094593929">
                      <w:marLeft w:val="0"/>
                      <w:marRight w:val="0"/>
                      <w:marTop w:val="0"/>
                      <w:marBottom w:val="0"/>
                      <w:divBdr>
                        <w:top w:val="none" w:sz="0" w:space="0" w:color="auto"/>
                        <w:left w:val="none" w:sz="0" w:space="0" w:color="auto"/>
                        <w:bottom w:val="none" w:sz="0" w:space="0" w:color="auto"/>
                        <w:right w:val="none" w:sz="0" w:space="0" w:color="auto"/>
                      </w:divBdr>
                      <w:divsChild>
                        <w:div w:id="25523170">
                          <w:marLeft w:val="0"/>
                          <w:marRight w:val="0"/>
                          <w:marTop w:val="0"/>
                          <w:marBottom w:val="0"/>
                          <w:divBdr>
                            <w:top w:val="none" w:sz="0" w:space="0" w:color="auto"/>
                            <w:left w:val="none" w:sz="0" w:space="0" w:color="auto"/>
                            <w:bottom w:val="none" w:sz="0" w:space="0" w:color="auto"/>
                            <w:right w:val="none" w:sz="0" w:space="0" w:color="auto"/>
                          </w:divBdr>
                          <w:divsChild>
                            <w:div w:id="309555218">
                              <w:marLeft w:val="0"/>
                              <w:marRight w:val="0"/>
                              <w:marTop w:val="0"/>
                              <w:marBottom w:val="0"/>
                              <w:divBdr>
                                <w:top w:val="none" w:sz="0" w:space="0" w:color="auto"/>
                                <w:left w:val="none" w:sz="0" w:space="0" w:color="auto"/>
                                <w:bottom w:val="none" w:sz="0" w:space="0" w:color="auto"/>
                                <w:right w:val="none" w:sz="0" w:space="0" w:color="auto"/>
                              </w:divBdr>
                              <w:divsChild>
                                <w:div w:id="17331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843558">
      <w:bodyDiv w:val="1"/>
      <w:marLeft w:val="0"/>
      <w:marRight w:val="0"/>
      <w:marTop w:val="0"/>
      <w:marBottom w:val="0"/>
      <w:divBdr>
        <w:top w:val="none" w:sz="0" w:space="0" w:color="auto"/>
        <w:left w:val="none" w:sz="0" w:space="0" w:color="auto"/>
        <w:bottom w:val="none" w:sz="0" w:space="0" w:color="auto"/>
        <w:right w:val="none" w:sz="0" w:space="0" w:color="auto"/>
      </w:divBdr>
    </w:div>
    <w:div w:id="1092244069">
      <w:bodyDiv w:val="1"/>
      <w:marLeft w:val="0"/>
      <w:marRight w:val="0"/>
      <w:marTop w:val="0"/>
      <w:marBottom w:val="0"/>
      <w:divBdr>
        <w:top w:val="none" w:sz="0" w:space="0" w:color="auto"/>
        <w:left w:val="none" w:sz="0" w:space="0" w:color="auto"/>
        <w:bottom w:val="none" w:sz="0" w:space="0" w:color="auto"/>
        <w:right w:val="none" w:sz="0" w:space="0" w:color="auto"/>
      </w:divBdr>
    </w:div>
    <w:div w:id="1121725956">
      <w:bodyDiv w:val="1"/>
      <w:marLeft w:val="0"/>
      <w:marRight w:val="0"/>
      <w:marTop w:val="0"/>
      <w:marBottom w:val="0"/>
      <w:divBdr>
        <w:top w:val="none" w:sz="0" w:space="0" w:color="auto"/>
        <w:left w:val="none" w:sz="0" w:space="0" w:color="auto"/>
        <w:bottom w:val="none" w:sz="0" w:space="0" w:color="auto"/>
        <w:right w:val="none" w:sz="0" w:space="0" w:color="auto"/>
      </w:divBdr>
    </w:div>
    <w:div w:id="1159540851">
      <w:bodyDiv w:val="1"/>
      <w:marLeft w:val="0"/>
      <w:marRight w:val="0"/>
      <w:marTop w:val="0"/>
      <w:marBottom w:val="0"/>
      <w:divBdr>
        <w:top w:val="none" w:sz="0" w:space="0" w:color="auto"/>
        <w:left w:val="none" w:sz="0" w:space="0" w:color="auto"/>
        <w:bottom w:val="none" w:sz="0" w:space="0" w:color="auto"/>
        <w:right w:val="none" w:sz="0" w:space="0" w:color="auto"/>
      </w:divBdr>
    </w:div>
    <w:div w:id="1173639814">
      <w:bodyDiv w:val="1"/>
      <w:marLeft w:val="0"/>
      <w:marRight w:val="0"/>
      <w:marTop w:val="0"/>
      <w:marBottom w:val="0"/>
      <w:divBdr>
        <w:top w:val="none" w:sz="0" w:space="0" w:color="auto"/>
        <w:left w:val="none" w:sz="0" w:space="0" w:color="auto"/>
        <w:bottom w:val="none" w:sz="0" w:space="0" w:color="auto"/>
        <w:right w:val="none" w:sz="0" w:space="0" w:color="auto"/>
      </w:divBdr>
    </w:div>
    <w:div w:id="1173761293">
      <w:bodyDiv w:val="1"/>
      <w:marLeft w:val="0"/>
      <w:marRight w:val="0"/>
      <w:marTop w:val="0"/>
      <w:marBottom w:val="0"/>
      <w:divBdr>
        <w:top w:val="none" w:sz="0" w:space="0" w:color="auto"/>
        <w:left w:val="none" w:sz="0" w:space="0" w:color="auto"/>
        <w:bottom w:val="none" w:sz="0" w:space="0" w:color="auto"/>
        <w:right w:val="none" w:sz="0" w:space="0" w:color="auto"/>
      </w:divBdr>
    </w:div>
    <w:div w:id="1175727465">
      <w:bodyDiv w:val="1"/>
      <w:marLeft w:val="0"/>
      <w:marRight w:val="0"/>
      <w:marTop w:val="0"/>
      <w:marBottom w:val="0"/>
      <w:divBdr>
        <w:top w:val="none" w:sz="0" w:space="0" w:color="auto"/>
        <w:left w:val="none" w:sz="0" w:space="0" w:color="auto"/>
        <w:bottom w:val="none" w:sz="0" w:space="0" w:color="auto"/>
        <w:right w:val="none" w:sz="0" w:space="0" w:color="auto"/>
      </w:divBdr>
    </w:div>
    <w:div w:id="1204093774">
      <w:bodyDiv w:val="1"/>
      <w:marLeft w:val="0"/>
      <w:marRight w:val="0"/>
      <w:marTop w:val="0"/>
      <w:marBottom w:val="0"/>
      <w:divBdr>
        <w:top w:val="none" w:sz="0" w:space="0" w:color="auto"/>
        <w:left w:val="none" w:sz="0" w:space="0" w:color="auto"/>
        <w:bottom w:val="none" w:sz="0" w:space="0" w:color="auto"/>
        <w:right w:val="none" w:sz="0" w:space="0" w:color="auto"/>
      </w:divBdr>
    </w:div>
    <w:div w:id="1208761882">
      <w:bodyDiv w:val="1"/>
      <w:marLeft w:val="0"/>
      <w:marRight w:val="0"/>
      <w:marTop w:val="0"/>
      <w:marBottom w:val="0"/>
      <w:divBdr>
        <w:top w:val="none" w:sz="0" w:space="0" w:color="auto"/>
        <w:left w:val="none" w:sz="0" w:space="0" w:color="auto"/>
        <w:bottom w:val="none" w:sz="0" w:space="0" w:color="auto"/>
        <w:right w:val="none" w:sz="0" w:space="0" w:color="auto"/>
      </w:divBdr>
      <w:divsChild>
        <w:div w:id="1620407866">
          <w:marLeft w:val="0"/>
          <w:marRight w:val="0"/>
          <w:marTop w:val="0"/>
          <w:marBottom w:val="0"/>
          <w:divBdr>
            <w:top w:val="none" w:sz="0" w:space="0" w:color="auto"/>
            <w:left w:val="none" w:sz="0" w:space="0" w:color="auto"/>
            <w:bottom w:val="none" w:sz="0" w:space="0" w:color="auto"/>
            <w:right w:val="none" w:sz="0" w:space="0" w:color="auto"/>
          </w:divBdr>
          <w:divsChild>
            <w:div w:id="326325400">
              <w:marLeft w:val="0"/>
              <w:marRight w:val="0"/>
              <w:marTop w:val="0"/>
              <w:marBottom w:val="0"/>
              <w:divBdr>
                <w:top w:val="none" w:sz="0" w:space="0" w:color="auto"/>
                <w:left w:val="none" w:sz="0" w:space="0" w:color="auto"/>
                <w:bottom w:val="none" w:sz="0" w:space="0" w:color="auto"/>
                <w:right w:val="none" w:sz="0" w:space="0" w:color="auto"/>
              </w:divBdr>
              <w:divsChild>
                <w:div w:id="547566389">
                  <w:marLeft w:val="0"/>
                  <w:marRight w:val="0"/>
                  <w:marTop w:val="0"/>
                  <w:marBottom w:val="0"/>
                  <w:divBdr>
                    <w:top w:val="none" w:sz="0" w:space="0" w:color="auto"/>
                    <w:left w:val="none" w:sz="0" w:space="0" w:color="auto"/>
                    <w:bottom w:val="none" w:sz="0" w:space="0" w:color="auto"/>
                    <w:right w:val="none" w:sz="0" w:space="0" w:color="auto"/>
                  </w:divBdr>
                  <w:divsChild>
                    <w:div w:id="1513253980">
                      <w:marLeft w:val="0"/>
                      <w:marRight w:val="0"/>
                      <w:marTop w:val="0"/>
                      <w:marBottom w:val="0"/>
                      <w:divBdr>
                        <w:top w:val="none" w:sz="0" w:space="0" w:color="auto"/>
                        <w:left w:val="none" w:sz="0" w:space="0" w:color="auto"/>
                        <w:bottom w:val="none" w:sz="0" w:space="0" w:color="auto"/>
                        <w:right w:val="none" w:sz="0" w:space="0" w:color="auto"/>
                      </w:divBdr>
                      <w:divsChild>
                        <w:div w:id="15998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93016">
      <w:bodyDiv w:val="1"/>
      <w:marLeft w:val="0"/>
      <w:marRight w:val="0"/>
      <w:marTop w:val="0"/>
      <w:marBottom w:val="0"/>
      <w:divBdr>
        <w:top w:val="none" w:sz="0" w:space="0" w:color="auto"/>
        <w:left w:val="none" w:sz="0" w:space="0" w:color="auto"/>
        <w:bottom w:val="none" w:sz="0" w:space="0" w:color="auto"/>
        <w:right w:val="none" w:sz="0" w:space="0" w:color="auto"/>
      </w:divBdr>
      <w:divsChild>
        <w:div w:id="817266218">
          <w:marLeft w:val="0"/>
          <w:marRight w:val="0"/>
          <w:marTop w:val="0"/>
          <w:marBottom w:val="0"/>
          <w:divBdr>
            <w:top w:val="none" w:sz="0" w:space="0" w:color="auto"/>
            <w:left w:val="none" w:sz="0" w:space="0" w:color="auto"/>
            <w:bottom w:val="none" w:sz="0" w:space="0" w:color="auto"/>
            <w:right w:val="none" w:sz="0" w:space="0" w:color="auto"/>
          </w:divBdr>
          <w:divsChild>
            <w:div w:id="1015155190">
              <w:marLeft w:val="0"/>
              <w:marRight w:val="0"/>
              <w:marTop w:val="0"/>
              <w:marBottom w:val="0"/>
              <w:divBdr>
                <w:top w:val="none" w:sz="0" w:space="0" w:color="auto"/>
                <w:left w:val="none" w:sz="0" w:space="0" w:color="auto"/>
                <w:bottom w:val="none" w:sz="0" w:space="0" w:color="auto"/>
                <w:right w:val="none" w:sz="0" w:space="0" w:color="auto"/>
              </w:divBdr>
              <w:divsChild>
                <w:div w:id="771702706">
                  <w:marLeft w:val="0"/>
                  <w:marRight w:val="0"/>
                  <w:marTop w:val="0"/>
                  <w:marBottom w:val="0"/>
                  <w:divBdr>
                    <w:top w:val="none" w:sz="0" w:space="0" w:color="auto"/>
                    <w:left w:val="none" w:sz="0" w:space="0" w:color="auto"/>
                    <w:bottom w:val="none" w:sz="0" w:space="0" w:color="auto"/>
                    <w:right w:val="none" w:sz="0" w:space="0" w:color="auto"/>
                  </w:divBdr>
                  <w:divsChild>
                    <w:div w:id="583681293">
                      <w:marLeft w:val="0"/>
                      <w:marRight w:val="0"/>
                      <w:marTop w:val="0"/>
                      <w:marBottom w:val="0"/>
                      <w:divBdr>
                        <w:top w:val="none" w:sz="0" w:space="0" w:color="auto"/>
                        <w:left w:val="none" w:sz="0" w:space="0" w:color="auto"/>
                        <w:bottom w:val="none" w:sz="0" w:space="0" w:color="auto"/>
                        <w:right w:val="none" w:sz="0" w:space="0" w:color="auto"/>
                      </w:divBdr>
                      <w:divsChild>
                        <w:div w:id="265893476">
                          <w:marLeft w:val="340"/>
                          <w:marRight w:val="0"/>
                          <w:marTop w:val="300"/>
                          <w:marBottom w:val="120"/>
                          <w:divBdr>
                            <w:top w:val="none" w:sz="0" w:space="0" w:color="auto"/>
                            <w:left w:val="none" w:sz="0" w:space="0" w:color="auto"/>
                            <w:bottom w:val="none" w:sz="0" w:space="0" w:color="auto"/>
                            <w:right w:val="none" w:sz="0" w:space="0" w:color="auto"/>
                          </w:divBdr>
                          <w:divsChild>
                            <w:div w:id="1341198274">
                              <w:marLeft w:val="0"/>
                              <w:marRight w:val="0"/>
                              <w:marTop w:val="0"/>
                              <w:marBottom w:val="0"/>
                              <w:divBdr>
                                <w:top w:val="none" w:sz="0" w:space="0" w:color="auto"/>
                                <w:left w:val="none" w:sz="0" w:space="0" w:color="auto"/>
                                <w:bottom w:val="none" w:sz="0" w:space="0" w:color="auto"/>
                                <w:right w:val="none" w:sz="0" w:space="0" w:color="auto"/>
                              </w:divBdr>
                              <w:divsChild>
                                <w:div w:id="1467697976">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573705472">
                                      <w:blockQuote w:val="1"/>
                                      <w:marLeft w:val="600"/>
                                      <w:marRight w:val="0"/>
                                      <w:marTop w:val="120"/>
                                      <w:marBottom w:val="120"/>
                                      <w:divBdr>
                                        <w:top w:val="none" w:sz="0" w:space="0" w:color="auto"/>
                                        <w:left w:val="none" w:sz="0" w:space="0" w:color="auto"/>
                                        <w:bottom w:val="none" w:sz="0" w:space="0" w:color="auto"/>
                                        <w:right w:val="none" w:sz="0" w:space="0" w:color="auto"/>
                                      </w:divBdr>
                                    </w:div>
                                    <w:div w:id="638190383">
                                      <w:blockQuote w:val="1"/>
                                      <w:marLeft w:val="600"/>
                                      <w:marRight w:val="0"/>
                                      <w:marTop w:val="120"/>
                                      <w:marBottom w:val="120"/>
                                      <w:divBdr>
                                        <w:top w:val="none" w:sz="0" w:space="0" w:color="auto"/>
                                        <w:left w:val="none" w:sz="0" w:space="0" w:color="auto"/>
                                        <w:bottom w:val="none" w:sz="0" w:space="0" w:color="auto"/>
                                        <w:right w:val="none" w:sz="0" w:space="0" w:color="auto"/>
                                      </w:divBdr>
                                    </w:div>
                                    <w:div w:id="854804673">
                                      <w:blockQuote w:val="1"/>
                                      <w:marLeft w:val="600"/>
                                      <w:marRight w:val="0"/>
                                      <w:marTop w:val="120"/>
                                      <w:marBottom w:val="120"/>
                                      <w:divBdr>
                                        <w:top w:val="none" w:sz="0" w:space="0" w:color="auto"/>
                                        <w:left w:val="none" w:sz="0" w:space="0" w:color="auto"/>
                                        <w:bottom w:val="none" w:sz="0" w:space="0" w:color="auto"/>
                                        <w:right w:val="none" w:sz="0" w:space="0" w:color="auto"/>
                                      </w:divBdr>
                                    </w:div>
                                    <w:div w:id="94080181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90295">
      <w:bodyDiv w:val="1"/>
      <w:marLeft w:val="0"/>
      <w:marRight w:val="0"/>
      <w:marTop w:val="0"/>
      <w:marBottom w:val="0"/>
      <w:divBdr>
        <w:top w:val="none" w:sz="0" w:space="0" w:color="auto"/>
        <w:left w:val="none" w:sz="0" w:space="0" w:color="auto"/>
        <w:bottom w:val="none" w:sz="0" w:space="0" w:color="auto"/>
        <w:right w:val="none" w:sz="0" w:space="0" w:color="auto"/>
      </w:divBdr>
    </w:div>
    <w:div w:id="1337273045">
      <w:bodyDiv w:val="1"/>
      <w:marLeft w:val="0"/>
      <w:marRight w:val="0"/>
      <w:marTop w:val="0"/>
      <w:marBottom w:val="0"/>
      <w:divBdr>
        <w:top w:val="none" w:sz="0" w:space="0" w:color="auto"/>
        <w:left w:val="none" w:sz="0" w:space="0" w:color="auto"/>
        <w:bottom w:val="none" w:sz="0" w:space="0" w:color="auto"/>
        <w:right w:val="none" w:sz="0" w:space="0" w:color="auto"/>
      </w:divBdr>
    </w:div>
    <w:div w:id="1350528133">
      <w:bodyDiv w:val="1"/>
      <w:marLeft w:val="0"/>
      <w:marRight w:val="0"/>
      <w:marTop w:val="0"/>
      <w:marBottom w:val="0"/>
      <w:divBdr>
        <w:top w:val="none" w:sz="0" w:space="0" w:color="auto"/>
        <w:left w:val="none" w:sz="0" w:space="0" w:color="auto"/>
        <w:bottom w:val="none" w:sz="0" w:space="0" w:color="auto"/>
        <w:right w:val="none" w:sz="0" w:space="0" w:color="auto"/>
      </w:divBdr>
    </w:div>
    <w:div w:id="1360620656">
      <w:bodyDiv w:val="1"/>
      <w:marLeft w:val="0"/>
      <w:marRight w:val="0"/>
      <w:marTop w:val="0"/>
      <w:marBottom w:val="0"/>
      <w:divBdr>
        <w:top w:val="none" w:sz="0" w:space="0" w:color="auto"/>
        <w:left w:val="none" w:sz="0" w:space="0" w:color="auto"/>
        <w:bottom w:val="none" w:sz="0" w:space="0" w:color="auto"/>
        <w:right w:val="none" w:sz="0" w:space="0" w:color="auto"/>
      </w:divBdr>
      <w:divsChild>
        <w:div w:id="547112857">
          <w:marLeft w:val="0"/>
          <w:marRight w:val="0"/>
          <w:marTop w:val="0"/>
          <w:marBottom w:val="0"/>
          <w:divBdr>
            <w:top w:val="none" w:sz="0" w:space="0" w:color="auto"/>
            <w:left w:val="none" w:sz="0" w:space="0" w:color="auto"/>
            <w:bottom w:val="none" w:sz="0" w:space="0" w:color="auto"/>
            <w:right w:val="none" w:sz="0" w:space="0" w:color="auto"/>
          </w:divBdr>
          <w:divsChild>
            <w:div w:id="2098473294">
              <w:marLeft w:val="0"/>
              <w:marRight w:val="0"/>
              <w:marTop w:val="0"/>
              <w:marBottom w:val="0"/>
              <w:divBdr>
                <w:top w:val="none" w:sz="0" w:space="0" w:color="auto"/>
                <w:left w:val="none" w:sz="0" w:space="0" w:color="auto"/>
                <w:bottom w:val="none" w:sz="0" w:space="0" w:color="auto"/>
                <w:right w:val="none" w:sz="0" w:space="0" w:color="auto"/>
              </w:divBdr>
              <w:divsChild>
                <w:div w:id="1537696484">
                  <w:marLeft w:val="0"/>
                  <w:marRight w:val="0"/>
                  <w:marTop w:val="0"/>
                  <w:marBottom w:val="0"/>
                  <w:divBdr>
                    <w:top w:val="none" w:sz="0" w:space="0" w:color="auto"/>
                    <w:left w:val="none" w:sz="0" w:space="0" w:color="auto"/>
                    <w:bottom w:val="none" w:sz="0" w:space="0" w:color="auto"/>
                    <w:right w:val="none" w:sz="0" w:space="0" w:color="auto"/>
                  </w:divBdr>
                  <w:divsChild>
                    <w:div w:id="261110967">
                      <w:marLeft w:val="0"/>
                      <w:marRight w:val="0"/>
                      <w:marTop w:val="0"/>
                      <w:marBottom w:val="0"/>
                      <w:divBdr>
                        <w:top w:val="none" w:sz="0" w:space="0" w:color="auto"/>
                        <w:left w:val="none" w:sz="0" w:space="0" w:color="auto"/>
                        <w:bottom w:val="none" w:sz="0" w:space="0" w:color="auto"/>
                        <w:right w:val="none" w:sz="0" w:space="0" w:color="auto"/>
                      </w:divBdr>
                      <w:divsChild>
                        <w:div w:id="1183594353">
                          <w:marLeft w:val="0"/>
                          <w:marRight w:val="0"/>
                          <w:marTop w:val="0"/>
                          <w:marBottom w:val="0"/>
                          <w:divBdr>
                            <w:top w:val="none" w:sz="0" w:space="0" w:color="auto"/>
                            <w:left w:val="none" w:sz="0" w:space="0" w:color="auto"/>
                            <w:bottom w:val="none" w:sz="0" w:space="0" w:color="auto"/>
                            <w:right w:val="none" w:sz="0" w:space="0" w:color="auto"/>
                          </w:divBdr>
                          <w:divsChild>
                            <w:div w:id="6374022">
                              <w:marLeft w:val="0"/>
                              <w:marRight w:val="0"/>
                              <w:marTop w:val="0"/>
                              <w:marBottom w:val="0"/>
                              <w:divBdr>
                                <w:top w:val="none" w:sz="0" w:space="0" w:color="auto"/>
                                <w:left w:val="none" w:sz="0" w:space="0" w:color="auto"/>
                                <w:bottom w:val="none" w:sz="0" w:space="0" w:color="auto"/>
                                <w:right w:val="none" w:sz="0" w:space="0" w:color="auto"/>
                              </w:divBdr>
                            </w:div>
                            <w:div w:id="601958219">
                              <w:marLeft w:val="0"/>
                              <w:marRight w:val="0"/>
                              <w:marTop w:val="0"/>
                              <w:marBottom w:val="0"/>
                              <w:divBdr>
                                <w:top w:val="none" w:sz="0" w:space="0" w:color="auto"/>
                                <w:left w:val="none" w:sz="0" w:space="0" w:color="auto"/>
                                <w:bottom w:val="none" w:sz="0" w:space="0" w:color="auto"/>
                                <w:right w:val="none" w:sz="0" w:space="0" w:color="auto"/>
                              </w:divBdr>
                            </w:div>
                            <w:div w:id="1170021295">
                              <w:marLeft w:val="0"/>
                              <w:marRight w:val="0"/>
                              <w:marTop w:val="0"/>
                              <w:marBottom w:val="0"/>
                              <w:divBdr>
                                <w:top w:val="none" w:sz="0" w:space="0" w:color="auto"/>
                                <w:left w:val="none" w:sz="0" w:space="0" w:color="auto"/>
                                <w:bottom w:val="none" w:sz="0" w:space="0" w:color="auto"/>
                                <w:right w:val="none" w:sz="0" w:space="0" w:color="auto"/>
                              </w:divBdr>
                            </w:div>
                            <w:div w:id="1726568099">
                              <w:marLeft w:val="0"/>
                              <w:marRight w:val="0"/>
                              <w:marTop w:val="0"/>
                              <w:marBottom w:val="0"/>
                              <w:divBdr>
                                <w:top w:val="none" w:sz="0" w:space="0" w:color="auto"/>
                                <w:left w:val="none" w:sz="0" w:space="0" w:color="auto"/>
                                <w:bottom w:val="none" w:sz="0" w:space="0" w:color="auto"/>
                                <w:right w:val="none" w:sz="0" w:space="0" w:color="auto"/>
                              </w:divBdr>
                              <w:divsChild>
                                <w:div w:id="2166459">
                                  <w:marLeft w:val="0"/>
                                  <w:marRight w:val="0"/>
                                  <w:marTop w:val="0"/>
                                  <w:marBottom w:val="0"/>
                                  <w:divBdr>
                                    <w:top w:val="none" w:sz="0" w:space="0" w:color="auto"/>
                                    <w:left w:val="none" w:sz="0" w:space="0" w:color="auto"/>
                                    <w:bottom w:val="none" w:sz="0" w:space="0" w:color="auto"/>
                                    <w:right w:val="none" w:sz="0" w:space="0" w:color="auto"/>
                                  </w:divBdr>
                                </w:div>
                                <w:div w:id="116919120">
                                  <w:marLeft w:val="0"/>
                                  <w:marRight w:val="0"/>
                                  <w:marTop w:val="0"/>
                                  <w:marBottom w:val="0"/>
                                  <w:divBdr>
                                    <w:top w:val="none" w:sz="0" w:space="0" w:color="auto"/>
                                    <w:left w:val="none" w:sz="0" w:space="0" w:color="auto"/>
                                    <w:bottom w:val="none" w:sz="0" w:space="0" w:color="auto"/>
                                    <w:right w:val="none" w:sz="0" w:space="0" w:color="auto"/>
                                  </w:divBdr>
                                </w:div>
                                <w:div w:id="133527624">
                                  <w:marLeft w:val="0"/>
                                  <w:marRight w:val="0"/>
                                  <w:marTop w:val="0"/>
                                  <w:marBottom w:val="0"/>
                                  <w:divBdr>
                                    <w:top w:val="none" w:sz="0" w:space="0" w:color="auto"/>
                                    <w:left w:val="none" w:sz="0" w:space="0" w:color="auto"/>
                                    <w:bottom w:val="none" w:sz="0" w:space="0" w:color="auto"/>
                                    <w:right w:val="none" w:sz="0" w:space="0" w:color="auto"/>
                                  </w:divBdr>
                                </w:div>
                                <w:div w:id="284774369">
                                  <w:marLeft w:val="0"/>
                                  <w:marRight w:val="0"/>
                                  <w:marTop w:val="0"/>
                                  <w:marBottom w:val="0"/>
                                  <w:divBdr>
                                    <w:top w:val="none" w:sz="0" w:space="0" w:color="auto"/>
                                    <w:left w:val="none" w:sz="0" w:space="0" w:color="auto"/>
                                    <w:bottom w:val="none" w:sz="0" w:space="0" w:color="auto"/>
                                    <w:right w:val="none" w:sz="0" w:space="0" w:color="auto"/>
                                  </w:divBdr>
                                </w:div>
                                <w:div w:id="327246613">
                                  <w:marLeft w:val="0"/>
                                  <w:marRight w:val="0"/>
                                  <w:marTop w:val="0"/>
                                  <w:marBottom w:val="0"/>
                                  <w:divBdr>
                                    <w:top w:val="none" w:sz="0" w:space="0" w:color="auto"/>
                                    <w:left w:val="none" w:sz="0" w:space="0" w:color="auto"/>
                                    <w:bottom w:val="none" w:sz="0" w:space="0" w:color="auto"/>
                                    <w:right w:val="none" w:sz="0" w:space="0" w:color="auto"/>
                                  </w:divBdr>
                                </w:div>
                                <w:div w:id="393745224">
                                  <w:marLeft w:val="0"/>
                                  <w:marRight w:val="0"/>
                                  <w:marTop w:val="0"/>
                                  <w:marBottom w:val="0"/>
                                  <w:divBdr>
                                    <w:top w:val="none" w:sz="0" w:space="0" w:color="auto"/>
                                    <w:left w:val="none" w:sz="0" w:space="0" w:color="auto"/>
                                    <w:bottom w:val="none" w:sz="0" w:space="0" w:color="auto"/>
                                    <w:right w:val="none" w:sz="0" w:space="0" w:color="auto"/>
                                  </w:divBdr>
                                </w:div>
                                <w:div w:id="837040308">
                                  <w:marLeft w:val="0"/>
                                  <w:marRight w:val="0"/>
                                  <w:marTop w:val="0"/>
                                  <w:marBottom w:val="0"/>
                                  <w:divBdr>
                                    <w:top w:val="none" w:sz="0" w:space="0" w:color="auto"/>
                                    <w:left w:val="none" w:sz="0" w:space="0" w:color="auto"/>
                                    <w:bottom w:val="none" w:sz="0" w:space="0" w:color="auto"/>
                                    <w:right w:val="none" w:sz="0" w:space="0" w:color="auto"/>
                                  </w:divBdr>
                                </w:div>
                                <w:div w:id="953364720">
                                  <w:marLeft w:val="0"/>
                                  <w:marRight w:val="0"/>
                                  <w:marTop w:val="0"/>
                                  <w:marBottom w:val="0"/>
                                  <w:divBdr>
                                    <w:top w:val="none" w:sz="0" w:space="0" w:color="auto"/>
                                    <w:left w:val="none" w:sz="0" w:space="0" w:color="auto"/>
                                    <w:bottom w:val="none" w:sz="0" w:space="0" w:color="auto"/>
                                    <w:right w:val="none" w:sz="0" w:space="0" w:color="auto"/>
                                  </w:divBdr>
                                </w:div>
                                <w:div w:id="1200779077">
                                  <w:marLeft w:val="0"/>
                                  <w:marRight w:val="0"/>
                                  <w:marTop w:val="0"/>
                                  <w:marBottom w:val="0"/>
                                  <w:divBdr>
                                    <w:top w:val="none" w:sz="0" w:space="0" w:color="auto"/>
                                    <w:left w:val="none" w:sz="0" w:space="0" w:color="auto"/>
                                    <w:bottom w:val="none" w:sz="0" w:space="0" w:color="auto"/>
                                    <w:right w:val="none" w:sz="0" w:space="0" w:color="auto"/>
                                  </w:divBdr>
                                </w:div>
                                <w:div w:id="1292247626">
                                  <w:marLeft w:val="0"/>
                                  <w:marRight w:val="0"/>
                                  <w:marTop w:val="0"/>
                                  <w:marBottom w:val="0"/>
                                  <w:divBdr>
                                    <w:top w:val="none" w:sz="0" w:space="0" w:color="auto"/>
                                    <w:left w:val="none" w:sz="0" w:space="0" w:color="auto"/>
                                    <w:bottom w:val="none" w:sz="0" w:space="0" w:color="auto"/>
                                    <w:right w:val="none" w:sz="0" w:space="0" w:color="auto"/>
                                  </w:divBdr>
                                </w:div>
                                <w:div w:id="1684211198">
                                  <w:marLeft w:val="0"/>
                                  <w:marRight w:val="0"/>
                                  <w:marTop w:val="0"/>
                                  <w:marBottom w:val="0"/>
                                  <w:divBdr>
                                    <w:top w:val="none" w:sz="0" w:space="0" w:color="auto"/>
                                    <w:left w:val="none" w:sz="0" w:space="0" w:color="auto"/>
                                    <w:bottom w:val="none" w:sz="0" w:space="0" w:color="auto"/>
                                    <w:right w:val="none" w:sz="0" w:space="0" w:color="auto"/>
                                  </w:divBdr>
                                </w:div>
                                <w:div w:id="1925190340">
                                  <w:marLeft w:val="0"/>
                                  <w:marRight w:val="0"/>
                                  <w:marTop w:val="0"/>
                                  <w:marBottom w:val="0"/>
                                  <w:divBdr>
                                    <w:top w:val="none" w:sz="0" w:space="0" w:color="auto"/>
                                    <w:left w:val="none" w:sz="0" w:space="0" w:color="auto"/>
                                    <w:bottom w:val="none" w:sz="0" w:space="0" w:color="auto"/>
                                    <w:right w:val="none" w:sz="0" w:space="0" w:color="auto"/>
                                  </w:divBdr>
                                </w:div>
                                <w:div w:id="2023509315">
                                  <w:marLeft w:val="0"/>
                                  <w:marRight w:val="0"/>
                                  <w:marTop w:val="0"/>
                                  <w:marBottom w:val="0"/>
                                  <w:divBdr>
                                    <w:top w:val="none" w:sz="0" w:space="0" w:color="auto"/>
                                    <w:left w:val="none" w:sz="0" w:space="0" w:color="auto"/>
                                    <w:bottom w:val="none" w:sz="0" w:space="0" w:color="auto"/>
                                    <w:right w:val="none" w:sz="0" w:space="0" w:color="auto"/>
                                  </w:divBdr>
                                </w:div>
                              </w:divsChild>
                            </w:div>
                            <w:div w:id="1986353483">
                              <w:marLeft w:val="0"/>
                              <w:marRight w:val="0"/>
                              <w:marTop w:val="0"/>
                              <w:marBottom w:val="0"/>
                              <w:divBdr>
                                <w:top w:val="none" w:sz="0" w:space="0" w:color="auto"/>
                                <w:left w:val="none" w:sz="0" w:space="0" w:color="auto"/>
                                <w:bottom w:val="none" w:sz="0" w:space="0" w:color="auto"/>
                                <w:right w:val="none" w:sz="0" w:space="0" w:color="auto"/>
                              </w:divBdr>
                              <w:divsChild>
                                <w:div w:id="5678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743505">
      <w:bodyDiv w:val="1"/>
      <w:marLeft w:val="0"/>
      <w:marRight w:val="0"/>
      <w:marTop w:val="0"/>
      <w:marBottom w:val="0"/>
      <w:divBdr>
        <w:top w:val="none" w:sz="0" w:space="0" w:color="auto"/>
        <w:left w:val="none" w:sz="0" w:space="0" w:color="auto"/>
        <w:bottom w:val="none" w:sz="0" w:space="0" w:color="auto"/>
        <w:right w:val="none" w:sz="0" w:space="0" w:color="auto"/>
      </w:divBdr>
    </w:div>
    <w:div w:id="1399669266">
      <w:bodyDiv w:val="1"/>
      <w:marLeft w:val="0"/>
      <w:marRight w:val="0"/>
      <w:marTop w:val="0"/>
      <w:marBottom w:val="0"/>
      <w:divBdr>
        <w:top w:val="none" w:sz="0" w:space="0" w:color="auto"/>
        <w:left w:val="none" w:sz="0" w:space="0" w:color="auto"/>
        <w:bottom w:val="none" w:sz="0" w:space="0" w:color="auto"/>
        <w:right w:val="none" w:sz="0" w:space="0" w:color="auto"/>
      </w:divBdr>
    </w:div>
    <w:div w:id="1404333142">
      <w:bodyDiv w:val="1"/>
      <w:marLeft w:val="0"/>
      <w:marRight w:val="0"/>
      <w:marTop w:val="0"/>
      <w:marBottom w:val="0"/>
      <w:divBdr>
        <w:top w:val="none" w:sz="0" w:space="0" w:color="auto"/>
        <w:left w:val="none" w:sz="0" w:space="0" w:color="auto"/>
        <w:bottom w:val="none" w:sz="0" w:space="0" w:color="auto"/>
        <w:right w:val="none" w:sz="0" w:space="0" w:color="auto"/>
      </w:divBdr>
      <w:divsChild>
        <w:div w:id="1380401479">
          <w:marLeft w:val="0"/>
          <w:marRight w:val="0"/>
          <w:marTop w:val="0"/>
          <w:marBottom w:val="0"/>
          <w:divBdr>
            <w:top w:val="none" w:sz="0" w:space="0" w:color="auto"/>
            <w:left w:val="none" w:sz="0" w:space="0" w:color="auto"/>
            <w:bottom w:val="none" w:sz="0" w:space="0" w:color="auto"/>
            <w:right w:val="none" w:sz="0" w:space="0" w:color="auto"/>
          </w:divBdr>
          <w:divsChild>
            <w:div w:id="1529760292">
              <w:marLeft w:val="0"/>
              <w:marRight w:val="0"/>
              <w:marTop w:val="0"/>
              <w:marBottom w:val="0"/>
              <w:divBdr>
                <w:top w:val="none" w:sz="0" w:space="0" w:color="auto"/>
                <w:left w:val="none" w:sz="0" w:space="0" w:color="auto"/>
                <w:bottom w:val="none" w:sz="0" w:space="0" w:color="auto"/>
                <w:right w:val="none" w:sz="0" w:space="0" w:color="auto"/>
              </w:divBdr>
              <w:divsChild>
                <w:div w:id="1251508125">
                  <w:marLeft w:val="0"/>
                  <w:marRight w:val="0"/>
                  <w:marTop w:val="0"/>
                  <w:marBottom w:val="0"/>
                  <w:divBdr>
                    <w:top w:val="none" w:sz="0" w:space="0" w:color="auto"/>
                    <w:left w:val="none" w:sz="0" w:space="0" w:color="auto"/>
                    <w:bottom w:val="none" w:sz="0" w:space="0" w:color="auto"/>
                    <w:right w:val="none" w:sz="0" w:space="0" w:color="auto"/>
                  </w:divBdr>
                  <w:divsChild>
                    <w:div w:id="264076492">
                      <w:marLeft w:val="0"/>
                      <w:marRight w:val="0"/>
                      <w:marTop w:val="0"/>
                      <w:marBottom w:val="0"/>
                      <w:divBdr>
                        <w:top w:val="none" w:sz="0" w:space="0" w:color="auto"/>
                        <w:left w:val="none" w:sz="0" w:space="0" w:color="auto"/>
                        <w:bottom w:val="none" w:sz="0" w:space="0" w:color="auto"/>
                        <w:right w:val="none" w:sz="0" w:space="0" w:color="auto"/>
                      </w:divBdr>
                      <w:divsChild>
                        <w:div w:id="9020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322735">
      <w:bodyDiv w:val="1"/>
      <w:marLeft w:val="0"/>
      <w:marRight w:val="0"/>
      <w:marTop w:val="0"/>
      <w:marBottom w:val="0"/>
      <w:divBdr>
        <w:top w:val="none" w:sz="0" w:space="0" w:color="auto"/>
        <w:left w:val="none" w:sz="0" w:space="0" w:color="auto"/>
        <w:bottom w:val="none" w:sz="0" w:space="0" w:color="auto"/>
        <w:right w:val="none" w:sz="0" w:space="0" w:color="auto"/>
      </w:divBdr>
    </w:div>
    <w:div w:id="1531528343">
      <w:bodyDiv w:val="1"/>
      <w:marLeft w:val="0"/>
      <w:marRight w:val="0"/>
      <w:marTop w:val="0"/>
      <w:marBottom w:val="0"/>
      <w:divBdr>
        <w:top w:val="none" w:sz="0" w:space="0" w:color="auto"/>
        <w:left w:val="none" w:sz="0" w:space="0" w:color="auto"/>
        <w:bottom w:val="none" w:sz="0" w:space="0" w:color="auto"/>
        <w:right w:val="none" w:sz="0" w:space="0" w:color="auto"/>
      </w:divBdr>
    </w:div>
    <w:div w:id="1531603027">
      <w:bodyDiv w:val="1"/>
      <w:marLeft w:val="0"/>
      <w:marRight w:val="0"/>
      <w:marTop w:val="0"/>
      <w:marBottom w:val="0"/>
      <w:divBdr>
        <w:top w:val="none" w:sz="0" w:space="0" w:color="auto"/>
        <w:left w:val="none" w:sz="0" w:space="0" w:color="auto"/>
        <w:bottom w:val="none" w:sz="0" w:space="0" w:color="auto"/>
        <w:right w:val="none" w:sz="0" w:space="0" w:color="auto"/>
      </w:divBdr>
    </w:div>
    <w:div w:id="1535461151">
      <w:bodyDiv w:val="1"/>
      <w:marLeft w:val="0"/>
      <w:marRight w:val="0"/>
      <w:marTop w:val="0"/>
      <w:marBottom w:val="0"/>
      <w:divBdr>
        <w:top w:val="none" w:sz="0" w:space="0" w:color="auto"/>
        <w:left w:val="none" w:sz="0" w:space="0" w:color="auto"/>
        <w:bottom w:val="none" w:sz="0" w:space="0" w:color="auto"/>
        <w:right w:val="none" w:sz="0" w:space="0" w:color="auto"/>
      </w:divBdr>
    </w:div>
    <w:div w:id="1549948247">
      <w:bodyDiv w:val="1"/>
      <w:marLeft w:val="0"/>
      <w:marRight w:val="0"/>
      <w:marTop w:val="0"/>
      <w:marBottom w:val="0"/>
      <w:divBdr>
        <w:top w:val="none" w:sz="0" w:space="0" w:color="auto"/>
        <w:left w:val="none" w:sz="0" w:space="0" w:color="auto"/>
        <w:bottom w:val="none" w:sz="0" w:space="0" w:color="auto"/>
        <w:right w:val="none" w:sz="0" w:space="0" w:color="auto"/>
      </w:divBdr>
    </w:div>
    <w:div w:id="1551109943">
      <w:bodyDiv w:val="1"/>
      <w:marLeft w:val="0"/>
      <w:marRight w:val="0"/>
      <w:marTop w:val="0"/>
      <w:marBottom w:val="0"/>
      <w:divBdr>
        <w:top w:val="none" w:sz="0" w:space="0" w:color="auto"/>
        <w:left w:val="none" w:sz="0" w:space="0" w:color="auto"/>
        <w:bottom w:val="none" w:sz="0" w:space="0" w:color="auto"/>
        <w:right w:val="none" w:sz="0" w:space="0" w:color="auto"/>
      </w:divBdr>
    </w:div>
    <w:div w:id="1558660885">
      <w:bodyDiv w:val="1"/>
      <w:marLeft w:val="0"/>
      <w:marRight w:val="0"/>
      <w:marTop w:val="0"/>
      <w:marBottom w:val="0"/>
      <w:divBdr>
        <w:top w:val="none" w:sz="0" w:space="0" w:color="auto"/>
        <w:left w:val="none" w:sz="0" w:space="0" w:color="auto"/>
        <w:bottom w:val="none" w:sz="0" w:space="0" w:color="auto"/>
        <w:right w:val="none" w:sz="0" w:space="0" w:color="auto"/>
      </w:divBdr>
    </w:div>
    <w:div w:id="1599172099">
      <w:bodyDiv w:val="1"/>
      <w:marLeft w:val="0"/>
      <w:marRight w:val="0"/>
      <w:marTop w:val="0"/>
      <w:marBottom w:val="0"/>
      <w:divBdr>
        <w:top w:val="none" w:sz="0" w:space="0" w:color="auto"/>
        <w:left w:val="none" w:sz="0" w:space="0" w:color="auto"/>
        <w:bottom w:val="none" w:sz="0" w:space="0" w:color="auto"/>
        <w:right w:val="none" w:sz="0" w:space="0" w:color="auto"/>
      </w:divBdr>
    </w:div>
    <w:div w:id="1605533131">
      <w:bodyDiv w:val="1"/>
      <w:marLeft w:val="0"/>
      <w:marRight w:val="0"/>
      <w:marTop w:val="0"/>
      <w:marBottom w:val="0"/>
      <w:divBdr>
        <w:top w:val="none" w:sz="0" w:space="0" w:color="auto"/>
        <w:left w:val="none" w:sz="0" w:space="0" w:color="auto"/>
        <w:bottom w:val="none" w:sz="0" w:space="0" w:color="auto"/>
        <w:right w:val="none" w:sz="0" w:space="0" w:color="auto"/>
      </w:divBdr>
    </w:div>
    <w:div w:id="1607155355">
      <w:bodyDiv w:val="1"/>
      <w:marLeft w:val="0"/>
      <w:marRight w:val="0"/>
      <w:marTop w:val="0"/>
      <w:marBottom w:val="0"/>
      <w:divBdr>
        <w:top w:val="none" w:sz="0" w:space="0" w:color="auto"/>
        <w:left w:val="none" w:sz="0" w:space="0" w:color="auto"/>
        <w:bottom w:val="none" w:sz="0" w:space="0" w:color="auto"/>
        <w:right w:val="none" w:sz="0" w:space="0" w:color="auto"/>
      </w:divBdr>
    </w:div>
    <w:div w:id="1621841965">
      <w:bodyDiv w:val="1"/>
      <w:marLeft w:val="0"/>
      <w:marRight w:val="0"/>
      <w:marTop w:val="0"/>
      <w:marBottom w:val="0"/>
      <w:divBdr>
        <w:top w:val="none" w:sz="0" w:space="0" w:color="auto"/>
        <w:left w:val="none" w:sz="0" w:space="0" w:color="auto"/>
        <w:bottom w:val="none" w:sz="0" w:space="0" w:color="auto"/>
        <w:right w:val="none" w:sz="0" w:space="0" w:color="auto"/>
      </w:divBdr>
    </w:div>
    <w:div w:id="1622686273">
      <w:bodyDiv w:val="1"/>
      <w:marLeft w:val="0"/>
      <w:marRight w:val="0"/>
      <w:marTop w:val="0"/>
      <w:marBottom w:val="0"/>
      <w:divBdr>
        <w:top w:val="none" w:sz="0" w:space="0" w:color="auto"/>
        <w:left w:val="none" w:sz="0" w:space="0" w:color="auto"/>
        <w:bottom w:val="none" w:sz="0" w:space="0" w:color="auto"/>
        <w:right w:val="none" w:sz="0" w:space="0" w:color="auto"/>
      </w:divBdr>
    </w:div>
    <w:div w:id="1649937642">
      <w:bodyDiv w:val="1"/>
      <w:marLeft w:val="0"/>
      <w:marRight w:val="0"/>
      <w:marTop w:val="0"/>
      <w:marBottom w:val="0"/>
      <w:divBdr>
        <w:top w:val="none" w:sz="0" w:space="0" w:color="auto"/>
        <w:left w:val="none" w:sz="0" w:space="0" w:color="auto"/>
        <w:bottom w:val="none" w:sz="0" w:space="0" w:color="auto"/>
        <w:right w:val="none" w:sz="0" w:space="0" w:color="auto"/>
      </w:divBdr>
      <w:divsChild>
        <w:div w:id="256643699">
          <w:marLeft w:val="0"/>
          <w:marRight w:val="0"/>
          <w:marTop w:val="0"/>
          <w:marBottom w:val="0"/>
          <w:divBdr>
            <w:top w:val="none" w:sz="0" w:space="0" w:color="auto"/>
            <w:left w:val="none" w:sz="0" w:space="0" w:color="auto"/>
            <w:bottom w:val="none" w:sz="0" w:space="0" w:color="auto"/>
            <w:right w:val="none" w:sz="0" w:space="0" w:color="auto"/>
          </w:divBdr>
          <w:divsChild>
            <w:div w:id="1165629912">
              <w:marLeft w:val="0"/>
              <w:marRight w:val="0"/>
              <w:marTop w:val="0"/>
              <w:marBottom w:val="0"/>
              <w:divBdr>
                <w:top w:val="none" w:sz="0" w:space="0" w:color="auto"/>
                <w:left w:val="none" w:sz="0" w:space="0" w:color="auto"/>
                <w:bottom w:val="none" w:sz="0" w:space="0" w:color="auto"/>
                <w:right w:val="none" w:sz="0" w:space="0" w:color="auto"/>
              </w:divBdr>
              <w:divsChild>
                <w:div w:id="216671737">
                  <w:marLeft w:val="0"/>
                  <w:marRight w:val="0"/>
                  <w:marTop w:val="0"/>
                  <w:marBottom w:val="0"/>
                  <w:divBdr>
                    <w:top w:val="none" w:sz="0" w:space="0" w:color="auto"/>
                    <w:left w:val="none" w:sz="0" w:space="0" w:color="auto"/>
                    <w:bottom w:val="none" w:sz="0" w:space="0" w:color="auto"/>
                    <w:right w:val="none" w:sz="0" w:space="0" w:color="auto"/>
                  </w:divBdr>
                  <w:divsChild>
                    <w:div w:id="16347931">
                      <w:marLeft w:val="0"/>
                      <w:marRight w:val="0"/>
                      <w:marTop w:val="0"/>
                      <w:marBottom w:val="0"/>
                      <w:divBdr>
                        <w:top w:val="none" w:sz="0" w:space="0" w:color="auto"/>
                        <w:left w:val="none" w:sz="0" w:space="0" w:color="auto"/>
                        <w:bottom w:val="none" w:sz="0" w:space="0" w:color="auto"/>
                        <w:right w:val="none" w:sz="0" w:space="0" w:color="auto"/>
                      </w:divBdr>
                      <w:divsChild>
                        <w:div w:id="2077971001">
                          <w:marLeft w:val="340"/>
                          <w:marRight w:val="0"/>
                          <w:marTop w:val="300"/>
                          <w:marBottom w:val="120"/>
                          <w:divBdr>
                            <w:top w:val="none" w:sz="0" w:space="0" w:color="auto"/>
                            <w:left w:val="none" w:sz="0" w:space="0" w:color="auto"/>
                            <w:bottom w:val="none" w:sz="0" w:space="0" w:color="auto"/>
                            <w:right w:val="none" w:sz="0" w:space="0" w:color="auto"/>
                          </w:divBdr>
                          <w:divsChild>
                            <w:div w:id="1186020589">
                              <w:marLeft w:val="0"/>
                              <w:marRight w:val="0"/>
                              <w:marTop w:val="0"/>
                              <w:marBottom w:val="0"/>
                              <w:divBdr>
                                <w:top w:val="none" w:sz="0" w:space="0" w:color="auto"/>
                                <w:left w:val="none" w:sz="0" w:space="0" w:color="auto"/>
                                <w:bottom w:val="none" w:sz="0" w:space="0" w:color="auto"/>
                                <w:right w:val="none" w:sz="0" w:space="0" w:color="auto"/>
                              </w:divBdr>
                              <w:divsChild>
                                <w:div w:id="1198855595">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390999926">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63651338">
                                          <w:blockQuote w:val="1"/>
                                          <w:marLeft w:val="600"/>
                                          <w:marRight w:val="0"/>
                                          <w:marTop w:val="120"/>
                                          <w:marBottom w:val="120"/>
                                          <w:divBdr>
                                            <w:top w:val="none" w:sz="0" w:space="0" w:color="auto"/>
                                            <w:left w:val="none" w:sz="0" w:space="0" w:color="auto"/>
                                            <w:bottom w:val="none" w:sz="0" w:space="0" w:color="auto"/>
                                            <w:right w:val="none" w:sz="0" w:space="0" w:color="auto"/>
                                          </w:divBdr>
                                        </w:div>
                                        <w:div w:id="183830299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414160">
      <w:bodyDiv w:val="1"/>
      <w:marLeft w:val="0"/>
      <w:marRight w:val="0"/>
      <w:marTop w:val="0"/>
      <w:marBottom w:val="0"/>
      <w:divBdr>
        <w:top w:val="none" w:sz="0" w:space="0" w:color="auto"/>
        <w:left w:val="none" w:sz="0" w:space="0" w:color="auto"/>
        <w:bottom w:val="none" w:sz="0" w:space="0" w:color="auto"/>
        <w:right w:val="none" w:sz="0" w:space="0" w:color="auto"/>
      </w:divBdr>
    </w:div>
    <w:div w:id="1759253388">
      <w:bodyDiv w:val="1"/>
      <w:marLeft w:val="0"/>
      <w:marRight w:val="0"/>
      <w:marTop w:val="0"/>
      <w:marBottom w:val="0"/>
      <w:divBdr>
        <w:top w:val="none" w:sz="0" w:space="0" w:color="auto"/>
        <w:left w:val="none" w:sz="0" w:space="0" w:color="auto"/>
        <w:bottom w:val="none" w:sz="0" w:space="0" w:color="auto"/>
        <w:right w:val="none" w:sz="0" w:space="0" w:color="auto"/>
      </w:divBdr>
    </w:div>
    <w:div w:id="1772699409">
      <w:bodyDiv w:val="1"/>
      <w:marLeft w:val="0"/>
      <w:marRight w:val="0"/>
      <w:marTop w:val="0"/>
      <w:marBottom w:val="0"/>
      <w:divBdr>
        <w:top w:val="none" w:sz="0" w:space="0" w:color="auto"/>
        <w:left w:val="none" w:sz="0" w:space="0" w:color="auto"/>
        <w:bottom w:val="none" w:sz="0" w:space="0" w:color="auto"/>
        <w:right w:val="none" w:sz="0" w:space="0" w:color="auto"/>
      </w:divBdr>
    </w:div>
    <w:div w:id="1789080779">
      <w:bodyDiv w:val="1"/>
      <w:marLeft w:val="0"/>
      <w:marRight w:val="0"/>
      <w:marTop w:val="0"/>
      <w:marBottom w:val="0"/>
      <w:divBdr>
        <w:top w:val="none" w:sz="0" w:space="0" w:color="auto"/>
        <w:left w:val="none" w:sz="0" w:space="0" w:color="auto"/>
        <w:bottom w:val="none" w:sz="0" w:space="0" w:color="auto"/>
        <w:right w:val="none" w:sz="0" w:space="0" w:color="auto"/>
      </w:divBdr>
    </w:div>
    <w:div w:id="1828477421">
      <w:bodyDiv w:val="1"/>
      <w:marLeft w:val="0"/>
      <w:marRight w:val="0"/>
      <w:marTop w:val="0"/>
      <w:marBottom w:val="0"/>
      <w:divBdr>
        <w:top w:val="none" w:sz="0" w:space="0" w:color="auto"/>
        <w:left w:val="none" w:sz="0" w:space="0" w:color="auto"/>
        <w:bottom w:val="none" w:sz="0" w:space="0" w:color="auto"/>
        <w:right w:val="none" w:sz="0" w:space="0" w:color="auto"/>
      </w:divBdr>
    </w:div>
    <w:div w:id="1838954938">
      <w:bodyDiv w:val="1"/>
      <w:marLeft w:val="0"/>
      <w:marRight w:val="0"/>
      <w:marTop w:val="0"/>
      <w:marBottom w:val="0"/>
      <w:divBdr>
        <w:top w:val="none" w:sz="0" w:space="0" w:color="auto"/>
        <w:left w:val="none" w:sz="0" w:space="0" w:color="auto"/>
        <w:bottom w:val="none" w:sz="0" w:space="0" w:color="auto"/>
        <w:right w:val="none" w:sz="0" w:space="0" w:color="auto"/>
      </w:divBdr>
    </w:div>
    <w:div w:id="1843229864">
      <w:bodyDiv w:val="1"/>
      <w:marLeft w:val="0"/>
      <w:marRight w:val="0"/>
      <w:marTop w:val="0"/>
      <w:marBottom w:val="0"/>
      <w:divBdr>
        <w:top w:val="none" w:sz="0" w:space="0" w:color="auto"/>
        <w:left w:val="none" w:sz="0" w:space="0" w:color="auto"/>
        <w:bottom w:val="none" w:sz="0" w:space="0" w:color="auto"/>
        <w:right w:val="none" w:sz="0" w:space="0" w:color="auto"/>
      </w:divBdr>
    </w:div>
    <w:div w:id="1861115153">
      <w:bodyDiv w:val="1"/>
      <w:marLeft w:val="0"/>
      <w:marRight w:val="0"/>
      <w:marTop w:val="0"/>
      <w:marBottom w:val="0"/>
      <w:divBdr>
        <w:top w:val="none" w:sz="0" w:space="0" w:color="auto"/>
        <w:left w:val="none" w:sz="0" w:space="0" w:color="auto"/>
        <w:bottom w:val="none" w:sz="0" w:space="0" w:color="auto"/>
        <w:right w:val="none" w:sz="0" w:space="0" w:color="auto"/>
      </w:divBdr>
      <w:divsChild>
        <w:div w:id="1823816271">
          <w:marLeft w:val="0"/>
          <w:marRight w:val="0"/>
          <w:marTop w:val="0"/>
          <w:marBottom w:val="0"/>
          <w:divBdr>
            <w:top w:val="none" w:sz="0" w:space="0" w:color="auto"/>
            <w:left w:val="none" w:sz="0" w:space="0" w:color="auto"/>
            <w:bottom w:val="none" w:sz="0" w:space="0" w:color="auto"/>
            <w:right w:val="none" w:sz="0" w:space="0" w:color="auto"/>
          </w:divBdr>
          <w:divsChild>
            <w:div w:id="450442083">
              <w:marLeft w:val="0"/>
              <w:marRight w:val="0"/>
              <w:marTop w:val="0"/>
              <w:marBottom w:val="0"/>
              <w:divBdr>
                <w:top w:val="none" w:sz="0" w:space="0" w:color="auto"/>
                <w:left w:val="none" w:sz="0" w:space="0" w:color="auto"/>
                <w:bottom w:val="none" w:sz="0" w:space="0" w:color="auto"/>
                <w:right w:val="none" w:sz="0" w:space="0" w:color="auto"/>
              </w:divBdr>
              <w:divsChild>
                <w:div w:id="1071736846">
                  <w:marLeft w:val="0"/>
                  <w:marRight w:val="0"/>
                  <w:marTop w:val="0"/>
                  <w:marBottom w:val="0"/>
                  <w:divBdr>
                    <w:top w:val="none" w:sz="0" w:space="0" w:color="auto"/>
                    <w:left w:val="none" w:sz="0" w:space="0" w:color="auto"/>
                    <w:bottom w:val="none" w:sz="0" w:space="0" w:color="auto"/>
                    <w:right w:val="none" w:sz="0" w:space="0" w:color="auto"/>
                  </w:divBdr>
                  <w:divsChild>
                    <w:div w:id="581069129">
                      <w:marLeft w:val="0"/>
                      <w:marRight w:val="0"/>
                      <w:marTop w:val="0"/>
                      <w:marBottom w:val="0"/>
                      <w:divBdr>
                        <w:top w:val="none" w:sz="0" w:space="0" w:color="auto"/>
                        <w:left w:val="none" w:sz="0" w:space="0" w:color="auto"/>
                        <w:bottom w:val="none" w:sz="0" w:space="0" w:color="auto"/>
                        <w:right w:val="none" w:sz="0" w:space="0" w:color="auto"/>
                      </w:divBdr>
                      <w:divsChild>
                        <w:div w:id="9503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 w:id="1933195377">
      <w:bodyDiv w:val="1"/>
      <w:marLeft w:val="0"/>
      <w:marRight w:val="0"/>
      <w:marTop w:val="0"/>
      <w:marBottom w:val="0"/>
      <w:divBdr>
        <w:top w:val="none" w:sz="0" w:space="0" w:color="auto"/>
        <w:left w:val="none" w:sz="0" w:space="0" w:color="auto"/>
        <w:bottom w:val="none" w:sz="0" w:space="0" w:color="auto"/>
        <w:right w:val="none" w:sz="0" w:space="0" w:color="auto"/>
      </w:divBdr>
    </w:div>
    <w:div w:id="1961299567">
      <w:bodyDiv w:val="1"/>
      <w:marLeft w:val="0"/>
      <w:marRight w:val="0"/>
      <w:marTop w:val="0"/>
      <w:marBottom w:val="0"/>
      <w:divBdr>
        <w:top w:val="none" w:sz="0" w:space="0" w:color="auto"/>
        <w:left w:val="none" w:sz="0" w:space="0" w:color="auto"/>
        <w:bottom w:val="none" w:sz="0" w:space="0" w:color="auto"/>
        <w:right w:val="none" w:sz="0" w:space="0" w:color="auto"/>
      </w:divBdr>
    </w:div>
    <w:div w:id="1996491164">
      <w:bodyDiv w:val="1"/>
      <w:marLeft w:val="0"/>
      <w:marRight w:val="0"/>
      <w:marTop w:val="0"/>
      <w:marBottom w:val="0"/>
      <w:divBdr>
        <w:top w:val="none" w:sz="0" w:space="0" w:color="auto"/>
        <w:left w:val="none" w:sz="0" w:space="0" w:color="auto"/>
        <w:bottom w:val="none" w:sz="0" w:space="0" w:color="auto"/>
        <w:right w:val="none" w:sz="0" w:space="0" w:color="auto"/>
      </w:divBdr>
      <w:divsChild>
        <w:div w:id="564681284">
          <w:marLeft w:val="0"/>
          <w:marRight w:val="0"/>
          <w:marTop w:val="0"/>
          <w:marBottom w:val="0"/>
          <w:divBdr>
            <w:top w:val="none" w:sz="0" w:space="0" w:color="auto"/>
            <w:left w:val="none" w:sz="0" w:space="0" w:color="auto"/>
            <w:bottom w:val="none" w:sz="0" w:space="0" w:color="auto"/>
            <w:right w:val="none" w:sz="0" w:space="0" w:color="auto"/>
          </w:divBdr>
          <w:divsChild>
            <w:div w:id="743183469">
              <w:marLeft w:val="0"/>
              <w:marRight w:val="0"/>
              <w:marTop w:val="0"/>
              <w:marBottom w:val="0"/>
              <w:divBdr>
                <w:top w:val="none" w:sz="0" w:space="0" w:color="auto"/>
                <w:left w:val="none" w:sz="0" w:space="0" w:color="auto"/>
                <w:bottom w:val="none" w:sz="0" w:space="0" w:color="auto"/>
                <w:right w:val="none" w:sz="0" w:space="0" w:color="auto"/>
              </w:divBdr>
              <w:divsChild>
                <w:div w:id="680350243">
                  <w:marLeft w:val="0"/>
                  <w:marRight w:val="0"/>
                  <w:marTop w:val="0"/>
                  <w:marBottom w:val="0"/>
                  <w:divBdr>
                    <w:top w:val="none" w:sz="0" w:space="0" w:color="auto"/>
                    <w:left w:val="none" w:sz="0" w:space="0" w:color="auto"/>
                    <w:bottom w:val="none" w:sz="0" w:space="0" w:color="auto"/>
                    <w:right w:val="none" w:sz="0" w:space="0" w:color="auto"/>
                  </w:divBdr>
                  <w:divsChild>
                    <w:div w:id="800154899">
                      <w:marLeft w:val="0"/>
                      <w:marRight w:val="0"/>
                      <w:marTop w:val="0"/>
                      <w:marBottom w:val="0"/>
                      <w:divBdr>
                        <w:top w:val="none" w:sz="0" w:space="0" w:color="auto"/>
                        <w:left w:val="none" w:sz="0" w:space="0" w:color="auto"/>
                        <w:bottom w:val="none" w:sz="0" w:space="0" w:color="auto"/>
                        <w:right w:val="none" w:sz="0" w:space="0" w:color="auto"/>
                      </w:divBdr>
                      <w:divsChild>
                        <w:div w:id="616453697">
                          <w:marLeft w:val="340"/>
                          <w:marRight w:val="0"/>
                          <w:marTop w:val="300"/>
                          <w:marBottom w:val="120"/>
                          <w:divBdr>
                            <w:top w:val="none" w:sz="0" w:space="0" w:color="auto"/>
                            <w:left w:val="none" w:sz="0" w:space="0" w:color="auto"/>
                            <w:bottom w:val="none" w:sz="0" w:space="0" w:color="auto"/>
                            <w:right w:val="none" w:sz="0" w:space="0" w:color="auto"/>
                          </w:divBdr>
                          <w:divsChild>
                            <w:div w:id="2132700842">
                              <w:marLeft w:val="0"/>
                              <w:marRight w:val="0"/>
                              <w:marTop w:val="0"/>
                              <w:marBottom w:val="0"/>
                              <w:divBdr>
                                <w:top w:val="none" w:sz="0" w:space="0" w:color="auto"/>
                                <w:left w:val="none" w:sz="0" w:space="0" w:color="auto"/>
                                <w:bottom w:val="none" w:sz="0" w:space="0" w:color="auto"/>
                                <w:right w:val="none" w:sz="0" w:space="0" w:color="auto"/>
                              </w:divBdr>
                              <w:divsChild>
                                <w:div w:id="1125081895">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667437141">
                                      <w:blockQuote w:val="1"/>
                                      <w:marLeft w:val="600"/>
                                      <w:marRight w:val="0"/>
                                      <w:marTop w:val="120"/>
                                      <w:marBottom w:val="120"/>
                                      <w:divBdr>
                                        <w:top w:val="none" w:sz="0" w:space="0" w:color="auto"/>
                                        <w:left w:val="none" w:sz="0" w:space="0" w:color="auto"/>
                                        <w:bottom w:val="none" w:sz="0" w:space="0" w:color="auto"/>
                                        <w:right w:val="none" w:sz="0" w:space="0" w:color="auto"/>
                                      </w:divBdr>
                                    </w:div>
                                    <w:div w:id="209311915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836306">
      <w:bodyDiv w:val="1"/>
      <w:marLeft w:val="0"/>
      <w:marRight w:val="0"/>
      <w:marTop w:val="0"/>
      <w:marBottom w:val="0"/>
      <w:divBdr>
        <w:top w:val="none" w:sz="0" w:space="0" w:color="auto"/>
        <w:left w:val="none" w:sz="0" w:space="0" w:color="auto"/>
        <w:bottom w:val="none" w:sz="0" w:space="0" w:color="auto"/>
        <w:right w:val="none" w:sz="0" w:space="0" w:color="auto"/>
      </w:divBdr>
    </w:div>
    <w:div w:id="2040009795">
      <w:bodyDiv w:val="1"/>
      <w:marLeft w:val="0"/>
      <w:marRight w:val="0"/>
      <w:marTop w:val="0"/>
      <w:marBottom w:val="0"/>
      <w:divBdr>
        <w:top w:val="none" w:sz="0" w:space="0" w:color="auto"/>
        <w:left w:val="none" w:sz="0" w:space="0" w:color="auto"/>
        <w:bottom w:val="none" w:sz="0" w:space="0" w:color="auto"/>
        <w:right w:val="none" w:sz="0" w:space="0" w:color="auto"/>
      </w:divBdr>
    </w:div>
    <w:div w:id="2040471149">
      <w:bodyDiv w:val="1"/>
      <w:marLeft w:val="0"/>
      <w:marRight w:val="0"/>
      <w:marTop w:val="0"/>
      <w:marBottom w:val="0"/>
      <w:divBdr>
        <w:top w:val="none" w:sz="0" w:space="0" w:color="auto"/>
        <w:left w:val="none" w:sz="0" w:space="0" w:color="auto"/>
        <w:bottom w:val="none" w:sz="0" w:space="0" w:color="auto"/>
        <w:right w:val="none" w:sz="0" w:space="0" w:color="auto"/>
      </w:divBdr>
    </w:div>
    <w:div w:id="2047442249">
      <w:bodyDiv w:val="1"/>
      <w:marLeft w:val="0"/>
      <w:marRight w:val="0"/>
      <w:marTop w:val="0"/>
      <w:marBottom w:val="0"/>
      <w:divBdr>
        <w:top w:val="none" w:sz="0" w:space="0" w:color="auto"/>
        <w:left w:val="none" w:sz="0" w:space="0" w:color="auto"/>
        <w:bottom w:val="none" w:sz="0" w:space="0" w:color="auto"/>
        <w:right w:val="none" w:sz="0" w:space="0" w:color="auto"/>
      </w:divBdr>
    </w:div>
    <w:div w:id="2064983558">
      <w:bodyDiv w:val="1"/>
      <w:marLeft w:val="0"/>
      <w:marRight w:val="0"/>
      <w:marTop w:val="0"/>
      <w:marBottom w:val="0"/>
      <w:divBdr>
        <w:top w:val="none" w:sz="0" w:space="0" w:color="auto"/>
        <w:left w:val="none" w:sz="0" w:space="0" w:color="auto"/>
        <w:bottom w:val="none" w:sz="0" w:space="0" w:color="auto"/>
        <w:right w:val="none" w:sz="0" w:space="0" w:color="auto"/>
      </w:divBdr>
    </w:div>
    <w:div w:id="2096395554">
      <w:bodyDiv w:val="1"/>
      <w:marLeft w:val="0"/>
      <w:marRight w:val="0"/>
      <w:marTop w:val="0"/>
      <w:marBottom w:val="0"/>
      <w:divBdr>
        <w:top w:val="none" w:sz="0" w:space="0" w:color="auto"/>
        <w:left w:val="none" w:sz="0" w:space="0" w:color="auto"/>
        <w:bottom w:val="none" w:sz="0" w:space="0" w:color="auto"/>
        <w:right w:val="none" w:sz="0" w:space="0" w:color="auto"/>
      </w:divBdr>
    </w:div>
    <w:div w:id="2104111384">
      <w:bodyDiv w:val="1"/>
      <w:marLeft w:val="0"/>
      <w:marRight w:val="0"/>
      <w:marTop w:val="0"/>
      <w:marBottom w:val="0"/>
      <w:divBdr>
        <w:top w:val="none" w:sz="0" w:space="0" w:color="auto"/>
        <w:left w:val="none" w:sz="0" w:space="0" w:color="auto"/>
        <w:bottom w:val="none" w:sz="0" w:space="0" w:color="auto"/>
        <w:right w:val="none" w:sz="0" w:space="0" w:color="auto"/>
      </w:divBdr>
    </w:div>
    <w:div w:id="2111049061">
      <w:bodyDiv w:val="1"/>
      <w:marLeft w:val="0"/>
      <w:marRight w:val="0"/>
      <w:marTop w:val="0"/>
      <w:marBottom w:val="0"/>
      <w:divBdr>
        <w:top w:val="none" w:sz="0" w:space="0" w:color="auto"/>
        <w:left w:val="none" w:sz="0" w:space="0" w:color="auto"/>
        <w:bottom w:val="none" w:sz="0" w:space="0" w:color="auto"/>
        <w:right w:val="none" w:sz="0" w:space="0" w:color="auto"/>
      </w:divBdr>
    </w:div>
    <w:div w:id="214114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dsdsatsip.qld.gov.au/about-us/corporate-publications/strategic-plan" TargetMode="External"/><Relationship Id="rId39" Type="http://schemas.openxmlformats.org/officeDocument/2006/relationships/hyperlink" Target="https://iDOCS.ebus.root.internal/otcsdav/nodes/113153407/EE9A0631.xlsx" TargetMode="External"/><Relationship Id="rId21" Type="http://schemas.openxmlformats.org/officeDocument/2006/relationships/hyperlink" Target="mailto:enquiries@dsdsatsip.qld.gov.au" TargetMode="External"/><Relationship Id="rId34" Type="http://schemas.openxmlformats.org/officeDocument/2006/relationships/hyperlink" Target="https://iDOCS.ebus.root.internal/otcsdav/nodes/113153407/EE9A0631.xlsx" TargetMode="External"/><Relationship Id="rId42" Type="http://schemas.openxmlformats.org/officeDocument/2006/relationships/hyperlink" Target="https://iDOCS.ebus.root.internal/otcsdav/nodes/113153407/EE9A0631.xlsx" TargetMode="External"/><Relationship Id="rId47" Type="http://schemas.openxmlformats.org/officeDocument/2006/relationships/footer" Target="footer2.xm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legislation.qld.gov.au/view/pdf/inforce/2013-09-23/act-2013002"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iDOCS.ebus.root.internal/otcsdav/nodes/113153407/EE9A0631.xlsx" TargetMode="External"/><Relationship Id="rId37" Type="http://schemas.openxmlformats.org/officeDocument/2006/relationships/footer" Target="footer1.xml"/><Relationship Id="rId40" Type="http://schemas.openxmlformats.org/officeDocument/2006/relationships/hyperlink" Target="https://iDOCS.ebus.root.internal/otcsdav/nodes/113153407/EE9A0631.xlsx" TargetMode="External"/><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hyperlink" Target="https://iDOCS.ebus.root.internal/otcsdav/nodes/113153407/EE9A0631.xlsx" TargetMode="External"/><Relationship Id="rId44" Type="http://schemas.openxmlformats.org/officeDocument/2006/relationships/hyperlink" Target="https://iDOCS.ebus.root.internal/otcsdav/nodes/113153407/EE9A0631.xlsx"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dsatsip.qld.gov.au" TargetMode="External"/><Relationship Id="rId22" Type="http://schemas.openxmlformats.org/officeDocument/2006/relationships/hyperlink" Target="http://www.dsdsatsip.qld.gov.au" TargetMode="External"/><Relationship Id="rId27" Type="http://schemas.openxmlformats.org/officeDocument/2006/relationships/hyperlink" Target="https://www.dsdsatsip.qld.gov.au/our-work/aboriginal-torres-strait-islander-partnerships/reconciliation-tracks-treaty/closing-gap" TargetMode="External"/><Relationship Id="rId30" Type="http://schemas.openxmlformats.org/officeDocument/2006/relationships/hyperlink" Target="https://www.legislation.qld.gov.au/view/pdf/inforce/2019-10-09/act-1984-051" TargetMode="External"/><Relationship Id="rId35" Type="http://schemas.openxmlformats.org/officeDocument/2006/relationships/hyperlink" Target="https://iDOCS.ebus.root.internal/otcsdav/nodes/113153407/EE9A0631.xlsx" TargetMode="External"/><Relationship Id="rId43" Type="http://schemas.openxmlformats.org/officeDocument/2006/relationships/hyperlink" Target="https://iDOCS.ebus.root.internal/otcsdav/nodes/113153407/EE9A0631.xlsx"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qld.gov.au/help/languages" TargetMode="External"/><Relationship Id="rId25" Type="http://schemas.microsoft.com/office/2007/relationships/hdphoto" Target="media/hdphoto1.wdp"/><Relationship Id="rId33" Type="http://schemas.openxmlformats.org/officeDocument/2006/relationships/hyperlink" Target="https://iDOCS.ebus.root.internal/otcsdav/nodes/113153407/EE9A0631.xlsx" TargetMode="External"/><Relationship Id="rId38" Type="http://schemas.openxmlformats.org/officeDocument/2006/relationships/hyperlink" Target="https://iDOCS.ebus.root.internal/otcsdav/nodes/113153407/EE9A0631.xlsx" TargetMode="External"/><Relationship Id="rId46" Type="http://schemas.openxmlformats.org/officeDocument/2006/relationships/image" Target="media/image9.png"/><Relationship Id="rId20" Type="http://schemas.openxmlformats.org/officeDocument/2006/relationships/hyperlink" Target="https://creativecommons.org/licenses/by/4.0" TargetMode="External"/><Relationship Id="rId41" Type="http://schemas.openxmlformats.org/officeDocument/2006/relationships/hyperlink" Target="https://iDOCS.ebus.root.internal/otcsdav/nodes/113153407/EE9A0631.xls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nquiries@dsdsatsip.qld.gov.au" TargetMode="External"/><Relationship Id="rId23" Type="http://schemas.openxmlformats.org/officeDocument/2006/relationships/hyperlink" Target="https://www.getinvolved.qld.gov.au/gi/" TargetMode="External"/><Relationship Id="rId28" Type="http://schemas.openxmlformats.org/officeDocument/2006/relationships/hyperlink" Target="https://data.qld.gov.au" TargetMode="External"/><Relationship Id="rId36" Type="http://schemas.openxmlformats.org/officeDocument/2006/relationships/hyperlink" Target="https://iDOCS.ebus.root.internal/otcsdav/nodes/113153407/EE9A0631.xlsx" TargetMode="External"/><Relationship Id="rId49"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F60BF0A6868C34AB0EEE571C706A390" ma:contentTypeVersion="9" ma:contentTypeDescription="Create a new document." ma:contentTypeScope="" ma:versionID="87a9ca614c7d2ba57f8bddce061afd69">
  <xsd:schema xmlns:xsd="http://www.w3.org/2001/XMLSchema" xmlns:xs="http://www.w3.org/2001/XMLSchema" xmlns:p="http://schemas.microsoft.com/office/2006/metadata/properties" xmlns:ns3="04bf93d0-8d4f-4246-b2f2-85249239d7ff" targetNamespace="http://schemas.microsoft.com/office/2006/metadata/properties" ma:root="true" ma:fieldsID="b05bccecab58bc97deec3124b43be5c1" ns3:_="">
    <xsd:import namespace="04bf93d0-8d4f-4246-b2f2-85249239d7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f93d0-8d4f-4246-b2f2-85249239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FAFFF2-C180-4036-8D01-EFA4C82147D9}">
  <ds:schemaRefs>
    <ds:schemaRef ds:uri="http://schemas.openxmlformats.org/officeDocument/2006/bibliography"/>
  </ds:schemaRefs>
</ds:datastoreItem>
</file>

<file path=customXml/itemProps2.xml><?xml version="1.0" encoding="utf-8"?>
<ds:datastoreItem xmlns:ds="http://schemas.openxmlformats.org/officeDocument/2006/customXml" ds:itemID="{710FC548-1D6F-40F9-BC74-608BA9F08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f93d0-8d4f-4246-b2f2-85249239d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3FE2F-E5A0-472C-97AC-CFE03A50FFD5}">
  <ds:schemaRefs>
    <ds:schemaRef ds:uri="http://schemas.microsoft.com/sharepoint/v3/contenttype/forms"/>
  </ds:schemaRefs>
</ds:datastoreItem>
</file>

<file path=customXml/itemProps4.xml><?xml version="1.0" encoding="utf-8"?>
<ds:datastoreItem xmlns:ds="http://schemas.openxmlformats.org/officeDocument/2006/customXml" ds:itemID="{531910BB-A933-432D-9C7F-3FB55CDB9B7B}">
  <ds:schemaRefs>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04bf93d0-8d4f-4246-b2f2-85249239d7ff"/>
    <ds:schemaRef ds:uri="http://purl.org/dc/elements/1.1/"/>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134</Pages>
  <Words>53469</Words>
  <Characters>304778</Characters>
  <Application>Microsoft Office Word</Application>
  <DocSecurity>4</DocSecurity>
  <Lines>2539</Lines>
  <Paragraphs>715</Paragraphs>
  <ScaleCrop>false</ScaleCrop>
  <HeadingPairs>
    <vt:vector size="2" baseType="variant">
      <vt:variant>
        <vt:lpstr>Title</vt:lpstr>
      </vt:variant>
      <vt:variant>
        <vt:i4>1</vt:i4>
      </vt:variant>
    </vt:vector>
  </HeadingPairs>
  <TitlesOfParts>
    <vt:vector size="1" baseType="lpstr">
      <vt:lpstr>Department of Seniors, Disability Services and Aboriginal and Torres Strait Islander Partnerships Annual Report 2021-22</vt:lpstr>
    </vt:vector>
  </TitlesOfParts>
  <Manager/>
  <Company>Queensland Government</Company>
  <LinksUpToDate>false</LinksUpToDate>
  <CharactersWithSpaces>357532</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Seniors, Disability Services and Aboriginal and Torres Strait Islander Partnerships Annual Report 2021-22</dc:title>
  <dc:subject>Annual Report 2021-22</dc:subject>
  <dc:creator>Queensland Government</dc:creator>
  <cp:keywords>dsdsatsip; annual; report; department; strategic; governance; services; disability; seniors; Aboriginal; Torres Strait Islander; financial performance; capability; statements; boards; committees; purpose; vision; management; culture; objectives</cp:keywords>
  <dc:description/>
  <cp:lastModifiedBy>Tanya R Campbell</cp:lastModifiedBy>
  <cp:revision>2</cp:revision>
  <cp:lastPrinted>2022-09-29T04:27:00Z</cp:lastPrinted>
  <dcterms:created xsi:type="dcterms:W3CDTF">2022-09-29T05:37:00Z</dcterms:created>
  <dcterms:modified xsi:type="dcterms:W3CDTF">2022-09-29T05:37:00Z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y fmtid="{D5CDD505-2E9C-101B-9397-08002B2CF9AE}" pid="3" name="ContentTypeId">
    <vt:lpwstr>0x0101001F60BF0A6868C34AB0EEE571C706A390</vt:lpwstr>
  </property>
</Properties>
</file>