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55CAA" w14:textId="77777777" w:rsidR="00F565C6" w:rsidRDefault="00F565C6" w:rsidP="00F565C6">
      <w:pPr>
        <w:sectPr w:rsidR="00F565C6" w:rsidSect="00F565C6">
          <w:headerReference w:type="even" r:id="rId7"/>
          <w:footerReference w:type="default" r:id="rId8"/>
          <w:headerReference w:type="first" r:id="rId9"/>
          <w:footerReference w:type="first" r:id="rId10"/>
          <w:pgSz w:w="11900" w:h="16840"/>
          <w:pgMar w:top="1440" w:right="1021" w:bottom="1440" w:left="1021" w:header="1531" w:footer="1020" w:gutter="0"/>
          <w:cols w:num="2" w:space="708"/>
          <w:titlePg/>
          <w:docGrid w:linePitch="360"/>
        </w:sectPr>
      </w:pPr>
    </w:p>
    <w:p w14:paraId="5800BE52" w14:textId="793983D3" w:rsidR="00F565C6" w:rsidRDefault="00BF2C4A" w:rsidP="00BF2C4A">
      <w:pPr>
        <w:pStyle w:val="Heading1"/>
      </w:pPr>
      <w:r>
        <w:t>Protocol for Judicial Appointments in Queensland</w:t>
      </w:r>
    </w:p>
    <w:p w14:paraId="244B7352" w14:textId="77777777" w:rsidR="00BF2C4A" w:rsidRDefault="00BF2C4A" w:rsidP="00BF2C4A">
      <w:pPr>
        <w:rPr>
          <w:rFonts w:ascii="Arial" w:hAnsi="Arial" w:cs="Arial"/>
        </w:rPr>
      </w:pPr>
    </w:p>
    <w:p w14:paraId="56BE1E3A" w14:textId="777A2C04" w:rsidR="00C6194F" w:rsidRDefault="00BF2C4A" w:rsidP="00BF2C4A">
      <w:pPr>
        <w:rPr>
          <w:rFonts w:ascii="Arial" w:hAnsi="Arial" w:cs="Arial"/>
        </w:rPr>
      </w:pPr>
      <w:r w:rsidRPr="00957C5D">
        <w:rPr>
          <w:rFonts w:ascii="Arial" w:hAnsi="Arial" w:cs="Arial"/>
        </w:rPr>
        <w:t xml:space="preserve">This </w:t>
      </w:r>
      <w:r w:rsidR="003C2EEF">
        <w:rPr>
          <w:rFonts w:ascii="Arial" w:hAnsi="Arial" w:cs="Arial"/>
        </w:rPr>
        <w:t>Protocol</w:t>
      </w:r>
      <w:r w:rsidR="003C2EEF" w:rsidRPr="00957C5D">
        <w:rPr>
          <w:rFonts w:ascii="Arial" w:hAnsi="Arial" w:cs="Arial"/>
        </w:rPr>
        <w:t xml:space="preserve"> </w:t>
      </w:r>
      <w:r w:rsidRPr="00957C5D">
        <w:rPr>
          <w:rFonts w:ascii="Arial" w:hAnsi="Arial" w:cs="Arial"/>
        </w:rPr>
        <w:t xml:space="preserve">applies to the permanent appointment of judicial officers to the </w:t>
      </w:r>
      <w:r w:rsidR="00C6194F">
        <w:rPr>
          <w:rFonts w:ascii="Arial" w:hAnsi="Arial" w:cs="Arial"/>
        </w:rPr>
        <w:t>following courts:</w:t>
      </w:r>
    </w:p>
    <w:p w14:paraId="66FC547C" w14:textId="2B9830C7" w:rsidR="00C6194F" w:rsidRPr="00C6194F" w:rsidRDefault="00C6194F" w:rsidP="00C6194F">
      <w:pPr>
        <w:pStyle w:val="ListParagraph"/>
        <w:numPr>
          <w:ilvl w:val="0"/>
          <w:numId w:val="11"/>
        </w:numPr>
        <w:rPr>
          <w:rFonts w:ascii="Arial" w:hAnsi="Arial" w:cs="Arial"/>
        </w:rPr>
      </w:pPr>
      <w:r w:rsidRPr="00C6194F">
        <w:rPr>
          <w:rFonts w:ascii="Arial" w:hAnsi="Arial" w:cs="Arial"/>
        </w:rPr>
        <w:t>Supreme Court;</w:t>
      </w:r>
    </w:p>
    <w:p w14:paraId="0253B4D1" w14:textId="08940E46" w:rsidR="00C6194F" w:rsidRPr="00C6194F" w:rsidRDefault="00C6194F" w:rsidP="00C6194F">
      <w:pPr>
        <w:pStyle w:val="ListParagraph"/>
        <w:numPr>
          <w:ilvl w:val="0"/>
          <w:numId w:val="11"/>
        </w:numPr>
        <w:rPr>
          <w:rFonts w:ascii="Arial" w:hAnsi="Arial" w:cs="Arial"/>
        </w:rPr>
      </w:pPr>
      <w:r w:rsidRPr="00C6194F">
        <w:rPr>
          <w:rFonts w:ascii="Arial" w:hAnsi="Arial" w:cs="Arial"/>
        </w:rPr>
        <w:t xml:space="preserve">Court of Appeal; </w:t>
      </w:r>
    </w:p>
    <w:p w14:paraId="33955131" w14:textId="77777777" w:rsidR="00C6194F" w:rsidRPr="00C6194F" w:rsidRDefault="00C6194F" w:rsidP="00C6194F">
      <w:pPr>
        <w:pStyle w:val="ListParagraph"/>
        <w:numPr>
          <w:ilvl w:val="0"/>
          <w:numId w:val="11"/>
        </w:numPr>
        <w:rPr>
          <w:rFonts w:ascii="Arial" w:hAnsi="Arial" w:cs="Arial"/>
        </w:rPr>
      </w:pPr>
      <w:r w:rsidRPr="00C6194F">
        <w:rPr>
          <w:rFonts w:ascii="Arial" w:hAnsi="Arial" w:cs="Arial"/>
        </w:rPr>
        <w:t xml:space="preserve">District Court; </w:t>
      </w:r>
    </w:p>
    <w:p w14:paraId="29257E02" w14:textId="77777777" w:rsidR="00C6194F" w:rsidRPr="00C6194F" w:rsidRDefault="00C6194F" w:rsidP="00C6194F">
      <w:pPr>
        <w:pStyle w:val="ListParagraph"/>
        <w:numPr>
          <w:ilvl w:val="0"/>
          <w:numId w:val="11"/>
        </w:numPr>
        <w:rPr>
          <w:rFonts w:ascii="Arial" w:hAnsi="Arial" w:cs="Arial"/>
        </w:rPr>
      </w:pPr>
      <w:r w:rsidRPr="00C6194F">
        <w:rPr>
          <w:rFonts w:ascii="Arial" w:hAnsi="Arial" w:cs="Arial"/>
        </w:rPr>
        <w:t>Land Court; and</w:t>
      </w:r>
    </w:p>
    <w:p w14:paraId="43DAD238" w14:textId="24F780AD" w:rsidR="00BF2C4A" w:rsidRPr="00C6194F" w:rsidRDefault="00BF2C4A" w:rsidP="00C6194F">
      <w:pPr>
        <w:pStyle w:val="ListParagraph"/>
        <w:numPr>
          <w:ilvl w:val="0"/>
          <w:numId w:val="11"/>
        </w:numPr>
        <w:rPr>
          <w:rFonts w:ascii="Arial" w:hAnsi="Arial" w:cs="Arial"/>
        </w:rPr>
      </w:pPr>
      <w:r w:rsidRPr="00C6194F">
        <w:rPr>
          <w:rFonts w:ascii="Arial" w:hAnsi="Arial" w:cs="Arial"/>
        </w:rPr>
        <w:t>Magistrates</w:t>
      </w:r>
      <w:r w:rsidR="00C6194F" w:rsidRPr="00C6194F">
        <w:rPr>
          <w:rFonts w:ascii="Arial" w:hAnsi="Arial" w:cs="Arial"/>
        </w:rPr>
        <w:t xml:space="preserve"> Court</w:t>
      </w:r>
      <w:r w:rsidRPr="00C6194F">
        <w:rPr>
          <w:rFonts w:ascii="Arial" w:hAnsi="Arial" w:cs="Arial"/>
        </w:rPr>
        <w:t xml:space="preserve"> </w:t>
      </w:r>
    </w:p>
    <w:p w14:paraId="3CBF7574" w14:textId="77777777" w:rsidR="00BF2C4A" w:rsidRPr="00957C5D" w:rsidRDefault="00BF2C4A" w:rsidP="00BF2C4A">
      <w:pPr>
        <w:rPr>
          <w:rFonts w:ascii="Arial" w:hAnsi="Arial" w:cs="Arial"/>
        </w:rPr>
      </w:pPr>
      <w:r w:rsidRPr="00957C5D">
        <w:rPr>
          <w:rFonts w:ascii="Arial" w:hAnsi="Arial" w:cs="Arial"/>
        </w:rPr>
        <w:t xml:space="preserve">All steps taken under this Protocol are to be taken in a manner that respects the interests and protects confidentiality of all applicants, and of all persons consulted during the appointment process. </w:t>
      </w:r>
    </w:p>
    <w:p w14:paraId="1809A515" w14:textId="7D93D259" w:rsidR="00BF2C4A" w:rsidRPr="00957C5D" w:rsidRDefault="00BF2C4A" w:rsidP="00BF2C4A">
      <w:pPr>
        <w:rPr>
          <w:rFonts w:ascii="Arial" w:hAnsi="Arial" w:cs="Arial"/>
          <w:b/>
          <w:bCs/>
        </w:rPr>
      </w:pPr>
      <w:r w:rsidRPr="00957C5D">
        <w:rPr>
          <w:rFonts w:ascii="Arial" w:hAnsi="Arial" w:cs="Arial"/>
          <w:b/>
          <w:bCs/>
        </w:rPr>
        <w:t xml:space="preserve">The Panel </w:t>
      </w:r>
    </w:p>
    <w:p w14:paraId="450EC41C" w14:textId="77777777" w:rsidR="00BF2C4A" w:rsidRPr="00957C5D" w:rsidRDefault="00BF2C4A" w:rsidP="00BF2C4A">
      <w:pPr>
        <w:rPr>
          <w:rFonts w:ascii="Arial" w:hAnsi="Arial" w:cs="Arial"/>
        </w:rPr>
      </w:pPr>
      <w:r w:rsidRPr="00957C5D">
        <w:rPr>
          <w:rFonts w:ascii="Arial" w:hAnsi="Arial" w:cs="Arial"/>
        </w:rPr>
        <w:t xml:space="preserve">There shall be a Judicial Appointments Advisory Panel (the Panel). </w:t>
      </w:r>
    </w:p>
    <w:p w14:paraId="628649D3" w14:textId="77777777" w:rsidR="00BF2C4A" w:rsidRPr="00957C5D" w:rsidRDefault="00BF2C4A" w:rsidP="00BF2C4A">
      <w:pPr>
        <w:rPr>
          <w:rFonts w:ascii="Arial" w:hAnsi="Arial" w:cs="Arial"/>
        </w:rPr>
      </w:pPr>
      <w:r w:rsidRPr="00957C5D">
        <w:rPr>
          <w:rFonts w:ascii="Arial" w:hAnsi="Arial" w:cs="Arial"/>
        </w:rPr>
        <w:t xml:space="preserve">The purpose of the Panel is to select and present to the Attorney-General and Minister for Justice (Attorney-General) a shortlist of persons whom the Panel considers suitable for appointment as a judicial officer for an existing or upcoming vacancy. </w:t>
      </w:r>
    </w:p>
    <w:p w14:paraId="54CB13D2" w14:textId="77777777" w:rsidR="00BF2C4A" w:rsidRPr="00957C5D" w:rsidRDefault="00BF2C4A" w:rsidP="00BF2C4A">
      <w:pPr>
        <w:rPr>
          <w:rFonts w:ascii="Arial" w:hAnsi="Arial" w:cs="Arial"/>
        </w:rPr>
      </w:pPr>
      <w:r w:rsidRPr="00957C5D">
        <w:rPr>
          <w:rFonts w:ascii="Arial" w:hAnsi="Arial" w:cs="Arial"/>
        </w:rPr>
        <w:t>The Panel shall consist of:</w:t>
      </w:r>
    </w:p>
    <w:p w14:paraId="0DC435E9" w14:textId="36E3C7FC" w:rsidR="00BF2C4A" w:rsidRPr="00957C5D" w:rsidRDefault="00BF2C4A" w:rsidP="00BF2C4A">
      <w:pPr>
        <w:pStyle w:val="ListParagraph"/>
        <w:numPr>
          <w:ilvl w:val="0"/>
          <w:numId w:val="2"/>
        </w:numPr>
        <w:rPr>
          <w:rFonts w:ascii="Arial" w:hAnsi="Arial" w:cs="Arial"/>
        </w:rPr>
      </w:pPr>
      <w:r w:rsidRPr="00957C5D">
        <w:rPr>
          <w:rFonts w:ascii="Arial" w:hAnsi="Arial" w:cs="Arial"/>
        </w:rPr>
        <w:t>the chairperson, who shall be</w:t>
      </w:r>
      <w:r w:rsidR="00C852CF">
        <w:rPr>
          <w:rFonts w:ascii="Arial" w:hAnsi="Arial" w:cs="Arial"/>
        </w:rPr>
        <w:t xml:space="preserve"> for appointments to</w:t>
      </w:r>
      <w:r w:rsidRPr="00957C5D">
        <w:rPr>
          <w:rFonts w:ascii="Arial" w:hAnsi="Arial" w:cs="Arial"/>
        </w:rPr>
        <w:t xml:space="preserve">: </w:t>
      </w:r>
    </w:p>
    <w:p w14:paraId="3B54DE39" w14:textId="2F619F3F" w:rsidR="00BF2C4A" w:rsidRPr="00957C5D" w:rsidRDefault="00BF2C4A" w:rsidP="00BF2C4A">
      <w:pPr>
        <w:pStyle w:val="ListParagraph"/>
        <w:numPr>
          <w:ilvl w:val="1"/>
          <w:numId w:val="3"/>
        </w:numPr>
        <w:rPr>
          <w:rFonts w:ascii="Arial" w:hAnsi="Arial" w:cs="Arial"/>
        </w:rPr>
      </w:pPr>
      <w:r w:rsidRPr="00957C5D">
        <w:rPr>
          <w:rFonts w:ascii="Arial" w:hAnsi="Arial" w:cs="Arial"/>
        </w:rPr>
        <w:t>the Supreme Court (including the Court of Appeal</w:t>
      </w:r>
      <w:r w:rsidR="00C6194F">
        <w:rPr>
          <w:rFonts w:ascii="Arial" w:hAnsi="Arial" w:cs="Arial"/>
        </w:rPr>
        <w:t xml:space="preserve"> and President of the Land Court</w:t>
      </w:r>
      <w:r w:rsidRPr="00957C5D">
        <w:rPr>
          <w:rFonts w:ascii="Arial" w:hAnsi="Arial" w:cs="Arial"/>
        </w:rPr>
        <w:t xml:space="preserve">), a retired Supreme Court judge; </w:t>
      </w:r>
    </w:p>
    <w:p w14:paraId="41DDFB7C" w14:textId="744FF14C" w:rsidR="00BF2C4A" w:rsidRPr="00957C5D" w:rsidRDefault="00BF2C4A" w:rsidP="00BF2C4A">
      <w:pPr>
        <w:pStyle w:val="ListParagraph"/>
        <w:numPr>
          <w:ilvl w:val="1"/>
          <w:numId w:val="3"/>
        </w:numPr>
        <w:rPr>
          <w:rFonts w:ascii="Arial" w:hAnsi="Arial" w:cs="Arial"/>
        </w:rPr>
      </w:pPr>
      <w:r w:rsidRPr="00957C5D">
        <w:rPr>
          <w:rFonts w:ascii="Arial" w:hAnsi="Arial" w:cs="Arial"/>
        </w:rPr>
        <w:t>the District Court</w:t>
      </w:r>
      <w:r w:rsidR="00C6194F">
        <w:rPr>
          <w:rFonts w:ascii="Arial" w:hAnsi="Arial" w:cs="Arial"/>
        </w:rPr>
        <w:t xml:space="preserve"> and Land Court members other than the President</w:t>
      </w:r>
      <w:r w:rsidRPr="00957C5D">
        <w:rPr>
          <w:rFonts w:ascii="Arial" w:hAnsi="Arial" w:cs="Arial"/>
        </w:rPr>
        <w:t xml:space="preserve">, a retired District Court judge; or </w:t>
      </w:r>
    </w:p>
    <w:p w14:paraId="7C05A886" w14:textId="461043FD" w:rsidR="00BF2C4A" w:rsidRPr="00957C5D" w:rsidRDefault="00BF2C4A" w:rsidP="00BF2C4A">
      <w:pPr>
        <w:pStyle w:val="ListParagraph"/>
        <w:numPr>
          <w:ilvl w:val="1"/>
          <w:numId w:val="3"/>
        </w:numPr>
        <w:rPr>
          <w:rFonts w:ascii="Arial" w:hAnsi="Arial" w:cs="Arial"/>
        </w:rPr>
      </w:pPr>
      <w:r w:rsidRPr="00957C5D">
        <w:rPr>
          <w:rFonts w:ascii="Arial" w:hAnsi="Arial" w:cs="Arial"/>
        </w:rPr>
        <w:t xml:space="preserve">the </w:t>
      </w:r>
      <w:r w:rsidR="00C6194F">
        <w:rPr>
          <w:rFonts w:ascii="Arial" w:hAnsi="Arial" w:cs="Arial"/>
        </w:rPr>
        <w:t>Magistrates Court</w:t>
      </w:r>
      <w:r w:rsidRPr="00957C5D">
        <w:rPr>
          <w:rFonts w:ascii="Arial" w:hAnsi="Arial" w:cs="Arial"/>
        </w:rPr>
        <w:t xml:space="preserve">, a retired District Court judge (who has been a Chief Magistrate) or a retired magistrate; </w:t>
      </w:r>
    </w:p>
    <w:p w14:paraId="001F0CC7" w14:textId="77777777" w:rsidR="00BF2C4A" w:rsidRPr="00957C5D" w:rsidRDefault="00BF2C4A" w:rsidP="00BF2C4A">
      <w:pPr>
        <w:pStyle w:val="ListParagraph"/>
        <w:numPr>
          <w:ilvl w:val="0"/>
          <w:numId w:val="2"/>
        </w:numPr>
        <w:rPr>
          <w:rFonts w:ascii="Arial" w:hAnsi="Arial" w:cs="Arial"/>
        </w:rPr>
      </w:pPr>
      <w:r w:rsidRPr="00957C5D">
        <w:rPr>
          <w:rFonts w:ascii="Arial" w:hAnsi="Arial" w:cs="Arial"/>
        </w:rPr>
        <w:t xml:space="preserve">the President of the Bar Association of Queensland, or a person authorised in writing by the President to represent the Association; </w:t>
      </w:r>
    </w:p>
    <w:p w14:paraId="4239D794" w14:textId="790D2443" w:rsidR="00BF2C4A" w:rsidRPr="00957C5D" w:rsidRDefault="00BF2C4A" w:rsidP="00BF2C4A">
      <w:pPr>
        <w:pStyle w:val="ListParagraph"/>
        <w:numPr>
          <w:ilvl w:val="0"/>
          <w:numId w:val="2"/>
        </w:numPr>
        <w:rPr>
          <w:rFonts w:ascii="Arial" w:hAnsi="Arial" w:cs="Arial"/>
        </w:rPr>
      </w:pPr>
      <w:r w:rsidRPr="00957C5D">
        <w:rPr>
          <w:rFonts w:ascii="Arial" w:hAnsi="Arial" w:cs="Arial"/>
        </w:rPr>
        <w:t>the President of the Queensland Law Society, or a person authorised in writing by the President to represent the Society;</w:t>
      </w:r>
    </w:p>
    <w:p w14:paraId="401025D4" w14:textId="08351900" w:rsidR="00BF2C4A" w:rsidRDefault="00BF2C4A" w:rsidP="00BF2C4A">
      <w:pPr>
        <w:pStyle w:val="ListParagraph"/>
        <w:numPr>
          <w:ilvl w:val="0"/>
          <w:numId w:val="2"/>
        </w:numPr>
        <w:rPr>
          <w:rFonts w:ascii="Arial" w:hAnsi="Arial" w:cs="Arial"/>
        </w:rPr>
      </w:pPr>
      <w:r w:rsidRPr="00957C5D">
        <w:rPr>
          <w:rFonts w:ascii="Arial" w:hAnsi="Arial" w:cs="Arial"/>
        </w:rPr>
        <w:t>up to two individuals, one of whom must be a lawyer, who, in the opinion of the Attorney-General, is/are appropriate to represent community views and standards and possess knowledge, expertise or experience in the justice system that could usefully contribute to the selection of judicial officers (for example, the Anti-Discrimination Commissioner or a representative of the Women Lawyers Association of Queensland)</w:t>
      </w:r>
      <w:r w:rsidR="003C2EEF">
        <w:rPr>
          <w:rFonts w:ascii="Arial" w:hAnsi="Arial" w:cs="Arial"/>
        </w:rPr>
        <w:t>; and</w:t>
      </w:r>
    </w:p>
    <w:p w14:paraId="49B66504" w14:textId="3FBD8F0D" w:rsidR="00C6194F" w:rsidRPr="00F70B3E" w:rsidRDefault="003C2EEF">
      <w:pPr>
        <w:pStyle w:val="ListParagraph"/>
        <w:numPr>
          <w:ilvl w:val="0"/>
          <w:numId w:val="2"/>
        </w:numPr>
        <w:rPr>
          <w:rFonts w:ascii="Arial" w:hAnsi="Arial" w:cs="Arial"/>
        </w:rPr>
      </w:pPr>
      <w:r>
        <w:rPr>
          <w:rFonts w:ascii="Arial" w:hAnsi="Arial" w:cs="Arial"/>
        </w:rPr>
        <w:t>i</w:t>
      </w:r>
      <w:r w:rsidR="00C6194F" w:rsidRPr="00C6194F">
        <w:rPr>
          <w:rFonts w:ascii="Arial" w:hAnsi="Arial" w:cs="Arial"/>
        </w:rPr>
        <w:t xml:space="preserve">n the case of a Land Court vacancy one of the individuals in </w:t>
      </w:r>
      <w:r w:rsidR="00A92F40">
        <w:rPr>
          <w:rFonts w:ascii="Arial" w:hAnsi="Arial" w:cs="Arial"/>
        </w:rPr>
        <w:t>(</w:t>
      </w:r>
      <w:r w:rsidR="00C6194F" w:rsidRPr="00C6194F">
        <w:rPr>
          <w:rFonts w:ascii="Arial" w:hAnsi="Arial" w:cs="Arial"/>
        </w:rPr>
        <w:t>d) will be a former</w:t>
      </w:r>
      <w:r w:rsidR="00C6194F">
        <w:rPr>
          <w:rFonts w:ascii="Arial" w:hAnsi="Arial" w:cs="Arial"/>
        </w:rPr>
        <w:t xml:space="preserve"> </w:t>
      </w:r>
      <w:r w:rsidR="00C6194F" w:rsidRPr="00F70B3E">
        <w:rPr>
          <w:rFonts w:ascii="Arial" w:hAnsi="Arial" w:cs="Arial"/>
        </w:rPr>
        <w:t>Land Court President or a retired judge of the Supreme or District Court.</w:t>
      </w:r>
    </w:p>
    <w:p w14:paraId="46880ECE" w14:textId="1F736AF9" w:rsidR="00BF2C4A" w:rsidRPr="00957C5D" w:rsidRDefault="00C6194F" w:rsidP="00BF2C4A">
      <w:pPr>
        <w:rPr>
          <w:rFonts w:ascii="Arial" w:hAnsi="Arial" w:cs="Arial"/>
        </w:rPr>
      </w:pPr>
      <w:r>
        <w:rPr>
          <w:rFonts w:ascii="Arial" w:hAnsi="Arial" w:cs="Arial"/>
        </w:rPr>
        <w:t>P</w:t>
      </w:r>
      <w:r w:rsidR="00BF2C4A" w:rsidRPr="00957C5D">
        <w:rPr>
          <w:rFonts w:ascii="Arial" w:hAnsi="Arial" w:cs="Arial"/>
        </w:rPr>
        <w:t xml:space="preserve">anel members will be drawn from lists maintained by the Attorney-General. </w:t>
      </w:r>
    </w:p>
    <w:p w14:paraId="6CACD80A" w14:textId="29DBA734" w:rsidR="00BF2C4A" w:rsidRPr="00957C5D" w:rsidRDefault="00BF2C4A" w:rsidP="000213DA">
      <w:pPr>
        <w:rPr>
          <w:rFonts w:ascii="Arial" w:hAnsi="Arial" w:cs="Arial"/>
        </w:rPr>
      </w:pPr>
      <w:r w:rsidRPr="00957C5D">
        <w:rPr>
          <w:rFonts w:ascii="Arial" w:hAnsi="Arial" w:cs="Arial"/>
        </w:rPr>
        <w:t xml:space="preserve">The quorum for meetings of the Panel is four, and the quorum must include all panel members identified at (a) to (c) above. </w:t>
      </w:r>
      <w:r w:rsidR="000213DA" w:rsidRPr="000213DA">
        <w:rPr>
          <w:rFonts w:ascii="Arial" w:hAnsi="Arial" w:cs="Arial"/>
        </w:rPr>
        <w:t>In the case of Land Court vacancies the quorum</w:t>
      </w:r>
      <w:r w:rsidR="000213DA">
        <w:rPr>
          <w:rFonts w:ascii="Arial" w:hAnsi="Arial" w:cs="Arial"/>
        </w:rPr>
        <w:t xml:space="preserve"> </w:t>
      </w:r>
      <w:r w:rsidR="000213DA" w:rsidRPr="000213DA">
        <w:rPr>
          <w:rFonts w:ascii="Arial" w:hAnsi="Arial" w:cs="Arial"/>
        </w:rPr>
        <w:t>will include members identified at (a)ii, (b), (c) and (e).</w:t>
      </w:r>
    </w:p>
    <w:p w14:paraId="3DE8E45B" w14:textId="77777777" w:rsidR="00BF2C4A" w:rsidRPr="00957C5D" w:rsidRDefault="00BF2C4A" w:rsidP="00BF2C4A">
      <w:pPr>
        <w:rPr>
          <w:rFonts w:ascii="Arial" w:hAnsi="Arial" w:cs="Arial"/>
        </w:rPr>
      </w:pPr>
      <w:r w:rsidRPr="00957C5D">
        <w:rPr>
          <w:rFonts w:ascii="Arial" w:hAnsi="Arial" w:cs="Arial"/>
        </w:rPr>
        <w:lastRenderedPageBreak/>
        <w:t xml:space="preserve">The Panel shall be supported by a Secretariat within the Department of Justice and Attorney-General (DJAG). </w:t>
      </w:r>
    </w:p>
    <w:p w14:paraId="2A8D401E" w14:textId="5F19E35D" w:rsidR="00BF2C4A" w:rsidRPr="00957C5D" w:rsidRDefault="00BF2C4A" w:rsidP="00BF2C4A">
      <w:pPr>
        <w:rPr>
          <w:rFonts w:ascii="Arial" w:hAnsi="Arial" w:cs="Arial"/>
          <w:b/>
          <w:bCs/>
        </w:rPr>
      </w:pPr>
      <w:r w:rsidRPr="00957C5D">
        <w:rPr>
          <w:rFonts w:ascii="Arial" w:hAnsi="Arial" w:cs="Arial"/>
          <w:b/>
          <w:bCs/>
        </w:rPr>
        <w:t xml:space="preserve">The Process </w:t>
      </w:r>
    </w:p>
    <w:p w14:paraId="04F3DCB6" w14:textId="1CC081CE" w:rsidR="000213DA" w:rsidRPr="00957C5D" w:rsidRDefault="00BF2C4A" w:rsidP="000213DA">
      <w:pPr>
        <w:rPr>
          <w:rFonts w:ascii="Arial" w:hAnsi="Arial" w:cs="Arial"/>
        </w:rPr>
      </w:pPr>
      <w:r w:rsidRPr="00957C5D">
        <w:rPr>
          <w:rFonts w:ascii="Arial" w:hAnsi="Arial" w:cs="Arial"/>
        </w:rPr>
        <w:t>Any person qualified for appointment to the</w:t>
      </w:r>
      <w:r w:rsidR="000213DA" w:rsidRPr="000213DA">
        <w:t xml:space="preserve"> </w:t>
      </w:r>
      <w:r w:rsidR="000213DA" w:rsidRPr="000213DA">
        <w:rPr>
          <w:rFonts w:ascii="Arial" w:hAnsi="Arial" w:cs="Arial"/>
        </w:rPr>
        <w:t>Supreme, District, Land and Magistrates</w:t>
      </w:r>
      <w:r w:rsidR="000213DA">
        <w:rPr>
          <w:rFonts w:ascii="Arial" w:hAnsi="Arial" w:cs="Arial"/>
        </w:rPr>
        <w:t xml:space="preserve"> </w:t>
      </w:r>
      <w:r w:rsidR="000213DA" w:rsidRPr="000213DA">
        <w:rPr>
          <w:rFonts w:ascii="Arial" w:hAnsi="Arial" w:cs="Arial"/>
        </w:rPr>
        <w:t>Courts</w:t>
      </w:r>
      <w:r w:rsidR="000213DA">
        <w:rPr>
          <w:rFonts w:ascii="Arial" w:hAnsi="Arial" w:cs="Arial"/>
        </w:rPr>
        <w:t xml:space="preserve"> </w:t>
      </w:r>
      <w:r w:rsidRPr="00957C5D">
        <w:rPr>
          <w:rFonts w:ascii="Arial" w:hAnsi="Arial" w:cs="Arial"/>
        </w:rPr>
        <w:t xml:space="preserve">may register an </w:t>
      </w:r>
      <w:r w:rsidR="00C852CF">
        <w:rPr>
          <w:rFonts w:ascii="Arial" w:hAnsi="Arial" w:cs="Arial"/>
        </w:rPr>
        <w:t>E</w:t>
      </w:r>
      <w:r w:rsidRPr="00957C5D">
        <w:rPr>
          <w:rFonts w:ascii="Arial" w:hAnsi="Arial" w:cs="Arial"/>
        </w:rPr>
        <w:t xml:space="preserve">xpression of </w:t>
      </w:r>
      <w:r w:rsidR="00C852CF">
        <w:rPr>
          <w:rFonts w:ascii="Arial" w:hAnsi="Arial" w:cs="Arial"/>
        </w:rPr>
        <w:t>I</w:t>
      </w:r>
      <w:r w:rsidRPr="00957C5D">
        <w:rPr>
          <w:rFonts w:ascii="Arial" w:hAnsi="Arial" w:cs="Arial"/>
        </w:rPr>
        <w:t xml:space="preserve">nterest and update their </w:t>
      </w:r>
      <w:r w:rsidR="00C852CF">
        <w:rPr>
          <w:rFonts w:ascii="Arial" w:hAnsi="Arial" w:cs="Arial"/>
        </w:rPr>
        <w:t>E</w:t>
      </w:r>
      <w:r w:rsidRPr="00957C5D">
        <w:rPr>
          <w:rFonts w:ascii="Arial" w:hAnsi="Arial" w:cs="Arial"/>
        </w:rPr>
        <w:t xml:space="preserve">xpression of </w:t>
      </w:r>
      <w:r w:rsidR="00C852CF">
        <w:rPr>
          <w:rFonts w:ascii="Arial" w:hAnsi="Arial" w:cs="Arial"/>
        </w:rPr>
        <w:t>I</w:t>
      </w:r>
      <w:r w:rsidRPr="00957C5D">
        <w:rPr>
          <w:rFonts w:ascii="Arial" w:hAnsi="Arial" w:cs="Arial"/>
        </w:rPr>
        <w:t xml:space="preserve">nterest from time to time. </w:t>
      </w:r>
      <w:r w:rsidR="00C852CF">
        <w:rPr>
          <w:rFonts w:ascii="Arial" w:hAnsi="Arial" w:cs="Arial"/>
        </w:rPr>
        <w:t xml:space="preserve">The Department of Justice and Attorney-General </w:t>
      </w:r>
      <w:r w:rsidR="000213DA" w:rsidRPr="00957C5D">
        <w:rPr>
          <w:rFonts w:ascii="Arial" w:hAnsi="Arial" w:cs="Arial"/>
        </w:rPr>
        <w:t xml:space="preserve">shall maintain a register of </w:t>
      </w:r>
      <w:r w:rsidR="00C852CF">
        <w:rPr>
          <w:rFonts w:ascii="Arial" w:hAnsi="Arial" w:cs="Arial"/>
        </w:rPr>
        <w:t>E</w:t>
      </w:r>
      <w:r w:rsidR="000213DA" w:rsidRPr="00957C5D">
        <w:rPr>
          <w:rFonts w:ascii="Arial" w:hAnsi="Arial" w:cs="Arial"/>
        </w:rPr>
        <w:t xml:space="preserve">xpressions of </w:t>
      </w:r>
      <w:r w:rsidR="00C852CF">
        <w:rPr>
          <w:rFonts w:ascii="Arial" w:hAnsi="Arial" w:cs="Arial"/>
        </w:rPr>
        <w:t>I</w:t>
      </w:r>
      <w:r w:rsidR="000213DA" w:rsidRPr="00957C5D">
        <w:rPr>
          <w:rFonts w:ascii="Arial" w:hAnsi="Arial" w:cs="Arial"/>
        </w:rPr>
        <w:t xml:space="preserve">nterest. </w:t>
      </w:r>
    </w:p>
    <w:p w14:paraId="24EF52AD" w14:textId="194B65B3" w:rsidR="00BF2C4A" w:rsidRPr="00957C5D" w:rsidRDefault="00BF2C4A" w:rsidP="00BF2C4A">
      <w:pPr>
        <w:rPr>
          <w:rFonts w:ascii="Arial" w:hAnsi="Arial" w:cs="Arial"/>
        </w:rPr>
      </w:pPr>
      <w:r w:rsidRPr="00957C5D">
        <w:rPr>
          <w:rFonts w:ascii="Arial" w:hAnsi="Arial" w:cs="Arial"/>
        </w:rPr>
        <w:t xml:space="preserve">Expressions of </w:t>
      </w:r>
      <w:r w:rsidR="00832FE2">
        <w:rPr>
          <w:rFonts w:ascii="Arial" w:hAnsi="Arial" w:cs="Arial"/>
        </w:rPr>
        <w:t>I</w:t>
      </w:r>
      <w:r w:rsidRPr="00957C5D">
        <w:rPr>
          <w:rFonts w:ascii="Arial" w:hAnsi="Arial" w:cs="Arial"/>
        </w:rPr>
        <w:t xml:space="preserve">nterest must include a curriculum vitae and information required by the Panel as published on the Queensland Courts website. </w:t>
      </w:r>
    </w:p>
    <w:p w14:paraId="1B302F2D" w14:textId="77777777" w:rsidR="008F5255" w:rsidRDefault="008F5255" w:rsidP="008F5255">
      <w:pPr>
        <w:rPr>
          <w:rFonts w:ascii="Arial" w:hAnsi="Arial" w:cs="Arial"/>
        </w:rPr>
      </w:pPr>
      <w:r w:rsidRPr="008F5255">
        <w:rPr>
          <w:rFonts w:ascii="Arial" w:hAnsi="Arial" w:cs="Arial"/>
        </w:rPr>
        <w:t>Candidates will be requested to complete Forms A, B, C and D and supply these forms</w:t>
      </w:r>
      <w:r>
        <w:rPr>
          <w:rFonts w:ascii="Arial" w:hAnsi="Arial" w:cs="Arial"/>
        </w:rPr>
        <w:t xml:space="preserve"> </w:t>
      </w:r>
      <w:r w:rsidRPr="008F5255">
        <w:rPr>
          <w:rFonts w:ascii="Arial" w:hAnsi="Arial" w:cs="Arial"/>
        </w:rPr>
        <w:t>along with their Expression of Interest. Form D particularly deals with identification within</w:t>
      </w:r>
      <w:r>
        <w:rPr>
          <w:rFonts w:ascii="Arial" w:hAnsi="Arial" w:cs="Arial"/>
        </w:rPr>
        <w:t xml:space="preserve"> </w:t>
      </w:r>
      <w:r w:rsidRPr="008F5255">
        <w:rPr>
          <w:rFonts w:ascii="Arial" w:hAnsi="Arial" w:cs="Arial"/>
        </w:rPr>
        <w:t>diversity groups, acknowledgement that successful candidates may require a term of</w:t>
      </w:r>
      <w:r>
        <w:rPr>
          <w:rFonts w:ascii="Arial" w:hAnsi="Arial" w:cs="Arial"/>
        </w:rPr>
        <w:t xml:space="preserve"> </w:t>
      </w:r>
      <w:r w:rsidRPr="008F5255">
        <w:rPr>
          <w:rFonts w:ascii="Arial" w:hAnsi="Arial" w:cs="Arial"/>
        </w:rPr>
        <w:t>country/regional service and also meet minimum requirements for appointment.</w:t>
      </w:r>
      <w:r>
        <w:rPr>
          <w:rFonts w:ascii="Arial" w:hAnsi="Arial" w:cs="Arial"/>
        </w:rPr>
        <w:t xml:space="preserve"> </w:t>
      </w:r>
    </w:p>
    <w:p w14:paraId="0C4371D2" w14:textId="7706C25F" w:rsidR="00BF2C4A" w:rsidRPr="00957C5D" w:rsidRDefault="00BF2C4A" w:rsidP="008F5255">
      <w:pPr>
        <w:rPr>
          <w:rFonts w:ascii="Arial" w:hAnsi="Arial" w:cs="Arial"/>
        </w:rPr>
      </w:pPr>
      <w:r w:rsidRPr="00957C5D">
        <w:rPr>
          <w:rFonts w:ascii="Arial" w:hAnsi="Arial" w:cs="Arial"/>
        </w:rPr>
        <w:t xml:space="preserve">Vacancies for appointment to the Magistrates, District and Supreme </w:t>
      </w:r>
      <w:r w:rsidR="008F5255">
        <w:rPr>
          <w:rFonts w:ascii="Arial" w:hAnsi="Arial" w:cs="Arial"/>
        </w:rPr>
        <w:t xml:space="preserve">and Land </w:t>
      </w:r>
      <w:r w:rsidRPr="00957C5D">
        <w:rPr>
          <w:rFonts w:ascii="Arial" w:hAnsi="Arial" w:cs="Arial"/>
        </w:rPr>
        <w:t>Courts will be advertised on the Queensland Courts website</w:t>
      </w:r>
      <w:r w:rsidR="008F5255">
        <w:rPr>
          <w:rFonts w:ascii="Arial" w:hAnsi="Arial" w:cs="Arial"/>
        </w:rPr>
        <w:t xml:space="preserve"> and will have a set closing date</w:t>
      </w:r>
      <w:r w:rsidRPr="00957C5D">
        <w:rPr>
          <w:rFonts w:ascii="Arial" w:hAnsi="Arial" w:cs="Arial"/>
        </w:rPr>
        <w:t xml:space="preserve">. </w:t>
      </w:r>
    </w:p>
    <w:p w14:paraId="42B0AC1C" w14:textId="04DC5F54" w:rsidR="00BF2C4A" w:rsidRPr="00957C5D" w:rsidRDefault="00BF2C4A" w:rsidP="00BF2C4A">
      <w:pPr>
        <w:rPr>
          <w:rFonts w:ascii="Arial" w:hAnsi="Arial" w:cs="Arial"/>
        </w:rPr>
      </w:pPr>
      <w:r w:rsidRPr="00957C5D">
        <w:rPr>
          <w:rFonts w:ascii="Arial" w:hAnsi="Arial" w:cs="Arial"/>
        </w:rPr>
        <w:t xml:space="preserve">The Attorney-General will consult with relevant heads of jurisdiction before referring vacancies for the Panel’s consideration, </w:t>
      </w:r>
      <w:r w:rsidR="00EE794B">
        <w:rPr>
          <w:rFonts w:ascii="Arial" w:hAnsi="Arial" w:cs="Arial"/>
        </w:rPr>
        <w:t>t</w:t>
      </w:r>
      <w:r w:rsidRPr="00957C5D">
        <w:rPr>
          <w:rFonts w:ascii="Arial" w:hAnsi="Arial" w:cs="Arial"/>
        </w:rPr>
        <w:t xml:space="preserve">he Chief Justice and the President of the Court of Appeal will be consulted regarding vacancies on the Supreme Court and Court of Appeal. </w:t>
      </w:r>
    </w:p>
    <w:p w14:paraId="0EC77B80" w14:textId="77777777" w:rsidR="00BF2C4A" w:rsidRPr="00957C5D" w:rsidRDefault="00BF2C4A" w:rsidP="00BF2C4A">
      <w:pPr>
        <w:rPr>
          <w:rFonts w:ascii="Arial" w:hAnsi="Arial" w:cs="Arial"/>
        </w:rPr>
      </w:pPr>
      <w:r w:rsidRPr="00957C5D">
        <w:rPr>
          <w:rFonts w:ascii="Arial" w:hAnsi="Arial" w:cs="Arial"/>
        </w:rPr>
        <w:t>The Attorney-General may nominate candidates for the Panel’s consideration, including those raised for consideration through consultation with heads of jurisdiction.</w:t>
      </w:r>
    </w:p>
    <w:p w14:paraId="15D9A25D" w14:textId="0C2BB880" w:rsidR="00BF2C4A" w:rsidRDefault="00BF2C4A" w:rsidP="00BF2C4A">
      <w:pPr>
        <w:rPr>
          <w:rFonts w:ascii="Arial" w:hAnsi="Arial" w:cs="Arial"/>
        </w:rPr>
      </w:pPr>
      <w:r w:rsidRPr="00957C5D">
        <w:rPr>
          <w:rFonts w:ascii="Arial" w:hAnsi="Arial" w:cs="Arial"/>
        </w:rPr>
        <w:t xml:space="preserve">To be considered for selection for a vacancy by the Panel, a person will need to have registered an </w:t>
      </w:r>
      <w:r w:rsidR="00875055">
        <w:rPr>
          <w:rFonts w:ascii="Arial" w:hAnsi="Arial" w:cs="Arial"/>
        </w:rPr>
        <w:t>E</w:t>
      </w:r>
      <w:r w:rsidRPr="00957C5D">
        <w:rPr>
          <w:rFonts w:ascii="Arial" w:hAnsi="Arial" w:cs="Arial"/>
        </w:rPr>
        <w:t xml:space="preserve">xpression of </w:t>
      </w:r>
      <w:r w:rsidR="00875055">
        <w:rPr>
          <w:rFonts w:ascii="Arial" w:hAnsi="Arial" w:cs="Arial"/>
        </w:rPr>
        <w:t>I</w:t>
      </w:r>
      <w:r w:rsidRPr="00957C5D">
        <w:rPr>
          <w:rFonts w:ascii="Arial" w:hAnsi="Arial" w:cs="Arial"/>
        </w:rPr>
        <w:t>nterest relevant to the level of court for the vacancy</w:t>
      </w:r>
      <w:r w:rsidR="000A71C4">
        <w:rPr>
          <w:rFonts w:ascii="Arial" w:hAnsi="Arial" w:cs="Arial"/>
        </w:rPr>
        <w:t xml:space="preserve"> by the due date set on the Courts website</w:t>
      </w:r>
      <w:r w:rsidRPr="00957C5D">
        <w:rPr>
          <w:rFonts w:ascii="Arial" w:hAnsi="Arial" w:cs="Arial"/>
        </w:rPr>
        <w:t>. However, existing judicial officers</w:t>
      </w:r>
      <w:r w:rsidR="000A71C4">
        <w:rPr>
          <w:rFonts w:ascii="Arial" w:hAnsi="Arial" w:cs="Arial"/>
        </w:rPr>
        <w:t xml:space="preserve"> need not submit an </w:t>
      </w:r>
      <w:r w:rsidR="00875055">
        <w:rPr>
          <w:rFonts w:ascii="Arial" w:hAnsi="Arial" w:cs="Arial"/>
        </w:rPr>
        <w:t>E</w:t>
      </w:r>
      <w:r w:rsidR="000A71C4">
        <w:rPr>
          <w:rFonts w:ascii="Arial" w:hAnsi="Arial" w:cs="Arial"/>
        </w:rPr>
        <w:t xml:space="preserve">xpression of </w:t>
      </w:r>
      <w:r w:rsidR="00875055">
        <w:rPr>
          <w:rFonts w:ascii="Arial" w:hAnsi="Arial" w:cs="Arial"/>
        </w:rPr>
        <w:t>I</w:t>
      </w:r>
      <w:r w:rsidR="000A71C4">
        <w:rPr>
          <w:rFonts w:ascii="Arial" w:hAnsi="Arial" w:cs="Arial"/>
        </w:rPr>
        <w:t>nterest</w:t>
      </w:r>
      <w:r w:rsidRPr="00957C5D">
        <w:rPr>
          <w:rFonts w:ascii="Arial" w:hAnsi="Arial" w:cs="Arial"/>
        </w:rPr>
        <w:t xml:space="preserve">. </w:t>
      </w:r>
    </w:p>
    <w:p w14:paraId="248E268F" w14:textId="04255BF1" w:rsidR="00963CD7" w:rsidRPr="00957C5D" w:rsidRDefault="00963CD7" w:rsidP="00BF2C4A">
      <w:pPr>
        <w:rPr>
          <w:rFonts w:ascii="Arial" w:hAnsi="Arial" w:cs="Arial"/>
        </w:rPr>
      </w:pPr>
      <w:r>
        <w:rPr>
          <w:rFonts w:ascii="Arial" w:hAnsi="Arial" w:cs="Arial"/>
        </w:rPr>
        <w:t>Expressions of Interest can be lodged at any time during the year (commencing 1 July) and will automatically lapse on 30 June each year.</w:t>
      </w:r>
    </w:p>
    <w:p w14:paraId="59367A7D" w14:textId="0451C4EB" w:rsidR="00BF2C4A" w:rsidRDefault="00BF2C4A" w:rsidP="00BF2C4A">
      <w:pPr>
        <w:rPr>
          <w:rFonts w:ascii="Arial" w:hAnsi="Arial" w:cs="Arial"/>
        </w:rPr>
      </w:pPr>
      <w:r w:rsidRPr="00957C5D">
        <w:rPr>
          <w:rFonts w:ascii="Arial" w:hAnsi="Arial" w:cs="Arial"/>
        </w:rPr>
        <w:t xml:space="preserve">The Panel may invite persons to register an </w:t>
      </w:r>
      <w:r w:rsidR="003F6426">
        <w:rPr>
          <w:rFonts w:ascii="Arial" w:hAnsi="Arial" w:cs="Arial"/>
        </w:rPr>
        <w:t>E</w:t>
      </w:r>
      <w:r w:rsidRPr="00957C5D">
        <w:rPr>
          <w:rFonts w:ascii="Arial" w:hAnsi="Arial" w:cs="Arial"/>
        </w:rPr>
        <w:t xml:space="preserve">xpression of </w:t>
      </w:r>
      <w:r w:rsidR="003F6426">
        <w:rPr>
          <w:rFonts w:ascii="Arial" w:hAnsi="Arial" w:cs="Arial"/>
        </w:rPr>
        <w:t>I</w:t>
      </w:r>
      <w:r w:rsidRPr="00957C5D">
        <w:rPr>
          <w:rFonts w:ascii="Arial" w:hAnsi="Arial" w:cs="Arial"/>
        </w:rPr>
        <w:t>nterest to facilitate their consideration and will invite the Attorney-General’s nominees to register if they are not already registered</w:t>
      </w:r>
      <w:r w:rsidR="000A71C4" w:rsidRPr="000A71C4">
        <w:t xml:space="preserve"> </w:t>
      </w:r>
      <w:r w:rsidR="000A71C4" w:rsidRPr="000A71C4">
        <w:rPr>
          <w:rFonts w:ascii="Arial" w:hAnsi="Arial" w:cs="Arial"/>
        </w:rPr>
        <w:t>as long as this is done by the set closing date for the vacancy</w:t>
      </w:r>
      <w:r w:rsidRPr="00957C5D">
        <w:rPr>
          <w:rFonts w:ascii="Arial" w:hAnsi="Arial" w:cs="Arial"/>
        </w:rPr>
        <w:t xml:space="preserve">. </w:t>
      </w:r>
    </w:p>
    <w:p w14:paraId="528A14AD" w14:textId="0861B0C9" w:rsidR="000A71C4" w:rsidRPr="00957C5D" w:rsidRDefault="000A71C4" w:rsidP="00BF2C4A">
      <w:pPr>
        <w:rPr>
          <w:rFonts w:ascii="Arial" w:hAnsi="Arial" w:cs="Arial"/>
        </w:rPr>
      </w:pPr>
      <w:r w:rsidRPr="00F70B3E">
        <w:rPr>
          <w:rFonts w:ascii="Arial" w:hAnsi="Arial" w:cs="Arial"/>
        </w:rPr>
        <w:t>When dealing with multiple concurrent vacancies, the Panel should provide a minimum of four candidates per vacancy. The Attorney-General may also specify a larger number of candidates to be shortlisted by the Panel.</w:t>
      </w:r>
    </w:p>
    <w:p w14:paraId="1A05E9CD" w14:textId="77777777" w:rsidR="00BF2C4A" w:rsidRPr="00957C5D" w:rsidRDefault="00BF2C4A" w:rsidP="00BF2C4A">
      <w:pPr>
        <w:rPr>
          <w:rFonts w:ascii="Arial" w:hAnsi="Arial" w:cs="Arial"/>
        </w:rPr>
      </w:pPr>
      <w:r w:rsidRPr="00957C5D">
        <w:rPr>
          <w:rFonts w:ascii="Arial" w:hAnsi="Arial" w:cs="Arial"/>
        </w:rPr>
        <w:t xml:space="preserve">A person is not eligible for appointment to a vacancy if the person served on the Panel for that vacancy. </w:t>
      </w:r>
    </w:p>
    <w:p w14:paraId="6FE70F86" w14:textId="168B3EAA" w:rsidR="00BF2C4A" w:rsidRPr="00957C5D" w:rsidRDefault="00BF2C4A" w:rsidP="00BF2C4A">
      <w:pPr>
        <w:rPr>
          <w:rFonts w:ascii="Arial" w:hAnsi="Arial" w:cs="Arial"/>
        </w:rPr>
      </w:pPr>
      <w:r w:rsidRPr="00957C5D">
        <w:rPr>
          <w:rFonts w:ascii="Arial" w:hAnsi="Arial" w:cs="Arial"/>
          <w:b/>
          <w:bCs/>
        </w:rPr>
        <w:t>Selection criteria</w:t>
      </w:r>
      <w:r w:rsidRPr="00957C5D">
        <w:rPr>
          <w:rFonts w:ascii="Arial" w:hAnsi="Arial" w:cs="Arial"/>
        </w:rPr>
        <w:t xml:space="preserve"> </w:t>
      </w:r>
    </w:p>
    <w:p w14:paraId="0E4B6E69" w14:textId="77777777" w:rsidR="00BF2C4A" w:rsidRPr="00957C5D" w:rsidRDefault="00BF2C4A" w:rsidP="00BF2C4A">
      <w:pPr>
        <w:rPr>
          <w:rFonts w:ascii="Arial" w:hAnsi="Arial" w:cs="Arial"/>
        </w:rPr>
      </w:pPr>
      <w:r w:rsidRPr="00957C5D">
        <w:rPr>
          <w:rFonts w:ascii="Arial" w:hAnsi="Arial" w:cs="Arial"/>
        </w:rPr>
        <w:t xml:space="preserve">Appointments will be made on the basis of merit. Candidates will be assessed against the attached Australasian Institute of Judicial Administration’s </w:t>
      </w:r>
      <w:r w:rsidRPr="00F70B3E">
        <w:rPr>
          <w:rFonts w:ascii="Arial" w:hAnsi="Arial" w:cs="Arial"/>
          <w:i/>
          <w:iCs/>
        </w:rPr>
        <w:t xml:space="preserve">Suggested Criteria for Judicial Appointments </w:t>
      </w:r>
      <w:r w:rsidRPr="00957C5D">
        <w:rPr>
          <w:rFonts w:ascii="Arial" w:hAnsi="Arial" w:cs="Arial"/>
        </w:rPr>
        <w:t xml:space="preserve">(2015) or, with the agreement of the Attorney-General, these criteria as amended from time to time. Opportunities for promoting diversity in the judiciary will be a relevant consideration. All legal experience will be considered, including that outside mainstream legal practice. </w:t>
      </w:r>
    </w:p>
    <w:p w14:paraId="7ED766D1" w14:textId="679BB55C" w:rsidR="00BF2C4A" w:rsidRPr="00957C5D" w:rsidRDefault="00BF2C4A" w:rsidP="00F70B3E">
      <w:pPr>
        <w:keepNext/>
        <w:rPr>
          <w:rFonts w:ascii="Arial" w:hAnsi="Arial" w:cs="Arial"/>
        </w:rPr>
      </w:pPr>
      <w:r w:rsidRPr="00957C5D">
        <w:rPr>
          <w:rFonts w:ascii="Arial" w:hAnsi="Arial" w:cs="Arial"/>
          <w:b/>
          <w:bCs/>
        </w:rPr>
        <w:lastRenderedPageBreak/>
        <w:t>Selection process</w:t>
      </w:r>
      <w:r w:rsidRPr="00957C5D">
        <w:rPr>
          <w:rFonts w:ascii="Arial" w:hAnsi="Arial" w:cs="Arial"/>
        </w:rPr>
        <w:t xml:space="preserve"> </w:t>
      </w:r>
    </w:p>
    <w:p w14:paraId="2890545E" w14:textId="77777777" w:rsidR="00BF2C4A" w:rsidRPr="00957C5D" w:rsidRDefault="00BF2C4A" w:rsidP="00F70B3E">
      <w:pPr>
        <w:keepNext/>
        <w:rPr>
          <w:rFonts w:ascii="Arial" w:hAnsi="Arial" w:cs="Arial"/>
        </w:rPr>
      </w:pPr>
      <w:r w:rsidRPr="00957C5D">
        <w:rPr>
          <w:rFonts w:ascii="Arial" w:hAnsi="Arial" w:cs="Arial"/>
        </w:rPr>
        <w:t xml:space="preserve">The Panel shall decide its own processes, but those processes should generally include the following elements: </w:t>
      </w:r>
    </w:p>
    <w:p w14:paraId="4401581D" w14:textId="77777777" w:rsidR="00BF2C4A" w:rsidRPr="00957C5D" w:rsidRDefault="00BF2C4A" w:rsidP="00F70B3E">
      <w:pPr>
        <w:pStyle w:val="ListParagraph"/>
        <w:numPr>
          <w:ilvl w:val="0"/>
          <w:numId w:val="12"/>
        </w:numPr>
        <w:rPr>
          <w:rFonts w:ascii="Arial" w:hAnsi="Arial" w:cs="Arial"/>
        </w:rPr>
      </w:pPr>
      <w:r w:rsidRPr="00957C5D">
        <w:rPr>
          <w:rFonts w:ascii="Arial" w:hAnsi="Arial" w:cs="Arial"/>
        </w:rPr>
        <w:t xml:space="preserve">consideration of all eligible candidates; </w:t>
      </w:r>
    </w:p>
    <w:p w14:paraId="029E32B2" w14:textId="77777777" w:rsidR="00BF2C4A" w:rsidRPr="00957C5D" w:rsidRDefault="00BF2C4A" w:rsidP="00F70B3E">
      <w:pPr>
        <w:pStyle w:val="ListParagraph"/>
        <w:numPr>
          <w:ilvl w:val="0"/>
          <w:numId w:val="12"/>
        </w:numPr>
        <w:rPr>
          <w:rFonts w:ascii="Arial" w:hAnsi="Arial" w:cs="Arial"/>
        </w:rPr>
      </w:pPr>
      <w:r w:rsidRPr="00957C5D">
        <w:rPr>
          <w:rFonts w:ascii="Arial" w:hAnsi="Arial" w:cs="Arial"/>
        </w:rPr>
        <w:t xml:space="preserve">assessment of the merits of eligible candidates, including interview (if considered necessary for this purpose for eligible candidates who are not already judicial officers); </w:t>
      </w:r>
    </w:p>
    <w:p w14:paraId="0A0B8832" w14:textId="77777777" w:rsidR="00BF2C4A" w:rsidRPr="00957C5D" w:rsidRDefault="00BF2C4A" w:rsidP="00F70B3E">
      <w:pPr>
        <w:pStyle w:val="ListParagraph"/>
        <w:numPr>
          <w:ilvl w:val="0"/>
          <w:numId w:val="12"/>
        </w:numPr>
        <w:rPr>
          <w:rFonts w:ascii="Arial" w:hAnsi="Arial" w:cs="Arial"/>
        </w:rPr>
      </w:pPr>
      <w:r w:rsidRPr="00957C5D">
        <w:rPr>
          <w:rFonts w:ascii="Arial" w:hAnsi="Arial" w:cs="Arial"/>
        </w:rPr>
        <w:t xml:space="preserve">consultation with whoever else the panel considers appropriate (including to inform the panel from a community legal services and diversity perspective); </w:t>
      </w:r>
    </w:p>
    <w:p w14:paraId="002250B4" w14:textId="77777777" w:rsidR="003F0CBE" w:rsidRDefault="00BF2C4A" w:rsidP="003F0CBE">
      <w:pPr>
        <w:pStyle w:val="ListParagraph"/>
        <w:numPr>
          <w:ilvl w:val="0"/>
          <w:numId w:val="12"/>
        </w:numPr>
        <w:rPr>
          <w:rFonts w:ascii="Arial" w:hAnsi="Arial" w:cs="Arial"/>
        </w:rPr>
      </w:pPr>
      <w:r w:rsidRPr="00957C5D">
        <w:rPr>
          <w:rFonts w:ascii="Arial" w:hAnsi="Arial" w:cs="Arial"/>
        </w:rPr>
        <w:t xml:space="preserve">selection of a list comprising up to eight (but no less than four) suitable candidates for filling the vacancy; </w:t>
      </w:r>
    </w:p>
    <w:p w14:paraId="77749C1D" w14:textId="3C445C85" w:rsidR="00BF2C4A" w:rsidRPr="003F0CBE" w:rsidRDefault="003F0CBE" w:rsidP="00F70B3E">
      <w:pPr>
        <w:pStyle w:val="ListParagraph"/>
        <w:numPr>
          <w:ilvl w:val="0"/>
          <w:numId w:val="12"/>
        </w:numPr>
        <w:rPr>
          <w:rFonts w:ascii="Arial" w:hAnsi="Arial" w:cs="Arial"/>
        </w:rPr>
      </w:pPr>
      <w:r w:rsidRPr="003F0CBE">
        <w:rPr>
          <w:rFonts w:ascii="Arial" w:hAnsi="Arial" w:cs="Arial"/>
        </w:rPr>
        <w:t xml:space="preserve">for multiple vacancies of the same judicial level, the Attorney-General may specify the number of candidates to be shortlisted for consideration; </w:t>
      </w:r>
      <w:r w:rsidR="00BF2C4A" w:rsidRPr="003F0CBE">
        <w:rPr>
          <w:rFonts w:ascii="Arial" w:hAnsi="Arial" w:cs="Arial"/>
        </w:rPr>
        <w:t xml:space="preserve">and </w:t>
      </w:r>
    </w:p>
    <w:p w14:paraId="4F95ECFA" w14:textId="6BF2D98F" w:rsidR="00BF2C4A" w:rsidRPr="00957C5D" w:rsidRDefault="00BF2C4A" w:rsidP="00F70B3E">
      <w:pPr>
        <w:pStyle w:val="ListParagraph"/>
        <w:numPr>
          <w:ilvl w:val="0"/>
          <w:numId w:val="12"/>
        </w:numPr>
        <w:rPr>
          <w:rFonts w:ascii="Arial" w:hAnsi="Arial" w:cs="Arial"/>
        </w:rPr>
      </w:pPr>
      <w:r w:rsidRPr="00957C5D">
        <w:rPr>
          <w:rFonts w:ascii="Arial" w:hAnsi="Arial" w:cs="Arial"/>
        </w:rPr>
        <w:t xml:space="preserve">the lists </w:t>
      </w:r>
      <w:r w:rsidR="00D03F68">
        <w:rPr>
          <w:rFonts w:ascii="Arial" w:hAnsi="Arial" w:cs="Arial"/>
        </w:rPr>
        <w:t>may</w:t>
      </w:r>
      <w:r w:rsidRPr="00957C5D">
        <w:rPr>
          <w:rFonts w:ascii="Arial" w:hAnsi="Arial" w:cs="Arial"/>
        </w:rPr>
        <w:t xml:space="preserve"> be accompanied by a report of supporting reasons. </w:t>
      </w:r>
    </w:p>
    <w:p w14:paraId="45B10577" w14:textId="77777777" w:rsidR="00BF2C4A" w:rsidRPr="00957C5D" w:rsidRDefault="00BF2C4A" w:rsidP="00BF2C4A">
      <w:pPr>
        <w:rPr>
          <w:rFonts w:ascii="Arial" w:hAnsi="Arial" w:cs="Arial"/>
        </w:rPr>
      </w:pPr>
      <w:r w:rsidRPr="00957C5D">
        <w:rPr>
          <w:rFonts w:ascii="Arial" w:hAnsi="Arial" w:cs="Arial"/>
        </w:rPr>
        <w:t xml:space="preserve">The Panel can also adapt the process as appropriate to the circumstances. </w:t>
      </w:r>
    </w:p>
    <w:p w14:paraId="332B8D7C" w14:textId="4FFC2A9C" w:rsidR="00BF2C4A" w:rsidRPr="00957C5D" w:rsidRDefault="00BF2C4A" w:rsidP="00BF2C4A">
      <w:pPr>
        <w:rPr>
          <w:rFonts w:ascii="Arial" w:hAnsi="Arial" w:cs="Arial"/>
        </w:rPr>
      </w:pPr>
      <w:r w:rsidRPr="00957C5D">
        <w:rPr>
          <w:rFonts w:ascii="Arial" w:hAnsi="Arial" w:cs="Arial"/>
          <w:u w:val="single"/>
        </w:rPr>
        <w:t>Example:</w:t>
      </w:r>
      <w:r w:rsidRPr="00957C5D">
        <w:rPr>
          <w:rFonts w:ascii="Arial" w:hAnsi="Arial" w:cs="Arial"/>
        </w:rPr>
        <w:t xml:space="preserve"> </w:t>
      </w:r>
    </w:p>
    <w:p w14:paraId="23336F70" w14:textId="190E10CE" w:rsidR="00BF2C4A" w:rsidRPr="00957C5D" w:rsidRDefault="00BF2C4A" w:rsidP="00BF2C4A">
      <w:pPr>
        <w:ind w:left="720"/>
        <w:rPr>
          <w:rFonts w:ascii="Arial" w:hAnsi="Arial" w:cs="Arial"/>
        </w:rPr>
      </w:pPr>
      <w:r w:rsidRPr="00957C5D">
        <w:rPr>
          <w:rFonts w:ascii="Arial" w:hAnsi="Arial" w:cs="Arial"/>
        </w:rPr>
        <w:t>The Panel may also shortlist based on another recent selection exercise (</w:t>
      </w:r>
      <w:r w:rsidR="00075085">
        <w:rPr>
          <w:rFonts w:ascii="Arial" w:hAnsi="Arial" w:cs="Arial"/>
        </w:rPr>
        <w:t>for example</w:t>
      </w:r>
      <w:r w:rsidRPr="00957C5D">
        <w:rPr>
          <w:rFonts w:ascii="Arial" w:hAnsi="Arial" w:cs="Arial"/>
        </w:rPr>
        <w:t xml:space="preserve">, in the previous six months) and reconvene only for ensuring there are up to eight (but no less than four) nominations (if there has been a selection from previous list or a previous nominee has withdrawn). </w:t>
      </w:r>
    </w:p>
    <w:p w14:paraId="0746E040" w14:textId="77777777" w:rsidR="00BF2C4A" w:rsidRPr="00957C5D" w:rsidRDefault="00BF2C4A" w:rsidP="00BF2C4A">
      <w:pPr>
        <w:rPr>
          <w:rFonts w:ascii="Arial" w:hAnsi="Arial" w:cs="Arial"/>
        </w:rPr>
      </w:pPr>
      <w:r w:rsidRPr="00957C5D">
        <w:rPr>
          <w:rFonts w:ascii="Arial" w:hAnsi="Arial" w:cs="Arial"/>
        </w:rPr>
        <w:t xml:space="preserve">After receipt of the Panel’s list, the Attorney-General will consult again with the relevant heads of jurisdiction before selecting a person to recommend to the Governor in Council to fill the vacancy. </w:t>
      </w:r>
    </w:p>
    <w:p w14:paraId="10CAF08F" w14:textId="77777777" w:rsidR="00BF2C4A" w:rsidRPr="00957C5D" w:rsidRDefault="00BF2C4A" w:rsidP="00BF2C4A">
      <w:pPr>
        <w:rPr>
          <w:rFonts w:ascii="Arial" w:hAnsi="Arial" w:cs="Arial"/>
        </w:rPr>
      </w:pPr>
    </w:p>
    <w:p w14:paraId="53C217F5" w14:textId="77777777" w:rsidR="003F0CBE" w:rsidRDefault="003F0CBE" w:rsidP="00BF2C4A">
      <w:pPr>
        <w:rPr>
          <w:rFonts w:ascii="Arial" w:hAnsi="Arial" w:cs="Arial"/>
        </w:rPr>
        <w:sectPr w:rsidR="003F0CBE" w:rsidSect="00F565C6">
          <w:type w:val="continuous"/>
          <w:pgSz w:w="11900" w:h="16840"/>
          <w:pgMar w:top="1440" w:right="1021" w:bottom="1440" w:left="1021" w:header="709" w:footer="624" w:gutter="0"/>
          <w:cols w:space="708"/>
          <w:titlePg/>
          <w:docGrid w:linePitch="360"/>
        </w:sectPr>
      </w:pPr>
    </w:p>
    <w:p w14:paraId="547B4596" w14:textId="0FCD5853" w:rsidR="00BF2C4A" w:rsidRPr="00957C5D" w:rsidRDefault="00BF2C4A" w:rsidP="00BF2C4A">
      <w:pPr>
        <w:rPr>
          <w:rFonts w:ascii="Arial" w:hAnsi="Arial" w:cs="Arial"/>
        </w:rPr>
      </w:pPr>
    </w:p>
    <w:p w14:paraId="68ED0658" w14:textId="77777777" w:rsidR="00BF2C4A" w:rsidRPr="00957C5D" w:rsidRDefault="00BF2C4A" w:rsidP="00BF2C4A">
      <w:pPr>
        <w:rPr>
          <w:rFonts w:ascii="Arial" w:hAnsi="Arial" w:cs="Arial"/>
          <w:b/>
          <w:bCs/>
        </w:rPr>
      </w:pPr>
      <w:r w:rsidRPr="00957C5D">
        <w:rPr>
          <w:rFonts w:ascii="Arial" w:hAnsi="Arial" w:cs="Arial"/>
          <w:b/>
          <w:bCs/>
        </w:rPr>
        <w:t xml:space="preserve">Attachment: AIJA suggested criteria for judicial appointment </w:t>
      </w:r>
    </w:p>
    <w:p w14:paraId="681945D1" w14:textId="77777777" w:rsidR="00BF2C4A" w:rsidRPr="00957C5D" w:rsidRDefault="00BF2C4A" w:rsidP="00BF2C4A">
      <w:pPr>
        <w:rPr>
          <w:rFonts w:ascii="Arial" w:hAnsi="Arial" w:cs="Arial"/>
        </w:rPr>
      </w:pPr>
    </w:p>
    <w:p w14:paraId="2C9859B0" w14:textId="77777777" w:rsidR="00BF2C4A" w:rsidRPr="00957C5D" w:rsidRDefault="00BF2C4A" w:rsidP="00BF2C4A">
      <w:pPr>
        <w:spacing w:after="0"/>
        <w:rPr>
          <w:rFonts w:ascii="Arial" w:hAnsi="Arial" w:cs="Arial"/>
        </w:rPr>
      </w:pPr>
      <w:r w:rsidRPr="00957C5D">
        <w:rPr>
          <w:rFonts w:ascii="Arial" w:hAnsi="Arial" w:cs="Arial"/>
          <w:b/>
          <w:bCs/>
        </w:rPr>
        <w:t>1. Intellectual capacity</w:t>
      </w:r>
      <w:r w:rsidRPr="00957C5D">
        <w:rPr>
          <w:rFonts w:ascii="Arial" w:hAnsi="Arial" w:cs="Arial"/>
        </w:rPr>
        <w:t xml:space="preserve"> </w:t>
      </w:r>
    </w:p>
    <w:p w14:paraId="6BB58AF4" w14:textId="77777777" w:rsidR="00BF2C4A" w:rsidRPr="00957C5D" w:rsidRDefault="00BF2C4A" w:rsidP="00BF2C4A">
      <w:pPr>
        <w:pStyle w:val="ListParagraph"/>
        <w:numPr>
          <w:ilvl w:val="2"/>
          <w:numId w:val="6"/>
        </w:numPr>
        <w:spacing w:after="0"/>
        <w:ind w:left="709"/>
        <w:rPr>
          <w:rFonts w:ascii="Arial" w:hAnsi="Arial" w:cs="Arial"/>
        </w:rPr>
      </w:pPr>
      <w:r w:rsidRPr="00957C5D">
        <w:rPr>
          <w:rFonts w:ascii="Arial" w:hAnsi="Arial" w:cs="Arial"/>
        </w:rPr>
        <w:t xml:space="preserve">Legal expertise </w:t>
      </w:r>
    </w:p>
    <w:p w14:paraId="2EA0A090" w14:textId="77777777" w:rsidR="00BF2C4A" w:rsidRPr="00957C5D" w:rsidRDefault="00BF2C4A" w:rsidP="00BF2C4A">
      <w:pPr>
        <w:pStyle w:val="ListParagraph"/>
        <w:numPr>
          <w:ilvl w:val="2"/>
          <w:numId w:val="6"/>
        </w:numPr>
        <w:spacing w:after="0"/>
        <w:ind w:left="709"/>
        <w:rPr>
          <w:rFonts w:ascii="Arial" w:hAnsi="Arial" w:cs="Arial"/>
        </w:rPr>
      </w:pPr>
      <w:r w:rsidRPr="00957C5D">
        <w:rPr>
          <w:rFonts w:ascii="Arial" w:hAnsi="Arial" w:cs="Arial"/>
        </w:rPr>
        <w:t xml:space="preserve">Litigation experience or familiarity with court processes, including alternative dispute resolution </w:t>
      </w:r>
    </w:p>
    <w:p w14:paraId="633C79C5" w14:textId="77777777" w:rsidR="00BF2C4A" w:rsidRPr="00957C5D" w:rsidRDefault="00BF2C4A" w:rsidP="00BF2C4A">
      <w:pPr>
        <w:pStyle w:val="ListParagraph"/>
        <w:numPr>
          <w:ilvl w:val="2"/>
          <w:numId w:val="6"/>
        </w:numPr>
        <w:spacing w:after="0"/>
        <w:ind w:left="709"/>
        <w:rPr>
          <w:rFonts w:ascii="Arial" w:hAnsi="Arial" w:cs="Arial"/>
        </w:rPr>
      </w:pPr>
      <w:r w:rsidRPr="00957C5D">
        <w:rPr>
          <w:rFonts w:ascii="Arial" w:hAnsi="Arial" w:cs="Arial"/>
        </w:rPr>
        <w:t xml:space="preserve">Ability to absorb and analyse information </w:t>
      </w:r>
    </w:p>
    <w:p w14:paraId="22186305" w14:textId="77777777" w:rsidR="00BF2C4A" w:rsidRPr="00957C5D" w:rsidRDefault="00BF2C4A" w:rsidP="00BF2C4A">
      <w:pPr>
        <w:pStyle w:val="ListParagraph"/>
        <w:numPr>
          <w:ilvl w:val="2"/>
          <w:numId w:val="6"/>
        </w:numPr>
        <w:spacing w:after="0"/>
        <w:ind w:left="709"/>
        <w:rPr>
          <w:rFonts w:ascii="Arial" w:hAnsi="Arial" w:cs="Arial"/>
        </w:rPr>
      </w:pPr>
      <w:r w:rsidRPr="00957C5D">
        <w:rPr>
          <w:rFonts w:ascii="Arial" w:hAnsi="Arial" w:cs="Arial"/>
        </w:rPr>
        <w:t xml:space="preserve">Appropriate knowledge of the law and its underlying principles, and the ability to acquire new knowledge </w:t>
      </w:r>
    </w:p>
    <w:p w14:paraId="1C9B723D" w14:textId="77777777" w:rsidR="00BF2C4A" w:rsidRPr="00957C5D" w:rsidRDefault="00BF2C4A" w:rsidP="00BF2C4A">
      <w:pPr>
        <w:spacing w:after="0"/>
        <w:rPr>
          <w:rFonts w:ascii="Arial" w:hAnsi="Arial" w:cs="Arial"/>
        </w:rPr>
      </w:pPr>
    </w:p>
    <w:p w14:paraId="127A4336" w14:textId="77777777" w:rsidR="00BF2C4A" w:rsidRPr="00957C5D" w:rsidRDefault="00BF2C4A" w:rsidP="00BF2C4A">
      <w:pPr>
        <w:spacing w:after="0"/>
        <w:rPr>
          <w:rFonts w:ascii="Arial" w:hAnsi="Arial" w:cs="Arial"/>
        </w:rPr>
      </w:pPr>
      <w:r w:rsidRPr="00957C5D">
        <w:rPr>
          <w:rFonts w:ascii="Arial" w:hAnsi="Arial" w:cs="Arial"/>
          <w:b/>
          <w:bCs/>
        </w:rPr>
        <w:t>2. Personal qualities</w:t>
      </w:r>
      <w:r w:rsidRPr="00957C5D">
        <w:rPr>
          <w:rFonts w:ascii="Arial" w:hAnsi="Arial" w:cs="Arial"/>
        </w:rPr>
        <w:t xml:space="preserve"> </w:t>
      </w:r>
    </w:p>
    <w:p w14:paraId="7771392B" w14:textId="77777777" w:rsidR="00BF2C4A" w:rsidRPr="00957C5D" w:rsidRDefault="00BF2C4A" w:rsidP="00BF2C4A">
      <w:pPr>
        <w:pStyle w:val="ListParagraph"/>
        <w:numPr>
          <w:ilvl w:val="0"/>
          <w:numId w:val="5"/>
        </w:numPr>
        <w:spacing w:after="0"/>
        <w:rPr>
          <w:rFonts w:ascii="Arial" w:hAnsi="Arial" w:cs="Arial"/>
        </w:rPr>
      </w:pPr>
      <w:r w:rsidRPr="00957C5D">
        <w:rPr>
          <w:rFonts w:ascii="Arial" w:hAnsi="Arial" w:cs="Arial"/>
        </w:rPr>
        <w:t xml:space="preserve">Integrity and independence of mind </w:t>
      </w:r>
    </w:p>
    <w:p w14:paraId="4DAB1C8F" w14:textId="77777777" w:rsidR="00BF2C4A" w:rsidRPr="00957C5D" w:rsidRDefault="00BF2C4A" w:rsidP="00BF2C4A">
      <w:pPr>
        <w:pStyle w:val="ListParagraph"/>
        <w:numPr>
          <w:ilvl w:val="0"/>
          <w:numId w:val="5"/>
        </w:numPr>
        <w:spacing w:after="0"/>
        <w:rPr>
          <w:rFonts w:ascii="Arial" w:hAnsi="Arial" w:cs="Arial"/>
        </w:rPr>
      </w:pPr>
      <w:r w:rsidRPr="00957C5D">
        <w:rPr>
          <w:rFonts w:ascii="Arial" w:hAnsi="Arial" w:cs="Arial"/>
        </w:rPr>
        <w:t xml:space="preserve">Sound judgement </w:t>
      </w:r>
    </w:p>
    <w:p w14:paraId="38737031" w14:textId="77777777" w:rsidR="00BF2C4A" w:rsidRPr="00957C5D" w:rsidRDefault="00BF2C4A" w:rsidP="00BF2C4A">
      <w:pPr>
        <w:pStyle w:val="ListParagraph"/>
        <w:numPr>
          <w:ilvl w:val="0"/>
          <w:numId w:val="5"/>
        </w:numPr>
        <w:spacing w:after="0"/>
        <w:rPr>
          <w:rFonts w:ascii="Arial" w:hAnsi="Arial" w:cs="Arial"/>
        </w:rPr>
      </w:pPr>
      <w:r w:rsidRPr="00957C5D">
        <w:rPr>
          <w:rFonts w:ascii="Arial" w:hAnsi="Arial" w:cs="Arial"/>
        </w:rPr>
        <w:t xml:space="preserve">Decisiveness </w:t>
      </w:r>
    </w:p>
    <w:p w14:paraId="3FA3E443" w14:textId="77777777" w:rsidR="00BF2C4A" w:rsidRPr="00957C5D" w:rsidRDefault="00BF2C4A" w:rsidP="00BF2C4A">
      <w:pPr>
        <w:pStyle w:val="ListParagraph"/>
        <w:numPr>
          <w:ilvl w:val="0"/>
          <w:numId w:val="5"/>
        </w:numPr>
        <w:spacing w:after="0"/>
        <w:rPr>
          <w:rFonts w:ascii="Arial" w:hAnsi="Arial" w:cs="Arial"/>
        </w:rPr>
      </w:pPr>
      <w:r w:rsidRPr="00957C5D">
        <w:rPr>
          <w:rFonts w:ascii="Arial" w:hAnsi="Arial" w:cs="Arial"/>
        </w:rPr>
        <w:t xml:space="preserve">Objectivity </w:t>
      </w:r>
    </w:p>
    <w:p w14:paraId="0D78BDBA" w14:textId="77777777" w:rsidR="00BF2C4A" w:rsidRPr="00957C5D" w:rsidRDefault="00BF2C4A" w:rsidP="00BF2C4A">
      <w:pPr>
        <w:pStyle w:val="ListParagraph"/>
        <w:numPr>
          <w:ilvl w:val="0"/>
          <w:numId w:val="5"/>
        </w:numPr>
        <w:spacing w:after="0"/>
        <w:rPr>
          <w:rFonts w:ascii="Arial" w:hAnsi="Arial" w:cs="Arial"/>
        </w:rPr>
      </w:pPr>
      <w:r w:rsidRPr="00957C5D">
        <w:rPr>
          <w:rFonts w:ascii="Arial" w:hAnsi="Arial" w:cs="Arial"/>
        </w:rPr>
        <w:t xml:space="preserve">Diligence </w:t>
      </w:r>
    </w:p>
    <w:p w14:paraId="6C1344CF" w14:textId="77777777" w:rsidR="00BF2C4A" w:rsidRPr="00957C5D" w:rsidRDefault="00BF2C4A" w:rsidP="00BF2C4A">
      <w:pPr>
        <w:pStyle w:val="ListParagraph"/>
        <w:numPr>
          <w:ilvl w:val="0"/>
          <w:numId w:val="5"/>
        </w:numPr>
        <w:spacing w:after="0"/>
        <w:rPr>
          <w:rFonts w:ascii="Arial" w:hAnsi="Arial" w:cs="Arial"/>
        </w:rPr>
      </w:pPr>
      <w:r w:rsidRPr="00957C5D">
        <w:rPr>
          <w:rFonts w:ascii="Arial" w:hAnsi="Arial" w:cs="Arial"/>
        </w:rPr>
        <w:t xml:space="preserve">Sound temperament </w:t>
      </w:r>
    </w:p>
    <w:p w14:paraId="3A43BAE7" w14:textId="77777777" w:rsidR="00BF2C4A" w:rsidRPr="00957C5D" w:rsidRDefault="00BF2C4A" w:rsidP="00BF2C4A">
      <w:pPr>
        <w:pStyle w:val="ListParagraph"/>
        <w:numPr>
          <w:ilvl w:val="0"/>
          <w:numId w:val="5"/>
        </w:numPr>
        <w:spacing w:after="0"/>
        <w:rPr>
          <w:rFonts w:ascii="Arial" w:hAnsi="Arial" w:cs="Arial"/>
        </w:rPr>
      </w:pPr>
      <w:r w:rsidRPr="00957C5D">
        <w:rPr>
          <w:rFonts w:ascii="Arial" w:hAnsi="Arial" w:cs="Arial"/>
        </w:rPr>
        <w:t xml:space="preserve">Ability and willingness to learn and develop professional and to adapt to change </w:t>
      </w:r>
    </w:p>
    <w:p w14:paraId="5365F394" w14:textId="77777777" w:rsidR="00BF2C4A" w:rsidRPr="00957C5D" w:rsidRDefault="00BF2C4A" w:rsidP="00BF2C4A">
      <w:pPr>
        <w:spacing w:after="0"/>
        <w:rPr>
          <w:rFonts w:ascii="Arial" w:hAnsi="Arial" w:cs="Arial"/>
        </w:rPr>
      </w:pPr>
    </w:p>
    <w:p w14:paraId="093E4F6F" w14:textId="77777777" w:rsidR="00BF2C4A" w:rsidRPr="00957C5D" w:rsidRDefault="00BF2C4A" w:rsidP="00BF2C4A">
      <w:pPr>
        <w:spacing w:after="0"/>
        <w:rPr>
          <w:rFonts w:ascii="Arial" w:hAnsi="Arial" w:cs="Arial"/>
        </w:rPr>
      </w:pPr>
      <w:r w:rsidRPr="00957C5D">
        <w:rPr>
          <w:rFonts w:ascii="Arial" w:hAnsi="Arial" w:cs="Arial"/>
          <w:b/>
          <w:bCs/>
        </w:rPr>
        <w:t>3. An ability to understand and deal fairly</w:t>
      </w:r>
      <w:r w:rsidRPr="00957C5D">
        <w:rPr>
          <w:rFonts w:ascii="Arial" w:hAnsi="Arial" w:cs="Arial"/>
        </w:rPr>
        <w:t xml:space="preserve"> </w:t>
      </w:r>
    </w:p>
    <w:p w14:paraId="367A008F" w14:textId="77777777" w:rsidR="00BF2C4A" w:rsidRPr="00957C5D" w:rsidRDefault="00BF2C4A" w:rsidP="00BF2C4A">
      <w:pPr>
        <w:pStyle w:val="ListParagraph"/>
        <w:numPr>
          <w:ilvl w:val="0"/>
          <w:numId w:val="7"/>
        </w:numPr>
        <w:spacing w:after="0"/>
        <w:rPr>
          <w:rFonts w:ascii="Arial" w:hAnsi="Arial" w:cs="Arial"/>
        </w:rPr>
      </w:pPr>
      <w:r w:rsidRPr="00957C5D">
        <w:rPr>
          <w:rFonts w:ascii="Arial" w:hAnsi="Arial" w:cs="Arial"/>
        </w:rPr>
        <w:t xml:space="preserve">Impartiality </w:t>
      </w:r>
    </w:p>
    <w:p w14:paraId="01744060" w14:textId="77777777" w:rsidR="00BF2C4A" w:rsidRPr="00957C5D" w:rsidRDefault="00BF2C4A" w:rsidP="00BF2C4A">
      <w:pPr>
        <w:pStyle w:val="ListParagraph"/>
        <w:numPr>
          <w:ilvl w:val="0"/>
          <w:numId w:val="7"/>
        </w:numPr>
        <w:spacing w:after="0"/>
        <w:rPr>
          <w:rFonts w:ascii="Arial" w:hAnsi="Arial" w:cs="Arial"/>
        </w:rPr>
      </w:pPr>
      <w:r w:rsidRPr="00957C5D">
        <w:rPr>
          <w:rFonts w:ascii="Arial" w:hAnsi="Arial" w:cs="Arial"/>
        </w:rPr>
        <w:t xml:space="preserve">Awareness of, and respect for, the diverse communities which the courts serve and an understanding of differing needs </w:t>
      </w:r>
    </w:p>
    <w:p w14:paraId="63D64EDB" w14:textId="77777777" w:rsidR="00BF2C4A" w:rsidRPr="00957C5D" w:rsidRDefault="00BF2C4A" w:rsidP="00BF2C4A">
      <w:pPr>
        <w:pStyle w:val="ListParagraph"/>
        <w:numPr>
          <w:ilvl w:val="0"/>
          <w:numId w:val="7"/>
        </w:numPr>
        <w:spacing w:after="0"/>
        <w:rPr>
          <w:rFonts w:ascii="Arial" w:hAnsi="Arial" w:cs="Arial"/>
        </w:rPr>
      </w:pPr>
      <w:r w:rsidRPr="00957C5D">
        <w:rPr>
          <w:rFonts w:ascii="Arial" w:hAnsi="Arial" w:cs="Arial"/>
        </w:rPr>
        <w:t xml:space="preserve">Commitment to justice, independence, public service and fair treatment </w:t>
      </w:r>
    </w:p>
    <w:p w14:paraId="2F9C194D" w14:textId="77777777" w:rsidR="00BF2C4A" w:rsidRPr="00957C5D" w:rsidRDefault="00BF2C4A" w:rsidP="00BF2C4A">
      <w:pPr>
        <w:pStyle w:val="ListParagraph"/>
        <w:numPr>
          <w:ilvl w:val="0"/>
          <w:numId w:val="7"/>
        </w:numPr>
        <w:spacing w:after="0"/>
        <w:rPr>
          <w:rFonts w:ascii="Arial" w:hAnsi="Arial" w:cs="Arial"/>
        </w:rPr>
      </w:pPr>
      <w:r w:rsidRPr="00957C5D">
        <w:rPr>
          <w:rFonts w:ascii="Arial" w:hAnsi="Arial" w:cs="Arial"/>
        </w:rPr>
        <w:t xml:space="preserve">Willingness to listen with patience and courtesy </w:t>
      </w:r>
    </w:p>
    <w:p w14:paraId="128379F0" w14:textId="77777777" w:rsidR="00BF2C4A" w:rsidRPr="00957C5D" w:rsidRDefault="00BF2C4A" w:rsidP="00BF2C4A">
      <w:pPr>
        <w:pStyle w:val="ListParagraph"/>
        <w:numPr>
          <w:ilvl w:val="0"/>
          <w:numId w:val="7"/>
        </w:numPr>
        <w:spacing w:after="0"/>
        <w:rPr>
          <w:rFonts w:ascii="Arial" w:hAnsi="Arial" w:cs="Arial"/>
        </w:rPr>
      </w:pPr>
      <w:r w:rsidRPr="00957C5D">
        <w:rPr>
          <w:rFonts w:ascii="Arial" w:hAnsi="Arial" w:cs="Arial"/>
        </w:rPr>
        <w:t xml:space="preserve">Commitment to respect for all court users </w:t>
      </w:r>
    </w:p>
    <w:p w14:paraId="58E9B34B" w14:textId="77777777" w:rsidR="00BF2C4A" w:rsidRPr="00957C5D" w:rsidRDefault="00BF2C4A" w:rsidP="00BF2C4A">
      <w:pPr>
        <w:spacing w:after="0"/>
        <w:rPr>
          <w:rFonts w:ascii="Arial" w:hAnsi="Arial" w:cs="Arial"/>
        </w:rPr>
      </w:pPr>
    </w:p>
    <w:p w14:paraId="18902C8D" w14:textId="77777777" w:rsidR="00BF2C4A" w:rsidRPr="00957C5D" w:rsidRDefault="00BF2C4A" w:rsidP="00BF2C4A">
      <w:pPr>
        <w:spacing w:after="0"/>
        <w:rPr>
          <w:rFonts w:ascii="Arial" w:hAnsi="Arial" w:cs="Arial"/>
        </w:rPr>
      </w:pPr>
      <w:r w:rsidRPr="00957C5D">
        <w:rPr>
          <w:rFonts w:ascii="Arial" w:hAnsi="Arial" w:cs="Arial"/>
          <w:b/>
          <w:bCs/>
        </w:rPr>
        <w:t>4. Authority and communication skills</w:t>
      </w:r>
      <w:r w:rsidRPr="00957C5D">
        <w:rPr>
          <w:rFonts w:ascii="Arial" w:hAnsi="Arial" w:cs="Arial"/>
        </w:rPr>
        <w:t xml:space="preserve"> </w:t>
      </w:r>
    </w:p>
    <w:p w14:paraId="6E09CAB4" w14:textId="77777777" w:rsidR="00BF2C4A" w:rsidRPr="00957C5D" w:rsidRDefault="00BF2C4A" w:rsidP="00BF2C4A">
      <w:pPr>
        <w:pStyle w:val="ListParagraph"/>
        <w:numPr>
          <w:ilvl w:val="0"/>
          <w:numId w:val="8"/>
        </w:numPr>
        <w:spacing w:after="0"/>
        <w:rPr>
          <w:rFonts w:ascii="Arial" w:hAnsi="Arial" w:cs="Arial"/>
        </w:rPr>
      </w:pPr>
      <w:r w:rsidRPr="00957C5D">
        <w:rPr>
          <w:rFonts w:ascii="Arial" w:hAnsi="Arial" w:cs="Arial"/>
        </w:rPr>
        <w:t xml:space="preserve">Ability to explain the procedure and any decisions reached clearly and succinctly to all those involved </w:t>
      </w:r>
    </w:p>
    <w:p w14:paraId="08B23F0D" w14:textId="77777777" w:rsidR="00BF2C4A" w:rsidRPr="00957C5D" w:rsidRDefault="00BF2C4A" w:rsidP="00BF2C4A">
      <w:pPr>
        <w:pStyle w:val="ListParagraph"/>
        <w:numPr>
          <w:ilvl w:val="0"/>
          <w:numId w:val="8"/>
        </w:numPr>
        <w:spacing w:after="0"/>
        <w:rPr>
          <w:rFonts w:ascii="Arial" w:hAnsi="Arial" w:cs="Arial"/>
        </w:rPr>
      </w:pPr>
      <w:r w:rsidRPr="00957C5D">
        <w:rPr>
          <w:rFonts w:ascii="Arial" w:hAnsi="Arial" w:cs="Arial"/>
        </w:rPr>
        <w:t xml:space="preserve">Ability to inspire respect and confidence </w:t>
      </w:r>
    </w:p>
    <w:p w14:paraId="39297950" w14:textId="77777777" w:rsidR="00BF2C4A" w:rsidRPr="00957C5D" w:rsidRDefault="00BF2C4A" w:rsidP="00BF2C4A">
      <w:pPr>
        <w:pStyle w:val="ListParagraph"/>
        <w:numPr>
          <w:ilvl w:val="0"/>
          <w:numId w:val="8"/>
        </w:numPr>
        <w:spacing w:after="0"/>
        <w:rPr>
          <w:rFonts w:ascii="Arial" w:hAnsi="Arial" w:cs="Arial"/>
        </w:rPr>
      </w:pPr>
      <w:r w:rsidRPr="00957C5D">
        <w:rPr>
          <w:rFonts w:ascii="Arial" w:hAnsi="Arial" w:cs="Arial"/>
        </w:rPr>
        <w:t xml:space="preserve">Ability to maintain authority when challenged </w:t>
      </w:r>
    </w:p>
    <w:p w14:paraId="071FD69F" w14:textId="77777777" w:rsidR="00BF2C4A" w:rsidRPr="00957C5D" w:rsidRDefault="00BF2C4A" w:rsidP="00BF2C4A">
      <w:pPr>
        <w:pStyle w:val="ListParagraph"/>
        <w:numPr>
          <w:ilvl w:val="0"/>
          <w:numId w:val="8"/>
        </w:numPr>
        <w:spacing w:after="0"/>
        <w:rPr>
          <w:rFonts w:ascii="Arial" w:hAnsi="Arial" w:cs="Arial"/>
        </w:rPr>
      </w:pPr>
      <w:r w:rsidRPr="00957C5D">
        <w:rPr>
          <w:rFonts w:ascii="Arial" w:hAnsi="Arial" w:cs="Arial"/>
        </w:rPr>
        <w:t xml:space="preserve">Ability to communicate orally and in writing in clear standard English </w:t>
      </w:r>
    </w:p>
    <w:p w14:paraId="6B793C18" w14:textId="77777777" w:rsidR="00BF2C4A" w:rsidRPr="00957C5D" w:rsidRDefault="00BF2C4A" w:rsidP="00BF2C4A">
      <w:pPr>
        <w:spacing w:after="0"/>
        <w:rPr>
          <w:rFonts w:ascii="Arial" w:hAnsi="Arial" w:cs="Arial"/>
        </w:rPr>
      </w:pPr>
    </w:p>
    <w:p w14:paraId="2503569D" w14:textId="77777777" w:rsidR="00BF2C4A" w:rsidRPr="00957C5D" w:rsidRDefault="00BF2C4A" w:rsidP="00BF2C4A">
      <w:pPr>
        <w:spacing w:after="0"/>
        <w:rPr>
          <w:rFonts w:ascii="Arial" w:hAnsi="Arial" w:cs="Arial"/>
        </w:rPr>
      </w:pPr>
      <w:r w:rsidRPr="00957C5D">
        <w:rPr>
          <w:rFonts w:ascii="Arial" w:hAnsi="Arial" w:cs="Arial"/>
          <w:b/>
          <w:bCs/>
        </w:rPr>
        <w:t>5. Efficiency</w:t>
      </w:r>
      <w:r w:rsidRPr="00957C5D">
        <w:rPr>
          <w:rFonts w:ascii="Arial" w:hAnsi="Arial" w:cs="Arial"/>
        </w:rPr>
        <w:t xml:space="preserve"> </w:t>
      </w:r>
    </w:p>
    <w:p w14:paraId="0C1E7C1C" w14:textId="77777777" w:rsidR="00BF2C4A" w:rsidRPr="00957C5D" w:rsidRDefault="00BF2C4A" w:rsidP="00BF2C4A">
      <w:pPr>
        <w:pStyle w:val="ListParagraph"/>
        <w:numPr>
          <w:ilvl w:val="0"/>
          <w:numId w:val="9"/>
        </w:numPr>
        <w:spacing w:after="0"/>
        <w:rPr>
          <w:rFonts w:ascii="Arial" w:hAnsi="Arial" w:cs="Arial"/>
        </w:rPr>
      </w:pPr>
      <w:r w:rsidRPr="00957C5D">
        <w:rPr>
          <w:rFonts w:ascii="Arial" w:hAnsi="Arial" w:cs="Arial"/>
        </w:rPr>
        <w:t xml:space="preserve">Ability to work expeditiously </w:t>
      </w:r>
    </w:p>
    <w:p w14:paraId="088C050F" w14:textId="77777777" w:rsidR="00BF2C4A" w:rsidRPr="00957C5D" w:rsidRDefault="00BF2C4A" w:rsidP="00BF2C4A">
      <w:pPr>
        <w:pStyle w:val="ListParagraph"/>
        <w:numPr>
          <w:ilvl w:val="0"/>
          <w:numId w:val="9"/>
        </w:numPr>
        <w:spacing w:after="0"/>
        <w:rPr>
          <w:rFonts w:ascii="Arial" w:hAnsi="Arial" w:cs="Arial"/>
        </w:rPr>
      </w:pPr>
      <w:r w:rsidRPr="00957C5D">
        <w:rPr>
          <w:rFonts w:ascii="Arial" w:hAnsi="Arial" w:cs="Arial"/>
        </w:rPr>
        <w:t xml:space="preserve">Ability to organise time effectively to discharge duties promptly </w:t>
      </w:r>
    </w:p>
    <w:p w14:paraId="7EAABD7A" w14:textId="77777777" w:rsidR="00BF2C4A" w:rsidRPr="00957C5D" w:rsidRDefault="00BF2C4A" w:rsidP="00BF2C4A">
      <w:pPr>
        <w:pStyle w:val="ListParagraph"/>
        <w:numPr>
          <w:ilvl w:val="0"/>
          <w:numId w:val="9"/>
        </w:numPr>
        <w:spacing w:after="0"/>
        <w:rPr>
          <w:rFonts w:ascii="Arial" w:hAnsi="Arial" w:cs="Arial"/>
        </w:rPr>
      </w:pPr>
      <w:r w:rsidRPr="00957C5D">
        <w:rPr>
          <w:rFonts w:ascii="Arial" w:hAnsi="Arial" w:cs="Arial"/>
        </w:rPr>
        <w:t xml:space="preserve">Manages workload effectively </w:t>
      </w:r>
    </w:p>
    <w:p w14:paraId="7733F7E3" w14:textId="77777777" w:rsidR="00BF2C4A" w:rsidRPr="00957C5D" w:rsidRDefault="00BF2C4A" w:rsidP="00BF2C4A">
      <w:pPr>
        <w:pStyle w:val="ListParagraph"/>
        <w:numPr>
          <w:ilvl w:val="0"/>
          <w:numId w:val="9"/>
        </w:numPr>
        <w:spacing w:after="0"/>
        <w:rPr>
          <w:rFonts w:ascii="Arial" w:hAnsi="Arial" w:cs="Arial"/>
        </w:rPr>
      </w:pPr>
      <w:r w:rsidRPr="00957C5D">
        <w:rPr>
          <w:rFonts w:ascii="Arial" w:hAnsi="Arial" w:cs="Arial"/>
        </w:rPr>
        <w:t xml:space="preserve">Ability to work constructively with others </w:t>
      </w:r>
    </w:p>
    <w:p w14:paraId="1FB9C85C" w14:textId="77777777" w:rsidR="00BF2C4A" w:rsidRPr="00957C5D" w:rsidRDefault="00BF2C4A" w:rsidP="00BF2C4A">
      <w:pPr>
        <w:spacing w:after="0"/>
        <w:rPr>
          <w:rFonts w:ascii="Arial" w:hAnsi="Arial" w:cs="Arial"/>
        </w:rPr>
      </w:pPr>
    </w:p>
    <w:p w14:paraId="354845DE" w14:textId="77777777" w:rsidR="00BF2C4A" w:rsidRPr="00957C5D" w:rsidRDefault="00BF2C4A" w:rsidP="00BF2C4A">
      <w:pPr>
        <w:spacing w:after="0"/>
        <w:rPr>
          <w:rFonts w:ascii="Arial" w:hAnsi="Arial" w:cs="Arial"/>
        </w:rPr>
      </w:pPr>
      <w:r w:rsidRPr="00957C5D">
        <w:rPr>
          <w:rFonts w:ascii="Arial" w:hAnsi="Arial" w:cs="Arial"/>
          <w:b/>
          <w:bCs/>
        </w:rPr>
        <w:t>6. Leadership and management skills</w:t>
      </w:r>
      <w:r w:rsidRPr="00957C5D">
        <w:rPr>
          <w:rFonts w:ascii="Arial" w:hAnsi="Arial" w:cs="Arial"/>
        </w:rPr>
        <w:t xml:space="preserve"> </w:t>
      </w:r>
    </w:p>
    <w:p w14:paraId="1A499715" w14:textId="77777777" w:rsidR="00D8262B" w:rsidRDefault="00BF2C4A" w:rsidP="00BF2C4A">
      <w:pPr>
        <w:pStyle w:val="ListParagraph"/>
        <w:numPr>
          <w:ilvl w:val="0"/>
          <w:numId w:val="10"/>
        </w:numPr>
        <w:spacing w:after="0"/>
        <w:rPr>
          <w:rFonts w:ascii="Arial" w:hAnsi="Arial" w:cs="Arial"/>
        </w:rPr>
      </w:pPr>
      <w:r w:rsidRPr="00957C5D">
        <w:rPr>
          <w:rFonts w:ascii="Arial" w:hAnsi="Arial" w:cs="Arial"/>
        </w:rPr>
        <w:t xml:space="preserve">Ability to form strategic objectives and to provide leadership to implement them effectively </w:t>
      </w:r>
    </w:p>
    <w:p w14:paraId="30AD2453" w14:textId="6D0BAD4E" w:rsidR="00BF2C4A" w:rsidRPr="00957C5D" w:rsidRDefault="00BF2C4A" w:rsidP="00BF2C4A">
      <w:pPr>
        <w:pStyle w:val="ListParagraph"/>
        <w:numPr>
          <w:ilvl w:val="0"/>
          <w:numId w:val="10"/>
        </w:numPr>
        <w:spacing w:after="0"/>
        <w:rPr>
          <w:rFonts w:ascii="Arial" w:hAnsi="Arial" w:cs="Arial"/>
        </w:rPr>
      </w:pPr>
      <w:r w:rsidRPr="00957C5D">
        <w:rPr>
          <w:rFonts w:ascii="Arial" w:hAnsi="Arial" w:cs="Arial"/>
        </w:rPr>
        <w:t xml:space="preserve">Ability to engage constructively and collegially with others in court, including courts administration </w:t>
      </w:r>
    </w:p>
    <w:p w14:paraId="7D575359" w14:textId="77777777" w:rsidR="00BF2C4A" w:rsidRPr="00957C5D" w:rsidRDefault="00BF2C4A" w:rsidP="00BF2C4A">
      <w:pPr>
        <w:pStyle w:val="ListParagraph"/>
        <w:numPr>
          <w:ilvl w:val="0"/>
          <w:numId w:val="10"/>
        </w:numPr>
        <w:spacing w:after="0"/>
        <w:rPr>
          <w:rFonts w:ascii="Arial" w:hAnsi="Arial" w:cs="Arial"/>
        </w:rPr>
      </w:pPr>
      <w:r w:rsidRPr="00957C5D">
        <w:rPr>
          <w:rFonts w:ascii="Arial" w:hAnsi="Arial" w:cs="Arial"/>
        </w:rPr>
        <w:t xml:space="preserve">Ability to represent the court appropriately including to external bodies such as the legal profession </w:t>
      </w:r>
    </w:p>
    <w:p w14:paraId="1A257D50" w14:textId="77777777" w:rsidR="00BF2C4A" w:rsidRPr="00957C5D" w:rsidRDefault="00BF2C4A" w:rsidP="00BF2C4A">
      <w:pPr>
        <w:pStyle w:val="ListParagraph"/>
        <w:numPr>
          <w:ilvl w:val="0"/>
          <w:numId w:val="10"/>
        </w:numPr>
        <w:spacing w:after="0"/>
        <w:rPr>
          <w:rFonts w:ascii="Arial" w:hAnsi="Arial" w:cs="Arial"/>
        </w:rPr>
      </w:pPr>
      <w:r w:rsidRPr="00957C5D">
        <w:rPr>
          <w:rFonts w:ascii="Arial" w:hAnsi="Arial" w:cs="Arial"/>
        </w:rPr>
        <w:lastRenderedPageBreak/>
        <w:t xml:space="preserve">Ability to motivate, support and encourage the professional development of others in the court </w:t>
      </w:r>
    </w:p>
    <w:p w14:paraId="2B4522D5" w14:textId="77777777" w:rsidR="00BF2C4A" w:rsidRPr="00957C5D" w:rsidRDefault="00BF2C4A" w:rsidP="00BF2C4A">
      <w:pPr>
        <w:pStyle w:val="ListParagraph"/>
        <w:numPr>
          <w:ilvl w:val="0"/>
          <w:numId w:val="10"/>
        </w:numPr>
        <w:spacing w:after="0"/>
        <w:rPr>
          <w:rFonts w:ascii="Arial" w:hAnsi="Arial" w:cs="Arial"/>
        </w:rPr>
      </w:pPr>
      <w:r w:rsidRPr="00957C5D">
        <w:rPr>
          <w:rFonts w:ascii="Arial" w:hAnsi="Arial" w:cs="Arial"/>
        </w:rPr>
        <w:t xml:space="preserve">Ability to manage change effectively </w:t>
      </w:r>
    </w:p>
    <w:p w14:paraId="165604C5" w14:textId="77777777" w:rsidR="00BF2C4A" w:rsidRPr="00957C5D" w:rsidRDefault="00BF2C4A" w:rsidP="00BF2C4A">
      <w:pPr>
        <w:pStyle w:val="ListParagraph"/>
        <w:numPr>
          <w:ilvl w:val="0"/>
          <w:numId w:val="10"/>
        </w:numPr>
        <w:spacing w:after="0"/>
        <w:rPr>
          <w:rFonts w:ascii="Arial" w:hAnsi="Arial" w:cs="Arial"/>
        </w:rPr>
      </w:pPr>
      <w:r w:rsidRPr="00957C5D">
        <w:rPr>
          <w:rFonts w:ascii="Arial" w:hAnsi="Arial" w:cs="Arial"/>
        </w:rPr>
        <w:t>Ability to manage available resources</w:t>
      </w:r>
    </w:p>
    <w:p w14:paraId="2EE267B8" w14:textId="77777777" w:rsidR="00BF2C4A" w:rsidRPr="00BF2C4A" w:rsidRDefault="00BF2C4A" w:rsidP="00BF2C4A"/>
    <w:sectPr w:rsidR="00BF2C4A" w:rsidRPr="00BF2C4A" w:rsidSect="003F0CBE">
      <w:pgSz w:w="11900" w:h="16840"/>
      <w:pgMar w:top="1440" w:right="1021" w:bottom="1440" w:left="102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5619F" w14:textId="77777777" w:rsidR="00BF2C4A" w:rsidRDefault="00BF2C4A" w:rsidP="00F565C6">
      <w:pPr>
        <w:spacing w:after="0" w:line="240" w:lineRule="auto"/>
      </w:pPr>
      <w:r>
        <w:separator/>
      </w:r>
    </w:p>
  </w:endnote>
  <w:endnote w:type="continuationSeparator" w:id="0">
    <w:p w14:paraId="2805CFC4" w14:textId="77777777" w:rsidR="00BF2C4A" w:rsidRDefault="00BF2C4A"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DD79" w14:textId="77777777" w:rsidR="004A31F3" w:rsidRDefault="00990D0C" w:rsidP="004A31F3">
    <w:pPr>
      <w:pStyle w:val="Footer"/>
      <w:tabs>
        <w:tab w:val="clear" w:pos="9026"/>
      </w:tabs>
    </w:pPr>
    <w:r>
      <w:rPr>
        <w:noProof/>
        <w:lang w:eastAsia="en-AU"/>
      </w:rPr>
      <w:drawing>
        <wp:anchor distT="0" distB="0" distL="114300" distR="114300" simplePos="0" relativeHeight="251657728" behindDoc="1" locked="1" layoutInCell="1" allowOverlap="1" wp14:anchorId="6CB7B469" wp14:editId="5E910BBD">
          <wp:simplePos x="0" y="0"/>
          <wp:positionH relativeFrom="page">
            <wp:align>center</wp:align>
          </wp:positionH>
          <wp:positionV relativeFrom="page">
            <wp:align>bottom</wp:align>
          </wp:positionV>
          <wp:extent cx="7560000" cy="125640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p w14:paraId="43EE3FDA" w14:textId="77777777" w:rsidR="004A31F3" w:rsidRPr="00541E30" w:rsidRDefault="009B3C13" w:rsidP="004A31F3">
    <w:pPr>
      <w:pStyle w:val="Footer"/>
    </w:pPr>
  </w:p>
  <w:p w14:paraId="26146052" w14:textId="77777777" w:rsidR="004A31F3" w:rsidRPr="004A31F3" w:rsidRDefault="009B3C13" w:rsidP="009E4419">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F5C8" w14:textId="77777777" w:rsidR="00541E30" w:rsidRDefault="009B3C13" w:rsidP="00541E30">
    <w:pPr>
      <w:pStyle w:val="Footer"/>
      <w:tabs>
        <w:tab w:val="clear" w:pos="9026"/>
      </w:tabs>
    </w:pPr>
  </w:p>
  <w:p w14:paraId="552CC9C1" w14:textId="77777777" w:rsidR="00541E30" w:rsidRPr="00541E30" w:rsidRDefault="00990D0C" w:rsidP="00541E30">
    <w:pPr>
      <w:pStyle w:val="Footer"/>
    </w:pPr>
    <w:r>
      <w:rPr>
        <w:noProof/>
        <w:lang w:eastAsia="en-AU"/>
      </w:rPr>
      <w:drawing>
        <wp:anchor distT="0" distB="0" distL="114300" distR="114300" simplePos="0" relativeHeight="251655680" behindDoc="1" locked="1" layoutInCell="1" allowOverlap="1" wp14:anchorId="6ECFD1B4" wp14:editId="35ACC780">
          <wp:simplePos x="0" y="0"/>
          <wp:positionH relativeFrom="page">
            <wp:align>left</wp:align>
          </wp:positionH>
          <wp:positionV relativeFrom="page">
            <wp:align>bottom</wp:align>
          </wp:positionV>
          <wp:extent cx="7560000" cy="1256400"/>
          <wp:effectExtent l="0" t="0" r="317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31585" w14:textId="77777777" w:rsidR="00BF2C4A" w:rsidRDefault="00BF2C4A" w:rsidP="00F565C6">
      <w:pPr>
        <w:spacing w:after="0" w:line="240" w:lineRule="auto"/>
      </w:pPr>
      <w:r>
        <w:separator/>
      </w:r>
    </w:p>
  </w:footnote>
  <w:footnote w:type="continuationSeparator" w:id="0">
    <w:p w14:paraId="252178C5" w14:textId="77777777" w:rsidR="00BF2C4A" w:rsidRDefault="00BF2C4A"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63D5" w14:textId="77777777" w:rsidR="00A03323" w:rsidRDefault="009B3C13">
    <w:pPr>
      <w:pStyle w:val="Header"/>
    </w:pPr>
    <w:r>
      <w:rPr>
        <w:noProof/>
      </w:rPr>
      <w:pict w14:anchorId="1E34D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480pt;height:489pt;z-index:-251655680;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B4634" w14:textId="77777777" w:rsidR="00A03323" w:rsidRPr="00541E30" w:rsidRDefault="00C564AA" w:rsidP="005C69BF">
    <w:pPr>
      <w:pStyle w:val="Header"/>
    </w:pPr>
    <w:r>
      <w:rPr>
        <w:noProof/>
        <w:lang w:eastAsia="en-AU"/>
      </w:rPr>
      <mc:AlternateContent>
        <mc:Choice Requires="wps">
          <w:drawing>
            <wp:anchor distT="0" distB="0" distL="114300" distR="114300" simplePos="0" relativeHeight="251659776" behindDoc="0" locked="0" layoutInCell="1" allowOverlap="1" wp14:anchorId="7D7C4B91" wp14:editId="246BE7D3">
              <wp:simplePos x="0" y="0"/>
              <wp:positionH relativeFrom="column">
                <wp:posOffset>3218815</wp:posOffset>
              </wp:positionH>
              <wp:positionV relativeFrom="paragraph">
                <wp:posOffset>-572135</wp:posOffset>
              </wp:positionV>
              <wp:extent cx="3116580" cy="3016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116580" cy="301625"/>
                      </a:xfrm>
                      <a:prstGeom prst="rect">
                        <a:avLst/>
                      </a:prstGeom>
                      <a:noFill/>
                      <a:ln w="6350">
                        <a:noFill/>
                      </a:ln>
                    </wps:spPr>
                    <wps:txbx>
                      <w:txbxContent>
                        <w:p w14:paraId="406E3C90" w14:textId="77777777" w:rsidR="00C564AA" w:rsidRPr="00897277" w:rsidRDefault="00C564AA" w:rsidP="00C564AA">
                          <w:pPr>
                            <w:pStyle w:val="DJAGnameinheader"/>
                          </w:pPr>
                          <w:r w:rsidRPr="00897277">
                            <w:t>Department of Justice and Attorney-General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C4B91" id="_x0000_t202" coordsize="21600,21600" o:spt="202" path="m,l,21600r21600,l21600,xe">
              <v:stroke joinstyle="miter"/>
              <v:path gradientshapeok="t" o:connecttype="rect"/>
            </v:shapetype>
            <v:shape id="Text Box 3" o:spid="_x0000_s1026" type="#_x0000_t202" style="position:absolute;margin-left:253.45pt;margin-top:-45.05pt;width:245.4pt;height: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" filled="f" stroked="f" strokeweight=".5pt">
              <v:textbox>
                <w:txbxContent>
                  <w:p w14:paraId="406E3C90" w14:textId="77777777" w:rsidR="00C564AA" w:rsidRPr="00897277" w:rsidRDefault="00C564AA" w:rsidP="00C564AA">
                    <w:pPr>
                      <w:pStyle w:val="DJAGnameinheader"/>
                    </w:pPr>
                    <w:r w:rsidRPr="00897277">
                      <w:t>Department of Justice and Attorney-General</w:t>
                    </w:r>
                  </w:p>
                </w:txbxContent>
              </v:textbox>
            </v:shape>
          </w:pict>
        </mc:Fallback>
      </mc:AlternateContent>
    </w:r>
    <w:r>
      <w:rPr>
        <w:noProof/>
        <w:lang w:eastAsia="en-AU"/>
      </w:rPr>
      <mc:AlternateContent>
        <mc:Choice Requires="wps">
          <w:drawing>
            <wp:anchor distT="0" distB="0" distL="114300" distR="114300" simplePos="0" relativeHeight="251658752" behindDoc="0" locked="0" layoutInCell="1" allowOverlap="1" wp14:anchorId="5AA93DBA" wp14:editId="29B1EBA1">
              <wp:simplePos x="0" y="0"/>
              <wp:positionH relativeFrom="page">
                <wp:posOffset>-104140</wp:posOffset>
              </wp:positionH>
              <wp:positionV relativeFrom="paragraph">
                <wp:posOffset>-352425</wp:posOffset>
              </wp:positionV>
              <wp:extent cx="701294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70129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C191FE" id="Straight Connector 2"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2pt,-27.75pt" to="544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" strokecolor="white [3212]" strokeweight=".5pt">
              <v:stroke joinstyle="miter"/>
              <w10:wrap anchorx="page"/>
            </v:line>
          </w:pict>
        </mc:Fallback>
      </mc:AlternateContent>
    </w:r>
    <w:r w:rsidR="00990D0C">
      <w:rPr>
        <w:noProof/>
        <w:lang w:eastAsia="en-AU"/>
      </w:rPr>
      <mc:AlternateContent>
        <mc:Choice Requires="wps">
          <w:drawing>
            <wp:anchor distT="0" distB="0" distL="114300" distR="114300" simplePos="0" relativeHeight="251654656" behindDoc="0" locked="0" layoutInCell="1" allowOverlap="1" wp14:anchorId="29A937E9" wp14:editId="5BD2B6DE">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4D46786C" w14:textId="77777777" w:rsidR="00541E30" w:rsidRPr="009C4922" w:rsidRDefault="009B3C13" w:rsidP="005C69BF">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937E9" id="Text Box 1" o:spid="_x0000_s1027" type="#_x0000_t202" style="position:absolute;margin-left:-9.95pt;margin-top:-27.7pt;width:158.25pt;height: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" filled="f" stroked="f" strokeweight=".5pt">
              <v:textbox>
                <w:txbxContent>
                  <w:p w14:paraId="4D46786C" w14:textId="77777777" w:rsidR="00541E30" w:rsidRPr="009C4922" w:rsidRDefault="00E2585C" w:rsidP="005C69BF">
                    <w:pPr>
                      <w:pStyle w:val="Documenttypeinheader"/>
                    </w:pPr>
                  </w:p>
                </w:txbxContent>
              </v:textbox>
            </v:shape>
          </w:pict>
        </mc:Fallback>
      </mc:AlternateContent>
    </w:r>
    <w:r w:rsidR="00990D0C">
      <w:rPr>
        <w:noProof/>
        <w:lang w:eastAsia="en-AU"/>
      </w:rPr>
      <w:drawing>
        <wp:anchor distT="0" distB="0" distL="114300" distR="114300" simplePos="0" relativeHeight="251656704" behindDoc="1" locked="1" layoutInCell="1" allowOverlap="1" wp14:anchorId="3DBE3897" wp14:editId="458DDFCF">
          <wp:simplePos x="0" y="0"/>
          <wp:positionH relativeFrom="page">
            <wp:align>center</wp:align>
          </wp:positionH>
          <wp:positionV relativeFrom="page">
            <wp:posOffset>0</wp:posOffset>
          </wp:positionV>
          <wp:extent cx="7560000" cy="1288800"/>
          <wp:effectExtent l="0" t="0" r="317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rsidR="00990D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8799C"/>
    <w:multiLevelType w:val="hybridMultilevel"/>
    <w:tmpl w:val="53820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D760A"/>
    <w:multiLevelType w:val="hybridMultilevel"/>
    <w:tmpl w:val="58DC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74A11"/>
    <w:multiLevelType w:val="hybridMultilevel"/>
    <w:tmpl w:val="57D8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E5180A"/>
    <w:multiLevelType w:val="hybridMultilevel"/>
    <w:tmpl w:val="4BBA888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44223F84">
      <w:start w:val="5"/>
      <w:numFmt w:val="bullet"/>
      <w:lvlText w:val=""/>
      <w:lvlJc w:val="left"/>
      <w:pPr>
        <w:ind w:left="2340" w:hanging="360"/>
      </w:pPr>
      <w:rPr>
        <w:rFonts w:ascii="Symbol" w:eastAsiaTheme="minorHAnsi" w:hAnsi="Symbo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486474"/>
    <w:multiLevelType w:val="hybridMultilevel"/>
    <w:tmpl w:val="F336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32D0B"/>
    <w:multiLevelType w:val="hybridMultilevel"/>
    <w:tmpl w:val="1E80595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8D2155"/>
    <w:multiLevelType w:val="hybridMultilevel"/>
    <w:tmpl w:val="D4B6D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6A104B"/>
    <w:multiLevelType w:val="hybridMultilevel"/>
    <w:tmpl w:val="9F4CA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F4540A"/>
    <w:multiLevelType w:val="hybridMultilevel"/>
    <w:tmpl w:val="9E384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643901"/>
    <w:multiLevelType w:val="hybridMultilevel"/>
    <w:tmpl w:val="9DA8B230"/>
    <w:lvl w:ilvl="0" w:tplc="0E7AA5A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0503A6"/>
    <w:multiLevelType w:val="hybridMultilevel"/>
    <w:tmpl w:val="3E688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4"/>
  </w:num>
  <w:num w:numId="6">
    <w:abstractNumId w:val="9"/>
  </w:num>
  <w:num w:numId="7">
    <w:abstractNumId w:val="2"/>
  </w:num>
  <w:num w:numId="8">
    <w:abstractNumId w:val="0"/>
  </w:num>
  <w:num w:numId="9">
    <w:abstractNumId w:val="6"/>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4A"/>
    <w:rsid w:val="000213DA"/>
    <w:rsid w:val="0004031C"/>
    <w:rsid w:val="00075085"/>
    <w:rsid w:val="00080818"/>
    <w:rsid w:val="000A71C4"/>
    <w:rsid w:val="000E4E00"/>
    <w:rsid w:val="000F2109"/>
    <w:rsid w:val="003777C9"/>
    <w:rsid w:val="003A4520"/>
    <w:rsid w:val="003C2EEF"/>
    <w:rsid w:val="003F0CBE"/>
    <w:rsid w:val="003F6426"/>
    <w:rsid w:val="0042495F"/>
    <w:rsid w:val="00655CB4"/>
    <w:rsid w:val="00832FE2"/>
    <w:rsid w:val="00875055"/>
    <w:rsid w:val="008E6DB9"/>
    <w:rsid w:val="008F5255"/>
    <w:rsid w:val="00963CD7"/>
    <w:rsid w:val="00990D0C"/>
    <w:rsid w:val="009B3C13"/>
    <w:rsid w:val="00A535FA"/>
    <w:rsid w:val="00A92F40"/>
    <w:rsid w:val="00BF2C4A"/>
    <w:rsid w:val="00C564AA"/>
    <w:rsid w:val="00C6194F"/>
    <w:rsid w:val="00C852CF"/>
    <w:rsid w:val="00CE7E20"/>
    <w:rsid w:val="00D03F68"/>
    <w:rsid w:val="00D11F92"/>
    <w:rsid w:val="00D53EDE"/>
    <w:rsid w:val="00D8262B"/>
    <w:rsid w:val="00E2585C"/>
    <w:rsid w:val="00E71FFE"/>
    <w:rsid w:val="00EE794B"/>
    <w:rsid w:val="00EF0191"/>
    <w:rsid w:val="00F565C6"/>
    <w:rsid w:val="00F70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DEACF1"/>
  <w15:chartTrackingRefBased/>
  <w15:docId w15:val="{CE9B8D0E-B479-4F75-A3C1-3AA90F39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4A"/>
  </w:style>
  <w:style w:type="paragraph" w:styleId="Heading1">
    <w:name w:val="heading 1"/>
    <w:next w:val="Normal"/>
    <w:link w:val="Heading1Char"/>
    <w:autoRedefine/>
    <w:uiPriority w:val="9"/>
    <w:qFormat/>
    <w:rsid w:val="00BF2C4A"/>
    <w:pPr>
      <w:keepNext/>
      <w:keepLines/>
      <w:spacing w:before="360" w:after="120" w:line="340" w:lineRule="exact"/>
      <w:ind w:left="-142"/>
      <w:jc w:val="center"/>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F565C6"/>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next w:val="Normal"/>
    <w:link w:val="Heading3Char"/>
    <w:autoRedefine/>
    <w:uiPriority w:val="9"/>
    <w:unhideWhenUsed/>
    <w:qFormat/>
    <w:rsid w:val="00F565C6"/>
    <w:pPr>
      <w:keepNext/>
      <w:keepLines/>
      <w:spacing w:before="180" w:after="120" w:line="280" w:lineRule="exact"/>
      <w:outlineLvl w:val="2"/>
    </w:pPr>
    <w:rPr>
      <w:rFonts w:ascii="Arial" w:eastAsiaTheme="majorEastAsia" w:hAnsi="Arial" w:cstheme="majorBidi"/>
      <w:color w:val="AF4C6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4A"/>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F565C6"/>
    <w:rPr>
      <w:rFonts w:ascii="Arial" w:eastAsiaTheme="majorEastAsia" w:hAnsi="Arial" w:cstheme="majorBidi"/>
      <w:color w:val="AF4C64"/>
      <w:sz w:val="26"/>
      <w:szCs w:val="26"/>
      <w:lang w:val="en-US"/>
    </w:rPr>
  </w:style>
  <w:style w:type="character" w:customStyle="1" w:styleId="Heading3Char">
    <w:name w:val="Heading 3 Char"/>
    <w:basedOn w:val="DefaultParagraphFont"/>
    <w:link w:val="Heading3"/>
    <w:uiPriority w:val="9"/>
    <w:rsid w:val="00F565C6"/>
    <w:rPr>
      <w:rFonts w:ascii="Arial" w:eastAsiaTheme="majorEastAsia" w:hAnsi="Arial" w:cstheme="majorBidi"/>
      <w:color w:val="AF4C64"/>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F565C6"/>
    <w:pPr>
      <w:spacing w:after="360" w:line="600" w:lineRule="exact"/>
      <w:ind w:left="-142" w:right="-65"/>
    </w:pPr>
    <w:rPr>
      <w:rFonts w:ascii="Arial" w:eastAsiaTheme="majorEastAsia" w:hAnsi="Arial" w:cstheme="majorBidi"/>
      <w:b/>
      <w:color w:val="AF4C64"/>
      <w:spacing w:val="-10"/>
      <w:kern w:val="28"/>
      <w:sz w:val="56"/>
      <w:szCs w:val="56"/>
      <w:lang w:val="en-US"/>
    </w:rPr>
  </w:style>
  <w:style w:type="character" w:customStyle="1" w:styleId="TitleChar">
    <w:name w:val="Title Char"/>
    <w:basedOn w:val="DefaultParagraphFont"/>
    <w:link w:val="Title"/>
    <w:uiPriority w:val="10"/>
    <w:rsid w:val="00F565C6"/>
    <w:rPr>
      <w:rFonts w:ascii="Arial" w:eastAsiaTheme="majorEastAsia" w:hAnsi="Arial" w:cstheme="majorBidi"/>
      <w:b/>
      <w:color w:val="AF4C64"/>
      <w:spacing w:val="-10"/>
      <w:kern w:val="28"/>
      <w:sz w:val="56"/>
      <w:szCs w:val="56"/>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paragraph" w:styleId="ListParagraph">
    <w:name w:val="List Paragraph"/>
    <w:basedOn w:val="Normal"/>
    <w:uiPriority w:val="34"/>
    <w:qFormat/>
    <w:rsid w:val="00BF2C4A"/>
    <w:pPr>
      <w:ind w:left="720"/>
      <w:contextualSpacing/>
    </w:pPr>
  </w:style>
  <w:style w:type="paragraph" w:styleId="BalloonText">
    <w:name w:val="Balloon Text"/>
    <w:basedOn w:val="Normal"/>
    <w:link w:val="BalloonTextChar"/>
    <w:uiPriority w:val="99"/>
    <w:semiHidden/>
    <w:unhideWhenUsed/>
    <w:rsid w:val="00C85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RTA\Downloads\djag-A4-portrait-internal-option-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djag-A4-portrait-internal-option-1 (3)</Template>
  <TotalTime>1</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judicial appointments in Queensland</dc:title>
  <dc:subject>Protocol for judicial appointments in Queensland</dc:subject>
  <dc:creator>Queensland Government</dc:creator>
  <cp:keywords>Protocol for judicial appointments in Queensland</cp:keywords>
  <dc:description/>
  <cp:lastModifiedBy>Amanda Schneider</cp:lastModifiedBy>
  <cp:revision>4</cp:revision>
  <dcterms:created xsi:type="dcterms:W3CDTF">2021-10-19T00:20:00Z</dcterms:created>
  <dcterms:modified xsi:type="dcterms:W3CDTF">2021-10-19T03:38:00Z</dcterms:modified>
</cp:coreProperties>
</file>