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59168">
                <wp:simplePos x="0" y="0"/>
                <wp:positionH relativeFrom="page">
                  <wp:posOffset>0</wp:posOffset>
                </wp:positionH>
                <wp:positionV relativeFrom="page">
                  <wp:posOffset>1908</wp:posOffset>
                </wp:positionV>
                <wp:extent cx="7560945" cy="1069086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10690860"/>
                          <a:chExt cx="7560945" cy="10690860"/>
                        </a:xfrm>
                      </wpg:grpSpPr>
                      <pic:pic>
                        <pic:nvPicPr>
                          <pic:cNvPr id="2" name="Image 2"/>
                          <pic:cNvPicPr/>
                        </pic:nvPicPr>
                        <pic:blipFill>
                          <a:blip r:embed="rId5" cstate="print"/>
                          <a:stretch>
                            <a:fillRect/>
                          </a:stretch>
                        </pic:blipFill>
                        <pic:spPr>
                          <a:xfrm>
                            <a:off x="0" y="0"/>
                            <a:ext cx="7560564" cy="10690475"/>
                          </a:xfrm>
                          <a:prstGeom prst="rect">
                            <a:avLst/>
                          </a:prstGeom>
                        </pic:spPr>
                      </pic:pic>
                      <pic:pic>
                        <pic:nvPicPr>
                          <pic:cNvPr id="3" name="Image 3"/>
                          <pic:cNvPicPr/>
                        </pic:nvPicPr>
                        <pic:blipFill>
                          <a:blip r:embed="rId6" cstate="print"/>
                          <a:stretch>
                            <a:fillRect/>
                          </a:stretch>
                        </pic:blipFill>
                        <pic:spPr>
                          <a:xfrm>
                            <a:off x="4961167" y="5407237"/>
                            <a:ext cx="2226944" cy="2058542"/>
                          </a:xfrm>
                          <a:prstGeom prst="rect">
                            <a:avLst/>
                          </a:prstGeom>
                        </pic:spPr>
                      </pic:pic>
                    </wpg:wgp>
                  </a:graphicData>
                </a:graphic>
              </wp:anchor>
            </w:drawing>
          </mc:Choice>
          <mc:Fallback>
            <w:pict>
              <v:group style="position:absolute;margin-left:0pt;margin-top:.150284pt;width:595.35pt;height:841.8pt;mso-position-horizontal-relative:page;mso-position-vertical-relative:page;z-index:-15757312" id="docshapegroup1" coordorigin="0,3" coordsize="11907,16836">
                <v:shape style="position:absolute;left:0;top:3;width:11907;height:16836" type="#_x0000_t75" id="docshape2" stroked="false">
                  <v:imagedata r:id="rId5" o:title=""/>
                </v:shape>
                <v:shape style="position:absolute;left:7812;top:8518;width:3507;height:3242" type="#_x0000_t75" id="docshape3" stroked="false">
                  <v:imagedata r:id="rId6" o:title=""/>
                </v:shape>
                <w10:wrap type="none"/>
              </v:group>
            </w:pict>
          </mc:Fallback>
        </mc:AlternateContent>
      </w:r>
      <w:r>
        <w:rPr>
          <w:color w:val="4A469D"/>
        </w:rPr>
        <w:t>Risk,</w:t>
      </w:r>
      <w:r>
        <w:rPr>
          <w:color w:val="4A469D"/>
          <w:spacing w:val="-3"/>
        </w:rPr>
        <w:t> </w:t>
      </w:r>
      <w:r>
        <w:rPr>
          <w:color w:val="4A469D"/>
        </w:rPr>
        <w:t>Need,</w:t>
      </w:r>
      <w:r>
        <w:rPr>
          <w:color w:val="4A469D"/>
          <w:spacing w:val="-3"/>
        </w:rPr>
        <w:t> </w:t>
      </w:r>
      <w:r>
        <w:rPr>
          <w:color w:val="4A469D"/>
        </w:rPr>
        <w:t>Responsivity</w:t>
      </w:r>
      <w:r>
        <w:rPr>
          <w:color w:val="4A469D"/>
          <w:spacing w:val="-3"/>
        </w:rPr>
        <w:t> </w:t>
      </w:r>
      <w:r>
        <w:rPr>
          <w:color w:val="4A469D"/>
        </w:rPr>
        <w:t>(RNR):</w:t>
      </w:r>
      <w:r>
        <w:rPr>
          <w:color w:val="4A469D"/>
          <w:spacing w:val="-1"/>
        </w:rPr>
        <w:t> </w:t>
      </w:r>
      <w:r>
        <w:rPr>
          <w:color w:val="4A469D"/>
          <w:spacing w:val="-2"/>
        </w:rPr>
        <w:t>Overview</w:t>
      </w:r>
    </w:p>
    <w:p>
      <w:pPr>
        <w:pStyle w:val="Heading1"/>
        <w:spacing w:before="292"/>
        <w:ind w:left="121"/>
      </w:pPr>
      <w:r>
        <w:rPr>
          <w:color w:val="4A469D"/>
        </w:rPr>
        <w:t>What</w:t>
      </w:r>
      <w:r>
        <w:rPr>
          <w:color w:val="4A469D"/>
          <w:spacing w:val="-1"/>
        </w:rPr>
        <w:t> </w:t>
      </w:r>
      <w:r>
        <w:rPr>
          <w:color w:val="4A469D"/>
        </w:rPr>
        <w:t>is</w:t>
      </w:r>
      <w:r>
        <w:rPr>
          <w:color w:val="4A469D"/>
          <w:spacing w:val="2"/>
        </w:rPr>
        <w:t> </w:t>
      </w:r>
      <w:r>
        <w:rPr>
          <w:color w:val="4A469D"/>
          <w:spacing w:val="-4"/>
        </w:rPr>
        <w:t>RNR?</w:t>
      </w:r>
    </w:p>
    <w:p>
      <w:pPr>
        <w:pStyle w:val="BodyText"/>
        <w:spacing w:before="65"/>
        <w:ind w:left="121" w:right="107"/>
      </w:pPr>
      <w:r>
        <w:rPr/>
        <w:t>There is a significant body of evidence, built up over several decades, that clearly shows the most effective way to </w:t>
      </w:r>
      <w:hyperlink r:id="rId7">
        <w:r>
          <w:rPr>
            <w:color w:val="0562C1"/>
            <w:u w:val="single" w:color="0562C1"/>
          </w:rPr>
          <w:t>reduce reoffending</w:t>
        </w:r>
      </w:hyperlink>
      <w:r>
        <w:rPr>
          <w:color w:val="0562C1"/>
        </w:rPr>
        <w:t> </w:t>
      </w:r>
      <w:r>
        <w:rPr/>
        <w:t>in youth justice is to apply Risk Need Responsivity (RNR) </w:t>
      </w:r>
      <w:r>
        <w:rPr>
          <w:spacing w:val="-2"/>
        </w:rPr>
        <w:t>principles.</w:t>
      </w:r>
    </w:p>
    <w:p>
      <w:pPr>
        <w:pStyle w:val="BodyText"/>
        <w:spacing w:before="119"/>
        <w:ind w:left="121" w:right="109"/>
      </w:pPr>
      <w:hyperlink r:id="rId8">
        <w:r>
          <w:rPr>
            <w:b/>
            <w:color w:val="0562C1"/>
            <w:u w:val="single" w:color="0562C1"/>
          </w:rPr>
          <w:t>Risk principle</w:t>
        </w:r>
      </w:hyperlink>
      <w:r>
        <w:rPr>
          <w:b/>
          <w:color w:val="0562C1"/>
        </w:rPr>
        <w:t> </w:t>
      </w:r>
      <w:r>
        <w:rPr/>
        <w:t>– The level of service provided to a young person matches their risk of reoffending as identified</w:t>
      </w:r>
      <w:r>
        <w:rPr>
          <w:spacing w:val="40"/>
        </w:rPr>
        <w:t> </w:t>
      </w:r>
      <w:r>
        <w:rPr/>
        <w:t>by</w:t>
      </w:r>
      <w:r>
        <w:rPr>
          <w:spacing w:val="40"/>
        </w:rPr>
        <w:t> </w:t>
      </w:r>
      <w:r>
        <w:rPr/>
        <w:t>a</w:t>
      </w:r>
      <w:r>
        <w:rPr>
          <w:spacing w:val="40"/>
        </w:rPr>
        <w:t> </w:t>
      </w:r>
      <w:r>
        <w:rPr/>
        <w:t>valid</w:t>
      </w:r>
      <w:r>
        <w:rPr>
          <w:spacing w:val="40"/>
        </w:rPr>
        <w:t> </w:t>
      </w:r>
      <w:r>
        <w:rPr/>
        <w:t>and</w:t>
      </w:r>
      <w:r>
        <w:rPr>
          <w:spacing w:val="40"/>
        </w:rPr>
        <w:t> </w:t>
      </w:r>
      <w:r>
        <w:rPr/>
        <w:t>standardised</w:t>
      </w:r>
      <w:r>
        <w:rPr>
          <w:spacing w:val="40"/>
        </w:rPr>
        <w:t> </w:t>
      </w:r>
      <w:r>
        <w:rPr/>
        <w:t>tool,</w:t>
      </w:r>
      <w:r>
        <w:rPr>
          <w:spacing w:val="40"/>
        </w:rPr>
        <w:t> </w:t>
      </w:r>
      <w:r>
        <w:rPr/>
        <w:t>which</w:t>
      </w:r>
      <w:r>
        <w:rPr>
          <w:spacing w:val="40"/>
        </w:rPr>
        <w:t> </w:t>
      </w:r>
      <w:r>
        <w:rPr/>
        <w:t>in</w:t>
      </w:r>
      <w:r>
        <w:rPr>
          <w:spacing w:val="40"/>
        </w:rPr>
        <w:t> </w:t>
      </w:r>
      <w:r>
        <w:rPr/>
        <w:t>Youth</w:t>
      </w:r>
      <w:r>
        <w:rPr>
          <w:spacing w:val="40"/>
        </w:rPr>
        <w:t> </w:t>
      </w:r>
      <w:r>
        <w:rPr/>
        <w:t>Justice</w:t>
      </w:r>
      <w:r>
        <w:rPr>
          <w:spacing w:val="40"/>
        </w:rPr>
        <w:t> </w:t>
      </w:r>
      <w:r>
        <w:rPr/>
        <w:t>is</w:t>
      </w:r>
      <w:r>
        <w:rPr>
          <w:spacing w:val="40"/>
        </w:rPr>
        <w:t> </w:t>
      </w:r>
      <w:r>
        <w:rPr/>
        <w:t>through</w:t>
      </w:r>
      <w:r>
        <w:rPr>
          <w:spacing w:val="40"/>
        </w:rPr>
        <w:t> </w:t>
      </w:r>
      <w:r>
        <w:rPr/>
        <w:t>use</w:t>
      </w:r>
      <w:r>
        <w:rPr>
          <w:spacing w:val="40"/>
        </w:rPr>
        <w:t> </w:t>
      </w:r>
      <w:r>
        <w:rPr/>
        <w:t>of</w:t>
      </w:r>
      <w:r>
        <w:rPr>
          <w:spacing w:val="40"/>
        </w:rPr>
        <w:t> </w:t>
      </w:r>
      <w:r>
        <w:rPr/>
        <w:t>the</w:t>
      </w:r>
      <w:r>
        <w:rPr>
          <w:spacing w:val="40"/>
        </w:rPr>
        <w:t> </w:t>
      </w:r>
      <w:r>
        <w:rPr/>
        <w:t>Youth Level of Service/Case Management Inventory (YLS/CMI™) 2.0.</w:t>
      </w:r>
    </w:p>
    <w:p>
      <w:pPr>
        <w:pStyle w:val="BodyText"/>
        <w:spacing w:before="120"/>
        <w:ind w:left="121" w:right="0"/>
        <w:jc w:val="left"/>
      </w:pPr>
      <w:hyperlink r:id="rId8">
        <w:r>
          <w:rPr>
            <w:b/>
            <w:color w:val="0562C1"/>
            <w:u w:val="single" w:color="0562C1"/>
          </w:rPr>
          <w:t>Need</w:t>
        </w:r>
        <w:r>
          <w:rPr>
            <w:b/>
            <w:color w:val="0562C1"/>
            <w:spacing w:val="-2"/>
            <w:u w:val="single" w:color="0562C1"/>
          </w:rPr>
          <w:t> </w:t>
        </w:r>
        <w:r>
          <w:rPr>
            <w:b/>
            <w:color w:val="0562C1"/>
            <w:u w:val="single" w:color="0562C1"/>
          </w:rPr>
          <w:t>principle</w:t>
        </w:r>
      </w:hyperlink>
      <w:r>
        <w:rPr>
          <w:b/>
          <w:color w:val="0562C1"/>
          <w:spacing w:val="-2"/>
        </w:rPr>
        <w:t> </w:t>
      </w:r>
      <w:r>
        <w:rPr/>
        <w:t>–</w:t>
      </w:r>
      <w:r>
        <w:rPr>
          <w:spacing w:val="-4"/>
        </w:rPr>
        <w:t> </w:t>
      </w:r>
      <w:r>
        <w:rPr/>
        <w:t>Work</w:t>
      </w:r>
      <w:r>
        <w:rPr>
          <w:spacing w:val="-6"/>
        </w:rPr>
        <w:t> </w:t>
      </w:r>
      <w:r>
        <w:rPr/>
        <w:t>with</w:t>
      </w:r>
      <w:r>
        <w:rPr>
          <w:spacing w:val="-2"/>
        </w:rPr>
        <w:t> </w:t>
      </w:r>
      <w:r>
        <w:rPr/>
        <w:t>the</w:t>
      </w:r>
      <w:r>
        <w:rPr>
          <w:spacing w:val="-2"/>
        </w:rPr>
        <w:t> </w:t>
      </w:r>
      <w:r>
        <w:rPr/>
        <w:t>young</w:t>
      </w:r>
      <w:r>
        <w:rPr>
          <w:spacing w:val="-2"/>
        </w:rPr>
        <w:t> </w:t>
      </w:r>
      <w:r>
        <w:rPr/>
        <w:t>person</w:t>
      </w:r>
      <w:r>
        <w:rPr>
          <w:spacing w:val="-5"/>
        </w:rPr>
        <w:t> </w:t>
      </w:r>
      <w:r>
        <w:rPr/>
        <w:t>focuses</w:t>
      </w:r>
      <w:r>
        <w:rPr>
          <w:spacing w:val="-2"/>
        </w:rPr>
        <w:t> </w:t>
      </w:r>
      <w:r>
        <w:rPr/>
        <w:t>on</w:t>
      </w:r>
      <w:r>
        <w:rPr>
          <w:spacing w:val="-2"/>
        </w:rPr>
        <w:t> </w:t>
      </w:r>
      <w:r>
        <w:rPr/>
        <w:t>the</w:t>
      </w:r>
      <w:r>
        <w:rPr>
          <w:spacing w:val="-4"/>
        </w:rPr>
        <w:t> </w:t>
      </w:r>
      <w:r>
        <w:rPr/>
        <w:t>highest</w:t>
      </w:r>
      <w:r>
        <w:rPr>
          <w:spacing w:val="-1"/>
        </w:rPr>
        <w:t> </w:t>
      </w:r>
      <w:r>
        <w:rPr/>
        <w:t>need</w:t>
      </w:r>
      <w:r>
        <w:rPr>
          <w:spacing w:val="-2"/>
        </w:rPr>
        <w:t> </w:t>
      </w:r>
      <w:r>
        <w:rPr/>
        <w:t>areas</w:t>
      </w:r>
      <w:r>
        <w:rPr>
          <w:spacing w:val="-2"/>
        </w:rPr>
        <w:t> </w:t>
      </w:r>
      <w:r>
        <w:rPr/>
        <w:t>identified</w:t>
      </w:r>
      <w:r>
        <w:rPr>
          <w:spacing w:val="-4"/>
        </w:rPr>
        <w:t> </w:t>
      </w:r>
      <w:r>
        <w:rPr/>
        <w:t>through validated assessment and use of the YLS/CMI™ 2.0.</w:t>
      </w:r>
    </w:p>
    <w:p>
      <w:pPr>
        <w:pStyle w:val="BodyText"/>
        <w:spacing w:before="121"/>
        <w:ind w:left="121" w:right="13"/>
        <w:jc w:val="left"/>
      </w:pPr>
      <w:hyperlink r:id="rId8">
        <w:r>
          <w:rPr>
            <w:b/>
            <w:color w:val="0562C1"/>
            <w:u w:val="single" w:color="0562C1"/>
          </w:rPr>
          <w:t>Responsivity principle</w:t>
        </w:r>
      </w:hyperlink>
      <w:r>
        <w:rPr>
          <w:b/>
          <w:color w:val="0562C1"/>
        </w:rPr>
        <w:t> </w:t>
      </w:r>
      <w:r>
        <w:rPr/>
        <w:t>– Programs proven to reduce reoffending are used and adapted in line with the</w:t>
      </w:r>
      <w:r>
        <w:rPr>
          <w:spacing w:val="-3"/>
        </w:rPr>
        <w:t> </w:t>
      </w:r>
      <w:r>
        <w:rPr/>
        <w:t>individual</w:t>
      </w:r>
      <w:r>
        <w:rPr>
          <w:spacing w:val="-2"/>
        </w:rPr>
        <w:t> </w:t>
      </w:r>
      <w:r>
        <w:rPr/>
        <w:t>characteristics</w:t>
      </w:r>
      <w:r>
        <w:rPr>
          <w:spacing w:val="-3"/>
        </w:rPr>
        <w:t> </w:t>
      </w:r>
      <w:r>
        <w:rPr/>
        <w:t>of</w:t>
      </w:r>
      <w:r>
        <w:rPr>
          <w:spacing w:val="-15"/>
        </w:rPr>
        <w:t> </w:t>
      </w:r>
      <w:r>
        <w:rPr/>
        <w:t>the</w:t>
      </w:r>
      <w:r>
        <w:rPr>
          <w:spacing w:val="-2"/>
        </w:rPr>
        <w:t> </w:t>
      </w:r>
      <w:r>
        <w:rPr/>
        <w:t>young</w:t>
      </w:r>
      <w:r>
        <w:rPr>
          <w:spacing w:val="-2"/>
        </w:rPr>
        <w:t> </w:t>
      </w:r>
      <w:r>
        <w:rPr/>
        <w:t>person.</w:t>
      </w:r>
      <w:r>
        <w:rPr>
          <w:spacing w:val="41"/>
        </w:rPr>
        <w:t> </w:t>
      </w:r>
      <w:r>
        <w:rPr/>
        <w:t>The</w:t>
      </w:r>
      <w:r>
        <w:rPr>
          <w:spacing w:val="-3"/>
        </w:rPr>
        <w:t> </w:t>
      </w:r>
      <w:r>
        <w:rPr/>
        <w:t>responsivity</w:t>
      </w:r>
      <w:r>
        <w:rPr>
          <w:spacing w:val="-2"/>
        </w:rPr>
        <w:t> </w:t>
      </w:r>
      <w:r>
        <w:rPr/>
        <w:t>principle</w:t>
      </w:r>
      <w:r>
        <w:rPr>
          <w:spacing w:val="-3"/>
        </w:rPr>
        <w:t> </w:t>
      </w:r>
      <w:r>
        <w:rPr/>
        <w:t>is</w:t>
      </w:r>
      <w:r>
        <w:rPr>
          <w:spacing w:val="-2"/>
        </w:rPr>
        <w:t> </w:t>
      </w:r>
      <w:r>
        <w:rPr/>
        <w:t>split</w:t>
      </w:r>
      <w:r>
        <w:rPr>
          <w:spacing w:val="-2"/>
        </w:rPr>
        <w:t> </w:t>
      </w:r>
      <w:r>
        <w:rPr/>
        <w:t>into</w:t>
      </w:r>
      <w:r>
        <w:rPr>
          <w:spacing w:val="-2"/>
        </w:rPr>
        <w:t> </w:t>
      </w:r>
      <w:r>
        <w:rPr>
          <w:u w:val="single"/>
        </w:rPr>
        <w:t>two</w:t>
      </w:r>
      <w:r>
        <w:rPr>
          <w:spacing w:val="-2"/>
          <w:u w:val="single"/>
        </w:rPr>
        <w:t> sections</w:t>
      </w:r>
      <w:r>
        <w:rPr>
          <w:spacing w:val="-2"/>
        </w:rPr>
        <w:t>:</w:t>
      </w:r>
    </w:p>
    <w:p>
      <w:pPr>
        <w:pStyle w:val="ListParagraph"/>
        <w:numPr>
          <w:ilvl w:val="0"/>
          <w:numId w:val="1"/>
        </w:numPr>
        <w:tabs>
          <w:tab w:pos="490" w:val="left" w:leader="none"/>
          <w:tab w:pos="492" w:val="left" w:leader="none"/>
        </w:tabs>
        <w:spacing w:line="240" w:lineRule="auto" w:before="143" w:after="0"/>
        <w:ind w:left="492" w:right="345" w:hanging="359"/>
        <w:jc w:val="both"/>
        <w:rPr>
          <w:rFonts w:ascii="Symbol" w:hAnsi="Symbol"/>
          <w:sz w:val="20"/>
        </w:rPr>
      </w:pPr>
      <w:r>
        <w:rPr>
          <w:b/>
          <w:sz w:val="22"/>
        </w:rPr>
        <w:t>General responsivity </w:t>
      </w:r>
      <w:r>
        <w:rPr>
          <w:sz w:val="22"/>
        </w:rPr>
        <w:t>means that programs and services used to target reoffending risk and criminogenic needs are evidence-informed or evidence-based, tried and tested through research, and proven to be effective in reducing youth reoffending.</w:t>
      </w:r>
    </w:p>
    <w:p>
      <w:pPr>
        <w:pStyle w:val="ListParagraph"/>
        <w:numPr>
          <w:ilvl w:val="0"/>
          <w:numId w:val="1"/>
        </w:numPr>
        <w:tabs>
          <w:tab w:pos="493" w:val="left" w:leader="none"/>
          <w:tab w:pos="495" w:val="left" w:leader="none"/>
        </w:tabs>
        <w:spacing w:line="237" w:lineRule="auto" w:before="124" w:after="0"/>
        <w:ind w:left="495" w:right="348" w:hanging="361"/>
        <w:jc w:val="both"/>
        <w:rPr>
          <w:rFonts w:ascii="Symbol" w:hAnsi="Symbol"/>
          <w:sz w:val="22"/>
        </w:rPr>
      </w:pPr>
      <w:r>
        <w:rPr>
          <w:b/>
          <w:sz w:val="22"/>
        </w:rPr>
        <w:t>Specific responsivity </w:t>
      </w:r>
      <w:r>
        <w:rPr>
          <w:sz w:val="22"/>
        </w:rPr>
        <w:t>recognises that a range of individual characteristics and circumstances impact how well a young person can interact and engage in programs and services. In order to be effective, programs and services are adapted for age, gender, cognitive abilities, culture, strengths, and personality. This helps the young people engage, learn, and grow.</w:t>
      </w:r>
    </w:p>
    <w:p>
      <w:pPr>
        <w:pStyle w:val="Heading1"/>
      </w:pPr>
      <w:r>
        <w:rPr>
          <w:color w:val="4A469D"/>
        </w:rPr>
        <w:t>What</w:t>
      </w:r>
      <w:r>
        <w:rPr>
          <w:color w:val="4A469D"/>
          <w:spacing w:val="-2"/>
        </w:rPr>
        <w:t> </w:t>
      </w:r>
      <w:r>
        <w:rPr>
          <w:color w:val="4A469D"/>
        </w:rPr>
        <w:t>does</w:t>
      </w:r>
      <w:r>
        <w:rPr>
          <w:color w:val="4A469D"/>
          <w:spacing w:val="-2"/>
        </w:rPr>
        <w:t> </w:t>
      </w:r>
      <w:r>
        <w:rPr>
          <w:color w:val="4A469D"/>
        </w:rPr>
        <w:t>this</w:t>
      </w:r>
      <w:r>
        <w:rPr>
          <w:color w:val="4A469D"/>
          <w:spacing w:val="-1"/>
        </w:rPr>
        <w:t> </w:t>
      </w:r>
      <w:r>
        <w:rPr>
          <w:color w:val="4A469D"/>
          <w:spacing w:val="-2"/>
        </w:rPr>
        <w:t>mean?</w:t>
      </w:r>
    </w:p>
    <w:p>
      <w:pPr>
        <w:pStyle w:val="BodyText"/>
        <w:spacing w:before="62"/>
      </w:pPr>
      <w:r>
        <w:rPr>
          <w:b/>
          <w:color w:val="C45811"/>
        </w:rPr>
        <w:t>WHO = RISK: </w:t>
      </w:r>
      <w:r>
        <w:rPr/>
        <w:t>YLS/CMI™ 2.0 assesses a young</w:t>
      </w:r>
      <w:r>
        <w:rPr>
          <w:spacing w:val="-1"/>
        </w:rPr>
        <w:t> </w:t>
      </w:r>
      <w:r>
        <w:rPr/>
        <w:t>person’s reoffending risk level (very high, high, moderate, low) and informs how much change-oriented service delivery is needed to reduce offending.</w:t>
      </w:r>
    </w:p>
    <w:p>
      <w:pPr>
        <w:pStyle w:val="BodyText"/>
        <w:spacing w:before="161"/>
        <w:ind w:right="3165"/>
      </w:pPr>
      <w:r>
        <w:rPr>
          <w:b/>
          <w:color w:val="C45811"/>
        </w:rPr>
        <w:t>WHAT = NEED: </w:t>
      </w:r>
      <w:r>
        <w:rPr/>
        <w:t>Focus on needs proven</w:t>
      </w:r>
      <w:r>
        <w:rPr>
          <w:spacing w:val="-1"/>
        </w:rPr>
        <w:t> </w:t>
      </w:r>
      <w:r>
        <w:rPr/>
        <w:t>to predict reoffending. There are eight criminogenic need domains identified in YLS/CMI™ 2.0 with focus on </w:t>
      </w:r>
      <w:hyperlink r:id="rId9">
        <w:r>
          <w:rPr>
            <w:b/>
            <w:color w:val="006FC0"/>
            <w:u w:val="single" w:color="006FC0"/>
          </w:rPr>
          <w:t>Big Four</w:t>
        </w:r>
        <w:r>
          <w:rPr/>
          <w:t>.</w:t>
        </w:r>
      </w:hyperlink>
      <w:r>
        <w:rPr/>
        <w:t> (The Big Four needs are stronger indicators of future offending and include Attitudes/Orientation, Personality/Behaviour,</w:t>
      </w:r>
      <w:r>
        <w:rPr>
          <w:spacing w:val="-14"/>
        </w:rPr>
        <w:t> </w:t>
      </w:r>
      <w:r>
        <w:rPr/>
        <w:t>Peer</w:t>
      </w:r>
      <w:r>
        <w:rPr>
          <w:spacing w:val="-12"/>
        </w:rPr>
        <w:t> </w:t>
      </w:r>
      <w:r>
        <w:rPr/>
        <w:t>Relations,</w:t>
      </w:r>
      <w:r>
        <w:rPr>
          <w:spacing w:val="-11"/>
        </w:rPr>
        <w:t> </w:t>
      </w:r>
      <w:r>
        <w:rPr/>
        <w:t>Prior/</w:t>
      </w:r>
      <w:r>
        <w:rPr>
          <w:spacing w:val="-14"/>
        </w:rPr>
        <w:t> </w:t>
      </w:r>
      <w:r>
        <w:rPr/>
        <w:t>Current</w:t>
      </w:r>
      <w:r>
        <w:rPr>
          <w:spacing w:val="-14"/>
        </w:rPr>
        <w:t> </w:t>
      </w:r>
      <w:r>
        <w:rPr/>
        <w:t>Offences/</w:t>
      </w:r>
      <w:r>
        <w:rPr>
          <w:spacing w:val="-15"/>
        </w:rPr>
        <w:t> </w:t>
      </w:r>
      <w:r>
        <w:rPr/>
        <w:t>Orders</w:t>
      </w:r>
    </w:p>
    <w:p>
      <w:pPr>
        <w:pStyle w:val="BodyText"/>
        <w:spacing w:before="0"/>
      </w:pPr>
      <w:r>
        <w:rPr/>
        <w:t>/Interventions, and for Aboriginal and Torres Strait Islander young people, Family Circumstances/ Parenting).</w:t>
      </w:r>
    </w:p>
    <w:p>
      <w:pPr>
        <w:pStyle w:val="BodyText"/>
        <w:spacing w:before="159"/>
        <w:ind w:right="3166"/>
      </w:pPr>
      <w:r>
        <w:rPr>
          <w:b/>
          <w:color w:val="C45811"/>
        </w:rPr>
        <w:t>HOW =</w:t>
      </w:r>
      <w:r>
        <w:rPr>
          <w:b/>
          <w:color w:val="C45811"/>
          <w:spacing w:val="-1"/>
        </w:rPr>
        <w:t> </w:t>
      </w:r>
      <w:r>
        <w:rPr>
          <w:b/>
          <w:color w:val="C45811"/>
        </w:rPr>
        <w:t>RESPONSIVITY: </w:t>
      </w:r>
      <w:r>
        <w:rPr/>
        <w:t>Use</w:t>
      </w:r>
      <w:r>
        <w:rPr>
          <w:spacing w:val="-1"/>
        </w:rPr>
        <w:t> </w:t>
      </w:r>
      <w:r>
        <w:rPr/>
        <w:t>proven</w:t>
      </w:r>
      <w:r>
        <w:rPr>
          <w:spacing w:val="-1"/>
        </w:rPr>
        <w:t> </w:t>
      </w:r>
      <w:r>
        <w:rPr/>
        <w:t>programs</w:t>
      </w:r>
      <w:r>
        <w:rPr>
          <w:spacing w:val="-3"/>
        </w:rPr>
        <w:t> </w:t>
      </w:r>
      <w:r>
        <w:rPr/>
        <w:t>to reduce</w:t>
      </w:r>
      <w:r>
        <w:rPr>
          <w:spacing w:val="-1"/>
        </w:rPr>
        <w:t> </w:t>
      </w:r>
      <w:r>
        <w:rPr/>
        <w:t>reoffending and tailor delivery to young peoples’ individual characteristics, strengths, context, and culture.</w:t>
      </w:r>
    </w:p>
    <w:p>
      <w:pPr>
        <w:pStyle w:val="Heading1"/>
        <w:spacing w:before="246"/>
      </w:pPr>
      <w:r>
        <w:rPr>
          <w:color w:val="4A469D"/>
        </w:rPr>
        <w:t>How</w:t>
      </w:r>
      <w:r>
        <w:rPr>
          <w:color w:val="4A469D"/>
          <w:spacing w:val="-7"/>
        </w:rPr>
        <w:t> </w:t>
      </w:r>
      <w:r>
        <w:rPr>
          <w:color w:val="4A469D"/>
        </w:rPr>
        <w:t>to</w:t>
      </w:r>
      <w:r>
        <w:rPr>
          <w:color w:val="4A469D"/>
          <w:spacing w:val="-8"/>
        </w:rPr>
        <w:t> </w:t>
      </w:r>
      <w:r>
        <w:rPr>
          <w:color w:val="4A469D"/>
        </w:rPr>
        <w:t>apply</w:t>
      </w:r>
      <w:r>
        <w:rPr>
          <w:color w:val="4A469D"/>
          <w:spacing w:val="-6"/>
        </w:rPr>
        <w:t> </w:t>
      </w:r>
      <w:r>
        <w:rPr>
          <w:color w:val="4A469D"/>
          <w:spacing w:val="-4"/>
        </w:rPr>
        <w:t>RNR?</w:t>
      </w:r>
    </w:p>
    <w:p>
      <w:pPr>
        <w:pStyle w:val="BodyText"/>
        <w:ind w:left="105" w:right="373"/>
      </w:pPr>
      <w:r>
        <w:rPr/>
        <w:t>RNR</w:t>
      </w:r>
      <w:r>
        <w:rPr>
          <w:spacing w:val="40"/>
        </w:rPr>
        <w:t> </w:t>
      </w:r>
      <w:r>
        <w:rPr/>
        <w:t>is</w:t>
      </w:r>
      <w:r>
        <w:rPr>
          <w:spacing w:val="40"/>
        </w:rPr>
        <w:t> </w:t>
      </w:r>
      <w:r>
        <w:rPr/>
        <w:t>applied</w:t>
      </w:r>
      <w:r>
        <w:rPr>
          <w:spacing w:val="40"/>
        </w:rPr>
        <w:t> </w:t>
      </w:r>
      <w:r>
        <w:rPr/>
        <w:t>to</w:t>
      </w:r>
      <w:r>
        <w:rPr>
          <w:spacing w:val="40"/>
        </w:rPr>
        <w:t> </w:t>
      </w:r>
      <w:r>
        <w:rPr/>
        <w:t>the</w:t>
      </w:r>
      <w:r>
        <w:rPr>
          <w:spacing w:val="40"/>
        </w:rPr>
        <w:t> </w:t>
      </w:r>
      <w:hyperlink r:id="rId10">
        <w:r>
          <w:rPr>
            <w:b/>
            <w:color w:val="0080C0"/>
            <w:u w:val="single" w:color="0080C0"/>
          </w:rPr>
          <w:t>Service</w:t>
        </w:r>
        <w:r>
          <w:rPr>
            <w:b/>
            <w:color w:val="0080C0"/>
            <w:spacing w:val="40"/>
            <w:u w:val="single" w:color="0080C0"/>
          </w:rPr>
          <w:t> </w:t>
        </w:r>
        <w:r>
          <w:rPr>
            <w:b/>
            <w:color w:val="0080C0"/>
            <w:u w:val="single" w:color="0080C0"/>
          </w:rPr>
          <w:t>Response</w:t>
        </w:r>
        <w:r>
          <w:rPr>
            <w:b/>
            <w:color w:val="0080C0"/>
            <w:spacing w:val="40"/>
            <w:u w:val="single" w:color="0080C0"/>
          </w:rPr>
          <w:t> </w:t>
        </w:r>
        <w:r>
          <w:rPr>
            <w:b/>
            <w:color w:val="0080C0"/>
            <w:u w:val="single" w:color="0080C0"/>
          </w:rPr>
          <w:t>Plan</w:t>
        </w:r>
        <w:r>
          <w:rPr/>
          <w:t>,</w:t>
        </w:r>
      </w:hyperlink>
      <w:r>
        <w:rPr>
          <w:spacing w:val="40"/>
        </w:rPr>
        <w:t> </w:t>
      </w:r>
      <w:r>
        <w:rPr/>
        <w:t>an</w:t>
      </w:r>
      <w:r>
        <w:rPr>
          <w:spacing w:val="40"/>
        </w:rPr>
        <w:t> </w:t>
      </w:r>
      <w:r>
        <w:rPr/>
        <w:t>individualised</w:t>
      </w:r>
      <w:r>
        <w:rPr>
          <w:spacing w:val="40"/>
        </w:rPr>
        <w:t> </w:t>
      </w:r>
      <w:r>
        <w:rPr/>
        <w:t>document</w:t>
      </w:r>
      <w:r>
        <w:rPr>
          <w:spacing w:val="40"/>
        </w:rPr>
        <w:t> </w:t>
      </w:r>
      <w:r>
        <w:rPr/>
        <w:t>that</w:t>
      </w:r>
      <w:r>
        <w:rPr>
          <w:spacing w:val="40"/>
        </w:rPr>
        <w:t> </w:t>
      </w:r>
      <w:r>
        <w:rPr/>
        <w:t>outlines young</w:t>
      </w:r>
      <w:r>
        <w:rPr>
          <w:spacing w:val="40"/>
        </w:rPr>
        <w:t> </w:t>
      </w:r>
      <w:r>
        <w:rPr/>
        <w:t>peoples’</w:t>
      </w:r>
      <w:r>
        <w:rPr>
          <w:spacing w:val="40"/>
        </w:rPr>
        <w:t> </w:t>
      </w:r>
      <w:r>
        <w:rPr/>
        <w:t>current</w:t>
      </w:r>
      <w:r>
        <w:rPr>
          <w:spacing w:val="40"/>
        </w:rPr>
        <w:t> </w:t>
      </w:r>
      <w:r>
        <w:rPr/>
        <w:t>orders</w:t>
      </w:r>
      <w:r>
        <w:rPr>
          <w:spacing w:val="40"/>
        </w:rPr>
        <w:t> </w:t>
      </w:r>
      <w:r>
        <w:rPr/>
        <w:t>and</w:t>
      </w:r>
      <w:r>
        <w:rPr>
          <w:spacing w:val="40"/>
        </w:rPr>
        <w:t> </w:t>
      </w:r>
      <w:r>
        <w:rPr/>
        <w:t>requirements,</w:t>
      </w:r>
      <w:r>
        <w:rPr>
          <w:spacing w:val="40"/>
        </w:rPr>
        <w:t> </w:t>
      </w:r>
      <w:r>
        <w:rPr/>
        <w:t>overall</w:t>
      </w:r>
      <w:r>
        <w:rPr>
          <w:spacing w:val="40"/>
        </w:rPr>
        <w:t> </w:t>
      </w:r>
      <w:r>
        <w:rPr/>
        <w:t>level</w:t>
      </w:r>
      <w:r>
        <w:rPr>
          <w:spacing w:val="40"/>
        </w:rPr>
        <w:t> </w:t>
      </w:r>
      <w:r>
        <w:rPr/>
        <w:t>of</w:t>
      </w:r>
      <w:r>
        <w:rPr>
          <w:spacing w:val="40"/>
        </w:rPr>
        <w:t> </w:t>
      </w:r>
      <w:r>
        <w:rPr/>
        <w:t>risk,</w:t>
      </w:r>
      <w:r>
        <w:rPr>
          <w:spacing w:val="40"/>
        </w:rPr>
        <w:t> </w:t>
      </w:r>
      <w:r>
        <w:rPr/>
        <w:t>goals</w:t>
      </w:r>
      <w:r>
        <w:rPr>
          <w:spacing w:val="40"/>
        </w:rPr>
        <w:t> </w:t>
      </w:r>
      <w:r>
        <w:rPr/>
        <w:t>and</w:t>
      </w:r>
      <w:r>
        <w:rPr>
          <w:spacing w:val="40"/>
        </w:rPr>
        <w:t> </w:t>
      </w:r>
      <w:r>
        <w:rPr/>
        <w:t>agreed</w:t>
      </w:r>
      <w:r>
        <w:rPr>
          <w:spacing w:val="40"/>
        </w:rPr>
        <w:t> </w:t>
      </w:r>
      <w:r>
        <w:rPr/>
        <w:t>actions and sessions that a young person will engage with Youth Justice to address their criminogenic needs. To assist in developing a service response plan, additional resources are available</w:t>
      </w:r>
      <w:r>
        <w:rPr>
          <w:spacing w:val="32"/>
        </w:rPr>
        <w:t> </w:t>
      </w:r>
      <w:r>
        <w:rPr/>
        <w:t>including</w:t>
      </w:r>
      <w:r>
        <w:rPr>
          <w:spacing w:val="32"/>
        </w:rPr>
        <w:t> </w:t>
      </w:r>
      <w:r>
        <w:rPr/>
        <w:t>an</w:t>
      </w:r>
      <w:r>
        <w:rPr>
          <w:spacing w:val="31"/>
        </w:rPr>
        <w:t> </w:t>
      </w:r>
      <w:hyperlink r:id="rId11">
        <w:r>
          <w:rPr>
            <w:b/>
            <w:color w:val="0080C0"/>
            <w:u w:val="single" w:color="0080C0"/>
          </w:rPr>
          <w:t>RNR</w:t>
        </w:r>
        <w:r>
          <w:rPr>
            <w:b/>
            <w:color w:val="0080C0"/>
            <w:spacing w:val="30"/>
            <w:u w:val="single" w:color="0080C0"/>
          </w:rPr>
          <w:t> </w:t>
        </w:r>
        <w:r>
          <w:rPr>
            <w:b/>
            <w:color w:val="0080C0"/>
            <w:u w:val="single" w:color="0080C0"/>
          </w:rPr>
          <w:t>flowchart</w:t>
        </w:r>
      </w:hyperlink>
      <w:r>
        <w:rPr>
          <w:b/>
          <w:color w:val="0080C0"/>
          <w:spacing w:val="80"/>
        </w:rPr>
        <w:t> </w:t>
      </w:r>
      <w:r>
        <w:rPr/>
        <w:t>which</w:t>
      </w:r>
      <w:r>
        <w:rPr>
          <w:spacing w:val="80"/>
        </w:rPr>
        <w:t> </w:t>
      </w:r>
      <w:r>
        <w:rPr/>
        <w:t>outlines</w:t>
      </w:r>
      <w:r>
        <w:rPr>
          <w:spacing w:val="80"/>
        </w:rPr>
        <w:t> </w:t>
      </w:r>
      <w:r>
        <w:rPr/>
        <w:t>step-by-step</w:t>
      </w:r>
      <w:r>
        <w:rPr>
          <w:spacing w:val="80"/>
        </w:rPr>
        <w:t> </w:t>
      </w:r>
      <w:r>
        <w:rPr/>
        <w:t>processes</w:t>
      </w:r>
      <w:r>
        <w:rPr>
          <w:spacing w:val="80"/>
        </w:rPr>
        <w:t> </w:t>
      </w:r>
      <w:r>
        <w:rPr/>
        <w:t>in</w:t>
      </w:r>
      <w:r>
        <w:rPr>
          <w:spacing w:val="80"/>
        </w:rPr>
        <w:t> </w:t>
      </w:r>
      <w:r>
        <w:rPr/>
        <w:t>assessing risk</w:t>
      </w:r>
      <w:r>
        <w:rPr>
          <w:spacing w:val="80"/>
          <w:w w:val="150"/>
        </w:rPr>
        <w:t> </w:t>
      </w:r>
      <w:r>
        <w:rPr/>
        <w:t>dosage,</w:t>
      </w:r>
      <w:r>
        <w:rPr>
          <w:spacing w:val="80"/>
          <w:w w:val="150"/>
        </w:rPr>
        <w:t> </w:t>
      </w:r>
      <w:r>
        <w:rPr/>
        <w:t>how</w:t>
      </w:r>
      <w:r>
        <w:rPr>
          <w:spacing w:val="80"/>
          <w:w w:val="150"/>
        </w:rPr>
        <w:t> </w:t>
      </w:r>
      <w:r>
        <w:rPr/>
        <w:t>to</w:t>
      </w:r>
      <w:r>
        <w:rPr>
          <w:spacing w:val="80"/>
          <w:w w:val="150"/>
        </w:rPr>
        <w:t> </w:t>
      </w:r>
      <w:r>
        <w:rPr/>
        <w:t>target</w:t>
      </w:r>
      <w:r>
        <w:rPr>
          <w:spacing w:val="40"/>
        </w:rPr>
        <w:t> </w:t>
      </w:r>
      <w:r>
        <w:rPr/>
        <w:t>criminogenic</w:t>
      </w:r>
      <w:r>
        <w:rPr>
          <w:spacing w:val="80"/>
        </w:rPr>
        <w:t> </w:t>
      </w:r>
      <w:r>
        <w:rPr/>
        <w:t>needs,</w:t>
      </w:r>
      <w:r>
        <w:rPr>
          <w:spacing w:val="80"/>
        </w:rPr>
        <w:t> </w:t>
      </w:r>
      <w:r>
        <w:rPr/>
        <w:t>and</w:t>
      </w:r>
      <w:r>
        <w:rPr>
          <w:spacing w:val="80"/>
        </w:rPr>
        <w:t> </w:t>
      </w:r>
      <w:r>
        <w:rPr/>
        <w:t>application</w:t>
      </w:r>
      <w:r>
        <w:rPr>
          <w:spacing w:val="80"/>
        </w:rPr>
        <w:t> </w:t>
      </w:r>
      <w:r>
        <w:rPr/>
        <w:t>of</w:t>
      </w:r>
      <w:r>
        <w:rPr>
          <w:spacing w:val="80"/>
        </w:rPr>
        <w:t> </w:t>
      </w:r>
      <w:r>
        <w:rPr/>
        <w:t>responsivity</w:t>
      </w:r>
      <w:r>
        <w:rPr>
          <w:spacing w:val="80"/>
        </w:rPr>
        <w:t> </w:t>
      </w:r>
      <w:r>
        <w:rPr/>
        <w:t>to individual</w:t>
      </w:r>
      <w:r>
        <w:rPr>
          <w:spacing w:val="40"/>
        </w:rPr>
        <w:t> </w:t>
      </w:r>
      <w:r>
        <w:rPr/>
        <w:t>characteristics.</w:t>
      </w:r>
      <w:r>
        <w:rPr>
          <w:spacing w:val="40"/>
        </w:rPr>
        <w:t> </w:t>
      </w:r>
      <w:r>
        <w:rPr/>
        <w:t>The</w:t>
      </w:r>
      <w:r>
        <w:rPr>
          <w:spacing w:val="40"/>
        </w:rPr>
        <w:t> </w:t>
      </w:r>
      <w:r>
        <w:rPr/>
        <w:t>Service Response Plan must be completed within </w:t>
      </w:r>
      <w:r>
        <w:rPr>
          <w:u w:val="single"/>
        </w:rPr>
        <w:t>six weeks</w:t>
      </w:r>
      <w:r>
        <w:rPr/>
        <w:t> of order</w:t>
      </w:r>
      <w:r>
        <w:rPr>
          <w:spacing w:val="40"/>
        </w:rPr>
        <w:t> </w:t>
      </w:r>
      <w:r>
        <w:rPr/>
        <w:t>commencement</w:t>
      </w:r>
      <w:r>
        <w:rPr>
          <w:spacing w:val="40"/>
        </w:rPr>
        <w:t> </w:t>
      </w:r>
      <w:r>
        <w:rPr/>
        <w:t>and</w:t>
      </w:r>
      <w:r>
        <w:rPr>
          <w:spacing w:val="40"/>
        </w:rPr>
        <w:t> </w:t>
      </w:r>
      <w:r>
        <w:rPr/>
        <w:t>is</w:t>
      </w:r>
      <w:r>
        <w:rPr>
          <w:spacing w:val="40"/>
        </w:rPr>
        <w:t> </w:t>
      </w:r>
      <w:r>
        <w:rPr/>
        <w:t>monitored through an ongoing </w:t>
      </w:r>
      <w:hyperlink r:id="rId10">
        <w:r>
          <w:rPr>
            <w:color w:val="0562C1"/>
            <w:u w:val="single" w:color="0562C1"/>
          </w:rPr>
          <w:t>case review process</w:t>
        </w:r>
      </w:hyperlink>
      <w:r>
        <w:rPr/>
        <w:t>.</w:t>
      </w:r>
    </w:p>
    <w:sectPr>
      <w:type w:val="continuous"/>
      <w:pgSz w:w="11910" w:h="16840"/>
      <w:pgMar w:top="1920" w:bottom="280" w:left="66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92" w:hanging="359"/>
      </w:pPr>
      <w:rPr>
        <w:rFonts w:hint="default" w:ascii="Symbol" w:hAnsi="Symbol" w:eastAsia="Symbol" w:cs="Symbol"/>
        <w:spacing w:val="0"/>
        <w:w w:val="99"/>
        <w:lang w:val="en-US" w:eastAsia="en-US" w:bidi="ar-SA"/>
      </w:rPr>
    </w:lvl>
    <w:lvl w:ilvl="1">
      <w:start w:val="0"/>
      <w:numFmt w:val="bullet"/>
      <w:lvlText w:val="•"/>
      <w:lvlJc w:val="left"/>
      <w:pPr>
        <w:ind w:left="1462" w:hanging="359"/>
      </w:pPr>
      <w:rPr>
        <w:rFonts w:hint="default"/>
        <w:lang w:val="en-US" w:eastAsia="en-US" w:bidi="ar-SA"/>
      </w:rPr>
    </w:lvl>
    <w:lvl w:ilvl="2">
      <w:start w:val="0"/>
      <w:numFmt w:val="bullet"/>
      <w:lvlText w:val="•"/>
      <w:lvlJc w:val="left"/>
      <w:pPr>
        <w:ind w:left="2425" w:hanging="359"/>
      </w:pPr>
      <w:rPr>
        <w:rFonts w:hint="default"/>
        <w:lang w:val="en-US" w:eastAsia="en-US" w:bidi="ar-SA"/>
      </w:rPr>
    </w:lvl>
    <w:lvl w:ilvl="3">
      <w:start w:val="0"/>
      <w:numFmt w:val="bullet"/>
      <w:lvlText w:val="•"/>
      <w:lvlJc w:val="left"/>
      <w:pPr>
        <w:ind w:left="3387" w:hanging="359"/>
      </w:pPr>
      <w:rPr>
        <w:rFonts w:hint="default"/>
        <w:lang w:val="en-US" w:eastAsia="en-US" w:bidi="ar-SA"/>
      </w:rPr>
    </w:lvl>
    <w:lvl w:ilvl="4">
      <w:start w:val="0"/>
      <w:numFmt w:val="bullet"/>
      <w:lvlText w:val="•"/>
      <w:lvlJc w:val="left"/>
      <w:pPr>
        <w:ind w:left="4350" w:hanging="359"/>
      </w:pPr>
      <w:rPr>
        <w:rFonts w:hint="default"/>
        <w:lang w:val="en-US" w:eastAsia="en-US" w:bidi="ar-SA"/>
      </w:rPr>
    </w:lvl>
    <w:lvl w:ilvl="5">
      <w:start w:val="0"/>
      <w:numFmt w:val="bullet"/>
      <w:lvlText w:val="•"/>
      <w:lvlJc w:val="left"/>
      <w:pPr>
        <w:ind w:left="5313" w:hanging="359"/>
      </w:pPr>
      <w:rPr>
        <w:rFonts w:hint="default"/>
        <w:lang w:val="en-US" w:eastAsia="en-US" w:bidi="ar-SA"/>
      </w:rPr>
    </w:lvl>
    <w:lvl w:ilvl="6">
      <w:start w:val="0"/>
      <w:numFmt w:val="bullet"/>
      <w:lvlText w:val="•"/>
      <w:lvlJc w:val="left"/>
      <w:pPr>
        <w:ind w:left="6275" w:hanging="359"/>
      </w:pPr>
      <w:rPr>
        <w:rFonts w:hint="default"/>
        <w:lang w:val="en-US" w:eastAsia="en-US" w:bidi="ar-SA"/>
      </w:rPr>
    </w:lvl>
    <w:lvl w:ilvl="7">
      <w:start w:val="0"/>
      <w:numFmt w:val="bullet"/>
      <w:lvlText w:val="•"/>
      <w:lvlJc w:val="left"/>
      <w:pPr>
        <w:ind w:left="7238" w:hanging="359"/>
      </w:pPr>
      <w:rPr>
        <w:rFonts w:hint="default"/>
        <w:lang w:val="en-US" w:eastAsia="en-US" w:bidi="ar-SA"/>
      </w:rPr>
    </w:lvl>
    <w:lvl w:ilvl="8">
      <w:start w:val="0"/>
      <w:numFmt w:val="bullet"/>
      <w:lvlText w:val="•"/>
      <w:lvlJc w:val="left"/>
      <w:pPr>
        <w:ind w:left="8201" w:hanging="35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24"/>
      <w:ind w:left="117" w:right="3164"/>
      <w:jc w:val="both"/>
    </w:pPr>
    <w:rPr>
      <w:rFonts w:ascii="Arial" w:hAnsi="Arial" w:eastAsia="Arial" w:cs="Arial"/>
      <w:sz w:val="22"/>
      <w:szCs w:val="22"/>
      <w:lang w:val="en-US" w:eastAsia="en-US" w:bidi="ar-SA"/>
    </w:rPr>
  </w:style>
  <w:style w:styleId="Heading1" w:type="paragraph">
    <w:name w:val="Heading 1"/>
    <w:basedOn w:val="Normal"/>
    <w:uiPriority w:val="1"/>
    <w:qFormat/>
    <w:pPr>
      <w:spacing w:before="138"/>
      <w:ind w:left="117"/>
      <w:jc w:val="both"/>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146"/>
      <w:ind w:left="121"/>
      <w:jc w:val="both"/>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before="124"/>
      <w:ind w:left="492" w:right="345" w:hanging="361"/>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file://ebus.root.internal/dc/YouthJustice/General/Shared/Youth%20Justice%20Resources/Endnote%20Library%20PDFs/RNR/Bonta%20et%20al_%20Risk%20need%20responsivity%20model%20for%20offender%20assessment%20and%20rehabilitation.pdf" TargetMode="External"/><Relationship Id="rId8" Type="http://schemas.openxmlformats.org/officeDocument/2006/relationships/hyperlink" Target="file://ebus.root.internal/dc/YouthJustice/General/Shared/Youth%20Justice%20Resources/Endnote%20Library%20PDFs/RNR/Brogan%20et%20al_2015_Applying%20rnr%20model%20to%20juvenile%20justice.pdf" TargetMode="External"/><Relationship Id="rId9" Type="http://schemas.openxmlformats.org/officeDocument/2006/relationships/hyperlink" Target="file://ebus.root.internal/dc/YouthJustice/General/Shared/Youth%20Justice%20Resources/Endnote%20Library%20PDFs/RNR/Grieger%20and%20Hosser_2013_which-risk-factors-are-really-predictive-an-analysis-of-andrews-and-bonta-s-central-eight-risk.pdf" TargetMode="External"/><Relationship Id="rId10" Type="http://schemas.openxmlformats.org/officeDocument/2006/relationships/hyperlink" Target="https://cyjmaintranet.root.internal/resources/dcsywintranet/policies-procedures/service-delivery/youth-justice/case-management.pdf" TargetMode="External"/><Relationship Id="rId11" Type="http://schemas.openxmlformats.org/officeDocument/2006/relationships/hyperlink" Target="https://cyjmaintranet.root.internal/service-delivery/youth-justice/youth-justice-practice/service-response-guides-srg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dc:subject>RNR - general overview</dc:subject>
  <dc:title>RNR - Overview</dc:title>
  <dcterms:created xsi:type="dcterms:W3CDTF">2024-05-29T03:25:43Z</dcterms:created>
  <dcterms:modified xsi:type="dcterms:W3CDTF">2024-05-29T03:25:43Z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Power PDF Create</vt:lpwstr>
  </property>
  <property fmtid="{D5CDD505-2E9C-101B-9397-08002B2CF9AE}" pid="4" name="LastSaved">
    <vt:filetime>2024-05-29T00:00:00Z</vt:filetime>
  </property>
  <property fmtid="{D5CDD505-2E9C-101B-9397-08002B2CF9AE}" pid="5" name="Producer">
    <vt:lpwstr>Power PDF Create</vt:lpwstr>
  </property>
</Properties>
</file>