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11277CD" w14:textId="3A9DEF56" w:rsidR="00746C1F" w:rsidRPr="00085BFC" w:rsidRDefault="00746C1F" w:rsidP="004F2595">
      <w:pPr>
        <w:spacing w:after="240" w:line="200" w:lineRule="exact"/>
        <w:rPr>
          <w:rFonts w:ascii="Arial" w:eastAsia="Times New Roman" w:hAnsi="Arial"/>
          <w:sz w:val="24"/>
        </w:rPr>
      </w:pPr>
    </w:p>
    <w:p w14:paraId="1A7DF91D" w14:textId="427A9E84" w:rsidR="00746C1F" w:rsidRPr="00085BFC" w:rsidRDefault="00746C1F" w:rsidP="004F2595">
      <w:pPr>
        <w:spacing w:after="240" w:line="0" w:lineRule="atLeast"/>
        <w:ind w:left="40"/>
        <w:rPr>
          <w:rFonts w:ascii="Arial" w:eastAsia="Arial" w:hAnsi="Arial"/>
          <w:b/>
          <w:color w:val="055772"/>
          <w:sz w:val="48"/>
          <w:szCs w:val="48"/>
        </w:rPr>
      </w:pPr>
      <w:r w:rsidRPr="00085BFC">
        <w:rPr>
          <w:rFonts w:ascii="Arial" w:eastAsia="Arial" w:hAnsi="Arial"/>
          <w:b/>
          <w:color w:val="055772"/>
          <w:sz w:val="48"/>
          <w:szCs w:val="48"/>
        </w:rPr>
        <w:t>YLS/CMI™2.0: Family Circumstance/Parenting</w:t>
      </w:r>
    </w:p>
    <w:p w14:paraId="0CBB8227" w14:textId="0E600827" w:rsidR="00746C1F" w:rsidRPr="00085BFC" w:rsidRDefault="00746C1F" w:rsidP="004F2595">
      <w:pPr>
        <w:spacing w:after="240" w:line="237" w:lineRule="auto"/>
        <w:ind w:left="40" w:right="80"/>
        <w:rPr>
          <w:rFonts w:ascii="Arial" w:eastAsia="Arial" w:hAnsi="Arial"/>
          <w:sz w:val="22"/>
        </w:rPr>
      </w:pPr>
      <w:r w:rsidRPr="00085BFC">
        <w:rPr>
          <w:rFonts w:ascii="Arial" w:eastAsia="Arial" w:hAnsi="Arial"/>
          <w:sz w:val="22"/>
        </w:rPr>
        <w:t>This brief aims to provide information to all Youth Justice staff about what works for young people when addressing assessed need in the Family Circumstances/Parenting domain of the Youth Level of Service/Case Management Inventory (YLS/CMI™) 2.0.</w:t>
      </w:r>
    </w:p>
    <w:p w14:paraId="1F8307EC" w14:textId="42A7C9CB" w:rsidR="00746C1F" w:rsidRPr="00085BFC" w:rsidRDefault="00746C1F" w:rsidP="004F2595">
      <w:pPr>
        <w:spacing w:after="240" w:line="0" w:lineRule="atLeast"/>
        <w:ind w:left="40"/>
        <w:rPr>
          <w:rFonts w:ascii="Arial" w:eastAsia="Arial" w:hAnsi="Arial"/>
          <w:b/>
          <w:color w:val="F89A44"/>
          <w:sz w:val="30"/>
          <w:szCs w:val="30"/>
        </w:rPr>
      </w:pPr>
      <w:r w:rsidRPr="00085BFC">
        <w:rPr>
          <w:rFonts w:ascii="Arial" w:eastAsia="Arial" w:hAnsi="Arial"/>
          <w:b/>
          <w:color w:val="F89A44"/>
          <w:sz w:val="30"/>
          <w:szCs w:val="30"/>
        </w:rPr>
        <w:t>High need in Family Circumstances/Parenting: What does this mean?</w:t>
      </w:r>
    </w:p>
    <w:p w14:paraId="55B72044" w14:textId="36A68758" w:rsidR="00746C1F" w:rsidRPr="00085BFC" w:rsidRDefault="00746C1F" w:rsidP="004F2595">
      <w:pPr>
        <w:spacing w:after="240" w:line="235" w:lineRule="auto"/>
        <w:ind w:left="40" w:right="300"/>
        <w:rPr>
          <w:rFonts w:ascii="Arial" w:eastAsia="Arial" w:hAnsi="Arial"/>
          <w:sz w:val="22"/>
        </w:rPr>
      </w:pPr>
      <w:r w:rsidRPr="00085BFC">
        <w:rPr>
          <w:rFonts w:ascii="Arial" w:eastAsia="Arial" w:hAnsi="Arial"/>
          <w:sz w:val="22"/>
        </w:rPr>
        <w:t>Young people with high need in the Family Circumstances/Parenting domain will often have family relationships characterised by:</w:t>
      </w:r>
    </w:p>
    <w:p w14:paraId="3D13F741" w14:textId="474CBD26" w:rsidR="00746C1F" w:rsidRPr="00085BFC" w:rsidRDefault="00746C1F" w:rsidP="004F2595">
      <w:pPr>
        <w:pStyle w:val="ListParagraph"/>
        <w:numPr>
          <w:ilvl w:val="0"/>
          <w:numId w:val="4"/>
        </w:numPr>
        <w:tabs>
          <w:tab w:val="left" w:pos="380"/>
        </w:tabs>
        <w:spacing w:after="240" w:line="0" w:lineRule="atLeast"/>
        <w:rPr>
          <w:rFonts w:ascii="Arial" w:eastAsia="Arial" w:hAnsi="Arial"/>
          <w:sz w:val="22"/>
        </w:rPr>
      </w:pPr>
      <w:r w:rsidRPr="00085BFC">
        <w:rPr>
          <w:rFonts w:ascii="Arial" w:eastAsia="Arial" w:hAnsi="Arial"/>
          <w:sz w:val="22"/>
        </w:rPr>
        <w:t>High levels of stress and conflict.</w:t>
      </w:r>
    </w:p>
    <w:p w14:paraId="468E8BC8" w14:textId="70457027" w:rsidR="00746C1F" w:rsidRPr="00085BFC" w:rsidRDefault="00746C1F" w:rsidP="004F2595">
      <w:pPr>
        <w:pStyle w:val="ListParagraph"/>
        <w:numPr>
          <w:ilvl w:val="0"/>
          <w:numId w:val="4"/>
        </w:numPr>
        <w:tabs>
          <w:tab w:val="left" w:pos="380"/>
        </w:tabs>
        <w:spacing w:after="240" w:line="0" w:lineRule="atLeast"/>
        <w:rPr>
          <w:rFonts w:ascii="Arial" w:eastAsia="Arial" w:hAnsi="Arial"/>
          <w:sz w:val="22"/>
        </w:rPr>
      </w:pPr>
      <w:r w:rsidRPr="00085BFC">
        <w:rPr>
          <w:rFonts w:ascii="Arial" w:eastAsia="Arial" w:hAnsi="Arial"/>
          <w:sz w:val="22"/>
        </w:rPr>
        <w:t>Neglect and avoidance (young people do not feel cared for or supported).</w:t>
      </w:r>
    </w:p>
    <w:p w14:paraId="2A08A1F8" w14:textId="08262BE6" w:rsidR="00746C1F" w:rsidRPr="00085BFC" w:rsidRDefault="00746C1F" w:rsidP="004F2595">
      <w:pPr>
        <w:pStyle w:val="ListParagraph"/>
        <w:numPr>
          <w:ilvl w:val="0"/>
          <w:numId w:val="4"/>
        </w:numPr>
        <w:tabs>
          <w:tab w:val="left" w:pos="380"/>
        </w:tabs>
        <w:spacing w:after="240" w:line="0" w:lineRule="atLeast"/>
        <w:rPr>
          <w:rFonts w:ascii="Arial" w:eastAsia="Arial" w:hAnsi="Arial"/>
          <w:sz w:val="22"/>
        </w:rPr>
      </w:pPr>
      <w:r w:rsidRPr="00085BFC">
        <w:rPr>
          <w:rFonts w:ascii="Arial" w:eastAsia="Arial" w:hAnsi="Arial"/>
          <w:sz w:val="22"/>
        </w:rPr>
        <w:t>Antisocial attitudes and behaviours.</w:t>
      </w:r>
    </w:p>
    <w:p w14:paraId="64D6407F" w14:textId="7F934902" w:rsidR="00746C1F" w:rsidRPr="00085BFC" w:rsidRDefault="00085BFC" w:rsidP="004F2595">
      <w:pPr>
        <w:pStyle w:val="ListParagraph"/>
        <w:numPr>
          <w:ilvl w:val="0"/>
          <w:numId w:val="4"/>
        </w:numPr>
        <w:tabs>
          <w:tab w:val="left" w:pos="380"/>
        </w:tabs>
        <w:spacing w:after="240" w:line="0" w:lineRule="atLeast"/>
        <w:rPr>
          <w:rFonts w:ascii="Arial" w:eastAsia="Arial" w:hAnsi="Arial"/>
          <w:sz w:val="22"/>
        </w:rPr>
      </w:pPr>
      <w:r w:rsidRPr="00085BFC">
        <w:rPr>
          <w:rFonts w:ascii="Arial" w:eastAsia="Arial" w:hAnsi="Arial"/>
          <w:sz w:val="22"/>
        </w:rPr>
        <w:t>Illegal</w:t>
      </w:r>
      <w:r w:rsidR="00746C1F" w:rsidRPr="00085BFC">
        <w:rPr>
          <w:rFonts w:ascii="Arial" w:eastAsia="Arial" w:hAnsi="Arial"/>
          <w:sz w:val="22"/>
        </w:rPr>
        <w:t xml:space="preserve"> or de-stabilising behaviours.</w:t>
      </w:r>
    </w:p>
    <w:p w14:paraId="4FE0C93A" w14:textId="3B054B35" w:rsidR="00746C1F" w:rsidRPr="00085BFC" w:rsidRDefault="00746C1F" w:rsidP="004F2595">
      <w:pPr>
        <w:spacing w:after="240" w:line="238" w:lineRule="auto"/>
        <w:ind w:left="40"/>
        <w:rPr>
          <w:rFonts w:ascii="Arial" w:eastAsia="Arial" w:hAnsi="Arial"/>
          <w:color w:val="000000"/>
          <w:sz w:val="22"/>
        </w:rPr>
      </w:pPr>
      <w:r w:rsidRPr="00085BFC">
        <w:rPr>
          <w:rFonts w:ascii="Arial" w:eastAsia="Arial" w:hAnsi="Arial"/>
          <w:sz w:val="22"/>
        </w:rPr>
        <w:t xml:space="preserve">Higher total scores for Aboriginal and Torres Strait Islander young people likely reflect additional complex risk factors experienced linked to intergenerational trauma caused by colonisation and ongoing racism, </w:t>
      </w:r>
      <w:r w:rsidR="00085BFC" w:rsidRPr="00085BFC">
        <w:rPr>
          <w:rFonts w:ascii="Arial" w:eastAsia="Arial" w:hAnsi="Arial"/>
          <w:sz w:val="22"/>
        </w:rPr>
        <w:t>marginalisation,</w:t>
      </w:r>
      <w:r w:rsidRPr="00085BFC">
        <w:rPr>
          <w:rFonts w:ascii="Arial" w:eastAsia="Arial" w:hAnsi="Arial"/>
          <w:sz w:val="22"/>
        </w:rPr>
        <w:t xml:space="preserve"> and disadvantage. Recent studies of YLS/ CMI™ validity with an Australian cohort indicated for Aboriginal and Torres Strait Islander young people,</w:t>
      </w:r>
      <w:r w:rsidRPr="00085BFC">
        <w:rPr>
          <w:rFonts w:ascii="Arial" w:eastAsia="Arial" w:hAnsi="Arial"/>
          <w:color w:val="0563C1"/>
          <w:sz w:val="22"/>
        </w:rPr>
        <w:t xml:space="preserve"> </w:t>
      </w:r>
      <w:hyperlink r:id="rId11" w:history="1">
        <w:r w:rsidRPr="00085BFC">
          <w:rPr>
            <w:rFonts w:ascii="Arial" w:eastAsia="Arial" w:hAnsi="Arial"/>
            <w:color w:val="0563C1"/>
            <w:sz w:val="22"/>
            <w:u w:val="single"/>
          </w:rPr>
          <w:t>Peer Relations and Family Circumstances/Parenting were the most important</w:t>
        </w:r>
      </w:hyperlink>
      <w:r w:rsidRPr="00085BFC">
        <w:rPr>
          <w:rFonts w:ascii="Arial" w:eastAsia="Arial" w:hAnsi="Arial"/>
          <w:color w:val="0563C1"/>
          <w:sz w:val="22"/>
          <w:u w:val="single"/>
        </w:rPr>
        <w:t xml:space="preserve"> </w:t>
      </w:r>
      <w:hyperlink r:id="rId12" w:history="1">
        <w:r w:rsidRPr="00085BFC">
          <w:rPr>
            <w:rFonts w:ascii="Arial" w:eastAsia="Arial" w:hAnsi="Arial"/>
            <w:color w:val="0563C1"/>
            <w:sz w:val="22"/>
            <w:u w:val="single"/>
          </w:rPr>
          <w:t>domains</w:t>
        </w:r>
        <w:r w:rsidRPr="00085BFC">
          <w:rPr>
            <w:rFonts w:ascii="Arial" w:eastAsia="Arial" w:hAnsi="Arial"/>
            <w:color w:val="000000"/>
            <w:sz w:val="22"/>
          </w:rPr>
          <w:t xml:space="preserve"> </w:t>
        </w:r>
      </w:hyperlink>
      <w:r w:rsidRPr="00085BFC">
        <w:rPr>
          <w:rFonts w:ascii="Arial" w:eastAsia="Arial" w:hAnsi="Arial"/>
          <w:color w:val="000000"/>
          <w:sz w:val="22"/>
        </w:rPr>
        <w:t>in predicting reoffending.</w:t>
      </w:r>
    </w:p>
    <w:p w14:paraId="46FA33F9" w14:textId="0641C21E" w:rsidR="00746C1F" w:rsidRPr="00085BFC" w:rsidRDefault="00746C1F" w:rsidP="004F2595">
      <w:pPr>
        <w:spacing w:after="240" w:line="0" w:lineRule="atLeast"/>
        <w:ind w:left="40"/>
        <w:rPr>
          <w:rFonts w:ascii="Arial" w:eastAsia="Arial" w:hAnsi="Arial"/>
          <w:b/>
          <w:color w:val="F89A44"/>
          <w:sz w:val="30"/>
          <w:szCs w:val="30"/>
        </w:rPr>
      </w:pPr>
      <w:r w:rsidRPr="00085BFC">
        <w:rPr>
          <w:rFonts w:ascii="Arial" w:eastAsia="Arial" w:hAnsi="Arial"/>
          <w:b/>
          <w:color w:val="F89A44"/>
          <w:sz w:val="30"/>
          <w:szCs w:val="30"/>
        </w:rPr>
        <w:t>What does low or no need in Family Circumstances/Parenting look like?</w:t>
      </w:r>
    </w:p>
    <w:p w14:paraId="6CD78B97" w14:textId="01CFD36B" w:rsidR="00746C1F" w:rsidRPr="00085BFC" w:rsidRDefault="00746C1F" w:rsidP="004F2595">
      <w:pPr>
        <w:spacing w:after="240" w:line="236" w:lineRule="auto"/>
        <w:ind w:left="40" w:right="480"/>
        <w:rPr>
          <w:rFonts w:ascii="Arial" w:eastAsia="Arial" w:hAnsi="Arial"/>
          <w:sz w:val="22"/>
        </w:rPr>
      </w:pPr>
      <w:r w:rsidRPr="00085BFC">
        <w:rPr>
          <w:rFonts w:ascii="Arial" w:eastAsia="Arial" w:hAnsi="Arial"/>
          <w:sz w:val="22"/>
        </w:rPr>
        <w:t>Young people are less likely to engage in offending behaviours if they have family or other positive adults who are:</w:t>
      </w:r>
    </w:p>
    <w:p w14:paraId="0B298390" w14:textId="6DF46377" w:rsidR="00746C1F" w:rsidRPr="00085BFC" w:rsidRDefault="00746C1F" w:rsidP="004F2595">
      <w:pPr>
        <w:pStyle w:val="ListParagraph"/>
        <w:numPr>
          <w:ilvl w:val="0"/>
          <w:numId w:val="5"/>
        </w:numPr>
        <w:tabs>
          <w:tab w:val="left" w:pos="380"/>
        </w:tabs>
        <w:spacing w:after="240" w:line="0" w:lineRule="atLeast"/>
        <w:rPr>
          <w:rFonts w:ascii="Arial" w:eastAsia="Arial" w:hAnsi="Arial"/>
          <w:sz w:val="22"/>
        </w:rPr>
      </w:pPr>
      <w:r w:rsidRPr="00085BFC">
        <w:rPr>
          <w:rFonts w:ascii="Arial" w:eastAsia="Arial" w:hAnsi="Arial"/>
          <w:sz w:val="22"/>
        </w:rPr>
        <w:t>Readily accessible.</w:t>
      </w:r>
    </w:p>
    <w:p w14:paraId="35E780FE" w14:textId="7199BA75" w:rsidR="00746C1F" w:rsidRPr="00085BFC" w:rsidRDefault="00746C1F" w:rsidP="004F2595">
      <w:pPr>
        <w:pStyle w:val="ListParagraph"/>
        <w:numPr>
          <w:ilvl w:val="0"/>
          <w:numId w:val="5"/>
        </w:numPr>
        <w:tabs>
          <w:tab w:val="left" w:pos="380"/>
        </w:tabs>
        <w:spacing w:after="240" w:line="0" w:lineRule="atLeast"/>
        <w:rPr>
          <w:rFonts w:ascii="Arial" w:eastAsia="Arial" w:hAnsi="Arial"/>
          <w:sz w:val="22"/>
        </w:rPr>
      </w:pPr>
      <w:r w:rsidRPr="00085BFC">
        <w:rPr>
          <w:rFonts w:ascii="Arial" w:eastAsia="Arial" w:hAnsi="Arial"/>
          <w:sz w:val="22"/>
        </w:rPr>
        <w:t>Emotionally and physically supportive.</w:t>
      </w:r>
    </w:p>
    <w:p w14:paraId="45B5618C" w14:textId="2DD95D1B" w:rsidR="00746C1F" w:rsidRPr="00085BFC" w:rsidRDefault="00746C1F" w:rsidP="004F2595">
      <w:pPr>
        <w:pStyle w:val="ListParagraph"/>
        <w:numPr>
          <w:ilvl w:val="0"/>
          <w:numId w:val="5"/>
        </w:numPr>
        <w:tabs>
          <w:tab w:val="left" w:pos="380"/>
        </w:tabs>
        <w:spacing w:after="240" w:line="0" w:lineRule="atLeast"/>
        <w:rPr>
          <w:rFonts w:ascii="Arial" w:eastAsia="Arial" w:hAnsi="Arial"/>
          <w:sz w:val="22"/>
        </w:rPr>
      </w:pPr>
      <w:r w:rsidRPr="00085BFC">
        <w:rPr>
          <w:rFonts w:ascii="Arial" w:eastAsia="Arial" w:hAnsi="Arial"/>
          <w:sz w:val="22"/>
        </w:rPr>
        <w:t>Caring, encouraging and warm.</w:t>
      </w:r>
    </w:p>
    <w:p w14:paraId="7D4944B5" w14:textId="5522F364" w:rsidR="00746C1F" w:rsidRPr="00085BFC" w:rsidRDefault="00746C1F" w:rsidP="004F2595">
      <w:pPr>
        <w:pStyle w:val="ListParagraph"/>
        <w:numPr>
          <w:ilvl w:val="0"/>
          <w:numId w:val="5"/>
        </w:numPr>
        <w:tabs>
          <w:tab w:val="left" w:pos="380"/>
        </w:tabs>
        <w:spacing w:after="240" w:line="0" w:lineRule="atLeast"/>
        <w:rPr>
          <w:rFonts w:ascii="Arial" w:eastAsia="Arial" w:hAnsi="Arial"/>
          <w:sz w:val="22"/>
        </w:rPr>
      </w:pPr>
      <w:r w:rsidRPr="00085BFC">
        <w:rPr>
          <w:rFonts w:ascii="Arial" w:eastAsia="Arial" w:hAnsi="Arial"/>
          <w:sz w:val="22"/>
        </w:rPr>
        <w:t>Provide firm boundaries</w:t>
      </w:r>
      <w:r w:rsidR="00085BFC">
        <w:rPr>
          <w:rFonts w:ascii="Arial" w:eastAsia="Arial" w:hAnsi="Arial"/>
          <w:sz w:val="22"/>
        </w:rPr>
        <w:t>.</w:t>
      </w:r>
    </w:p>
    <w:p w14:paraId="1DD45E71" w14:textId="709EB07C" w:rsidR="00746C1F" w:rsidRPr="00085BFC" w:rsidRDefault="00746C1F" w:rsidP="004F2595">
      <w:pPr>
        <w:pStyle w:val="ListParagraph"/>
        <w:numPr>
          <w:ilvl w:val="0"/>
          <w:numId w:val="5"/>
        </w:numPr>
        <w:tabs>
          <w:tab w:val="left" w:pos="380"/>
        </w:tabs>
        <w:spacing w:after="240" w:line="0" w:lineRule="atLeast"/>
        <w:rPr>
          <w:rFonts w:ascii="Arial" w:eastAsia="Arial" w:hAnsi="Arial"/>
          <w:sz w:val="22"/>
        </w:rPr>
      </w:pPr>
      <w:r w:rsidRPr="00085BFC">
        <w:rPr>
          <w:rFonts w:ascii="Arial" w:eastAsia="Arial" w:hAnsi="Arial"/>
          <w:sz w:val="22"/>
        </w:rPr>
        <w:t>Using</w:t>
      </w:r>
      <w:r w:rsidRPr="00085BFC">
        <w:rPr>
          <w:rFonts w:ascii="Arial" w:eastAsia="Arial" w:hAnsi="Arial"/>
          <w:color w:val="0563C1"/>
          <w:sz w:val="22"/>
        </w:rPr>
        <w:t xml:space="preserve"> </w:t>
      </w:r>
      <w:hyperlink r:id="rId13" w:history="1">
        <w:r w:rsidRPr="00085BFC">
          <w:rPr>
            <w:rFonts w:ascii="Arial" w:eastAsia="Arial" w:hAnsi="Arial"/>
            <w:color w:val="0563C1"/>
            <w:sz w:val="22"/>
            <w:u w:val="single"/>
          </w:rPr>
          <w:t>positive parenting</w:t>
        </w:r>
        <w:r w:rsidRPr="0033719F">
          <w:rPr>
            <w:rFonts w:ascii="Arial" w:eastAsia="Arial" w:hAnsi="Arial"/>
            <w:sz w:val="22"/>
          </w:rPr>
          <w:t xml:space="preserve"> </w:t>
        </w:r>
      </w:hyperlink>
      <w:r w:rsidRPr="00085BFC">
        <w:rPr>
          <w:rFonts w:ascii="Arial" w:eastAsia="Arial" w:hAnsi="Arial"/>
          <w:sz w:val="22"/>
        </w:rPr>
        <w:t>practices.</w:t>
      </w:r>
    </w:p>
    <w:p w14:paraId="34E91420" w14:textId="18ED6EE7" w:rsidR="00746C1F" w:rsidRPr="00085BFC" w:rsidRDefault="00746C1F" w:rsidP="004F2595">
      <w:pPr>
        <w:spacing w:after="240" w:line="0" w:lineRule="atLeast"/>
        <w:rPr>
          <w:rFonts w:ascii="Arial" w:eastAsia="Arial" w:hAnsi="Arial"/>
          <w:b/>
          <w:color w:val="F89A44"/>
          <w:sz w:val="30"/>
          <w:szCs w:val="30"/>
        </w:rPr>
      </w:pPr>
      <w:r w:rsidRPr="00085BFC">
        <w:rPr>
          <w:rFonts w:ascii="Arial" w:eastAsia="Arial" w:hAnsi="Arial"/>
          <w:b/>
          <w:color w:val="F89A44"/>
          <w:sz w:val="30"/>
          <w:szCs w:val="30"/>
        </w:rPr>
        <w:t>What if the young person is in care?</w:t>
      </w:r>
    </w:p>
    <w:p w14:paraId="19575114" w14:textId="15D2C5B1" w:rsidR="00746C1F" w:rsidRPr="00085BFC" w:rsidRDefault="00746C1F" w:rsidP="004F2595">
      <w:pPr>
        <w:spacing w:after="240" w:line="267" w:lineRule="auto"/>
        <w:ind w:right="820"/>
        <w:rPr>
          <w:rFonts w:ascii="Arial" w:eastAsia="Arial" w:hAnsi="Arial"/>
          <w:b/>
          <w:color w:val="055772"/>
          <w:sz w:val="26"/>
          <w:szCs w:val="26"/>
        </w:rPr>
      </w:pPr>
      <w:r w:rsidRPr="00085BFC">
        <w:rPr>
          <w:rFonts w:ascii="Arial" w:eastAsia="Arial" w:hAnsi="Arial"/>
          <w:b/>
          <w:color w:val="055772"/>
          <w:sz w:val="26"/>
          <w:szCs w:val="26"/>
        </w:rPr>
        <w:t xml:space="preserve">Parents are who the young person considers their family – whether that’s their biological </w:t>
      </w:r>
      <w:r w:rsidRPr="004C5FF6">
        <w:rPr>
          <w:rFonts w:ascii="Arial" w:eastAsia="Arial" w:hAnsi="Arial"/>
          <w:b/>
          <w:color w:val="055772"/>
          <w:sz w:val="26"/>
          <w:szCs w:val="26"/>
        </w:rPr>
        <w:t>pare</w:t>
      </w:r>
      <w:r w:rsidRPr="00085BFC">
        <w:rPr>
          <w:rFonts w:ascii="Arial" w:eastAsia="Arial" w:hAnsi="Arial"/>
          <w:b/>
          <w:color w:val="055772"/>
          <w:sz w:val="26"/>
          <w:szCs w:val="26"/>
        </w:rPr>
        <w:t>nts, kinship, or foster parents.</w:t>
      </w:r>
    </w:p>
    <w:p w14:paraId="114DFA8F" w14:textId="3908A278" w:rsidR="00746C1F" w:rsidRPr="00085BFC" w:rsidRDefault="00746C1F" w:rsidP="004F2595">
      <w:pPr>
        <w:spacing w:after="240" w:line="237" w:lineRule="auto"/>
        <w:ind w:right="40"/>
        <w:rPr>
          <w:rFonts w:ascii="Arial" w:eastAsia="Arial" w:hAnsi="Arial"/>
          <w:sz w:val="22"/>
        </w:rPr>
      </w:pPr>
      <w:r w:rsidRPr="00085BFC">
        <w:rPr>
          <w:rFonts w:ascii="Arial" w:eastAsia="Arial" w:hAnsi="Arial"/>
          <w:sz w:val="22"/>
        </w:rPr>
        <w:t>Usually the identified ‘parents’ will have been involved in the young person’s life for a significant period (i.e. parents, grandparents), however, if the young person has been in a placement, this domain could also refer to a foster or kinship care family. The young person does not have to be living with either parent for this domain to apply.</w:t>
      </w:r>
    </w:p>
    <w:p w14:paraId="0AC0CFFF" w14:textId="77777777" w:rsidR="00085BFC" w:rsidRPr="00085BFC" w:rsidRDefault="00085BFC" w:rsidP="004F2595">
      <w:pPr>
        <w:spacing w:after="240" w:line="237" w:lineRule="auto"/>
        <w:ind w:right="40"/>
        <w:rPr>
          <w:rFonts w:ascii="Arial" w:eastAsia="Arial" w:hAnsi="Arial"/>
          <w:sz w:val="22"/>
        </w:rPr>
      </w:pPr>
    </w:p>
    <w:p w14:paraId="46BE107E" w14:textId="77777777" w:rsidR="00085BFC" w:rsidRPr="00085BFC" w:rsidRDefault="00085BFC" w:rsidP="004F2595">
      <w:pPr>
        <w:spacing w:after="240" w:line="237" w:lineRule="auto"/>
        <w:ind w:right="40"/>
        <w:rPr>
          <w:rFonts w:ascii="Arial" w:eastAsia="Arial" w:hAnsi="Arial"/>
          <w:sz w:val="22"/>
        </w:rPr>
      </w:pPr>
    </w:p>
    <w:p w14:paraId="35B8A852" w14:textId="24EC6920" w:rsidR="00746C1F" w:rsidRPr="00085BFC" w:rsidRDefault="00746C1F" w:rsidP="004F2595">
      <w:pPr>
        <w:spacing w:after="240" w:line="237" w:lineRule="auto"/>
        <w:ind w:right="40"/>
        <w:rPr>
          <w:rFonts w:ascii="Arial" w:eastAsia="Arial" w:hAnsi="Arial"/>
          <w:sz w:val="22"/>
        </w:rPr>
      </w:pPr>
      <w:r w:rsidRPr="00085BFC">
        <w:rPr>
          <w:rFonts w:ascii="Arial" w:eastAsia="Arial" w:hAnsi="Arial"/>
          <w:sz w:val="22"/>
        </w:rPr>
        <w:t>If unsure, ask the young person who they consider to be their parents, particularly for Aboriginal and Torres Strait Islander young people or in situations where they don’t reside together (e.g. young people in residential care) or haven’t had contact for an extended period.</w:t>
      </w:r>
    </w:p>
    <w:p w14:paraId="047398AA" w14:textId="413FBAC4" w:rsidR="00746C1F" w:rsidRPr="004C5FF6" w:rsidRDefault="00746C1F" w:rsidP="004C5FF6">
      <w:pPr>
        <w:spacing w:after="240" w:line="235" w:lineRule="auto"/>
        <w:ind w:right="1060"/>
        <w:rPr>
          <w:rFonts w:ascii="Arial" w:eastAsia="Arial" w:hAnsi="Arial"/>
          <w:sz w:val="22"/>
        </w:rPr>
      </w:pPr>
      <w:r w:rsidRPr="00085BFC">
        <w:rPr>
          <w:rFonts w:ascii="Arial" w:eastAsia="Arial" w:hAnsi="Arial"/>
          <w:sz w:val="22"/>
        </w:rPr>
        <w:t>Conversations need to occur with family as part of collateral information gathering to understand if there is Cultural Adoption that has happened in the kinship system.</w:t>
      </w:r>
      <w:bookmarkStart w:id="0" w:name="page2"/>
      <w:bookmarkEnd w:id="0"/>
    </w:p>
    <w:p w14:paraId="6037E4FE" w14:textId="2492AE90" w:rsidR="00746C1F" w:rsidRPr="00085BFC" w:rsidRDefault="00746C1F" w:rsidP="004C5FF6">
      <w:pPr>
        <w:spacing w:after="240" w:line="287" w:lineRule="auto"/>
        <w:ind w:left="60" w:right="500"/>
        <w:rPr>
          <w:rFonts w:ascii="Arial" w:eastAsia="Times New Roman" w:hAnsi="Arial"/>
        </w:rPr>
      </w:pPr>
      <w:r w:rsidRPr="00085BFC">
        <w:rPr>
          <w:rFonts w:ascii="Arial" w:eastAsia="Arial" w:hAnsi="Arial"/>
          <w:b/>
          <w:color w:val="F89A44"/>
          <w:sz w:val="26"/>
        </w:rPr>
        <w:t>Do all young people on Child Protection Orders have high need in Family Circumstances/Parenting?</w:t>
      </w:r>
    </w:p>
    <w:p w14:paraId="7ACF1EAC" w14:textId="0527B262" w:rsidR="00746C1F" w:rsidRPr="004C5FF6" w:rsidRDefault="00746C1F" w:rsidP="004C5FF6">
      <w:pPr>
        <w:spacing w:after="240" w:line="0" w:lineRule="atLeast"/>
        <w:ind w:left="60"/>
        <w:rPr>
          <w:rFonts w:ascii="Arial" w:eastAsia="Times New Roman" w:hAnsi="Arial"/>
          <w:color w:val="055772"/>
          <w:sz w:val="26"/>
          <w:szCs w:val="26"/>
        </w:rPr>
      </w:pPr>
      <w:r w:rsidRPr="004C5FF6">
        <w:rPr>
          <w:rFonts w:ascii="Arial" w:eastAsia="Arial" w:hAnsi="Arial"/>
          <w:b/>
          <w:color w:val="055772"/>
          <w:sz w:val="26"/>
          <w:szCs w:val="26"/>
        </w:rPr>
        <w:t>Generally, yes.</w:t>
      </w:r>
    </w:p>
    <w:p w14:paraId="708297D3" w14:textId="459A5FFE" w:rsidR="00746C1F" w:rsidRPr="00085BFC" w:rsidRDefault="00746C1F" w:rsidP="004C5FF6">
      <w:pPr>
        <w:spacing w:after="240" w:line="238" w:lineRule="auto"/>
        <w:ind w:left="40"/>
        <w:rPr>
          <w:rFonts w:ascii="Arial" w:eastAsia="Arial" w:hAnsi="Arial"/>
          <w:sz w:val="22"/>
        </w:rPr>
      </w:pPr>
      <w:r w:rsidRPr="00085BFC">
        <w:rPr>
          <w:rFonts w:ascii="Arial" w:eastAsia="Arial" w:hAnsi="Arial"/>
          <w:sz w:val="22"/>
        </w:rPr>
        <w:t>Young people who have a history of child protection involvement have</w:t>
      </w:r>
      <w:r w:rsidRPr="00085BFC">
        <w:rPr>
          <w:rFonts w:ascii="Arial" w:eastAsia="Arial" w:hAnsi="Arial"/>
          <w:color w:val="0563C1"/>
          <w:sz w:val="22"/>
        </w:rPr>
        <w:t xml:space="preserve"> </w:t>
      </w:r>
      <w:hyperlink r:id="rId14" w:history="1">
        <w:r w:rsidRPr="00085BFC">
          <w:rPr>
            <w:rFonts w:ascii="Arial" w:eastAsia="Arial" w:hAnsi="Arial"/>
            <w:color w:val="0563C1"/>
            <w:sz w:val="22"/>
            <w:u w:val="single"/>
          </w:rPr>
          <w:t>significantly greater and</w:t>
        </w:r>
      </w:hyperlink>
      <w:r w:rsidRPr="00085BFC">
        <w:rPr>
          <w:rFonts w:ascii="Arial" w:eastAsia="Arial" w:hAnsi="Arial"/>
          <w:color w:val="0563C1"/>
          <w:sz w:val="22"/>
          <w:u w:val="single"/>
        </w:rPr>
        <w:t xml:space="preserve"> more complex needs</w:t>
      </w:r>
      <w:r w:rsidRPr="00085BFC">
        <w:rPr>
          <w:rFonts w:ascii="Arial" w:eastAsia="Arial" w:hAnsi="Arial"/>
          <w:color w:val="000000"/>
          <w:sz w:val="22"/>
        </w:rPr>
        <w:t xml:space="preserve"> than those with no child protection exposure, and are</w:t>
      </w:r>
      <w:r w:rsidRPr="00085BFC">
        <w:rPr>
          <w:rFonts w:ascii="Arial" w:eastAsia="Arial" w:hAnsi="Arial"/>
          <w:color w:val="0563C1"/>
          <w:sz w:val="22"/>
        </w:rPr>
        <w:t xml:space="preserve"> </w:t>
      </w:r>
      <w:hyperlink r:id="rId15" w:history="1">
        <w:r w:rsidRPr="00085BFC">
          <w:rPr>
            <w:rFonts w:ascii="Arial" w:eastAsia="Arial" w:hAnsi="Arial"/>
            <w:color w:val="0563C1"/>
            <w:sz w:val="22"/>
            <w:u w:val="single"/>
          </w:rPr>
          <w:t>more likely to</w:t>
        </w:r>
      </w:hyperlink>
      <w:r w:rsidRPr="00085BFC">
        <w:rPr>
          <w:rFonts w:ascii="Arial" w:eastAsia="Arial" w:hAnsi="Arial"/>
          <w:color w:val="0563C1"/>
          <w:sz w:val="22"/>
          <w:u w:val="single"/>
        </w:rPr>
        <w:t xml:space="preserve"> engage in criminal behaviour as adolescents and adults</w:t>
      </w:r>
      <w:r w:rsidRPr="00085BFC">
        <w:rPr>
          <w:rFonts w:ascii="Arial" w:eastAsia="Arial" w:hAnsi="Arial"/>
          <w:color w:val="000000"/>
          <w:sz w:val="22"/>
        </w:rPr>
        <w:t>. Further,</w:t>
      </w:r>
      <w:r w:rsidRPr="00085BFC">
        <w:rPr>
          <w:rFonts w:ascii="Arial" w:eastAsia="Arial" w:hAnsi="Arial"/>
          <w:color w:val="0563C1"/>
          <w:sz w:val="22"/>
        </w:rPr>
        <w:t xml:space="preserve"> </w:t>
      </w:r>
      <w:hyperlink r:id="rId16" w:history="1">
        <w:r w:rsidRPr="00085BFC">
          <w:rPr>
            <w:rFonts w:ascii="Arial" w:eastAsia="Arial" w:hAnsi="Arial"/>
            <w:color w:val="0563C1"/>
            <w:sz w:val="22"/>
            <w:u w:val="single"/>
          </w:rPr>
          <w:t>positive parenting practices</w:t>
        </w:r>
        <w:r w:rsidRPr="00085BFC">
          <w:rPr>
            <w:rFonts w:ascii="Arial" w:eastAsia="Arial" w:hAnsi="Arial"/>
            <w:color w:val="000000"/>
            <w:sz w:val="22"/>
          </w:rPr>
          <w:t>,</w:t>
        </w:r>
      </w:hyperlink>
      <w:r w:rsidRPr="00085BFC">
        <w:rPr>
          <w:rFonts w:ascii="Arial" w:eastAsia="Arial" w:hAnsi="Arial"/>
          <w:color w:val="0563C1"/>
          <w:sz w:val="22"/>
          <w:u w:val="single"/>
        </w:rPr>
        <w:t xml:space="preserve"> </w:t>
      </w:r>
      <w:r w:rsidRPr="00085BFC">
        <w:rPr>
          <w:rFonts w:ascii="Arial" w:eastAsia="Arial" w:hAnsi="Arial"/>
          <w:color w:val="000000"/>
          <w:sz w:val="22"/>
        </w:rPr>
        <w:t>which may be absent from families involved with child protection, are known to be linked to lower levels of youth offending.</w:t>
      </w:r>
    </w:p>
    <w:p w14:paraId="7FD83AF6" w14:textId="670AE8A0" w:rsidR="00746C1F" w:rsidRPr="00085BFC" w:rsidRDefault="00746C1F" w:rsidP="004C5FF6">
      <w:pPr>
        <w:spacing w:after="240" w:line="0" w:lineRule="atLeast"/>
        <w:ind w:left="40"/>
        <w:rPr>
          <w:rFonts w:ascii="Arial" w:eastAsia="Arial" w:hAnsi="Arial"/>
          <w:sz w:val="22"/>
        </w:rPr>
      </w:pPr>
      <w:r w:rsidRPr="00085BFC">
        <w:rPr>
          <w:rFonts w:ascii="Arial" w:eastAsia="Arial" w:hAnsi="Arial"/>
          <w:b/>
          <w:color w:val="F89A44"/>
          <w:sz w:val="26"/>
        </w:rPr>
        <w:t>What if the young person denies any problems or issues in their family?</w:t>
      </w:r>
    </w:p>
    <w:p w14:paraId="2C692894" w14:textId="74CCEAB1" w:rsidR="00746C1F" w:rsidRPr="004C5FF6" w:rsidRDefault="00746C1F" w:rsidP="004C5FF6">
      <w:pPr>
        <w:spacing w:after="240" w:line="243" w:lineRule="auto"/>
        <w:ind w:left="40" w:right="40"/>
        <w:rPr>
          <w:rFonts w:ascii="Arial" w:eastAsia="Arial" w:hAnsi="Arial"/>
          <w:color w:val="055772"/>
          <w:sz w:val="26"/>
          <w:szCs w:val="26"/>
        </w:rPr>
      </w:pPr>
      <w:r w:rsidRPr="004C5FF6">
        <w:rPr>
          <w:rFonts w:ascii="Arial" w:eastAsia="Arial" w:hAnsi="Arial"/>
          <w:b/>
          <w:color w:val="055772"/>
          <w:sz w:val="26"/>
          <w:szCs w:val="26"/>
        </w:rPr>
        <w:t>It is important to consider information from a range of sources to accurately determine assessment outcomes.</w:t>
      </w:r>
    </w:p>
    <w:p w14:paraId="00BE38FB" w14:textId="727B1151" w:rsidR="00746C1F" w:rsidRPr="00085BFC" w:rsidRDefault="00746C1F" w:rsidP="004C5FF6">
      <w:pPr>
        <w:spacing w:after="240" w:line="238" w:lineRule="auto"/>
        <w:ind w:left="40"/>
        <w:rPr>
          <w:rFonts w:ascii="Arial" w:eastAsia="Arial" w:hAnsi="Arial"/>
          <w:sz w:val="22"/>
        </w:rPr>
      </w:pPr>
      <w:r w:rsidRPr="00085BFC">
        <w:rPr>
          <w:rFonts w:ascii="Arial" w:eastAsia="Arial" w:hAnsi="Arial"/>
          <w:sz w:val="22"/>
        </w:rPr>
        <w:t>Assessment of the Family Circumstances/Parenting domain, like all domains, should be considered using self-reported information from the young person and family, and supported by evidence from other agencies (e.g. government agencies, family support services). It is important teams work collaboratively to gather information, for example an issue may not have been discussed with Caseworkers but had been discussed with Youth Worker or Indigenous Service Support Officer.</w:t>
      </w:r>
    </w:p>
    <w:p w14:paraId="3E9528DF" w14:textId="728A3E3D" w:rsidR="00746C1F" w:rsidRPr="00085BFC" w:rsidRDefault="00746C1F" w:rsidP="004C5FF6">
      <w:pPr>
        <w:spacing w:after="240" w:line="238" w:lineRule="auto"/>
        <w:ind w:left="40"/>
        <w:rPr>
          <w:rFonts w:ascii="Arial" w:eastAsia="Arial" w:hAnsi="Arial"/>
          <w:sz w:val="22"/>
        </w:rPr>
      </w:pPr>
      <w:r w:rsidRPr="00085BFC">
        <w:rPr>
          <w:rFonts w:ascii="Arial" w:eastAsia="Arial" w:hAnsi="Arial"/>
          <w:sz w:val="22"/>
        </w:rPr>
        <w:t>If the young person reports a positive relationship with their parent/s, but there is evidence of significant conflict between them and the young person (</w:t>
      </w:r>
      <w:proofErr w:type="spellStart"/>
      <w:r w:rsidRPr="00085BFC">
        <w:rPr>
          <w:rFonts w:ascii="Arial" w:eastAsia="Arial" w:hAnsi="Arial"/>
          <w:sz w:val="22"/>
        </w:rPr>
        <w:t>eg</w:t>
      </w:r>
      <w:proofErr w:type="spellEnd"/>
      <w:r w:rsidRPr="00085BFC">
        <w:rPr>
          <w:rFonts w:ascii="Arial" w:eastAsia="Arial" w:hAnsi="Arial"/>
          <w:sz w:val="22"/>
        </w:rPr>
        <w:t xml:space="preserve"> QPS call outs, Domestic Violence Orders) and it appears unstable/hostile/uncaring, then careful analysis of YLS/ CMI™ scoring is needed. We know some of our young people experience a level of shame when there is conflict within their familial environment, and they may find it difficult to share. Refer to the</w:t>
      </w:r>
      <w:r w:rsidRPr="00085BFC">
        <w:rPr>
          <w:rFonts w:ascii="Arial" w:eastAsia="Arial" w:hAnsi="Arial"/>
          <w:color w:val="0563C1"/>
          <w:sz w:val="22"/>
        </w:rPr>
        <w:t xml:space="preserve"> </w:t>
      </w:r>
      <w:hyperlink r:id="rId17" w:history="1">
        <w:r w:rsidRPr="00085BFC">
          <w:rPr>
            <w:rFonts w:ascii="Arial" w:eastAsia="Arial" w:hAnsi="Arial"/>
            <w:color w:val="0563C1"/>
            <w:sz w:val="22"/>
            <w:u w:val="single"/>
          </w:rPr>
          <w:t>assessment guidelines</w:t>
        </w:r>
        <w:r w:rsidRPr="00085BFC">
          <w:rPr>
            <w:rFonts w:ascii="Arial" w:eastAsia="Arial" w:hAnsi="Arial"/>
            <w:sz w:val="22"/>
            <w:u w:val="single"/>
          </w:rPr>
          <w:t xml:space="preserve"> </w:t>
        </w:r>
      </w:hyperlink>
      <w:r w:rsidRPr="00085BFC">
        <w:rPr>
          <w:rFonts w:ascii="Arial" w:eastAsia="Arial" w:hAnsi="Arial"/>
          <w:sz w:val="22"/>
        </w:rPr>
        <w:t>for additional clarification.</w:t>
      </w:r>
    </w:p>
    <w:p w14:paraId="74ED6F6A" w14:textId="688440DB" w:rsidR="00746C1F" w:rsidRPr="00085BFC" w:rsidRDefault="00746C1F" w:rsidP="004C5FF6">
      <w:pPr>
        <w:spacing w:after="240" w:line="266" w:lineRule="auto"/>
        <w:ind w:left="40" w:right="40"/>
        <w:rPr>
          <w:rFonts w:ascii="Arial" w:eastAsia="Arial" w:hAnsi="Arial"/>
          <w:sz w:val="22"/>
        </w:rPr>
      </w:pPr>
      <w:r w:rsidRPr="00085BFC">
        <w:rPr>
          <w:rFonts w:ascii="Arial" w:eastAsia="Arial" w:hAnsi="Arial"/>
          <w:b/>
          <w:color w:val="F89A44"/>
          <w:sz w:val="26"/>
        </w:rPr>
        <w:t>What activities and community services address high need in Family Circumstances/Parenting?</w:t>
      </w:r>
    </w:p>
    <w:p w14:paraId="275AE6D5" w14:textId="246CADE8" w:rsidR="00746C1F" w:rsidRPr="004C5FF6" w:rsidRDefault="00746C1F" w:rsidP="004C5FF6">
      <w:pPr>
        <w:spacing w:after="240" w:line="243" w:lineRule="auto"/>
        <w:ind w:left="40" w:right="40"/>
        <w:rPr>
          <w:rFonts w:ascii="Arial" w:eastAsia="Arial" w:hAnsi="Arial"/>
          <w:color w:val="055772"/>
          <w:sz w:val="26"/>
          <w:szCs w:val="26"/>
        </w:rPr>
      </w:pPr>
      <w:r w:rsidRPr="004C5FF6">
        <w:rPr>
          <w:rFonts w:ascii="Arial" w:eastAsia="Arial" w:hAnsi="Arial"/>
          <w:b/>
          <w:color w:val="055772"/>
          <w:sz w:val="26"/>
          <w:szCs w:val="26"/>
        </w:rPr>
        <w:t>Any regular engagement with parenting or family support specialists that fosters a sense of belonging, connection, and secure attachment can contribute to reducing need.</w:t>
      </w:r>
    </w:p>
    <w:p w14:paraId="3A730C26" w14:textId="16A249EE" w:rsidR="00746C1F" w:rsidRPr="00085BFC" w:rsidRDefault="00746C1F" w:rsidP="004C5FF6">
      <w:pPr>
        <w:spacing w:after="240" w:line="238" w:lineRule="auto"/>
        <w:ind w:left="40"/>
        <w:rPr>
          <w:rFonts w:ascii="Arial" w:eastAsia="Arial" w:hAnsi="Arial"/>
          <w:sz w:val="22"/>
        </w:rPr>
      </w:pPr>
      <w:r w:rsidRPr="00085BFC">
        <w:rPr>
          <w:rFonts w:ascii="Arial" w:eastAsia="Arial" w:hAnsi="Arial"/>
          <w:b/>
          <w:i/>
          <w:sz w:val="22"/>
        </w:rPr>
        <w:t>Referrals:</w:t>
      </w:r>
      <w:r w:rsidRPr="00085BFC">
        <w:rPr>
          <w:rFonts w:ascii="Arial" w:eastAsia="Arial" w:hAnsi="Arial"/>
          <w:sz w:val="22"/>
        </w:rPr>
        <w:t xml:space="preserve"> Youth Justice may refer families for support </w:t>
      </w:r>
      <w:r w:rsidRPr="00085BFC">
        <w:rPr>
          <w:rFonts w:ascii="Arial" w:eastAsia="Arial" w:hAnsi="Arial"/>
          <w:b/>
          <w:i/>
          <w:sz w:val="22"/>
        </w:rPr>
        <w:t>with consent</w:t>
      </w:r>
      <w:r w:rsidRPr="00085BFC">
        <w:rPr>
          <w:rFonts w:ascii="Arial" w:eastAsia="Arial" w:hAnsi="Arial"/>
          <w:sz w:val="22"/>
        </w:rPr>
        <w:t xml:space="preserve"> if it is considered in the best interests of the young person and decreases the likelihood of them becoming in need of protection. Discussions may also be beneficial with relevant stakeholders (Department of Education, Health etc.) around who is best placed to discuss referrals and consent with the family.</w:t>
      </w:r>
    </w:p>
    <w:p w14:paraId="7727F3F8" w14:textId="2886128E" w:rsidR="00746C1F" w:rsidRPr="00085BFC" w:rsidRDefault="00746C1F" w:rsidP="004C5FF6">
      <w:pPr>
        <w:spacing w:after="240" w:line="238" w:lineRule="auto"/>
        <w:ind w:left="40"/>
        <w:rPr>
          <w:rFonts w:ascii="Arial" w:eastAsia="Arial" w:hAnsi="Arial"/>
          <w:color w:val="0563C1"/>
          <w:sz w:val="22"/>
          <w:u w:val="single"/>
        </w:rPr>
      </w:pPr>
      <w:r w:rsidRPr="00085BFC">
        <w:rPr>
          <w:rFonts w:ascii="Arial" w:eastAsia="Arial" w:hAnsi="Arial"/>
          <w:b/>
          <w:i/>
          <w:sz w:val="22"/>
        </w:rPr>
        <w:t>External Services:</w:t>
      </w:r>
      <w:r w:rsidRPr="00085BFC">
        <w:rPr>
          <w:rFonts w:ascii="Arial" w:eastAsia="Arial" w:hAnsi="Arial"/>
          <w:sz w:val="22"/>
        </w:rPr>
        <w:t xml:space="preserve"> Regular engagement with services such as</w:t>
      </w:r>
      <w:r w:rsidRPr="00085BFC">
        <w:rPr>
          <w:rFonts w:ascii="Arial" w:eastAsia="Arial" w:hAnsi="Arial"/>
          <w:color w:val="0563C1"/>
          <w:sz w:val="22"/>
        </w:rPr>
        <w:t xml:space="preserve"> </w:t>
      </w:r>
      <w:hyperlink r:id="rId18" w:history="1">
        <w:r w:rsidRPr="00085BFC">
          <w:rPr>
            <w:rFonts w:ascii="Arial" w:eastAsia="Arial" w:hAnsi="Arial"/>
            <w:color w:val="0563C1"/>
            <w:sz w:val="22"/>
            <w:u w:val="single"/>
          </w:rPr>
          <w:t>Intensive Family Support or</w:t>
        </w:r>
      </w:hyperlink>
      <w:r w:rsidRPr="00085BFC">
        <w:rPr>
          <w:rFonts w:ascii="Arial" w:eastAsia="Arial" w:hAnsi="Arial"/>
          <w:color w:val="0563C1"/>
          <w:sz w:val="22"/>
          <w:u w:val="single"/>
        </w:rPr>
        <w:t xml:space="preserve"> </w:t>
      </w:r>
      <w:hyperlink r:id="rId19" w:history="1">
        <w:r w:rsidRPr="00085BFC">
          <w:rPr>
            <w:rFonts w:ascii="Arial" w:eastAsia="Arial" w:hAnsi="Arial"/>
            <w:color w:val="0563C1"/>
            <w:sz w:val="22"/>
            <w:u w:val="single"/>
          </w:rPr>
          <w:t>Family Wellbeing Service</w:t>
        </w:r>
        <w:r w:rsidRPr="00085BFC">
          <w:rPr>
            <w:rFonts w:ascii="Arial" w:eastAsia="Arial" w:hAnsi="Arial"/>
            <w:color w:val="000000"/>
            <w:sz w:val="22"/>
          </w:rPr>
          <w:t xml:space="preserve"> </w:t>
        </w:r>
      </w:hyperlink>
      <w:r w:rsidRPr="00085BFC">
        <w:rPr>
          <w:rFonts w:ascii="Arial" w:eastAsia="Arial" w:hAnsi="Arial"/>
          <w:color w:val="000000"/>
          <w:sz w:val="22"/>
        </w:rPr>
        <w:t xml:space="preserve">can assist families to prevent and address crises or problems </w:t>
      </w:r>
      <w:hyperlink r:id="rId20" w:history="1">
        <w:r w:rsidRPr="00085BFC">
          <w:rPr>
            <w:rFonts w:ascii="Arial" w:eastAsia="Arial" w:hAnsi="Arial"/>
            <w:color w:val="000000"/>
            <w:sz w:val="22"/>
          </w:rPr>
          <w:t>and promote increased connection, cohesion, and wellbeing. Further,</w:t>
        </w:r>
        <w:r w:rsidRPr="00085BFC">
          <w:rPr>
            <w:rFonts w:ascii="Arial" w:eastAsia="Arial" w:hAnsi="Arial"/>
            <w:color w:val="0563C1"/>
            <w:sz w:val="22"/>
          </w:rPr>
          <w:t xml:space="preserve"> </w:t>
        </w:r>
        <w:r w:rsidRPr="00085BFC">
          <w:rPr>
            <w:rFonts w:ascii="Arial" w:eastAsia="Arial" w:hAnsi="Arial"/>
            <w:color w:val="0563C1"/>
            <w:sz w:val="22"/>
            <w:u w:val="single"/>
          </w:rPr>
          <w:t>Family and Child</w:t>
        </w:r>
      </w:hyperlink>
      <w:r w:rsidRPr="00085BFC">
        <w:rPr>
          <w:rFonts w:ascii="Arial" w:eastAsia="Arial" w:hAnsi="Arial"/>
          <w:color w:val="0563C1"/>
          <w:sz w:val="22"/>
          <w:u w:val="single"/>
        </w:rPr>
        <w:t xml:space="preserve"> </w:t>
      </w:r>
      <w:hyperlink r:id="rId21" w:history="1">
        <w:r w:rsidRPr="00085BFC">
          <w:rPr>
            <w:rFonts w:ascii="Arial" w:eastAsia="Arial" w:hAnsi="Arial"/>
            <w:color w:val="0563C1"/>
            <w:sz w:val="22"/>
            <w:u w:val="single"/>
          </w:rPr>
          <w:t>Connect</w:t>
        </w:r>
        <w:r w:rsidRPr="00085BFC">
          <w:rPr>
            <w:rFonts w:ascii="Arial" w:eastAsia="Arial" w:hAnsi="Arial"/>
            <w:color w:val="000000"/>
            <w:sz w:val="22"/>
          </w:rPr>
          <w:t xml:space="preserve"> can assist families to connect with services in their community including supports that</w:t>
        </w:r>
      </w:hyperlink>
      <w:r w:rsidRPr="00085BFC">
        <w:rPr>
          <w:rFonts w:ascii="Arial" w:eastAsia="Arial" w:hAnsi="Arial"/>
          <w:color w:val="000000"/>
          <w:sz w:val="22"/>
        </w:rPr>
        <w:t xml:space="preserve"> address homelessness, domestic and family violence, mental health, parenting behavioural, developmental needs, etc.</w:t>
      </w:r>
    </w:p>
    <w:p w14:paraId="44B78BF2" w14:textId="648A92E9" w:rsidR="00746C1F" w:rsidRPr="00085BFC" w:rsidRDefault="00746C1F" w:rsidP="004C5FF6">
      <w:pPr>
        <w:spacing w:after="240" w:line="0" w:lineRule="atLeast"/>
        <w:ind w:left="40"/>
        <w:rPr>
          <w:rFonts w:ascii="Arial" w:eastAsia="Arial" w:hAnsi="Arial"/>
          <w:color w:val="0563C1"/>
          <w:sz w:val="22"/>
          <w:u w:val="single"/>
        </w:rPr>
      </w:pPr>
      <w:r w:rsidRPr="00085BFC">
        <w:rPr>
          <w:rFonts w:ascii="Arial" w:eastAsia="Arial" w:hAnsi="Arial"/>
          <w:b/>
          <w:color w:val="F89A44"/>
          <w:sz w:val="26"/>
        </w:rPr>
        <w:t>What core programs address high Family Circumstances/Parenting need?</w:t>
      </w:r>
    </w:p>
    <w:p w14:paraId="701614C6" w14:textId="5EE88E30" w:rsidR="00746C1F" w:rsidRPr="00085BFC" w:rsidRDefault="00746C1F" w:rsidP="004C5FF6">
      <w:pPr>
        <w:spacing w:after="240" w:line="0" w:lineRule="atLeast"/>
        <w:ind w:left="40"/>
        <w:rPr>
          <w:rFonts w:ascii="Arial" w:eastAsia="Arial" w:hAnsi="Arial"/>
          <w:color w:val="0563C1"/>
          <w:sz w:val="22"/>
          <w:u w:val="single"/>
        </w:rPr>
      </w:pPr>
      <w:r w:rsidRPr="00085BFC">
        <w:rPr>
          <w:rFonts w:ascii="Arial" w:eastAsia="Arial" w:hAnsi="Arial"/>
          <w:sz w:val="22"/>
        </w:rPr>
        <w:t>Core internal programs that address high Family Circumstances/Parenting needs include:</w:t>
      </w:r>
    </w:p>
    <w:p w14:paraId="09E37223" w14:textId="2A6802FB" w:rsidR="00746C1F" w:rsidRPr="004C5FF6" w:rsidRDefault="00746C1F" w:rsidP="004C5FF6">
      <w:pPr>
        <w:pStyle w:val="ListParagraph"/>
        <w:numPr>
          <w:ilvl w:val="0"/>
          <w:numId w:val="6"/>
        </w:numPr>
        <w:tabs>
          <w:tab w:val="left" w:pos="360"/>
        </w:tabs>
        <w:spacing w:after="240" w:line="0" w:lineRule="atLeast"/>
        <w:rPr>
          <w:rFonts w:ascii="Arial" w:eastAsia="Arial" w:hAnsi="Arial"/>
          <w:sz w:val="22"/>
        </w:rPr>
      </w:pPr>
      <w:r w:rsidRPr="004C5FF6">
        <w:rPr>
          <w:rFonts w:ascii="Arial" w:eastAsia="Arial" w:hAnsi="Arial"/>
          <w:sz w:val="22"/>
        </w:rPr>
        <w:t>Integrated Case Management (ICM)</w:t>
      </w:r>
    </w:p>
    <w:p w14:paraId="759E6CE6" w14:textId="77777777" w:rsidR="00746C1F" w:rsidRPr="004C5FF6" w:rsidRDefault="00746C1F" w:rsidP="004C5FF6">
      <w:pPr>
        <w:pStyle w:val="ListParagraph"/>
        <w:numPr>
          <w:ilvl w:val="0"/>
          <w:numId w:val="6"/>
        </w:numPr>
        <w:tabs>
          <w:tab w:val="left" w:pos="360"/>
        </w:tabs>
        <w:spacing w:after="240" w:line="0" w:lineRule="atLeast"/>
        <w:rPr>
          <w:rFonts w:ascii="Arial" w:eastAsia="Arial" w:hAnsi="Arial"/>
          <w:sz w:val="22"/>
        </w:rPr>
      </w:pPr>
      <w:r w:rsidRPr="004C5FF6">
        <w:rPr>
          <w:rFonts w:ascii="Arial" w:eastAsia="Arial" w:hAnsi="Arial"/>
          <w:sz w:val="22"/>
        </w:rPr>
        <w:t>Young, Black and Proud (YBP)</w:t>
      </w:r>
    </w:p>
    <w:p w14:paraId="66205A0A" w14:textId="77777777" w:rsidR="00746C1F" w:rsidRPr="00085BFC" w:rsidRDefault="00746C1F" w:rsidP="004F2595">
      <w:pPr>
        <w:spacing w:after="240" w:line="237" w:lineRule="auto"/>
        <w:ind w:right="100"/>
        <w:rPr>
          <w:rFonts w:ascii="Arial" w:eastAsia="Arial" w:hAnsi="Arial"/>
          <w:sz w:val="22"/>
        </w:rPr>
      </w:pPr>
      <w:r w:rsidRPr="00085BFC">
        <w:rPr>
          <w:rFonts w:ascii="Arial" w:eastAsia="Arial" w:hAnsi="Arial"/>
          <w:sz w:val="22"/>
        </w:rPr>
        <w:t>While not a core program,</w:t>
      </w:r>
      <w:r w:rsidRPr="00085BFC">
        <w:rPr>
          <w:rFonts w:ascii="Arial" w:eastAsia="Arial" w:hAnsi="Arial"/>
          <w:color w:val="0563C1"/>
          <w:sz w:val="22"/>
        </w:rPr>
        <w:t xml:space="preserve"> </w:t>
      </w:r>
      <w:hyperlink r:id="rId22" w:history="1">
        <w:r w:rsidRPr="00085BFC">
          <w:rPr>
            <w:rFonts w:ascii="Arial" w:eastAsia="Arial" w:hAnsi="Arial"/>
            <w:color w:val="0563C1"/>
            <w:sz w:val="22"/>
            <w:u w:val="single"/>
          </w:rPr>
          <w:t>Family Led Decision Making</w:t>
        </w:r>
        <w:r w:rsidRPr="00085BFC">
          <w:rPr>
            <w:rFonts w:ascii="Arial" w:eastAsia="Arial" w:hAnsi="Arial"/>
            <w:sz w:val="22"/>
            <w:u w:val="single"/>
          </w:rPr>
          <w:t xml:space="preserve"> </w:t>
        </w:r>
      </w:hyperlink>
      <w:r w:rsidRPr="00085BFC">
        <w:rPr>
          <w:rFonts w:ascii="Arial" w:eastAsia="Arial" w:hAnsi="Arial"/>
          <w:sz w:val="22"/>
        </w:rPr>
        <w:t>(FLDM) has also been shown to be effective in empowering young people and families to be more involved in Youth Justice decision-making and strengthening their connections to culture, family, and community.</w:t>
      </w:r>
    </w:p>
    <w:sectPr w:rsidR="00746C1F" w:rsidRPr="00085BFC" w:rsidSect="00702D7B">
      <w:headerReference w:type="default" r:id="rId23"/>
      <w:pgSz w:w="11900" w:h="16838"/>
      <w:pgMar w:top="1702" w:right="1246" w:bottom="1139" w:left="1160" w:header="0" w:footer="0" w:gutter="0"/>
      <w:cols w:space="0" w:equalWidth="0">
        <w:col w:w="950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4CB29" w14:textId="77777777" w:rsidR="00085BFC" w:rsidRDefault="00085BFC" w:rsidP="00085BFC">
      <w:r>
        <w:separator/>
      </w:r>
    </w:p>
  </w:endnote>
  <w:endnote w:type="continuationSeparator" w:id="0">
    <w:p w14:paraId="1E9A3187" w14:textId="77777777" w:rsidR="00085BFC" w:rsidRDefault="00085BFC" w:rsidP="00085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4C4F3" w14:textId="77777777" w:rsidR="00085BFC" w:rsidRDefault="00085BFC" w:rsidP="00085BFC">
      <w:r>
        <w:separator/>
      </w:r>
    </w:p>
  </w:footnote>
  <w:footnote w:type="continuationSeparator" w:id="0">
    <w:p w14:paraId="2C7D3CC7" w14:textId="77777777" w:rsidR="00085BFC" w:rsidRDefault="00085BFC" w:rsidP="00085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ECE3" w14:textId="4C4F6748" w:rsidR="00085BFC" w:rsidRDefault="004C5FF6">
    <w:pPr>
      <w:pStyle w:val="Header"/>
    </w:pPr>
    <w:r>
      <w:rPr>
        <w:noProof/>
      </w:rPr>
      <w:drawing>
        <wp:anchor distT="0" distB="0" distL="114300" distR="114300" simplePos="0" relativeHeight="251659264" behindDoc="1" locked="0" layoutInCell="1" allowOverlap="1" wp14:anchorId="1D3A106C" wp14:editId="15DE43A2">
          <wp:simplePos x="0" y="0"/>
          <wp:positionH relativeFrom="column">
            <wp:posOffset>-774700</wp:posOffset>
          </wp:positionH>
          <wp:positionV relativeFrom="paragraph">
            <wp:posOffset>0</wp:posOffset>
          </wp:positionV>
          <wp:extent cx="7588250" cy="10738772"/>
          <wp:effectExtent l="0" t="0" r="0" b="5715"/>
          <wp:wrapNone/>
          <wp:docPr id="1085939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17264"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073877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6334872"/>
    <w:lvl w:ilvl="0" w:tplc="B2247C74">
      <w:start w:val="1"/>
      <w:numFmt w:val="bullet"/>
      <w:lvlText w:val="•"/>
      <w:lvlJc w:val="left"/>
    </w:lvl>
    <w:lvl w:ilvl="1" w:tplc="0E7265E0">
      <w:start w:val="1"/>
      <w:numFmt w:val="bullet"/>
      <w:lvlText w:val=""/>
      <w:lvlJc w:val="left"/>
    </w:lvl>
    <w:lvl w:ilvl="2" w:tplc="D5409B50">
      <w:start w:val="1"/>
      <w:numFmt w:val="bullet"/>
      <w:lvlText w:val=""/>
      <w:lvlJc w:val="left"/>
    </w:lvl>
    <w:lvl w:ilvl="3" w:tplc="FC501806">
      <w:start w:val="1"/>
      <w:numFmt w:val="bullet"/>
      <w:lvlText w:val=""/>
      <w:lvlJc w:val="left"/>
    </w:lvl>
    <w:lvl w:ilvl="4" w:tplc="24FE99CC">
      <w:start w:val="1"/>
      <w:numFmt w:val="bullet"/>
      <w:lvlText w:val=""/>
      <w:lvlJc w:val="left"/>
    </w:lvl>
    <w:lvl w:ilvl="5" w:tplc="A470DFEC">
      <w:start w:val="1"/>
      <w:numFmt w:val="bullet"/>
      <w:lvlText w:val=""/>
      <w:lvlJc w:val="left"/>
    </w:lvl>
    <w:lvl w:ilvl="6" w:tplc="1B6E947E">
      <w:start w:val="1"/>
      <w:numFmt w:val="bullet"/>
      <w:lvlText w:val=""/>
      <w:lvlJc w:val="left"/>
    </w:lvl>
    <w:lvl w:ilvl="7" w:tplc="2F0057DE">
      <w:start w:val="1"/>
      <w:numFmt w:val="bullet"/>
      <w:lvlText w:val=""/>
      <w:lvlJc w:val="left"/>
    </w:lvl>
    <w:lvl w:ilvl="8" w:tplc="7AAA4BA0">
      <w:start w:val="1"/>
      <w:numFmt w:val="bullet"/>
      <w:lvlText w:val=""/>
      <w:lvlJc w:val="left"/>
    </w:lvl>
  </w:abstractNum>
  <w:abstractNum w:abstractNumId="1" w15:restartNumberingAfterBreak="0">
    <w:nsid w:val="00000002"/>
    <w:multiLevelType w:val="hybridMultilevel"/>
    <w:tmpl w:val="74B0DC50"/>
    <w:lvl w:ilvl="0" w:tplc="6792D85C">
      <w:start w:val="1"/>
      <w:numFmt w:val="bullet"/>
      <w:lvlText w:val="•"/>
      <w:lvlJc w:val="left"/>
    </w:lvl>
    <w:lvl w:ilvl="1" w:tplc="E0268EDC">
      <w:start w:val="1"/>
      <w:numFmt w:val="bullet"/>
      <w:lvlText w:val=""/>
      <w:lvlJc w:val="left"/>
    </w:lvl>
    <w:lvl w:ilvl="2" w:tplc="06309FEA">
      <w:start w:val="1"/>
      <w:numFmt w:val="bullet"/>
      <w:lvlText w:val=""/>
      <w:lvlJc w:val="left"/>
    </w:lvl>
    <w:lvl w:ilvl="3" w:tplc="5114CA38">
      <w:start w:val="1"/>
      <w:numFmt w:val="bullet"/>
      <w:lvlText w:val=""/>
      <w:lvlJc w:val="left"/>
    </w:lvl>
    <w:lvl w:ilvl="4" w:tplc="78524018">
      <w:start w:val="1"/>
      <w:numFmt w:val="bullet"/>
      <w:lvlText w:val=""/>
      <w:lvlJc w:val="left"/>
    </w:lvl>
    <w:lvl w:ilvl="5" w:tplc="57D4CF8A">
      <w:start w:val="1"/>
      <w:numFmt w:val="bullet"/>
      <w:lvlText w:val=""/>
      <w:lvlJc w:val="left"/>
    </w:lvl>
    <w:lvl w:ilvl="6" w:tplc="78A6F00E">
      <w:start w:val="1"/>
      <w:numFmt w:val="bullet"/>
      <w:lvlText w:val=""/>
      <w:lvlJc w:val="left"/>
    </w:lvl>
    <w:lvl w:ilvl="7" w:tplc="0B3AF382">
      <w:start w:val="1"/>
      <w:numFmt w:val="bullet"/>
      <w:lvlText w:val=""/>
      <w:lvlJc w:val="left"/>
    </w:lvl>
    <w:lvl w:ilvl="8" w:tplc="7C6840CC">
      <w:start w:val="1"/>
      <w:numFmt w:val="bullet"/>
      <w:lvlText w:val=""/>
      <w:lvlJc w:val="left"/>
    </w:lvl>
  </w:abstractNum>
  <w:abstractNum w:abstractNumId="2" w15:restartNumberingAfterBreak="0">
    <w:nsid w:val="00000003"/>
    <w:multiLevelType w:val="hybridMultilevel"/>
    <w:tmpl w:val="19495CFE"/>
    <w:lvl w:ilvl="0" w:tplc="6E0C3DDC">
      <w:start w:val="1"/>
      <w:numFmt w:val="bullet"/>
      <w:lvlText w:val="•"/>
      <w:lvlJc w:val="left"/>
    </w:lvl>
    <w:lvl w:ilvl="1" w:tplc="B17C9986">
      <w:start w:val="1"/>
      <w:numFmt w:val="bullet"/>
      <w:lvlText w:val=""/>
      <w:lvlJc w:val="left"/>
    </w:lvl>
    <w:lvl w:ilvl="2" w:tplc="11DA51BA">
      <w:start w:val="1"/>
      <w:numFmt w:val="bullet"/>
      <w:lvlText w:val=""/>
      <w:lvlJc w:val="left"/>
    </w:lvl>
    <w:lvl w:ilvl="3" w:tplc="DE1C63D4">
      <w:start w:val="1"/>
      <w:numFmt w:val="bullet"/>
      <w:lvlText w:val=""/>
      <w:lvlJc w:val="left"/>
    </w:lvl>
    <w:lvl w:ilvl="4" w:tplc="5CACC5E0">
      <w:start w:val="1"/>
      <w:numFmt w:val="bullet"/>
      <w:lvlText w:val=""/>
      <w:lvlJc w:val="left"/>
    </w:lvl>
    <w:lvl w:ilvl="5" w:tplc="B1C6AB3A">
      <w:start w:val="1"/>
      <w:numFmt w:val="bullet"/>
      <w:lvlText w:val=""/>
      <w:lvlJc w:val="left"/>
    </w:lvl>
    <w:lvl w:ilvl="6" w:tplc="4E7A0B2E">
      <w:start w:val="1"/>
      <w:numFmt w:val="bullet"/>
      <w:lvlText w:val=""/>
      <w:lvlJc w:val="left"/>
    </w:lvl>
    <w:lvl w:ilvl="7" w:tplc="306600B2">
      <w:start w:val="1"/>
      <w:numFmt w:val="bullet"/>
      <w:lvlText w:val=""/>
      <w:lvlJc w:val="left"/>
    </w:lvl>
    <w:lvl w:ilvl="8" w:tplc="EBA6BCA2">
      <w:start w:val="1"/>
      <w:numFmt w:val="bullet"/>
      <w:lvlText w:val=""/>
      <w:lvlJc w:val="left"/>
    </w:lvl>
  </w:abstractNum>
  <w:abstractNum w:abstractNumId="3" w15:restartNumberingAfterBreak="0">
    <w:nsid w:val="038A7B93"/>
    <w:multiLevelType w:val="hybridMultilevel"/>
    <w:tmpl w:val="1EB66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1F4330"/>
    <w:multiLevelType w:val="hybridMultilevel"/>
    <w:tmpl w:val="ADAAD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7C52B78"/>
    <w:multiLevelType w:val="hybridMultilevel"/>
    <w:tmpl w:val="9B209574"/>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num w:numId="1" w16cid:durableId="401562987">
    <w:abstractNumId w:val="0"/>
  </w:num>
  <w:num w:numId="2" w16cid:durableId="152793263">
    <w:abstractNumId w:val="1"/>
  </w:num>
  <w:num w:numId="3" w16cid:durableId="1020083090">
    <w:abstractNumId w:val="2"/>
  </w:num>
  <w:num w:numId="4" w16cid:durableId="424955487">
    <w:abstractNumId w:val="5"/>
  </w:num>
  <w:num w:numId="5" w16cid:durableId="1180509436">
    <w:abstractNumId w:val="3"/>
  </w:num>
  <w:num w:numId="6" w16cid:durableId="8002650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C1F"/>
    <w:rsid w:val="00085BFC"/>
    <w:rsid w:val="0033719F"/>
    <w:rsid w:val="004C5FF6"/>
    <w:rsid w:val="004F2595"/>
    <w:rsid w:val="0066523F"/>
    <w:rsid w:val="00702D7B"/>
    <w:rsid w:val="00746C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5B29DA"/>
  <w15:chartTrackingRefBased/>
  <w15:docId w15:val="{9C706D09-9651-4663-8510-50BDF115E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5BFC"/>
    <w:pPr>
      <w:tabs>
        <w:tab w:val="center" w:pos="4513"/>
        <w:tab w:val="right" w:pos="9026"/>
      </w:tabs>
    </w:pPr>
  </w:style>
  <w:style w:type="character" w:customStyle="1" w:styleId="HeaderChar">
    <w:name w:val="Header Char"/>
    <w:basedOn w:val="DefaultParagraphFont"/>
    <w:link w:val="Header"/>
    <w:uiPriority w:val="99"/>
    <w:rsid w:val="00085BFC"/>
  </w:style>
  <w:style w:type="paragraph" w:styleId="Footer">
    <w:name w:val="footer"/>
    <w:basedOn w:val="Normal"/>
    <w:link w:val="FooterChar"/>
    <w:uiPriority w:val="99"/>
    <w:unhideWhenUsed/>
    <w:rsid w:val="00085BFC"/>
    <w:pPr>
      <w:tabs>
        <w:tab w:val="center" w:pos="4513"/>
        <w:tab w:val="right" w:pos="9026"/>
      </w:tabs>
    </w:pPr>
  </w:style>
  <w:style w:type="character" w:customStyle="1" w:styleId="FooterChar">
    <w:name w:val="Footer Char"/>
    <w:basedOn w:val="DefaultParagraphFont"/>
    <w:link w:val="Footer"/>
    <w:uiPriority w:val="99"/>
    <w:rsid w:val="00085BFC"/>
  </w:style>
  <w:style w:type="paragraph" w:styleId="ListParagraph">
    <w:name w:val="List Paragraph"/>
    <w:basedOn w:val="Normal"/>
    <w:uiPriority w:val="34"/>
    <w:qFormat/>
    <w:rsid w:val="00085B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ebus.root.internal/dc/YouthJustice/General/Shared/Youth%20Justice%20Resources/Endnote%20Library%20PDFs/RNR/Seay%20et%20al_2014_Positive_Parenting.pdf" TargetMode="External"/><Relationship Id="rId18" Type="http://schemas.openxmlformats.org/officeDocument/2006/relationships/hyperlink" Target="https://www.cyjma.qld.gov.au/about-us/our-department/partners/child-family/our-community-partners/family-support" TargetMode="External"/><Relationship Id="rId3" Type="http://schemas.openxmlformats.org/officeDocument/2006/relationships/customXml" Target="../customXml/item3.xml"/><Relationship Id="rId21" Type="http://schemas.openxmlformats.org/officeDocument/2006/relationships/hyperlink" Target="https://www.familychildconnect.org.au/" TargetMode="External"/><Relationship Id="rId7" Type="http://schemas.openxmlformats.org/officeDocument/2006/relationships/settings" Target="settings.xml"/><Relationship Id="rId12" Type="http://schemas.openxmlformats.org/officeDocument/2006/relationships/hyperlink" Target="file://ebus.root.internal/dc/YouthJustice/General/Shared/Youth%20Justice%20Resources/Endnote%20Library%20PDFs/RNR/Dellar-et-al_2022_Validation-of-the-yls-cmi-on-an-australian-juvenile-offending-population.pdf" TargetMode="External"/><Relationship Id="rId17" Type="http://schemas.openxmlformats.org/officeDocument/2006/relationships/hyperlink" Target="https://icms.prod.edc.internal/FormsUI/YJ.CasePlan/AssessmentGuidelin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ebus.root.internal/dc/YouthJustice/General/Shared/Youth%20Justice%20Resources/Endnote%20Library%20PDFs/RNR/Seay%20et%20al_2014_Positive_Parenting.pdf" TargetMode="External"/><Relationship Id="rId20" Type="http://schemas.openxmlformats.org/officeDocument/2006/relationships/hyperlink" Target="https://www.familychildconnect.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ebus.root.internal/dc/YouthJustice/General/Shared/Youth%20Justice%20Resources/Endnote%20Library%20PDFs/RNR/Dellar-et-al_2022_Validation-of-the-yls-cmi-on-an-australian-juvenile-offending-population.pdf"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file://ebus.root.internal/dc/YouthJustice/General/Shared/Youth%20Justice%20Resources/Endnote%20Library%20PDFs/RNR/Malvaso-et-al_2018_Young-people-under-youth-justice-supervision-with-varying-child-protection-histories-an-analysis-of.pdf"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cyjma.qld.gov.au/about-us/our-department/partners/child-family/our-community-partners/family-sup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ebus.root.internal/dc/YouthJustice/General/Shared/Youth%20Justice%20Resources/Endnote%20Library%20PDFs/RNR/Malvaso-et-al_2018_Young-people-under-youth-justice-supervision-with-varying-child-protection-histories-an-analysis-of.pdf" TargetMode="External"/><Relationship Id="rId22" Type="http://schemas.openxmlformats.org/officeDocument/2006/relationships/hyperlink" Target="https://cyjmaintranet.root.internal/service-delivery/youth-justice/cultural-resources-youth-justice/family-led-decision-mak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a45734b7-3c4a-4003-87e0-54aa8a21508e" ContentTypeId="0x010100B152FE0A27636C4F8C85B65586C31A94" PreviousValue="false"/>
</file>

<file path=customXml/item3.xml><?xml version="1.0" encoding="utf-8"?>
<ct:contentTypeSchema xmlns:ct="http://schemas.microsoft.com/office/2006/metadata/contentType" xmlns:ma="http://schemas.microsoft.com/office/2006/metadata/properties/metaAttributes" ct:_="" ma:_="" ma:contentTypeName="Standard Document" ma:contentTypeID="0x010100B152FE0A27636C4F8C85B65586C31A9400CB38D5B1813CDB4E8402D37098013292" ma:contentTypeVersion="10" ma:contentTypeDescription="Create a new Standard document." ma:contentTypeScope="" ma:versionID="881fd66cf14b4d79131617f4fa37225b">
  <xsd:schema xmlns:xsd="http://www.w3.org/2001/XMLSchema" xmlns:xs="http://www.w3.org/2001/XMLSchema" xmlns:p="http://schemas.microsoft.com/office/2006/metadata/properties" xmlns:ns2="b7fcd359-19c8-40e3-b19f-91106bd6c442" targetNamespace="http://schemas.microsoft.com/office/2006/metadata/properties" ma:root="true" ma:fieldsID="3da4967299cd044280bfd9feef9e3864" ns2:_="">
    <xsd:import namespace="b7fcd359-19c8-40e3-b19f-91106bd6c442"/>
    <xsd:element name="properties">
      <xsd:complexType>
        <xsd:sequence>
          <xsd:element name="documentManagement">
            <xsd:complexType>
              <xsd:all>
                <xsd:element ref="ns2:DocumentStatus" minOccurs="0"/>
                <xsd:element ref="ns2:e931cd5c47b2478a988e0e7e19f8435a" minOccurs="0"/>
                <xsd:element ref="ns2:TaxCatchAll" minOccurs="0"/>
                <xsd:element ref="ns2:TaxCatchAllLabel" minOccurs="0"/>
                <xsd:element ref="ns2:l1ff8f55bb39424dbc58051f4cb1d39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fcd359-19c8-40e3-b19f-91106bd6c442" elementFormDefault="qualified">
    <xsd:import namespace="http://schemas.microsoft.com/office/2006/documentManagement/types"/>
    <xsd:import namespace="http://schemas.microsoft.com/office/infopath/2007/PartnerControls"/>
    <xsd:element name="DocumentStatus" ma:index="8" nillable="true" ma:displayName="Document Status" ma:default="Draft" ma:format="Dropdown" ma:internalName="DocumentStatus">
      <xsd:simpleType>
        <xsd:restriction base="dms:Choice">
          <xsd:enumeration value="Draft"/>
          <xsd:enumeration value="Final"/>
        </xsd:restriction>
      </xsd:simpleType>
    </xsd:element>
    <xsd:element name="e931cd5c47b2478a988e0e7e19f8435a" ma:index="9" ma:taxonomy="true" ma:internalName="e931cd5c47b2478a988e0e7e19f8435a" ma:taxonomyFieldName="TypeOfDocument" ma:displayName="Type of Document" ma:default="1;#General|0d2b879a-0e80-4be0-a339-283a7d647e61" ma:fieldId="{e931cd5c-47b2-478a-988e-0e7e19f8435a}" ma:sspId="a45734b7-3c4a-4003-87e0-54aa8a21508e" ma:termSetId="9c047475-83a2-4d14-a167-72b30f4eb89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de82989-046e-4fbf-aa98-28557063bd34}" ma:internalName="TaxCatchAll" ma:showField="CatchAllData" ma:web="84072ed4-f067-422f-ac3e-b0d647fbdc4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9de82989-046e-4fbf-aa98-28557063bd34}" ma:internalName="TaxCatchAllLabel" ma:readOnly="true" ma:showField="CatchAllDataLabel" ma:web="84072ed4-f067-422f-ac3e-b0d647fbdc4a">
      <xsd:complexType>
        <xsd:complexContent>
          <xsd:extension base="dms:MultiChoiceLookup">
            <xsd:sequence>
              <xsd:element name="Value" type="dms:Lookup" maxOccurs="unbounded" minOccurs="0" nillable="true"/>
            </xsd:sequence>
          </xsd:extension>
        </xsd:complexContent>
      </xsd:complexType>
    </xsd:element>
    <xsd:element name="l1ff8f55bb39424dbc58051f4cb1d39f" ma:index="13" ma:taxonomy="true" ma:internalName="l1ff8f55bb39424dbc58051f4cb1d39f" ma:taxonomyFieldName="RecordsCategory" ma:displayName="RecordsCategory" ma:default="2;#Youth Justice Services|bb81fddc-2000-41ca-80b6-ccc12b0080ef" ma:fieldId="{51ff8f55-bb39-424d-bc58-051f4cb1d39f}" ma:sspId="a45734b7-3c4a-4003-87e0-54aa8a21508e" ma:termSetId="8e0ee7d0-277d-4b21-9441-0e2cb59b30f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Status xmlns="b7fcd359-19c8-40e3-b19f-91106bd6c442">Draft</DocumentStatus>
    <TaxCatchAll xmlns="b7fcd359-19c8-40e3-b19f-91106bd6c442">
      <Value>2</Value>
      <Value>1</Value>
    </TaxCatchAll>
    <e931cd5c47b2478a988e0e7e19f8435a xmlns="b7fcd359-19c8-40e3-b19f-91106bd6c442">
      <Terms xmlns="http://schemas.microsoft.com/office/infopath/2007/PartnerControls">
        <TermInfo xmlns="http://schemas.microsoft.com/office/infopath/2007/PartnerControls">
          <TermName xmlns="http://schemas.microsoft.com/office/infopath/2007/PartnerControls">General</TermName>
          <TermId xmlns="http://schemas.microsoft.com/office/infopath/2007/PartnerControls">0d2b879a-0e80-4be0-a339-283a7d647e61</TermId>
        </TermInfo>
      </Terms>
    </e931cd5c47b2478a988e0e7e19f8435a>
    <l1ff8f55bb39424dbc58051f4cb1d39f xmlns="b7fcd359-19c8-40e3-b19f-91106bd6c442">
      <Terms xmlns="http://schemas.microsoft.com/office/infopath/2007/PartnerControls">
        <TermInfo xmlns="http://schemas.microsoft.com/office/infopath/2007/PartnerControls">
          <TermName xmlns="http://schemas.microsoft.com/office/infopath/2007/PartnerControls">Youth Justice Services</TermName>
          <TermId xmlns="http://schemas.microsoft.com/office/infopath/2007/PartnerControls">bb81fddc-2000-41ca-80b6-ccc12b0080ef</TermId>
        </TermInfo>
      </Terms>
    </l1ff8f55bb39424dbc58051f4cb1d39f>
  </documentManagement>
</p:properties>
</file>

<file path=customXml/itemProps1.xml><?xml version="1.0" encoding="utf-8"?>
<ds:datastoreItem xmlns:ds="http://schemas.openxmlformats.org/officeDocument/2006/customXml" ds:itemID="{2DF13824-C9C9-44BD-A8FA-F27F3955F031}">
  <ds:schemaRefs>
    <ds:schemaRef ds:uri="http://schemas.microsoft.com/sharepoint/v3/contenttype/forms"/>
  </ds:schemaRefs>
</ds:datastoreItem>
</file>

<file path=customXml/itemProps2.xml><?xml version="1.0" encoding="utf-8"?>
<ds:datastoreItem xmlns:ds="http://schemas.openxmlformats.org/officeDocument/2006/customXml" ds:itemID="{C5755BA8-89C4-4F54-B3A1-1ACFC9ECC34C}">
  <ds:schemaRefs>
    <ds:schemaRef ds:uri="Microsoft.SharePoint.Taxonomy.ContentTypeSync"/>
  </ds:schemaRefs>
</ds:datastoreItem>
</file>

<file path=customXml/itemProps3.xml><?xml version="1.0" encoding="utf-8"?>
<ds:datastoreItem xmlns:ds="http://schemas.openxmlformats.org/officeDocument/2006/customXml" ds:itemID="{AF9624AB-2FEA-472B-A936-E7E674EC2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fcd359-19c8-40e3-b19f-91106bd6c4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CF9F32-D7CB-4809-80F9-B5B5CA5B565A}">
  <ds:schemaRefs>
    <ds:schemaRef ds:uri="http://schemas.microsoft.com/office/2006/documentManagement/types"/>
    <ds:schemaRef ds:uri="http://schemas.microsoft.com/office/infopath/2007/PartnerControls"/>
    <ds:schemaRef ds:uri="http://purl.org/dc/elements/1.1/"/>
    <ds:schemaRef ds:uri="http://purl.org/dc/dcmitype/"/>
    <ds:schemaRef ds:uri="http://purl.org/dc/terms/"/>
    <ds:schemaRef ds:uri="http://www.w3.org/XML/1998/namespace"/>
    <ds:schemaRef ds:uri="http://schemas.microsoft.com/office/2006/metadata/properties"/>
    <ds:schemaRef ds:uri="http://schemas.openxmlformats.org/package/2006/metadata/core-properties"/>
    <ds:schemaRef ds:uri="b7fcd359-19c8-40e3-b19f-91106bd6c442"/>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834</Words>
  <Characters>6781</Characters>
  <Application>Microsoft Office Word</Application>
  <DocSecurity>0</DocSecurity>
  <Lines>56</Lines>
  <Paragraphs>15</Paragraphs>
  <ScaleCrop>false</ScaleCrop>
  <Company/>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R. Williams</dc:creator>
  <cp:keywords/>
  <cp:lastModifiedBy>Lara M Williams</cp:lastModifiedBy>
  <cp:revision>6</cp:revision>
  <cp:lastPrinted>2025-01-29T06:26:00Z</cp:lastPrinted>
  <dcterms:created xsi:type="dcterms:W3CDTF">2025-01-14T05:57:00Z</dcterms:created>
  <dcterms:modified xsi:type="dcterms:W3CDTF">2025-02-12T05:47:00Z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0x010100B152FE0A27636C4F8C85B65586C31A9400CB38D5B1813CDB4E8402D37098013292</vt:lpwstr>
  </property>
  <property fmtid="{D5CDD505-2E9C-101B-9397-08002B2CF9AE}" pid="3" name="TypeOfDocument">
    <vt:lpwstr>1;#General|0d2b879a-0e80-4be0-a339-283a7d647e61</vt:lpwstr>
  </property>
  <property fmtid="{D5CDD505-2E9C-101B-9397-08002B2CF9AE}" pid="4" name="RecordsCategory">
    <vt:lpwstr>2;#Youth Justice Services|bb81fddc-2000-41ca-80b6-ccc12b0080ef</vt:lpwstr>
  </property>
  <property fmtid="{D5CDD505-2E9C-101B-9397-08002B2CF9AE}" pid="5" name="MediaServiceImageTags">
    <vt:lpwstr/>
  </property>
  <property fmtid="{D5CDD505-2E9C-101B-9397-08002B2CF9AE}" pid="6" name="lcf76f155ced4ddcb4097134ff3c332f">
    <vt:lpwstr/>
  </property>
</Properties>
</file>