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0E8460" w14:textId="060CF492" w:rsidR="00555046" w:rsidRDefault="00555046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1DA40363" wp14:editId="6A1A17B9">
            <wp:simplePos x="0" y="0"/>
            <wp:positionH relativeFrom="page">
              <wp:posOffset>0</wp:posOffset>
            </wp:positionH>
            <wp:positionV relativeFrom="page">
              <wp:posOffset>1905</wp:posOffset>
            </wp:positionV>
            <wp:extent cx="7560310" cy="10690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95B92" w14:textId="77777777" w:rsidR="00555046" w:rsidRDefault="0055504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3AE440" w14:textId="77777777" w:rsidR="00555046" w:rsidRDefault="0055504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5360E3" w14:textId="77777777" w:rsidR="00555046" w:rsidRDefault="0055504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B8C50B" w14:textId="77777777" w:rsidR="00555046" w:rsidRDefault="00555046">
      <w:pPr>
        <w:spacing w:line="214" w:lineRule="exact"/>
        <w:rPr>
          <w:rFonts w:ascii="Times New Roman" w:eastAsia="Times New Roman" w:hAnsi="Times New Roman"/>
          <w:sz w:val="24"/>
        </w:rPr>
      </w:pPr>
    </w:p>
    <w:p w14:paraId="7B6C3C5D" w14:textId="77777777" w:rsidR="00555046" w:rsidRDefault="00555046">
      <w:pPr>
        <w:spacing w:line="0" w:lineRule="atLeast"/>
        <w:ind w:left="1"/>
        <w:rPr>
          <w:rFonts w:ascii="Arial" w:eastAsia="Arial" w:hAnsi="Arial"/>
          <w:b/>
          <w:color w:val="4B479D"/>
          <w:sz w:val="32"/>
        </w:rPr>
      </w:pPr>
      <w:r>
        <w:rPr>
          <w:rFonts w:ascii="Arial" w:eastAsia="Arial" w:hAnsi="Arial"/>
          <w:b/>
          <w:color w:val="4B479D"/>
          <w:sz w:val="32"/>
        </w:rPr>
        <w:t>YLS/CMI™2.0: Attitude/Orientation</w:t>
      </w:r>
    </w:p>
    <w:p w14:paraId="0254C848" w14:textId="77777777" w:rsidR="00555046" w:rsidRDefault="00555046">
      <w:pPr>
        <w:spacing w:line="168" w:lineRule="exact"/>
        <w:rPr>
          <w:rFonts w:ascii="Times New Roman" w:eastAsia="Times New Roman" w:hAnsi="Times New Roman"/>
          <w:sz w:val="24"/>
        </w:rPr>
      </w:pPr>
    </w:p>
    <w:p w14:paraId="09941573" w14:textId="77777777" w:rsidR="00555046" w:rsidRDefault="00555046">
      <w:pPr>
        <w:spacing w:line="262" w:lineRule="auto"/>
        <w:ind w:left="1" w:right="1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This brief aims to provide information for all Youth Justice staff about what works for young people when addressing assessed need in the Attitude/Orientation domain of the Youth Level of Service/Case Management Inv</w:t>
      </w:r>
      <w:r>
        <w:rPr>
          <w:rFonts w:ascii="Arial" w:eastAsia="Arial" w:hAnsi="Arial"/>
          <w:sz w:val="22"/>
        </w:rPr>
        <w:t>entory (YLS/CMI</w:t>
      </w:r>
      <w:r>
        <w:rPr>
          <w:rFonts w:ascii="Arial" w:eastAsia="Arial" w:hAnsi="Arial"/>
          <w:sz w:val="22"/>
        </w:rPr>
        <w:t>™</w:t>
      </w:r>
      <w:r>
        <w:rPr>
          <w:rFonts w:ascii="Arial" w:eastAsia="Arial" w:hAnsi="Arial"/>
          <w:sz w:val="22"/>
        </w:rPr>
        <w:t>) 2.0.</w:t>
      </w:r>
    </w:p>
    <w:p w14:paraId="1107A577" w14:textId="77777777" w:rsidR="00555046" w:rsidRDefault="00555046">
      <w:pPr>
        <w:spacing w:line="133" w:lineRule="exact"/>
        <w:rPr>
          <w:rFonts w:ascii="Times New Roman" w:eastAsia="Times New Roman" w:hAnsi="Times New Roman"/>
          <w:sz w:val="24"/>
        </w:rPr>
      </w:pPr>
    </w:p>
    <w:p w14:paraId="6D6371AD" w14:textId="77777777" w:rsidR="00555046" w:rsidRDefault="00555046">
      <w:pPr>
        <w:spacing w:line="0" w:lineRule="atLeast"/>
        <w:ind w:left="1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High need in Attitude/Orientation: What does this mean?</w:t>
      </w:r>
    </w:p>
    <w:p w14:paraId="1B0CF84B" w14:textId="77777777" w:rsidR="00555046" w:rsidRDefault="00555046">
      <w:pPr>
        <w:spacing w:line="85" w:lineRule="exact"/>
        <w:rPr>
          <w:rFonts w:ascii="Times New Roman" w:eastAsia="Times New Roman" w:hAnsi="Times New Roman"/>
          <w:sz w:val="24"/>
        </w:rPr>
      </w:pPr>
    </w:p>
    <w:p w14:paraId="58DE3196" w14:textId="6D1BF32F" w:rsidR="00555046" w:rsidRDefault="00555046" w:rsidP="00555046">
      <w:pPr>
        <w:spacing w:line="0" w:lineRule="atLeast"/>
        <w:ind w:left="1" w:right="1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Attitudes/Orientation is one of the</w:t>
      </w:r>
      <w:r>
        <w:rPr>
          <w:rFonts w:ascii="Arial" w:eastAsia="Arial" w:hAnsi="Arial"/>
          <w:color w:val="0070C0"/>
          <w:sz w:val="22"/>
        </w:rPr>
        <w:t xml:space="preserve"> </w:t>
      </w:r>
      <w:hyperlink r:id="rId6" w:history="1">
        <w:r>
          <w:rPr>
            <w:rFonts w:ascii="Arial" w:eastAsia="Arial" w:hAnsi="Arial"/>
            <w:b/>
            <w:color w:val="0070C0"/>
            <w:sz w:val="22"/>
            <w:u w:val="single"/>
          </w:rPr>
          <w:t>Big Four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 xml:space="preserve">predictors of reoffending and is also the domain young people have the most internal control over. Young people who have a </w:t>
      </w:r>
      <w:r>
        <w:rPr>
          <w:rFonts w:ascii="Arial" w:eastAsia="Arial" w:hAnsi="Arial"/>
          <w:sz w:val="22"/>
        </w:rPr>
        <w:t xml:space="preserve">high </w:t>
      </w:r>
      <w:r>
        <w:rPr>
          <w:rFonts w:ascii="Arial" w:eastAsia="Arial" w:hAnsi="Arial"/>
          <w:sz w:val="22"/>
        </w:rPr>
        <w:t>need in the Attitude/Orientation domain will often:</w:t>
      </w:r>
    </w:p>
    <w:p w14:paraId="5F211E08" w14:textId="77777777" w:rsidR="00555046" w:rsidRDefault="00555046">
      <w:pPr>
        <w:spacing w:line="138" w:lineRule="exact"/>
        <w:rPr>
          <w:rFonts w:ascii="Arial" w:eastAsia="Arial" w:hAnsi="Arial"/>
          <w:sz w:val="22"/>
        </w:rPr>
      </w:pPr>
    </w:p>
    <w:p w14:paraId="148A113E" w14:textId="77777777" w:rsidR="00555046" w:rsidRDefault="00555046" w:rsidP="00555046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Have attitudes that lead to criminal activity.</w:t>
      </w:r>
    </w:p>
    <w:p w14:paraId="0FC4466D" w14:textId="77777777" w:rsidR="00555046" w:rsidRDefault="00555046" w:rsidP="00555046">
      <w:pPr>
        <w:numPr>
          <w:ilvl w:val="0"/>
          <w:numId w:val="5"/>
        </w:numPr>
        <w:tabs>
          <w:tab w:val="left" w:pos="361"/>
        </w:tabs>
        <w:spacing w:line="237" w:lineRule="auto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Show hostility towards the justice system.</w:t>
      </w:r>
    </w:p>
    <w:p w14:paraId="77CE8156" w14:textId="77777777" w:rsidR="00555046" w:rsidRDefault="00555046" w:rsidP="00555046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Lack remorse/guilt about their offences/victims.</w:t>
      </w:r>
    </w:p>
    <w:p w14:paraId="4844B3DB" w14:textId="77777777" w:rsidR="00555046" w:rsidRDefault="00555046" w:rsidP="00555046">
      <w:pPr>
        <w:numPr>
          <w:ilvl w:val="0"/>
          <w:numId w:val="5"/>
        </w:numPr>
        <w:tabs>
          <w:tab w:val="left" w:pos="361"/>
        </w:tabs>
        <w:spacing w:line="237" w:lineRule="auto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Invalidate or reject non-criminal activities.</w:t>
      </w:r>
    </w:p>
    <w:p w14:paraId="0EB4BCE4" w14:textId="77777777" w:rsidR="00555046" w:rsidRDefault="00555046" w:rsidP="00555046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Reject prosocial s</w:t>
      </w:r>
      <w:r>
        <w:rPr>
          <w:rFonts w:ascii="Arial" w:eastAsia="Arial" w:hAnsi="Arial"/>
          <w:sz w:val="22"/>
        </w:rPr>
        <w:t>upport.</w:t>
      </w:r>
    </w:p>
    <w:p w14:paraId="46BF329F" w14:textId="77777777" w:rsidR="00555046" w:rsidRDefault="00555046" w:rsidP="00555046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Defy authority.</w:t>
      </w:r>
    </w:p>
    <w:p w14:paraId="3005D5A7" w14:textId="77777777" w:rsidR="00555046" w:rsidRDefault="00555046">
      <w:pPr>
        <w:spacing w:line="182" w:lineRule="exact"/>
        <w:rPr>
          <w:rFonts w:ascii="Times New Roman" w:eastAsia="Times New Roman" w:hAnsi="Times New Roman"/>
          <w:sz w:val="24"/>
        </w:rPr>
      </w:pPr>
    </w:p>
    <w:p w14:paraId="6AE243FA" w14:textId="77777777" w:rsidR="00555046" w:rsidRDefault="00555046">
      <w:pPr>
        <w:spacing w:line="0" w:lineRule="atLeast"/>
        <w:ind w:left="1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How to address high need in Attitude/Orientation?</w:t>
      </w:r>
    </w:p>
    <w:p w14:paraId="0556C5A2" w14:textId="77777777" w:rsidR="00555046" w:rsidRDefault="00555046">
      <w:pPr>
        <w:spacing w:line="108" w:lineRule="exact"/>
        <w:rPr>
          <w:rFonts w:ascii="Times New Roman" w:eastAsia="Times New Roman" w:hAnsi="Times New Roman"/>
          <w:sz w:val="24"/>
        </w:rPr>
      </w:pPr>
    </w:p>
    <w:p w14:paraId="6CE89C69" w14:textId="77777777" w:rsidR="00555046" w:rsidRDefault="00555046">
      <w:pPr>
        <w:spacing w:line="0" w:lineRule="atLeast"/>
        <w:ind w:left="1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CBT based programs can help young people to change their thinking and behaviour.</w:t>
      </w:r>
    </w:p>
    <w:p w14:paraId="32C549B4" w14:textId="77777777" w:rsidR="00555046" w:rsidRDefault="00555046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55A9450C" w14:textId="77777777" w:rsidR="00555046" w:rsidRDefault="00555046">
      <w:pPr>
        <w:spacing w:line="255" w:lineRule="auto"/>
        <w:ind w:left="1" w:right="60"/>
        <w:jc w:val="both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sz w:val="22"/>
        </w:rPr>
        <w:t xml:space="preserve">Since the 1980s, pro-criminal Attitudes/Orientations have been addressed through </w:t>
      </w:r>
      <w:hyperlink r:id="rId7" w:history="1">
        <w:r>
          <w:rPr>
            <w:rFonts w:ascii="Arial" w:eastAsia="Arial" w:hAnsi="Arial"/>
            <w:color w:val="0563C1"/>
            <w:sz w:val="22"/>
            <w:u w:val="single"/>
          </w:rPr>
          <w:t>Cognitive Behavioural Therapy (C</w:t>
        </w:r>
        <w:r>
          <w:rPr>
            <w:rFonts w:ascii="Arial" w:eastAsia="Arial" w:hAnsi="Arial"/>
            <w:color w:val="0563C1"/>
            <w:sz w:val="22"/>
            <w:u w:val="single"/>
          </w:rPr>
          <w:t>BT).</w:t>
        </w:r>
        <w:r>
          <w:rPr>
            <w:rFonts w:ascii="Arial" w:eastAsia="Arial" w:hAnsi="Arial"/>
            <w:color w:val="000000"/>
            <w:sz w:val="22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CBT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works because it targets pro-criminal attitudes</w:t>
      </w:r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r>
        <w:rPr>
          <w:rFonts w:ascii="Arial" w:eastAsia="Arial" w:hAnsi="Arial"/>
          <w:color w:val="000000"/>
          <w:sz w:val="22"/>
        </w:rPr>
        <w:t>that lead to offending. Its effectiveness has been demonstrated in adults, young people, males, females, and those with cognitive disorders. To be effective CBT programs should be:</w:t>
      </w:r>
    </w:p>
    <w:p w14:paraId="59CAC236" w14:textId="77777777" w:rsidR="00555046" w:rsidRDefault="00555046">
      <w:pPr>
        <w:spacing w:line="75" w:lineRule="exact"/>
        <w:rPr>
          <w:rFonts w:ascii="Times New Roman" w:eastAsia="Times New Roman" w:hAnsi="Times New Roman"/>
          <w:sz w:val="24"/>
        </w:rPr>
      </w:pPr>
    </w:p>
    <w:p w14:paraId="52897E30" w14:textId="77777777" w:rsidR="00555046" w:rsidRDefault="00555046" w:rsidP="00555046">
      <w:pPr>
        <w:numPr>
          <w:ilvl w:val="0"/>
          <w:numId w:val="6"/>
        </w:numPr>
        <w:tabs>
          <w:tab w:val="left" w:pos="361"/>
        </w:tabs>
        <w:spacing w:line="0" w:lineRule="atLeast"/>
        <w:ind w:left="361" w:hanging="361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Supported by</w:t>
      </w:r>
      <w:r>
        <w:rPr>
          <w:rFonts w:ascii="Arial" w:eastAsia="Arial" w:hAnsi="Arial"/>
          <w:b/>
          <w:color w:val="0563C1"/>
          <w:sz w:val="22"/>
        </w:rPr>
        <w:t xml:space="preserve"> </w:t>
      </w:r>
      <w:hyperlink r:id="rId8" w:history="1">
        <w:r>
          <w:rPr>
            <w:rFonts w:ascii="Arial" w:eastAsia="Arial" w:hAnsi="Arial"/>
            <w:b/>
            <w:color w:val="0563C1"/>
            <w:sz w:val="22"/>
            <w:u w:val="single"/>
          </w:rPr>
          <w:t>training and supervision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which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includes opportunities to embed new skills.</w:t>
      </w:r>
    </w:p>
    <w:p w14:paraId="7FBAD8D7" w14:textId="77777777" w:rsidR="00555046" w:rsidRDefault="00555046" w:rsidP="00555046">
      <w:pPr>
        <w:numPr>
          <w:ilvl w:val="0"/>
          <w:numId w:val="6"/>
        </w:numPr>
        <w:tabs>
          <w:tab w:val="left" w:pos="361"/>
        </w:tabs>
        <w:spacing w:line="239" w:lineRule="auto"/>
        <w:ind w:left="361" w:right="640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b/>
          <w:sz w:val="22"/>
        </w:rPr>
        <w:t>Delivered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in a way that upholds the integrity of the program where possible (e.g. ART</w:t>
      </w:r>
      <w:r>
        <w:rPr>
          <w:rFonts w:ascii="Arial" w:eastAsia="Arial" w:hAnsi="Arial"/>
          <w:sz w:val="22"/>
        </w:rPr>
        <w:t xml:space="preserve"> works best when delive</w:t>
      </w:r>
      <w:r>
        <w:rPr>
          <w:rFonts w:ascii="Arial" w:eastAsia="Arial" w:hAnsi="Arial"/>
          <w:sz w:val="22"/>
        </w:rPr>
        <w:t>red as a group program).</w:t>
      </w:r>
    </w:p>
    <w:p w14:paraId="3E1DB567" w14:textId="77777777" w:rsidR="00555046" w:rsidRDefault="00555046" w:rsidP="00555046">
      <w:pPr>
        <w:numPr>
          <w:ilvl w:val="0"/>
          <w:numId w:val="6"/>
        </w:numPr>
        <w:tabs>
          <w:tab w:val="left" w:pos="361"/>
        </w:tabs>
        <w:spacing w:line="0" w:lineRule="atLeast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b/>
          <w:sz w:val="22"/>
        </w:rPr>
        <w:t>Individualised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for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young people</w:t>
      </w:r>
      <w:r>
        <w:rPr>
          <w:rFonts w:ascii="Arial" w:eastAsia="Arial" w:hAnsi="Arial"/>
          <w:sz w:val="22"/>
        </w:rPr>
        <w:t>’s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needs (i.e. specific responsivity).</w:t>
      </w:r>
    </w:p>
    <w:p w14:paraId="14C50FA8" w14:textId="77777777" w:rsidR="00555046" w:rsidRDefault="00555046" w:rsidP="00555046">
      <w:pPr>
        <w:numPr>
          <w:ilvl w:val="0"/>
          <w:numId w:val="6"/>
        </w:numPr>
        <w:tabs>
          <w:tab w:val="left" w:pos="361"/>
        </w:tabs>
        <w:spacing w:line="0" w:lineRule="atLeast"/>
        <w:ind w:left="361" w:hanging="361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Able to teach new skills/cognitions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to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9" w:history="1">
        <w:r>
          <w:rPr>
            <w:rFonts w:ascii="Arial" w:eastAsia="Arial" w:hAnsi="Arial"/>
            <w:color w:val="0563C1"/>
            <w:sz w:val="22"/>
            <w:u w:val="single"/>
          </w:rPr>
          <w:t>replace less functional thinking pa</w:t>
        </w:r>
        <w:r>
          <w:rPr>
            <w:rFonts w:ascii="Arial" w:eastAsia="Arial" w:hAnsi="Arial"/>
            <w:color w:val="0563C1"/>
            <w:sz w:val="22"/>
            <w:u w:val="single"/>
          </w:rPr>
          <w:t>tterns</w:t>
        </w:r>
        <w:r>
          <w:rPr>
            <w:rFonts w:ascii="Arial" w:eastAsia="Arial" w:hAnsi="Arial"/>
            <w:sz w:val="22"/>
            <w:u w:val="single"/>
          </w:rPr>
          <w:t>.</w:t>
        </w:r>
      </w:hyperlink>
    </w:p>
    <w:p w14:paraId="66F64E56" w14:textId="77777777" w:rsidR="00555046" w:rsidRDefault="00555046">
      <w:pPr>
        <w:spacing w:line="186" w:lineRule="exact"/>
        <w:rPr>
          <w:rFonts w:ascii="Symbol" w:eastAsia="Symbol" w:hAnsi="Symbol"/>
          <w:sz w:val="22"/>
        </w:rPr>
      </w:pPr>
    </w:p>
    <w:p w14:paraId="12281CD3" w14:textId="77777777" w:rsidR="00555046" w:rsidRDefault="00555046">
      <w:pPr>
        <w:spacing w:line="0" w:lineRule="atLeast"/>
        <w:ind w:left="1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What else needs to be addressed to facilitate change in Attitudes/Orientation?</w:t>
      </w:r>
    </w:p>
    <w:p w14:paraId="27E68D7D" w14:textId="77777777" w:rsidR="00555046" w:rsidRDefault="00555046">
      <w:pPr>
        <w:spacing w:line="90" w:lineRule="exact"/>
        <w:rPr>
          <w:rFonts w:ascii="Symbol" w:eastAsia="Symbol" w:hAnsi="Symbol"/>
          <w:sz w:val="22"/>
        </w:rPr>
      </w:pPr>
    </w:p>
    <w:p w14:paraId="52CECF26" w14:textId="77777777" w:rsidR="00555046" w:rsidRDefault="00555046">
      <w:pPr>
        <w:spacing w:line="0" w:lineRule="atLeast"/>
        <w:ind w:left="1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Services can address causes of antisocial attitudes, specifically the </w:t>
      </w:r>
      <w:r>
        <w:rPr>
          <w:rFonts w:ascii="Arial" w:eastAsia="Arial" w:hAnsi="Arial"/>
          <w:b/>
          <w:i/>
          <w:sz w:val="22"/>
        </w:rPr>
        <w:t>normalised behaviours</w:t>
      </w:r>
      <w:r>
        <w:rPr>
          <w:rFonts w:ascii="Arial" w:eastAsia="Arial" w:hAnsi="Arial"/>
          <w:b/>
          <w:sz w:val="22"/>
        </w:rPr>
        <w:t>.</w:t>
      </w:r>
    </w:p>
    <w:p w14:paraId="62EDBD5E" w14:textId="77777777" w:rsidR="00555046" w:rsidRDefault="00555046">
      <w:pPr>
        <w:spacing w:line="54" w:lineRule="exact"/>
        <w:rPr>
          <w:rFonts w:ascii="Symbol" w:eastAsia="Symbol" w:hAnsi="Symbol"/>
          <w:sz w:val="22"/>
        </w:rPr>
      </w:pPr>
    </w:p>
    <w:p w14:paraId="5586B3D0" w14:textId="77777777" w:rsidR="00555046" w:rsidRDefault="00555046">
      <w:pPr>
        <w:spacing w:line="254" w:lineRule="auto"/>
        <w:ind w:left="1"/>
        <w:jc w:val="both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sz w:val="22"/>
        </w:rPr>
        <w:t>Young people surrounded by criminal behaviours are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0" w:history="1">
        <w:r>
          <w:rPr>
            <w:rFonts w:ascii="Arial" w:eastAsia="Arial" w:hAnsi="Arial"/>
            <w:color w:val="0563C1"/>
            <w:sz w:val="22"/>
            <w:u w:val="single"/>
          </w:rPr>
          <w:t>more likely to engage in them</w:t>
        </w:r>
        <w:r>
          <w:rPr>
            <w:rFonts w:ascii="Arial" w:eastAsia="Arial" w:hAnsi="Arial"/>
            <w:sz w:val="22"/>
            <w:u w:val="single"/>
          </w:rPr>
          <w:t>.</w:t>
        </w:r>
      </w:hyperlink>
      <w:r>
        <w:rPr>
          <w:rFonts w:ascii="Arial" w:eastAsia="Arial" w:hAnsi="Arial"/>
          <w:sz w:val="22"/>
        </w:rPr>
        <w:t xml:space="preserve"> Service responses are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1" w:history="1">
        <w:r>
          <w:rPr>
            <w:rFonts w:ascii="Arial" w:eastAsia="Arial" w:hAnsi="Arial"/>
            <w:color w:val="0563C1"/>
            <w:sz w:val="22"/>
            <w:u w:val="single"/>
          </w:rPr>
          <w:t>most likely to work well where family are involved and brought along on the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12" w:history="1">
        <w:r>
          <w:rPr>
            <w:rFonts w:ascii="Arial" w:eastAsia="Arial" w:hAnsi="Arial"/>
            <w:color w:val="0563C1"/>
            <w:sz w:val="22"/>
            <w:u w:val="single"/>
          </w:rPr>
          <w:t>journey</w:t>
        </w:r>
        <w:r>
          <w:rPr>
            <w:rFonts w:ascii="Arial" w:eastAsia="Arial" w:hAnsi="Arial"/>
            <w:color w:val="000000"/>
            <w:sz w:val="22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(e.g.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ICM,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3" w:history="1">
        <w:r>
          <w:rPr>
            <w:rFonts w:ascii="Arial" w:eastAsia="Arial" w:hAnsi="Arial"/>
            <w:color w:val="0563C1"/>
            <w:sz w:val="22"/>
          </w:rPr>
          <w:t>Family Led Decision Making</w:t>
        </w:r>
        <w:r>
          <w:rPr>
            <w:rFonts w:ascii="Arial" w:eastAsia="Arial" w:hAnsi="Arial"/>
            <w:color w:val="000000"/>
            <w:sz w:val="22"/>
          </w:rPr>
          <w:t>)</w:t>
        </w:r>
      </w:hyperlink>
      <w:r>
        <w:rPr>
          <w:rFonts w:ascii="Arial" w:eastAsia="Arial" w:hAnsi="Arial"/>
          <w:color w:val="0563C1"/>
          <w:sz w:val="22"/>
          <w:u w:val="single"/>
        </w:rPr>
        <w:t>.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Addressing these additional factors can enhance</w:t>
      </w:r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r>
        <w:rPr>
          <w:rFonts w:ascii="Arial" w:eastAsia="Arial" w:hAnsi="Arial"/>
          <w:color w:val="000000"/>
          <w:sz w:val="22"/>
        </w:rPr>
        <w:t xml:space="preserve">the young </w:t>
      </w:r>
      <w:r>
        <w:rPr>
          <w:rFonts w:ascii="Arial" w:eastAsia="Arial" w:hAnsi="Arial"/>
          <w:color w:val="000000"/>
          <w:sz w:val="22"/>
        </w:rPr>
        <w:t>person</w:t>
      </w:r>
      <w:r>
        <w:rPr>
          <w:rFonts w:ascii="Arial" w:eastAsia="Arial" w:hAnsi="Arial"/>
          <w:color w:val="000000"/>
          <w:sz w:val="22"/>
        </w:rPr>
        <w:t>’s ability to change their attitudes and behaviours</w:t>
      </w:r>
      <w:r>
        <w:rPr>
          <w:rFonts w:ascii="Arial" w:eastAsia="Arial" w:hAnsi="Arial"/>
          <w:color w:val="000000"/>
          <w:sz w:val="22"/>
        </w:rPr>
        <w:t>:</w:t>
      </w:r>
    </w:p>
    <w:p w14:paraId="2BAD0549" w14:textId="77777777" w:rsidR="00555046" w:rsidRDefault="00555046">
      <w:pPr>
        <w:spacing w:line="76" w:lineRule="exact"/>
        <w:rPr>
          <w:rFonts w:ascii="Arial" w:eastAsia="Arial" w:hAnsi="Arial"/>
          <w:sz w:val="22"/>
        </w:rPr>
      </w:pPr>
    </w:p>
    <w:p w14:paraId="27B08961" w14:textId="77777777" w:rsidR="00555046" w:rsidRDefault="00555046" w:rsidP="00555046">
      <w:pPr>
        <w:numPr>
          <w:ilvl w:val="0"/>
          <w:numId w:val="7"/>
        </w:numPr>
        <w:tabs>
          <w:tab w:val="left" w:pos="361"/>
        </w:tabs>
        <w:spacing w:line="0" w:lineRule="atLeast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Support for the family to provide a prosocial environment.</w:t>
      </w:r>
    </w:p>
    <w:p w14:paraId="3A930922" w14:textId="77777777" w:rsidR="00555046" w:rsidRDefault="00555046" w:rsidP="00555046">
      <w:pPr>
        <w:numPr>
          <w:ilvl w:val="0"/>
          <w:numId w:val="7"/>
        </w:numPr>
        <w:tabs>
          <w:tab w:val="left" w:pos="361"/>
        </w:tabs>
        <w:spacing w:line="237" w:lineRule="auto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 xml:space="preserve">Influence of the </w:t>
      </w:r>
      <w:r>
        <w:rPr>
          <w:rFonts w:ascii="Arial" w:eastAsia="Arial" w:hAnsi="Arial"/>
          <w:sz w:val="22"/>
        </w:rPr>
        <w:t>young person</w:t>
      </w:r>
      <w:r>
        <w:rPr>
          <w:rFonts w:ascii="Arial" w:eastAsia="Arial" w:hAnsi="Arial"/>
          <w:sz w:val="22"/>
        </w:rPr>
        <w:t>’s</w:t>
      </w:r>
      <w:r>
        <w:rPr>
          <w:rFonts w:ascii="Arial" w:eastAsia="Arial" w:hAnsi="Arial"/>
          <w:sz w:val="22"/>
        </w:rPr>
        <w:t xml:space="preserve"> cultural e</w:t>
      </w:r>
      <w:r>
        <w:rPr>
          <w:rFonts w:ascii="Arial" w:eastAsia="Arial" w:hAnsi="Arial"/>
          <w:sz w:val="22"/>
        </w:rPr>
        <w:t>cosystem.</w:t>
      </w:r>
    </w:p>
    <w:p w14:paraId="35D22E5A" w14:textId="77777777" w:rsidR="00555046" w:rsidRDefault="00555046" w:rsidP="00555046">
      <w:pPr>
        <w:numPr>
          <w:ilvl w:val="0"/>
          <w:numId w:val="7"/>
        </w:numPr>
        <w:tabs>
          <w:tab w:val="left" w:pos="361"/>
        </w:tabs>
        <w:spacing w:line="0" w:lineRule="atLeast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Presence of prosocial vs pro-criminal associates.</w:t>
      </w:r>
    </w:p>
    <w:p w14:paraId="5B48F3BB" w14:textId="77777777" w:rsidR="00555046" w:rsidRDefault="00555046" w:rsidP="00555046">
      <w:pPr>
        <w:numPr>
          <w:ilvl w:val="0"/>
          <w:numId w:val="7"/>
        </w:numPr>
        <w:tabs>
          <w:tab w:val="left" w:pos="361"/>
        </w:tabs>
        <w:spacing w:line="0" w:lineRule="atLeast"/>
        <w:ind w:left="361" w:hanging="361"/>
        <w:rPr>
          <w:rFonts w:ascii="Arial" w:eastAsia="Arial" w:hAnsi="Arial"/>
          <w:color w:val="0563C1"/>
          <w:sz w:val="22"/>
          <w:u w:val="single"/>
        </w:rPr>
      </w:pPr>
      <w:hyperlink r:id="rId14" w:history="1">
        <w:r>
          <w:rPr>
            <w:rFonts w:ascii="Arial" w:eastAsia="Arial" w:hAnsi="Arial"/>
            <w:color w:val="0563C1"/>
            <w:sz w:val="22"/>
            <w:u w:val="single"/>
          </w:rPr>
          <w:t>Identifying and addressing criminogenic thinking patterns</w:t>
        </w:r>
      </w:hyperlink>
    </w:p>
    <w:p w14:paraId="18BB4040" w14:textId="77777777" w:rsidR="00555046" w:rsidRDefault="00555046" w:rsidP="00555046">
      <w:pPr>
        <w:numPr>
          <w:ilvl w:val="0"/>
          <w:numId w:val="7"/>
        </w:numPr>
        <w:tabs>
          <w:tab w:val="left" w:pos="361"/>
        </w:tabs>
        <w:spacing w:line="237" w:lineRule="auto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Involvement and ongoing commitment in prosocial Leisure/Recreational activities.</w:t>
      </w:r>
    </w:p>
    <w:p w14:paraId="629C9FA1" w14:textId="77777777" w:rsidR="00555046" w:rsidRDefault="00555046" w:rsidP="00555046">
      <w:pPr>
        <w:numPr>
          <w:ilvl w:val="0"/>
          <w:numId w:val="7"/>
        </w:numPr>
        <w:tabs>
          <w:tab w:val="left" w:pos="361"/>
        </w:tabs>
        <w:spacing w:line="267" w:lineRule="auto"/>
        <w:ind w:left="361" w:hanging="36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For Aboriginal and Torres Strait Islander young people, understa</w:t>
      </w:r>
      <w:r>
        <w:rPr>
          <w:rFonts w:ascii="Arial" w:eastAsia="Arial" w:hAnsi="Arial"/>
          <w:sz w:val="22"/>
        </w:rPr>
        <w:t>nding cultural identity can also support change.</w:t>
      </w:r>
    </w:p>
    <w:p w14:paraId="2DA4CF29" w14:textId="77777777" w:rsidR="00555046" w:rsidRDefault="00555046">
      <w:pPr>
        <w:tabs>
          <w:tab w:val="left" w:pos="361"/>
        </w:tabs>
        <w:spacing w:line="267" w:lineRule="auto"/>
        <w:ind w:left="361" w:hanging="361"/>
        <w:rPr>
          <w:rFonts w:ascii="Symbol" w:eastAsia="Symbol" w:hAnsi="Symbol"/>
          <w:sz w:val="22"/>
        </w:rPr>
        <w:sectPr w:rsidR="00000000">
          <w:pgSz w:w="11900" w:h="16838"/>
          <w:pgMar w:top="1440" w:right="1246" w:bottom="1440" w:left="1019" w:header="0" w:footer="0" w:gutter="0"/>
          <w:cols w:space="0" w:equalWidth="0">
            <w:col w:w="9641"/>
          </w:cols>
          <w:docGrid w:linePitch="360"/>
        </w:sectPr>
      </w:pPr>
    </w:p>
    <w:p w14:paraId="26AC3269" w14:textId="5D122347" w:rsidR="00555046" w:rsidRDefault="00555046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Symbol" w:eastAsia="Symbol" w:hAnsi="Symbol"/>
          <w:noProof/>
          <w:sz w:val="22"/>
        </w:rPr>
        <w:lastRenderedPageBreak/>
        <w:drawing>
          <wp:anchor distT="0" distB="0" distL="114300" distR="114300" simplePos="0" relativeHeight="251658240" behindDoc="1" locked="0" layoutInCell="1" allowOverlap="1" wp14:anchorId="3822A982" wp14:editId="2165E515">
            <wp:simplePos x="0" y="0"/>
            <wp:positionH relativeFrom="page">
              <wp:posOffset>3810</wp:posOffset>
            </wp:positionH>
            <wp:positionV relativeFrom="page">
              <wp:posOffset>0</wp:posOffset>
            </wp:positionV>
            <wp:extent cx="7553325" cy="10674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6A9CE" w14:textId="77777777" w:rsidR="00555046" w:rsidRDefault="00555046">
      <w:pPr>
        <w:spacing w:line="200" w:lineRule="exact"/>
        <w:rPr>
          <w:rFonts w:ascii="Times New Roman" w:eastAsia="Times New Roman" w:hAnsi="Times New Roman"/>
        </w:rPr>
      </w:pPr>
    </w:p>
    <w:p w14:paraId="7B7D1E7F" w14:textId="77777777" w:rsidR="00555046" w:rsidRDefault="00555046">
      <w:pPr>
        <w:spacing w:line="200" w:lineRule="exact"/>
        <w:rPr>
          <w:rFonts w:ascii="Times New Roman" w:eastAsia="Times New Roman" w:hAnsi="Times New Roman"/>
        </w:rPr>
      </w:pPr>
    </w:p>
    <w:p w14:paraId="0A07E61A" w14:textId="77777777" w:rsidR="00555046" w:rsidRDefault="00555046">
      <w:pPr>
        <w:spacing w:line="200" w:lineRule="exact"/>
        <w:rPr>
          <w:rFonts w:ascii="Times New Roman" w:eastAsia="Times New Roman" w:hAnsi="Times New Roman"/>
        </w:rPr>
      </w:pPr>
    </w:p>
    <w:p w14:paraId="6C131F93" w14:textId="77777777" w:rsidR="00555046" w:rsidRDefault="00555046">
      <w:pPr>
        <w:spacing w:line="246" w:lineRule="exact"/>
        <w:rPr>
          <w:rFonts w:ascii="Times New Roman" w:eastAsia="Times New Roman" w:hAnsi="Times New Roman"/>
        </w:rPr>
      </w:pPr>
    </w:p>
    <w:p w14:paraId="34AF4A15" w14:textId="77777777" w:rsidR="00555046" w:rsidRDefault="00555046">
      <w:pPr>
        <w:spacing w:line="0" w:lineRule="atLeast"/>
        <w:ind w:left="20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What if a young person won</w:t>
      </w:r>
      <w:r>
        <w:rPr>
          <w:rFonts w:ascii="Arial" w:eastAsia="Arial" w:hAnsi="Arial"/>
          <w:b/>
          <w:color w:val="4B479D"/>
          <w:sz w:val="24"/>
        </w:rPr>
        <w:t>’t engage in a change</w:t>
      </w:r>
      <w:r>
        <w:rPr>
          <w:rFonts w:ascii="Arial" w:eastAsia="Arial" w:hAnsi="Arial"/>
          <w:b/>
          <w:color w:val="4B479D"/>
          <w:sz w:val="24"/>
        </w:rPr>
        <w:t>-oriented program?</w:t>
      </w:r>
    </w:p>
    <w:p w14:paraId="43B9CEE3" w14:textId="77777777" w:rsidR="00555046" w:rsidRDefault="00555046">
      <w:pPr>
        <w:spacing w:line="141" w:lineRule="exact"/>
        <w:rPr>
          <w:rFonts w:ascii="Times New Roman" w:eastAsia="Times New Roman" w:hAnsi="Times New Roman"/>
        </w:rPr>
      </w:pPr>
    </w:p>
    <w:p w14:paraId="4A42AA57" w14:textId="77777777" w:rsidR="00555046" w:rsidRDefault="00555046">
      <w:pPr>
        <w:spacing w:line="236" w:lineRule="auto"/>
        <w:ind w:left="2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Help young people engage by enhancing internal motivation and moving them along the readiness continuum.</w:t>
      </w:r>
    </w:p>
    <w:p w14:paraId="7A8D9734" w14:textId="77777777" w:rsidR="00555046" w:rsidRDefault="00555046">
      <w:pPr>
        <w:spacing w:line="132" w:lineRule="exact"/>
        <w:rPr>
          <w:rFonts w:ascii="Times New Roman" w:eastAsia="Times New Roman" w:hAnsi="Times New Roman"/>
        </w:rPr>
      </w:pPr>
    </w:p>
    <w:p w14:paraId="24EEB0A9" w14:textId="77777777" w:rsidR="00555046" w:rsidRDefault="00555046">
      <w:pPr>
        <w:spacing w:line="245" w:lineRule="auto"/>
        <w:jc w:val="both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sz w:val="22"/>
        </w:rPr>
        <w:t>For best outcomes, young pe</w:t>
      </w:r>
      <w:r>
        <w:rPr>
          <w:rFonts w:ascii="Arial" w:eastAsia="Arial" w:hAnsi="Arial"/>
          <w:sz w:val="22"/>
        </w:rPr>
        <w:t>ople should be motivated to engage in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6" w:history="1">
        <w:r>
          <w:rPr>
            <w:rFonts w:ascii="Arial" w:eastAsia="Arial" w:hAnsi="Arial"/>
            <w:color w:val="0563C1"/>
            <w:sz w:val="22"/>
            <w:u w:val="single"/>
          </w:rPr>
          <w:t>change-oriented programs</w:t>
        </w:r>
        <w:r>
          <w:rPr>
            <w:rFonts w:ascii="Arial" w:eastAsia="Arial" w:hAnsi="Arial"/>
            <w:b/>
            <w:sz w:val="22"/>
            <w:u w:val="single"/>
          </w:rPr>
          <w:t>,</w:t>
        </w:r>
      </w:hyperlink>
      <w:r>
        <w:rPr>
          <w:rFonts w:ascii="Arial" w:eastAsia="Arial" w:hAnsi="Arial"/>
          <w:sz w:val="22"/>
        </w:rPr>
        <w:t xml:space="preserve"> which can prove difficult when their attitudes are what</w:t>
      </w:r>
      <w:r>
        <w:rPr>
          <w:rFonts w:ascii="Arial" w:eastAsia="Arial" w:hAnsi="Arial"/>
          <w:sz w:val="22"/>
        </w:rPr>
        <w:t xml:space="preserve">’s being addressed. When planned engagement strategies have been tried, revised/retried, and are still not working, Youth Justice has </w:t>
      </w:r>
      <w:hyperlink r:id="rId17" w:history="1">
        <w:r>
          <w:rPr>
            <w:rFonts w:ascii="Arial" w:eastAsia="Arial" w:hAnsi="Arial"/>
            <w:color w:val="0563C1"/>
            <w:sz w:val="22"/>
            <w:u w:val="single"/>
          </w:rPr>
          <w:t>statutory authority</w:t>
        </w:r>
        <w:r>
          <w:rPr>
            <w:rFonts w:ascii="Arial" w:eastAsia="Arial" w:hAnsi="Arial"/>
            <w:color w:val="000000"/>
            <w:sz w:val="22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to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direct supervised young people to engage in programs and services that are</w:t>
      </w:r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r>
        <w:rPr>
          <w:rFonts w:ascii="Arial" w:eastAsia="Arial" w:hAnsi="Arial"/>
          <w:color w:val="000000"/>
          <w:sz w:val="22"/>
        </w:rPr>
        <w:t>likely to reduce their offe</w:t>
      </w:r>
      <w:r>
        <w:rPr>
          <w:rFonts w:ascii="Arial" w:eastAsia="Arial" w:hAnsi="Arial"/>
          <w:color w:val="000000"/>
          <w:sz w:val="22"/>
        </w:rPr>
        <w:t xml:space="preserve">nding. While </w:t>
      </w:r>
      <w:r>
        <w:rPr>
          <w:rFonts w:ascii="Arial" w:eastAsia="Arial" w:hAnsi="Arial"/>
          <w:i/>
          <w:color w:val="000000"/>
          <w:sz w:val="22"/>
        </w:rPr>
        <w:t>voluntary engagement</w:t>
      </w:r>
      <w:r>
        <w:rPr>
          <w:rFonts w:ascii="Arial" w:eastAsia="Arial" w:hAnsi="Arial"/>
          <w:color w:val="000000"/>
          <w:sz w:val="22"/>
        </w:rPr>
        <w:t xml:space="preserve"> is preferred, evidence has demonstrated that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8" w:history="1">
        <w:r>
          <w:rPr>
            <w:rFonts w:ascii="Arial" w:eastAsia="Arial" w:hAnsi="Arial"/>
            <w:i/>
            <w:color w:val="0563C1"/>
            <w:sz w:val="22"/>
            <w:u w:val="single"/>
          </w:rPr>
          <w:t>non-voluntary engagement</w:t>
        </w:r>
        <w:r>
          <w:rPr>
            <w:rFonts w:ascii="Arial" w:eastAsia="Arial" w:hAnsi="Arial"/>
            <w:color w:val="000000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can still deliver effective results. Understanding the stages of change and using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9" w:history="1">
        <w:r>
          <w:rPr>
            <w:rFonts w:ascii="Arial" w:eastAsia="Arial" w:hAnsi="Arial"/>
            <w:color w:val="0563C1"/>
            <w:sz w:val="22"/>
            <w:u w:val="single"/>
          </w:rPr>
          <w:t>Motivational Interviewing</w:t>
        </w:r>
        <w:r>
          <w:rPr>
            <w:rFonts w:ascii="Arial" w:eastAsia="Arial" w:hAnsi="Arial"/>
            <w:color w:val="000000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can support young people to be ready to engage in change oriented programs and services (refer to Engagement,</w:t>
      </w:r>
      <w:r>
        <w:rPr>
          <w:rFonts w:ascii="Arial" w:eastAsia="Arial" w:hAnsi="Arial"/>
          <w:color w:val="000000"/>
          <w:sz w:val="22"/>
        </w:rPr>
        <w:t xml:space="preserve"> Readiness and Motivation Service Response Guide).</w:t>
      </w:r>
    </w:p>
    <w:p w14:paraId="73FC0627" w14:textId="77777777" w:rsidR="00555046" w:rsidRDefault="00555046">
      <w:pPr>
        <w:spacing w:line="132" w:lineRule="exact"/>
        <w:rPr>
          <w:rFonts w:ascii="Arial" w:eastAsia="Arial" w:hAnsi="Arial"/>
          <w:color w:val="0563C1"/>
          <w:sz w:val="22"/>
          <w:u w:val="single"/>
        </w:rPr>
      </w:pPr>
    </w:p>
    <w:p w14:paraId="2685004E" w14:textId="77777777" w:rsidR="00555046" w:rsidRDefault="00555046">
      <w:pPr>
        <w:spacing w:line="0" w:lineRule="atLeast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What core programs address high Attitude/Orientation need?</w:t>
      </w:r>
    </w:p>
    <w:p w14:paraId="576966CF" w14:textId="77777777" w:rsidR="00555046" w:rsidRDefault="00555046">
      <w:pPr>
        <w:spacing w:line="113" w:lineRule="exact"/>
        <w:rPr>
          <w:rFonts w:ascii="Arial" w:eastAsia="Arial" w:hAnsi="Arial"/>
          <w:color w:val="0563C1"/>
          <w:sz w:val="22"/>
          <w:u w:val="single"/>
        </w:rPr>
      </w:pPr>
    </w:p>
    <w:p w14:paraId="0199EF11" w14:textId="77777777" w:rsidR="00555046" w:rsidRDefault="00555046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Youth Justice core programs that address high Attitude/Orientation needs and are designed using a</w:t>
      </w:r>
    </w:p>
    <w:p w14:paraId="097506D1" w14:textId="77777777" w:rsidR="00555046" w:rsidRDefault="00555046">
      <w:pPr>
        <w:spacing w:line="11" w:lineRule="exact"/>
        <w:rPr>
          <w:rFonts w:ascii="Arial" w:eastAsia="Arial" w:hAnsi="Arial"/>
          <w:color w:val="0563C1"/>
          <w:sz w:val="22"/>
          <w:u w:val="single"/>
        </w:rPr>
      </w:pPr>
    </w:p>
    <w:p w14:paraId="699336C6" w14:textId="77777777" w:rsidR="00555046" w:rsidRDefault="00555046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CBT basis include:</w:t>
      </w:r>
    </w:p>
    <w:p w14:paraId="4FA92DC5" w14:textId="77777777" w:rsidR="00555046" w:rsidRDefault="00555046">
      <w:pPr>
        <w:spacing w:line="136" w:lineRule="exact"/>
        <w:rPr>
          <w:rFonts w:ascii="Arial" w:eastAsia="Arial" w:hAnsi="Arial"/>
          <w:color w:val="0563C1"/>
          <w:sz w:val="22"/>
          <w:u w:val="single"/>
        </w:rPr>
      </w:pPr>
    </w:p>
    <w:p w14:paraId="284DCD03" w14:textId="77777777" w:rsidR="00555046" w:rsidRDefault="00555046" w:rsidP="00555046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53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Changing Habits and Reach</w:t>
      </w:r>
      <w:r>
        <w:rPr>
          <w:rFonts w:ascii="Arial" w:eastAsia="Arial" w:hAnsi="Arial"/>
          <w:sz w:val="22"/>
        </w:rPr>
        <w:t>ing Targets (CHART)</w:t>
      </w:r>
    </w:p>
    <w:p w14:paraId="4BBEBBE3" w14:textId="77777777" w:rsidR="00555046" w:rsidRDefault="00555046" w:rsidP="00555046">
      <w:pPr>
        <w:numPr>
          <w:ilvl w:val="0"/>
          <w:numId w:val="8"/>
        </w:numPr>
        <w:tabs>
          <w:tab w:val="left" w:pos="360"/>
        </w:tabs>
        <w:spacing w:line="237" w:lineRule="auto"/>
        <w:ind w:left="360" w:hanging="353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Re-thinking Our Attitudes towards Driving (ROAD)</w:t>
      </w:r>
    </w:p>
    <w:p w14:paraId="6F3ADE76" w14:textId="77777777" w:rsidR="00555046" w:rsidRDefault="00555046" w:rsidP="00555046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53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Young, Black and Proud (YBP)</w:t>
      </w:r>
    </w:p>
    <w:p w14:paraId="40753D64" w14:textId="77777777" w:rsidR="00555046" w:rsidRDefault="00555046" w:rsidP="00555046">
      <w:pPr>
        <w:numPr>
          <w:ilvl w:val="0"/>
          <w:numId w:val="8"/>
        </w:numPr>
        <w:tabs>
          <w:tab w:val="left" w:pos="360"/>
        </w:tabs>
        <w:spacing w:line="237" w:lineRule="auto"/>
        <w:ind w:left="360" w:hanging="353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Black Chicks Talking (BCT)</w:t>
      </w:r>
    </w:p>
    <w:p w14:paraId="6CC10E27" w14:textId="77777777" w:rsidR="00555046" w:rsidRDefault="00555046" w:rsidP="00555046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53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Aggression Replacement Training (ART)</w:t>
      </w:r>
    </w:p>
    <w:p w14:paraId="4548CC6E" w14:textId="77777777" w:rsidR="00555046" w:rsidRDefault="00555046" w:rsidP="00555046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53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Transition 2 Success (T2S)</w:t>
      </w:r>
    </w:p>
    <w:p w14:paraId="14D75EEC" w14:textId="77777777" w:rsidR="00555046" w:rsidRDefault="00555046" w:rsidP="00555046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53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Intensive Case Management (ICM)</w:t>
      </w:r>
    </w:p>
    <w:p w14:paraId="256137BD" w14:textId="77777777" w:rsidR="00555046" w:rsidRDefault="00555046" w:rsidP="00555046">
      <w:pPr>
        <w:numPr>
          <w:ilvl w:val="0"/>
          <w:numId w:val="8"/>
        </w:numPr>
        <w:tabs>
          <w:tab w:val="left" w:pos="360"/>
        </w:tabs>
        <w:spacing w:line="0" w:lineRule="atLeast"/>
        <w:ind w:left="360" w:hanging="353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Girls… Moving On (GMO)</w:t>
      </w:r>
    </w:p>
    <w:sectPr w:rsidR="00000000">
      <w:pgSz w:w="11900" w:h="16838"/>
      <w:pgMar w:top="1440" w:right="1126" w:bottom="1440" w:left="1120" w:header="0" w:footer="0" w:gutter="0"/>
      <w:cols w:space="0" w:equalWidth="0">
        <w:col w:w="9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>
      <w:start w:val="1"/>
      <w:numFmt w:val="bullet"/>
      <w:lvlText w:val="•"/>
      <w:lvlJc w:val="left"/>
    </w:lvl>
    <w:lvl w:ilvl="1">
      <w:start w:val="1"/>
      <w:numFmt w:val="bullet"/>
      <w:lvlText w:val="a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E185311"/>
    <w:multiLevelType w:val="hybridMultilevel"/>
    <w:tmpl w:val="B4F83D6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a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2CC07F0B"/>
    <w:multiLevelType w:val="hybridMultilevel"/>
    <w:tmpl w:val="63AC3C1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2D7E701D"/>
    <w:multiLevelType w:val="hybridMultilevel"/>
    <w:tmpl w:val="A60A48E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BD7738A"/>
    <w:multiLevelType w:val="hybridMultilevel"/>
    <w:tmpl w:val="B4689786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8616019">
    <w:abstractNumId w:val="0"/>
  </w:num>
  <w:num w:numId="2" w16cid:durableId="1642805255">
    <w:abstractNumId w:val="1"/>
  </w:num>
  <w:num w:numId="3" w16cid:durableId="436028249">
    <w:abstractNumId w:val="2"/>
  </w:num>
  <w:num w:numId="4" w16cid:durableId="1665089701">
    <w:abstractNumId w:val="3"/>
  </w:num>
  <w:num w:numId="5" w16cid:durableId="97215987">
    <w:abstractNumId w:val="4"/>
  </w:num>
  <w:num w:numId="6" w16cid:durableId="922372189">
    <w:abstractNumId w:val="7"/>
  </w:num>
  <w:num w:numId="7" w16cid:durableId="482477096">
    <w:abstractNumId w:val="5"/>
  </w:num>
  <w:num w:numId="8" w16cid:durableId="167511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46"/>
    <w:rsid w:val="0055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0EFF5F"/>
  <w15:chartTrackingRefBased/>
  <w15:docId w15:val="{941C587D-DF72-4343-B55C-D38D6A32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jma.cls.janisoncloud.com/pages/yj-abc-portal_home" TargetMode="External"/><Relationship Id="rId13" Type="http://schemas.openxmlformats.org/officeDocument/2006/relationships/hyperlink" Target="https://cyjmaintranet.root.internal/service-delivery/youth-justice/cultural-resources-youth-justice/family-led-decision-making" TargetMode="External"/><Relationship Id="rId18" Type="http://schemas.openxmlformats.org/officeDocument/2006/relationships/hyperlink" Target="file://///ebus.root.internal/dc/YouthJustice/General/Shared/Youth%20Justice%20Resources/Endnote%20Library%20PDFs/Trotter,%20et%20al_2020_Strategies%20for%20Work%20with%20Involuntary%20Clients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//ebus.root.internal/dc/YouthJustice/General/Shared/Youth%20Justice%20Resources/Endnote%20Library%20PDFs/Programs/Feindler_2014_CBT%20with%20Juvenile%20Offenders-a%20review%20and%20recommendations%20for%20practice.pdf" TargetMode="External"/><Relationship Id="rId12" Type="http://schemas.openxmlformats.org/officeDocument/2006/relationships/hyperlink" Target="file://///ebus.root.internal/dc/YouthJustice/General/Shared/Youth%20Justice%20Resources/Endnote%20Library%20PDFs/Programs/Feindler_2014_CBT%20with%20Juvenile%20Offenders-a%20review%20and%20recommendations%20for%20practice.pdf" TargetMode="External"/><Relationship Id="rId17" Type="http://schemas.openxmlformats.org/officeDocument/2006/relationships/hyperlink" Target="https://cyjmaintranet.root.internal/resources/dcsywintranet/policies-procedures/service-delivery/youth-justice/administrative-powers-yja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//ebus.root.internal/dc/YouthJustice/General/Shared/Youth%20Justice%20Resources/Endnote%20Library%20PDFs/Programs/Lipsey,%20et%20l_2010_Improving%20the%20effectiveness%20of%20juvenile%20justice%20program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//ebus.root.internal/dc/YouthJustice/General/Shared/Youth%20Justice%20Resources/Endnote%20Library%20PDFs/RNR/Grieger%20and%20Hosser_2013_which-risk-factors-are-really-predictive-an-analysis-of-andrews-and-bonta-s-central-eight-risk.pdf" TargetMode="External"/><Relationship Id="rId11" Type="http://schemas.openxmlformats.org/officeDocument/2006/relationships/hyperlink" Target="file://///ebus.root.internal/dc/YouthJustice/General/Shared/Youth%20Justice%20Resources/Endnote%20Library%20PDFs/Programs/Feindler_2014_CBT%20with%20Juvenile%20Offenders-a%20review%20and%20recommendations%20for%20practice.pd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file://///ebus.root.internal/dc/YouthJustice/General/Shared/Youth%20Justice%20Resources/Endnote%20Library%20PDFs/Megens%20and%20Weerman_2010_Attitudes%20delinquency%20and%20peers%20the%20role%20of%20social%20norms%20in%20attitude%20behaviour%20inconsistency.pdf" TargetMode="External"/><Relationship Id="rId19" Type="http://schemas.openxmlformats.org/officeDocument/2006/relationships/hyperlink" Target="file://///ebus.root.internal/dc/YouthJustice/General/Shared/Youth%20Justice%20Resources/Endnote%20Library%20PDFs/RNR/Tafrate,%20et%20al_2019_Integrating%20Motivational%20Interviewing%20with%20RNR%20based%20practi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abs/pii/S0047235210002199" TargetMode="External"/><Relationship Id="rId14" Type="http://schemas.openxmlformats.org/officeDocument/2006/relationships/hyperlink" Target="file://///ebus.root.internal/dc/YouthJustice/General/Shared/Youth%20Justice%20Resources/Endnote%20Library%20PDFs/Tafrate%20et%20al_Criminogenic%20Thinking%20among%20Justice%20involved%20people%20-%20Federal%20Probation%20Artic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R. Williams</dc:creator>
  <cp:keywords/>
  <cp:lastModifiedBy>Lara R. Williams</cp:lastModifiedBy>
  <cp:revision>2</cp:revision>
  <dcterms:created xsi:type="dcterms:W3CDTF">2024-05-29T03:35:00Z</dcterms:created>
  <dcterms:modified xsi:type="dcterms:W3CDTF">2024-05-29T03:35:00Z</dcterms:modified>
</cp:coreProperties>
</file>