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696E4" w14:textId="77777777" w:rsidR="00533930" w:rsidRPr="00533930" w:rsidRDefault="00533930" w:rsidP="0047061C">
      <w:pPr>
        <w:pStyle w:val="Heading2"/>
        <w:spacing w:after="480"/>
        <w:rPr>
          <w:color w:val="055772"/>
          <w:kern w:val="32"/>
          <w:sz w:val="48"/>
          <w:szCs w:val="48"/>
        </w:rPr>
        <w:sectPr w:rsidR="00533930" w:rsidRPr="00533930" w:rsidSect="00776162">
          <w:headerReference w:type="default" r:id="rId11"/>
          <w:footerReference w:type="default" r:id="rId12"/>
          <w:pgSz w:w="11906" w:h="16838"/>
          <w:pgMar w:top="2268" w:right="1134" w:bottom="1701" w:left="1134" w:header="709" w:footer="1474" w:gutter="0"/>
          <w:cols w:space="709"/>
          <w:docGrid w:linePitch="360"/>
        </w:sectPr>
      </w:pPr>
      <w:r w:rsidRPr="00533930">
        <w:rPr>
          <w:color w:val="055772"/>
          <w:kern w:val="32"/>
          <w:sz w:val="48"/>
          <w:szCs w:val="48"/>
        </w:rPr>
        <w:t>Financial reporting requirements under your Service Agreement</w:t>
      </w:r>
    </w:p>
    <w:p w14:paraId="0F3A692B" w14:textId="544284DA" w:rsidR="00533930" w:rsidRPr="00791BF3" w:rsidRDefault="00533930" w:rsidP="00D76FEB">
      <w:pPr>
        <w:jc w:val="both"/>
      </w:pPr>
      <w:r w:rsidRPr="00197D7D">
        <w:t xml:space="preserve">Under a social services contract to deliver youth justice services with the Department of Youth Justice and Victims Support (the department), you are accountable for the funding you receive and </w:t>
      </w:r>
      <w:r w:rsidRPr="00791BF3">
        <w:t>the services you deliver on the department’s behalf.</w:t>
      </w:r>
      <w:r w:rsidR="00FA161A" w:rsidRPr="00791BF3">
        <w:t xml:space="preserve"> </w:t>
      </w:r>
    </w:p>
    <w:p w14:paraId="4EE14C92" w14:textId="57A561F6" w:rsidR="00533930" w:rsidRPr="00791BF3" w:rsidRDefault="00533930" w:rsidP="00D76FEB">
      <w:pPr>
        <w:jc w:val="both"/>
      </w:pPr>
      <w:r w:rsidRPr="00791BF3">
        <w:t>Your contract require</w:t>
      </w:r>
      <w:r w:rsidR="6BDF179B" w:rsidRPr="00294DFD">
        <w:t>s</w:t>
      </w:r>
      <w:r w:rsidRPr="00791BF3">
        <w:t xml:space="preserve"> you to financially report to the department via acquittal statements periodically and annual statements and reports.</w:t>
      </w:r>
    </w:p>
    <w:p w14:paraId="34434E7D" w14:textId="31FD6BC9" w:rsidR="00533930" w:rsidRPr="00B07313" w:rsidRDefault="00533930" w:rsidP="00D76FEB">
      <w:pPr>
        <w:pStyle w:val="Heading2"/>
        <w:jc w:val="both"/>
        <w:rPr>
          <w:rFonts w:ascii="Arial" w:hAnsi="Arial" w:cs="Times New Roman"/>
          <w:b w:val="0"/>
          <w:bCs w:val="0"/>
          <w:iCs w:val="0"/>
          <w:color w:val="auto"/>
          <w:sz w:val="22"/>
          <w:szCs w:val="24"/>
        </w:rPr>
      </w:pPr>
      <w:r w:rsidRPr="00B07313">
        <w:rPr>
          <w:rFonts w:ascii="Arial" w:hAnsi="Arial" w:cs="Times New Roman"/>
          <w:b w:val="0"/>
          <w:bCs w:val="0"/>
          <w:iCs w:val="0"/>
          <w:color w:val="auto"/>
          <w:sz w:val="22"/>
          <w:szCs w:val="24"/>
        </w:rPr>
        <w:t xml:space="preserve">To </w:t>
      </w:r>
      <w:r w:rsidR="003C59F1" w:rsidRPr="00B07313">
        <w:rPr>
          <w:rFonts w:ascii="Arial" w:hAnsi="Arial" w:cs="Times New Roman"/>
          <w:b w:val="0"/>
          <w:bCs w:val="0"/>
          <w:iCs w:val="0"/>
          <w:color w:val="auto"/>
          <w:sz w:val="22"/>
          <w:szCs w:val="24"/>
        </w:rPr>
        <w:t>find</w:t>
      </w:r>
      <w:r w:rsidRPr="00B07313">
        <w:rPr>
          <w:rFonts w:ascii="Arial" w:hAnsi="Arial" w:cs="Times New Roman"/>
          <w:b w:val="0"/>
          <w:bCs w:val="0"/>
          <w:iCs w:val="0"/>
          <w:color w:val="auto"/>
          <w:sz w:val="22"/>
          <w:szCs w:val="24"/>
        </w:rPr>
        <w:t xml:space="preserve"> the financial reporting requirements</w:t>
      </w:r>
      <w:r>
        <w:rPr>
          <w:rFonts w:ascii="Arial" w:hAnsi="Arial" w:cs="Times New Roman"/>
          <w:b w:val="0"/>
          <w:bCs w:val="0"/>
          <w:iCs w:val="0"/>
          <w:color w:val="auto"/>
          <w:sz w:val="22"/>
          <w:szCs w:val="24"/>
        </w:rPr>
        <w:t xml:space="preserve"> for your contract</w:t>
      </w:r>
      <w:r w:rsidRPr="00B07313">
        <w:rPr>
          <w:rFonts w:ascii="Arial" w:hAnsi="Arial" w:cs="Times New Roman"/>
          <w:b w:val="0"/>
          <w:bCs w:val="0"/>
          <w:iCs w:val="0"/>
          <w:color w:val="auto"/>
          <w:sz w:val="22"/>
          <w:szCs w:val="24"/>
        </w:rPr>
        <w:t>, you should read</w:t>
      </w:r>
      <w:r>
        <w:rPr>
          <w:rFonts w:ascii="Arial" w:hAnsi="Arial" w:cs="Times New Roman"/>
          <w:b w:val="0"/>
          <w:bCs w:val="0"/>
          <w:iCs w:val="0"/>
          <w:color w:val="auto"/>
          <w:sz w:val="22"/>
          <w:szCs w:val="24"/>
        </w:rPr>
        <w:t xml:space="preserve"> your</w:t>
      </w:r>
      <w:r w:rsidRPr="00B07313">
        <w:rPr>
          <w:rFonts w:ascii="Arial" w:hAnsi="Arial" w:cs="Times New Roman"/>
          <w:b w:val="0"/>
          <w:bCs w:val="0"/>
          <w:iCs w:val="0"/>
          <w:color w:val="auto"/>
          <w:sz w:val="22"/>
          <w:szCs w:val="24"/>
        </w:rPr>
        <w:t>:</w:t>
      </w:r>
    </w:p>
    <w:p w14:paraId="1526D5E6" w14:textId="77777777" w:rsidR="00533930" w:rsidRPr="00B07313" w:rsidRDefault="00533930" w:rsidP="00D76FEB">
      <w:pPr>
        <w:pStyle w:val="ListParagraph"/>
        <w:numPr>
          <w:ilvl w:val="0"/>
          <w:numId w:val="13"/>
        </w:numPr>
        <w:jc w:val="both"/>
      </w:pPr>
      <w:r w:rsidRPr="00B07313">
        <w:t xml:space="preserve">Service Agreement – Funding and Service Details </w:t>
      </w:r>
    </w:p>
    <w:p w14:paraId="0DE88CC8" w14:textId="77777777" w:rsidR="00533930" w:rsidRPr="00B07313" w:rsidRDefault="00533930" w:rsidP="00D76FEB">
      <w:pPr>
        <w:pStyle w:val="ListParagraph"/>
        <w:numPr>
          <w:ilvl w:val="0"/>
          <w:numId w:val="13"/>
        </w:numPr>
        <w:jc w:val="both"/>
      </w:pPr>
      <w:r w:rsidRPr="00B07313">
        <w:t>Funding Schedule</w:t>
      </w:r>
      <w:r w:rsidRPr="00533930">
        <w:t>, and</w:t>
      </w:r>
    </w:p>
    <w:p w14:paraId="2D6D9F49" w14:textId="77777777" w:rsidR="00533930" w:rsidRPr="00533930" w:rsidRDefault="00000000" w:rsidP="00D76FEB">
      <w:pPr>
        <w:pStyle w:val="ListParagraph"/>
        <w:numPr>
          <w:ilvl w:val="0"/>
          <w:numId w:val="13"/>
        </w:numPr>
        <w:jc w:val="both"/>
        <w:rPr>
          <w:b/>
          <w:bCs/>
          <w:iCs/>
        </w:rPr>
      </w:pPr>
      <w:hyperlink r:id="rId13" w:history="1">
        <w:r w:rsidR="00533930" w:rsidRPr="00C779AE">
          <w:rPr>
            <w:rStyle w:val="Hyperlink"/>
          </w:rPr>
          <w:t>Service Agreement - Standard Terms.</w:t>
        </w:r>
      </w:hyperlink>
    </w:p>
    <w:p w14:paraId="14CB96D4" w14:textId="77777777" w:rsidR="00533930" w:rsidRDefault="00533930" w:rsidP="00D76FEB">
      <w:pPr>
        <w:jc w:val="both"/>
      </w:pPr>
      <w:r>
        <w:t>Compliance with the requirements of your contract is necessary to meet your financial reporting obligations under the contract.</w:t>
      </w:r>
    </w:p>
    <w:p w14:paraId="57AA62E2" w14:textId="2983E9D5" w:rsidR="00195921" w:rsidRDefault="00195921" w:rsidP="00D76FEB">
      <w:pPr>
        <w:pStyle w:val="Heading2"/>
        <w:jc w:val="both"/>
      </w:pPr>
      <w:r>
        <w:t>Types of financial reports</w:t>
      </w:r>
    </w:p>
    <w:p w14:paraId="37B74C23" w14:textId="58CA0426" w:rsidR="00195921" w:rsidRPr="00D76FEB" w:rsidRDefault="00195921" w:rsidP="00D76FEB">
      <w:pPr>
        <w:pStyle w:val="Heading3"/>
        <w:jc w:val="both"/>
      </w:pPr>
      <w:r w:rsidRPr="00D76FEB">
        <w:t xml:space="preserve">Periodic </w:t>
      </w:r>
      <w:r w:rsidR="005B5048" w:rsidRPr="00D76FEB">
        <w:t>acquittals</w:t>
      </w:r>
    </w:p>
    <w:p w14:paraId="0DF0B096" w14:textId="49F54365" w:rsidR="00195921" w:rsidRDefault="00195921" w:rsidP="00D76FEB">
      <w:pPr>
        <w:jc w:val="both"/>
        <w:rPr>
          <w:rStyle w:val="normaltextrun"/>
          <w:rFonts w:cs="Arial"/>
          <w:color w:val="000000"/>
          <w:szCs w:val="22"/>
          <w:shd w:val="clear" w:color="auto" w:fill="FFFFFF"/>
        </w:rPr>
      </w:pPr>
      <w:r>
        <w:rPr>
          <w:rStyle w:val="normaltextrun"/>
          <w:rFonts w:cs="Arial"/>
          <w:color w:val="000000"/>
          <w:szCs w:val="22"/>
          <w:shd w:val="clear" w:color="auto" w:fill="FFFFFF"/>
        </w:rPr>
        <w:t>You are required to complete periodic financial acquittal</w:t>
      </w:r>
      <w:r w:rsidR="00AF5458">
        <w:rPr>
          <w:rStyle w:val="normaltextrun"/>
          <w:rFonts w:cs="Arial"/>
          <w:color w:val="000000"/>
          <w:szCs w:val="22"/>
          <w:shd w:val="clear" w:color="auto" w:fill="FFFFFF"/>
        </w:rPr>
        <w:t>s</w:t>
      </w:r>
      <w:r>
        <w:rPr>
          <w:rStyle w:val="normaltextrun"/>
          <w:rFonts w:cs="Arial"/>
          <w:color w:val="000000"/>
          <w:szCs w:val="22"/>
          <w:shd w:val="clear" w:color="auto" w:fill="FFFFFF"/>
        </w:rPr>
        <w:t xml:space="preserve"> to the department </w:t>
      </w:r>
      <w:r w:rsidR="00D6358C">
        <w:rPr>
          <w:rStyle w:val="normaltextrun"/>
          <w:rFonts w:cs="Arial"/>
          <w:color w:val="000000"/>
          <w:szCs w:val="22"/>
          <w:shd w:val="clear" w:color="auto" w:fill="FFFFFF"/>
        </w:rPr>
        <w:t xml:space="preserve">to report on how you have used the funding you have received. For this you will need to </w:t>
      </w:r>
      <w:r>
        <w:rPr>
          <w:rStyle w:val="normaltextrun"/>
          <w:rFonts w:cs="Arial"/>
          <w:color w:val="000000"/>
          <w:szCs w:val="22"/>
          <w:shd w:val="clear" w:color="auto" w:fill="FFFFFF"/>
        </w:rPr>
        <w:t xml:space="preserve">keep appropriate </w:t>
      </w:r>
      <w:r w:rsidR="00D6358C">
        <w:rPr>
          <w:rStyle w:val="normaltextrun"/>
          <w:rFonts w:cs="Arial"/>
          <w:color w:val="000000"/>
          <w:szCs w:val="22"/>
          <w:shd w:val="clear" w:color="auto" w:fill="FFFFFF"/>
        </w:rPr>
        <w:t xml:space="preserve">financial </w:t>
      </w:r>
      <w:r>
        <w:rPr>
          <w:rStyle w:val="normaltextrun"/>
          <w:rFonts w:cs="Arial"/>
          <w:color w:val="000000"/>
          <w:szCs w:val="22"/>
          <w:shd w:val="clear" w:color="auto" w:fill="FFFFFF"/>
        </w:rPr>
        <w:t xml:space="preserve">records. You must be able to fully account for all funding provided </w:t>
      </w:r>
      <w:r w:rsidR="00D6358C">
        <w:rPr>
          <w:rStyle w:val="normaltextrun"/>
          <w:rFonts w:cs="Arial"/>
          <w:color w:val="000000"/>
          <w:szCs w:val="22"/>
          <w:shd w:val="clear" w:color="auto" w:fill="FFFFFF"/>
        </w:rPr>
        <w:t xml:space="preserve">by submitting relevant </w:t>
      </w:r>
      <w:r>
        <w:rPr>
          <w:rStyle w:val="normaltextrun"/>
          <w:rFonts w:cs="Arial"/>
          <w:color w:val="000000"/>
          <w:szCs w:val="22"/>
          <w:shd w:val="clear" w:color="auto" w:fill="FFFFFF"/>
        </w:rPr>
        <w:t xml:space="preserve">and accurate financial reports via </w:t>
      </w:r>
      <w:r w:rsidR="00853E85">
        <w:rPr>
          <w:rStyle w:val="normaltextrun"/>
          <w:rFonts w:cs="Arial"/>
          <w:color w:val="000000"/>
          <w:szCs w:val="22"/>
          <w:shd w:val="clear" w:color="auto" w:fill="FFFFFF"/>
        </w:rPr>
        <w:t>the department’s contract management system Procure 2 Invest (</w:t>
      </w:r>
      <w:r>
        <w:rPr>
          <w:rStyle w:val="normaltextrun"/>
          <w:rFonts w:cs="Arial"/>
          <w:color w:val="000000"/>
          <w:szCs w:val="22"/>
          <w:shd w:val="clear" w:color="auto" w:fill="FFFFFF"/>
        </w:rPr>
        <w:t>P2i</w:t>
      </w:r>
      <w:r w:rsidR="00853E85">
        <w:rPr>
          <w:rStyle w:val="normaltextrun"/>
          <w:rFonts w:cs="Arial"/>
          <w:color w:val="000000"/>
          <w:szCs w:val="22"/>
          <w:shd w:val="clear" w:color="auto" w:fill="FFFFFF"/>
        </w:rPr>
        <w:t>)</w:t>
      </w:r>
      <w:r>
        <w:rPr>
          <w:rStyle w:val="normaltextrun"/>
          <w:rFonts w:cs="Arial"/>
          <w:color w:val="000000"/>
          <w:szCs w:val="22"/>
          <w:shd w:val="clear" w:color="auto" w:fill="FFFFFF"/>
        </w:rPr>
        <w:t xml:space="preserve">. </w:t>
      </w:r>
    </w:p>
    <w:p w14:paraId="65B3241C" w14:textId="612766B6" w:rsidR="00195921" w:rsidRDefault="00195921" w:rsidP="00D76FEB">
      <w:pPr>
        <w:jc w:val="both"/>
        <w:rPr>
          <w:rStyle w:val="normaltextrun"/>
          <w:rFonts w:cs="Arial"/>
          <w:color w:val="000000"/>
          <w:szCs w:val="22"/>
          <w:shd w:val="clear" w:color="auto" w:fill="FFFFFF"/>
        </w:rPr>
      </w:pPr>
      <w:r>
        <w:rPr>
          <w:rStyle w:val="normaltextrun"/>
          <w:rFonts w:cs="Arial"/>
          <w:color w:val="000000"/>
          <w:szCs w:val="22"/>
          <w:shd w:val="clear" w:color="auto" w:fill="FFFFFF"/>
        </w:rPr>
        <w:t xml:space="preserve">Refer to your contract </w:t>
      </w:r>
      <w:r w:rsidR="00D6358C">
        <w:rPr>
          <w:rStyle w:val="normaltextrun"/>
          <w:rFonts w:cs="Arial"/>
          <w:color w:val="000000"/>
          <w:szCs w:val="22"/>
          <w:shd w:val="clear" w:color="auto" w:fill="FFFFFF"/>
        </w:rPr>
        <w:t xml:space="preserve">for </w:t>
      </w:r>
      <w:r>
        <w:rPr>
          <w:rStyle w:val="normaltextrun"/>
          <w:rFonts w:cs="Arial"/>
          <w:color w:val="000000"/>
          <w:szCs w:val="22"/>
          <w:shd w:val="clear" w:color="auto" w:fill="FFFFFF"/>
        </w:rPr>
        <w:t xml:space="preserve">your periodic financial reporting requirements, including any timeframes you must meet. </w:t>
      </w:r>
    </w:p>
    <w:p w14:paraId="247D3A2A" w14:textId="6AEC3338" w:rsidR="00195921" w:rsidRDefault="00195921" w:rsidP="00D76FEB">
      <w:pPr>
        <w:jc w:val="both"/>
        <w:rPr>
          <w:rFonts w:cs="Arial"/>
          <w:b/>
          <w:bCs/>
          <w:color w:val="055772"/>
          <w:sz w:val="26"/>
          <w:szCs w:val="26"/>
        </w:rPr>
      </w:pPr>
      <w:r w:rsidRPr="235CDC65">
        <w:rPr>
          <w:rFonts w:cs="Arial"/>
          <w:b/>
          <w:bCs/>
          <w:color w:val="055772"/>
          <w:sz w:val="26"/>
          <w:szCs w:val="26"/>
        </w:rPr>
        <w:t>Annual reporting</w:t>
      </w:r>
    </w:p>
    <w:p w14:paraId="732D17A0" w14:textId="45D946CE" w:rsidR="00195921" w:rsidRPr="00197D7D" w:rsidRDefault="002604C3" w:rsidP="00D76FEB">
      <w:pPr>
        <w:jc w:val="both"/>
      </w:pPr>
      <w:r>
        <w:t>O</w:t>
      </w:r>
      <w:r w:rsidR="00195921">
        <w:t xml:space="preserve">n an annual basis, you </w:t>
      </w:r>
      <w:r w:rsidR="00D36324">
        <w:t>are</w:t>
      </w:r>
      <w:r w:rsidR="00195921">
        <w:t xml:space="preserve"> required to provide the department separate audited financial reports at organisation and contract service levels: </w:t>
      </w:r>
    </w:p>
    <w:p w14:paraId="23F04213" w14:textId="02B35E81" w:rsidR="00195921" w:rsidRPr="00197D7D" w:rsidRDefault="00195921" w:rsidP="00D76FEB">
      <w:pPr>
        <w:pStyle w:val="ListParagraph"/>
        <w:numPr>
          <w:ilvl w:val="0"/>
          <w:numId w:val="12"/>
        </w:numPr>
        <w:jc w:val="both"/>
      </w:pPr>
      <w:r>
        <w:t>Organisation annual financial reporting requires you to report on the financial health for the whole of your organisation. This is called an audited annual financial statement (AFS).</w:t>
      </w:r>
    </w:p>
    <w:p w14:paraId="53238A93" w14:textId="630CC146" w:rsidR="00195921" w:rsidRPr="00197D7D" w:rsidRDefault="00195921" w:rsidP="00D76FEB">
      <w:pPr>
        <w:pStyle w:val="ListParagraph"/>
        <w:numPr>
          <w:ilvl w:val="0"/>
          <w:numId w:val="12"/>
        </w:numPr>
        <w:jc w:val="both"/>
      </w:pPr>
      <w:r>
        <w:t>Contract service-level annual financial reporting requires you to report against the funding your organisation received from the department under the contract. This is called an annual acquittal statement (AAS).</w:t>
      </w:r>
    </w:p>
    <w:p w14:paraId="158801AC" w14:textId="77777777" w:rsidR="00195921" w:rsidRPr="00197D7D" w:rsidRDefault="00195921" w:rsidP="00D76FEB">
      <w:pPr>
        <w:jc w:val="both"/>
      </w:pPr>
      <w:r w:rsidRPr="00197D7D">
        <w:t xml:space="preserve">Annual reports must be independently audited. Independent audits must comply with the </w:t>
      </w:r>
      <w:r w:rsidRPr="00197D7D">
        <w:rPr>
          <w:i/>
          <w:iCs/>
        </w:rPr>
        <w:t>Australian Audit Standards</w:t>
      </w:r>
      <w:r w:rsidRPr="00197D7D">
        <w:t>, which are issued by the Auditing and Assurance Standards Board (AUASB).</w:t>
      </w:r>
    </w:p>
    <w:p w14:paraId="1DB4D5EA" w14:textId="77777777" w:rsidR="00195921" w:rsidRDefault="00195921" w:rsidP="00D76FEB">
      <w:pPr>
        <w:jc w:val="both"/>
      </w:pPr>
      <w:r w:rsidRPr="00197D7D">
        <w:lastRenderedPageBreak/>
        <w:t>Your audited annual reports must be submitted within 180 days of the end of the financial period. For financial year reporting, this will generally be at the end of December.</w:t>
      </w:r>
      <w:r>
        <w:t xml:space="preserve"> </w:t>
      </w:r>
    </w:p>
    <w:p w14:paraId="71706E37" w14:textId="4B047561" w:rsidR="006237EA" w:rsidRDefault="002E04BB" w:rsidP="00D76FEB">
      <w:pPr>
        <w:pStyle w:val="Heading2"/>
        <w:jc w:val="both"/>
      </w:pPr>
      <w:r>
        <w:t>General financial reporting</w:t>
      </w:r>
      <w:r w:rsidR="00533930">
        <w:t xml:space="preserve"> requirements</w:t>
      </w:r>
    </w:p>
    <w:p w14:paraId="4FA64A80" w14:textId="6BC8AB2A" w:rsidR="002E04BB" w:rsidRDefault="002E04BB" w:rsidP="00D76FEB">
      <w:pPr>
        <w:pStyle w:val="Heading3"/>
        <w:jc w:val="both"/>
      </w:pPr>
      <w:r>
        <w:t>Reporting entity</w:t>
      </w:r>
    </w:p>
    <w:p w14:paraId="2DDB3888" w14:textId="6D1BBC40" w:rsidR="00533930" w:rsidRDefault="00533930" w:rsidP="00D76FEB">
      <w:pPr>
        <w:jc w:val="both"/>
      </w:pPr>
      <w:r>
        <w:t xml:space="preserve">Under your contract, you </w:t>
      </w:r>
      <w:proofErr w:type="gramStart"/>
      <w:r>
        <w:t>are considered to be</w:t>
      </w:r>
      <w:proofErr w:type="gramEnd"/>
      <w:r>
        <w:t xml:space="preserve"> a ‘Reporting Entity’. While you may prepare financial reports as a ‘Non-reporting Entity’ for other purposes, the contract requires you to provide the department financial statements and reports as a ‘Reporting Entity’ as defined in the Australian Accounting Standards Board (AASB) </w:t>
      </w:r>
      <w:r w:rsidRPr="00E177F0">
        <w:rPr>
          <w:i/>
          <w:iCs/>
        </w:rPr>
        <w:t>Statement of Accounting Concepts</w:t>
      </w:r>
      <w:r w:rsidRPr="00D36324">
        <w:t xml:space="preserve"> (</w:t>
      </w:r>
      <w:r>
        <w:t xml:space="preserve">SAC1). </w:t>
      </w:r>
    </w:p>
    <w:p w14:paraId="4E14775F" w14:textId="1889759C" w:rsidR="00533930" w:rsidRDefault="00533930" w:rsidP="00D36324">
      <w:pPr>
        <w:spacing w:after="0"/>
        <w:jc w:val="both"/>
      </w:pPr>
      <w:r>
        <w:t xml:space="preserve">The department requires your </w:t>
      </w:r>
      <w:r w:rsidRPr="00197D7D">
        <w:t>financial statements and reports</w:t>
      </w:r>
      <w:r>
        <w:t xml:space="preserve"> to comply with relevant </w:t>
      </w:r>
      <w:r w:rsidR="00D36324" w:rsidRPr="00E177F0">
        <w:rPr>
          <w:rFonts w:eastAsia="Arial" w:cs="Arial"/>
          <w:szCs w:val="22"/>
        </w:rPr>
        <w:t xml:space="preserve">AASB </w:t>
      </w:r>
      <w:r w:rsidR="00D36324" w:rsidRPr="00E177F0">
        <w:rPr>
          <w:rFonts w:eastAsia="Arial" w:cs="Arial"/>
          <w:i/>
          <w:iCs/>
          <w:szCs w:val="22"/>
        </w:rPr>
        <w:t>Australian Accounting Standards</w:t>
      </w:r>
      <w:r w:rsidR="00E177F0">
        <w:rPr>
          <w:rFonts w:eastAsia="Arial" w:cs="Arial"/>
          <w:szCs w:val="22"/>
        </w:rPr>
        <w:t>.</w:t>
      </w:r>
      <w:r>
        <w:t xml:space="preserve"> You are required to submit financial reports in the form of either a ‘General Purpose Financial Report’ or ‘Special Purpose Financial Report’.</w:t>
      </w:r>
    </w:p>
    <w:p w14:paraId="01411A69" w14:textId="6576E91B" w:rsidR="006237EA" w:rsidRDefault="00533930" w:rsidP="00D76FEB">
      <w:pPr>
        <w:pStyle w:val="Heading3"/>
        <w:jc w:val="both"/>
      </w:pPr>
      <w:r>
        <w:t>Accrual accounting</w:t>
      </w:r>
    </w:p>
    <w:p w14:paraId="4C9E03BF" w14:textId="3F9C38F9" w:rsidR="00533930" w:rsidRDefault="00533930" w:rsidP="00D76FEB">
      <w:pPr>
        <w:jc w:val="both"/>
      </w:pPr>
      <w:r>
        <w:t xml:space="preserve">You are required to use accrual accounting </w:t>
      </w:r>
      <w:r w:rsidR="00D6358C">
        <w:t xml:space="preserve">to prepare your </w:t>
      </w:r>
      <w:r>
        <w:t xml:space="preserve">financial statements and reports under your contract. </w:t>
      </w:r>
    </w:p>
    <w:p w14:paraId="65028609" w14:textId="77777777" w:rsidR="00533930" w:rsidRDefault="00533930" w:rsidP="00D76FEB">
      <w:pPr>
        <w:jc w:val="both"/>
      </w:pPr>
      <w:r>
        <w:t>Accrual accounting is the method where transactions are recorded when they occur, rather than when cash is received or paid. This means that revenues and expenses are recognised in the period in which they are earned or incurred, regardless of when the associated cash flows happen. This provides a more accurate picture of your financial performance and position.</w:t>
      </w:r>
    </w:p>
    <w:p w14:paraId="2CDCE455" w14:textId="255F364C" w:rsidR="00533930" w:rsidRDefault="00533930" w:rsidP="00D76FEB">
      <w:pPr>
        <w:jc w:val="both"/>
      </w:pPr>
      <w:r>
        <w:t>The use of commitments</w:t>
      </w:r>
      <w:r w:rsidR="7A6475FC">
        <w:t xml:space="preserve"> or accrued expenses</w:t>
      </w:r>
      <w:r>
        <w:t xml:space="preserve"> in financial reporting must be disclosed in your financial statements and reports in accordance with the AASB </w:t>
      </w:r>
      <w:r w:rsidRPr="5B50ACE1">
        <w:rPr>
          <w:i/>
          <w:iCs/>
        </w:rPr>
        <w:t>Australian Accounting Standards</w:t>
      </w:r>
      <w:r>
        <w:t>.</w:t>
      </w:r>
    </w:p>
    <w:p w14:paraId="019EA1D7" w14:textId="43BDE88E" w:rsidR="00533930" w:rsidRPr="00533930" w:rsidRDefault="00533930" w:rsidP="00D76FEB">
      <w:pPr>
        <w:pStyle w:val="Heading3"/>
        <w:jc w:val="both"/>
        <w:rPr>
          <w:rFonts w:ascii="Arial Bold" w:hAnsi="Arial Bold"/>
          <w:iCs/>
          <w:color w:val="F89A44"/>
          <w:sz w:val="30"/>
          <w:szCs w:val="30"/>
        </w:rPr>
      </w:pPr>
      <w:r w:rsidRPr="00533930">
        <w:rPr>
          <w:rFonts w:ascii="Arial Bold" w:hAnsi="Arial Bold"/>
          <w:iCs/>
          <w:color w:val="F89A44"/>
          <w:sz w:val="30"/>
          <w:szCs w:val="30"/>
        </w:rPr>
        <w:t>Managing reporting</w:t>
      </w:r>
      <w:r w:rsidR="00822CA9">
        <w:rPr>
          <w:rFonts w:ascii="Arial Bold" w:hAnsi="Arial Bold"/>
          <w:iCs/>
          <w:color w:val="F89A44"/>
          <w:sz w:val="30"/>
          <w:szCs w:val="30"/>
        </w:rPr>
        <w:t xml:space="preserve"> and compliance</w:t>
      </w:r>
    </w:p>
    <w:p w14:paraId="431E9540" w14:textId="77777777" w:rsidR="00533930" w:rsidRDefault="00533930" w:rsidP="00D76FEB">
      <w:pPr>
        <w:jc w:val="both"/>
      </w:pPr>
      <w:r>
        <w:t xml:space="preserve">Your organisation needs to adequately manage its contract funding and reporting requirements in accordance with the requirements of your contract. </w:t>
      </w:r>
    </w:p>
    <w:p w14:paraId="72575DE1" w14:textId="54F14D0D" w:rsidR="000F5B5C" w:rsidRPr="00197D7D" w:rsidRDefault="00171110" w:rsidP="00D76FEB">
      <w:pPr>
        <w:jc w:val="both"/>
      </w:pPr>
      <w:r>
        <w:t xml:space="preserve">This factsheet provides general information only. </w:t>
      </w:r>
      <w:r w:rsidR="000F5B5C">
        <w:t>Your contract outlines the details your financial reporting requirements, including</w:t>
      </w:r>
      <w:r w:rsidR="00427F14">
        <w:t xml:space="preserve"> any</w:t>
      </w:r>
      <w:r w:rsidR="000F5B5C">
        <w:t xml:space="preserve"> timeframes</w:t>
      </w:r>
      <w:r w:rsidR="00D36324">
        <w:t xml:space="preserve"> (reporting periods)</w:t>
      </w:r>
      <w:r w:rsidR="000F5B5C">
        <w:t xml:space="preserve"> you must meet. Failure to</w:t>
      </w:r>
      <w:r w:rsidR="000F5B5C" w:rsidRPr="00197D7D">
        <w:t xml:space="preserve"> </w:t>
      </w:r>
      <w:r w:rsidR="000F5B5C">
        <w:t>report accurately and/or within timeframes may result in the department withholding all or part of a payment, suspending</w:t>
      </w:r>
      <w:r w:rsidR="00D6358C">
        <w:t>,</w:t>
      </w:r>
      <w:r w:rsidR="000F5B5C">
        <w:t xml:space="preserve"> or terminating services.</w:t>
      </w:r>
    </w:p>
    <w:p w14:paraId="07508368" w14:textId="7A9C5129" w:rsidR="00533930" w:rsidRDefault="00FA19E0" w:rsidP="00D76FEB">
      <w:pPr>
        <w:jc w:val="both"/>
      </w:pPr>
      <w:r>
        <w:t>Staff at o</w:t>
      </w:r>
      <w:r w:rsidR="00533930">
        <w:t xml:space="preserve">rganisation and service levels should work together to ensure financial reports and statements are accurate and compliant with contract requirements </w:t>
      </w:r>
      <w:r w:rsidR="00533930" w:rsidRPr="00533930">
        <w:t>before</w:t>
      </w:r>
      <w:r w:rsidR="00533930">
        <w:t xml:space="preserve"> submitting to the department. </w:t>
      </w:r>
    </w:p>
    <w:p w14:paraId="0D80984F" w14:textId="24065778" w:rsidR="002E04BB" w:rsidRDefault="002E04BB" w:rsidP="00D76FEB">
      <w:pPr>
        <w:pStyle w:val="Heading3"/>
        <w:jc w:val="both"/>
      </w:pPr>
      <w:r>
        <w:t>Getting advice</w:t>
      </w:r>
    </w:p>
    <w:p w14:paraId="018328E9" w14:textId="1EEAC0C4" w:rsidR="00533930" w:rsidRPr="00533930" w:rsidRDefault="00533930" w:rsidP="00D76FEB">
      <w:pPr>
        <w:jc w:val="both"/>
      </w:pPr>
      <w:r w:rsidRPr="00533930">
        <w:t>The department is unable to provide you with financial reporting advice. If required, you may seek further advice from your organisation’s internal services, or from your external accountant or auditor.</w:t>
      </w:r>
    </w:p>
    <w:p w14:paraId="43394F95" w14:textId="61161113" w:rsidR="00533930" w:rsidRDefault="002E04BB" w:rsidP="00D76FEB">
      <w:pPr>
        <w:pStyle w:val="Heading3"/>
        <w:jc w:val="both"/>
        <w:rPr>
          <w:rFonts w:ascii="Arial Bold" w:hAnsi="Arial Bold"/>
          <w:iCs/>
          <w:color w:val="F89A44"/>
          <w:sz w:val="30"/>
          <w:szCs w:val="30"/>
        </w:rPr>
      </w:pPr>
      <w:r w:rsidRPr="4CFBFDFF">
        <w:rPr>
          <w:rFonts w:ascii="Arial Bold" w:hAnsi="Arial Bold"/>
          <w:color w:val="F89A44"/>
          <w:sz w:val="30"/>
          <w:szCs w:val="30"/>
        </w:rPr>
        <w:t>Want to know more?</w:t>
      </w:r>
    </w:p>
    <w:p w14:paraId="0D8CEBB6" w14:textId="59E29731" w:rsidR="5B50ACE1" w:rsidRDefault="053C10B5" w:rsidP="00520CE6">
      <w:pPr>
        <w:spacing w:after="0"/>
      </w:pPr>
      <w:r w:rsidRPr="00D36324">
        <w:rPr>
          <w:rFonts w:eastAsia="Arial" w:cs="Arial"/>
          <w:szCs w:val="22"/>
        </w:rPr>
        <w:t xml:space="preserve">The basics of financial management for a business can be accessed from </w:t>
      </w:r>
      <w:hyperlink r:id="rId14">
        <w:r w:rsidRPr="00D36324">
          <w:rPr>
            <w:rStyle w:val="Hyperlink"/>
            <w:rFonts w:eastAsia="Arial" w:cs="Arial"/>
            <w:color w:val="0563C1"/>
            <w:szCs w:val="22"/>
          </w:rPr>
          <w:t>https://www.business.qld.gov.au/running-business/finance</w:t>
        </w:r>
      </w:hyperlink>
      <w:r w:rsidRPr="00D36324">
        <w:rPr>
          <w:rFonts w:eastAsia="Arial" w:cs="Arial"/>
          <w:szCs w:val="22"/>
        </w:rPr>
        <w:t>. Find more information about financial reporting from</w:t>
      </w:r>
      <w:r w:rsidR="00D36324" w:rsidRPr="00D36324">
        <w:rPr>
          <w:rFonts w:eastAsia="Arial" w:cs="Arial"/>
          <w:szCs w:val="22"/>
        </w:rPr>
        <w:t xml:space="preserve"> </w:t>
      </w:r>
      <w:hyperlink r:id="rId15">
        <w:r w:rsidRPr="00D36324">
          <w:rPr>
            <w:rStyle w:val="Hyperlink"/>
            <w:rFonts w:eastAsia="Arial" w:cs="Arial"/>
            <w:color w:val="0563C1"/>
            <w:szCs w:val="22"/>
          </w:rPr>
          <w:t>AASB Statement of Accounting Concepts</w:t>
        </w:r>
      </w:hyperlink>
      <w:r w:rsidR="00D36324">
        <w:rPr>
          <w:rFonts w:eastAsia="Arial" w:cs="Arial"/>
          <w:szCs w:val="22"/>
        </w:rPr>
        <w:t xml:space="preserve"> a</w:t>
      </w:r>
      <w:r w:rsidR="00D36324" w:rsidRPr="00D36324">
        <w:rPr>
          <w:rFonts w:eastAsia="Arial" w:cs="Arial"/>
          <w:szCs w:val="22"/>
        </w:rPr>
        <w:t xml:space="preserve">nd </w:t>
      </w:r>
      <w:hyperlink r:id="rId16">
        <w:r w:rsidR="00D36324" w:rsidRPr="00D36324">
          <w:rPr>
            <w:rStyle w:val="Hyperlink"/>
            <w:rFonts w:eastAsia="Arial" w:cs="Arial"/>
            <w:color w:val="0563C1"/>
            <w:szCs w:val="22"/>
          </w:rPr>
          <w:t>AASB Australian Accounting Standards</w:t>
        </w:r>
      </w:hyperlink>
      <w:r w:rsidR="00D36324">
        <w:rPr>
          <w:rStyle w:val="Hyperlink"/>
          <w:rFonts w:eastAsia="Arial" w:cs="Arial"/>
          <w:color w:val="0563C1"/>
          <w:szCs w:val="22"/>
        </w:rPr>
        <w:t>.</w:t>
      </w:r>
    </w:p>
    <w:sectPr w:rsidR="5B50ACE1" w:rsidSect="0095110C">
      <w:headerReference w:type="default" r:id="rId17"/>
      <w:footerReference w:type="default" r:id="rId18"/>
      <w:type w:val="continuous"/>
      <w:pgSz w:w="11906" w:h="16838"/>
      <w:pgMar w:top="1702" w:right="1134" w:bottom="1418" w:left="1134" w:header="709"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7B1B" w14:textId="77777777" w:rsidR="007165FD" w:rsidRDefault="007165FD">
      <w:r>
        <w:separator/>
      </w:r>
    </w:p>
  </w:endnote>
  <w:endnote w:type="continuationSeparator" w:id="0">
    <w:p w14:paraId="73126286" w14:textId="77777777" w:rsidR="007165FD" w:rsidRDefault="007165FD">
      <w:r>
        <w:continuationSeparator/>
      </w:r>
    </w:p>
  </w:endnote>
  <w:endnote w:type="continuationNotice" w:id="1">
    <w:p w14:paraId="6605A7AD" w14:textId="77777777" w:rsidR="007165FD" w:rsidRDefault="007165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4CFBFDFF" w14:paraId="7F6AD908" w14:textId="77777777" w:rsidTr="4CFBFDFF">
      <w:trPr>
        <w:trHeight w:val="300"/>
      </w:trPr>
      <w:tc>
        <w:tcPr>
          <w:tcW w:w="3210" w:type="dxa"/>
        </w:tcPr>
        <w:p w14:paraId="27FB7359" w14:textId="5C7ED60A" w:rsidR="4CFBFDFF" w:rsidRDefault="4CFBFDFF" w:rsidP="4CFBFDFF">
          <w:pPr>
            <w:pStyle w:val="Header"/>
            <w:ind w:left="-115"/>
          </w:pPr>
        </w:p>
      </w:tc>
      <w:tc>
        <w:tcPr>
          <w:tcW w:w="3210" w:type="dxa"/>
        </w:tcPr>
        <w:p w14:paraId="6AB32675" w14:textId="2E6E7491" w:rsidR="4CFBFDFF" w:rsidRDefault="4CFBFDFF" w:rsidP="4CFBFDFF">
          <w:pPr>
            <w:pStyle w:val="Header"/>
            <w:jc w:val="center"/>
          </w:pPr>
        </w:p>
      </w:tc>
      <w:tc>
        <w:tcPr>
          <w:tcW w:w="3210" w:type="dxa"/>
        </w:tcPr>
        <w:p w14:paraId="356F6E0C" w14:textId="2D8EDA0C" w:rsidR="4CFBFDFF" w:rsidRDefault="4CFBFDFF" w:rsidP="4CFBFDFF">
          <w:pPr>
            <w:pStyle w:val="Header"/>
            <w:ind w:right="-115"/>
            <w:jc w:val="right"/>
          </w:pPr>
        </w:p>
      </w:tc>
    </w:tr>
  </w:tbl>
  <w:p w14:paraId="4CC1E7C6" w14:textId="6A183949" w:rsidR="4CFBFDFF" w:rsidRDefault="4CFBFDFF" w:rsidP="4CFBF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010F6" w14:textId="77777777" w:rsidR="007165FD" w:rsidRDefault="007165FD">
      <w:r>
        <w:separator/>
      </w:r>
    </w:p>
  </w:footnote>
  <w:footnote w:type="continuationSeparator" w:id="0">
    <w:p w14:paraId="09AA3085" w14:textId="77777777" w:rsidR="007165FD" w:rsidRDefault="007165FD">
      <w:r>
        <w:continuationSeparator/>
      </w:r>
    </w:p>
  </w:footnote>
  <w:footnote w:type="continuationNotice" w:id="1">
    <w:p w14:paraId="58211FC1" w14:textId="77777777" w:rsidR="007165FD" w:rsidRDefault="007165F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09E050FD" w:rsidR="00B21459" w:rsidRPr="00A852B0" w:rsidRDefault="00A852B0" w:rsidP="00A852B0">
    <w:pPr>
      <w:pStyle w:val="Header"/>
    </w:pPr>
    <w:r>
      <w:rPr>
        <w:noProof/>
      </w:rPr>
      <w:drawing>
        <wp:anchor distT="0" distB="0" distL="114300" distR="114300" simplePos="0" relativeHeight="251659265" behindDoc="1" locked="0" layoutInCell="1" allowOverlap="1" wp14:anchorId="7D8FAFA1" wp14:editId="41E2C6D1">
          <wp:simplePos x="0" y="0"/>
          <wp:positionH relativeFrom="page">
            <wp:align>right</wp:align>
          </wp:positionH>
          <wp:positionV relativeFrom="paragraph">
            <wp:posOffset>-449907</wp:posOffset>
          </wp:positionV>
          <wp:extent cx="7551923" cy="10682095"/>
          <wp:effectExtent l="0" t="0" r="0" b="0"/>
          <wp:wrapNone/>
          <wp:docPr id="1559187340"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187340" name="Picture 3" descr="A black background with a black square&#10;&#10;Description automatically generated with medium confidence"/>
                  <pic:cNvPicPr/>
                </pic:nvPicPr>
                <pic:blipFill>
                  <a:blip r:embed="rId1"/>
                  <a:stretch>
                    <a:fillRect/>
                  </a:stretch>
                </pic:blipFill>
                <pic:spPr>
                  <a:xfrm>
                    <a:off x="0" y="0"/>
                    <a:ext cx="7551923" cy="106820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57D48F30" w:rsidR="00F77B8F" w:rsidRDefault="0095110C">
    <w:pPr>
      <w:pStyle w:val="Header"/>
    </w:pPr>
    <w:r>
      <w:rPr>
        <w:noProof/>
      </w:rPr>
      <w:drawing>
        <wp:anchor distT="0" distB="0" distL="114300" distR="114300" simplePos="0" relativeHeight="251658240" behindDoc="1" locked="0" layoutInCell="1" allowOverlap="1" wp14:anchorId="17D5D2DD" wp14:editId="4F1D5A31">
          <wp:simplePos x="0" y="0"/>
          <wp:positionH relativeFrom="page">
            <wp:align>right</wp:align>
          </wp:positionH>
          <wp:positionV relativeFrom="paragraph">
            <wp:posOffset>-450842</wp:posOffset>
          </wp:positionV>
          <wp:extent cx="7550862" cy="10682095"/>
          <wp:effectExtent l="0" t="0" r="0" b="0"/>
          <wp:wrapNone/>
          <wp:docPr id="538943995" name="Picture 538943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39887" name="Picture 59839887"/>
                  <pic:cNvPicPr/>
                </pic:nvPicPr>
                <pic:blipFill>
                  <a:blip r:embed="rId1"/>
                  <a:stretch>
                    <a:fillRect/>
                  </a:stretch>
                </pic:blipFill>
                <pic:spPr>
                  <a:xfrm>
                    <a:off x="0" y="0"/>
                    <a:ext cx="7550862" cy="10682095"/>
                  </a:xfrm>
                  <a:prstGeom prst="rect">
                    <a:avLst/>
                  </a:prstGeom>
                </pic:spPr>
              </pic:pic>
            </a:graphicData>
          </a:graphic>
          <wp14:sizeRelH relativeFrom="margin">
            <wp14:pctWidth>0</wp14:pctWidth>
          </wp14:sizeRelH>
          <wp14:sizeRelV relativeFrom="margin">
            <wp14:pctHeight>0</wp14:pctHeight>
          </wp14:sizeRelV>
        </wp:anchor>
      </w:drawing>
    </w:r>
    <w:r w:rsidR="00F77B8F">
      <w:rPr>
        <w:noProof/>
      </w:rPr>
      <mc:AlternateContent>
        <mc:Choice Requires="wps">
          <w:drawing>
            <wp:anchor distT="0" distB="0" distL="114300" distR="114300" simplePos="0" relativeHeight="251658241" behindDoc="0" locked="0" layoutInCell="1" allowOverlap="1" wp14:anchorId="446DB56F" wp14:editId="10861043">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6" type="#_x0000_t202" style="position:absolute;margin-left:-56.7pt;margin-top:-10.05pt;width:595.25pt;height:28.5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94514"/>
    <w:multiLevelType w:val="hybridMultilevel"/>
    <w:tmpl w:val="ACF6F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5A657A"/>
    <w:multiLevelType w:val="hybridMultilevel"/>
    <w:tmpl w:val="817E5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E03C7C"/>
    <w:multiLevelType w:val="hybridMultilevel"/>
    <w:tmpl w:val="ED6E4C8A"/>
    <w:lvl w:ilvl="0" w:tplc="CF2A0DE6">
      <w:start w:val="1"/>
      <w:numFmt w:val="bullet"/>
      <w:lvlText w:val="·"/>
      <w:lvlJc w:val="left"/>
      <w:pPr>
        <w:ind w:left="720" w:hanging="360"/>
      </w:pPr>
      <w:rPr>
        <w:rFonts w:ascii="Symbol" w:hAnsi="Symbol" w:hint="default"/>
      </w:rPr>
    </w:lvl>
    <w:lvl w:ilvl="1" w:tplc="960E3018">
      <w:start w:val="1"/>
      <w:numFmt w:val="bullet"/>
      <w:lvlText w:val="o"/>
      <w:lvlJc w:val="left"/>
      <w:pPr>
        <w:ind w:left="1440" w:hanging="360"/>
      </w:pPr>
      <w:rPr>
        <w:rFonts w:ascii="Courier New" w:hAnsi="Courier New" w:hint="default"/>
      </w:rPr>
    </w:lvl>
    <w:lvl w:ilvl="2" w:tplc="53DCAE4E">
      <w:start w:val="1"/>
      <w:numFmt w:val="bullet"/>
      <w:lvlText w:val=""/>
      <w:lvlJc w:val="left"/>
      <w:pPr>
        <w:ind w:left="2160" w:hanging="360"/>
      </w:pPr>
      <w:rPr>
        <w:rFonts w:ascii="Wingdings" w:hAnsi="Wingdings" w:hint="default"/>
      </w:rPr>
    </w:lvl>
    <w:lvl w:ilvl="3" w:tplc="55E6B69A">
      <w:start w:val="1"/>
      <w:numFmt w:val="bullet"/>
      <w:lvlText w:val=""/>
      <w:lvlJc w:val="left"/>
      <w:pPr>
        <w:ind w:left="2880" w:hanging="360"/>
      </w:pPr>
      <w:rPr>
        <w:rFonts w:ascii="Symbol" w:hAnsi="Symbol" w:hint="default"/>
      </w:rPr>
    </w:lvl>
    <w:lvl w:ilvl="4" w:tplc="B630F5FE">
      <w:start w:val="1"/>
      <w:numFmt w:val="bullet"/>
      <w:lvlText w:val="o"/>
      <w:lvlJc w:val="left"/>
      <w:pPr>
        <w:ind w:left="3600" w:hanging="360"/>
      </w:pPr>
      <w:rPr>
        <w:rFonts w:ascii="Courier New" w:hAnsi="Courier New" w:hint="default"/>
      </w:rPr>
    </w:lvl>
    <w:lvl w:ilvl="5" w:tplc="B4EA21CC">
      <w:start w:val="1"/>
      <w:numFmt w:val="bullet"/>
      <w:lvlText w:val=""/>
      <w:lvlJc w:val="left"/>
      <w:pPr>
        <w:ind w:left="4320" w:hanging="360"/>
      </w:pPr>
      <w:rPr>
        <w:rFonts w:ascii="Wingdings" w:hAnsi="Wingdings" w:hint="default"/>
      </w:rPr>
    </w:lvl>
    <w:lvl w:ilvl="6" w:tplc="D95EAE4A">
      <w:start w:val="1"/>
      <w:numFmt w:val="bullet"/>
      <w:lvlText w:val=""/>
      <w:lvlJc w:val="left"/>
      <w:pPr>
        <w:ind w:left="5040" w:hanging="360"/>
      </w:pPr>
      <w:rPr>
        <w:rFonts w:ascii="Symbol" w:hAnsi="Symbol" w:hint="default"/>
      </w:rPr>
    </w:lvl>
    <w:lvl w:ilvl="7" w:tplc="CF7A113C">
      <w:start w:val="1"/>
      <w:numFmt w:val="bullet"/>
      <w:lvlText w:val="o"/>
      <w:lvlJc w:val="left"/>
      <w:pPr>
        <w:ind w:left="5760" w:hanging="360"/>
      </w:pPr>
      <w:rPr>
        <w:rFonts w:ascii="Courier New" w:hAnsi="Courier New" w:hint="default"/>
      </w:rPr>
    </w:lvl>
    <w:lvl w:ilvl="8" w:tplc="8648FE0E">
      <w:start w:val="1"/>
      <w:numFmt w:val="bullet"/>
      <w:lvlText w:val=""/>
      <w:lvlJc w:val="left"/>
      <w:pPr>
        <w:ind w:left="6480" w:hanging="360"/>
      </w:pPr>
      <w:rPr>
        <w:rFonts w:ascii="Wingdings" w:hAnsi="Wingdings" w:hint="default"/>
      </w:rPr>
    </w:lvl>
  </w:abstractNum>
  <w:abstractNum w:abstractNumId="13" w15:restartNumberingAfterBreak="0">
    <w:nsid w:val="7027639A"/>
    <w:multiLevelType w:val="hybridMultilevel"/>
    <w:tmpl w:val="CC8A8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1775255">
    <w:abstractNumId w:val="12"/>
  </w:num>
  <w:num w:numId="2" w16cid:durableId="1795252027">
    <w:abstractNumId w:val="0"/>
  </w:num>
  <w:num w:numId="3" w16cid:durableId="1155990301">
    <w:abstractNumId w:val="1"/>
  </w:num>
  <w:num w:numId="4" w16cid:durableId="2052804923">
    <w:abstractNumId w:val="2"/>
  </w:num>
  <w:num w:numId="5" w16cid:durableId="2085908971">
    <w:abstractNumId w:val="3"/>
  </w:num>
  <w:num w:numId="6" w16cid:durableId="284428574">
    <w:abstractNumId w:val="8"/>
  </w:num>
  <w:num w:numId="7" w16cid:durableId="396981857">
    <w:abstractNumId w:val="4"/>
  </w:num>
  <w:num w:numId="8" w16cid:durableId="85228144">
    <w:abstractNumId w:val="5"/>
  </w:num>
  <w:num w:numId="9" w16cid:durableId="1471291342">
    <w:abstractNumId w:val="6"/>
  </w:num>
  <w:num w:numId="10" w16cid:durableId="20983732">
    <w:abstractNumId w:val="7"/>
  </w:num>
  <w:num w:numId="11" w16cid:durableId="443160849">
    <w:abstractNumId w:val="9"/>
  </w:num>
  <w:num w:numId="12" w16cid:durableId="281302957">
    <w:abstractNumId w:val="11"/>
  </w:num>
  <w:num w:numId="13" w16cid:durableId="1357730673">
    <w:abstractNumId w:val="13"/>
  </w:num>
  <w:num w:numId="14" w16cid:durableId="1115757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0110"/>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B5C"/>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5B91"/>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1110"/>
    <w:rsid w:val="001731B9"/>
    <w:rsid w:val="001735DD"/>
    <w:rsid w:val="00176532"/>
    <w:rsid w:val="00177212"/>
    <w:rsid w:val="001813C2"/>
    <w:rsid w:val="0018163E"/>
    <w:rsid w:val="00181B72"/>
    <w:rsid w:val="00182176"/>
    <w:rsid w:val="0018232C"/>
    <w:rsid w:val="00182717"/>
    <w:rsid w:val="0018452C"/>
    <w:rsid w:val="0018468F"/>
    <w:rsid w:val="00184986"/>
    <w:rsid w:val="00184D78"/>
    <w:rsid w:val="00190BDD"/>
    <w:rsid w:val="001920CF"/>
    <w:rsid w:val="00192503"/>
    <w:rsid w:val="00195921"/>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82C"/>
    <w:rsid w:val="001D1D3D"/>
    <w:rsid w:val="001D234D"/>
    <w:rsid w:val="001D5559"/>
    <w:rsid w:val="001D7B03"/>
    <w:rsid w:val="001E043D"/>
    <w:rsid w:val="001E4ED6"/>
    <w:rsid w:val="001E5C4C"/>
    <w:rsid w:val="001E64D6"/>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C27"/>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4C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4DFD"/>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04BB"/>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55F5"/>
    <w:rsid w:val="0031567B"/>
    <w:rsid w:val="00317A94"/>
    <w:rsid w:val="00317B8E"/>
    <w:rsid w:val="00322263"/>
    <w:rsid w:val="00322C3D"/>
    <w:rsid w:val="00323C8B"/>
    <w:rsid w:val="0032578E"/>
    <w:rsid w:val="00325B61"/>
    <w:rsid w:val="00326E26"/>
    <w:rsid w:val="00327D0C"/>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61B"/>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59F1"/>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27F14"/>
    <w:rsid w:val="00430015"/>
    <w:rsid w:val="004301CC"/>
    <w:rsid w:val="004313A1"/>
    <w:rsid w:val="00431A11"/>
    <w:rsid w:val="00431D35"/>
    <w:rsid w:val="0043226F"/>
    <w:rsid w:val="004346FA"/>
    <w:rsid w:val="00435490"/>
    <w:rsid w:val="0043550B"/>
    <w:rsid w:val="00435529"/>
    <w:rsid w:val="004366A2"/>
    <w:rsid w:val="00441907"/>
    <w:rsid w:val="004419D6"/>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061C"/>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38D"/>
    <w:rsid w:val="004C64E0"/>
    <w:rsid w:val="004D05E5"/>
    <w:rsid w:val="004D155C"/>
    <w:rsid w:val="004D2940"/>
    <w:rsid w:val="004D3897"/>
    <w:rsid w:val="004D3A62"/>
    <w:rsid w:val="004D4B43"/>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0CE6"/>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3930"/>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69A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048"/>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6DD2"/>
    <w:rsid w:val="00607F42"/>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35B1"/>
    <w:rsid w:val="006F51AC"/>
    <w:rsid w:val="006F5D5A"/>
    <w:rsid w:val="00701820"/>
    <w:rsid w:val="00701A86"/>
    <w:rsid w:val="00701ED4"/>
    <w:rsid w:val="0070605F"/>
    <w:rsid w:val="00710178"/>
    <w:rsid w:val="00713427"/>
    <w:rsid w:val="00713F81"/>
    <w:rsid w:val="007152E6"/>
    <w:rsid w:val="0071602D"/>
    <w:rsid w:val="007165FD"/>
    <w:rsid w:val="007177B2"/>
    <w:rsid w:val="00720ADF"/>
    <w:rsid w:val="007225BE"/>
    <w:rsid w:val="00724AF6"/>
    <w:rsid w:val="00731F8F"/>
    <w:rsid w:val="007332B1"/>
    <w:rsid w:val="00733823"/>
    <w:rsid w:val="00735225"/>
    <w:rsid w:val="00742DC7"/>
    <w:rsid w:val="007430DB"/>
    <w:rsid w:val="0074462C"/>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1BF3"/>
    <w:rsid w:val="00792CC1"/>
    <w:rsid w:val="00795076"/>
    <w:rsid w:val="007954B6"/>
    <w:rsid w:val="00795960"/>
    <w:rsid w:val="00795D10"/>
    <w:rsid w:val="007961E6"/>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959"/>
    <w:rsid w:val="00806966"/>
    <w:rsid w:val="00806E6A"/>
    <w:rsid w:val="00810EF2"/>
    <w:rsid w:val="00811199"/>
    <w:rsid w:val="00811DC7"/>
    <w:rsid w:val="00813F77"/>
    <w:rsid w:val="00815F53"/>
    <w:rsid w:val="008224EC"/>
    <w:rsid w:val="00822CA9"/>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3E85"/>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17B3"/>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315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10C"/>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12F4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52B0"/>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59E"/>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458"/>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47798"/>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A45"/>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5FD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24"/>
    <w:rsid w:val="00D36397"/>
    <w:rsid w:val="00D3679D"/>
    <w:rsid w:val="00D36F0D"/>
    <w:rsid w:val="00D405C7"/>
    <w:rsid w:val="00D424D2"/>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58C"/>
    <w:rsid w:val="00D6405F"/>
    <w:rsid w:val="00D64366"/>
    <w:rsid w:val="00D65909"/>
    <w:rsid w:val="00D65C72"/>
    <w:rsid w:val="00D666A3"/>
    <w:rsid w:val="00D67184"/>
    <w:rsid w:val="00D67C25"/>
    <w:rsid w:val="00D70720"/>
    <w:rsid w:val="00D72883"/>
    <w:rsid w:val="00D73689"/>
    <w:rsid w:val="00D74C98"/>
    <w:rsid w:val="00D76FEB"/>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26A6"/>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177F0"/>
    <w:rsid w:val="00E203E1"/>
    <w:rsid w:val="00E213CF"/>
    <w:rsid w:val="00E2412D"/>
    <w:rsid w:val="00E254FA"/>
    <w:rsid w:val="00E26DA9"/>
    <w:rsid w:val="00E27B6C"/>
    <w:rsid w:val="00E30521"/>
    <w:rsid w:val="00E31FD9"/>
    <w:rsid w:val="00E328B5"/>
    <w:rsid w:val="00E330CE"/>
    <w:rsid w:val="00E33D1A"/>
    <w:rsid w:val="00E341DD"/>
    <w:rsid w:val="00E344F5"/>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13EF"/>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36AF"/>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3334"/>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61A"/>
    <w:rsid w:val="00FA19E0"/>
    <w:rsid w:val="00FA1C91"/>
    <w:rsid w:val="00FA21D7"/>
    <w:rsid w:val="00FA2655"/>
    <w:rsid w:val="00FA3785"/>
    <w:rsid w:val="00FA3976"/>
    <w:rsid w:val="00FA4DAF"/>
    <w:rsid w:val="00FA68E5"/>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B68"/>
    <w:rsid w:val="00FF6FB1"/>
    <w:rsid w:val="00FF7756"/>
    <w:rsid w:val="019A45FD"/>
    <w:rsid w:val="02AA09E9"/>
    <w:rsid w:val="032CCC8D"/>
    <w:rsid w:val="043FEE89"/>
    <w:rsid w:val="053C10B5"/>
    <w:rsid w:val="06232169"/>
    <w:rsid w:val="0931190B"/>
    <w:rsid w:val="095CED6D"/>
    <w:rsid w:val="09AB60CC"/>
    <w:rsid w:val="0A93EBD9"/>
    <w:rsid w:val="0B05ED5E"/>
    <w:rsid w:val="0CE33263"/>
    <w:rsid w:val="0CEE3F95"/>
    <w:rsid w:val="11384F5E"/>
    <w:rsid w:val="159BFE3F"/>
    <w:rsid w:val="15A4321B"/>
    <w:rsid w:val="1D32BDA5"/>
    <w:rsid w:val="20319F3D"/>
    <w:rsid w:val="226CF96B"/>
    <w:rsid w:val="235CDC65"/>
    <w:rsid w:val="250DDC89"/>
    <w:rsid w:val="265497DE"/>
    <w:rsid w:val="2CC84046"/>
    <w:rsid w:val="2CEA72D7"/>
    <w:rsid w:val="2FCE1D4D"/>
    <w:rsid w:val="3120EB13"/>
    <w:rsid w:val="338536EF"/>
    <w:rsid w:val="3430A8B4"/>
    <w:rsid w:val="35D7BC76"/>
    <w:rsid w:val="37DCF16C"/>
    <w:rsid w:val="390A4F4C"/>
    <w:rsid w:val="3ADA0A76"/>
    <w:rsid w:val="3B5601EA"/>
    <w:rsid w:val="3DDE8842"/>
    <w:rsid w:val="4053B3D5"/>
    <w:rsid w:val="40F40CD9"/>
    <w:rsid w:val="41CDD9B4"/>
    <w:rsid w:val="4289A1C9"/>
    <w:rsid w:val="440ACDCD"/>
    <w:rsid w:val="441CAAB8"/>
    <w:rsid w:val="4548D5AE"/>
    <w:rsid w:val="4699F945"/>
    <w:rsid w:val="46F0AF21"/>
    <w:rsid w:val="470E83A9"/>
    <w:rsid w:val="498E49F5"/>
    <w:rsid w:val="4C492464"/>
    <w:rsid w:val="4C9900CA"/>
    <w:rsid w:val="4CFBFDFF"/>
    <w:rsid w:val="4F0B28EA"/>
    <w:rsid w:val="51B8ACA0"/>
    <w:rsid w:val="531653EB"/>
    <w:rsid w:val="5A9E9898"/>
    <w:rsid w:val="5B50ACE1"/>
    <w:rsid w:val="5D19522D"/>
    <w:rsid w:val="5E7D1C22"/>
    <w:rsid w:val="5F03222B"/>
    <w:rsid w:val="6062055A"/>
    <w:rsid w:val="61F8555F"/>
    <w:rsid w:val="68DEC928"/>
    <w:rsid w:val="695A31BD"/>
    <w:rsid w:val="6BDF179B"/>
    <w:rsid w:val="6E2080ED"/>
    <w:rsid w:val="6F38AAF0"/>
    <w:rsid w:val="6F6A5EC0"/>
    <w:rsid w:val="6F9D4B28"/>
    <w:rsid w:val="718EE836"/>
    <w:rsid w:val="72B3284D"/>
    <w:rsid w:val="737D89EA"/>
    <w:rsid w:val="740B2A92"/>
    <w:rsid w:val="74EF1F32"/>
    <w:rsid w:val="7A6475FC"/>
    <w:rsid w:val="7B082D18"/>
    <w:rsid w:val="7E51D4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3B7FEC40-3F60-4C00-A9CF-0F7343949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link w:val="Heading2Char"/>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customStyle="1" w:styleId="Heading2Char">
    <w:name w:val="Heading 2 Char"/>
    <w:basedOn w:val="DefaultParagraphFont"/>
    <w:link w:val="Heading2"/>
    <w:rsid w:val="00533930"/>
    <w:rPr>
      <w:rFonts w:ascii="Arial Bold" w:hAnsi="Arial Bold" w:cs="Arial"/>
      <w:b/>
      <w:bCs/>
      <w:iCs/>
      <w:color w:val="F89A44"/>
      <w:sz w:val="30"/>
      <w:szCs w:val="30"/>
      <w:lang w:eastAsia="en-AU"/>
    </w:rPr>
  </w:style>
  <w:style w:type="character" w:styleId="Hyperlink">
    <w:name w:val="Hyperlink"/>
    <w:basedOn w:val="DefaultParagraphFont"/>
    <w:uiPriority w:val="99"/>
    <w:unhideWhenUsed/>
    <w:rsid w:val="00533930"/>
    <w:rPr>
      <w:color w:val="0563C1" w:themeColor="hyperlink"/>
      <w:u w:val="single"/>
    </w:rPr>
  </w:style>
  <w:style w:type="paragraph" w:styleId="ListParagraph">
    <w:name w:val="List Paragraph"/>
    <w:basedOn w:val="Normal"/>
    <w:uiPriority w:val="34"/>
    <w:qFormat/>
    <w:rsid w:val="00533930"/>
    <w:pPr>
      <w:ind w:left="720"/>
      <w:contextualSpacing/>
    </w:p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AU"/>
    </w:rPr>
  </w:style>
  <w:style w:type="character" w:styleId="CommentReference">
    <w:name w:val="annotation reference"/>
    <w:basedOn w:val="DefaultParagraphFont"/>
    <w:rPr>
      <w:sz w:val="16"/>
      <w:szCs w:val="16"/>
    </w:rPr>
  </w:style>
  <w:style w:type="paragraph" w:styleId="Revision">
    <w:name w:val="Revision"/>
    <w:hidden/>
    <w:uiPriority w:val="71"/>
    <w:rsid w:val="0074462C"/>
    <w:rPr>
      <w:rFonts w:ascii="Arial" w:hAnsi="Arial"/>
      <w:sz w:val="22"/>
      <w:szCs w:val="24"/>
      <w:lang w:eastAsia="en-AU"/>
    </w:rPr>
  </w:style>
  <w:style w:type="paragraph" w:styleId="CommentSubject">
    <w:name w:val="annotation subject"/>
    <w:basedOn w:val="CommentText"/>
    <w:next w:val="CommentText"/>
    <w:link w:val="CommentSubjectChar"/>
    <w:rsid w:val="00791BF3"/>
    <w:rPr>
      <w:b/>
      <w:bCs/>
    </w:rPr>
  </w:style>
  <w:style w:type="character" w:customStyle="1" w:styleId="CommentSubjectChar">
    <w:name w:val="Comment Subject Char"/>
    <w:basedOn w:val="CommentTextChar"/>
    <w:link w:val="CommentSubject"/>
    <w:rsid w:val="00791BF3"/>
    <w:rPr>
      <w:rFonts w:ascii="Arial" w:hAnsi="Arial"/>
      <w:b/>
      <w:bCs/>
      <w:lang w:eastAsia="en-AU"/>
    </w:rPr>
  </w:style>
  <w:style w:type="character" w:styleId="Mention">
    <w:name w:val="Mention"/>
    <w:basedOn w:val="DefaultParagraphFont"/>
    <w:uiPriority w:val="99"/>
    <w:unhideWhenUsed/>
    <w:rsid w:val="00791BF3"/>
    <w:rPr>
      <w:color w:val="2B579A"/>
      <w:shd w:val="clear" w:color="auto" w:fill="E1DFDD"/>
    </w:rPr>
  </w:style>
  <w:style w:type="character" w:customStyle="1" w:styleId="normaltextrun">
    <w:name w:val="normaltextrun"/>
    <w:basedOn w:val="DefaultParagraphFont"/>
    <w:rsid w:val="00791BF3"/>
  </w:style>
  <w:style w:type="character" w:styleId="UnresolvedMention">
    <w:name w:val="Unresolved Mention"/>
    <w:basedOn w:val="DefaultParagraphFont"/>
    <w:uiPriority w:val="99"/>
    <w:semiHidden/>
    <w:unhideWhenUsed/>
    <w:rsid w:val="00B96A45"/>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rsid w:val="00D363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gov.qld.gov.au/finance-and-procurement/procurement/procurement-resources/templates-including-terms-and-conditions/social-services-templates/when-to-use-the-service-agreement-standard-terms-social-servic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tandards.aasb.gov.au/accounting-stand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asb.gov.au/pronouncements/statement-of-accounting-concep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siness.qld.gov.au/running-business/fin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9bf855-bcb7-404a-9f69-62df859ff354" xsi:nil="true"/>
    <lcf76f155ced4ddcb4097134ff3c332f xmlns="7729fc66-1aa1-4157-9d17-346f50a0971a">
      <Terms xmlns="http://schemas.microsoft.com/office/infopath/2007/PartnerControls"/>
    </lcf76f155ced4ddcb4097134ff3c332f>
    <Status xmlns="7729fc66-1aa1-4157-9d17-346f50a0971a">Draft</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EBD3E5B9CB09478763B7EFF5210F22" ma:contentTypeVersion="15" ma:contentTypeDescription="Create a new document." ma:contentTypeScope="" ma:versionID="4804479afbc5097d8ce40e094d1b326b">
  <xsd:schema xmlns:xsd="http://www.w3.org/2001/XMLSchema" xmlns:xs="http://www.w3.org/2001/XMLSchema" xmlns:p="http://schemas.microsoft.com/office/2006/metadata/properties" xmlns:ns2="7729fc66-1aa1-4157-9d17-346f50a0971a" xmlns:ns3="859bf855-bcb7-404a-9f69-62df859ff354" targetNamespace="http://schemas.microsoft.com/office/2006/metadata/properties" ma:root="true" ma:fieldsID="857adb9e3a275b0d2cc9026584920a11" ns2:_="" ns3:_="">
    <xsd:import namespace="7729fc66-1aa1-4157-9d17-346f50a0971a"/>
    <xsd:import namespace="859bf855-bcb7-404a-9f69-62df859ff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Status"/>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fc66-1aa1-4157-9d17-346f50a09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Status" ma:index="21" ma:displayName="Status" ma:default="Draft" ma:format="RadioButtons" ma:internalName="Status">
      <xsd:simpleType>
        <xsd:restriction base="dms:Choice">
          <xsd:enumeration value="Draft"/>
          <xsd:enumeration value="Consultation drafts"/>
          <xsd:enumeration value="Pending approval drafts"/>
          <xsd:enumeration value="Archived - do not use"/>
          <xsd:enumeration value="Hyperlink"/>
          <xsd:enumeration value="Primary source"/>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9bf855-bcb7-404a-9f69-62df859ff35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db4dec6-17e9-4474-9f1a-5c933945a678}" ma:internalName="TaxCatchAll" ma:showField="CatchAllData" ma:web="859bf855-bcb7-404a-9f69-62df859ff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15A40-38A2-4516-9C8C-E0E05458A0C7}">
  <ds:schemaRefs>
    <ds:schemaRef ds:uri="http://schemas.openxmlformats.org/officeDocument/2006/bibliography"/>
  </ds:schemaRefs>
</ds:datastoreItem>
</file>

<file path=customXml/itemProps2.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3.xml><?xml version="1.0" encoding="utf-8"?>
<ds:datastoreItem xmlns:ds="http://schemas.openxmlformats.org/officeDocument/2006/customXml" ds:itemID="{3E7E02C5-FF20-483F-945A-D4C9A257AC0B}">
  <ds:schemaRefs>
    <ds:schemaRef ds:uri="http://schemas.microsoft.com/office/2006/metadata/properties"/>
    <ds:schemaRef ds:uri="http://schemas.microsoft.com/office/infopath/2007/PartnerControls"/>
    <ds:schemaRef ds:uri="859bf855-bcb7-404a-9f69-62df859ff354"/>
    <ds:schemaRef ds:uri="7729fc66-1aa1-4157-9d17-346f50a0971a"/>
  </ds:schemaRefs>
</ds:datastoreItem>
</file>

<file path=customXml/itemProps4.xml><?xml version="1.0" encoding="utf-8"?>
<ds:datastoreItem xmlns:ds="http://schemas.openxmlformats.org/officeDocument/2006/customXml" ds:itemID="{5E418188-5F6F-4A25-8850-AA4511967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9fc66-1aa1-4157-9d17-346f50a0971a"/>
    <ds:schemaRef ds:uri="859bf855-bcb7-404a-9f69-62df859ff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Youth Justice factsheet A4 portrait</vt:lpstr>
    </vt:vector>
  </TitlesOfParts>
  <Manager>Department of Communities, Child Safety and Disability Services</Manager>
  <Company>Queensland Government</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factsheet A4 portrait</dc:title>
  <dc:subject>Template</dc:subject>
  <dc:creator>Queensland Government</dc:creator>
  <cp:keywords>fact sheet; template; A4; portrait</cp:keywords>
  <cp:lastModifiedBy>Karen Ashton</cp:lastModifiedBy>
  <cp:revision>2</cp:revision>
  <cp:lastPrinted>2025-02-19T04:33:00Z</cp:lastPrinted>
  <dcterms:created xsi:type="dcterms:W3CDTF">2025-02-19T05:14:00Z</dcterms:created>
  <dcterms:modified xsi:type="dcterms:W3CDTF">2025-02-19T05:14:00Z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0x0101004FEBD3E5B9CB09478763B7EFF5210F22</vt:lpwstr>
  </property>
  <property fmtid="{D5CDD505-2E9C-101B-9397-08002B2CF9AE}" pid="3" name="_dlc_DocIdItemGuid">
    <vt:lpwstr>f8583f6e-bac2-429c-a1a1-ecdc2cbcb197</vt:lpwstr>
  </property>
  <property fmtid="{D5CDD505-2E9C-101B-9397-08002B2CF9AE}" pid="4" name="MediaServiceImageTags">
    <vt:lpwstr/>
  </property>
</Properties>
</file>