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98959" w14:textId="77777777" w:rsidR="00245208" w:rsidRDefault="00245208" w:rsidP="00793AEF">
      <w:pPr>
        <w:jc w:val="both"/>
      </w:pPr>
    </w:p>
    <w:p w14:paraId="5E172546" w14:textId="77777777" w:rsidR="00247D9F" w:rsidRDefault="00247D9F" w:rsidP="00793AEF">
      <w:pPr>
        <w:jc w:val="both"/>
      </w:pPr>
    </w:p>
    <w:p w14:paraId="38FDD7B4" w14:textId="77777777" w:rsidR="00247D9F" w:rsidRDefault="00247D9F" w:rsidP="00793AEF">
      <w:pPr>
        <w:jc w:val="both"/>
      </w:pPr>
    </w:p>
    <w:p w14:paraId="7D48F618" w14:textId="77777777" w:rsidR="00247D9F" w:rsidRDefault="00247D9F" w:rsidP="00793AEF">
      <w:pPr>
        <w:jc w:val="both"/>
      </w:pPr>
    </w:p>
    <w:p w14:paraId="3B55C666" w14:textId="77777777" w:rsidR="00DF24D6" w:rsidRDefault="00DF24D6" w:rsidP="00793AEF">
      <w:pPr>
        <w:pStyle w:val="Heading1"/>
        <w:jc w:val="both"/>
      </w:pPr>
    </w:p>
    <w:p w14:paraId="44C63531" w14:textId="77777777" w:rsidR="00DF24D6" w:rsidRPr="00D148FB" w:rsidRDefault="00DF24D6" w:rsidP="00D148FB">
      <w:pPr>
        <w:jc w:val="center"/>
        <w:rPr>
          <w:b/>
          <w:bCs/>
          <w:color w:val="276F72" w:themeColor="accent2" w:themeShade="80"/>
          <w:sz w:val="60"/>
          <w:szCs w:val="60"/>
        </w:rPr>
      </w:pPr>
    </w:p>
    <w:p w14:paraId="56480141" w14:textId="0F96CEAE" w:rsidR="00D35A1B" w:rsidRPr="00D148FB" w:rsidRDefault="00D35A1B" w:rsidP="00D148FB">
      <w:pPr>
        <w:jc w:val="center"/>
        <w:rPr>
          <w:b/>
          <w:bCs/>
          <w:color w:val="276F72" w:themeColor="accent2" w:themeShade="80"/>
          <w:sz w:val="60"/>
          <w:szCs w:val="60"/>
        </w:rPr>
      </w:pPr>
      <w:r w:rsidRPr="00D148FB">
        <w:rPr>
          <w:b/>
          <w:bCs/>
          <w:color w:val="276F72" w:themeColor="accent2" w:themeShade="80"/>
          <w:sz w:val="60"/>
          <w:szCs w:val="60"/>
        </w:rPr>
        <w:t>Consultation Guide</w:t>
      </w:r>
    </w:p>
    <w:p w14:paraId="7D671165" w14:textId="77777777" w:rsidR="00D35A1B" w:rsidRPr="00D148FB" w:rsidRDefault="00D35A1B" w:rsidP="00D148FB">
      <w:pPr>
        <w:jc w:val="center"/>
        <w:rPr>
          <w:b/>
          <w:bCs/>
          <w:color w:val="276F72" w:themeColor="accent2" w:themeShade="80"/>
          <w:sz w:val="60"/>
          <w:szCs w:val="60"/>
        </w:rPr>
      </w:pPr>
    </w:p>
    <w:p w14:paraId="1C52481E" w14:textId="231DEFA7" w:rsidR="00D35A1B" w:rsidRPr="00D148FB" w:rsidRDefault="00D35A1B" w:rsidP="00D148FB">
      <w:pPr>
        <w:jc w:val="center"/>
        <w:rPr>
          <w:b/>
          <w:bCs/>
          <w:color w:val="276F72" w:themeColor="accent2" w:themeShade="80"/>
          <w:sz w:val="60"/>
          <w:szCs w:val="60"/>
        </w:rPr>
      </w:pPr>
      <w:r w:rsidRPr="00D148FB">
        <w:rPr>
          <w:b/>
          <w:bCs/>
          <w:color w:val="276F72" w:themeColor="accent2" w:themeShade="80"/>
          <w:sz w:val="60"/>
          <w:szCs w:val="60"/>
        </w:rPr>
        <w:t>Anti-Discrimination Bill 2024</w:t>
      </w:r>
    </w:p>
    <w:p w14:paraId="5EDC0F02" w14:textId="7D4BE7B0" w:rsidR="00DF24D6" w:rsidRPr="00D148FB" w:rsidRDefault="00D35A1B" w:rsidP="00D148FB">
      <w:pPr>
        <w:jc w:val="center"/>
        <w:rPr>
          <w:b/>
          <w:bCs/>
          <w:color w:val="276F72" w:themeColor="accent2" w:themeShade="80"/>
          <w:sz w:val="60"/>
          <w:szCs w:val="60"/>
        </w:rPr>
      </w:pPr>
      <w:r w:rsidRPr="00D148FB">
        <w:rPr>
          <w:b/>
          <w:bCs/>
          <w:color w:val="276F72" w:themeColor="accent2" w:themeShade="80"/>
          <w:sz w:val="60"/>
          <w:szCs w:val="60"/>
        </w:rPr>
        <w:t>(Exposure Draft)</w:t>
      </w:r>
    </w:p>
    <w:p w14:paraId="64044ECF" w14:textId="14504F6A" w:rsidR="00D35A1B" w:rsidRPr="00D148FB" w:rsidRDefault="00D35A1B" w:rsidP="00D148FB">
      <w:pPr>
        <w:jc w:val="center"/>
        <w:rPr>
          <w:b/>
          <w:bCs/>
          <w:color w:val="276F72" w:themeColor="accent2" w:themeShade="80"/>
          <w:sz w:val="60"/>
          <w:szCs w:val="60"/>
        </w:rPr>
      </w:pPr>
    </w:p>
    <w:p w14:paraId="680364C8" w14:textId="77777777" w:rsidR="00D35A1B" w:rsidRPr="00D148FB" w:rsidRDefault="00D35A1B" w:rsidP="00D148FB">
      <w:pPr>
        <w:jc w:val="center"/>
        <w:rPr>
          <w:b/>
          <w:bCs/>
          <w:color w:val="276F72" w:themeColor="accent2" w:themeShade="80"/>
          <w:sz w:val="60"/>
          <w:szCs w:val="60"/>
        </w:rPr>
      </w:pPr>
    </w:p>
    <w:p w14:paraId="7CC40E7B" w14:textId="77777777" w:rsidR="00D35A1B" w:rsidRPr="00D148FB" w:rsidRDefault="00D35A1B" w:rsidP="00D148FB">
      <w:pPr>
        <w:jc w:val="center"/>
        <w:rPr>
          <w:b/>
          <w:bCs/>
          <w:color w:val="045079" w:themeColor="accent1" w:themeTint="E6"/>
          <w:sz w:val="40"/>
          <w:szCs w:val="40"/>
        </w:rPr>
      </w:pPr>
      <w:r w:rsidRPr="00D148FB">
        <w:rPr>
          <w:b/>
          <w:bCs/>
          <w:color w:val="045079" w:themeColor="accent1" w:themeTint="E6"/>
          <w:sz w:val="40"/>
          <w:szCs w:val="40"/>
        </w:rPr>
        <w:t>February 2024</w:t>
      </w:r>
    </w:p>
    <w:p w14:paraId="086C6CB0" w14:textId="77777777" w:rsidR="00D35A1B" w:rsidRDefault="00D35A1B" w:rsidP="00793AEF">
      <w:pPr>
        <w:jc w:val="both"/>
        <w:rPr>
          <w:rFonts w:cs="Arial"/>
          <w:b/>
          <w:bCs/>
        </w:rPr>
      </w:pPr>
    </w:p>
    <w:p w14:paraId="429253E9" w14:textId="77777777" w:rsidR="00D35A1B" w:rsidRDefault="00D35A1B" w:rsidP="00793AEF">
      <w:pPr>
        <w:jc w:val="both"/>
        <w:rPr>
          <w:rFonts w:cs="Arial"/>
          <w:b/>
          <w:bCs/>
          <w:i/>
          <w:iCs/>
        </w:rPr>
      </w:pPr>
    </w:p>
    <w:p w14:paraId="47D8B221" w14:textId="77777777" w:rsidR="00D35A1B" w:rsidRDefault="00D35A1B" w:rsidP="00793AEF">
      <w:pPr>
        <w:jc w:val="both"/>
        <w:rPr>
          <w:rFonts w:cs="Arial"/>
          <w:b/>
          <w:bCs/>
          <w:i/>
          <w:iCs/>
        </w:rPr>
      </w:pPr>
    </w:p>
    <w:p w14:paraId="5F368470" w14:textId="77777777" w:rsidR="00D35A1B" w:rsidRDefault="00D35A1B" w:rsidP="00793AEF">
      <w:pPr>
        <w:jc w:val="both"/>
        <w:rPr>
          <w:rFonts w:cs="Arial"/>
          <w:b/>
          <w:bCs/>
          <w:i/>
          <w:iCs/>
        </w:rPr>
      </w:pPr>
    </w:p>
    <w:p w14:paraId="49839E78" w14:textId="77777777" w:rsidR="00D35A1B" w:rsidRPr="00CB1D11" w:rsidRDefault="00D35A1B" w:rsidP="00054A4F">
      <w:pPr>
        <w:jc w:val="center"/>
        <w:rPr>
          <w:rFonts w:cs="Arial"/>
          <w:color w:val="0F8187"/>
          <w:szCs w:val="22"/>
        </w:rPr>
      </w:pPr>
      <w:r w:rsidRPr="00CB1D11">
        <w:rPr>
          <w:rFonts w:cs="Arial"/>
          <w:color w:val="0F8187"/>
          <w:szCs w:val="22"/>
        </w:rPr>
        <w:t>This document does not represent government policy</w:t>
      </w:r>
    </w:p>
    <w:p w14:paraId="59633D01" w14:textId="77777777" w:rsidR="00D35A1B" w:rsidRPr="00D84996" w:rsidRDefault="00D35A1B" w:rsidP="00793AEF">
      <w:pPr>
        <w:jc w:val="both"/>
        <w:rPr>
          <w:rFonts w:cs="Arial"/>
        </w:rPr>
      </w:pPr>
    </w:p>
    <w:p w14:paraId="4F284048" w14:textId="77777777" w:rsidR="00D35A1B" w:rsidRDefault="00D35A1B" w:rsidP="00793AEF">
      <w:pPr>
        <w:jc w:val="both"/>
        <w:rPr>
          <w:rFonts w:cs="Arial"/>
        </w:rPr>
      </w:pPr>
    </w:p>
    <w:p w14:paraId="4EB15301" w14:textId="0C658312" w:rsidR="00D35A1B" w:rsidRDefault="00D35A1B" w:rsidP="00793AEF">
      <w:pPr>
        <w:spacing w:after="0"/>
        <w:jc w:val="both"/>
      </w:pPr>
      <w:r>
        <w:br w:type="page"/>
      </w:r>
    </w:p>
    <w:p w14:paraId="2D620B67" w14:textId="77777777" w:rsidR="00D35A1B" w:rsidRPr="00D35A1B" w:rsidRDefault="00D35A1B" w:rsidP="00793AEF">
      <w:pPr>
        <w:jc w:val="both"/>
      </w:pPr>
    </w:p>
    <w:p w14:paraId="48B5803A" w14:textId="2AC6E820" w:rsidR="00DF24D6" w:rsidRDefault="00DF24D6" w:rsidP="004E49AC">
      <w:pPr>
        <w:pStyle w:val="Heading2"/>
      </w:pPr>
      <w:bookmarkStart w:id="0" w:name="_Toc158631509"/>
      <w:bookmarkStart w:id="1" w:name="_Toc158631832"/>
      <w:bookmarkStart w:id="2" w:name="_Toc159520240"/>
      <w:r w:rsidRPr="00DF24D6">
        <w:t>Executive Summary</w:t>
      </w:r>
      <w:bookmarkEnd w:id="0"/>
      <w:bookmarkEnd w:id="1"/>
      <w:bookmarkEnd w:id="2"/>
    </w:p>
    <w:p w14:paraId="7C372746" w14:textId="43954F37" w:rsidR="00AE7B9E" w:rsidRPr="00AE7B9E" w:rsidRDefault="00DF24D6" w:rsidP="00AE7B9E">
      <w:pPr>
        <w:spacing w:after="160" w:line="259" w:lineRule="auto"/>
        <w:jc w:val="both"/>
        <w:rPr>
          <w:szCs w:val="20"/>
        </w:rPr>
      </w:pPr>
      <w:r w:rsidRPr="004B692B">
        <w:rPr>
          <w:szCs w:val="20"/>
        </w:rPr>
        <w:t>The Department of Justice and Attorney-General</w:t>
      </w:r>
      <w:r w:rsidR="00F72D10">
        <w:rPr>
          <w:szCs w:val="20"/>
        </w:rPr>
        <w:t xml:space="preserve"> (DJAG) </w:t>
      </w:r>
      <w:r w:rsidRPr="004B692B">
        <w:rPr>
          <w:szCs w:val="20"/>
        </w:rPr>
        <w:t>invites your comment</w:t>
      </w:r>
      <w:r w:rsidR="00F72D10">
        <w:rPr>
          <w:szCs w:val="20"/>
        </w:rPr>
        <w:t>s</w:t>
      </w:r>
      <w:r w:rsidRPr="004B692B">
        <w:rPr>
          <w:szCs w:val="20"/>
        </w:rPr>
        <w:t xml:space="preserve"> on proposals to modernise Queensland’s anti-discrimination laws. </w:t>
      </w:r>
      <w:bookmarkStart w:id="3" w:name="_Toc158631510"/>
      <w:bookmarkStart w:id="4" w:name="_Toc158631833"/>
      <w:r w:rsidR="00AE7B9E" w:rsidRPr="00AE7B9E">
        <w:rPr>
          <w:szCs w:val="20"/>
        </w:rPr>
        <w:t>The purpose of the</w:t>
      </w:r>
      <w:r w:rsidR="00AE7B9E">
        <w:rPr>
          <w:szCs w:val="20"/>
        </w:rPr>
        <w:t xml:space="preserve"> draft Anti-Discrimination Bill 2024 (the</w:t>
      </w:r>
      <w:r w:rsidR="00AE7B9E" w:rsidRPr="00AE7B9E">
        <w:rPr>
          <w:szCs w:val="20"/>
        </w:rPr>
        <w:t xml:space="preserve"> draft Bi</w:t>
      </w:r>
      <w:r w:rsidR="00E543F1">
        <w:rPr>
          <w:szCs w:val="20"/>
        </w:rPr>
        <w:t>l</w:t>
      </w:r>
      <w:r w:rsidR="00AE7B9E" w:rsidRPr="00AE7B9E">
        <w:rPr>
          <w:szCs w:val="20"/>
        </w:rPr>
        <w:t>l</w:t>
      </w:r>
      <w:r w:rsidR="00AE7B9E">
        <w:rPr>
          <w:szCs w:val="20"/>
        </w:rPr>
        <w:t>)</w:t>
      </w:r>
      <w:r w:rsidR="00AE7B9E" w:rsidRPr="00AE7B9E">
        <w:rPr>
          <w:szCs w:val="20"/>
        </w:rPr>
        <w:t xml:space="preserve"> is to: </w:t>
      </w:r>
    </w:p>
    <w:p w14:paraId="6AEA9779" w14:textId="77777777" w:rsidR="00AE7B9E" w:rsidRPr="00AE7B9E" w:rsidRDefault="00AE7B9E" w:rsidP="00AE7B9E">
      <w:pPr>
        <w:numPr>
          <w:ilvl w:val="0"/>
          <w:numId w:val="3"/>
        </w:numPr>
        <w:spacing w:after="160" w:line="259" w:lineRule="auto"/>
        <w:jc w:val="both"/>
        <w:rPr>
          <w:szCs w:val="20"/>
        </w:rPr>
      </w:pPr>
      <w:r w:rsidRPr="00AE7B9E">
        <w:rPr>
          <w:szCs w:val="20"/>
        </w:rPr>
        <w:t>promote and protect the rights to equality and non-discrimination;</w:t>
      </w:r>
    </w:p>
    <w:p w14:paraId="44C1DE4A" w14:textId="77777777" w:rsidR="00AE7B9E" w:rsidRPr="00AE7B9E" w:rsidRDefault="00AE7B9E" w:rsidP="00AE7B9E">
      <w:pPr>
        <w:numPr>
          <w:ilvl w:val="0"/>
          <w:numId w:val="3"/>
        </w:numPr>
        <w:spacing w:after="160" w:line="259" w:lineRule="auto"/>
        <w:jc w:val="both"/>
        <w:rPr>
          <w:szCs w:val="20"/>
        </w:rPr>
      </w:pPr>
      <w:r w:rsidRPr="00AE7B9E">
        <w:rPr>
          <w:szCs w:val="20"/>
        </w:rPr>
        <w:t xml:space="preserve">eliminate </w:t>
      </w:r>
      <w:bookmarkStart w:id="5" w:name="_Hlk158559100"/>
      <w:r w:rsidRPr="00AE7B9E">
        <w:rPr>
          <w:szCs w:val="20"/>
        </w:rPr>
        <w:t xml:space="preserve">discrimination, sexual harassment, vilification and other unlawful conduct </w:t>
      </w:r>
      <w:bookmarkEnd w:id="5"/>
      <w:r w:rsidRPr="00AE7B9E">
        <w:rPr>
          <w:szCs w:val="20"/>
        </w:rPr>
        <w:t xml:space="preserve">to the greatest extent possible; </w:t>
      </w:r>
    </w:p>
    <w:p w14:paraId="5C7994EC" w14:textId="77777777" w:rsidR="00AE7B9E" w:rsidRPr="00AE7B9E" w:rsidRDefault="00AE7B9E" w:rsidP="00AE7B9E">
      <w:pPr>
        <w:numPr>
          <w:ilvl w:val="0"/>
          <w:numId w:val="3"/>
        </w:numPr>
        <w:spacing w:after="160" w:line="259" w:lineRule="auto"/>
        <w:jc w:val="both"/>
        <w:rPr>
          <w:szCs w:val="20"/>
        </w:rPr>
      </w:pPr>
      <w:r w:rsidRPr="00AE7B9E">
        <w:rPr>
          <w:szCs w:val="20"/>
        </w:rPr>
        <w:t>promote and facilitate the identification and elimination of systemic causes of discrimination, sexual harassment, vilification and victimisation;</w:t>
      </w:r>
    </w:p>
    <w:p w14:paraId="3F530BFC" w14:textId="77777777" w:rsidR="00AE7B9E" w:rsidRPr="00AE7B9E" w:rsidRDefault="00AE7B9E" w:rsidP="00AE7B9E">
      <w:pPr>
        <w:numPr>
          <w:ilvl w:val="0"/>
          <w:numId w:val="3"/>
        </w:numPr>
        <w:spacing w:after="160" w:line="259" w:lineRule="auto"/>
        <w:jc w:val="both"/>
        <w:rPr>
          <w:szCs w:val="20"/>
        </w:rPr>
      </w:pPr>
      <w:r w:rsidRPr="00AE7B9E">
        <w:rPr>
          <w:szCs w:val="20"/>
        </w:rPr>
        <w:t>promote and facilitate voluntary compliance with the legislation; and</w:t>
      </w:r>
    </w:p>
    <w:p w14:paraId="6FFF8BC0" w14:textId="77777777" w:rsidR="00AE7B9E" w:rsidRPr="00AE7B9E" w:rsidRDefault="00AE7B9E" w:rsidP="00AE7B9E">
      <w:pPr>
        <w:numPr>
          <w:ilvl w:val="0"/>
          <w:numId w:val="3"/>
        </w:numPr>
        <w:spacing w:after="160" w:line="259" w:lineRule="auto"/>
        <w:jc w:val="both"/>
        <w:rPr>
          <w:szCs w:val="20"/>
        </w:rPr>
      </w:pPr>
      <w:r w:rsidRPr="00AE7B9E">
        <w:rPr>
          <w:szCs w:val="20"/>
        </w:rPr>
        <w:t xml:space="preserve">establish a flexible and efficient process for resolving complaints about alleged contraventions of the legislation. </w:t>
      </w:r>
    </w:p>
    <w:p w14:paraId="78EE1B1A" w14:textId="39A13059" w:rsidR="00DF24D6" w:rsidRPr="00261ACC" w:rsidRDefault="00DF24D6" w:rsidP="004E49AC">
      <w:pPr>
        <w:pStyle w:val="Heading3"/>
      </w:pPr>
      <w:bookmarkStart w:id="6" w:name="_Toc159520241"/>
      <w:r w:rsidRPr="00261ACC">
        <w:t>Why is this consultation occurring?</w:t>
      </w:r>
      <w:bookmarkEnd w:id="3"/>
      <w:bookmarkEnd w:id="4"/>
      <w:bookmarkEnd w:id="6"/>
    </w:p>
    <w:p w14:paraId="61929C25" w14:textId="154201D0" w:rsidR="00DF24D6" w:rsidRPr="004B692B" w:rsidRDefault="00DF24D6" w:rsidP="00793AEF">
      <w:pPr>
        <w:spacing w:after="0" w:line="300" w:lineRule="exact"/>
        <w:jc w:val="both"/>
        <w:rPr>
          <w:szCs w:val="20"/>
        </w:rPr>
      </w:pPr>
      <w:bookmarkStart w:id="7" w:name="_Hlk158380768"/>
      <w:r w:rsidRPr="004B692B">
        <w:rPr>
          <w:szCs w:val="20"/>
        </w:rPr>
        <w:t xml:space="preserve">On 1 September 2022, the QHRC Report: </w:t>
      </w:r>
      <w:r w:rsidRPr="004B692B">
        <w:rPr>
          <w:i/>
          <w:iCs/>
          <w:szCs w:val="20"/>
        </w:rPr>
        <w:t>Building Belonging: Review of Queensland’s Anti-Discrimination Act 1991</w:t>
      </w:r>
      <w:r w:rsidRPr="004B692B">
        <w:rPr>
          <w:szCs w:val="20"/>
        </w:rPr>
        <w:t xml:space="preserve"> (Building Belonging Report) was tabled in the Queensland Legislative Assembly. On 3 April 2023 the Queensland Government tabled its Final Response to the report, supporting in-principle all recommendations of the QHRC. </w:t>
      </w:r>
    </w:p>
    <w:p w14:paraId="507D2044" w14:textId="77777777" w:rsidR="00DF24D6" w:rsidRPr="004B692B" w:rsidRDefault="00DF24D6" w:rsidP="00793AEF">
      <w:pPr>
        <w:spacing w:after="0" w:line="300" w:lineRule="exact"/>
        <w:jc w:val="both"/>
        <w:rPr>
          <w:szCs w:val="20"/>
        </w:rPr>
      </w:pPr>
    </w:p>
    <w:p w14:paraId="6B4BAEF6" w14:textId="5B09C010" w:rsidR="00DF24D6" w:rsidRPr="004B692B" w:rsidRDefault="00DF24D6" w:rsidP="00793AEF">
      <w:pPr>
        <w:spacing w:after="0" w:line="300" w:lineRule="exact"/>
        <w:jc w:val="both"/>
        <w:rPr>
          <w:szCs w:val="20"/>
        </w:rPr>
      </w:pPr>
      <w:r w:rsidRPr="004B692B">
        <w:rPr>
          <w:szCs w:val="20"/>
        </w:rPr>
        <w:t xml:space="preserve">The Queensland Government recognises that there is a need for new anti-discrimination legislation to be introduced that reflects contemporary best practice and is in keeping with modern community expectations and standards of behaviour. The Queensland Government has committed to introducing a Bill to repeal and replace the </w:t>
      </w:r>
      <w:r w:rsidRPr="004B692B">
        <w:rPr>
          <w:i/>
          <w:iCs/>
          <w:szCs w:val="20"/>
        </w:rPr>
        <w:t>Anti-Discrimination Act 1991</w:t>
      </w:r>
      <w:r w:rsidRPr="004B692B">
        <w:rPr>
          <w:szCs w:val="20"/>
        </w:rPr>
        <w:t xml:space="preserve"> within the current term of government.</w:t>
      </w:r>
    </w:p>
    <w:p w14:paraId="51840089" w14:textId="77777777" w:rsidR="00DF24D6" w:rsidRPr="004B692B" w:rsidRDefault="00DF24D6" w:rsidP="00793AEF">
      <w:pPr>
        <w:spacing w:after="0" w:line="300" w:lineRule="exact"/>
        <w:jc w:val="both"/>
        <w:rPr>
          <w:szCs w:val="20"/>
        </w:rPr>
      </w:pPr>
    </w:p>
    <w:p w14:paraId="50157AA2" w14:textId="77777777" w:rsidR="00DF24D6" w:rsidRPr="004B692B" w:rsidRDefault="00DF24D6" w:rsidP="00793AEF">
      <w:pPr>
        <w:spacing w:after="0" w:line="300" w:lineRule="exact"/>
        <w:jc w:val="both"/>
        <w:rPr>
          <w:szCs w:val="20"/>
          <w:lang w:val="en-US"/>
        </w:rPr>
      </w:pPr>
      <w:r w:rsidRPr="004B692B">
        <w:rPr>
          <w:szCs w:val="20"/>
        </w:rPr>
        <w:t xml:space="preserve">This represents significant law reform for the State, and it is important to carefully consider all elements of the new legislative framework to ensure it strikes the right balance between competing rights and interests, including the need to protect all people from discrimination, sexual harassment and vilification based on a contemporary understanding of equality. </w:t>
      </w:r>
      <w:r w:rsidRPr="004B692B">
        <w:rPr>
          <w:szCs w:val="20"/>
          <w:lang w:val="en-US"/>
        </w:rPr>
        <w:t>Importantly, the Queensland Government has committed to continuing to consult with stakeholders and the community as we work to implement these recommendations.</w:t>
      </w:r>
    </w:p>
    <w:bookmarkEnd w:id="7"/>
    <w:p w14:paraId="1E492D2E" w14:textId="77777777" w:rsidR="00DF24D6" w:rsidRPr="004B692B" w:rsidRDefault="00DF24D6" w:rsidP="00793AEF">
      <w:pPr>
        <w:spacing w:after="160" w:line="259" w:lineRule="auto"/>
        <w:jc w:val="both"/>
        <w:rPr>
          <w:szCs w:val="20"/>
        </w:rPr>
      </w:pPr>
    </w:p>
    <w:p w14:paraId="78570411" w14:textId="291D7EBE" w:rsidR="008C1514" w:rsidRDefault="00DF24D6" w:rsidP="00793AEF">
      <w:pPr>
        <w:spacing w:after="160" w:line="259" w:lineRule="auto"/>
        <w:jc w:val="both"/>
        <w:rPr>
          <w:szCs w:val="20"/>
        </w:rPr>
      </w:pPr>
      <w:r w:rsidRPr="004B692B">
        <w:rPr>
          <w:szCs w:val="20"/>
        </w:rPr>
        <w:t xml:space="preserve">The feedback from consultation will inform the further development of the draft Bill, subject to approval by Government. </w:t>
      </w:r>
    </w:p>
    <w:p w14:paraId="6B94150A" w14:textId="77777777" w:rsidR="008C1514" w:rsidRDefault="008C1514" w:rsidP="00793AEF">
      <w:pPr>
        <w:spacing w:after="0"/>
        <w:jc w:val="both"/>
        <w:rPr>
          <w:szCs w:val="20"/>
        </w:rPr>
      </w:pPr>
      <w:r>
        <w:rPr>
          <w:szCs w:val="20"/>
        </w:rPr>
        <w:br w:type="page"/>
      </w:r>
    </w:p>
    <w:p w14:paraId="3D43EF85" w14:textId="7BEFDBD9" w:rsidR="00DF24D6" w:rsidRPr="00FF02BC" w:rsidRDefault="00DF24D6" w:rsidP="00793AEF">
      <w:pPr>
        <w:pStyle w:val="Heading3"/>
        <w:jc w:val="both"/>
      </w:pPr>
      <w:bookmarkStart w:id="8" w:name="_Toc97820806"/>
      <w:bookmarkStart w:id="9" w:name="_Toc158631511"/>
      <w:bookmarkStart w:id="10" w:name="_Toc158631834"/>
      <w:bookmarkStart w:id="11" w:name="_Toc159520242"/>
      <w:r w:rsidRPr="00FF02BC">
        <w:lastRenderedPageBreak/>
        <w:t>How to get involved</w:t>
      </w:r>
      <w:bookmarkEnd w:id="8"/>
      <w:bookmarkEnd w:id="9"/>
      <w:bookmarkEnd w:id="10"/>
      <w:bookmarkEnd w:id="11"/>
    </w:p>
    <w:p w14:paraId="72489828" w14:textId="77777777" w:rsidR="00DF24D6" w:rsidRPr="005024DE" w:rsidRDefault="00DF24D6" w:rsidP="00793AEF">
      <w:pPr>
        <w:spacing w:after="160" w:line="259" w:lineRule="auto"/>
        <w:jc w:val="both"/>
      </w:pPr>
      <w:r w:rsidRPr="005024DE">
        <w:t xml:space="preserve">If you would like to provide comments or make a submission on the draft Bill, please do so by: </w:t>
      </w:r>
    </w:p>
    <w:p w14:paraId="66022460" w14:textId="77777777" w:rsidR="00DF24D6" w:rsidRPr="00FF02BC" w:rsidRDefault="00DF24D6" w:rsidP="00793AEF">
      <w:pPr>
        <w:jc w:val="both"/>
        <w:rPr>
          <w:b/>
          <w:bCs/>
        </w:rPr>
      </w:pPr>
      <w:r w:rsidRPr="00FF02BC">
        <w:rPr>
          <w:b/>
          <w:bCs/>
        </w:rPr>
        <w:t xml:space="preserve">Email: </w:t>
      </w:r>
    </w:p>
    <w:p w14:paraId="7B3A5BCD" w14:textId="5CDA9FDC" w:rsidR="00DF24D6" w:rsidRPr="00FF02BC" w:rsidRDefault="00D148F3" w:rsidP="00793AEF">
      <w:pPr>
        <w:jc w:val="both"/>
        <w:rPr>
          <w:b/>
          <w:bCs/>
        </w:rPr>
      </w:pPr>
      <w:hyperlink r:id="rId8" w:history="1">
        <w:r w:rsidR="00DF24D6" w:rsidRPr="00FF02BC">
          <w:rPr>
            <w:rStyle w:val="Hyperlink"/>
            <w:b/>
            <w:bCs/>
            <w:lang w:val="en-US"/>
          </w:rPr>
          <w:t>adactreview@justice.qld.gov.au</w:t>
        </w:r>
      </w:hyperlink>
    </w:p>
    <w:p w14:paraId="08E0BB04" w14:textId="77777777" w:rsidR="00DF24D6" w:rsidRPr="00FF02BC" w:rsidRDefault="00DF24D6" w:rsidP="00793AEF">
      <w:pPr>
        <w:jc w:val="both"/>
        <w:rPr>
          <w:b/>
          <w:bCs/>
        </w:rPr>
      </w:pPr>
    </w:p>
    <w:p w14:paraId="30733F87" w14:textId="77777777" w:rsidR="00DF24D6" w:rsidRPr="00FF02BC" w:rsidRDefault="00DF24D6" w:rsidP="00793AEF">
      <w:pPr>
        <w:jc w:val="both"/>
        <w:rPr>
          <w:b/>
          <w:bCs/>
        </w:rPr>
      </w:pPr>
    </w:p>
    <w:p w14:paraId="5058E4ED" w14:textId="77777777" w:rsidR="00DF24D6" w:rsidRPr="00FF02BC" w:rsidRDefault="00DF24D6" w:rsidP="00793AEF">
      <w:pPr>
        <w:jc w:val="both"/>
        <w:rPr>
          <w:b/>
          <w:bCs/>
        </w:rPr>
      </w:pPr>
      <w:r w:rsidRPr="00FF02BC">
        <w:rPr>
          <w:b/>
          <w:bCs/>
        </w:rPr>
        <w:t xml:space="preserve">Post: </w:t>
      </w:r>
    </w:p>
    <w:p w14:paraId="7D532B7D" w14:textId="77777777" w:rsidR="00DF24D6" w:rsidRPr="00FF02BC" w:rsidRDefault="00DF24D6" w:rsidP="00793AEF">
      <w:pPr>
        <w:jc w:val="both"/>
        <w:rPr>
          <w:b/>
          <w:bCs/>
        </w:rPr>
      </w:pPr>
      <w:r w:rsidRPr="00FF02BC">
        <w:rPr>
          <w:b/>
          <w:bCs/>
        </w:rPr>
        <w:t>Strategic Policy and Legislation</w:t>
      </w:r>
    </w:p>
    <w:p w14:paraId="7AB860FA" w14:textId="77777777" w:rsidR="00DF24D6" w:rsidRPr="00FF02BC" w:rsidRDefault="00DF24D6" w:rsidP="00793AEF">
      <w:pPr>
        <w:jc w:val="both"/>
        <w:rPr>
          <w:b/>
          <w:bCs/>
        </w:rPr>
      </w:pPr>
      <w:r w:rsidRPr="00FF02BC">
        <w:rPr>
          <w:b/>
          <w:bCs/>
        </w:rPr>
        <w:t>Department of Justice and Attorney-General</w:t>
      </w:r>
    </w:p>
    <w:p w14:paraId="0E6D5FB8" w14:textId="77777777" w:rsidR="00DF24D6" w:rsidRPr="00FF02BC" w:rsidRDefault="00DF24D6" w:rsidP="00793AEF">
      <w:pPr>
        <w:jc w:val="both"/>
        <w:rPr>
          <w:b/>
          <w:bCs/>
        </w:rPr>
      </w:pPr>
      <w:r w:rsidRPr="00FF02BC">
        <w:rPr>
          <w:b/>
          <w:bCs/>
        </w:rPr>
        <w:t>GPO Box 149</w:t>
      </w:r>
    </w:p>
    <w:p w14:paraId="14FDC3ED" w14:textId="77777777" w:rsidR="00DF24D6" w:rsidRPr="00FF02BC" w:rsidRDefault="00DF24D6" w:rsidP="00793AEF">
      <w:pPr>
        <w:jc w:val="both"/>
        <w:rPr>
          <w:b/>
          <w:bCs/>
        </w:rPr>
      </w:pPr>
      <w:r w:rsidRPr="00FF02BC">
        <w:rPr>
          <w:b/>
          <w:bCs/>
        </w:rPr>
        <w:t xml:space="preserve">Brisbane, Qld 4001 </w:t>
      </w:r>
    </w:p>
    <w:p w14:paraId="665229C5" w14:textId="77777777" w:rsidR="00DF24D6" w:rsidRPr="00FF02BC" w:rsidRDefault="00DF24D6" w:rsidP="00793AEF">
      <w:pPr>
        <w:jc w:val="both"/>
        <w:rPr>
          <w:b/>
          <w:bCs/>
        </w:rPr>
      </w:pPr>
    </w:p>
    <w:p w14:paraId="1DF9B4F1" w14:textId="6E7A4EB0" w:rsidR="002F2178" w:rsidRDefault="002F2178" w:rsidP="00793AEF">
      <w:pPr>
        <w:jc w:val="both"/>
        <w:rPr>
          <w:b/>
          <w:u w:val="single"/>
        </w:rPr>
      </w:pPr>
      <w:r w:rsidRPr="00FF02BC">
        <w:rPr>
          <w:b/>
          <w:bCs/>
          <w:u w:val="single"/>
        </w:rPr>
        <w:t>Submissions close at 5pm on</w:t>
      </w:r>
      <w:r>
        <w:rPr>
          <w:b/>
          <w:bCs/>
          <w:u w:val="single"/>
        </w:rPr>
        <w:t xml:space="preserve"> </w:t>
      </w:r>
      <w:r w:rsidR="00E543F1">
        <w:rPr>
          <w:b/>
          <w:bCs/>
          <w:u w:val="single"/>
        </w:rPr>
        <w:t>22</w:t>
      </w:r>
      <w:r w:rsidRPr="00713B37">
        <w:rPr>
          <w:b/>
          <w:u w:val="single"/>
        </w:rPr>
        <w:t xml:space="preserve"> March 2024</w:t>
      </w:r>
      <w:r>
        <w:rPr>
          <w:b/>
          <w:u w:val="single"/>
        </w:rPr>
        <w:t>.</w:t>
      </w:r>
    </w:p>
    <w:p w14:paraId="5D89AB9A" w14:textId="77777777" w:rsidR="00DF24D6" w:rsidRPr="00FF02BC" w:rsidRDefault="00DF24D6" w:rsidP="00793AEF">
      <w:pPr>
        <w:jc w:val="both"/>
        <w:rPr>
          <w:b/>
          <w:bCs/>
          <w:u w:val="single"/>
        </w:rPr>
      </w:pPr>
    </w:p>
    <w:tbl>
      <w:tblPr>
        <w:tblW w:w="0" w:type="auto"/>
        <w:tblLook w:val="04A0" w:firstRow="1" w:lastRow="0" w:firstColumn="1" w:lastColumn="0" w:noHBand="0" w:noVBand="1"/>
      </w:tblPr>
      <w:tblGrid>
        <w:gridCol w:w="9016"/>
      </w:tblGrid>
      <w:tr w:rsidR="00DF24D6" w:rsidRPr="00FF02BC" w14:paraId="7720BCA7" w14:textId="77777777" w:rsidTr="009E1292">
        <w:tc>
          <w:tcPr>
            <w:tcW w:w="9016" w:type="dxa"/>
            <w:shd w:val="clear" w:color="auto" w:fill="FFFCF3"/>
          </w:tcPr>
          <w:p w14:paraId="05891614" w14:textId="77777777" w:rsidR="00DF24D6" w:rsidRPr="00FF02BC" w:rsidRDefault="00DF24D6" w:rsidP="00793AEF">
            <w:pPr>
              <w:jc w:val="both"/>
              <w:rPr>
                <w:szCs w:val="20"/>
              </w:rPr>
            </w:pPr>
            <w:bookmarkStart w:id="12" w:name="_Hlk98766955"/>
            <w:r w:rsidRPr="00FF02BC">
              <w:rPr>
                <w:b/>
                <w:bCs/>
                <w:szCs w:val="20"/>
              </w:rPr>
              <w:t>Privacy Statement</w:t>
            </w:r>
            <w:r w:rsidRPr="00FF02BC">
              <w:rPr>
                <w:szCs w:val="20"/>
              </w:rPr>
              <w:t xml:space="preserve">: Personal information in your comments or submission will be collected by the Department of Justice and Attorney-General (DJAG) for the purpose of informing reforms to anti-discrimination legislation in Queensland. DJAG may contact you for further information on the issues your comments or submission raise. Your comments or submission may also be provided to others with an interest in the reforms, for example, Parliament’s Legal Affairs and Safety Committee. Comments and submissions in relation to this consultation paper will be treated as public documents and may be published on DJAG’s website. If you would like your submission, or any part of it, to be treated as confidential, please indicate this clearly. Please note however that all submissions may be subject to disclosure under the </w:t>
            </w:r>
            <w:r w:rsidRPr="00FF02BC">
              <w:rPr>
                <w:i/>
                <w:iCs/>
                <w:szCs w:val="20"/>
              </w:rPr>
              <w:t>Right to Information Act 2009</w:t>
            </w:r>
            <w:r w:rsidRPr="00FF02BC">
              <w:rPr>
                <w:szCs w:val="20"/>
              </w:rPr>
              <w:t>.</w:t>
            </w:r>
          </w:p>
        </w:tc>
      </w:tr>
      <w:bookmarkEnd w:id="12"/>
    </w:tbl>
    <w:p w14:paraId="73BA9360" w14:textId="77777777" w:rsidR="00DF24D6" w:rsidRPr="00DF24D6" w:rsidRDefault="00DF24D6" w:rsidP="00793AEF">
      <w:pPr>
        <w:jc w:val="both"/>
      </w:pPr>
    </w:p>
    <w:p w14:paraId="61C904AE" w14:textId="77777777" w:rsidR="00DF24D6" w:rsidRDefault="00DF24D6" w:rsidP="00793AEF">
      <w:pPr>
        <w:spacing w:after="0"/>
        <w:jc w:val="both"/>
      </w:pPr>
      <w:r>
        <w:br w:type="page"/>
      </w:r>
    </w:p>
    <w:p w14:paraId="0A10FE82" w14:textId="7BCF3843" w:rsidR="004B692B" w:rsidRDefault="004B692B" w:rsidP="00793AEF">
      <w:pPr>
        <w:jc w:val="both"/>
        <w:rPr>
          <w:sz w:val="18"/>
          <w:szCs w:val="18"/>
        </w:rPr>
      </w:pPr>
    </w:p>
    <w:p w14:paraId="66AC3A09" w14:textId="5455B78D" w:rsidR="004E49AC" w:rsidRDefault="004E49AC" w:rsidP="004E49AC">
      <w:pPr>
        <w:pStyle w:val="Heading2"/>
      </w:pPr>
      <w:bookmarkStart w:id="13" w:name="_Toc159520243"/>
      <w:r>
        <w:t>Table of contents</w:t>
      </w:r>
      <w:bookmarkEnd w:id="13"/>
    </w:p>
    <w:p w14:paraId="1B8DB6FD" w14:textId="77777777" w:rsidR="004B692B" w:rsidRPr="005024DE" w:rsidRDefault="004B692B" w:rsidP="00793AEF">
      <w:pPr>
        <w:jc w:val="both"/>
        <w:rPr>
          <w:sz w:val="18"/>
          <w:szCs w:val="18"/>
        </w:rPr>
      </w:pPr>
    </w:p>
    <w:sdt>
      <w:sdtPr>
        <w:rPr>
          <w:rFonts w:asciiTheme="minorHAnsi" w:eastAsiaTheme="minorHAnsi" w:hAnsiTheme="minorHAnsi" w:cstheme="minorBidi"/>
          <w:b/>
          <w:noProof w:val="0"/>
          <w:color w:val="484948" w:themeColor="text1"/>
          <w:kern w:val="2"/>
          <w:sz w:val="20"/>
          <w:szCs w:val="24"/>
          <w14:ligatures w14:val="standardContextual"/>
        </w:rPr>
        <w:id w:val="-1351642636"/>
        <w:docPartObj>
          <w:docPartGallery w:val="Table of Contents"/>
          <w:docPartUnique/>
        </w:docPartObj>
      </w:sdtPr>
      <w:sdtEndPr>
        <w:rPr>
          <w:b w:val="0"/>
          <w:sz w:val="22"/>
        </w:rPr>
      </w:sdtEndPr>
      <w:sdtContent>
        <w:p w14:paraId="7DE7E7FE" w14:textId="7E39B0D7" w:rsidR="00E1346F" w:rsidRDefault="004B692B">
          <w:pPr>
            <w:pStyle w:val="TOC2"/>
            <w:rPr>
              <w:rFonts w:asciiTheme="minorHAnsi" w:eastAsiaTheme="minorEastAsia" w:hAnsiTheme="minorHAnsi" w:cstheme="minorBidi"/>
              <w:lang w:eastAsia="en-AU"/>
            </w:rPr>
          </w:pPr>
          <w:r w:rsidRPr="000F0E94">
            <w:rPr>
              <w:b/>
              <w:sz w:val="24"/>
            </w:rPr>
            <w:fldChar w:fldCharType="begin"/>
          </w:r>
          <w:r w:rsidRPr="000F0E94">
            <w:instrText xml:space="preserve"> TOC \o "1-5" \h \z \u </w:instrText>
          </w:r>
          <w:r w:rsidRPr="000F0E94">
            <w:rPr>
              <w:b/>
              <w:sz w:val="24"/>
            </w:rPr>
            <w:fldChar w:fldCharType="separate"/>
          </w:r>
          <w:hyperlink w:anchor="_Toc159520240" w:history="1">
            <w:r w:rsidR="00E1346F" w:rsidRPr="00901D5E">
              <w:rPr>
                <w:rStyle w:val="Hyperlink"/>
              </w:rPr>
              <w:t>Executive Summary</w:t>
            </w:r>
            <w:r w:rsidR="00E1346F">
              <w:rPr>
                <w:webHidden/>
              </w:rPr>
              <w:tab/>
            </w:r>
            <w:r w:rsidR="00E1346F">
              <w:rPr>
                <w:webHidden/>
              </w:rPr>
              <w:fldChar w:fldCharType="begin"/>
            </w:r>
            <w:r w:rsidR="00E1346F">
              <w:rPr>
                <w:webHidden/>
              </w:rPr>
              <w:instrText xml:space="preserve"> PAGEREF _Toc159520240 \h </w:instrText>
            </w:r>
            <w:r w:rsidR="00E1346F">
              <w:rPr>
                <w:webHidden/>
              </w:rPr>
            </w:r>
            <w:r w:rsidR="00E1346F">
              <w:rPr>
                <w:webHidden/>
              </w:rPr>
              <w:fldChar w:fldCharType="separate"/>
            </w:r>
            <w:r w:rsidR="00E1346F">
              <w:rPr>
                <w:webHidden/>
              </w:rPr>
              <w:t>2</w:t>
            </w:r>
            <w:r w:rsidR="00E1346F">
              <w:rPr>
                <w:webHidden/>
              </w:rPr>
              <w:fldChar w:fldCharType="end"/>
            </w:r>
          </w:hyperlink>
        </w:p>
        <w:p w14:paraId="44BBEF7D" w14:textId="5B14B044" w:rsidR="00E1346F" w:rsidRDefault="00D148F3">
          <w:pPr>
            <w:pStyle w:val="TOC3"/>
            <w:rPr>
              <w:rFonts w:asciiTheme="minorHAnsi" w:eastAsiaTheme="minorEastAsia" w:hAnsiTheme="minorHAnsi" w:cstheme="minorBidi"/>
              <w:szCs w:val="22"/>
              <w:lang w:eastAsia="en-AU"/>
            </w:rPr>
          </w:pPr>
          <w:hyperlink w:anchor="_Toc159520241" w:history="1">
            <w:r w:rsidR="00E1346F" w:rsidRPr="00901D5E">
              <w:rPr>
                <w:rStyle w:val="Hyperlink"/>
              </w:rPr>
              <w:t>Why is this consultation occurring?</w:t>
            </w:r>
            <w:r w:rsidR="00E1346F">
              <w:rPr>
                <w:webHidden/>
              </w:rPr>
              <w:tab/>
            </w:r>
            <w:r w:rsidR="00E1346F">
              <w:rPr>
                <w:webHidden/>
              </w:rPr>
              <w:fldChar w:fldCharType="begin"/>
            </w:r>
            <w:r w:rsidR="00E1346F">
              <w:rPr>
                <w:webHidden/>
              </w:rPr>
              <w:instrText xml:space="preserve"> PAGEREF _Toc159520241 \h </w:instrText>
            </w:r>
            <w:r w:rsidR="00E1346F">
              <w:rPr>
                <w:webHidden/>
              </w:rPr>
            </w:r>
            <w:r w:rsidR="00E1346F">
              <w:rPr>
                <w:webHidden/>
              </w:rPr>
              <w:fldChar w:fldCharType="separate"/>
            </w:r>
            <w:r w:rsidR="00E1346F">
              <w:rPr>
                <w:webHidden/>
              </w:rPr>
              <w:t>2</w:t>
            </w:r>
            <w:r w:rsidR="00E1346F">
              <w:rPr>
                <w:webHidden/>
              </w:rPr>
              <w:fldChar w:fldCharType="end"/>
            </w:r>
          </w:hyperlink>
        </w:p>
        <w:p w14:paraId="78DF5DC2" w14:textId="132F0A7F" w:rsidR="00E1346F" w:rsidRDefault="00D148F3">
          <w:pPr>
            <w:pStyle w:val="TOC3"/>
            <w:rPr>
              <w:rFonts w:asciiTheme="minorHAnsi" w:eastAsiaTheme="minorEastAsia" w:hAnsiTheme="minorHAnsi" w:cstheme="minorBidi"/>
              <w:szCs w:val="22"/>
              <w:lang w:eastAsia="en-AU"/>
            </w:rPr>
          </w:pPr>
          <w:hyperlink w:anchor="_Toc159520242" w:history="1">
            <w:r w:rsidR="00E1346F" w:rsidRPr="00901D5E">
              <w:rPr>
                <w:rStyle w:val="Hyperlink"/>
              </w:rPr>
              <w:t>How to get involved</w:t>
            </w:r>
            <w:r w:rsidR="00E1346F">
              <w:rPr>
                <w:webHidden/>
              </w:rPr>
              <w:tab/>
            </w:r>
            <w:r w:rsidR="00E1346F">
              <w:rPr>
                <w:webHidden/>
              </w:rPr>
              <w:fldChar w:fldCharType="begin"/>
            </w:r>
            <w:r w:rsidR="00E1346F">
              <w:rPr>
                <w:webHidden/>
              </w:rPr>
              <w:instrText xml:space="preserve"> PAGEREF _Toc159520242 \h </w:instrText>
            </w:r>
            <w:r w:rsidR="00E1346F">
              <w:rPr>
                <w:webHidden/>
              </w:rPr>
            </w:r>
            <w:r w:rsidR="00E1346F">
              <w:rPr>
                <w:webHidden/>
              </w:rPr>
              <w:fldChar w:fldCharType="separate"/>
            </w:r>
            <w:r w:rsidR="00E1346F">
              <w:rPr>
                <w:webHidden/>
              </w:rPr>
              <w:t>3</w:t>
            </w:r>
            <w:r w:rsidR="00E1346F">
              <w:rPr>
                <w:webHidden/>
              </w:rPr>
              <w:fldChar w:fldCharType="end"/>
            </w:r>
          </w:hyperlink>
        </w:p>
        <w:p w14:paraId="2C1CC307" w14:textId="5A9FB054" w:rsidR="00E1346F" w:rsidRDefault="00D148F3">
          <w:pPr>
            <w:pStyle w:val="TOC2"/>
            <w:rPr>
              <w:rFonts w:asciiTheme="minorHAnsi" w:eastAsiaTheme="minorEastAsia" w:hAnsiTheme="minorHAnsi" w:cstheme="minorBidi"/>
              <w:lang w:eastAsia="en-AU"/>
            </w:rPr>
          </w:pPr>
          <w:hyperlink w:anchor="_Toc159520243" w:history="1">
            <w:r w:rsidR="00E1346F" w:rsidRPr="00901D5E">
              <w:rPr>
                <w:rStyle w:val="Hyperlink"/>
              </w:rPr>
              <w:t>Table of contents</w:t>
            </w:r>
            <w:r w:rsidR="00E1346F">
              <w:rPr>
                <w:webHidden/>
              </w:rPr>
              <w:tab/>
            </w:r>
            <w:r w:rsidR="00E1346F">
              <w:rPr>
                <w:webHidden/>
              </w:rPr>
              <w:fldChar w:fldCharType="begin"/>
            </w:r>
            <w:r w:rsidR="00E1346F">
              <w:rPr>
                <w:webHidden/>
              </w:rPr>
              <w:instrText xml:space="preserve"> PAGEREF _Toc159520243 \h </w:instrText>
            </w:r>
            <w:r w:rsidR="00E1346F">
              <w:rPr>
                <w:webHidden/>
              </w:rPr>
            </w:r>
            <w:r w:rsidR="00E1346F">
              <w:rPr>
                <w:webHidden/>
              </w:rPr>
              <w:fldChar w:fldCharType="separate"/>
            </w:r>
            <w:r w:rsidR="00E1346F">
              <w:rPr>
                <w:webHidden/>
              </w:rPr>
              <w:t>4</w:t>
            </w:r>
            <w:r w:rsidR="00E1346F">
              <w:rPr>
                <w:webHidden/>
              </w:rPr>
              <w:fldChar w:fldCharType="end"/>
            </w:r>
          </w:hyperlink>
        </w:p>
        <w:p w14:paraId="6672BE94" w14:textId="393B1B1D" w:rsidR="00E1346F" w:rsidRDefault="00D148F3">
          <w:pPr>
            <w:pStyle w:val="TOC2"/>
            <w:rPr>
              <w:rFonts w:asciiTheme="minorHAnsi" w:eastAsiaTheme="minorEastAsia" w:hAnsiTheme="minorHAnsi" w:cstheme="minorBidi"/>
              <w:lang w:eastAsia="en-AU"/>
            </w:rPr>
          </w:pPr>
          <w:hyperlink w:anchor="_Toc159520244" w:history="1">
            <w:r w:rsidR="00E1346F" w:rsidRPr="00901D5E">
              <w:rPr>
                <w:rStyle w:val="Hyperlink"/>
              </w:rPr>
              <w:t>Abbreviations</w:t>
            </w:r>
            <w:r w:rsidR="00E1346F">
              <w:rPr>
                <w:webHidden/>
              </w:rPr>
              <w:tab/>
            </w:r>
            <w:r w:rsidR="00E1346F">
              <w:rPr>
                <w:webHidden/>
              </w:rPr>
              <w:fldChar w:fldCharType="begin"/>
            </w:r>
            <w:r w:rsidR="00E1346F">
              <w:rPr>
                <w:webHidden/>
              </w:rPr>
              <w:instrText xml:space="preserve"> PAGEREF _Toc159520244 \h </w:instrText>
            </w:r>
            <w:r w:rsidR="00E1346F">
              <w:rPr>
                <w:webHidden/>
              </w:rPr>
            </w:r>
            <w:r w:rsidR="00E1346F">
              <w:rPr>
                <w:webHidden/>
              </w:rPr>
              <w:fldChar w:fldCharType="separate"/>
            </w:r>
            <w:r w:rsidR="00E1346F">
              <w:rPr>
                <w:webHidden/>
              </w:rPr>
              <w:t>8</w:t>
            </w:r>
            <w:r w:rsidR="00E1346F">
              <w:rPr>
                <w:webHidden/>
              </w:rPr>
              <w:fldChar w:fldCharType="end"/>
            </w:r>
          </w:hyperlink>
        </w:p>
        <w:p w14:paraId="5B062834" w14:textId="1AED6B1D" w:rsidR="00E1346F" w:rsidRDefault="00D148F3">
          <w:pPr>
            <w:pStyle w:val="TOC1"/>
            <w:rPr>
              <w:rFonts w:asciiTheme="minorHAnsi" w:eastAsiaTheme="minorEastAsia" w:hAnsiTheme="minorHAnsi" w:cstheme="minorBidi"/>
              <w:b w:val="0"/>
              <w:sz w:val="22"/>
              <w:szCs w:val="22"/>
              <w:lang w:eastAsia="en-AU"/>
            </w:rPr>
          </w:pPr>
          <w:hyperlink w:anchor="_Toc159520245" w:history="1">
            <w:r w:rsidR="00E1346F" w:rsidRPr="00901D5E">
              <w:rPr>
                <w:rStyle w:val="Hyperlink"/>
              </w:rPr>
              <w:t>Part One – About this Guide</w:t>
            </w:r>
            <w:r w:rsidR="00E1346F">
              <w:rPr>
                <w:webHidden/>
              </w:rPr>
              <w:tab/>
            </w:r>
            <w:r w:rsidR="00E1346F">
              <w:rPr>
                <w:webHidden/>
              </w:rPr>
              <w:fldChar w:fldCharType="begin"/>
            </w:r>
            <w:r w:rsidR="00E1346F">
              <w:rPr>
                <w:webHidden/>
              </w:rPr>
              <w:instrText xml:space="preserve"> PAGEREF _Toc159520245 \h </w:instrText>
            </w:r>
            <w:r w:rsidR="00E1346F">
              <w:rPr>
                <w:webHidden/>
              </w:rPr>
            </w:r>
            <w:r w:rsidR="00E1346F">
              <w:rPr>
                <w:webHidden/>
              </w:rPr>
              <w:fldChar w:fldCharType="separate"/>
            </w:r>
            <w:r w:rsidR="00E1346F">
              <w:rPr>
                <w:webHidden/>
              </w:rPr>
              <w:t>10</w:t>
            </w:r>
            <w:r w:rsidR="00E1346F">
              <w:rPr>
                <w:webHidden/>
              </w:rPr>
              <w:fldChar w:fldCharType="end"/>
            </w:r>
          </w:hyperlink>
        </w:p>
        <w:p w14:paraId="16413713" w14:textId="3292BD7F" w:rsidR="00E1346F" w:rsidRDefault="00D148F3">
          <w:pPr>
            <w:pStyle w:val="TOC2"/>
            <w:rPr>
              <w:rFonts w:asciiTheme="minorHAnsi" w:eastAsiaTheme="minorEastAsia" w:hAnsiTheme="minorHAnsi" w:cstheme="minorBidi"/>
              <w:lang w:eastAsia="en-AU"/>
            </w:rPr>
          </w:pPr>
          <w:hyperlink w:anchor="_Toc159520246" w:history="1">
            <w:r w:rsidR="00E1346F" w:rsidRPr="00901D5E">
              <w:rPr>
                <w:rStyle w:val="Hyperlink"/>
              </w:rPr>
              <w:t>Purpose of this Consultation Guide</w:t>
            </w:r>
            <w:r w:rsidR="00E1346F">
              <w:rPr>
                <w:webHidden/>
              </w:rPr>
              <w:tab/>
            </w:r>
            <w:r w:rsidR="00E1346F">
              <w:rPr>
                <w:webHidden/>
              </w:rPr>
              <w:fldChar w:fldCharType="begin"/>
            </w:r>
            <w:r w:rsidR="00E1346F">
              <w:rPr>
                <w:webHidden/>
              </w:rPr>
              <w:instrText xml:space="preserve"> PAGEREF _Toc159520246 \h </w:instrText>
            </w:r>
            <w:r w:rsidR="00E1346F">
              <w:rPr>
                <w:webHidden/>
              </w:rPr>
            </w:r>
            <w:r w:rsidR="00E1346F">
              <w:rPr>
                <w:webHidden/>
              </w:rPr>
              <w:fldChar w:fldCharType="separate"/>
            </w:r>
            <w:r w:rsidR="00E1346F">
              <w:rPr>
                <w:webHidden/>
              </w:rPr>
              <w:t>10</w:t>
            </w:r>
            <w:r w:rsidR="00E1346F">
              <w:rPr>
                <w:webHidden/>
              </w:rPr>
              <w:fldChar w:fldCharType="end"/>
            </w:r>
          </w:hyperlink>
        </w:p>
        <w:p w14:paraId="5EEA81C2" w14:textId="1CE8455C" w:rsidR="00E1346F" w:rsidRDefault="00D148F3">
          <w:pPr>
            <w:pStyle w:val="TOC2"/>
            <w:rPr>
              <w:rFonts w:asciiTheme="minorHAnsi" w:eastAsiaTheme="minorEastAsia" w:hAnsiTheme="minorHAnsi" w:cstheme="minorBidi"/>
              <w:lang w:eastAsia="en-AU"/>
            </w:rPr>
          </w:pPr>
          <w:hyperlink w:anchor="_Toc159520247" w:history="1">
            <w:r w:rsidR="00E1346F" w:rsidRPr="00901D5E">
              <w:rPr>
                <w:rStyle w:val="Hyperlink"/>
              </w:rPr>
              <w:t>Background</w:t>
            </w:r>
            <w:r w:rsidR="00E1346F">
              <w:rPr>
                <w:webHidden/>
              </w:rPr>
              <w:tab/>
            </w:r>
            <w:r w:rsidR="00E1346F">
              <w:rPr>
                <w:webHidden/>
              </w:rPr>
              <w:fldChar w:fldCharType="begin"/>
            </w:r>
            <w:r w:rsidR="00E1346F">
              <w:rPr>
                <w:webHidden/>
              </w:rPr>
              <w:instrText xml:space="preserve"> PAGEREF _Toc159520247 \h </w:instrText>
            </w:r>
            <w:r w:rsidR="00E1346F">
              <w:rPr>
                <w:webHidden/>
              </w:rPr>
            </w:r>
            <w:r w:rsidR="00E1346F">
              <w:rPr>
                <w:webHidden/>
              </w:rPr>
              <w:fldChar w:fldCharType="separate"/>
            </w:r>
            <w:r w:rsidR="00E1346F">
              <w:rPr>
                <w:webHidden/>
              </w:rPr>
              <w:t>10</w:t>
            </w:r>
            <w:r w:rsidR="00E1346F">
              <w:rPr>
                <w:webHidden/>
              </w:rPr>
              <w:fldChar w:fldCharType="end"/>
            </w:r>
          </w:hyperlink>
        </w:p>
        <w:p w14:paraId="6580CF9C" w14:textId="678D2871" w:rsidR="00E1346F" w:rsidRDefault="00D148F3">
          <w:pPr>
            <w:pStyle w:val="TOC3"/>
            <w:rPr>
              <w:rFonts w:asciiTheme="minorHAnsi" w:eastAsiaTheme="minorEastAsia" w:hAnsiTheme="minorHAnsi" w:cstheme="minorBidi"/>
              <w:szCs w:val="22"/>
              <w:lang w:eastAsia="en-AU"/>
            </w:rPr>
          </w:pPr>
          <w:hyperlink w:anchor="_Toc159520248" w:history="1">
            <w:r w:rsidR="00E1346F" w:rsidRPr="00901D5E">
              <w:rPr>
                <w:rStyle w:val="Hyperlink"/>
              </w:rPr>
              <w:t>Why are the changes in the draft Bill being considered?</w:t>
            </w:r>
            <w:r w:rsidR="00E1346F">
              <w:rPr>
                <w:webHidden/>
              </w:rPr>
              <w:tab/>
            </w:r>
            <w:r w:rsidR="00E1346F">
              <w:rPr>
                <w:webHidden/>
              </w:rPr>
              <w:fldChar w:fldCharType="begin"/>
            </w:r>
            <w:r w:rsidR="00E1346F">
              <w:rPr>
                <w:webHidden/>
              </w:rPr>
              <w:instrText xml:space="preserve"> PAGEREF _Toc159520248 \h </w:instrText>
            </w:r>
            <w:r w:rsidR="00E1346F">
              <w:rPr>
                <w:webHidden/>
              </w:rPr>
            </w:r>
            <w:r w:rsidR="00E1346F">
              <w:rPr>
                <w:webHidden/>
              </w:rPr>
              <w:fldChar w:fldCharType="separate"/>
            </w:r>
            <w:r w:rsidR="00E1346F">
              <w:rPr>
                <w:webHidden/>
              </w:rPr>
              <w:t>10</w:t>
            </w:r>
            <w:r w:rsidR="00E1346F">
              <w:rPr>
                <w:webHidden/>
              </w:rPr>
              <w:fldChar w:fldCharType="end"/>
            </w:r>
          </w:hyperlink>
        </w:p>
        <w:p w14:paraId="19A96F3D" w14:textId="18E0E2B2" w:rsidR="00E1346F" w:rsidRDefault="00D148F3">
          <w:pPr>
            <w:pStyle w:val="TOC4"/>
            <w:rPr>
              <w:rFonts w:asciiTheme="minorHAnsi" w:eastAsiaTheme="minorEastAsia" w:hAnsiTheme="minorHAnsi" w:cstheme="minorBidi"/>
              <w:noProof/>
              <w:szCs w:val="22"/>
              <w:lang w:eastAsia="en-AU"/>
            </w:rPr>
          </w:pPr>
          <w:hyperlink w:anchor="_Toc159520249" w:history="1">
            <w:r w:rsidR="00E1346F" w:rsidRPr="00901D5E">
              <w:rPr>
                <w:rStyle w:val="Hyperlink"/>
                <w:noProof/>
              </w:rPr>
              <w:t>Queensland Human Rights Commission – Review of the Anti-Discrimination Act 1991</w:t>
            </w:r>
            <w:r w:rsidR="00E1346F">
              <w:rPr>
                <w:noProof/>
                <w:webHidden/>
              </w:rPr>
              <w:tab/>
            </w:r>
            <w:r w:rsidR="00E1346F">
              <w:rPr>
                <w:noProof/>
                <w:webHidden/>
              </w:rPr>
              <w:fldChar w:fldCharType="begin"/>
            </w:r>
            <w:r w:rsidR="00E1346F">
              <w:rPr>
                <w:noProof/>
                <w:webHidden/>
              </w:rPr>
              <w:instrText xml:space="preserve"> PAGEREF _Toc159520249 \h </w:instrText>
            </w:r>
            <w:r w:rsidR="00E1346F">
              <w:rPr>
                <w:noProof/>
                <w:webHidden/>
              </w:rPr>
            </w:r>
            <w:r w:rsidR="00E1346F">
              <w:rPr>
                <w:noProof/>
                <w:webHidden/>
              </w:rPr>
              <w:fldChar w:fldCharType="separate"/>
            </w:r>
            <w:r w:rsidR="00E1346F">
              <w:rPr>
                <w:noProof/>
                <w:webHidden/>
              </w:rPr>
              <w:t>10</w:t>
            </w:r>
            <w:r w:rsidR="00E1346F">
              <w:rPr>
                <w:noProof/>
                <w:webHidden/>
              </w:rPr>
              <w:fldChar w:fldCharType="end"/>
            </w:r>
          </w:hyperlink>
        </w:p>
        <w:p w14:paraId="141D294A" w14:textId="2B3D9C14" w:rsidR="00E1346F" w:rsidRDefault="00D148F3">
          <w:pPr>
            <w:pStyle w:val="TOC4"/>
            <w:rPr>
              <w:rFonts w:asciiTheme="minorHAnsi" w:eastAsiaTheme="minorEastAsia" w:hAnsiTheme="minorHAnsi" w:cstheme="minorBidi"/>
              <w:noProof/>
              <w:szCs w:val="22"/>
              <w:lang w:eastAsia="en-AU"/>
            </w:rPr>
          </w:pPr>
          <w:hyperlink w:anchor="_Toc159520250" w:history="1">
            <w:r w:rsidR="00E1346F" w:rsidRPr="00901D5E">
              <w:rPr>
                <w:rStyle w:val="Hyperlink"/>
                <w:noProof/>
              </w:rPr>
              <w:t>Other initiatives</w:t>
            </w:r>
            <w:r w:rsidR="00E1346F">
              <w:rPr>
                <w:noProof/>
                <w:webHidden/>
              </w:rPr>
              <w:tab/>
            </w:r>
            <w:r w:rsidR="00E1346F">
              <w:rPr>
                <w:noProof/>
                <w:webHidden/>
              </w:rPr>
              <w:fldChar w:fldCharType="begin"/>
            </w:r>
            <w:r w:rsidR="00E1346F">
              <w:rPr>
                <w:noProof/>
                <w:webHidden/>
              </w:rPr>
              <w:instrText xml:space="preserve"> PAGEREF _Toc159520250 \h </w:instrText>
            </w:r>
            <w:r w:rsidR="00E1346F">
              <w:rPr>
                <w:noProof/>
                <w:webHidden/>
              </w:rPr>
            </w:r>
            <w:r w:rsidR="00E1346F">
              <w:rPr>
                <w:noProof/>
                <w:webHidden/>
              </w:rPr>
              <w:fldChar w:fldCharType="separate"/>
            </w:r>
            <w:r w:rsidR="00E1346F">
              <w:rPr>
                <w:noProof/>
                <w:webHidden/>
              </w:rPr>
              <w:t>10</w:t>
            </w:r>
            <w:r w:rsidR="00E1346F">
              <w:rPr>
                <w:noProof/>
                <w:webHidden/>
              </w:rPr>
              <w:fldChar w:fldCharType="end"/>
            </w:r>
          </w:hyperlink>
        </w:p>
        <w:p w14:paraId="3DC5C337" w14:textId="50EE339A" w:rsidR="00E1346F" w:rsidRDefault="00D148F3">
          <w:pPr>
            <w:pStyle w:val="TOC3"/>
            <w:rPr>
              <w:rFonts w:asciiTheme="minorHAnsi" w:eastAsiaTheme="minorEastAsia" w:hAnsiTheme="minorHAnsi" w:cstheme="minorBidi"/>
              <w:szCs w:val="22"/>
              <w:lang w:eastAsia="en-AU"/>
            </w:rPr>
          </w:pPr>
          <w:hyperlink w:anchor="_Toc159520251" w:history="1">
            <w:r w:rsidR="00E1346F" w:rsidRPr="00901D5E">
              <w:rPr>
                <w:rStyle w:val="Hyperlink"/>
              </w:rPr>
              <w:t>The proposed reforms and consultation</w:t>
            </w:r>
            <w:r w:rsidR="00E1346F">
              <w:rPr>
                <w:webHidden/>
              </w:rPr>
              <w:tab/>
            </w:r>
            <w:r w:rsidR="00E1346F">
              <w:rPr>
                <w:webHidden/>
              </w:rPr>
              <w:fldChar w:fldCharType="begin"/>
            </w:r>
            <w:r w:rsidR="00E1346F">
              <w:rPr>
                <w:webHidden/>
              </w:rPr>
              <w:instrText xml:space="preserve"> PAGEREF _Toc159520251 \h </w:instrText>
            </w:r>
            <w:r w:rsidR="00E1346F">
              <w:rPr>
                <w:webHidden/>
              </w:rPr>
            </w:r>
            <w:r w:rsidR="00E1346F">
              <w:rPr>
                <w:webHidden/>
              </w:rPr>
              <w:fldChar w:fldCharType="separate"/>
            </w:r>
            <w:r w:rsidR="00E1346F">
              <w:rPr>
                <w:webHidden/>
              </w:rPr>
              <w:t>11</w:t>
            </w:r>
            <w:r w:rsidR="00E1346F">
              <w:rPr>
                <w:webHidden/>
              </w:rPr>
              <w:fldChar w:fldCharType="end"/>
            </w:r>
          </w:hyperlink>
        </w:p>
        <w:p w14:paraId="66DEEBD2" w14:textId="57FE5A4F" w:rsidR="00E1346F" w:rsidRDefault="00D148F3">
          <w:pPr>
            <w:pStyle w:val="TOC4"/>
            <w:rPr>
              <w:rFonts w:asciiTheme="minorHAnsi" w:eastAsiaTheme="minorEastAsia" w:hAnsiTheme="minorHAnsi" w:cstheme="minorBidi"/>
              <w:noProof/>
              <w:szCs w:val="22"/>
              <w:lang w:eastAsia="en-AU"/>
            </w:rPr>
          </w:pPr>
          <w:hyperlink w:anchor="_Toc159520252" w:history="1">
            <w:r w:rsidR="00E1346F" w:rsidRPr="00901D5E">
              <w:rPr>
                <w:rStyle w:val="Hyperlink"/>
                <w:noProof/>
              </w:rPr>
              <w:t>New emphasis on substantive equality</w:t>
            </w:r>
            <w:r w:rsidR="00E1346F">
              <w:rPr>
                <w:noProof/>
                <w:webHidden/>
              </w:rPr>
              <w:tab/>
            </w:r>
            <w:r w:rsidR="00E1346F">
              <w:rPr>
                <w:noProof/>
                <w:webHidden/>
              </w:rPr>
              <w:fldChar w:fldCharType="begin"/>
            </w:r>
            <w:r w:rsidR="00E1346F">
              <w:rPr>
                <w:noProof/>
                <w:webHidden/>
              </w:rPr>
              <w:instrText xml:space="preserve"> PAGEREF _Toc159520252 \h </w:instrText>
            </w:r>
            <w:r w:rsidR="00E1346F">
              <w:rPr>
                <w:noProof/>
                <w:webHidden/>
              </w:rPr>
            </w:r>
            <w:r w:rsidR="00E1346F">
              <w:rPr>
                <w:noProof/>
                <w:webHidden/>
              </w:rPr>
              <w:fldChar w:fldCharType="separate"/>
            </w:r>
            <w:r w:rsidR="00E1346F">
              <w:rPr>
                <w:noProof/>
                <w:webHidden/>
              </w:rPr>
              <w:t>11</w:t>
            </w:r>
            <w:r w:rsidR="00E1346F">
              <w:rPr>
                <w:noProof/>
                <w:webHidden/>
              </w:rPr>
              <w:fldChar w:fldCharType="end"/>
            </w:r>
          </w:hyperlink>
        </w:p>
        <w:p w14:paraId="1109C523" w14:textId="2234B13D" w:rsidR="00E1346F" w:rsidRDefault="00D148F3">
          <w:pPr>
            <w:pStyle w:val="TOC1"/>
            <w:rPr>
              <w:rFonts w:asciiTheme="minorHAnsi" w:eastAsiaTheme="minorEastAsia" w:hAnsiTheme="minorHAnsi" w:cstheme="minorBidi"/>
              <w:b w:val="0"/>
              <w:sz w:val="22"/>
              <w:szCs w:val="22"/>
              <w:lang w:eastAsia="en-AU"/>
            </w:rPr>
          </w:pPr>
          <w:hyperlink w:anchor="_Toc159520253" w:history="1">
            <w:r w:rsidR="00E1346F" w:rsidRPr="00901D5E">
              <w:rPr>
                <w:rStyle w:val="Hyperlink"/>
              </w:rPr>
              <w:t>Part Two – Guide to Draft Bill</w:t>
            </w:r>
            <w:r w:rsidR="00E1346F">
              <w:rPr>
                <w:webHidden/>
              </w:rPr>
              <w:tab/>
            </w:r>
            <w:r w:rsidR="00E1346F">
              <w:rPr>
                <w:webHidden/>
              </w:rPr>
              <w:fldChar w:fldCharType="begin"/>
            </w:r>
            <w:r w:rsidR="00E1346F">
              <w:rPr>
                <w:webHidden/>
              </w:rPr>
              <w:instrText xml:space="preserve"> PAGEREF _Toc159520253 \h </w:instrText>
            </w:r>
            <w:r w:rsidR="00E1346F">
              <w:rPr>
                <w:webHidden/>
              </w:rPr>
            </w:r>
            <w:r w:rsidR="00E1346F">
              <w:rPr>
                <w:webHidden/>
              </w:rPr>
              <w:fldChar w:fldCharType="separate"/>
            </w:r>
            <w:r w:rsidR="00E1346F">
              <w:rPr>
                <w:webHidden/>
              </w:rPr>
              <w:t>13</w:t>
            </w:r>
            <w:r w:rsidR="00E1346F">
              <w:rPr>
                <w:webHidden/>
              </w:rPr>
              <w:fldChar w:fldCharType="end"/>
            </w:r>
          </w:hyperlink>
        </w:p>
        <w:p w14:paraId="3EDC8E21" w14:textId="05E26ED1" w:rsidR="00E1346F" w:rsidRDefault="00D148F3">
          <w:pPr>
            <w:pStyle w:val="TOC2"/>
            <w:rPr>
              <w:rFonts w:asciiTheme="minorHAnsi" w:eastAsiaTheme="minorEastAsia" w:hAnsiTheme="minorHAnsi" w:cstheme="minorBidi"/>
              <w:lang w:eastAsia="en-AU"/>
            </w:rPr>
          </w:pPr>
          <w:hyperlink w:anchor="_Toc159520254" w:history="1">
            <w:r w:rsidR="00E1346F" w:rsidRPr="00901D5E">
              <w:rPr>
                <w:rStyle w:val="Hyperlink"/>
              </w:rPr>
              <w:t>Part 1 - Preliminary</w:t>
            </w:r>
            <w:r w:rsidR="00E1346F">
              <w:rPr>
                <w:webHidden/>
              </w:rPr>
              <w:tab/>
            </w:r>
            <w:r w:rsidR="00E1346F">
              <w:rPr>
                <w:webHidden/>
              </w:rPr>
              <w:fldChar w:fldCharType="begin"/>
            </w:r>
            <w:r w:rsidR="00E1346F">
              <w:rPr>
                <w:webHidden/>
              </w:rPr>
              <w:instrText xml:space="preserve"> PAGEREF _Toc159520254 \h </w:instrText>
            </w:r>
            <w:r w:rsidR="00E1346F">
              <w:rPr>
                <w:webHidden/>
              </w:rPr>
            </w:r>
            <w:r w:rsidR="00E1346F">
              <w:rPr>
                <w:webHidden/>
              </w:rPr>
              <w:fldChar w:fldCharType="separate"/>
            </w:r>
            <w:r w:rsidR="00E1346F">
              <w:rPr>
                <w:webHidden/>
              </w:rPr>
              <w:t>13</w:t>
            </w:r>
            <w:r w:rsidR="00E1346F">
              <w:rPr>
                <w:webHidden/>
              </w:rPr>
              <w:fldChar w:fldCharType="end"/>
            </w:r>
          </w:hyperlink>
        </w:p>
        <w:p w14:paraId="2E456D98" w14:textId="1E7A15BF" w:rsidR="00E1346F" w:rsidRDefault="00D148F3">
          <w:pPr>
            <w:pStyle w:val="TOC3"/>
            <w:rPr>
              <w:rFonts w:asciiTheme="minorHAnsi" w:eastAsiaTheme="minorEastAsia" w:hAnsiTheme="minorHAnsi" w:cstheme="minorBidi"/>
              <w:szCs w:val="22"/>
              <w:lang w:eastAsia="en-AU"/>
            </w:rPr>
          </w:pPr>
          <w:hyperlink w:anchor="_Toc159520255" w:history="1">
            <w:r w:rsidR="00E1346F" w:rsidRPr="00901D5E">
              <w:rPr>
                <w:rStyle w:val="Hyperlink"/>
              </w:rPr>
              <w:t>Application of Act to ships connected with Queensland</w:t>
            </w:r>
            <w:r w:rsidR="00E1346F">
              <w:rPr>
                <w:webHidden/>
              </w:rPr>
              <w:tab/>
            </w:r>
            <w:r w:rsidR="00E1346F">
              <w:rPr>
                <w:webHidden/>
              </w:rPr>
              <w:fldChar w:fldCharType="begin"/>
            </w:r>
            <w:r w:rsidR="00E1346F">
              <w:rPr>
                <w:webHidden/>
              </w:rPr>
              <w:instrText xml:space="preserve"> PAGEREF _Toc159520255 \h </w:instrText>
            </w:r>
            <w:r w:rsidR="00E1346F">
              <w:rPr>
                <w:webHidden/>
              </w:rPr>
            </w:r>
            <w:r w:rsidR="00E1346F">
              <w:rPr>
                <w:webHidden/>
              </w:rPr>
              <w:fldChar w:fldCharType="separate"/>
            </w:r>
            <w:r w:rsidR="00E1346F">
              <w:rPr>
                <w:webHidden/>
              </w:rPr>
              <w:t>13</w:t>
            </w:r>
            <w:r w:rsidR="00E1346F">
              <w:rPr>
                <w:webHidden/>
              </w:rPr>
              <w:fldChar w:fldCharType="end"/>
            </w:r>
          </w:hyperlink>
        </w:p>
        <w:p w14:paraId="388A1F62" w14:textId="2EAE8DCD" w:rsidR="00E1346F" w:rsidRDefault="00D148F3">
          <w:pPr>
            <w:pStyle w:val="TOC3"/>
            <w:rPr>
              <w:rFonts w:asciiTheme="minorHAnsi" w:eastAsiaTheme="minorEastAsia" w:hAnsiTheme="minorHAnsi" w:cstheme="minorBidi"/>
              <w:szCs w:val="22"/>
              <w:lang w:eastAsia="en-AU"/>
            </w:rPr>
          </w:pPr>
          <w:hyperlink w:anchor="_Toc159520256" w:history="1">
            <w:r w:rsidR="00E1346F" w:rsidRPr="00901D5E">
              <w:rPr>
                <w:rStyle w:val="Hyperlink"/>
              </w:rPr>
              <w:t>Application to employment connected with Queensland</w:t>
            </w:r>
            <w:r w:rsidR="00E1346F">
              <w:rPr>
                <w:webHidden/>
              </w:rPr>
              <w:tab/>
            </w:r>
            <w:r w:rsidR="00E1346F">
              <w:rPr>
                <w:webHidden/>
              </w:rPr>
              <w:fldChar w:fldCharType="begin"/>
            </w:r>
            <w:r w:rsidR="00E1346F">
              <w:rPr>
                <w:webHidden/>
              </w:rPr>
              <w:instrText xml:space="preserve"> PAGEREF _Toc159520256 \h </w:instrText>
            </w:r>
            <w:r w:rsidR="00E1346F">
              <w:rPr>
                <w:webHidden/>
              </w:rPr>
            </w:r>
            <w:r w:rsidR="00E1346F">
              <w:rPr>
                <w:webHidden/>
              </w:rPr>
              <w:fldChar w:fldCharType="separate"/>
            </w:r>
            <w:r w:rsidR="00E1346F">
              <w:rPr>
                <w:webHidden/>
              </w:rPr>
              <w:t>13</w:t>
            </w:r>
            <w:r w:rsidR="00E1346F">
              <w:rPr>
                <w:webHidden/>
              </w:rPr>
              <w:fldChar w:fldCharType="end"/>
            </w:r>
          </w:hyperlink>
        </w:p>
        <w:p w14:paraId="25E2D12A" w14:textId="3F70FEC0" w:rsidR="00E1346F" w:rsidRDefault="00D148F3">
          <w:pPr>
            <w:pStyle w:val="TOC3"/>
            <w:rPr>
              <w:rFonts w:asciiTheme="minorHAnsi" w:eastAsiaTheme="minorEastAsia" w:hAnsiTheme="minorHAnsi" w:cstheme="minorBidi"/>
              <w:szCs w:val="22"/>
              <w:lang w:eastAsia="en-AU"/>
            </w:rPr>
          </w:pPr>
          <w:hyperlink w:anchor="_Toc159520257" w:history="1">
            <w:r w:rsidR="00E1346F" w:rsidRPr="00901D5E">
              <w:rPr>
                <w:rStyle w:val="Hyperlink"/>
              </w:rPr>
              <w:t>Beneficial interpretation</w:t>
            </w:r>
            <w:r w:rsidR="00E1346F">
              <w:rPr>
                <w:webHidden/>
              </w:rPr>
              <w:tab/>
            </w:r>
            <w:r w:rsidR="00E1346F">
              <w:rPr>
                <w:webHidden/>
              </w:rPr>
              <w:fldChar w:fldCharType="begin"/>
            </w:r>
            <w:r w:rsidR="00E1346F">
              <w:rPr>
                <w:webHidden/>
              </w:rPr>
              <w:instrText xml:space="preserve"> PAGEREF _Toc159520257 \h </w:instrText>
            </w:r>
            <w:r w:rsidR="00E1346F">
              <w:rPr>
                <w:webHidden/>
              </w:rPr>
            </w:r>
            <w:r w:rsidR="00E1346F">
              <w:rPr>
                <w:webHidden/>
              </w:rPr>
              <w:fldChar w:fldCharType="separate"/>
            </w:r>
            <w:r w:rsidR="00E1346F">
              <w:rPr>
                <w:webHidden/>
              </w:rPr>
              <w:t>13</w:t>
            </w:r>
            <w:r w:rsidR="00E1346F">
              <w:rPr>
                <w:webHidden/>
              </w:rPr>
              <w:fldChar w:fldCharType="end"/>
            </w:r>
          </w:hyperlink>
        </w:p>
        <w:p w14:paraId="097EF494" w14:textId="7A659E32" w:rsidR="00E1346F" w:rsidRDefault="00D148F3">
          <w:pPr>
            <w:pStyle w:val="TOC3"/>
            <w:rPr>
              <w:rFonts w:asciiTheme="minorHAnsi" w:eastAsiaTheme="minorEastAsia" w:hAnsiTheme="minorHAnsi" w:cstheme="minorBidi"/>
              <w:szCs w:val="22"/>
              <w:lang w:eastAsia="en-AU"/>
            </w:rPr>
          </w:pPr>
          <w:hyperlink w:anchor="_Toc159520258" w:history="1">
            <w:r w:rsidR="00E1346F" w:rsidRPr="00901D5E">
              <w:rPr>
                <w:rStyle w:val="Hyperlink"/>
              </w:rPr>
              <w:t>Protected attributes</w:t>
            </w:r>
            <w:r w:rsidR="00E1346F">
              <w:rPr>
                <w:webHidden/>
              </w:rPr>
              <w:tab/>
            </w:r>
            <w:r w:rsidR="00E1346F">
              <w:rPr>
                <w:webHidden/>
              </w:rPr>
              <w:fldChar w:fldCharType="begin"/>
            </w:r>
            <w:r w:rsidR="00E1346F">
              <w:rPr>
                <w:webHidden/>
              </w:rPr>
              <w:instrText xml:space="preserve"> PAGEREF _Toc159520258 \h </w:instrText>
            </w:r>
            <w:r w:rsidR="00E1346F">
              <w:rPr>
                <w:webHidden/>
              </w:rPr>
            </w:r>
            <w:r w:rsidR="00E1346F">
              <w:rPr>
                <w:webHidden/>
              </w:rPr>
              <w:fldChar w:fldCharType="separate"/>
            </w:r>
            <w:r w:rsidR="00E1346F">
              <w:rPr>
                <w:webHidden/>
              </w:rPr>
              <w:t>14</w:t>
            </w:r>
            <w:r w:rsidR="00E1346F">
              <w:rPr>
                <w:webHidden/>
              </w:rPr>
              <w:fldChar w:fldCharType="end"/>
            </w:r>
          </w:hyperlink>
        </w:p>
        <w:p w14:paraId="66798DB5" w14:textId="4E0450B7" w:rsidR="00E1346F" w:rsidRDefault="00D148F3">
          <w:pPr>
            <w:pStyle w:val="TOC3"/>
            <w:rPr>
              <w:rFonts w:asciiTheme="minorHAnsi" w:eastAsiaTheme="minorEastAsia" w:hAnsiTheme="minorHAnsi" w:cstheme="minorBidi"/>
              <w:szCs w:val="22"/>
              <w:lang w:eastAsia="en-AU"/>
            </w:rPr>
          </w:pPr>
          <w:hyperlink w:anchor="_Toc159520259" w:history="1">
            <w:r w:rsidR="00E1346F" w:rsidRPr="00901D5E">
              <w:rPr>
                <w:rStyle w:val="Hyperlink"/>
              </w:rPr>
              <w:t>Conduct in relation to a protected attribute</w:t>
            </w:r>
            <w:r w:rsidR="00E1346F">
              <w:rPr>
                <w:webHidden/>
              </w:rPr>
              <w:tab/>
            </w:r>
            <w:r w:rsidR="00E1346F">
              <w:rPr>
                <w:webHidden/>
              </w:rPr>
              <w:fldChar w:fldCharType="begin"/>
            </w:r>
            <w:r w:rsidR="00E1346F">
              <w:rPr>
                <w:webHidden/>
              </w:rPr>
              <w:instrText xml:space="preserve"> PAGEREF _Toc159520259 \h </w:instrText>
            </w:r>
            <w:r w:rsidR="00E1346F">
              <w:rPr>
                <w:webHidden/>
              </w:rPr>
            </w:r>
            <w:r w:rsidR="00E1346F">
              <w:rPr>
                <w:webHidden/>
              </w:rPr>
              <w:fldChar w:fldCharType="separate"/>
            </w:r>
            <w:r w:rsidR="00E1346F">
              <w:rPr>
                <w:webHidden/>
              </w:rPr>
              <w:t>16</w:t>
            </w:r>
            <w:r w:rsidR="00E1346F">
              <w:rPr>
                <w:webHidden/>
              </w:rPr>
              <w:fldChar w:fldCharType="end"/>
            </w:r>
          </w:hyperlink>
        </w:p>
        <w:p w14:paraId="603E3E94" w14:textId="51BD6D83" w:rsidR="00E1346F" w:rsidRDefault="00D148F3">
          <w:pPr>
            <w:pStyle w:val="TOC3"/>
            <w:rPr>
              <w:rFonts w:asciiTheme="minorHAnsi" w:eastAsiaTheme="minorEastAsia" w:hAnsiTheme="minorHAnsi" w:cstheme="minorBidi"/>
              <w:szCs w:val="22"/>
              <w:lang w:eastAsia="en-AU"/>
            </w:rPr>
          </w:pPr>
          <w:hyperlink w:anchor="_Toc159520260" w:history="1">
            <w:r w:rsidR="00E1346F" w:rsidRPr="00901D5E">
              <w:rPr>
                <w:rStyle w:val="Hyperlink"/>
              </w:rPr>
              <w:t>Reasonable accommodation</w:t>
            </w:r>
            <w:r w:rsidR="00E1346F">
              <w:rPr>
                <w:webHidden/>
              </w:rPr>
              <w:tab/>
            </w:r>
            <w:r w:rsidR="00E1346F">
              <w:rPr>
                <w:webHidden/>
              </w:rPr>
              <w:fldChar w:fldCharType="begin"/>
            </w:r>
            <w:r w:rsidR="00E1346F">
              <w:rPr>
                <w:webHidden/>
              </w:rPr>
              <w:instrText xml:space="preserve"> PAGEREF _Toc159520260 \h </w:instrText>
            </w:r>
            <w:r w:rsidR="00E1346F">
              <w:rPr>
                <w:webHidden/>
              </w:rPr>
            </w:r>
            <w:r w:rsidR="00E1346F">
              <w:rPr>
                <w:webHidden/>
              </w:rPr>
              <w:fldChar w:fldCharType="separate"/>
            </w:r>
            <w:r w:rsidR="00E1346F">
              <w:rPr>
                <w:webHidden/>
              </w:rPr>
              <w:t>16</w:t>
            </w:r>
            <w:r w:rsidR="00E1346F">
              <w:rPr>
                <w:webHidden/>
              </w:rPr>
              <w:fldChar w:fldCharType="end"/>
            </w:r>
          </w:hyperlink>
        </w:p>
        <w:p w14:paraId="4EF3AE33" w14:textId="1BF6B986" w:rsidR="00E1346F" w:rsidRDefault="00D148F3">
          <w:pPr>
            <w:pStyle w:val="TOC2"/>
            <w:rPr>
              <w:rFonts w:asciiTheme="minorHAnsi" w:eastAsiaTheme="minorEastAsia" w:hAnsiTheme="minorHAnsi" w:cstheme="minorBidi"/>
              <w:lang w:eastAsia="en-AU"/>
            </w:rPr>
          </w:pPr>
          <w:hyperlink w:anchor="_Toc159520261" w:history="1">
            <w:r w:rsidR="00E1346F" w:rsidRPr="00901D5E">
              <w:rPr>
                <w:rStyle w:val="Hyperlink"/>
              </w:rPr>
              <w:t>Part 2 - What is discrimination</w:t>
            </w:r>
            <w:r w:rsidR="00E1346F">
              <w:rPr>
                <w:webHidden/>
              </w:rPr>
              <w:tab/>
            </w:r>
            <w:r w:rsidR="00E1346F">
              <w:rPr>
                <w:webHidden/>
              </w:rPr>
              <w:fldChar w:fldCharType="begin"/>
            </w:r>
            <w:r w:rsidR="00E1346F">
              <w:rPr>
                <w:webHidden/>
              </w:rPr>
              <w:instrText xml:space="preserve"> PAGEREF _Toc159520261 \h </w:instrText>
            </w:r>
            <w:r w:rsidR="00E1346F">
              <w:rPr>
                <w:webHidden/>
              </w:rPr>
            </w:r>
            <w:r w:rsidR="00E1346F">
              <w:rPr>
                <w:webHidden/>
              </w:rPr>
              <w:fldChar w:fldCharType="separate"/>
            </w:r>
            <w:r w:rsidR="00E1346F">
              <w:rPr>
                <w:webHidden/>
              </w:rPr>
              <w:t>16</w:t>
            </w:r>
            <w:r w:rsidR="00E1346F">
              <w:rPr>
                <w:webHidden/>
              </w:rPr>
              <w:fldChar w:fldCharType="end"/>
            </w:r>
          </w:hyperlink>
        </w:p>
        <w:p w14:paraId="756EACB9" w14:textId="2D5ED116" w:rsidR="00E1346F" w:rsidRDefault="00D148F3">
          <w:pPr>
            <w:pStyle w:val="TOC3"/>
            <w:rPr>
              <w:rFonts w:asciiTheme="minorHAnsi" w:eastAsiaTheme="minorEastAsia" w:hAnsiTheme="minorHAnsi" w:cstheme="minorBidi"/>
              <w:szCs w:val="22"/>
              <w:lang w:eastAsia="en-AU"/>
            </w:rPr>
          </w:pPr>
          <w:hyperlink w:anchor="_Toc159520262" w:history="1">
            <w:r w:rsidR="00E1346F" w:rsidRPr="00901D5E">
              <w:rPr>
                <w:rStyle w:val="Hyperlink"/>
              </w:rPr>
              <w:t>Defining Discrimination</w:t>
            </w:r>
            <w:r w:rsidR="00E1346F">
              <w:rPr>
                <w:webHidden/>
              </w:rPr>
              <w:tab/>
            </w:r>
            <w:r w:rsidR="00E1346F">
              <w:rPr>
                <w:webHidden/>
              </w:rPr>
              <w:fldChar w:fldCharType="begin"/>
            </w:r>
            <w:r w:rsidR="00E1346F">
              <w:rPr>
                <w:webHidden/>
              </w:rPr>
              <w:instrText xml:space="preserve"> PAGEREF _Toc159520262 \h </w:instrText>
            </w:r>
            <w:r w:rsidR="00E1346F">
              <w:rPr>
                <w:webHidden/>
              </w:rPr>
            </w:r>
            <w:r w:rsidR="00E1346F">
              <w:rPr>
                <w:webHidden/>
              </w:rPr>
              <w:fldChar w:fldCharType="separate"/>
            </w:r>
            <w:r w:rsidR="00E1346F">
              <w:rPr>
                <w:webHidden/>
              </w:rPr>
              <w:t>17</w:t>
            </w:r>
            <w:r w:rsidR="00E1346F">
              <w:rPr>
                <w:webHidden/>
              </w:rPr>
              <w:fldChar w:fldCharType="end"/>
            </w:r>
          </w:hyperlink>
        </w:p>
        <w:p w14:paraId="31E51903" w14:textId="7861C10A" w:rsidR="00E1346F" w:rsidRDefault="00D148F3">
          <w:pPr>
            <w:pStyle w:val="TOC4"/>
            <w:rPr>
              <w:rFonts w:asciiTheme="minorHAnsi" w:eastAsiaTheme="minorEastAsia" w:hAnsiTheme="minorHAnsi" w:cstheme="minorBidi"/>
              <w:noProof/>
              <w:szCs w:val="22"/>
              <w:lang w:eastAsia="en-AU"/>
            </w:rPr>
          </w:pPr>
          <w:hyperlink w:anchor="_Toc159520263" w:history="1">
            <w:r w:rsidR="00E1346F" w:rsidRPr="00901D5E">
              <w:rPr>
                <w:rStyle w:val="Hyperlink"/>
                <w:noProof/>
              </w:rPr>
              <w:t>Direct Discrimination</w:t>
            </w:r>
            <w:r w:rsidR="00E1346F">
              <w:rPr>
                <w:noProof/>
                <w:webHidden/>
              </w:rPr>
              <w:tab/>
            </w:r>
            <w:r w:rsidR="00E1346F">
              <w:rPr>
                <w:noProof/>
                <w:webHidden/>
              </w:rPr>
              <w:fldChar w:fldCharType="begin"/>
            </w:r>
            <w:r w:rsidR="00E1346F">
              <w:rPr>
                <w:noProof/>
                <w:webHidden/>
              </w:rPr>
              <w:instrText xml:space="preserve"> PAGEREF _Toc159520263 \h </w:instrText>
            </w:r>
            <w:r w:rsidR="00E1346F">
              <w:rPr>
                <w:noProof/>
                <w:webHidden/>
              </w:rPr>
            </w:r>
            <w:r w:rsidR="00E1346F">
              <w:rPr>
                <w:noProof/>
                <w:webHidden/>
              </w:rPr>
              <w:fldChar w:fldCharType="separate"/>
            </w:r>
            <w:r w:rsidR="00E1346F">
              <w:rPr>
                <w:noProof/>
                <w:webHidden/>
              </w:rPr>
              <w:t>17</w:t>
            </w:r>
            <w:r w:rsidR="00E1346F">
              <w:rPr>
                <w:noProof/>
                <w:webHidden/>
              </w:rPr>
              <w:fldChar w:fldCharType="end"/>
            </w:r>
          </w:hyperlink>
        </w:p>
        <w:p w14:paraId="3CFD5FD5" w14:textId="3E6CF38A" w:rsidR="00E1346F" w:rsidRDefault="00D148F3">
          <w:pPr>
            <w:pStyle w:val="TOC4"/>
            <w:rPr>
              <w:rFonts w:asciiTheme="minorHAnsi" w:eastAsiaTheme="minorEastAsia" w:hAnsiTheme="minorHAnsi" w:cstheme="minorBidi"/>
              <w:noProof/>
              <w:szCs w:val="22"/>
              <w:lang w:eastAsia="en-AU"/>
            </w:rPr>
          </w:pPr>
          <w:hyperlink w:anchor="_Toc159520264" w:history="1">
            <w:r w:rsidR="00E1346F" w:rsidRPr="00901D5E">
              <w:rPr>
                <w:rStyle w:val="Hyperlink"/>
                <w:noProof/>
              </w:rPr>
              <w:t>Indirect Discrimination</w:t>
            </w:r>
            <w:r w:rsidR="00E1346F">
              <w:rPr>
                <w:noProof/>
                <w:webHidden/>
              </w:rPr>
              <w:tab/>
            </w:r>
            <w:r w:rsidR="00E1346F">
              <w:rPr>
                <w:noProof/>
                <w:webHidden/>
              </w:rPr>
              <w:fldChar w:fldCharType="begin"/>
            </w:r>
            <w:r w:rsidR="00E1346F">
              <w:rPr>
                <w:noProof/>
                <w:webHidden/>
              </w:rPr>
              <w:instrText xml:space="preserve"> PAGEREF _Toc159520264 \h </w:instrText>
            </w:r>
            <w:r w:rsidR="00E1346F">
              <w:rPr>
                <w:noProof/>
                <w:webHidden/>
              </w:rPr>
            </w:r>
            <w:r w:rsidR="00E1346F">
              <w:rPr>
                <w:noProof/>
                <w:webHidden/>
              </w:rPr>
              <w:fldChar w:fldCharType="separate"/>
            </w:r>
            <w:r w:rsidR="00E1346F">
              <w:rPr>
                <w:noProof/>
                <w:webHidden/>
              </w:rPr>
              <w:t>17</w:t>
            </w:r>
            <w:r w:rsidR="00E1346F">
              <w:rPr>
                <w:noProof/>
                <w:webHidden/>
              </w:rPr>
              <w:fldChar w:fldCharType="end"/>
            </w:r>
          </w:hyperlink>
        </w:p>
        <w:p w14:paraId="5F523CC1" w14:textId="180C1D8A" w:rsidR="00E1346F" w:rsidRDefault="00D148F3">
          <w:pPr>
            <w:pStyle w:val="TOC3"/>
            <w:rPr>
              <w:rFonts w:asciiTheme="minorHAnsi" w:eastAsiaTheme="minorEastAsia" w:hAnsiTheme="minorHAnsi" w:cstheme="minorBidi"/>
              <w:szCs w:val="22"/>
              <w:lang w:eastAsia="en-AU"/>
            </w:rPr>
          </w:pPr>
          <w:hyperlink w:anchor="_Toc159520265" w:history="1">
            <w:r w:rsidR="00E1346F" w:rsidRPr="00901D5E">
              <w:rPr>
                <w:rStyle w:val="Hyperlink"/>
              </w:rPr>
              <w:t>Affirmative Measures - general</w:t>
            </w:r>
            <w:r w:rsidR="00E1346F">
              <w:rPr>
                <w:webHidden/>
              </w:rPr>
              <w:tab/>
            </w:r>
            <w:r w:rsidR="00E1346F">
              <w:rPr>
                <w:webHidden/>
              </w:rPr>
              <w:fldChar w:fldCharType="begin"/>
            </w:r>
            <w:r w:rsidR="00E1346F">
              <w:rPr>
                <w:webHidden/>
              </w:rPr>
              <w:instrText xml:space="preserve"> PAGEREF _Toc159520265 \h </w:instrText>
            </w:r>
            <w:r w:rsidR="00E1346F">
              <w:rPr>
                <w:webHidden/>
              </w:rPr>
            </w:r>
            <w:r w:rsidR="00E1346F">
              <w:rPr>
                <w:webHidden/>
              </w:rPr>
              <w:fldChar w:fldCharType="separate"/>
            </w:r>
            <w:r w:rsidR="00E1346F">
              <w:rPr>
                <w:webHidden/>
              </w:rPr>
              <w:t>18</w:t>
            </w:r>
            <w:r w:rsidR="00E1346F">
              <w:rPr>
                <w:webHidden/>
              </w:rPr>
              <w:fldChar w:fldCharType="end"/>
            </w:r>
          </w:hyperlink>
        </w:p>
        <w:p w14:paraId="70F191CD" w14:textId="1086F31B" w:rsidR="00E1346F" w:rsidRDefault="00D148F3">
          <w:pPr>
            <w:pStyle w:val="TOC3"/>
            <w:rPr>
              <w:rFonts w:asciiTheme="minorHAnsi" w:eastAsiaTheme="minorEastAsia" w:hAnsiTheme="minorHAnsi" w:cstheme="minorBidi"/>
              <w:szCs w:val="22"/>
              <w:lang w:eastAsia="en-AU"/>
            </w:rPr>
          </w:pPr>
          <w:hyperlink w:anchor="_Toc159520266" w:history="1">
            <w:r w:rsidR="00E1346F" w:rsidRPr="00901D5E">
              <w:rPr>
                <w:rStyle w:val="Hyperlink"/>
              </w:rPr>
              <w:t>Affirmative measures for achieving racial equality</w:t>
            </w:r>
            <w:r w:rsidR="00E1346F">
              <w:rPr>
                <w:webHidden/>
              </w:rPr>
              <w:tab/>
            </w:r>
            <w:r w:rsidR="00E1346F">
              <w:rPr>
                <w:webHidden/>
              </w:rPr>
              <w:fldChar w:fldCharType="begin"/>
            </w:r>
            <w:r w:rsidR="00E1346F">
              <w:rPr>
                <w:webHidden/>
              </w:rPr>
              <w:instrText xml:space="preserve"> PAGEREF _Toc159520266 \h </w:instrText>
            </w:r>
            <w:r w:rsidR="00E1346F">
              <w:rPr>
                <w:webHidden/>
              </w:rPr>
            </w:r>
            <w:r w:rsidR="00E1346F">
              <w:rPr>
                <w:webHidden/>
              </w:rPr>
              <w:fldChar w:fldCharType="separate"/>
            </w:r>
            <w:r w:rsidR="00E1346F">
              <w:rPr>
                <w:webHidden/>
              </w:rPr>
              <w:t>19</w:t>
            </w:r>
            <w:r w:rsidR="00E1346F">
              <w:rPr>
                <w:webHidden/>
              </w:rPr>
              <w:fldChar w:fldCharType="end"/>
            </w:r>
          </w:hyperlink>
        </w:p>
        <w:p w14:paraId="7E734F91" w14:textId="228FD0D4" w:rsidR="00E1346F" w:rsidRDefault="00D148F3">
          <w:pPr>
            <w:pStyle w:val="TOC2"/>
            <w:rPr>
              <w:rFonts w:asciiTheme="minorHAnsi" w:eastAsiaTheme="minorEastAsia" w:hAnsiTheme="minorHAnsi" w:cstheme="minorBidi"/>
              <w:lang w:eastAsia="en-AU"/>
            </w:rPr>
          </w:pPr>
          <w:hyperlink w:anchor="_Toc159520267" w:history="1">
            <w:r w:rsidR="00E1346F" w:rsidRPr="00901D5E">
              <w:rPr>
                <w:rStyle w:val="Hyperlink"/>
              </w:rPr>
              <w:t>Part 3 – Positive duties</w:t>
            </w:r>
            <w:r w:rsidR="00E1346F">
              <w:rPr>
                <w:webHidden/>
              </w:rPr>
              <w:tab/>
            </w:r>
            <w:r w:rsidR="00E1346F">
              <w:rPr>
                <w:webHidden/>
              </w:rPr>
              <w:fldChar w:fldCharType="begin"/>
            </w:r>
            <w:r w:rsidR="00E1346F">
              <w:rPr>
                <w:webHidden/>
              </w:rPr>
              <w:instrText xml:space="preserve"> PAGEREF _Toc159520267 \h </w:instrText>
            </w:r>
            <w:r w:rsidR="00E1346F">
              <w:rPr>
                <w:webHidden/>
              </w:rPr>
            </w:r>
            <w:r w:rsidR="00E1346F">
              <w:rPr>
                <w:webHidden/>
              </w:rPr>
              <w:fldChar w:fldCharType="separate"/>
            </w:r>
            <w:r w:rsidR="00E1346F">
              <w:rPr>
                <w:webHidden/>
              </w:rPr>
              <w:t>20</w:t>
            </w:r>
            <w:r w:rsidR="00E1346F">
              <w:rPr>
                <w:webHidden/>
              </w:rPr>
              <w:fldChar w:fldCharType="end"/>
            </w:r>
          </w:hyperlink>
        </w:p>
        <w:p w14:paraId="28C075AC" w14:textId="7CCFBEE4" w:rsidR="00E1346F" w:rsidRDefault="00D148F3">
          <w:pPr>
            <w:pStyle w:val="TOC3"/>
            <w:rPr>
              <w:rFonts w:asciiTheme="minorHAnsi" w:eastAsiaTheme="minorEastAsia" w:hAnsiTheme="minorHAnsi" w:cstheme="minorBidi"/>
              <w:szCs w:val="22"/>
              <w:lang w:eastAsia="en-AU"/>
            </w:rPr>
          </w:pPr>
          <w:hyperlink w:anchor="_Toc159520268" w:history="1">
            <w:r w:rsidR="00E1346F" w:rsidRPr="00901D5E">
              <w:rPr>
                <w:rStyle w:val="Hyperlink"/>
              </w:rPr>
              <w:t>The purpose of this part</w:t>
            </w:r>
            <w:r w:rsidR="00E1346F">
              <w:rPr>
                <w:webHidden/>
              </w:rPr>
              <w:tab/>
            </w:r>
            <w:r w:rsidR="00E1346F">
              <w:rPr>
                <w:webHidden/>
              </w:rPr>
              <w:fldChar w:fldCharType="begin"/>
            </w:r>
            <w:r w:rsidR="00E1346F">
              <w:rPr>
                <w:webHidden/>
              </w:rPr>
              <w:instrText xml:space="preserve"> PAGEREF _Toc159520268 \h </w:instrText>
            </w:r>
            <w:r w:rsidR="00E1346F">
              <w:rPr>
                <w:webHidden/>
              </w:rPr>
            </w:r>
            <w:r w:rsidR="00E1346F">
              <w:rPr>
                <w:webHidden/>
              </w:rPr>
              <w:fldChar w:fldCharType="separate"/>
            </w:r>
            <w:r w:rsidR="00E1346F">
              <w:rPr>
                <w:webHidden/>
              </w:rPr>
              <w:t>20</w:t>
            </w:r>
            <w:r w:rsidR="00E1346F">
              <w:rPr>
                <w:webHidden/>
              </w:rPr>
              <w:fldChar w:fldCharType="end"/>
            </w:r>
          </w:hyperlink>
        </w:p>
        <w:p w14:paraId="7A6F1508" w14:textId="396100ED" w:rsidR="00E1346F" w:rsidRDefault="00D148F3">
          <w:pPr>
            <w:pStyle w:val="TOC3"/>
            <w:rPr>
              <w:rFonts w:asciiTheme="minorHAnsi" w:eastAsiaTheme="minorEastAsia" w:hAnsiTheme="minorHAnsi" w:cstheme="minorBidi"/>
              <w:szCs w:val="22"/>
              <w:lang w:eastAsia="en-AU"/>
            </w:rPr>
          </w:pPr>
          <w:hyperlink w:anchor="_Toc159520269" w:history="1">
            <w:r w:rsidR="00E1346F" w:rsidRPr="00901D5E">
              <w:rPr>
                <w:rStyle w:val="Hyperlink"/>
              </w:rPr>
              <w:t>Duty to make reasonable accommodation</w:t>
            </w:r>
            <w:r w:rsidR="00E1346F">
              <w:rPr>
                <w:webHidden/>
              </w:rPr>
              <w:tab/>
            </w:r>
            <w:r w:rsidR="00E1346F">
              <w:rPr>
                <w:webHidden/>
              </w:rPr>
              <w:fldChar w:fldCharType="begin"/>
            </w:r>
            <w:r w:rsidR="00E1346F">
              <w:rPr>
                <w:webHidden/>
              </w:rPr>
              <w:instrText xml:space="preserve"> PAGEREF _Toc159520269 \h </w:instrText>
            </w:r>
            <w:r w:rsidR="00E1346F">
              <w:rPr>
                <w:webHidden/>
              </w:rPr>
            </w:r>
            <w:r w:rsidR="00E1346F">
              <w:rPr>
                <w:webHidden/>
              </w:rPr>
              <w:fldChar w:fldCharType="separate"/>
            </w:r>
            <w:r w:rsidR="00E1346F">
              <w:rPr>
                <w:webHidden/>
              </w:rPr>
              <w:t>20</w:t>
            </w:r>
            <w:r w:rsidR="00E1346F">
              <w:rPr>
                <w:webHidden/>
              </w:rPr>
              <w:fldChar w:fldCharType="end"/>
            </w:r>
          </w:hyperlink>
        </w:p>
        <w:p w14:paraId="1286D409" w14:textId="5C0FD917" w:rsidR="00E1346F" w:rsidRDefault="00D148F3">
          <w:pPr>
            <w:pStyle w:val="TOC3"/>
            <w:rPr>
              <w:rFonts w:asciiTheme="minorHAnsi" w:eastAsiaTheme="minorEastAsia" w:hAnsiTheme="minorHAnsi" w:cstheme="minorBidi"/>
              <w:szCs w:val="22"/>
              <w:lang w:eastAsia="en-AU"/>
            </w:rPr>
          </w:pPr>
          <w:hyperlink w:anchor="_Toc159520270" w:history="1">
            <w:r w:rsidR="00E1346F" w:rsidRPr="00901D5E">
              <w:rPr>
                <w:rStyle w:val="Hyperlink"/>
              </w:rPr>
              <w:t>The general duty</w:t>
            </w:r>
            <w:r w:rsidR="00E1346F">
              <w:rPr>
                <w:webHidden/>
              </w:rPr>
              <w:tab/>
            </w:r>
            <w:r w:rsidR="00E1346F">
              <w:rPr>
                <w:webHidden/>
              </w:rPr>
              <w:fldChar w:fldCharType="begin"/>
            </w:r>
            <w:r w:rsidR="00E1346F">
              <w:rPr>
                <w:webHidden/>
              </w:rPr>
              <w:instrText xml:space="preserve"> PAGEREF _Toc159520270 \h </w:instrText>
            </w:r>
            <w:r w:rsidR="00E1346F">
              <w:rPr>
                <w:webHidden/>
              </w:rPr>
            </w:r>
            <w:r w:rsidR="00E1346F">
              <w:rPr>
                <w:webHidden/>
              </w:rPr>
              <w:fldChar w:fldCharType="separate"/>
            </w:r>
            <w:r w:rsidR="00E1346F">
              <w:rPr>
                <w:webHidden/>
              </w:rPr>
              <w:t>20</w:t>
            </w:r>
            <w:r w:rsidR="00E1346F">
              <w:rPr>
                <w:webHidden/>
              </w:rPr>
              <w:fldChar w:fldCharType="end"/>
            </w:r>
          </w:hyperlink>
        </w:p>
        <w:p w14:paraId="5981281F" w14:textId="38F3F7FE" w:rsidR="00E1346F" w:rsidRDefault="00D148F3">
          <w:pPr>
            <w:pStyle w:val="TOC2"/>
            <w:rPr>
              <w:rFonts w:asciiTheme="minorHAnsi" w:eastAsiaTheme="minorEastAsia" w:hAnsiTheme="minorHAnsi" w:cstheme="minorBidi"/>
              <w:lang w:eastAsia="en-AU"/>
            </w:rPr>
          </w:pPr>
          <w:hyperlink w:anchor="_Toc159520271" w:history="1">
            <w:r w:rsidR="00E1346F" w:rsidRPr="00901D5E">
              <w:rPr>
                <w:rStyle w:val="Hyperlink"/>
                <w:rFonts w:eastAsia="Times New Roman"/>
              </w:rPr>
              <w:t>Part 4 – Unlawful Discrimination</w:t>
            </w:r>
            <w:r w:rsidR="00E1346F">
              <w:rPr>
                <w:webHidden/>
              </w:rPr>
              <w:tab/>
            </w:r>
            <w:r w:rsidR="00E1346F">
              <w:rPr>
                <w:webHidden/>
              </w:rPr>
              <w:fldChar w:fldCharType="begin"/>
            </w:r>
            <w:r w:rsidR="00E1346F">
              <w:rPr>
                <w:webHidden/>
              </w:rPr>
              <w:instrText xml:space="preserve"> PAGEREF _Toc159520271 \h </w:instrText>
            </w:r>
            <w:r w:rsidR="00E1346F">
              <w:rPr>
                <w:webHidden/>
              </w:rPr>
            </w:r>
            <w:r w:rsidR="00E1346F">
              <w:rPr>
                <w:webHidden/>
              </w:rPr>
              <w:fldChar w:fldCharType="separate"/>
            </w:r>
            <w:r w:rsidR="00E1346F">
              <w:rPr>
                <w:webHidden/>
              </w:rPr>
              <w:t>21</w:t>
            </w:r>
            <w:r w:rsidR="00E1346F">
              <w:rPr>
                <w:webHidden/>
              </w:rPr>
              <w:fldChar w:fldCharType="end"/>
            </w:r>
          </w:hyperlink>
        </w:p>
        <w:p w14:paraId="4AED18B5" w14:textId="4505B0E6" w:rsidR="00E1346F" w:rsidRDefault="00D148F3">
          <w:pPr>
            <w:pStyle w:val="TOC3"/>
            <w:rPr>
              <w:rFonts w:asciiTheme="minorHAnsi" w:eastAsiaTheme="minorEastAsia" w:hAnsiTheme="minorHAnsi" w:cstheme="minorBidi"/>
              <w:szCs w:val="22"/>
              <w:lang w:eastAsia="en-AU"/>
            </w:rPr>
          </w:pPr>
          <w:hyperlink w:anchor="_Toc159520272" w:history="1">
            <w:r w:rsidR="00E1346F" w:rsidRPr="00901D5E">
              <w:rPr>
                <w:rStyle w:val="Hyperlink"/>
                <w:rFonts w:eastAsia="Times New Roman"/>
              </w:rPr>
              <w:t>When is discrimination lawful discrimination</w:t>
            </w:r>
            <w:r w:rsidR="00E1346F">
              <w:rPr>
                <w:webHidden/>
              </w:rPr>
              <w:tab/>
            </w:r>
            <w:r w:rsidR="00E1346F">
              <w:rPr>
                <w:webHidden/>
              </w:rPr>
              <w:fldChar w:fldCharType="begin"/>
            </w:r>
            <w:r w:rsidR="00E1346F">
              <w:rPr>
                <w:webHidden/>
              </w:rPr>
              <w:instrText xml:space="preserve"> PAGEREF _Toc159520272 \h </w:instrText>
            </w:r>
            <w:r w:rsidR="00E1346F">
              <w:rPr>
                <w:webHidden/>
              </w:rPr>
            </w:r>
            <w:r w:rsidR="00E1346F">
              <w:rPr>
                <w:webHidden/>
              </w:rPr>
              <w:fldChar w:fldCharType="separate"/>
            </w:r>
            <w:r w:rsidR="00E1346F">
              <w:rPr>
                <w:webHidden/>
              </w:rPr>
              <w:t>21</w:t>
            </w:r>
            <w:r w:rsidR="00E1346F">
              <w:rPr>
                <w:webHidden/>
              </w:rPr>
              <w:fldChar w:fldCharType="end"/>
            </w:r>
          </w:hyperlink>
        </w:p>
        <w:p w14:paraId="04D9C3BB" w14:textId="660B01CD" w:rsidR="00E1346F" w:rsidRDefault="00D148F3">
          <w:pPr>
            <w:pStyle w:val="TOC3"/>
            <w:rPr>
              <w:rFonts w:asciiTheme="minorHAnsi" w:eastAsiaTheme="minorEastAsia" w:hAnsiTheme="minorHAnsi" w:cstheme="minorBidi"/>
              <w:szCs w:val="22"/>
              <w:lang w:eastAsia="en-AU"/>
            </w:rPr>
          </w:pPr>
          <w:hyperlink w:anchor="_Toc159520273" w:history="1">
            <w:r w:rsidR="00E1346F" w:rsidRPr="00901D5E">
              <w:rPr>
                <w:rStyle w:val="Hyperlink"/>
                <w:rFonts w:eastAsia="Times New Roman"/>
              </w:rPr>
              <w:t>Areas of activity in which discrimination is prohibited</w:t>
            </w:r>
            <w:r w:rsidR="00E1346F">
              <w:rPr>
                <w:webHidden/>
              </w:rPr>
              <w:tab/>
            </w:r>
            <w:r w:rsidR="00E1346F">
              <w:rPr>
                <w:webHidden/>
              </w:rPr>
              <w:fldChar w:fldCharType="begin"/>
            </w:r>
            <w:r w:rsidR="00E1346F">
              <w:rPr>
                <w:webHidden/>
              </w:rPr>
              <w:instrText xml:space="preserve"> PAGEREF _Toc159520273 \h </w:instrText>
            </w:r>
            <w:r w:rsidR="00E1346F">
              <w:rPr>
                <w:webHidden/>
              </w:rPr>
            </w:r>
            <w:r w:rsidR="00E1346F">
              <w:rPr>
                <w:webHidden/>
              </w:rPr>
              <w:fldChar w:fldCharType="separate"/>
            </w:r>
            <w:r w:rsidR="00E1346F">
              <w:rPr>
                <w:webHidden/>
              </w:rPr>
              <w:t>21</w:t>
            </w:r>
            <w:r w:rsidR="00E1346F">
              <w:rPr>
                <w:webHidden/>
              </w:rPr>
              <w:fldChar w:fldCharType="end"/>
            </w:r>
          </w:hyperlink>
        </w:p>
        <w:p w14:paraId="31368698" w14:textId="5C1F1FC4" w:rsidR="00E1346F" w:rsidRDefault="00D148F3">
          <w:pPr>
            <w:pStyle w:val="TOC4"/>
            <w:rPr>
              <w:rFonts w:asciiTheme="minorHAnsi" w:eastAsiaTheme="minorEastAsia" w:hAnsiTheme="minorHAnsi" w:cstheme="minorBidi"/>
              <w:noProof/>
              <w:szCs w:val="22"/>
              <w:lang w:eastAsia="en-AU"/>
            </w:rPr>
          </w:pPr>
          <w:hyperlink w:anchor="_Toc159520274" w:history="1">
            <w:r w:rsidR="00E1346F" w:rsidRPr="00901D5E">
              <w:rPr>
                <w:rStyle w:val="Hyperlink"/>
                <w:noProof/>
              </w:rPr>
              <w:t>Goods and services</w:t>
            </w:r>
            <w:r w:rsidR="00E1346F">
              <w:rPr>
                <w:noProof/>
                <w:webHidden/>
              </w:rPr>
              <w:tab/>
            </w:r>
            <w:r w:rsidR="00E1346F">
              <w:rPr>
                <w:noProof/>
                <w:webHidden/>
              </w:rPr>
              <w:fldChar w:fldCharType="begin"/>
            </w:r>
            <w:r w:rsidR="00E1346F">
              <w:rPr>
                <w:noProof/>
                <w:webHidden/>
              </w:rPr>
              <w:instrText xml:space="preserve"> PAGEREF _Toc159520274 \h </w:instrText>
            </w:r>
            <w:r w:rsidR="00E1346F">
              <w:rPr>
                <w:noProof/>
                <w:webHidden/>
              </w:rPr>
            </w:r>
            <w:r w:rsidR="00E1346F">
              <w:rPr>
                <w:noProof/>
                <w:webHidden/>
              </w:rPr>
              <w:fldChar w:fldCharType="separate"/>
            </w:r>
            <w:r w:rsidR="00E1346F">
              <w:rPr>
                <w:noProof/>
                <w:webHidden/>
              </w:rPr>
              <w:t>22</w:t>
            </w:r>
            <w:r w:rsidR="00E1346F">
              <w:rPr>
                <w:noProof/>
                <w:webHidden/>
              </w:rPr>
              <w:fldChar w:fldCharType="end"/>
            </w:r>
          </w:hyperlink>
        </w:p>
        <w:p w14:paraId="13D64EC3" w14:textId="49EED8A3" w:rsidR="00E1346F" w:rsidRDefault="00D148F3">
          <w:pPr>
            <w:pStyle w:val="TOC4"/>
            <w:rPr>
              <w:rFonts w:asciiTheme="minorHAnsi" w:eastAsiaTheme="minorEastAsia" w:hAnsiTheme="minorHAnsi" w:cstheme="minorBidi"/>
              <w:noProof/>
              <w:szCs w:val="22"/>
              <w:lang w:eastAsia="en-AU"/>
            </w:rPr>
          </w:pPr>
          <w:hyperlink w:anchor="_Toc159520275" w:history="1">
            <w:r w:rsidR="00E1346F" w:rsidRPr="00901D5E">
              <w:rPr>
                <w:rStyle w:val="Hyperlink"/>
                <w:noProof/>
              </w:rPr>
              <w:t>Superannuation and insurance</w:t>
            </w:r>
            <w:r w:rsidR="00E1346F">
              <w:rPr>
                <w:noProof/>
                <w:webHidden/>
              </w:rPr>
              <w:tab/>
            </w:r>
            <w:r w:rsidR="00E1346F">
              <w:rPr>
                <w:noProof/>
                <w:webHidden/>
              </w:rPr>
              <w:fldChar w:fldCharType="begin"/>
            </w:r>
            <w:r w:rsidR="00E1346F">
              <w:rPr>
                <w:noProof/>
                <w:webHidden/>
              </w:rPr>
              <w:instrText xml:space="preserve"> PAGEREF _Toc159520275 \h </w:instrText>
            </w:r>
            <w:r w:rsidR="00E1346F">
              <w:rPr>
                <w:noProof/>
                <w:webHidden/>
              </w:rPr>
            </w:r>
            <w:r w:rsidR="00E1346F">
              <w:rPr>
                <w:noProof/>
                <w:webHidden/>
              </w:rPr>
              <w:fldChar w:fldCharType="separate"/>
            </w:r>
            <w:r w:rsidR="00E1346F">
              <w:rPr>
                <w:noProof/>
                <w:webHidden/>
              </w:rPr>
              <w:t>22</w:t>
            </w:r>
            <w:r w:rsidR="00E1346F">
              <w:rPr>
                <w:noProof/>
                <w:webHidden/>
              </w:rPr>
              <w:fldChar w:fldCharType="end"/>
            </w:r>
          </w:hyperlink>
        </w:p>
        <w:p w14:paraId="1F9844A4" w14:textId="55CDB087" w:rsidR="00E1346F" w:rsidRDefault="00D148F3">
          <w:pPr>
            <w:pStyle w:val="TOC4"/>
            <w:rPr>
              <w:rFonts w:asciiTheme="minorHAnsi" w:eastAsiaTheme="minorEastAsia" w:hAnsiTheme="minorHAnsi" w:cstheme="minorBidi"/>
              <w:noProof/>
              <w:szCs w:val="22"/>
              <w:lang w:eastAsia="en-AU"/>
            </w:rPr>
          </w:pPr>
          <w:hyperlink w:anchor="_Toc159520276" w:history="1">
            <w:r w:rsidR="00E1346F" w:rsidRPr="00901D5E">
              <w:rPr>
                <w:rStyle w:val="Hyperlink"/>
                <w:noProof/>
              </w:rPr>
              <w:t>Club membership</w:t>
            </w:r>
            <w:r w:rsidR="00E1346F">
              <w:rPr>
                <w:noProof/>
                <w:webHidden/>
              </w:rPr>
              <w:tab/>
            </w:r>
            <w:r w:rsidR="00E1346F">
              <w:rPr>
                <w:noProof/>
                <w:webHidden/>
              </w:rPr>
              <w:fldChar w:fldCharType="begin"/>
            </w:r>
            <w:r w:rsidR="00E1346F">
              <w:rPr>
                <w:noProof/>
                <w:webHidden/>
              </w:rPr>
              <w:instrText xml:space="preserve"> PAGEREF _Toc159520276 \h </w:instrText>
            </w:r>
            <w:r w:rsidR="00E1346F">
              <w:rPr>
                <w:noProof/>
                <w:webHidden/>
              </w:rPr>
            </w:r>
            <w:r w:rsidR="00E1346F">
              <w:rPr>
                <w:noProof/>
                <w:webHidden/>
              </w:rPr>
              <w:fldChar w:fldCharType="separate"/>
            </w:r>
            <w:r w:rsidR="00E1346F">
              <w:rPr>
                <w:noProof/>
                <w:webHidden/>
              </w:rPr>
              <w:t>22</w:t>
            </w:r>
            <w:r w:rsidR="00E1346F">
              <w:rPr>
                <w:noProof/>
                <w:webHidden/>
              </w:rPr>
              <w:fldChar w:fldCharType="end"/>
            </w:r>
          </w:hyperlink>
        </w:p>
        <w:p w14:paraId="2F8E0B17" w14:textId="359400FD" w:rsidR="00E1346F" w:rsidRDefault="00D148F3">
          <w:pPr>
            <w:pStyle w:val="TOC3"/>
            <w:rPr>
              <w:rFonts w:asciiTheme="minorHAnsi" w:eastAsiaTheme="minorEastAsia" w:hAnsiTheme="minorHAnsi" w:cstheme="minorBidi"/>
              <w:szCs w:val="22"/>
              <w:lang w:eastAsia="en-AU"/>
            </w:rPr>
          </w:pPr>
          <w:hyperlink w:anchor="_Toc159520277" w:history="1">
            <w:r w:rsidR="00E1346F" w:rsidRPr="00901D5E">
              <w:rPr>
                <w:rStyle w:val="Hyperlink"/>
                <w:rFonts w:eastAsia="Times New Roman"/>
              </w:rPr>
              <w:t>Lawful discrimination – exceptions and exemptions</w:t>
            </w:r>
            <w:r w:rsidR="00E1346F">
              <w:rPr>
                <w:webHidden/>
              </w:rPr>
              <w:tab/>
            </w:r>
            <w:r w:rsidR="00E1346F">
              <w:rPr>
                <w:webHidden/>
              </w:rPr>
              <w:fldChar w:fldCharType="begin"/>
            </w:r>
            <w:r w:rsidR="00E1346F">
              <w:rPr>
                <w:webHidden/>
              </w:rPr>
              <w:instrText xml:space="preserve"> PAGEREF _Toc159520277 \h </w:instrText>
            </w:r>
            <w:r w:rsidR="00E1346F">
              <w:rPr>
                <w:webHidden/>
              </w:rPr>
            </w:r>
            <w:r w:rsidR="00E1346F">
              <w:rPr>
                <w:webHidden/>
              </w:rPr>
              <w:fldChar w:fldCharType="separate"/>
            </w:r>
            <w:r w:rsidR="00E1346F">
              <w:rPr>
                <w:webHidden/>
              </w:rPr>
              <w:t>23</w:t>
            </w:r>
            <w:r w:rsidR="00E1346F">
              <w:rPr>
                <w:webHidden/>
              </w:rPr>
              <w:fldChar w:fldCharType="end"/>
            </w:r>
          </w:hyperlink>
        </w:p>
        <w:p w14:paraId="774C3E14" w14:textId="09A680F1" w:rsidR="00E1346F" w:rsidRDefault="00D148F3">
          <w:pPr>
            <w:pStyle w:val="TOC4"/>
            <w:rPr>
              <w:rFonts w:asciiTheme="minorHAnsi" w:eastAsiaTheme="minorEastAsia" w:hAnsiTheme="minorHAnsi" w:cstheme="minorBidi"/>
              <w:noProof/>
              <w:szCs w:val="22"/>
              <w:lang w:eastAsia="en-AU"/>
            </w:rPr>
          </w:pPr>
          <w:hyperlink w:anchor="_Toc159520278" w:history="1">
            <w:r w:rsidR="00E1346F" w:rsidRPr="00901D5E">
              <w:rPr>
                <w:rStyle w:val="Hyperlink"/>
                <w:noProof/>
              </w:rPr>
              <w:t>Superannuation and insurance</w:t>
            </w:r>
            <w:r w:rsidR="00E1346F">
              <w:rPr>
                <w:noProof/>
                <w:webHidden/>
              </w:rPr>
              <w:tab/>
            </w:r>
            <w:r w:rsidR="00E1346F">
              <w:rPr>
                <w:noProof/>
                <w:webHidden/>
              </w:rPr>
              <w:fldChar w:fldCharType="begin"/>
            </w:r>
            <w:r w:rsidR="00E1346F">
              <w:rPr>
                <w:noProof/>
                <w:webHidden/>
              </w:rPr>
              <w:instrText xml:space="preserve"> PAGEREF _Toc159520278 \h </w:instrText>
            </w:r>
            <w:r w:rsidR="00E1346F">
              <w:rPr>
                <w:noProof/>
                <w:webHidden/>
              </w:rPr>
            </w:r>
            <w:r w:rsidR="00E1346F">
              <w:rPr>
                <w:noProof/>
                <w:webHidden/>
              </w:rPr>
              <w:fldChar w:fldCharType="separate"/>
            </w:r>
            <w:r w:rsidR="00E1346F">
              <w:rPr>
                <w:noProof/>
                <w:webHidden/>
              </w:rPr>
              <w:t>23</w:t>
            </w:r>
            <w:r w:rsidR="00E1346F">
              <w:rPr>
                <w:noProof/>
                <w:webHidden/>
              </w:rPr>
              <w:fldChar w:fldCharType="end"/>
            </w:r>
          </w:hyperlink>
        </w:p>
        <w:p w14:paraId="42F68578" w14:textId="4FD5C4E4" w:rsidR="00E1346F" w:rsidRDefault="00D148F3">
          <w:pPr>
            <w:pStyle w:val="TOC4"/>
            <w:rPr>
              <w:rFonts w:asciiTheme="minorHAnsi" w:eastAsiaTheme="minorEastAsia" w:hAnsiTheme="minorHAnsi" w:cstheme="minorBidi"/>
              <w:noProof/>
              <w:szCs w:val="22"/>
              <w:lang w:eastAsia="en-AU"/>
            </w:rPr>
          </w:pPr>
          <w:hyperlink w:anchor="_Toc159520279" w:history="1">
            <w:r w:rsidR="00E1346F" w:rsidRPr="00901D5E">
              <w:rPr>
                <w:rStyle w:val="Hyperlink"/>
                <w:noProof/>
              </w:rPr>
              <w:t>Unjustifiable hardship</w:t>
            </w:r>
            <w:r w:rsidR="00E1346F">
              <w:rPr>
                <w:noProof/>
                <w:webHidden/>
              </w:rPr>
              <w:tab/>
            </w:r>
            <w:r w:rsidR="00E1346F">
              <w:rPr>
                <w:noProof/>
                <w:webHidden/>
              </w:rPr>
              <w:fldChar w:fldCharType="begin"/>
            </w:r>
            <w:r w:rsidR="00E1346F">
              <w:rPr>
                <w:noProof/>
                <w:webHidden/>
              </w:rPr>
              <w:instrText xml:space="preserve"> PAGEREF _Toc159520279 \h </w:instrText>
            </w:r>
            <w:r w:rsidR="00E1346F">
              <w:rPr>
                <w:noProof/>
                <w:webHidden/>
              </w:rPr>
            </w:r>
            <w:r w:rsidR="00E1346F">
              <w:rPr>
                <w:noProof/>
                <w:webHidden/>
              </w:rPr>
              <w:fldChar w:fldCharType="separate"/>
            </w:r>
            <w:r w:rsidR="00E1346F">
              <w:rPr>
                <w:noProof/>
                <w:webHidden/>
              </w:rPr>
              <w:t>23</w:t>
            </w:r>
            <w:r w:rsidR="00E1346F">
              <w:rPr>
                <w:noProof/>
                <w:webHidden/>
              </w:rPr>
              <w:fldChar w:fldCharType="end"/>
            </w:r>
          </w:hyperlink>
        </w:p>
        <w:p w14:paraId="066B1E58" w14:textId="28048DAA" w:rsidR="00E1346F" w:rsidRDefault="00D148F3">
          <w:pPr>
            <w:pStyle w:val="TOC4"/>
            <w:rPr>
              <w:rFonts w:asciiTheme="minorHAnsi" w:eastAsiaTheme="minorEastAsia" w:hAnsiTheme="minorHAnsi" w:cstheme="minorBidi"/>
              <w:noProof/>
              <w:szCs w:val="22"/>
              <w:lang w:eastAsia="en-AU"/>
            </w:rPr>
          </w:pPr>
          <w:hyperlink w:anchor="_Toc159520280" w:history="1">
            <w:r w:rsidR="00E1346F" w:rsidRPr="00901D5E">
              <w:rPr>
                <w:rStyle w:val="Hyperlink"/>
                <w:noProof/>
              </w:rPr>
              <w:t>Limiting some exceptions to discrimination or restrictions that are ‘reasonable and proportionate in the circumstances’</w:t>
            </w:r>
            <w:r w:rsidR="00E1346F">
              <w:rPr>
                <w:noProof/>
                <w:webHidden/>
              </w:rPr>
              <w:tab/>
            </w:r>
            <w:r w:rsidR="00E1346F">
              <w:rPr>
                <w:noProof/>
                <w:webHidden/>
              </w:rPr>
              <w:fldChar w:fldCharType="begin"/>
            </w:r>
            <w:r w:rsidR="00E1346F">
              <w:rPr>
                <w:noProof/>
                <w:webHidden/>
              </w:rPr>
              <w:instrText xml:space="preserve"> PAGEREF _Toc159520280 \h </w:instrText>
            </w:r>
            <w:r w:rsidR="00E1346F">
              <w:rPr>
                <w:noProof/>
                <w:webHidden/>
              </w:rPr>
            </w:r>
            <w:r w:rsidR="00E1346F">
              <w:rPr>
                <w:noProof/>
                <w:webHidden/>
              </w:rPr>
              <w:fldChar w:fldCharType="separate"/>
            </w:r>
            <w:r w:rsidR="00E1346F">
              <w:rPr>
                <w:noProof/>
                <w:webHidden/>
              </w:rPr>
              <w:t>24</w:t>
            </w:r>
            <w:r w:rsidR="00E1346F">
              <w:rPr>
                <w:noProof/>
                <w:webHidden/>
              </w:rPr>
              <w:fldChar w:fldCharType="end"/>
            </w:r>
          </w:hyperlink>
        </w:p>
        <w:p w14:paraId="5677CFF6" w14:textId="4CF1E299" w:rsidR="00E1346F" w:rsidRDefault="00D148F3">
          <w:pPr>
            <w:pStyle w:val="TOC3"/>
            <w:rPr>
              <w:rFonts w:asciiTheme="minorHAnsi" w:eastAsiaTheme="minorEastAsia" w:hAnsiTheme="minorHAnsi" w:cstheme="minorBidi"/>
              <w:szCs w:val="22"/>
              <w:lang w:eastAsia="en-AU"/>
            </w:rPr>
          </w:pPr>
          <w:hyperlink w:anchor="_Toc159520281" w:history="1">
            <w:r w:rsidR="00E1346F" w:rsidRPr="00901D5E">
              <w:rPr>
                <w:rStyle w:val="Hyperlink"/>
                <w:iCs/>
              </w:rPr>
              <w:t xml:space="preserve">Exceptions </w:t>
            </w:r>
            <w:r w:rsidR="00E1346F" w:rsidRPr="00901D5E">
              <w:rPr>
                <w:rStyle w:val="Hyperlink"/>
              </w:rPr>
              <w:t>– Work and work-related areas</w:t>
            </w:r>
            <w:r w:rsidR="00E1346F">
              <w:rPr>
                <w:webHidden/>
              </w:rPr>
              <w:tab/>
            </w:r>
            <w:r w:rsidR="00E1346F">
              <w:rPr>
                <w:webHidden/>
              </w:rPr>
              <w:fldChar w:fldCharType="begin"/>
            </w:r>
            <w:r w:rsidR="00E1346F">
              <w:rPr>
                <w:webHidden/>
              </w:rPr>
              <w:instrText xml:space="preserve"> PAGEREF _Toc159520281 \h </w:instrText>
            </w:r>
            <w:r w:rsidR="00E1346F">
              <w:rPr>
                <w:webHidden/>
              </w:rPr>
            </w:r>
            <w:r w:rsidR="00E1346F">
              <w:rPr>
                <w:webHidden/>
              </w:rPr>
              <w:fldChar w:fldCharType="separate"/>
            </w:r>
            <w:r w:rsidR="00E1346F">
              <w:rPr>
                <w:webHidden/>
              </w:rPr>
              <w:t>24</w:t>
            </w:r>
            <w:r w:rsidR="00E1346F">
              <w:rPr>
                <w:webHidden/>
              </w:rPr>
              <w:fldChar w:fldCharType="end"/>
            </w:r>
          </w:hyperlink>
        </w:p>
        <w:p w14:paraId="4D7200D6" w14:textId="573938D3" w:rsidR="00E1346F" w:rsidRDefault="00D148F3">
          <w:pPr>
            <w:pStyle w:val="TOC4"/>
            <w:rPr>
              <w:rFonts w:asciiTheme="minorHAnsi" w:eastAsiaTheme="minorEastAsia" w:hAnsiTheme="minorHAnsi" w:cstheme="minorBidi"/>
              <w:noProof/>
              <w:szCs w:val="22"/>
              <w:lang w:eastAsia="en-AU"/>
            </w:rPr>
          </w:pPr>
          <w:hyperlink w:anchor="_Toc159520282" w:history="1">
            <w:r w:rsidR="00E1346F" w:rsidRPr="00901D5E">
              <w:rPr>
                <w:rStyle w:val="Hyperlink"/>
                <w:noProof/>
              </w:rPr>
              <w:t>Genuine occupational requirements – generally</w:t>
            </w:r>
            <w:r w:rsidR="00E1346F">
              <w:rPr>
                <w:noProof/>
                <w:webHidden/>
              </w:rPr>
              <w:tab/>
            </w:r>
            <w:r w:rsidR="00E1346F">
              <w:rPr>
                <w:noProof/>
                <w:webHidden/>
              </w:rPr>
              <w:fldChar w:fldCharType="begin"/>
            </w:r>
            <w:r w:rsidR="00E1346F">
              <w:rPr>
                <w:noProof/>
                <w:webHidden/>
              </w:rPr>
              <w:instrText xml:space="preserve"> PAGEREF _Toc159520282 \h </w:instrText>
            </w:r>
            <w:r w:rsidR="00E1346F">
              <w:rPr>
                <w:noProof/>
                <w:webHidden/>
              </w:rPr>
            </w:r>
            <w:r w:rsidR="00E1346F">
              <w:rPr>
                <w:noProof/>
                <w:webHidden/>
              </w:rPr>
              <w:fldChar w:fldCharType="separate"/>
            </w:r>
            <w:r w:rsidR="00E1346F">
              <w:rPr>
                <w:noProof/>
                <w:webHidden/>
              </w:rPr>
              <w:t>24</w:t>
            </w:r>
            <w:r w:rsidR="00E1346F">
              <w:rPr>
                <w:noProof/>
                <w:webHidden/>
              </w:rPr>
              <w:fldChar w:fldCharType="end"/>
            </w:r>
          </w:hyperlink>
        </w:p>
        <w:p w14:paraId="2996DDDF" w14:textId="6A500A6B" w:rsidR="00E1346F" w:rsidRDefault="00D148F3">
          <w:pPr>
            <w:pStyle w:val="TOC4"/>
            <w:rPr>
              <w:rFonts w:asciiTheme="minorHAnsi" w:eastAsiaTheme="minorEastAsia" w:hAnsiTheme="minorHAnsi" w:cstheme="minorBidi"/>
              <w:noProof/>
              <w:szCs w:val="22"/>
              <w:lang w:eastAsia="en-AU"/>
            </w:rPr>
          </w:pPr>
          <w:hyperlink w:anchor="_Toc159520283" w:history="1">
            <w:r w:rsidR="00E1346F" w:rsidRPr="00901D5E">
              <w:rPr>
                <w:rStyle w:val="Hyperlink"/>
                <w:noProof/>
              </w:rPr>
              <w:t>Genuine occupational requirements – religious bodies</w:t>
            </w:r>
            <w:r w:rsidR="00E1346F">
              <w:rPr>
                <w:noProof/>
                <w:webHidden/>
              </w:rPr>
              <w:tab/>
            </w:r>
            <w:r w:rsidR="00E1346F">
              <w:rPr>
                <w:noProof/>
                <w:webHidden/>
              </w:rPr>
              <w:fldChar w:fldCharType="begin"/>
            </w:r>
            <w:r w:rsidR="00E1346F">
              <w:rPr>
                <w:noProof/>
                <w:webHidden/>
              </w:rPr>
              <w:instrText xml:space="preserve"> PAGEREF _Toc159520283 \h </w:instrText>
            </w:r>
            <w:r w:rsidR="00E1346F">
              <w:rPr>
                <w:noProof/>
                <w:webHidden/>
              </w:rPr>
            </w:r>
            <w:r w:rsidR="00E1346F">
              <w:rPr>
                <w:noProof/>
                <w:webHidden/>
              </w:rPr>
              <w:fldChar w:fldCharType="separate"/>
            </w:r>
            <w:r w:rsidR="00E1346F">
              <w:rPr>
                <w:noProof/>
                <w:webHidden/>
              </w:rPr>
              <w:t>25</w:t>
            </w:r>
            <w:r w:rsidR="00E1346F">
              <w:rPr>
                <w:noProof/>
                <w:webHidden/>
              </w:rPr>
              <w:fldChar w:fldCharType="end"/>
            </w:r>
          </w:hyperlink>
        </w:p>
        <w:p w14:paraId="1BCA7C78" w14:textId="23420FC7" w:rsidR="00E1346F" w:rsidRDefault="00D148F3">
          <w:pPr>
            <w:pStyle w:val="TOC4"/>
            <w:rPr>
              <w:rFonts w:asciiTheme="minorHAnsi" w:eastAsiaTheme="minorEastAsia" w:hAnsiTheme="minorHAnsi" w:cstheme="minorBidi"/>
              <w:noProof/>
              <w:szCs w:val="22"/>
              <w:lang w:eastAsia="en-AU"/>
            </w:rPr>
          </w:pPr>
          <w:hyperlink w:anchor="_Toc159520284" w:history="1">
            <w:r w:rsidR="00E1346F" w:rsidRPr="00901D5E">
              <w:rPr>
                <w:rStyle w:val="Hyperlink"/>
                <w:noProof/>
              </w:rPr>
              <w:t>Compulsory retirement age under an Act</w:t>
            </w:r>
            <w:r w:rsidR="00E1346F">
              <w:rPr>
                <w:noProof/>
                <w:webHidden/>
              </w:rPr>
              <w:tab/>
            </w:r>
            <w:r w:rsidR="00E1346F">
              <w:rPr>
                <w:noProof/>
                <w:webHidden/>
              </w:rPr>
              <w:fldChar w:fldCharType="begin"/>
            </w:r>
            <w:r w:rsidR="00E1346F">
              <w:rPr>
                <w:noProof/>
                <w:webHidden/>
              </w:rPr>
              <w:instrText xml:space="preserve"> PAGEREF _Toc159520284 \h </w:instrText>
            </w:r>
            <w:r w:rsidR="00E1346F">
              <w:rPr>
                <w:noProof/>
                <w:webHidden/>
              </w:rPr>
            </w:r>
            <w:r w:rsidR="00E1346F">
              <w:rPr>
                <w:noProof/>
                <w:webHidden/>
              </w:rPr>
              <w:fldChar w:fldCharType="separate"/>
            </w:r>
            <w:r w:rsidR="00E1346F">
              <w:rPr>
                <w:noProof/>
                <w:webHidden/>
              </w:rPr>
              <w:t>25</w:t>
            </w:r>
            <w:r w:rsidR="00E1346F">
              <w:rPr>
                <w:noProof/>
                <w:webHidden/>
              </w:rPr>
              <w:fldChar w:fldCharType="end"/>
            </w:r>
          </w:hyperlink>
        </w:p>
        <w:p w14:paraId="4215D3DF" w14:textId="4A5DED85" w:rsidR="00E1346F" w:rsidRDefault="00D148F3">
          <w:pPr>
            <w:pStyle w:val="TOC4"/>
            <w:rPr>
              <w:rFonts w:asciiTheme="minorHAnsi" w:eastAsiaTheme="minorEastAsia" w:hAnsiTheme="minorHAnsi" w:cstheme="minorBidi"/>
              <w:noProof/>
              <w:szCs w:val="22"/>
              <w:lang w:eastAsia="en-AU"/>
            </w:rPr>
          </w:pPr>
          <w:hyperlink w:anchor="_Toc159520285" w:history="1">
            <w:r w:rsidR="00E1346F" w:rsidRPr="00901D5E">
              <w:rPr>
                <w:rStyle w:val="Hyperlink"/>
                <w:noProof/>
              </w:rPr>
              <w:t>Domestic or personal services</w:t>
            </w:r>
            <w:r w:rsidR="00E1346F">
              <w:rPr>
                <w:noProof/>
                <w:webHidden/>
              </w:rPr>
              <w:tab/>
            </w:r>
            <w:r w:rsidR="00E1346F">
              <w:rPr>
                <w:noProof/>
                <w:webHidden/>
              </w:rPr>
              <w:fldChar w:fldCharType="begin"/>
            </w:r>
            <w:r w:rsidR="00E1346F">
              <w:rPr>
                <w:noProof/>
                <w:webHidden/>
              </w:rPr>
              <w:instrText xml:space="preserve"> PAGEREF _Toc159520285 \h </w:instrText>
            </w:r>
            <w:r w:rsidR="00E1346F">
              <w:rPr>
                <w:noProof/>
                <w:webHidden/>
              </w:rPr>
            </w:r>
            <w:r w:rsidR="00E1346F">
              <w:rPr>
                <w:noProof/>
                <w:webHidden/>
              </w:rPr>
              <w:fldChar w:fldCharType="separate"/>
            </w:r>
            <w:r w:rsidR="00E1346F">
              <w:rPr>
                <w:noProof/>
                <w:webHidden/>
              </w:rPr>
              <w:t>26</w:t>
            </w:r>
            <w:r w:rsidR="00E1346F">
              <w:rPr>
                <w:noProof/>
                <w:webHidden/>
              </w:rPr>
              <w:fldChar w:fldCharType="end"/>
            </w:r>
          </w:hyperlink>
        </w:p>
        <w:p w14:paraId="5A6DE867" w14:textId="1DC984CB" w:rsidR="00E1346F" w:rsidRDefault="00D148F3">
          <w:pPr>
            <w:pStyle w:val="TOC4"/>
            <w:rPr>
              <w:rFonts w:asciiTheme="minorHAnsi" w:eastAsiaTheme="minorEastAsia" w:hAnsiTheme="minorHAnsi" w:cstheme="minorBidi"/>
              <w:noProof/>
              <w:szCs w:val="22"/>
              <w:lang w:eastAsia="en-AU"/>
            </w:rPr>
          </w:pPr>
          <w:hyperlink w:anchor="_Toc159520286" w:history="1">
            <w:r w:rsidR="00E1346F" w:rsidRPr="00901D5E">
              <w:rPr>
                <w:rStyle w:val="Hyperlink"/>
                <w:noProof/>
              </w:rPr>
              <w:t>Work involving vulnerable people</w:t>
            </w:r>
            <w:r w:rsidR="00E1346F">
              <w:rPr>
                <w:noProof/>
                <w:webHidden/>
              </w:rPr>
              <w:tab/>
            </w:r>
            <w:r w:rsidR="00E1346F">
              <w:rPr>
                <w:noProof/>
                <w:webHidden/>
              </w:rPr>
              <w:fldChar w:fldCharType="begin"/>
            </w:r>
            <w:r w:rsidR="00E1346F">
              <w:rPr>
                <w:noProof/>
                <w:webHidden/>
              </w:rPr>
              <w:instrText xml:space="preserve"> PAGEREF _Toc159520286 \h </w:instrText>
            </w:r>
            <w:r w:rsidR="00E1346F">
              <w:rPr>
                <w:noProof/>
                <w:webHidden/>
              </w:rPr>
            </w:r>
            <w:r w:rsidR="00E1346F">
              <w:rPr>
                <w:noProof/>
                <w:webHidden/>
              </w:rPr>
              <w:fldChar w:fldCharType="separate"/>
            </w:r>
            <w:r w:rsidR="00E1346F">
              <w:rPr>
                <w:noProof/>
                <w:webHidden/>
              </w:rPr>
              <w:t>26</w:t>
            </w:r>
            <w:r w:rsidR="00E1346F">
              <w:rPr>
                <w:noProof/>
                <w:webHidden/>
              </w:rPr>
              <w:fldChar w:fldCharType="end"/>
            </w:r>
          </w:hyperlink>
        </w:p>
        <w:p w14:paraId="4579A1D1" w14:textId="4F195214" w:rsidR="00E1346F" w:rsidRDefault="00D148F3">
          <w:pPr>
            <w:pStyle w:val="TOC4"/>
            <w:rPr>
              <w:rFonts w:asciiTheme="minorHAnsi" w:eastAsiaTheme="minorEastAsia" w:hAnsiTheme="minorHAnsi" w:cstheme="minorBidi"/>
              <w:noProof/>
              <w:szCs w:val="22"/>
              <w:lang w:eastAsia="en-AU"/>
            </w:rPr>
          </w:pPr>
          <w:hyperlink w:anchor="_Toc159520287" w:history="1">
            <w:r w:rsidR="00E1346F" w:rsidRPr="00901D5E">
              <w:rPr>
                <w:rStyle w:val="Hyperlink"/>
                <w:noProof/>
              </w:rPr>
              <w:t>Youth wages</w:t>
            </w:r>
            <w:r w:rsidR="00E1346F">
              <w:rPr>
                <w:noProof/>
                <w:webHidden/>
              </w:rPr>
              <w:tab/>
            </w:r>
            <w:r w:rsidR="00E1346F">
              <w:rPr>
                <w:noProof/>
                <w:webHidden/>
              </w:rPr>
              <w:fldChar w:fldCharType="begin"/>
            </w:r>
            <w:r w:rsidR="00E1346F">
              <w:rPr>
                <w:noProof/>
                <w:webHidden/>
              </w:rPr>
              <w:instrText xml:space="preserve"> PAGEREF _Toc159520287 \h </w:instrText>
            </w:r>
            <w:r w:rsidR="00E1346F">
              <w:rPr>
                <w:noProof/>
                <w:webHidden/>
              </w:rPr>
            </w:r>
            <w:r w:rsidR="00E1346F">
              <w:rPr>
                <w:noProof/>
                <w:webHidden/>
              </w:rPr>
              <w:fldChar w:fldCharType="separate"/>
            </w:r>
            <w:r w:rsidR="00E1346F">
              <w:rPr>
                <w:noProof/>
                <w:webHidden/>
              </w:rPr>
              <w:t>26</w:t>
            </w:r>
            <w:r w:rsidR="00E1346F">
              <w:rPr>
                <w:noProof/>
                <w:webHidden/>
              </w:rPr>
              <w:fldChar w:fldCharType="end"/>
            </w:r>
          </w:hyperlink>
        </w:p>
        <w:p w14:paraId="6641A611" w14:textId="6950314B" w:rsidR="00E1346F" w:rsidRDefault="00D148F3">
          <w:pPr>
            <w:pStyle w:val="TOC5"/>
            <w:rPr>
              <w:rFonts w:asciiTheme="minorHAnsi" w:eastAsiaTheme="minorEastAsia" w:hAnsiTheme="minorHAnsi" w:cstheme="minorBidi"/>
              <w:i w:val="0"/>
              <w:noProof/>
              <w:szCs w:val="22"/>
              <w:lang w:eastAsia="en-AU"/>
            </w:rPr>
          </w:pPr>
          <w:hyperlink w:anchor="_Toc159520288" w:history="1">
            <w:r w:rsidR="00E1346F" w:rsidRPr="00901D5E">
              <w:rPr>
                <w:rStyle w:val="Hyperlink"/>
                <w:noProof/>
              </w:rPr>
              <w:t>What is not included?</w:t>
            </w:r>
            <w:r w:rsidR="00E1346F">
              <w:rPr>
                <w:noProof/>
                <w:webHidden/>
              </w:rPr>
              <w:tab/>
            </w:r>
            <w:r w:rsidR="00E1346F">
              <w:rPr>
                <w:noProof/>
                <w:webHidden/>
              </w:rPr>
              <w:fldChar w:fldCharType="begin"/>
            </w:r>
            <w:r w:rsidR="00E1346F">
              <w:rPr>
                <w:noProof/>
                <w:webHidden/>
              </w:rPr>
              <w:instrText xml:space="preserve"> PAGEREF _Toc159520288 \h </w:instrText>
            </w:r>
            <w:r w:rsidR="00E1346F">
              <w:rPr>
                <w:noProof/>
                <w:webHidden/>
              </w:rPr>
            </w:r>
            <w:r w:rsidR="00E1346F">
              <w:rPr>
                <w:noProof/>
                <w:webHidden/>
              </w:rPr>
              <w:fldChar w:fldCharType="separate"/>
            </w:r>
            <w:r w:rsidR="00E1346F">
              <w:rPr>
                <w:noProof/>
                <w:webHidden/>
              </w:rPr>
              <w:t>26</w:t>
            </w:r>
            <w:r w:rsidR="00E1346F">
              <w:rPr>
                <w:noProof/>
                <w:webHidden/>
              </w:rPr>
              <w:fldChar w:fldCharType="end"/>
            </w:r>
          </w:hyperlink>
        </w:p>
        <w:p w14:paraId="7F8CBD87" w14:textId="68AEFD33" w:rsidR="00E1346F" w:rsidRDefault="00D148F3">
          <w:pPr>
            <w:pStyle w:val="TOC3"/>
            <w:rPr>
              <w:rFonts w:asciiTheme="minorHAnsi" w:eastAsiaTheme="minorEastAsia" w:hAnsiTheme="minorHAnsi" w:cstheme="minorBidi"/>
              <w:szCs w:val="22"/>
              <w:lang w:eastAsia="en-AU"/>
            </w:rPr>
          </w:pPr>
          <w:hyperlink w:anchor="_Toc159520289" w:history="1">
            <w:r w:rsidR="00E1346F" w:rsidRPr="00901D5E">
              <w:rPr>
                <w:rStyle w:val="Hyperlink"/>
              </w:rPr>
              <w:t>Exceptions – Education</w:t>
            </w:r>
            <w:r w:rsidR="00E1346F">
              <w:rPr>
                <w:webHidden/>
              </w:rPr>
              <w:tab/>
            </w:r>
            <w:r w:rsidR="00E1346F">
              <w:rPr>
                <w:webHidden/>
              </w:rPr>
              <w:fldChar w:fldCharType="begin"/>
            </w:r>
            <w:r w:rsidR="00E1346F">
              <w:rPr>
                <w:webHidden/>
              </w:rPr>
              <w:instrText xml:space="preserve"> PAGEREF _Toc159520289 \h </w:instrText>
            </w:r>
            <w:r w:rsidR="00E1346F">
              <w:rPr>
                <w:webHidden/>
              </w:rPr>
            </w:r>
            <w:r w:rsidR="00E1346F">
              <w:rPr>
                <w:webHidden/>
              </w:rPr>
              <w:fldChar w:fldCharType="separate"/>
            </w:r>
            <w:r w:rsidR="00E1346F">
              <w:rPr>
                <w:webHidden/>
              </w:rPr>
              <w:t>26</w:t>
            </w:r>
            <w:r w:rsidR="00E1346F">
              <w:rPr>
                <w:webHidden/>
              </w:rPr>
              <w:fldChar w:fldCharType="end"/>
            </w:r>
          </w:hyperlink>
        </w:p>
        <w:p w14:paraId="554FDEB3" w14:textId="2620C7DF" w:rsidR="00E1346F" w:rsidRDefault="00D148F3">
          <w:pPr>
            <w:pStyle w:val="TOC4"/>
            <w:rPr>
              <w:rFonts w:asciiTheme="minorHAnsi" w:eastAsiaTheme="minorEastAsia" w:hAnsiTheme="minorHAnsi" w:cstheme="minorBidi"/>
              <w:noProof/>
              <w:szCs w:val="22"/>
              <w:lang w:eastAsia="en-AU"/>
            </w:rPr>
          </w:pPr>
          <w:hyperlink w:anchor="_Toc159520290" w:history="1">
            <w:r w:rsidR="00E1346F" w:rsidRPr="00901D5E">
              <w:rPr>
                <w:rStyle w:val="Hyperlink"/>
                <w:noProof/>
              </w:rPr>
              <w:t>Educational authority for students of a particular sex or students with disability</w:t>
            </w:r>
            <w:r w:rsidR="00E1346F">
              <w:rPr>
                <w:noProof/>
                <w:webHidden/>
              </w:rPr>
              <w:tab/>
            </w:r>
            <w:r w:rsidR="00E1346F">
              <w:rPr>
                <w:noProof/>
                <w:webHidden/>
              </w:rPr>
              <w:fldChar w:fldCharType="begin"/>
            </w:r>
            <w:r w:rsidR="00E1346F">
              <w:rPr>
                <w:noProof/>
                <w:webHidden/>
              </w:rPr>
              <w:instrText xml:space="preserve"> PAGEREF _Toc159520290 \h </w:instrText>
            </w:r>
            <w:r w:rsidR="00E1346F">
              <w:rPr>
                <w:noProof/>
                <w:webHidden/>
              </w:rPr>
            </w:r>
            <w:r w:rsidR="00E1346F">
              <w:rPr>
                <w:noProof/>
                <w:webHidden/>
              </w:rPr>
              <w:fldChar w:fldCharType="separate"/>
            </w:r>
            <w:r w:rsidR="00E1346F">
              <w:rPr>
                <w:noProof/>
                <w:webHidden/>
              </w:rPr>
              <w:t>26</w:t>
            </w:r>
            <w:r w:rsidR="00E1346F">
              <w:rPr>
                <w:noProof/>
                <w:webHidden/>
              </w:rPr>
              <w:fldChar w:fldCharType="end"/>
            </w:r>
          </w:hyperlink>
        </w:p>
        <w:p w14:paraId="741F6033" w14:textId="20D0E8ED" w:rsidR="00E1346F" w:rsidRDefault="00D148F3">
          <w:pPr>
            <w:pStyle w:val="TOC4"/>
            <w:rPr>
              <w:rFonts w:asciiTheme="minorHAnsi" w:eastAsiaTheme="minorEastAsia" w:hAnsiTheme="minorHAnsi" w:cstheme="minorBidi"/>
              <w:noProof/>
              <w:szCs w:val="22"/>
              <w:lang w:eastAsia="en-AU"/>
            </w:rPr>
          </w:pPr>
          <w:hyperlink w:anchor="_Toc159520291" w:history="1">
            <w:r w:rsidR="00E1346F" w:rsidRPr="00901D5E">
              <w:rPr>
                <w:rStyle w:val="Hyperlink"/>
                <w:noProof/>
              </w:rPr>
              <w:t>Educational institution for students of a particular religion</w:t>
            </w:r>
            <w:r w:rsidR="00E1346F">
              <w:rPr>
                <w:noProof/>
                <w:webHidden/>
              </w:rPr>
              <w:tab/>
            </w:r>
            <w:r w:rsidR="00E1346F">
              <w:rPr>
                <w:noProof/>
                <w:webHidden/>
              </w:rPr>
              <w:fldChar w:fldCharType="begin"/>
            </w:r>
            <w:r w:rsidR="00E1346F">
              <w:rPr>
                <w:noProof/>
                <w:webHidden/>
              </w:rPr>
              <w:instrText xml:space="preserve"> PAGEREF _Toc159520291 \h </w:instrText>
            </w:r>
            <w:r w:rsidR="00E1346F">
              <w:rPr>
                <w:noProof/>
                <w:webHidden/>
              </w:rPr>
            </w:r>
            <w:r w:rsidR="00E1346F">
              <w:rPr>
                <w:noProof/>
                <w:webHidden/>
              </w:rPr>
              <w:fldChar w:fldCharType="separate"/>
            </w:r>
            <w:r w:rsidR="00E1346F">
              <w:rPr>
                <w:noProof/>
                <w:webHidden/>
              </w:rPr>
              <w:t>27</w:t>
            </w:r>
            <w:r w:rsidR="00E1346F">
              <w:rPr>
                <w:noProof/>
                <w:webHidden/>
              </w:rPr>
              <w:fldChar w:fldCharType="end"/>
            </w:r>
          </w:hyperlink>
        </w:p>
        <w:p w14:paraId="72BA894C" w14:textId="57A2DC7D" w:rsidR="00E1346F" w:rsidRDefault="00D148F3">
          <w:pPr>
            <w:pStyle w:val="TOC4"/>
            <w:rPr>
              <w:rFonts w:asciiTheme="minorHAnsi" w:eastAsiaTheme="minorEastAsia" w:hAnsiTheme="minorHAnsi" w:cstheme="minorBidi"/>
              <w:noProof/>
              <w:szCs w:val="22"/>
              <w:lang w:eastAsia="en-AU"/>
            </w:rPr>
          </w:pPr>
          <w:hyperlink w:anchor="_Toc159520292" w:history="1">
            <w:r w:rsidR="00E1346F" w:rsidRPr="00901D5E">
              <w:rPr>
                <w:rStyle w:val="Hyperlink"/>
                <w:noProof/>
              </w:rPr>
              <w:t>Age-based admission scheme</w:t>
            </w:r>
            <w:r w:rsidR="00E1346F">
              <w:rPr>
                <w:noProof/>
                <w:webHidden/>
              </w:rPr>
              <w:tab/>
            </w:r>
            <w:r w:rsidR="00E1346F">
              <w:rPr>
                <w:noProof/>
                <w:webHidden/>
              </w:rPr>
              <w:fldChar w:fldCharType="begin"/>
            </w:r>
            <w:r w:rsidR="00E1346F">
              <w:rPr>
                <w:noProof/>
                <w:webHidden/>
              </w:rPr>
              <w:instrText xml:space="preserve"> PAGEREF _Toc159520292 \h </w:instrText>
            </w:r>
            <w:r w:rsidR="00E1346F">
              <w:rPr>
                <w:noProof/>
                <w:webHidden/>
              </w:rPr>
            </w:r>
            <w:r w:rsidR="00E1346F">
              <w:rPr>
                <w:noProof/>
                <w:webHidden/>
              </w:rPr>
              <w:fldChar w:fldCharType="separate"/>
            </w:r>
            <w:r w:rsidR="00E1346F">
              <w:rPr>
                <w:noProof/>
                <w:webHidden/>
              </w:rPr>
              <w:t>27</w:t>
            </w:r>
            <w:r w:rsidR="00E1346F">
              <w:rPr>
                <w:noProof/>
                <w:webHidden/>
              </w:rPr>
              <w:fldChar w:fldCharType="end"/>
            </w:r>
          </w:hyperlink>
        </w:p>
        <w:p w14:paraId="793223B7" w14:textId="41E5B204" w:rsidR="00E1346F" w:rsidRDefault="00D148F3">
          <w:pPr>
            <w:pStyle w:val="TOC5"/>
            <w:rPr>
              <w:rFonts w:asciiTheme="minorHAnsi" w:eastAsiaTheme="minorEastAsia" w:hAnsiTheme="minorHAnsi" w:cstheme="minorBidi"/>
              <w:i w:val="0"/>
              <w:noProof/>
              <w:szCs w:val="22"/>
              <w:lang w:eastAsia="en-AU"/>
            </w:rPr>
          </w:pPr>
          <w:hyperlink w:anchor="_Toc159520293" w:history="1">
            <w:r w:rsidR="00E1346F" w:rsidRPr="00901D5E">
              <w:rPr>
                <w:rStyle w:val="Hyperlink"/>
                <w:noProof/>
              </w:rPr>
              <w:t>What is not included?</w:t>
            </w:r>
            <w:r w:rsidR="00E1346F">
              <w:rPr>
                <w:noProof/>
                <w:webHidden/>
              </w:rPr>
              <w:tab/>
            </w:r>
            <w:r w:rsidR="00E1346F">
              <w:rPr>
                <w:noProof/>
                <w:webHidden/>
              </w:rPr>
              <w:fldChar w:fldCharType="begin"/>
            </w:r>
            <w:r w:rsidR="00E1346F">
              <w:rPr>
                <w:noProof/>
                <w:webHidden/>
              </w:rPr>
              <w:instrText xml:space="preserve"> PAGEREF _Toc159520293 \h </w:instrText>
            </w:r>
            <w:r w:rsidR="00E1346F">
              <w:rPr>
                <w:noProof/>
                <w:webHidden/>
              </w:rPr>
            </w:r>
            <w:r w:rsidR="00E1346F">
              <w:rPr>
                <w:noProof/>
                <w:webHidden/>
              </w:rPr>
              <w:fldChar w:fldCharType="separate"/>
            </w:r>
            <w:r w:rsidR="00E1346F">
              <w:rPr>
                <w:noProof/>
                <w:webHidden/>
              </w:rPr>
              <w:t>27</w:t>
            </w:r>
            <w:r w:rsidR="00E1346F">
              <w:rPr>
                <w:noProof/>
                <w:webHidden/>
              </w:rPr>
              <w:fldChar w:fldCharType="end"/>
            </w:r>
          </w:hyperlink>
        </w:p>
        <w:p w14:paraId="13910E1B" w14:textId="52C1E029" w:rsidR="00E1346F" w:rsidRDefault="00D148F3">
          <w:pPr>
            <w:pStyle w:val="TOC3"/>
            <w:rPr>
              <w:rFonts w:asciiTheme="minorHAnsi" w:eastAsiaTheme="minorEastAsia" w:hAnsiTheme="minorHAnsi" w:cstheme="minorBidi"/>
              <w:szCs w:val="22"/>
              <w:lang w:eastAsia="en-AU"/>
            </w:rPr>
          </w:pPr>
          <w:hyperlink w:anchor="_Toc159520294" w:history="1">
            <w:r w:rsidR="00E1346F" w:rsidRPr="00901D5E">
              <w:rPr>
                <w:rStyle w:val="Hyperlink"/>
              </w:rPr>
              <w:t>Exceptions – Goods &amp; Services</w:t>
            </w:r>
            <w:r w:rsidR="00E1346F">
              <w:rPr>
                <w:webHidden/>
              </w:rPr>
              <w:tab/>
            </w:r>
            <w:r w:rsidR="00E1346F">
              <w:rPr>
                <w:webHidden/>
              </w:rPr>
              <w:fldChar w:fldCharType="begin"/>
            </w:r>
            <w:r w:rsidR="00E1346F">
              <w:rPr>
                <w:webHidden/>
              </w:rPr>
              <w:instrText xml:space="preserve"> PAGEREF _Toc159520294 \h </w:instrText>
            </w:r>
            <w:r w:rsidR="00E1346F">
              <w:rPr>
                <w:webHidden/>
              </w:rPr>
            </w:r>
            <w:r w:rsidR="00E1346F">
              <w:rPr>
                <w:webHidden/>
              </w:rPr>
              <w:fldChar w:fldCharType="separate"/>
            </w:r>
            <w:r w:rsidR="00E1346F">
              <w:rPr>
                <w:webHidden/>
              </w:rPr>
              <w:t>28</w:t>
            </w:r>
            <w:r w:rsidR="00E1346F">
              <w:rPr>
                <w:webHidden/>
              </w:rPr>
              <w:fldChar w:fldCharType="end"/>
            </w:r>
          </w:hyperlink>
        </w:p>
        <w:p w14:paraId="3ED6E791" w14:textId="4F97F38C" w:rsidR="00E1346F" w:rsidRDefault="00D148F3">
          <w:pPr>
            <w:pStyle w:val="TOC4"/>
            <w:rPr>
              <w:rFonts w:asciiTheme="minorHAnsi" w:eastAsiaTheme="minorEastAsia" w:hAnsiTheme="minorHAnsi" w:cstheme="minorBidi"/>
              <w:noProof/>
              <w:szCs w:val="22"/>
              <w:lang w:eastAsia="en-AU"/>
            </w:rPr>
          </w:pPr>
          <w:hyperlink w:anchor="_Toc159520295" w:history="1">
            <w:r w:rsidR="00E1346F" w:rsidRPr="00901D5E">
              <w:rPr>
                <w:rStyle w:val="Hyperlink"/>
                <w:noProof/>
              </w:rPr>
              <w:t>Voluntary body</w:t>
            </w:r>
            <w:r w:rsidR="00E1346F">
              <w:rPr>
                <w:noProof/>
                <w:webHidden/>
              </w:rPr>
              <w:tab/>
            </w:r>
            <w:r w:rsidR="00E1346F">
              <w:rPr>
                <w:noProof/>
                <w:webHidden/>
              </w:rPr>
              <w:fldChar w:fldCharType="begin"/>
            </w:r>
            <w:r w:rsidR="00E1346F">
              <w:rPr>
                <w:noProof/>
                <w:webHidden/>
              </w:rPr>
              <w:instrText xml:space="preserve"> PAGEREF _Toc159520295 \h </w:instrText>
            </w:r>
            <w:r w:rsidR="00E1346F">
              <w:rPr>
                <w:noProof/>
                <w:webHidden/>
              </w:rPr>
            </w:r>
            <w:r w:rsidR="00E1346F">
              <w:rPr>
                <w:noProof/>
                <w:webHidden/>
              </w:rPr>
              <w:fldChar w:fldCharType="separate"/>
            </w:r>
            <w:r w:rsidR="00E1346F">
              <w:rPr>
                <w:noProof/>
                <w:webHidden/>
              </w:rPr>
              <w:t>28</w:t>
            </w:r>
            <w:r w:rsidR="00E1346F">
              <w:rPr>
                <w:noProof/>
                <w:webHidden/>
              </w:rPr>
              <w:fldChar w:fldCharType="end"/>
            </w:r>
          </w:hyperlink>
        </w:p>
        <w:p w14:paraId="557E83A3" w14:textId="6847EF55" w:rsidR="00E1346F" w:rsidRDefault="00D148F3">
          <w:pPr>
            <w:pStyle w:val="TOC4"/>
            <w:rPr>
              <w:rFonts w:asciiTheme="minorHAnsi" w:eastAsiaTheme="minorEastAsia" w:hAnsiTheme="minorHAnsi" w:cstheme="minorBidi"/>
              <w:noProof/>
              <w:szCs w:val="22"/>
              <w:lang w:eastAsia="en-AU"/>
            </w:rPr>
          </w:pPr>
          <w:hyperlink w:anchor="_Toc159520296" w:history="1">
            <w:r w:rsidR="00E1346F" w:rsidRPr="00901D5E">
              <w:rPr>
                <w:rStyle w:val="Hyperlink"/>
                <w:noProof/>
              </w:rPr>
              <w:t>Sites of cultural or religious significance</w:t>
            </w:r>
            <w:r w:rsidR="00E1346F">
              <w:rPr>
                <w:noProof/>
                <w:webHidden/>
              </w:rPr>
              <w:tab/>
            </w:r>
            <w:r w:rsidR="00E1346F">
              <w:rPr>
                <w:noProof/>
                <w:webHidden/>
              </w:rPr>
              <w:fldChar w:fldCharType="begin"/>
            </w:r>
            <w:r w:rsidR="00E1346F">
              <w:rPr>
                <w:noProof/>
                <w:webHidden/>
              </w:rPr>
              <w:instrText xml:space="preserve"> PAGEREF _Toc159520296 \h </w:instrText>
            </w:r>
            <w:r w:rsidR="00E1346F">
              <w:rPr>
                <w:noProof/>
                <w:webHidden/>
              </w:rPr>
            </w:r>
            <w:r w:rsidR="00E1346F">
              <w:rPr>
                <w:noProof/>
                <w:webHidden/>
              </w:rPr>
              <w:fldChar w:fldCharType="separate"/>
            </w:r>
            <w:r w:rsidR="00E1346F">
              <w:rPr>
                <w:noProof/>
                <w:webHidden/>
              </w:rPr>
              <w:t>28</w:t>
            </w:r>
            <w:r w:rsidR="00E1346F">
              <w:rPr>
                <w:noProof/>
                <w:webHidden/>
              </w:rPr>
              <w:fldChar w:fldCharType="end"/>
            </w:r>
          </w:hyperlink>
        </w:p>
        <w:p w14:paraId="718CD582" w14:textId="279CAC1B" w:rsidR="00E1346F" w:rsidRDefault="00D148F3">
          <w:pPr>
            <w:pStyle w:val="TOC4"/>
            <w:rPr>
              <w:rFonts w:asciiTheme="minorHAnsi" w:eastAsiaTheme="minorEastAsia" w:hAnsiTheme="minorHAnsi" w:cstheme="minorBidi"/>
              <w:noProof/>
              <w:szCs w:val="22"/>
              <w:lang w:eastAsia="en-AU"/>
            </w:rPr>
          </w:pPr>
          <w:hyperlink w:anchor="_Toc159520297" w:history="1">
            <w:r w:rsidR="00E1346F" w:rsidRPr="00901D5E">
              <w:rPr>
                <w:rStyle w:val="Hyperlink"/>
                <w:noProof/>
              </w:rPr>
              <w:t>Age-based benefits</w:t>
            </w:r>
            <w:r w:rsidR="00E1346F">
              <w:rPr>
                <w:noProof/>
                <w:webHidden/>
              </w:rPr>
              <w:tab/>
            </w:r>
            <w:r w:rsidR="00E1346F">
              <w:rPr>
                <w:noProof/>
                <w:webHidden/>
              </w:rPr>
              <w:fldChar w:fldCharType="begin"/>
            </w:r>
            <w:r w:rsidR="00E1346F">
              <w:rPr>
                <w:noProof/>
                <w:webHidden/>
              </w:rPr>
              <w:instrText xml:space="preserve"> PAGEREF _Toc159520297 \h </w:instrText>
            </w:r>
            <w:r w:rsidR="00E1346F">
              <w:rPr>
                <w:noProof/>
                <w:webHidden/>
              </w:rPr>
            </w:r>
            <w:r w:rsidR="00E1346F">
              <w:rPr>
                <w:noProof/>
                <w:webHidden/>
              </w:rPr>
              <w:fldChar w:fldCharType="separate"/>
            </w:r>
            <w:r w:rsidR="00E1346F">
              <w:rPr>
                <w:noProof/>
                <w:webHidden/>
              </w:rPr>
              <w:t>28</w:t>
            </w:r>
            <w:r w:rsidR="00E1346F">
              <w:rPr>
                <w:noProof/>
                <w:webHidden/>
              </w:rPr>
              <w:fldChar w:fldCharType="end"/>
            </w:r>
          </w:hyperlink>
        </w:p>
        <w:p w14:paraId="42E7DF80" w14:textId="13E0ADE6" w:rsidR="00E1346F" w:rsidRDefault="00D148F3">
          <w:pPr>
            <w:pStyle w:val="TOC4"/>
            <w:rPr>
              <w:rFonts w:asciiTheme="minorHAnsi" w:eastAsiaTheme="minorEastAsia" w:hAnsiTheme="minorHAnsi" w:cstheme="minorBidi"/>
              <w:noProof/>
              <w:szCs w:val="22"/>
              <w:lang w:eastAsia="en-AU"/>
            </w:rPr>
          </w:pPr>
          <w:hyperlink w:anchor="_Toc159520298" w:history="1">
            <w:r w:rsidR="00E1346F" w:rsidRPr="00901D5E">
              <w:rPr>
                <w:rStyle w:val="Hyperlink"/>
                <w:noProof/>
              </w:rPr>
              <w:t>Children to be accompanied by an adult</w:t>
            </w:r>
            <w:r w:rsidR="00E1346F">
              <w:rPr>
                <w:noProof/>
                <w:webHidden/>
              </w:rPr>
              <w:tab/>
            </w:r>
            <w:r w:rsidR="00E1346F">
              <w:rPr>
                <w:noProof/>
                <w:webHidden/>
              </w:rPr>
              <w:fldChar w:fldCharType="begin"/>
            </w:r>
            <w:r w:rsidR="00E1346F">
              <w:rPr>
                <w:noProof/>
                <w:webHidden/>
              </w:rPr>
              <w:instrText xml:space="preserve"> PAGEREF _Toc159520298 \h </w:instrText>
            </w:r>
            <w:r w:rsidR="00E1346F">
              <w:rPr>
                <w:noProof/>
                <w:webHidden/>
              </w:rPr>
            </w:r>
            <w:r w:rsidR="00E1346F">
              <w:rPr>
                <w:noProof/>
                <w:webHidden/>
              </w:rPr>
              <w:fldChar w:fldCharType="separate"/>
            </w:r>
            <w:r w:rsidR="00E1346F">
              <w:rPr>
                <w:noProof/>
                <w:webHidden/>
              </w:rPr>
              <w:t>28</w:t>
            </w:r>
            <w:r w:rsidR="00E1346F">
              <w:rPr>
                <w:noProof/>
                <w:webHidden/>
              </w:rPr>
              <w:fldChar w:fldCharType="end"/>
            </w:r>
          </w:hyperlink>
        </w:p>
        <w:p w14:paraId="54761454" w14:textId="3B64F09F" w:rsidR="00E1346F" w:rsidRDefault="00D148F3">
          <w:pPr>
            <w:pStyle w:val="TOC5"/>
            <w:rPr>
              <w:rFonts w:asciiTheme="minorHAnsi" w:eastAsiaTheme="minorEastAsia" w:hAnsiTheme="minorHAnsi" w:cstheme="minorBidi"/>
              <w:i w:val="0"/>
              <w:noProof/>
              <w:szCs w:val="22"/>
              <w:lang w:eastAsia="en-AU"/>
            </w:rPr>
          </w:pPr>
          <w:hyperlink w:anchor="_Toc159520299" w:history="1">
            <w:r w:rsidR="00E1346F" w:rsidRPr="00901D5E">
              <w:rPr>
                <w:rStyle w:val="Hyperlink"/>
                <w:noProof/>
              </w:rPr>
              <w:t>What is not included?</w:t>
            </w:r>
            <w:r w:rsidR="00E1346F">
              <w:rPr>
                <w:noProof/>
                <w:webHidden/>
              </w:rPr>
              <w:tab/>
            </w:r>
            <w:r w:rsidR="00E1346F">
              <w:rPr>
                <w:noProof/>
                <w:webHidden/>
              </w:rPr>
              <w:fldChar w:fldCharType="begin"/>
            </w:r>
            <w:r w:rsidR="00E1346F">
              <w:rPr>
                <w:noProof/>
                <w:webHidden/>
              </w:rPr>
              <w:instrText xml:space="preserve"> PAGEREF _Toc159520299 \h </w:instrText>
            </w:r>
            <w:r w:rsidR="00E1346F">
              <w:rPr>
                <w:noProof/>
                <w:webHidden/>
              </w:rPr>
            </w:r>
            <w:r w:rsidR="00E1346F">
              <w:rPr>
                <w:noProof/>
                <w:webHidden/>
              </w:rPr>
              <w:fldChar w:fldCharType="separate"/>
            </w:r>
            <w:r w:rsidR="00E1346F">
              <w:rPr>
                <w:noProof/>
                <w:webHidden/>
              </w:rPr>
              <w:t>28</w:t>
            </w:r>
            <w:r w:rsidR="00E1346F">
              <w:rPr>
                <w:noProof/>
                <w:webHidden/>
              </w:rPr>
              <w:fldChar w:fldCharType="end"/>
            </w:r>
          </w:hyperlink>
        </w:p>
        <w:p w14:paraId="50F6CAC2" w14:textId="2D987F17" w:rsidR="00E1346F" w:rsidRDefault="00D148F3">
          <w:pPr>
            <w:pStyle w:val="TOC3"/>
            <w:rPr>
              <w:rFonts w:asciiTheme="minorHAnsi" w:eastAsiaTheme="minorEastAsia" w:hAnsiTheme="minorHAnsi" w:cstheme="minorBidi"/>
              <w:szCs w:val="22"/>
              <w:lang w:eastAsia="en-AU"/>
            </w:rPr>
          </w:pPr>
          <w:hyperlink w:anchor="_Toc159520300" w:history="1">
            <w:r w:rsidR="00E1346F" w:rsidRPr="00901D5E">
              <w:rPr>
                <w:rStyle w:val="Hyperlink"/>
                <w:iCs/>
              </w:rPr>
              <w:t xml:space="preserve">Exceptions </w:t>
            </w:r>
            <w:r w:rsidR="00E1346F" w:rsidRPr="00901D5E">
              <w:rPr>
                <w:rStyle w:val="Hyperlink"/>
              </w:rPr>
              <w:t>– Disposition of land</w:t>
            </w:r>
            <w:r w:rsidR="00E1346F">
              <w:rPr>
                <w:webHidden/>
              </w:rPr>
              <w:tab/>
            </w:r>
            <w:r w:rsidR="00E1346F">
              <w:rPr>
                <w:webHidden/>
              </w:rPr>
              <w:fldChar w:fldCharType="begin"/>
            </w:r>
            <w:r w:rsidR="00E1346F">
              <w:rPr>
                <w:webHidden/>
              </w:rPr>
              <w:instrText xml:space="preserve"> PAGEREF _Toc159520300 \h </w:instrText>
            </w:r>
            <w:r w:rsidR="00E1346F">
              <w:rPr>
                <w:webHidden/>
              </w:rPr>
            </w:r>
            <w:r w:rsidR="00E1346F">
              <w:rPr>
                <w:webHidden/>
              </w:rPr>
              <w:fldChar w:fldCharType="separate"/>
            </w:r>
            <w:r w:rsidR="00E1346F">
              <w:rPr>
                <w:webHidden/>
              </w:rPr>
              <w:t>29</w:t>
            </w:r>
            <w:r w:rsidR="00E1346F">
              <w:rPr>
                <w:webHidden/>
              </w:rPr>
              <w:fldChar w:fldCharType="end"/>
            </w:r>
          </w:hyperlink>
        </w:p>
        <w:p w14:paraId="26CD5210" w14:textId="49132B90" w:rsidR="00E1346F" w:rsidRDefault="00D148F3">
          <w:pPr>
            <w:pStyle w:val="TOC4"/>
            <w:rPr>
              <w:rFonts w:asciiTheme="minorHAnsi" w:eastAsiaTheme="minorEastAsia" w:hAnsiTheme="minorHAnsi" w:cstheme="minorBidi"/>
              <w:noProof/>
              <w:szCs w:val="22"/>
              <w:lang w:eastAsia="en-AU"/>
            </w:rPr>
          </w:pPr>
          <w:hyperlink w:anchor="_Toc159520301" w:history="1">
            <w:r w:rsidR="00E1346F" w:rsidRPr="00901D5E">
              <w:rPr>
                <w:rStyle w:val="Hyperlink"/>
                <w:noProof/>
              </w:rPr>
              <w:t>Disposition by will or gift</w:t>
            </w:r>
            <w:r w:rsidR="00E1346F">
              <w:rPr>
                <w:noProof/>
                <w:webHidden/>
              </w:rPr>
              <w:tab/>
            </w:r>
            <w:r w:rsidR="00E1346F">
              <w:rPr>
                <w:noProof/>
                <w:webHidden/>
              </w:rPr>
              <w:fldChar w:fldCharType="begin"/>
            </w:r>
            <w:r w:rsidR="00E1346F">
              <w:rPr>
                <w:noProof/>
                <w:webHidden/>
              </w:rPr>
              <w:instrText xml:space="preserve"> PAGEREF _Toc159520301 \h </w:instrText>
            </w:r>
            <w:r w:rsidR="00E1346F">
              <w:rPr>
                <w:noProof/>
                <w:webHidden/>
              </w:rPr>
            </w:r>
            <w:r w:rsidR="00E1346F">
              <w:rPr>
                <w:noProof/>
                <w:webHidden/>
              </w:rPr>
              <w:fldChar w:fldCharType="separate"/>
            </w:r>
            <w:r w:rsidR="00E1346F">
              <w:rPr>
                <w:noProof/>
                <w:webHidden/>
              </w:rPr>
              <w:t>29</w:t>
            </w:r>
            <w:r w:rsidR="00E1346F">
              <w:rPr>
                <w:noProof/>
                <w:webHidden/>
              </w:rPr>
              <w:fldChar w:fldCharType="end"/>
            </w:r>
          </w:hyperlink>
        </w:p>
        <w:p w14:paraId="2DD204A2" w14:textId="4F038889" w:rsidR="00E1346F" w:rsidRDefault="00D148F3">
          <w:pPr>
            <w:pStyle w:val="TOC4"/>
            <w:rPr>
              <w:rFonts w:asciiTheme="minorHAnsi" w:eastAsiaTheme="minorEastAsia" w:hAnsiTheme="minorHAnsi" w:cstheme="minorBidi"/>
              <w:noProof/>
              <w:szCs w:val="22"/>
              <w:lang w:eastAsia="en-AU"/>
            </w:rPr>
          </w:pPr>
          <w:hyperlink w:anchor="_Toc159520302" w:history="1">
            <w:r w:rsidR="00E1346F" w:rsidRPr="00901D5E">
              <w:rPr>
                <w:rStyle w:val="Hyperlink"/>
                <w:noProof/>
              </w:rPr>
              <w:t>Sites of cultural or religious significance</w:t>
            </w:r>
            <w:r w:rsidR="00E1346F">
              <w:rPr>
                <w:noProof/>
                <w:webHidden/>
              </w:rPr>
              <w:tab/>
            </w:r>
            <w:r w:rsidR="00E1346F">
              <w:rPr>
                <w:noProof/>
                <w:webHidden/>
              </w:rPr>
              <w:fldChar w:fldCharType="begin"/>
            </w:r>
            <w:r w:rsidR="00E1346F">
              <w:rPr>
                <w:noProof/>
                <w:webHidden/>
              </w:rPr>
              <w:instrText xml:space="preserve"> PAGEREF _Toc159520302 \h </w:instrText>
            </w:r>
            <w:r w:rsidR="00E1346F">
              <w:rPr>
                <w:noProof/>
                <w:webHidden/>
              </w:rPr>
            </w:r>
            <w:r w:rsidR="00E1346F">
              <w:rPr>
                <w:noProof/>
                <w:webHidden/>
              </w:rPr>
              <w:fldChar w:fldCharType="separate"/>
            </w:r>
            <w:r w:rsidR="00E1346F">
              <w:rPr>
                <w:noProof/>
                <w:webHidden/>
              </w:rPr>
              <w:t>29</w:t>
            </w:r>
            <w:r w:rsidR="00E1346F">
              <w:rPr>
                <w:noProof/>
                <w:webHidden/>
              </w:rPr>
              <w:fldChar w:fldCharType="end"/>
            </w:r>
          </w:hyperlink>
        </w:p>
        <w:p w14:paraId="6D088601" w14:textId="7B54A876" w:rsidR="00E1346F" w:rsidRDefault="00D148F3">
          <w:pPr>
            <w:pStyle w:val="TOC3"/>
            <w:rPr>
              <w:rFonts w:asciiTheme="minorHAnsi" w:eastAsiaTheme="minorEastAsia" w:hAnsiTheme="minorHAnsi" w:cstheme="minorBidi"/>
              <w:szCs w:val="22"/>
              <w:lang w:eastAsia="en-AU"/>
            </w:rPr>
          </w:pPr>
          <w:hyperlink w:anchor="_Toc159520303" w:history="1">
            <w:r w:rsidR="00E1346F" w:rsidRPr="00901D5E">
              <w:rPr>
                <w:rStyle w:val="Hyperlink"/>
              </w:rPr>
              <w:t>Exceptions – Accommodation</w:t>
            </w:r>
            <w:r w:rsidR="00E1346F">
              <w:rPr>
                <w:webHidden/>
              </w:rPr>
              <w:tab/>
            </w:r>
            <w:r w:rsidR="00E1346F">
              <w:rPr>
                <w:webHidden/>
              </w:rPr>
              <w:fldChar w:fldCharType="begin"/>
            </w:r>
            <w:r w:rsidR="00E1346F">
              <w:rPr>
                <w:webHidden/>
              </w:rPr>
              <w:instrText xml:space="preserve"> PAGEREF _Toc159520303 \h </w:instrText>
            </w:r>
            <w:r w:rsidR="00E1346F">
              <w:rPr>
                <w:webHidden/>
              </w:rPr>
            </w:r>
            <w:r w:rsidR="00E1346F">
              <w:rPr>
                <w:webHidden/>
              </w:rPr>
              <w:fldChar w:fldCharType="separate"/>
            </w:r>
            <w:r w:rsidR="00E1346F">
              <w:rPr>
                <w:webHidden/>
              </w:rPr>
              <w:t>29</w:t>
            </w:r>
            <w:r w:rsidR="00E1346F">
              <w:rPr>
                <w:webHidden/>
              </w:rPr>
              <w:fldChar w:fldCharType="end"/>
            </w:r>
          </w:hyperlink>
        </w:p>
        <w:p w14:paraId="7B09B551" w14:textId="354D5371" w:rsidR="00E1346F" w:rsidRDefault="00D148F3">
          <w:pPr>
            <w:pStyle w:val="TOC4"/>
            <w:rPr>
              <w:rFonts w:asciiTheme="minorHAnsi" w:eastAsiaTheme="minorEastAsia" w:hAnsiTheme="minorHAnsi" w:cstheme="minorBidi"/>
              <w:noProof/>
              <w:szCs w:val="22"/>
              <w:lang w:eastAsia="en-AU"/>
            </w:rPr>
          </w:pPr>
          <w:hyperlink w:anchor="_Toc159520304" w:history="1">
            <w:r w:rsidR="00E1346F" w:rsidRPr="00901D5E">
              <w:rPr>
                <w:rStyle w:val="Hyperlink"/>
                <w:noProof/>
              </w:rPr>
              <w:t>Shared accommodation</w:t>
            </w:r>
            <w:r w:rsidR="00E1346F">
              <w:rPr>
                <w:noProof/>
                <w:webHidden/>
              </w:rPr>
              <w:tab/>
            </w:r>
            <w:r w:rsidR="00E1346F">
              <w:rPr>
                <w:noProof/>
                <w:webHidden/>
              </w:rPr>
              <w:fldChar w:fldCharType="begin"/>
            </w:r>
            <w:r w:rsidR="00E1346F">
              <w:rPr>
                <w:noProof/>
                <w:webHidden/>
              </w:rPr>
              <w:instrText xml:space="preserve"> PAGEREF _Toc159520304 \h </w:instrText>
            </w:r>
            <w:r w:rsidR="00E1346F">
              <w:rPr>
                <w:noProof/>
                <w:webHidden/>
              </w:rPr>
            </w:r>
            <w:r w:rsidR="00E1346F">
              <w:rPr>
                <w:noProof/>
                <w:webHidden/>
              </w:rPr>
              <w:fldChar w:fldCharType="separate"/>
            </w:r>
            <w:r w:rsidR="00E1346F">
              <w:rPr>
                <w:noProof/>
                <w:webHidden/>
              </w:rPr>
              <w:t>29</w:t>
            </w:r>
            <w:r w:rsidR="00E1346F">
              <w:rPr>
                <w:noProof/>
                <w:webHidden/>
              </w:rPr>
              <w:fldChar w:fldCharType="end"/>
            </w:r>
          </w:hyperlink>
        </w:p>
        <w:p w14:paraId="3E7DE66D" w14:textId="44378B43" w:rsidR="00E1346F" w:rsidRDefault="00D148F3">
          <w:pPr>
            <w:pStyle w:val="TOC4"/>
            <w:rPr>
              <w:rFonts w:asciiTheme="minorHAnsi" w:eastAsiaTheme="minorEastAsia" w:hAnsiTheme="minorHAnsi" w:cstheme="minorBidi"/>
              <w:noProof/>
              <w:szCs w:val="22"/>
              <w:lang w:eastAsia="en-AU"/>
            </w:rPr>
          </w:pPr>
          <w:hyperlink w:anchor="_Toc159520305" w:history="1">
            <w:r w:rsidR="00E1346F" w:rsidRPr="00901D5E">
              <w:rPr>
                <w:rStyle w:val="Hyperlink"/>
                <w:noProof/>
              </w:rPr>
              <w:t>Accommodation for students of particular sex or students with disability</w:t>
            </w:r>
            <w:r w:rsidR="00E1346F">
              <w:rPr>
                <w:noProof/>
                <w:webHidden/>
              </w:rPr>
              <w:tab/>
            </w:r>
            <w:r w:rsidR="00E1346F">
              <w:rPr>
                <w:noProof/>
                <w:webHidden/>
              </w:rPr>
              <w:fldChar w:fldCharType="begin"/>
            </w:r>
            <w:r w:rsidR="00E1346F">
              <w:rPr>
                <w:noProof/>
                <w:webHidden/>
              </w:rPr>
              <w:instrText xml:space="preserve"> PAGEREF _Toc159520305 \h </w:instrText>
            </w:r>
            <w:r w:rsidR="00E1346F">
              <w:rPr>
                <w:noProof/>
                <w:webHidden/>
              </w:rPr>
            </w:r>
            <w:r w:rsidR="00E1346F">
              <w:rPr>
                <w:noProof/>
                <w:webHidden/>
              </w:rPr>
              <w:fldChar w:fldCharType="separate"/>
            </w:r>
            <w:r w:rsidR="00E1346F">
              <w:rPr>
                <w:noProof/>
                <w:webHidden/>
              </w:rPr>
              <w:t>29</w:t>
            </w:r>
            <w:r w:rsidR="00E1346F">
              <w:rPr>
                <w:noProof/>
                <w:webHidden/>
              </w:rPr>
              <w:fldChar w:fldCharType="end"/>
            </w:r>
          </w:hyperlink>
        </w:p>
        <w:p w14:paraId="7EFDC321" w14:textId="00544E41" w:rsidR="00E1346F" w:rsidRDefault="00D148F3">
          <w:pPr>
            <w:pStyle w:val="TOC5"/>
            <w:rPr>
              <w:rFonts w:asciiTheme="minorHAnsi" w:eastAsiaTheme="minorEastAsia" w:hAnsiTheme="minorHAnsi" w:cstheme="minorBidi"/>
              <w:i w:val="0"/>
              <w:noProof/>
              <w:szCs w:val="22"/>
              <w:lang w:eastAsia="en-AU"/>
            </w:rPr>
          </w:pPr>
          <w:hyperlink w:anchor="_Toc159520306" w:history="1">
            <w:r w:rsidR="00E1346F" w:rsidRPr="00901D5E">
              <w:rPr>
                <w:rStyle w:val="Hyperlink"/>
                <w:noProof/>
              </w:rPr>
              <w:t>What is not included?</w:t>
            </w:r>
            <w:r w:rsidR="00E1346F">
              <w:rPr>
                <w:noProof/>
                <w:webHidden/>
              </w:rPr>
              <w:tab/>
            </w:r>
            <w:r w:rsidR="00E1346F">
              <w:rPr>
                <w:noProof/>
                <w:webHidden/>
              </w:rPr>
              <w:fldChar w:fldCharType="begin"/>
            </w:r>
            <w:r w:rsidR="00E1346F">
              <w:rPr>
                <w:noProof/>
                <w:webHidden/>
              </w:rPr>
              <w:instrText xml:space="preserve"> PAGEREF _Toc159520306 \h </w:instrText>
            </w:r>
            <w:r w:rsidR="00E1346F">
              <w:rPr>
                <w:noProof/>
                <w:webHidden/>
              </w:rPr>
            </w:r>
            <w:r w:rsidR="00E1346F">
              <w:rPr>
                <w:noProof/>
                <w:webHidden/>
              </w:rPr>
              <w:fldChar w:fldCharType="separate"/>
            </w:r>
            <w:r w:rsidR="00E1346F">
              <w:rPr>
                <w:noProof/>
                <w:webHidden/>
              </w:rPr>
              <w:t>30</w:t>
            </w:r>
            <w:r w:rsidR="00E1346F">
              <w:rPr>
                <w:noProof/>
                <w:webHidden/>
              </w:rPr>
              <w:fldChar w:fldCharType="end"/>
            </w:r>
          </w:hyperlink>
        </w:p>
        <w:p w14:paraId="6833B987" w14:textId="4D09F79A" w:rsidR="00E1346F" w:rsidRDefault="00D148F3">
          <w:pPr>
            <w:pStyle w:val="TOC3"/>
            <w:rPr>
              <w:rFonts w:asciiTheme="minorHAnsi" w:eastAsiaTheme="minorEastAsia" w:hAnsiTheme="minorHAnsi" w:cstheme="minorBidi"/>
              <w:szCs w:val="22"/>
              <w:lang w:eastAsia="en-AU"/>
            </w:rPr>
          </w:pPr>
          <w:hyperlink w:anchor="_Toc159520307" w:history="1">
            <w:r w:rsidR="00E1346F" w:rsidRPr="00901D5E">
              <w:rPr>
                <w:rStyle w:val="Hyperlink"/>
                <w:iCs/>
              </w:rPr>
              <w:t xml:space="preserve">Exceptions </w:t>
            </w:r>
            <w:r w:rsidR="00E1346F" w:rsidRPr="00901D5E">
              <w:rPr>
                <w:rStyle w:val="Hyperlink"/>
              </w:rPr>
              <w:t>– Club membership</w:t>
            </w:r>
            <w:r w:rsidR="00E1346F">
              <w:rPr>
                <w:webHidden/>
              </w:rPr>
              <w:tab/>
            </w:r>
            <w:r w:rsidR="00E1346F">
              <w:rPr>
                <w:webHidden/>
              </w:rPr>
              <w:fldChar w:fldCharType="begin"/>
            </w:r>
            <w:r w:rsidR="00E1346F">
              <w:rPr>
                <w:webHidden/>
              </w:rPr>
              <w:instrText xml:space="preserve"> PAGEREF _Toc159520307 \h </w:instrText>
            </w:r>
            <w:r w:rsidR="00E1346F">
              <w:rPr>
                <w:webHidden/>
              </w:rPr>
            </w:r>
            <w:r w:rsidR="00E1346F">
              <w:rPr>
                <w:webHidden/>
              </w:rPr>
              <w:fldChar w:fldCharType="separate"/>
            </w:r>
            <w:r w:rsidR="00E1346F">
              <w:rPr>
                <w:webHidden/>
              </w:rPr>
              <w:t>30</w:t>
            </w:r>
            <w:r w:rsidR="00E1346F">
              <w:rPr>
                <w:webHidden/>
              </w:rPr>
              <w:fldChar w:fldCharType="end"/>
            </w:r>
          </w:hyperlink>
        </w:p>
        <w:p w14:paraId="236169A7" w14:textId="33849CF1" w:rsidR="00E1346F" w:rsidRDefault="00D148F3">
          <w:pPr>
            <w:pStyle w:val="TOC4"/>
            <w:rPr>
              <w:rFonts w:asciiTheme="minorHAnsi" w:eastAsiaTheme="minorEastAsia" w:hAnsiTheme="minorHAnsi" w:cstheme="minorBidi"/>
              <w:noProof/>
              <w:szCs w:val="22"/>
              <w:lang w:eastAsia="en-AU"/>
            </w:rPr>
          </w:pPr>
          <w:hyperlink w:anchor="_Toc159520308" w:history="1">
            <w:r w:rsidR="00E1346F" w:rsidRPr="00901D5E">
              <w:rPr>
                <w:rStyle w:val="Hyperlink"/>
                <w:noProof/>
              </w:rPr>
              <w:t>Club established for particular class of people</w:t>
            </w:r>
            <w:r w:rsidR="00E1346F">
              <w:rPr>
                <w:noProof/>
                <w:webHidden/>
              </w:rPr>
              <w:tab/>
            </w:r>
            <w:r w:rsidR="00E1346F">
              <w:rPr>
                <w:noProof/>
                <w:webHidden/>
              </w:rPr>
              <w:fldChar w:fldCharType="begin"/>
            </w:r>
            <w:r w:rsidR="00E1346F">
              <w:rPr>
                <w:noProof/>
                <w:webHidden/>
              </w:rPr>
              <w:instrText xml:space="preserve"> PAGEREF _Toc159520308 \h </w:instrText>
            </w:r>
            <w:r w:rsidR="00E1346F">
              <w:rPr>
                <w:noProof/>
                <w:webHidden/>
              </w:rPr>
            </w:r>
            <w:r w:rsidR="00E1346F">
              <w:rPr>
                <w:noProof/>
                <w:webHidden/>
              </w:rPr>
              <w:fldChar w:fldCharType="separate"/>
            </w:r>
            <w:r w:rsidR="00E1346F">
              <w:rPr>
                <w:noProof/>
                <w:webHidden/>
              </w:rPr>
              <w:t>30</w:t>
            </w:r>
            <w:r w:rsidR="00E1346F">
              <w:rPr>
                <w:noProof/>
                <w:webHidden/>
              </w:rPr>
              <w:fldChar w:fldCharType="end"/>
            </w:r>
          </w:hyperlink>
        </w:p>
        <w:p w14:paraId="6B1EFDF0" w14:textId="549FB178" w:rsidR="00E1346F" w:rsidRDefault="00D148F3">
          <w:pPr>
            <w:pStyle w:val="TOC5"/>
            <w:rPr>
              <w:rFonts w:asciiTheme="minorHAnsi" w:eastAsiaTheme="minorEastAsia" w:hAnsiTheme="minorHAnsi" w:cstheme="minorBidi"/>
              <w:i w:val="0"/>
              <w:noProof/>
              <w:szCs w:val="22"/>
              <w:lang w:eastAsia="en-AU"/>
            </w:rPr>
          </w:pPr>
          <w:hyperlink w:anchor="_Toc159520309" w:history="1">
            <w:r w:rsidR="00E1346F" w:rsidRPr="00901D5E">
              <w:rPr>
                <w:rStyle w:val="Hyperlink"/>
                <w:noProof/>
              </w:rPr>
              <w:t>What is not included?</w:t>
            </w:r>
            <w:r w:rsidR="00E1346F">
              <w:rPr>
                <w:noProof/>
                <w:webHidden/>
              </w:rPr>
              <w:tab/>
            </w:r>
            <w:r w:rsidR="00E1346F">
              <w:rPr>
                <w:noProof/>
                <w:webHidden/>
              </w:rPr>
              <w:fldChar w:fldCharType="begin"/>
            </w:r>
            <w:r w:rsidR="00E1346F">
              <w:rPr>
                <w:noProof/>
                <w:webHidden/>
              </w:rPr>
              <w:instrText xml:space="preserve"> PAGEREF _Toc159520309 \h </w:instrText>
            </w:r>
            <w:r w:rsidR="00E1346F">
              <w:rPr>
                <w:noProof/>
                <w:webHidden/>
              </w:rPr>
            </w:r>
            <w:r w:rsidR="00E1346F">
              <w:rPr>
                <w:noProof/>
                <w:webHidden/>
              </w:rPr>
              <w:fldChar w:fldCharType="separate"/>
            </w:r>
            <w:r w:rsidR="00E1346F">
              <w:rPr>
                <w:noProof/>
                <w:webHidden/>
              </w:rPr>
              <w:t>30</w:t>
            </w:r>
            <w:r w:rsidR="00E1346F">
              <w:rPr>
                <w:noProof/>
                <w:webHidden/>
              </w:rPr>
              <w:fldChar w:fldCharType="end"/>
            </w:r>
          </w:hyperlink>
        </w:p>
        <w:p w14:paraId="1F00CAF6" w14:textId="3348CC80" w:rsidR="00E1346F" w:rsidRDefault="00D148F3">
          <w:pPr>
            <w:pStyle w:val="TOC3"/>
            <w:rPr>
              <w:rFonts w:asciiTheme="minorHAnsi" w:eastAsiaTheme="minorEastAsia" w:hAnsiTheme="minorHAnsi" w:cstheme="minorBidi"/>
              <w:szCs w:val="22"/>
              <w:lang w:eastAsia="en-AU"/>
            </w:rPr>
          </w:pPr>
          <w:hyperlink w:anchor="_Toc159520310" w:history="1">
            <w:r w:rsidR="00E1346F" w:rsidRPr="00901D5E">
              <w:rPr>
                <w:rStyle w:val="Hyperlink"/>
                <w:iCs/>
              </w:rPr>
              <w:t xml:space="preserve">Exceptions </w:t>
            </w:r>
            <w:r w:rsidR="00E1346F" w:rsidRPr="00901D5E">
              <w:rPr>
                <w:rStyle w:val="Hyperlink"/>
              </w:rPr>
              <w:t>– Administration of State laws &amp; programs, and local Government</w:t>
            </w:r>
            <w:r w:rsidR="00E1346F">
              <w:rPr>
                <w:webHidden/>
              </w:rPr>
              <w:tab/>
            </w:r>
            <w:r w:rsidR="00E1346F">
              <w:rPr>
                <w:webHidden/>
              </w:rPr>
              <w:fldChar w:fldCharType="begin"/>
            </w:r>
            <w:r w:rsidR="00E1346F">
              <w:rPr>
                <w:webHidden/>
              </w:rPr>
              <w:instrText xml:space="preserve"> PAGEREF _Toc159520310 \h </w:instrText>
            </w:r>
            <w:r w:rsidR="00E1346F">
              <w:rPr>
                <w:webHidden/>
              </w:rPr>
            </w:r>
            <w:r w:rsidR="00E1346F">
              <w:rPr>
                <w:webHidden/>
              </w:rPr>
              <w:fldChar w:fldCharType="separate"/>
            </w:r>
            <w:r w:rsidR="00E1346F">
              <w:rPr>
                <w:webHidden/>
              </w:rPr>
              <w:t>31</w:t>
            </w:r>
            <w:r w:rsidR="00E1346F">
              <w:rPr>
                <w:webHidden/>
              </w:rPr>
              <w:fldChar w:fldCharType="end"/>
            </w:r>
          </w:hyperlink>
        </w:p>
        <w:p w14:paraId="7C77130F" w14:textId="53EE265C" w:rsidR="00E1346F" w:rsidRDefault="00D148F3">
          <w:pPr>
            <w:pStyle w:val="TOC3"/>
            <w:rPr>
              <w:rFonts w:asciiTheme="minorHAnsi" w:eastAsiaTheme="minorEastAsia" w:hAnsiTheme="minorHAnsi" w:cstheme="minorBidi"/>
              <w:szCs w:val="22"/>
              <w:lang w:eastAsia="en-AU"/>
            </w:rPr>
          </w:pPr>
          <w:hyperlink w:anchor="_Toc159520311" w:history="1">
            <w:r w:rsidR="00E1346F" w:rsidRPr="00901D5E">
              <w:rPr>
                <w:rStyle w:val="Hyperlink"/>
                <w:rFonts w:eastAsia="Times New Roman"/>
              </w:rPr>
              <w:t>General exceptions for discrimination</w:t>
            </w:r>
            <w:r w:rsidR="00E1346F">
              <w:rPr>
                <w:webHidden/>
              </w:rPr>
              <w:tab/>
            </w:r>
            <w:r w:rsidR="00E1346F">
              <w:rPr>
                <w:webHidden/>
              </w:rPr>
              <w:fldChar w:fldCharType="begin"/>
            </w:r>
            <w:r w:rsidR="00E1346F">
              <w:rPr>
                <w:webHidden/>
              </w:rPr>
              <w:instrText xml:space="preserve"> PAGEREF _Toc159520311 \h </w:instrText>
            </w:r>
            <w:r w:rsidR="00E1346F">
              <w:rPr>
                <w:webHidden/>
              </w:rPr>
            </w:r>
            <w:r w:rsidR="00E1346F">
              <w:rPr>
                <w:webHidden/>
              </w:rPr>
              <w:fldChar w:fldCharType="separate"/>
            </w:r>
            <w:r w:rsidR="00E1346F">
              <w:rPr>
                <w:webHidden/>
              </w:rPr>
              <w:t>31</w:t>
            </w:r>
            <w:r w:rsidR="00E1346F">
              <w:rPr>
                <w:webHidden/>
              </w:rPr>
              <w:fldChar w:fldCharType="end"/>
            </w:r>
          </w:hyperlink>
        </w:p>
        <w:p w14:paraId="7F232287" w14:textId="57E15B72" w:rsidR="00E1346F" w:rsidRDefault="00D148F3">
          <w:pPr>
            <w:pStyle w:val="TOC4"/>
            <w:rPr>
              <w:rFonts w:asciiTheme="minorHAnsi" w:eastAsiaTheme="minorEastAsia" w:hAnsiTheme="minorHAnsi" w:cstheme="minorBidi"/>
              <w:noProof/>
              <w:szCs w:val="22"/>
              <w:lang w:eastAsia="en-AU"/>
            </w:rPr>
          </w:pPr>
          <w:hyperlink w:anchor="_Toc159520312" w:history="1">
            <w:r w:rsidR="00E1346F" w:rsidRPr="00901D5E">
              <w:rPr>
                <w:rStyle w:val="Hyperlink"/>
                <w:noProof/>
              </w:rPr>
              <w:t>Compliance with legislation or court or tribunal orders</w:t>
            </w:r>
            <w:r w:rsidR="00E1346F">
              <w:rPr>
                <w:noProof/>
                <w:webHidden/>
              </w:rPr>
              <w:tab/>
            </w:r>
            <w:r w:rsidR="00E1346F">
              <w:rPr>
                <w:noProof/>
                <w:webHidden/>
              </w:rPr>
              <w:fldChar w:fldCharType="begin"/>
            </w:r>
            <w:r w:rsidR="00E1346F">
              <w:rPr>
                <w:noProof/>
                <w:webHidden/>
              </w:rPr>
              <w:instrText xml:space="preserve"> PAGEREF _Toc159520312 \h </w:instrText>
            </w:r>
            <w:r w:rsidR="00E1346F">
              <w:rPr>
                <w:noProof/>
                <w:webHidden/>
              </w:rPr>
            </w:r>
            <w:r w:rsidR="00E1346F">
              <w:rPr>
                <w:noProof/>
                <w:webHidden/>
              </w:rPr>
              <w:fldChar w:fldCharType="separate"/>
            </w:r>
            <w:r w:rsidR="00E1346F">
              <w:rPr>
                <w:noProof/>
                <w:webHidden/>
              </w:rPr>
              <w:t>31</w:t>
            </w:r>
            <w:r w:rsidR="00E1346F">
              <w:rPr>
                <w:noProof/>
                <w:webHidden/>
              </w:rPr>
              <w:fldChar w:fldCharType="end"/>
            </w:r>
          </w:hyperlink>
        </w:p>
        <w:p w14:paraId="01F08D75" w14:textId="288F012F" w:rsidR="00E1346F" w:rsidRDefault="00D148F3">
          <w:pPr>
            <w:pStyle w:val="TOC4"/>
            <w:rPr>
              <w:rFonts w:asciiTheme="minorHAnsi" w:eastAsiaTheme="minorEastAsia" w:hAnsiTheme="minorHAnsi" w:cstheme="minorBidi"/>
              <w:noProof/>
              <w:szCs w:val="22"/>
              <w:lang w:eastAsia="en-AU"/>
            </w:rPr>
          </w:pPr>
          <w:hyperlink w:anchor="_Toc159520313" w:history="1">
            <w:r w:rsidR="00E1346F" w:rsidRPr="00901D5E">
              <w:rPr>
                <w:rStyle w:val="Hyperlink"/>
                <w:noProof/>
              </w:rPr>
              <w:t>Citizenship or visa requirements under State government policies etc</w:t>
            </w:r>
            <w:r w:rsidR="00E1346F">
              <w:rPr>
                <w:noProof/>
                <w:webHidden/>
              </w:rPr>
              <w:tab/>
            </w:r>
            <w:r w:rsidR="00E1346F">
              <w:rPr>
                <w:noProof/>
                <w:webHidden/>
              </w:rPr>
              <w:fldChar w:fldCharType="begin"/>
            </w:r>
            <w:r w:rsidR="00E1346F">
              <w:rPr>
                <w:noProof/>
                <w:webHidden/>
              </w:rPr>
              <w:instrText xml:space="preserve"> PAGEREF _Toc159520313 \h </w:instrText>
            </w:r>
            <w:r w:rsidR="00E1346F">
              <w:rPr>
                <w:noProof/>
                <w:webHidden/>
              </w:rPr>
            </w:r>
            <w:r w:rsidR="00E1346F">
              <w:rPr>
                <w:noProof/>
                <w:webHidden/>
              </w:rPr>
              <w:fldChar w:fldCharType="separate"/>
            </w:r>
            <w:r w:rsidR="00E1346F">
              <w:rPr>
                <w:noProof/>
                <w:webHidden/>
              </w:rPr>
              <w:t>32</w:t>
            </w:r>
            <w:r w:rsidR="00E1346F">
              <w:rPr>
                <w:noProof/>
                <w:webHidden/>
              </w:rPr>
              <w:fldChar w:fldCharType="end"/>
            </w:r>
          </w:hyperlink>
        </w:p>
        <w:p w14:paraId="046F7116" w14:textId="392010D3" w:rsidR="00E1346F" w:rsidRDefault="00D148F3">
          <w:pPr>
            <w:pStyle w:val="TOC4"/>
            <w:rPr>
              <w:rFonts w:asciiTheme="minorHAnsi" w:eastAsiaTheme="minorEastAsia" w:hAnsiTheme="minorHAnsi" w:cstheme="minorBidi"/>
              <w:noProof/>
              <w:szCs w:val="22"/>
              <w:lang w:eastAsia="en-AU"/>
            </w:rPr>
          </w:pPr>
          <w:hyperlink w:anchor="_Toc159520314" w:history="1">
            <w:r w:rsidR="00E1346F" w:rsidRPr="00901D5E">
              <w:rPr>
                <w:rStyle w:val="Hyperlink"/>
                <w:noProof/>
              </w:rPr>
              <w:t>Public health</w:t>
            </w:r>
            <w:r w:rsidR="00E1346F">
              <w:rPr>
                <w:noProof/>
                <w:webHidden/>
              </w:rPr>
              <w:tab/>
            </w:r>
            <w:r w:rsidR="00E1346F">
              <w:rPr>
                <w:noProof/>
                <w:webHidden/>
              </w:rPr>
              <w:fldChar w:fldCharType="begin"/>
            </w:r>
            <w:r w:rsidR="00E1346F">
              <w:rPr>
                <w:noProof/>
                <w:webHidden/>
              </w:rPr>
              <w:instrText xml:space="preserve"> PAGEREF _Toc159520314 \h </w:instrText>
            </w:r>
            <w:r w:rsidR="00E1346F">
              <w:rPr>
                <w:noProof/>
                <w:webHidden/>
              </w:rPr>
            </w:r>
            <w:r w:rsidR="00E1346F">
              <w:rPr>
                <w:noProof/>
                <w:webHidden/>
              </w:rPr>
              <w:fldChar w:fldCharType="separate"/>
            </w:r>
            <w:r w:rsidR="00E1346F">
              <w:rPr>
                <w:noProof/>
                <w:webHidden/>
              </w:rPr>
              <w:t>32</w:t>
            </w:r>
            <w:r w:rsidR="00E1346F">
              <w:rPr>
                <w:noProof/>
                <w:webHidden/>
              </w:rPr>
              <w:fldChar w:fldCharType="end"/>
            </w:r>
          </w:hyperlink>
        </w:p>
        <w:p w14:paraId="42521995" w14:textId="4C3EBEEF" w:rsidR="00E1346F" w:rsidRDefault="00D148F3">
          <w:pPr>
            <w:pStyle w:val="TOC4"/>
            <w:rPr>
              <w:rFonts w:asciiTheme="minorHAnsi" w:eastAsiaTheme="minorEastAsia" w:hAnsiTheme="minorHAnsi" w:cstheme="minorBidi"/>
              <w:noProof/>
              <w:szCs w:val="22"/>
              <w:lang w:eastAsia="en-AU"/>
            </w:rPr>
          </w:pPr>
          <w:hyperlink w:anchor="_Toc159520315" w:history="1">
            <w:r w:rsidR="00E1346F" w:rsidRPr="00901D5E">
              <w:rPr>
                <w:rStyle w:val="Hyperlink"/>
                <w:noProof/>
              </w:rPr>
              <w:t>Workplace health and safety</w:t>
            </w:r>
            <w:r w:rsidR="00E1346F">
              <w:rPr>
                <w:noProof/>
                <w:webHidden/>
              </w:rPr>
              <w:tab/>
            </w:r>
            <w:r w:rsidR="00E1346F">
              <w:rPr>
                <w:noProof/>
                <w:webHidden/>
              </w:rPr>
              <w:fldChar w:fldCharType="begin"/>
            </w:r>
            <w:r w:rsidR="00E1346F">
              <w:rPr>
                <w:noProof/>
                <w:webHidden/>
              </w:rPr>
              <w:instrText xml:space="preserve"> PAGEREF _Toc159520315 \h </w:instrText>
            </w:r>
            <w:r w:rsidR="00E1346F">
              <w:rPr>
                <w:noProof/>
                <w:webHidden/>
              </w:rPr>
            </w:r>
            <w:r w:rsidR="00E1346F">
              <w:rPr>
                <w:noProof/>
                <w:webHidden/>
              </w:rPr>
              <w:fldChar w:fldCharType="separate"/>
            </w:r>
            <w:r w:rsidR="00E1346F">
              <w:rPr>
                <w:noProof/>
                <w:webHidden/>
              </w:rPr>
              <w:t>32</w:t>
            </w:r>
            <w:r w:rsidR="00E1346F">
              <w:rPr>
                <w:noProof/>
                <w:webHidden/>
              </w:rPr>
              <w:fldChar w:fldCharType="end"/>
            </w:r>
          </w:hyperlink>
        </w:p>
        <w:p w14:paraId="62AC49A0" w14:textId="791D24ED" w:rsidR="00E1346F" w:rsidRDefault="00D148F3">
          <w:pPr>
            <w:pStyle w:val="TOC4"/>
            <w:rPr>
              <w:rFonts w:asciiTheme="minorHAnsi" w:eastAsiaTheme="minorEastAsia" w:hAnsiTheme="minorHAnsi" w:cstheme="minorBidi"/>
              <w:noProof/>
              <w:szCs w:val="22"/>
              <w:lang w:eastAsia="en-AU"/>
            </w:rPr>
          </w:pPr>
          <w:hyperlink w:anchor="_Toc159520316" w:history="1">
            <w:r w:rsidR="00E1346F" w:rsidRPr="00901D5E">
              <w:rPr>
                <w:rStyle w:val="Hyperlink"/>
                <w:noProof/>
              </w:rPr>
              <w:t>Assistance animals</w:t>
            </w:r>
            <w:r w:rsidR="00E1346F">
              <w:rPr>
                <w:noProof/>
                <w:webHidden/>
              </w:rPr>
              <w:tab/>
            </w:r>
            <w:r w:rsidR="00E1346F">
              <w:rPr>
                <w:noProof/>
                <w:webHidden/>
              </w:rPr>
              <w:fldChar w:fldCharType="begin"/>
            </w:r>
            <w:r w:rsidR="00E1346F">
              <w:rPr>
                <w:noProof/>
                <w:webHidden/>
              </w:rPr>
              <w:instrText xml:space="preserve"> PAGEREF _Toc159520316 \h </w:instrText>
            </w:r>
            <w:r w:rsidR="00E1346F">
              <w:rPr>
                <w:noProof/>
                <w:webHidden/>
              </w:rPr>
            </w:r>
            <w:r w:rsidR="00E1346F">
              <w:rPr>
                <w:noProof/>
                <w:webHidden/>
              </w:rPr>
              <w:fldChar w:fldCharType="separate"/>
            </w:r>
            <w:r w:rsidR="00E1346F">
              <w:rPr>
                <w:noProof/>
                <w:webHidden/>
              </w:rPr>
              <w:t>32</w:t>
            </w:r>
            <w:r w:rsidR="00E1346F">
              <w:rPr>
                <w:noProof/>
                <w:webHidden/>
              </w:rPr>
              <w:fldChar w:fldCharType="end"/>
            </w:r>
          </w:hyperlink>
        </w:p>
        <w:p w14:paraId="06916E3F" w14:textId="3FFFA01E" w:rsidR="00E1346F" w:rsidRDefault="00D148F3">
          <w:pPr>
            <w:pStyle w:val="TOC4"/>
            <w:rPr>
              <w:rFonts w:asciiTheme="minorHAnsi" w:eastAsiaTheme="minorEastAsia" w:hAnsiTheme="minorHAnsi" w:cstheme="minorBidi"/>
              <w:noProof/>
              <w:szCs w:val="22"/>
              <w:lang w:eastAsia="en-AU"/>
            </w:rPr>
          </w:pPr>
          <w:hyperlink w:anchor="_Toc159520317" w:history="1">
            <w:r w:rsidR="00E1346F" w:rsidRPr="00901D5E">
              <w:rPr>
                <w:rStyle w:val="Hyperlink"/>
                <w:noProof/>
              </w:rPr>
              <w:t>Roles in religious bodies</w:t>
            </w:r>
            <w:r w:rsidR="00E1346F">
              <w:rPr>
                <w:noProof/>
                <w:webHidden/>
              </w:rPr>
              <w:tab/>
            </w:r>
            <w:r w:rsidR="00E1346F">
              <w:rPr>
                <w:noProof/>
                <w:webHidden/>
              </w:rPr>
              <w:fldChar w:fldCharType="begin"/>
            </w:r>
            <w:r w:rsidR="00E1346F">
              <w:rPr>
                <w:noProof/>
                <w:webHidden/>
              </w:rPr>
              <w:instrText xml:space="preserve"> PAGEREF _Toc159520317 \h </w:instrText>
            </w:r>
            <w:r w:rsidR="00E1346F">
              <w:rPr>
                <w:noProof/>
                <w:webHidden/>
              </w:rPr>
            </w:r>
            <w:r w:rsidR="00E1346F">
              <w:rPr>
                <w:noProof/>
                <w:webHidden/>
              </w:rPr>
              <w:fldChar w:fldCharType="separate"/>
            </w:r>
            <w:r w:rsidR="00E1346F">
              <w:rPr>
                <w:noProof/>
                <w:webHidden/>
              </w:rPr>
              <w:t>32</w:t>
            </w:r>
            <w:r w:rsidR="00E1346F">
              <w:rPr>
                <w:noProof/>
                <w:webHidden/>
              </w:rPr>
              <w:fldChar w:fldCharType="end"/>
            </w:r>
          </w:hyperlink>
        </w:p>
        <w:p w14:paraId="143F28AD" w14:textId="6ED72248" w:rsidR="00E1346F" w:rsidRDefault="00D148F3">
          <w:pPr>
            <w:pStyle w:val="TOC4"/>
            <w:rPr>
              <w:rFonts w:asciiTheme="minorHAnsi" w:eastAsiaTheme="minorEastAsia" w:hAnsiTheme="minorHAnsi" w:cstheme="minorBidi"/>
              <w:noProof/>
              <w:szCs w:val="22"/>
              <w:lang w:eastAsia="en-AU"/>
            </w:rPr>
          </w:pPr>
          <w:hyperlink w:anchor="_Toc159520318" w:history="1">
            <w:r w:rsidR="00E1346F" w:rsidRPr="00901D5E">
              <w:rPr>
                <w:rStyle w:val="Hyperlink"/>
                <w:noProof/>
              </w:rPr>
              <w:t>Acts by religious bodies</w:t>
            </w:r>
            <w:r w:rsidR="00E1346F">
              <w:rPr>
                <w:noProof/>
                <w:webHidden/>
              </w:rPr>
              <w:tab/>
            </w:r>
            <w:r w:rsidR="00E1346F">
              <w:rPr>
                <w:noProof/>
                <w:webHidden/>
              </w:rPr>
              <w:fldChar w:fldCharType="begin"/>
            </w:r>
            <w:r w:rsidR="00E1346F">
              <w:rPr>
                <w:noProof/>
                <w:webHidden/>
              </w:rPr>
              <w:instrText xml:space="preserve"> PAGEREF _Toc159520318 \h </w:instrText>
            </w:r>
            <w:r w:rsidR="00E1346F">
              <w:rPr>
                <w:noProof/>
                <w:webHidden/>
              </w:rPr>
            </w:r>
            <w:r w:rsidR="00E1346F">
              <w:rPr>
                <w:noProof/>
                <w:webHidden/>
              </w:rPr>
              <w:fldChar w:fldCharType="separate"/>
            </w:r>
            <w:r w:rsidR="00E1346F">
              <w:rPr>
                <w:noProof/>
                <w:webHidden/>
              </w:rPr>
              <w:t>32</w:t>
            </w:r>
            <w:r w:rsidR="00E1346F">
              <w:rPr>
                <w:noProof/>
                <w:webHidden/>
              </w:rPr>
              <w:fldChar w:fldCharType="end"/>
            </w:r>
          </w:hyperlink>
        </w:p>
        <w:p w14:paraId="56083AC1" w14:textId="7B0D07FE" w:rsidR="00E1346F" w:rsidRDefault="00D148F3">
          <w:pPr>
            <w:pStyle w:val="TOC4"/>
            <w:rPr>
              <w:rFonts w:asciiTheme="minorHAnsi" w:eastAsiaTheme="minorEastAsia" w:hAnsiTheme="minorHAnsi" w:cstheme="minorBidi"/>
              <w:noProof/>
              <w:szCs w:val="22"/>
              <w:lang w:eastAsia="en-AU"/>
            </w:rPr>
          </w:pPr>
          <w:hyperlink w:anchor="_Toc159520319" w:history="1">
            <w:r w:rsidR="00E1346F" w:rsidRPr="00901D5E">
              <w:rPr>
                <w:rStyle w:val="Hyperlink"/>
                <w:noProof/>
              </w:rPr>
              <w:t>Charities</w:t>
            </w:r>
            <w:r w:rsidR="00E1346F">
              <w:rPr>
                <w:noProof/>
                <w:webHidden/>
              </w:rPr>
              <w:tab/>
            </w:r>
            <w:r w:rsidR="00E1346F">
              <w:rPr>
                <w:noProof/>
                <w:webHidden/>
              </w:rPr>
              <w:fldChar w:fldCharType="begin"/>
            </w:r>
            <w:r w:rsidR="00E1346F">
              <w:rPr>
                <w:noProof/>
                <w:webHidden/>
              </w:rPr>
              <w:instrText xml:space="preserve"> PAGEREF _Toc159520319 \h </w:instrText>
            </w:r>
            <w:r w:rsidR="00E1346F">
              <w:rPr>
                <w:noProof/>
                <w:webHidden/>
              </w:rPr>
            </w:r>
            <w:r w:rsidR="00E1346F">
              <w:rPr>
                <w:noProof/>
                <w:webHidden/>
              </w:rPr>
              <w:fldChar w:fldCharType="separate"/>
            </w:r>
            <w:r w:rsidR="00E1346F">
              <w:rPr>
                <w:noProof/>
                <w:webHidden/>
              </w:rPr>
              <w:t>33</w:t>
            </w:r>
            <w:r w:rsidR="00E1346F">
              <w:rPr>
                <w:noProof/>
                <w:webHidden/>
              </w:rPr>
              <w:fldChar w:fldCharType="end"/>
            </w:r>
          </w:hyperlink>
        </w:p>
        <w:p w14:paraId="14C2EA03" w14:textId="050783A7" w:rsidR="00E1346F" w:rsidRDefault="00D148F3">
          <w:pPr>
            <w:pStyle w:val="TOC4"/>
            <w:rPr>
              <w:rFonts w:asciiTheme="minorHAnsi" w:eastAsiaTheme="minorEastAsia" w:hAnsiTheme="minorHAnsi" w:cstheme="minorBidi"/>
              <w:noProof/>
              <w:szCs w:val="22"/>
              <w:lang w:eastAsia="en-AU"/>
            </w:rPr>
          </w:pPr>
          <w:hyperlink w:anchor="_Toc159520320" w:history="1">
            <w:r w:rsidR="00E1346F" w:rsidRPr="00901D5E">
              <w:rPr>
                <w:rStyle w:val="Hyperlink"/>
                <w:noProof/>
              </w:rPr>
              <w:t>Sport</w:t>
            </w:r>
            <w:r w:rsidR="00E1346F">
              <w:rPr>
                <w:noProof/>
                <w:webHidden/>
              </w:rPr>
              <w:tab/>
            </w:r>
            <w:r w:rsidR="00E1346F">
              <w:rPr>
                <w:noProof/>
                <w:webHidden/>
              </w:rPr>
              <w:fldChar w:fldCharType="begin"/>
            </w:r>
            <w:r w:rsidR="00E1346F">
              <w:rPr>
                <w:noProof/>
                <w:webHidden/>
              </w:rPr>
              <w:instrText xml:space="preserve"> PAGEREF _Toc159520320 \h </w:instrText>
            </w:r>
            <w:r w:rsidR="00E1346F">
              <w:rPr>
                <w:noProof/>
                <w:webHidden/>
              </w:rPr>
            </w:r>
            <w:r w:rsidR="00E1346F">
              <w:rPr>
                <w:noProof/>
                <w:webHidden/>
              </w:rPr>
              <w:fldChar w:fldCharType="separate"/>
            </w:r>
            <w:r w:rsidR="00E1346F">
              <w:rPr>
                <w:noProof/>
                <w:webHidden/>
              </w:rPr>
              <w:t>33</w:t>
            </w:r>
            <w:r w:rsidR="00E1346F">
              <w:rPr>
                <w:noProof/>
                <w:webHidden/>
              </w:rPr>
              <w:fldChar w:fldCharType="end"/>
            </w:r>
          </w:hyperlink>
        </w:p>
        <w:p w14:paraId="14983E26" w14:textId="430EE5D3" w:rsidR="00E1346F" w:rsidRDefault="00D148F3">
          <w:pPr>
            <w:pStyle w:val="TOC4"/>
            <w:rPr>
              <w:rFonts w:asciiTheme="minorHAnsi" w:eastAsiaTheme="minorEastAsia" w:hAnsiTheme="minorHAnsi" w:cstheme="minorBidi"/>
              <w:noProof/>
              <w:szCs w:val="22"/>
              <w:lang w:eastAsia="en-AU"/>
            </w:rPr>
          </w:pPr>
          <w:hyperlink w:anchor="_Toc159520321" w:history="1">
            <w:r w:rsidR="00E1346F" w:rsidRPr="00901D5E">
              <w:rPr>
                <w:rStyle w:val="Hyperlink"/>
                <w:noProof/>
              </w:rPr>
              <w:t>Legal incapacity</w:t>
            </w:r>
            <w:r w:rsidR="00E1346F">
              <w:rPr>
                <w:noProof/>
                <w:webHidden/>
              </w:rPr>
              <w:tab/>
            </w:r>
            <w:r w:rsidR="00E1346F">
              <w:rPr>
                <w:noProof/>
                <w:webHidden/>
              </w:rPr>
              <w:fldChar w:fldCharType="begin"/>
            </w:r>
            <w:r w:rsidR="00E1346F">
              <w:rPr>
                <w:noProof/>
                <w:webHidden/>
              </w:rPr>
              <w:instrText xml:space="preserve"> PAGEREF _Toc159520321 \h </w:instrText>
            </w:r>
            <w:r w:rsidR="00E1346F">
              <w:rPr>
                <w:noProof/>
                <w:webHidden/>
              </w:rPr>
            </w:r>
            <w:r w:rsidR="00E1346F">
              <w:rPr>
                <w:noProof/>
                <w:webHidden/>
              </w:rPr>
              <w:fldChar w:fldCharType="separate"/>
            </w:r>
            <w:r w:rsidR="00E1346F">
              <w:rPr>
                <w:noProof/>
                <w:webHidden/>
              </w:rPr>
              <w:t>34</w:t>
            </w:r>
            <w:r w:rsidR="00E1346F">
              <w:rPr>
                <w:noProof/>
                <w:webHidden/>
              </w:rPr>
              <w:fldChar w:fldCharType="end"/>
            </w:r>
          </w:hyperlink>
        </w:p>
        <w:p w14:paraId="2F94EF1A" w14:textId="37AC10C0" w:rsidR="00E1346F" w:rsidRDefault="00D148F3">
          <w:pPr>
            <w:pStyle w:val="TOC5"/>
            <w:rPr>
              <w:rFonts w:asciiTheme="minorHAnsi" w:eastAsiaTheme="minorEastAsia" w:hAnsiTheme="minorHAnsi" w:cstheme="minorBidi"/>
              <w:i w:val="0"/>
              <w:noProof/>
              <w:szCs w:val="22"/>
              <w:lang w:eastAsia="en-AU"/>
            </w:rPr>
          </w:pPr>
          <w:hyperlink w:anchor="_Toc159520322" w:history="1">
            <w:r w:rsidR="00E1346F" w:rsidRPr="00901D5E">
              <w:rPr>
                <w:rStyle w:val="Hyperlink"/>
                <w:noProof/>
              </w:rPr>
              <w:t>What is not included?</w:t>
            </w:r>
            <w:r w:rsidR="00E1346F">
              <w:rPr>
                <w:noProof/>
                <w:webHidden/>
              </w:rPr>
              <w:tab/>
            </w:r>
            <w:r w:rsidR="00E1346F">
              <w:rPr>
                <w:noProof/>
                <w:webHidden/>
              </w:rPr>
              <w:fldChar w:fldCharType="begin"/>
            </w:r>
            <w:r w:rsidR="00E1346F">
              <w:rPr>
                <w:noProof/>
                <w:webHidden/>
              </w:rPr>
              <w:instrText xml:space="preserve"> PAGEREF _Toc159520322 \h </w:instrText>
            </w:r>
            <w:r w:rsidR="00E1346F">
              <w:rPr>
                <w:noProof/>
                <w:webHidden/>
              </w:rPr>
            </w:r>
            <w:r w:rsidR="00E1346F">
              <w:rPr>
                <w:noProof/>
                <w:webHidden/>
              </w:rPr>
              <w:fldChar w:fldCharType="separate"/>
            </w:r>
            <w:r w:rsidR="00E1346F">
              <w:rPr>
                <w:noProof/>
                <w:webHidden/>
              </w:rPr>
              <w:t>34</w:t>
            </w:r>
            <w:r w:rsidR="00E1346F">
              <w:rPr>
                <w:noProof/>
                <w:webHidden/>
              </w:rPr>
              <w:fldChar w:fldCharType="end"/>
            </w:r>
          </w:hyperlink>
        </w:p>
        <w:p w14:paraId="7FA5943B" w14:textId="41B12A25" w:rsidR="00E1346F" w:rsidRDefault="00D148F3">
          <w:pPr>
            <w:pStyle w:val="TOC3"/>
            <w:rPr>
              <w:rFonts w:asciiTheme="minorHAnsi" w:eastAsiaTheme="minorEastAsia" w:hAnsiTheme="minorHAnsi" w:cstheme="minorBidi"/>
              <w:szCs w:val="22"/>
              <w:lang w:eastAsia="en-AU"/>
            </w:rPr>
          </w:pPr>
          <w:hyperlink w:anchor="_Toc159520323" w:history="1">
            <w:r w:rsidR="00E1346F" w:rsidRPr="00901D5E">
              <w:rPr>
                <w:rStyle w:val="Hyperlink"/>
                <w:rFonts w:eastAsia="Times New Roman"/>
              </w:rPr>
              <w:t>Exemptions</w:t>
            </w:r>
            <w:r w:rsidR="00E1346F">
              <w:rPr>
                <w:webHidden/>
              </w:rPr>
              <w:tab/>
            </w:r>
            <w:r w:rsidR="00E1346F">
              <w:rPr>
                <w:webHidden/>
              </w:rPr>
              <w:fldChar w:fldCharType="begin"/>
            </w:r>
            <w:r w:rsidR="00E1346F">
              <w:rPr>
                <w:webHidden/>
              </w:rPr>
              <w:instrText xml:space="preserve"> PAGEREF _Toc159520323 \h </w:instrText>
            </w:r>
            <w:r w:rsidR="00E1346F">
              <w:rPr>
                <w:webHidden/>
              </w:rPr>
            </w:r>
            <w:r w:rsidR="00E1346F">
              <w:rPr>
                <w:webHidden/>
              </w:rPr>
              <w:fldChar w:fldCharType="separate"/>
            </w:r>
            <w:r w:rsidR="00E1346F">
              <w:rPr>
                <w:webHidden/>
              </w:rPr>
              <w:t>34</w:t>
            </w:r>
            <w:r w:rsidR="00E1346F">
              <w:rPr>
                <w:webHidden/>
              </w:rPr>
              <w:fldChar w:fldCharType="end"/>
            </w:r>
          </w:hyperlink>
        </w:p>
        <w:p w14:paraId="0E3488D5" w14:textId="064016F2" w:rsidR="00E1346F" w:rsidRDefault="00D148F3">
          <w:pPr>
            <w:pStyle w:val="TOC2"/>
            <w:rPr>
              <w:rFonts w:asciiTheme="minorHAnsi" w:eastAsiaTheme="minorEastAsia" w:hAnsiTheme="minorHAnsi" w:cstheme="minorBidi"/>
              <w:lang w:eastAsia="en-AU"/>
            </w:rPr>
          </w:pPr>
          <w:hyperlink w:anchor="_Toc159520324" w:history="1">
            <w:r w:rsidR="00E1346F" w:rsidRPr="00901D5E">
              <w:rPr>
                <w:rStyle w:val="Hyperlink"/>
              </w:rPr>
              <w:t>Part 5 - Discrimination against residents of regional communities</w:t>
            </w:r>
            <w:r w:rsidR="00E1346F">
              <w:rPr>
                <w:webHidden/>
              </w:rPr>
              <w:tab/>
            </w:r>
            <w:r w:rsidR="00E1346F">
              <w:rPr>
                <w:webHidden/>
              </w:rPr>
              <w:fldChar w:fldCharType="begin"/>
            </w:r>
            <w:r w:rsidR="00E1346F">
              <w:rPr>
                <w:webHidden/>
              </w:rPr>
              <w:instrText xml:space="preserve"> PAGEREF _Toc159520324 \h </w:instrText>
            </w:r>
            <w:r w:rsidR="00E1346F">
              <w:rPr>
                <w:webHidden/>
              </w:rPr>
            </w:r>
            <w:r w:rsidR="00E1346F">
              <w:rPr>
                <w:webHidden/>
              </w:rPr>
              <w:fldChar w:fldCharType="separate"/>
            </w:r>
            <w:r w:rsidR="00E1346F">
              <w:rPr>
                <w:webHidden/>
              </w:rPr>
              <w:t>34</w:t>
            </w:r>
            <w:r w:rsidR="00E1346F">
              <w:rPr>
                <w:webHidden/>
              </w:rPr>
              <w:fldChar w:fldCharType="end"/>
            </w:r>
          </w:hyperlink>
        </w:p>
        <w:p w14:paraId="10720E5A" w14:textId="6CDF7C14" w:rsidR="00E1346F" w:rsidRDefault="00D148F3">
          <w:pPr>
            <w:pStyle w:val="TOC2"/>
            <w:rPr>
              <w:rFonts w:asciiTheme="minorHAnsi" w:eastAsiaTheme="minorEastAsia" w:hAnsiTheme="minorHAnsi" w:cstheme="minorBidi"/>
              <w:lang w:eastAsia="en-AU"/>
            </w:rPr>
          </w:pPr>
          <w:hyperlink w:anchor="_Toc159520325" w:history="1">
            <w:r w:rsidR="00E1346F" w:rsidRPr="00901D5E">
              <w:rPr>
                <w:rStyle w:val="Hyperlink"/>
              </w:rPr>
              <w:t>Part 6 – Sexual harassment</w:t>
            </w:r>
            <w:r w:rsidR="00E1346F">
              <w:rPr>
                <w:webHidden/>
              </w:rPr>
              <w:tab/>
            </w:r>
            <w:r w:rsidR="00E1346F">
              <w:rPr>
                <w:webHidden/>
              </w:rPr>
              <w:fldChar w:fldCharType="begin"/>
            </w:r>
            <w:r w:rsidR="00E1346F">
              <w:rPr>
                <w:webHidden/>
              </w:rPr>
              <w:instrText xml:space="preserve"> PAGEREF _Toc159520325 \h </w:instrText>
            </w:r>
            <w:r w:rsidR="00E1346F">
              <w:rPr>
                <w:webHidden/>
              </w:rPr>
            </w:r>
            <w:r w:rsidR="00E1346F">
              <w:rPr>
                <w:webHidden/>
              </w:rPr>
              <w:fldChar w:fldCharType="separate"/>
            </w:r>
            <w:r w:rsidR="00E1346F">
              <w:rPr>
                <w:webHidden/>
              </w:rPr>
              <w:t>34</w:t>
            </w:r>
            <w:r w:rsidR="00E1346F">
              <w:rPr>
                <w:webHidden/>
              </w:rPr>
              <w:fldChar w:fldCharType="end"/>
            </w:r>
          </w:hyperlink>
        </w:p>
        <w:p w14:paraId="029D444D" w14:textId="23D46F79" w:rsidR="00E1346F" w:rsidRDefault="00D148F3">
          <w:pPr>
            <w:pStyle w:val="TOC3"/>
            <w:rPr>
              <w:rFonts w:asciiTheme="minorHAnsi" w:eastAsiaTheme="minorEastAsia" w:hAnsiTheme="minorHAnsi" w:cstheme="minorBidi"/>
              <w:szCs w:val="22"/>
              <w:lang w:eastAsia="en-AU"/>
            </w:rPr>
          </w:pPr>
          <w:hyperlink w:anchor="_Toc159520326" w:history="1">
            <w:r w:rsidR="00E1346F" w:rsidRPr="00901D5E">
              <w:rPr>
                <w:rStyle w:val="Hyperlink"/>
              </w:rPr>
              <w:t>Meaning of sexual harassment</w:t>
            </w:r>
            <w:r w:rsidR="00E1346F">
              <w:rPr>
                <w:webHidden/>
              </w:rPr>
              <w:tab/>
            </w:r>
            <w:r w:rsidR="00E1346F">
              <w:rPr>
                <w:webHidden/>
              </w:rPr>
              <w:fldChar w:fldCharType="begin"/>
            </w:r>
            <w:r w:rsidR="00E1346F">
              <w:rPr>
                <w:webHidden/>
              </w:rPr>
              <w:instrText xml:space="preserve"> PAGEREF _Toc159520326 \h </w:instrText>
            </w:r>
            <w:r w:rsidR="00E1346F">
              <w:rPr>
                <w:webHidden/>
              </w:rPr>
            </w:r>
            <w:r w:rsidR="00E1346F">
              <w:rPr>
                <w:webHidden/>
              </w:rPr>
              <w:fldChar w:fldCharType="separate"/>
            </w:r>
            <w:r w:rsidR="00E1346F">
              <w:rPr>
                <w:webHidden/>
              </w:rPr>
              <w:t>34</w:t>
            </w:r>
            <w:r w:rsidR="00E1346F">
              <w:rPr>
                <w:webHidden/>
              </w:rPr>
              <w:fldChar w:fldCharType="end"/>
            </w:r>
          </w:hyperlink>
        </w:p>
        <w:p w14:paraId="6651FAE3" w14:textId="3E45B0F3" w:rsidR="00E1346F" w:rsidRDefault="00D148F3">
          <w:pPr>
            <w:pStyle w:val="TOC4"/>
            <w:rPr>
              <w:rFonts w:asciiTheme="minorHAnsi" w:eastAsiaTheme="minorEastAsia" w:hAnsiTheme="minorHAnsi" w:cstheme="minorBidi"/>
              <w:noProof/>
              <w:szCs w:val="22"/>
              <w:lang w:eastAsia="en-AU"/>
            </w:rPr>
          </w:pPr>
          <w:hyperlink w:anchor="_Toc159520327" w:history="1">
            <w:r w:rsidR="00E1346F" w:rsidRPr="00901D5E">
              <w:rPr>
                <w:rStyle w:val="Hyperlink"/>
                <w:noProof/>
              </w:rPr>
              <w:t>Respect@Work Report</w:t>
            </w:r>
            <w:r w:rsidR="00E1346F">
              <w:rPr>
                <w:noProof/>
                <w:webHidden/>
              </w:rPr>
              <w:tab/>
            </w:r>
            <w:r w:rsidR="00E1346F">
              <w:rPr>
                <w:noProof/>
                <w:webHidden/>
              </w:rPr>
              <w:fldChar w:fldCharType="begin"/>
            </w:r>
            <w:r w:rsidR="00E1346F">
              <w:rPr>
                <w:noProof/>
                <w:webHidden/>
              </w:rPr>
              <w:instrText xml:space="preserve"> PAGEREF _Toc159520327 \h </w:instrText>
            </w:r>
            <w:r w:rsidR="00E1346F">
              <w:rPr>
                <w:noProof/>
                <w:webHidden/>
              </w:rPr>
            </w:r>
            <w:r w:rsidR="00E1346F">
              <w:rPr>
                <w:noProof/>
                <w:webHidden/>
              </w:rPr>
              <w:fldChar w:fldCharType="separate"/>
            </w:r>
            <w:r w:rsidR="00E1346F">
              <w:rPr>
                <w:noProof/>
                <w:webHidden/>
              </w:rPr>
              <w:t>35</w:t>
            </w:r>
            <w:r w:rsidR="00E1346F">
              <w:rPr>
                <w:noProof/>
                <w:webHidden/>
              </w:rPr>
              <w:fldChar w:fldCharType="end"/>
            </w:r>
          </w:hyperlink>
        </w:p>
        <w:p w14:paraId="7212CA27" w14:textId="29F99AEB" w:rsidR="00E1346F" w:rsidRDefault="00D148F3">
          <w:pPr>
            <w:pStyle w:val="TOC2"/>
            <w:rPr>
              <w:rFonts w:asciiTheme="minorHAnsi" w:eastAsiaTheme="minorEastAsia" w:hAnsiTheme="minorHAnsi" w:cstheme="minorBidi"/>
              <w:lang w:eastAsia="en-AU"/>
            </w:rPr>
          </w:pPr>
          <w:hyperlink w:anchor="_Toc159520328" w:history="1">
            <w:r w:rsidR="00E1346F" w:rsidRPr="00901D5E">
              <w:rPr>
                <w:rStyle w:val="Hyperlink"/>
              </w:rPr>
              <w:t>Part 7 – Vilification, victimisation and other unlawful conduct</w:t>
            </w:r>
            <w:r w:rsidR="00E1346F">
              <w:rPr>
                <w:webHidden/>
              </w:rPr>
              <w:tab/>
            </w:r>
            <w:r w:rsidR="00E1346F">
              <w:rPr>
                <w:webHidden/>
              </w:rPr>
              <w:fldChar w:fldCharType="begin"/>
            </w:r>
            <w:r w:rsidR="00E1346F">
              <w:rPr>
                <w:webHidden/>
              </w:rPr>
              <w:instrText xml:space="preserve"> PAGEREF _Toc159520328 \h </w:instrText>
            </w:r>
            <w:r w:rsidR="00E1346F">
              <w:rPr>
                <w:webHidden/>
              </w:rPr>
            </w:r>
            <w:r w:rsidR="00E1346F">
              <w:rPr>
                <w:webHidden/>
              </w:rPr>
              <w:fldChar w:fldCharType="separate"/>
            </w:r>
            <w:r w:rsidR="00E1346F">
              <w:rPr>
                <w:webHidden/>
              </w:rPr>
              <w:t>36</w:t>
            </w:r>
            <w:r w:rsidR="00E1346F">
              <w:rPr>
                <w:webHidden/>
              </w:rPr>
              <w:fldChar w:fldCharType="end"/>
            </w:r>
          </w:hyperlink>
        </w:p>
        <w:p w14:paraId="55E23C64" w14:textId="60F0F9A3" w:rsidR="00E1346F" w:rsidRDefault="00D148F3">
          <w:pPr>
            <w:pStyle w:val="TOC3"/>
            <w:rPr>
              <w:rFonts w:asciiTheme="minorHAnsi" w:eastAsiaTheme="minorEastAsia" w:hAnsiTheme="minorHAnsi" w:cstheme="minorBidi"/>
              <w:szCs w:val="22"/>
              <w:lang w:eastAsia="en-AU"/>
            </w:rPr>
          </w:pPr>
          <w:hyperlink w:anchor="_Toc159520329" w:history="1">
            <w:r w:rsidR="00E1346F" w:rsidRPr="00901D5E">
              <w:rPr>
                <w:rStyle w:val="Hyperlink"/>
              </w:rPr>
              <w:t>Background - the LASC inquiries</w:t>
            </w:r>
            <w:r w:rsidR="00E1346F">
              <w:rPr>
                <w:webHidden/>
              </w:rPr>
              <w:tab/>
            </w:r>
            <w:r w:rsidR="00E1346F">
              <w:rPr>
                <w:webHidden/>
              </w:rPr>
              <w:fldChar w:fldCharType="begin"/>
            </w:r>
            <w:r w:rsidR="00E1346F">
              <w:rPr>
                <w:webHidden/>
              </w:rPr>
              <w:instrText xml:space="preserve"> PAGEREF _Toc159520329 \h </w:instrText>
            </w:r>
            <w:r w:rsidR="00E1346F">
              <w:rPr>
                <w:webHidden/>
              </w:rPr>
            </w:r>
            <w:r w:rsidR="00E1346F">
              <w:rPr>
                <w:webHidden/>
              </w:rPr>
              <w:fldChar w:fldCharType="separate"/>
            </w:r>
            <w:r w:rsidR="00E1346F">
              <w:rPr>
                <w:webHidden/>
              </w:rPr>
              <w:t>36</w:t>
            </w:r>
            <w:r w:rsidR="00E1346F">
              <w:rPr>
                <w:webHidden/>
              </w:rPr>
              <w:fldChar w:fldCharType="end"/>
            </w:r>
          </w:hyperlink>
        </w:p>
        <w:p w14:paraId="6333BCD7" w14:textId="0A06F3B5" w:rsidR="00E1346F" w:rsidRDefault="00D148F3">
          <w:pPr>
            <w:pStyle w:val="TOC3"/>
            <w:rPr>
              <w:rFonts w:asciiTheme="minorHAnsi" w:eastAsiaTheme="minorEastAsia" w:hAnsiTheme="minorHAnsi" w:cstheme="minorBidi"/>
              <w:szCs w:val="22"/>
              <w:lang w:eastAsia="en-AU"/>
            </w:rPr>
          </w:pPr>
          <w:hyperlink w:anchor="_Toc159520330" w:history="1">
            <w:r w:rsidR="00E1346F" w:rsidRPr="00901D5E">
              <w:rPr>
                <w:rStyle w:val="Hyperlink"/>
              </w:rPr>
              <w:t>The purpose of Part 7</w:t>
            </w:r>
            <w:r w:rsidR="00E1346F">
              <w:rPr>
                <w:webHidden/>
              </w:rPr>
              <w:tab/>
            </w:r>
            <w:r w:rsidR="00E1346F">
              <w:rPr>
                <w:webHidden/>
              </w:rPr>
              <w:fldChar w:fldCharType="begin"/>
            </w:r>
            <w:r w:rsidR="00E1346F">
              <w:rPr>
                <w:webHidden/>
              </w:rPr>
              <w:instrText xml:space="preserve"> PAGEREF _Toc159520330 \h </w:instrText>
            </w:r>
            <w:r w:rsidR="00E1346F">
              <w:rPr>
                <w:webHidden/>
              </w:rPr>
            </w:r>
            <w:r w:rsidR="00E1346F">
              <w:rPr>
                <w:webHidden/>
              </w:rPr>
              <w:fldChar w:fldCharType="separate"/>
            </w:r>
            <w:r w:rsidR="00E1346F">
              <w:rPr>
                <w:webHidden/>
              </w:rPr>
              <w:t>36</w:t>
            </w:r>
            <w:r w:rsidR="00E1346F">
              <w:rPr>
                <w:webHidden/>
              </w:rPr>
              <w:fldChar w:fldCharType="end"/>
            </w:r>
          </w:hyperlink>
        </w:p>
        <w:p w14:paraId="52E06F41" w14:textId="57B1184A" w:rsidR="00E1346F" w:rsidRDefault="00D148F3">
          <w:pPr>
            <w:pStyle w:val="TOC3"/>
            <w:rPr>
              <w:rFonts w:asciiTheme="minorHAnsi" w:eastAsiaTheme="minorEastAsia" w:hAnsiTheme="minorHAnsi" w:cstheme="minorBidi"/>
              <w:szCs w:val="22"/>
              <w:lang w:eastAsia="en-AU"/>
            </w:rPr>
          </w:pPr>
          <w:hyperlink w:anchor="_Toc159520331" w:history="1">
            <w:r w:rsidR="00E1346F" w:rsidRPr="00901D5E">
              <w:rPr>
                <w:rStyle w:val="Hyperlink"/>
                <w:rFonts w:eastAsia="Times New Roman"/>
              </w:rPr>
              <w:t>Vilification</w:t>
            </w:r>
            <w:r w:rsidR="00E1346F">
              <w:rPr>
                <w:webHidden/>
              </w:rPr>
              <w:tab/>
            </w:r>
            <w:r w:rsidR="00E1346F">
              <w:rPr>
                <w:webHidden/>
              </w:rPr>
              <w:fldChar w:fldCharType="begin"/>
            </w:r>
            <w:r w:rsidR="00E1346F">
              <w:rPr>
                <w:webHidden/>
              </w:rPr>
              <w:instrText xml:space="preserve"> PAGEREF _Toc159520331 \h </w:instrText>
            </w:r>
            <w:r w:rsidR="00E1346F">
              <w:rPr>
                <w:webHidden/>
              </w:rPr>
            </w:r>
            <w:r w:rsidR="00E1346F">
              <w:rPr>
                <w:webHidden/>
              </w:rPr>
              <w:fldChar w:fldCharType="separate"/>
            </w:r>
            <w:r w:rsidR="00E1346F">
              <w:rPr>
                <w:webHidden/>
              </w:rPr>
              <w:t>37</w:t>
            </w:r>
            <w:r w:rsidR="00E1346F">
              <w:rPr>
                <w:webHidden/>
              </w:rPr>
              <w:fldChar w:fldCharType="end"/>
            </w:r>
          </w:hyperlink>
        </w:p>
        <w:p w14:paraId="0718E0B7" w14:textId="3F023A8D" w:rsidR="00E1346F" w:rsidRDefault="00D148F3">
          <w:pPr>
            <w:pStyle w:val="TOC4"/>
            <w:rPr>
              <w:rFonts w:asciiTheme="minorHAnsi" w:eastAsiaTheme="minorEastAsia" w:hAnsiTheme="minorHAnsi" w:cstheme="minorBidi"/>
              <w:noProof/>
              <w:szCs w:val="22"/>
              <w:lang w:eastAsia="en-AU"/>
            </w:rPr>
          </w:pPr>
          <w:hyperlink w:anchor="_Toc159520332" w:history="1">
            <w:r w:rsidR="00E1346F" w:rsidRPr="00901D5E">
              <w:rPr>
                <w:rStyle w:val="Hyperlink"/>
                <w:noProof/>
              </w:rPr>
              <w:t>The prohibitions</w:t>
            </w:r>
            <w:r w:rsidR="00E1346F">
              <w:rPr>
                <w:noProof/>
                <w:webHidden/>
              </w:rPr>
              <w:tab/>
            </w:r>
            <w:r w:rsidR="00E1346F">
              <w:rPr>
                <w:noProof/>
                <w:webHidden/>
              </w:rPr>
              <w:fldChar w:fldCharType="begin"/>
            </w:r>
            <w:r w:rsidR="00E1346F">
              <w:rPr>
                <w:noProof/>
                <w:webHidden/>
              </w:rPr>
              <w:instrText xml:space="preserve"> PAGEREF _Toc159520332 \h </w:instrText>
            </w:r>
            <w:r w:rsidR="00E1346F">
              <w:rPr>
                <w:noProof/>
                <w:webHidden/>
              </w:rPr>
            </w:r>
            <w:r w:rsidR="00E1346F">
              <w:rPr>
                <w:noProof/>
                <w:webHidden/>
              </w:rPr>
              <w:fldChar w:fldCharType="separate"/>
            </w:r>
            <w:r w:rsidR="00E1346F">
              <w:rPr>
                <w:noProof/>
                <w:webHidden/>
              </w:rPr>
              <w:t>37</w:t>
            </w:r>
            <w:r w:rsidR="00E1346F">
              <w:rPr>
                <w:noProof/>
                <w:webHidden/>
              </w:rPr>
              <w:fldChar w:fldCharType="end"/>
            </w:r>
          </w:hyperlink>
        </w:p>
        <w:p w14:paraId="607186A0" w14:textId="5E5D6AB4" w:rsidR="00E1346F" w:rsidRDefault="00D148F3">
          <w:pPr>
            <w:pStyle w:val="TOC4"/>
            <w:rPr>
              <w:rFonts w:asciiTheme="minorHAnsi" w:eastAsiaTheme="minorEastAsia" w:hAnsiTheme="minorHAnsi" w:cstheme="minorBidi"/>
              <w:noProof/>
              <w:szCs w:val="22"/>
              <w:lang w:eastAsia="en-AU"/>
            </w:rPr>
          </w:pPr>
          <w:hyperlink w:anchor="_Toc159520333" w:history="1">
            <w:r w:rsidR="00E1346F" w:rsidRPr="00901D5E">
              <w:rPr>
                <w:rStyle w:val="Hyperlink"/>
                <w:noProof/>
              </w:rPr>
              <w:t>Protected attributes</w:t>
            </w:r>
            <w:r w:rsidR="00E1346F">
              <w:rPr>
                <w:noProof/>
                <w:webHidden/>
              </w:rPr>
              <w:tab/>
            </w:r>
            <w:r w:rsidR="00E1346F">
              <w:rPr>
                <w:noProof/>
                <w:webHidden/>
              </w:rPr>
              <w:fldChar w:fldCharType="begin"/>
            </w:r>
            <w:r w:rsidR="00E1346F">
              <w:rPr>
                <w:noProof/>
                <w:webHidden/>
              </w:rPr>
              <w:instrText xml:space="preserve"> PAGEREF _Toc159520333 \h </w:instrText>
            </w:r>
            <w:r w:rsidR="00E1346F">
              <w:rPr>
                <w:noProof/>
                <w:webHidden/>
              </w:rPr>
            </w:r>
            <w:r w:rsidR="00E1346F">
              <w:rPr>
                <w:noProof/>
                <w:webHidden/>
              </w:rPr>
              <w:fldChar w:fldCharType="separate"/>
            </w:r>
            <w:r w:rsidR="00E1346F">
              <w:rPr>
                <w:noProof/>
                <w:webHidden/>
              </w:rPr>
              <w:t>37</w:t>
            </w:r>
            <w:r w:rsidR="00E1346F">
              <w:rPr>
                <w:noProof/>
                <w:webHidden/>
              </w:rPr>
              <w:fldChar w:fldCharType="end"/>
            </w:r>
          </w:hyperlink>
        </w:p>
        <w:p w14:paraId="7E46802A" w14:textId="7BA804DA" w:rsidR="00E1346F" w:rsidRDefault="00D148F3">
          <w:pPr>
            <w:pStyle w:val="TOC4"/>
            <w:rPr>
              <w:rFonts w:asciiTheme="minorHAnsi" w:eastAsiaTheme="minorEastAsia" w:hAnsiTheme="minorHAnsi" w:cstheme="minorBidi"/>
              <w:noProof/>
              <w:szCs w:val="22"/>
              <w:lang w:eastAsia="en-AU"/>
            </w:rPr>
          </w:pPr>
          <w:hyperlink w:anchor="_Toc159520334" w:history="1">
            <w:r w:rsidR="00E1346F" w:rsidRPr="00901D5E">
              <w:rPr>
                <w:rStyle w:val="Hyperlink"/>
                <w:noProof/>
              </w:rPr>
              <w:t>Public act</w:t>
            </w:r>
            <w:r w:rsidR="00E1346F">
              <w:rPr>
                <w:noProof/>
                <w:webHidden/>
              </w:rPr>
              <w:tab/>
            </w:r>
            <w:r w:rsidR="00E1346F">
              <w:rPr>
                <w:noProof/>
                <w:webHidden/>
              </w:rPr>
              <w:fldChar w:fldCharType="begin"/>
            </w:r>
            <w:r w:rsidR="00E1346F">
              <w:rPr>
                <w:noProof/>
                <w:webHidden/>
              </w:rPr>
              <w:instrText xml:space="preserve"> PAGEREF _Toc159520334 \h </w:instrText>
            </w:r>
            <w:r w:rsidR="00E1346F">
              <w:rPr>
                <w:noProof/>
                <w:webHidden/>
              </w:rPr>
            </w:r>
            <w:r w:rsidR="00E1346F">
              <w:rPr>
                <w:noProof/>
                <w:webHidden/>
              </w:rPr>
              <w:fldChar w:fldCharType="separate"/>
            </w:r>
            <w:r w:rsidR="00E1346F">
              <w:rPr>
                <w:noProof/>
                <w:webHidden/>
              </w:rPr>
              <w:t>38</w:t>
            </w:r>
            <w:r w:rsidR="00E1346F">
              <w:rPr>
                <w:noProof/>
                <w:webHidden/>
              </w:rPr>
              <w:fldChar w:fldCharType="end"/>
            </w:r>
          </w:hyperlink>
        </w:p>
        <w:p w14:paraId="71AFB581" w14:textId="63E41904" w:rsidR="00E1346F" w:rsidRDefault="00D148F3">
          <w:pPr>
            <w:pStyle w:val="TOC3"/>
            <w:rPr>
              <w:rFonts w:asciiTheme="minorHAnsi" w:eastAsiaTheme="minorEastAsia" w:hAnsiTheme="minorHAnsi" w:cstheme="minorBidi"/>
              <w:szCs w:val="22"/>
              <w:lang w:eastAsia="en-AU"/>
            </w:rPr>
          </w:pPr>
          <w:hyperlink w:anchor="_Toc159520335" w:history="1">
            <w:r w:rsidR="00E1346F" w:rsidRPr="00901D5E">
              <w:rPr>
                <w:rStyle w:val="Hyperlink"/>
              </w:rPr>
              <w:t>Victimisation</w:t>
            </w:r>
            <w:r w:rsidR="00E1346F">
              <w:rPr>
                <w:webHidden/>
              </w:rPr>
              <w:tab/>
            </w:r>
            <w:r w:rsidR="00E1346F">
              <w:rPr>
                <w:webHidden/>
              </w:rPr>
              <w:fldChar w:fldCharType="begin"/>
            </w:r>
            <w:r w:rsidR="00E1346F">
              <w:rPr>
                <w:webHidden/>
              </w:rPr>
              <w:instrText xml:space="preserve"> PAGEREF _Toc159520335 \h </w:instrText>
            </w:r>
            <w:r w:rsidR="00E1346F">
              <w:rPr>
                <w:webHidden/>
              </w:rPr>
            </w:r>
            <w:r w:rsidR="00E1346F">
              <w:rPr>
                <w:webHidden/>
              </w:rPr>
              <w:fldChar w:fldCharType="separate"/>
            </w:r>
            <w:r w:rsidR="00E1346F">
              <w:rPr>
                <w:webHidden/>
              </w:rPr>
              <w:t>38</w:t>
            </w:r>
            <w:r w:rsidR="00E1346F">
              <w:rPr>
                <w:webHidden/>
              </w:rPr>
              <w:fldChar w:fldCharType="end"/>
            </w:r>
          </w:hyperlink>
        </w:p>
        <w:p w14:paraId="7CD30594" w14:textId="5EFA35BE" w:rsidR="00E1346F" w:rsidRDefault="00D148F3">
          <w:pPr>
            <w:pStyle w:val="TOC3"/>
            <w:rPr>
              <w:rFonts w:asciiTheme="minorHAnsi" w:eastAsiaTheme="minorEastAsia" w:hAnsiTheme="minorHAnsi" w:cstheme="minorBidi"/>
              <w:szCs w:val="22"/>
              <w:lang w:eastAsia="en-AU"/>
            </w:rPr>
          </w:pPr>
          <w:hyperlink w:anchor="_Toc159520336" w:history="1">
            <w:r w:rsidR="00E1346F" w:rsidRPr="00901D5E">
              <w:rPr>
                <w:rStyle w:val="Hyperlink"/>
                <w:rFonts w:eastAsia="Times New Roman"/>
              </w:rPr>
              <w:t>Other conduct</w:t>
            </w:r>
            <w:r w:rsidR="00E1346F">
              <w:rPr>
                <w:webHidden/>
              </w:rPr>
              <w:tab/>
            </w:r>
            <w:r w:rsidR="00E1346F">
              <w:rPr>
                <w:webHidden/>
              </w:rPr>
              <w:fldChar w:fldCharType="begin"/>
            </w:r>
            <w:r w:rsidR="00E1346F">
              <w:rPr>
                <w:webHidden/>
              </w:rPr>
              <w:instrText xml:space="preserve"> PAGEREF _Toc159520336 \h </w:instrText>
            </w:r>
            <w:r w:rsidR="00E1346F">
              <w:rPr>
                <w:webHidden/>
              </w:rPr>
            </w:r>
            <w:r w:rsidR="00E1346F">
              <w:rPr>
                <w:webHidden/>
              </w:rPr>
              <w:fldChar w:fldCharType="separate"/>
            </w:r>
            <w:r w:rsidR="00E1346F">
              <w:rPr>
                <w:webHidden/>
              </w:rPr>
              <w:t>38</w:t>
            </w:r>
            <w:r w:rsidR="00E1346F">
              <w:rPr>
                <w:webHidden/>
              </w:rPr>
              <w:fldChar w:fldCharType="end"/>
            </w:r>
          </w:hyperlink>
        </w:p>
        <w:p w14:paraId="4689F860" w14:textId="3872DC48" w:rsidR="00E1346F" w:rsidRDefault="00D148F3">
          <w:pPr>
            <w:pStyle w:val="TOC2"/>
            <w:rPr>
              <w:rFonts w:asciiTheme="minorHAnsi" w:eastAsiaTheme="minorEastAsia" w:hAnsiTheme="minorHAnsi" w:cstheme="minorBidi"/>
              <w:lang w:eastAsia="en-AU"/>
            </w:rPr>
          </w:pPr>
          <w:hyperlink w:anchor="_Toc159520337" w:history="1">
            <w:r w:rsidR="00E1346F" w:rsidRPr="00901D5E">
              <w:rPr>
                <w:rStyle w:val="Hyperlink"/>
              </w:rPr>
              <w:t>Part 8 – Provisions about liability</w:t>
            </w:r>
            <w:r w:rsidR="00E1346F">
              <w:rPr>
                <w:webHidden/>
              </w:rPr>
              <w:tab/>
            </w:r>
            <w:r w:rsidR="00E1346F">
              <w:rPr>
                <w:webHidden/>
              </w:rPr>
              <w:fldChar w:fldCharType="begin"/>
            </w:r>
            <w:r w:rsidR="00E1346F">
              <w:rPr>
                <w:webHidden/>
              </w:rPr>
              <w:instrText xml:space="preserve"> PAGEREF _Toc159520337 \h </w:instrText>
            </w:r>
            <w:r w:rsidR="00E1346F">
              <w:rPr>
                <w:webHidden/>
              </w:rPr>
            </w:r>
            <w:r w:rsidR="00E1346F">
              <w:rPr>
                <w:webHidden/>
              </w:rPr>
              <w:fldChar w:fldCharType="separate"/>
            </w:r>
            <w:r w:rsidR="00E1346F">
              <w:rPr>
                <w:webHidden/>
              </w:rPr>
              <w:t>38</w:t>
            </w:r>
            <w:r w:rsidR="00E1346F">
              <w:rPr>
                <w:webHidden/>
              </w:rPr>
              <w:fldChar w:fldCharType="end"/>
            </w:r>
          </w:hyperlink>
        </w:p>
        <w:p w14:paraId="360A4D39" w14:textId="1015194E" w:rsidR="00E1346F" w:rsidRDefault="00D148F3">
          <w:pPr>
            <w:pStyle w:val="TOC2"/>
            <w:rPr>
              <w:rFonts w:asciiTheme="minorHAnsi" w:eastAsiaTheme="minorEastAsia" w:hAnsiTheme="minorHAnsi" w:cstheme="minorBidi"/>
              <w:lang w:eastAsia="en-AU"/>
            </w:rPr>
          </w:pPr>
          <w:hyperlink w:anchor="_Toc159520338" w:history="1">
            <w:r w:rsidR="00E1346F" w:rsidRPr="00901D5E">
              <w:rPr>
                <w:rStyle w:val="Hyperlink"/>
              </w:rPr>
              <w:t>Part 9 – Complaints about contraventions</w:t>
            </w:r>
            <w:r w:rsidR="00E1346F">
              <w:rPr>
                <w:webHidden/>
              </w:rPr>
              <w:tab/>
            </w:r>
            <w:r w:rsidR="00E1346F">
              <w:rPr>
                <w:webHidden/>
              </w:rPr>
              <w:fldChar w:fldCharType="begin"/>
            </w:r>
            <w:r w:rsidR="00E1346F">
              <w:rPr>
                <w:webHidden/>
              </w:rPr>
              <w:instrText xml:space="preserve"> PAGEREF _Toc159520338 \h </w:instrText>
            </w:r>
            <w:r w:rsidR="00E1346F">
              <w:rPr>
                <w:webHidden/>
              </w:rPr>
            </w:r>
            <w:r w:rsidR="00E1346F">
              <w:rPr>
                <w:webHidden/>
              </w:rPr>
              <w:fldChar w:fldCharType="separate"/>
            </w:r>
            <w:r w:rsidR="00E1346F">
              <w:rPr>
                <w:webHidden/>
              </w:rPr>
              <w:t>39</w:t>
            </w:r>
            <w:r w:rsidR="00E1346F">
              <w:rPr>
                <w:webHidden/>
              </w:rPr>
              <w:fldChar w:fldCharType="end"/>
            </w:r>
          </w:hyperlink>
        </w:p>
        <w:p w14:paraId="44414F16" w14:textId="63098E3D" w:rsidR="00E1346F" w:rsidRDefault="00D148F3">
          <w:pPr>
            <w:pStyle w:val="TOC3"/>
            <w:rPr>
              <w:rFonts w:asciiTheme="minorHAnsi" w:eastAsiaTheme="minorEastAsia" w:hAnsiTheme="minorHAnsi" w:cstheme="minorBidi"/>
              <w:szCs w:val="22"/>
              <w:lang w:eastAsia="en-AU"/>
            </w:rPr>
          </w:pPr>
          <w:hyperlink w:anchor="_Toc159520339" w:history="1">
            <w:r w:rsidR="00E1346F" w:rsidRPr="00901D5E">
              <w:rPr>
                <w:rStyle w:val="Hyperlink"/>
                <w:rFonts w:eastAsia="Times New Roman"/>
              </w:rPr>
              <w:t>Complaints and dispute resolution</w:t>
            </w:r>
            <w:r w:rsidR="00E1346F">
              <w:rPr>
                <w:webHidden/>
              </w:rPr>
              <w:tab/>
            </w:r>
            <w:r w:rsidR="00E1346F">
              <w:rPr>
                <w:webHidden/>
              </w:rPr>
              <w:fldChar w:fldCharType="begin"/>
            </w:r>
            <w:r w:rsidR="00E1346F">
              <w:rPr>
                <w:webHidden/>
              </w:rPr>
              <w:instrText xml:space="preserve"> PAGEREF _Toc159520339 \h </w:instrText>
            </w:r>
            <w:r w:rsidR="00E1346F">
              <w:rPr>
                <w:webHidden/>
              </w:rPr>
            </w:r>
            <w:r w:rsidR="00E1346F">
              <w:rPr>
                <w:webHidden/>
              </w:rPr>
              <w:fldChar w:fldCharType="separate"/>
            </w:r>
            <w:r w:rsidR="00E1346F">
              <w:rPr>
                <w:webHidden/>
              </w:rPr>
              <w:t>39</w:t>
            </w:r>
            <w:r w:rsidR="00E1346F">
              <w:rPr>
                <w:webHidden/>
              </w:rPr>
              <w:fldChar w:fldCharType="end"/>
            </w:r>
          </w:hyperlink>
        </w:p>
        <w:p w14:paraId="1883CE7E" w14:textId="2677CA15" w:rsidR="00E1346F" w:rsidRDefault="00D148F3">
          <w:pPr>
            <w:pStyle w:val="TOC4"/>
            <w:rPr>
              <w:rFonts w:asciiTheme="minorHAnsi" w:eastAsiaTheme="minorEastAsia" w:hAnsiTheme="minorHAnsi" w:cstheme="minorBidi"/>
              <w:noProof/>
              <w:szCs w:val="22"/>
              <w:lang w:eastAsia="en-AU"/>
            </w:rPr>
          </w:pPr>
          <w:hyperlink w:anchor="_Toc159520340" w:history="1">
            <w:r w:rsidR="00E1346F" w:rsidRPr="00901D5E">
              <w:rPr>
                <w:rStyle w:val="Hyperlink"/>
                <w:rFonts w:eastAsia="Times New Roman"/>
                <w:noProof/>
              </w:rPr>
              <w:t>Who may make a complaint</w:t>
            </w:r>
            <w:r w:rsidR="00E1346F">
              <w:rPr>
                <w:noProof/>
                <w:webHidden/>
              </w:rPr>
              <w:tab/>
            </w:r>
            <w:r w:rsidR="00E1346F">
              <w:rPr>
                <w:noProof/>
                <w:webHidden/>
              </w:rPr>
              <w:fldChar w:fldCharType="begin"/>
            </w:r>
            <w:r w:rsidR="00E1346F">
              <w:rPr>
                <w:noProof/>
                <w:webHidden/>
              </w:rPr>
              <w:instrText xml:space="preserve"> PAGEREF _Toc159520340 \h </w:instrText>
            </w:r>
            <w:r w:rsidR="00E1346F">
              <w:rPr>
                <w:noProof/>
                <w:webHidden/>
              </w:rPr>
            </w:r>
            <w:r w:rsidR="00E1346F">
              <w:rPr>
                <w:noProof/>
                <w:webHidden/>
              </w:rPr>
              <w:fldChar w:fldCharType="separate"/>
            </w:r>
            <w:r w:rsidR="00E1346F">
              <w:rPr>
                <w:noProof/>
                <w:webHidden/>
              </w:rPr>
              <w:t>40</w:t>
            </w:r>
            <w:r w:rsidR="00E1346F">
              <w:rPr>
                <w:noProof/>
                <w:webHidden/>
              </w:rPr>
              <w:fldChar w:fldCharType="end"/>
            </w:r>
          </w:hyperlink>
        </w:p>
        <w:p w14:paraId="139586E7" w14:textId="4028F204" w:rsidR="00E1346F" w:rsidRDefault="00D148F3">
          <w:pPr>
            <w:pStyle w:val="TOC2"/>
            <w:rPr>
              <w:rFonts w:asciiTheme="minorHAnsi" w:eastAsiaTheme="minorEastAsia" w:hAnsiTheme="minorHAnsi" w:cstheme="minorBidi"/>
              <w:lang w:eastAsia="en-AU"/>
            </w:rPr>
          </w:pPr>
          <w:hyperlink w:anchor="_Toc159520341" w:history="1">
            <w:r w:rsidR="00E1346F" w:rsidRPr="00901D5E">
              <w:rPr>
                <w:rStyle w:val="Hyperlink"/>
              </w:rPr>
              <w:t>Part 10 – Commission’s compliance functions</w:t>
            </w:r>
            <w:r w:rsidR="00E1346F">
              <w:rPr>
                <w:webHidden/>
              </w:rPr>
              <w:tab/>
            </w:r>
            <w:r w:rsidR="00E1346F">
              <w:rPr>
                <w:webHidden/>
              </w:rPr>
              <w:fldChar w:fldCharType="begin"/>
            </w:r>
            <w:r w:rsidR="00E1346F">
              <w:rPr>
                <w:webHidden/>
              </w:rPr>
              <w:instrText xml:space="preserve"> PAGEREF _Toc159520341 \h </w:instrText>
            </w:r>
            <w:r w:rsidR="00E1346F">
              <w:rPr>
                <w:webHidden/>
              </w:rPr>
            </w:r>
            <w:r w:rsidR="00E1346F">
              <w:rPr>
                <w:webHidden/>
              </w:rPr>
              <w:fldChar w:fldCharType="separate"/>
            </w:r>
            <w:r w:rsidR="00E1346F">
              <w:rPr>
                <w:webHidden/>
              </w:rPr>
              <w:t>41</w:t>
            </w:r>
            <w:r w:rsidR="00E1346F">
              <w:rPr>
                <w:webHidden/>
              </w:rPr>
              <w:fldChar w:fldCharType="end"/>
            </w:r>
          </w:hyperlink>
        </w:p>
        <w:p w14:paraId="6A64F833" w14:textId="06648C79" w:rsidR="00E1346F" w:rsidRDefault="00D148F3">
          <w:pPr>
            <w:pStyle w:val="TOC3"/>
            <w:rPr>
              <w:rFonts w:asciiTheme="minorHAnsi" w:eastAsiaTheme="minorEastAsia" w:hAnsiTheme="minorHAnsi" w:cstheme="minorBidi"/>
              <w:szCs w:val="22"/>
              <w:lang w:eastAsia="en-AU"/>
            </w:rPr>
          </w:pPr>
          <w:hyperlink w:anchor="_Toc159520342" w:history="1">
            <w:r w:rsidR="00E1346F" w:rsidRPr="00901D5E">
              <w:rPr>
                <w:rStyle w:val="Hyperlink"/>
                <w:rFonts w:eastAsia="Times New Roman"/>
              </w:rPr>
              <w:t>Education and research</w:t>
            </w:r>
            <w:r w:rsidR="00E1346F">
              <w:rPr>
                <w:webHidden/>
              </w:rPr>
              <w:tab/>
            </w:r>
            <w:r w:rsidR="00E1346F">
              <w:rPr>
                <w:webHidden/>
              </w:rPr>
              <w:fldChar w:fldCharType="begin"/>
            </w:r>
            <w:r w:rsidR="00E1346F">
              <w:rPr>
                <w:webHidden/>
              </w:rPr>
              <w:instrText xml:space="preserve"> PAGEREF _Toc159520342 \h </w:instrText>
            </w:r>
            <w:r w:rsidR="00E1346F">
              <w:rPr>
                <w:webHidden/>
              </w:rPr>
            </w:r>
            <w:r w:rsidR="00E1346F">
              <w:rPr>
                <w:webHidden/>
              </w:rPr>
              <w:fldChar w:fldCharType="separate"/>
            </w:r>
            <w:r w:rsidR="00E1346F">
              <w:rPr>
                <w:webHidden/>
              </w:rPr>
              <w:t>42</w:t>
            </w:r>
            <w:r w:rsidR="00E1346F">
              <w:rPr>
                <w:webHidden/>
              </w:rPr>
              <w:fldChar w:fldCharType="end"/>
            </w:r>
          </w:hyperlink>
        </w:p>
        <w:p w14:paraId="3E92A3C7" w14:textId="6CB09E01" w:rsidR="00E1346F" w:rsidRDefault="00D148F3">
          <w:pPr>
            <w:pStyle w:val="TOC3"/>
            <w:rPr>
              <w:rFonts w:asciiTheme="minorHAnsi" w:eastAsiaTheme="minorEastAsia" w:hAnsiTheme="minorHAnsi" w:cstheme="minorBidi"/>
              <w:szCs w:val="22"/>
              <w:lang w:eastAsia="en-AU"/>
            </w:rPr>
          </w:pPr>
          <w:hyperlink w:anchor="_Toc159520343" w:history="1">
            <w:r w:rsidR="00E1346F" w:rsidRPr="00901D5E">
              <w:rPr>
                <w:rStyle w:val="Hyperlink"/>
                <w:rFonts w:eastAsia="Times New Roman"/>
              </w:rPr>
              <w:t>Guidelines</w:t>
            </w:r>
            <w:r w:rsidR="00E1346F">
              <w:rPr>
                <w:webHidden/>
              </w:rPr>
              <w:tab/>
            </w:r>
            <w:r w:rsidR="00E1346F">
              <w:rPr>
                <w:webHidden/>
              </w:rPr>
              <w:fldChar w:fldCharType="begin"/>
            </w:r>
            <w:r w:rsidR="00E1346F">
              <w:rPr>
                <w:webHidden/>
              </w:rPr>
              <w:instrText xml:space="preserve"> PAGEREF _Toc159520343 \h </w:instrText>
            </w:r>
            <w:r w:rsidR="00E1346F">
              <w:rPr>
                <w:webHidden/>
              </w:rPr>
            </w:r>
            <w:r w:rsidR="00E1346F">
              <w:rPr>
                <w:webHidden/>
              </w:rPr>
              <w:fldChar w:fldCharType="separate"/>
            </w:r>
            <w:r w:rsidR="00E1346F">
              <w:rPr>
                <w:webHidden/>
              </w:rPr>
              <w:t>42</w:t>
            </w:r>
            <w:r w:rsidR="00E1346F">
              <w:rPr>
                <w:webHidden/>
              </w:rPr>
              <w:fldChar w:fldCharType="end"/>
            </w:r>
          </w:hyperlink>
        </w:p>
        <w:p w14:paraId="1AA1EEAC" w14:textId="46828877" w:rsidR="00E1346F" w:rsidRDefault="00D148F3">
          <w:pPr>
            <w:pStyle w:val="TOC3"/>
            <w:rPr>
              <w:rFonts w:asciiTheme="minorHAnsi" w:eastAsiaTheme="minorEastAsia" w:hAnsiTheme="minorHAnsi" w:cstheme="minorBidi"/>
              <w:szCs w:val="22"/>
              <w:lang w:eastAsia="en-AU"/>
            </w:rPr>
          </w:pPr>
          <w:hyperlink w:anchor="_Toc159520344" w:history="1">
            <w:r w:rsidR="00E1346F" w:rsidRPr="00901D5E">
              <w:rPr>
                <w:rStyle w:val="Hyperlink"/>
                <w:rFonts w:eastAsia="Times New Roman"/>
              </w:rPr>
              <w:t>Compliance reviews and action plans</w:t>
            </w:r>
            <w:r w:rsidR="00E1346F">
              <w:rPr>
                <w:webHidden/>
              </w:rPr>
              <w:tab/>
            </w:r>
            <w:r w:rsidR="00E1346F">
              <w:rPr>
                <w:webHidden/>
              </w:rPr>
              <w:fldChar w:fldCharType="begin"/>
            </w:r>
            <w:r w:rsidR="00E1346F">
              <w:rPr>
                <w:webHidden/>
              </w:rPr>
              <w:instrText xml:space="preserve"> PAGEREF _Toc159520344 \h </w:instrText>
            </w:r>
            <w:r w:rsidR="00E1346F">
              <w:rPr>
                <w:webHidden/>
              </w:rPr>
            </w:r>
            <w:r w:rsidR="00E1346F">
              <w:rPr>
                <w:webHidden/>
              </w:rPr>
              <w:fldChar w:fldCharType="separate"/>
            </w:r>
            <w:r w:rsidR="00E1346F">
              <w:rPr>
                <w:webHidden/>
              </w:rPr>
              <w:t>42</w:t>
            </w:r>
            <w:r w:rsidR="00E1346F">
              <w:rPr>
                <w:webHidden/>
              </w:rPr>
              <w:fldChar w:fldCharType="end"/>
            </w:r>
          </w:hyperlink>
        </w:p>
        <w:p w14:paraId="514E0D1B" w14:textId="6C042724" w:rsidR="00E1346F" w:rsidRDefault="00D148F3">
          <w:pPr>
            <w:pStyle w:val="TOC2"/>
            <w:rPr>
              <w:rFonts w:asciiTheme="minorHAnsi" w:eastAsiaTheme="minorEastAsia" w:hAnsiTheme="minorHAnsi" w:cstheme="minorBidi"/>
              <w:lang w:eastAsia="en-AU"/>
            </w:rPr>
          </w:pPr>
          <w:hyperlink w:anchor="_Toc159520345" w:history="1">
            <w:r w:rsidR="00E1346F" w:rsidRPr="00901D5E">
              <w:rPr>
                <w:rStyle w:val="Hyperlink"/>
              </w:rPr>
              <w:t>Part 11 – Opinions</w:t>
            </w:r>
            <w:r w:rsidR="00E1346F">
              <w:rPr>
                <w:webHidden/>
              </w:rPr>
              <w:tab/>
            </w:r>
            <w:r w:rsidR="00E1346F">
              <w:rPr>
                <w:webHidden/>
              </w:rPr>
              <w:fldChar w:fldCharType="begin"/>
            </w:r>
            <w:r w:rsidR="00E1346F">
              <w:rPr>
                <w:webHidden/>
              </w:rPr>
              <w:instrText xml:space="preserve"> PAGEREF _Toc159520345 \h </w:instrText>
            </w:r>
            <w:r w:rsidR="00E1346F">
              <w:rPr>
                <w:webHidden/>
              </w:rPr>
            </w:r>
            <w:r w:rsidR="00E1346F">
              <w:rPr>
                <w:webHidden/>
              </w:rPr>
              <w:fldChar w:fldCharType="separate"/>
            </w:r>
            <w:r w:rsidR="00E1346F">
              <w:rPr>
                <w:webHidden/>
              </w:rPr>
              <w:t>42</w:t>
            </w:r>
            <w:r w:rsidR="00E1346F">
              <w:rPr>
                <w:webHidden/>
              </w:rPr>
              <w:fldChar w:fldCharType="end"/>
            </w:r>
          </w:hyperlink>
        </w:p>
        <w:p w14:paraId="3A59AFBB" w14:textId="5445880B" w:rsidR="00E1346F" w:rsidRDefault="00D148F3">
          <w:pPr>
            <w:pStyle w:val="TOC2"/>
            <w:rPr>
              <w:rFonts w:asciiTheme="minorHAnsi" w:eastAsiaTheme="minorEastAsia" w:hAnsiTheme="minorHAnsi" w:cstheme="minorBidi"/>
              <w:lang w:eastAsia="en-AU"/>
            </w:rPr>
          </w:pPr>
          <w:hyperlink w:anchor="_Toc159520346" w:history="1">
            <w:r w:rsidR="00E1346F" w:rsidRPr="00901D5E">
              <w:rPr>
                <w:rStyle w:val="Hyperlink"/>
              </w:rPr>
              <w:t>Part 12 – Investigations</w:t>
            </w:r>
            <w:r w:rsidR="00E1346F">
              <w:rPr>
                <w:webHidden/>
              </w:rPr>
              <w:tab/>
            </w:r>
            <w:r w:rsidR="00E1346F">
              <w:rPr>
                <w:webHidden/>
              </w:rPr>
              <w:fldChar w:fldCharType="begin"/>
            </w:r>
            <w:r w:rsidR="00E1346F">
              <w:rPr>
                <w:webHidden/>
              </w:rPr>
              <w:instrText xml:space="preserve"> PAGEREF _Toc159520346 \h </w:instrText>
            </w:r>
            <w:r w:rsidR="00E1346F">
              <w:rPr>
                <w:webHidden/>
              </w:rPr>
            </w:r>
            <w:r w:rsidR="00E1346F">
              <w:rPr>
                <w:webHidden/>
              </w:rPr>
              <w:fldChar w:fldCharType="separate"/>
            </w:r>
            <w:r w:rsidR="00E1346F">
              <w:rPr>
                <w:webHidden/>
              </w:rPr>
              <w:t>43</w:t>
            </w:r>
            <w:r w:rsidR="00E1346F">
              <w:rPr>
                <w:webHidden/>
              </w:rPr>
              <w:fldChar w:fldCharType="end"/>
            </w:r>
          </w:hyperlink>
        </w:p>
        <w:p w14:paraId="1DB77A7E" w14:textId="54E5C193" w:rsidR="00E1346F" w:rsidRDefault="00D148F3">
          <w:pPr>
            <w:pStyle w:val="TOC2"/>
            <w:rPr>
              <w:rFonts w:asciiTheme="minorHAnsi" w:eastAsiaTheme="minorEastAsia" w:hAnsiTheme="minorHAnsi" w:cstheme="minorBidi"/>
              <w:lang w:eastAsia="en-AU"/>
            </w:rPr>
          </w:pPr>
          <w:hyperlink w:anchor="_Toc159520347" w:history="1">
            <w:r w:rsidR="00E1346F" w:rsidRPr="00901D5E">
              <w:rPr>
                <w:rStyle w:val="Hyperlink"/>
              </w:rPr>
              <w:t>Part 13 – Administration</w:t>
            </w:r>
            <w:r w:rsidR="00E1346F">
              <w:rPr>
                <w:webHidden/>
              </w:rPr>
              <w:tab/>
            </w:r>
            <w:r w:rsidR="00E1346F">
              <w:rPr>
                <w:webHidden/>
              </w:rPr>
              <w:fldChar w:fldCharType="begin"/>
            </w:r>
            <w:r w:rsidR="00E1346F">
              <w:rPr>
                <w:webHidden/>
              </w:rPr>
              <w:instrText xml:space="preserve"> PAGEREF _Toc159520347 \h </w:instrText>
            </w:r>
            <w:r w:rsidR="00E1346F">
              <w:rPr>
                <w:webHidden/>
              </w:rPr>
            </w:r>
            <w:r w:rsidR="00E1346F">
              <w:rPr>
                <w:webHidden/>
              </w:rPr>
              <w:fldChar w:fldCharType="separate"/>
            </w:r>
            <w:r w:rsidR="00E1346F">
              <w:rPr>
                <w:webHidden/>
              </w:rPr>
              <w:t>43</w:t>
            </w:r>
            <w:r w:rsidR="00E1346F">
              <w:rPr>
                <w:webHidden/>
              </w:rPr>
              <w:fldChar w:fldCharType="end"/>
            </w:r>
          </w:hyperlink>
        </w:p>
        <w:p w14:paraId="22E2FA48" w14:textId="36BBFADE" w:rsidR="00E1346F" w:rsidRDefault="00D148F3">
          <w:pPr>
            <w:pStyle w:val="TOC2"/>
            <w:rPr>
              <w:rFonts w:asciiTheme="minorHAnsi" w:eastAsiaTheme="minorEastAsia" w:hAnsiTheme="minorHAnsi" w:cstheme="minorBidi"/>
              <w:lang w:eastAsia="en-AU"/>
            </w:rPr>
          </w:pPr>
          <w:hyperlink w:anchor="_Toc159520348" w:history="1">
            <w:r w:rsidR="00E1346F" w:rsidRPr="00901D5E">
              <w:rPr>
                <w:rStyle w:val="Hyperlink"/>
              </w:rPr>
              <w:t>Part 14 – Functions and powers of the tribunal</w:t>
            </w:r>
            <w:r w:rsidR="00E1346F">
              <w:rPr>
                <w:webHidden/>
              </w:rPr>
              <w:tab/>
            </w:r>
            <w:r w:rsidR="00E1346F">
              <w:rPr>
                <w:webHidden/>
              </w:rPr>
              <w:fldChar w:fldCharType="begin"/>
            </w:r>
            <w:r w:rsidR="00E1346F">
              <w:rPr>
                <w:webHidden/>
              </w:rPr>
              <w:instrText xml:space="preserve"> PAGEREF _Toc159520348 \h </w:instrText>
            </w:r>
            <w:r w:rsidR="00E1346F">
              <w:rPr>
                <w:webHidden/>
              </w:rPr>
            </w:r>
            <w:r w:rsidR="00E1346F">
              <w:rPr>
                <w:webHidden/>
              </w:rPr>
              <w:fldChar w:fldCharType="separate"/>
            </w:r>
            <w:r w:rsidR="00E1346F">
              <w:rPr>
                <w:webHidden/>
              </w:rPr>
              <w:t>43</w:t>
            </w:r>
            <w:r w:rsidR="00E1346F">
              <w:rPr>
                <w:webHidden/>
              </w:rPr>
              <w:fldChar w:fldCharType="end"/>
            </w:r>
          </w:hyperlink>
        </w:p>
        <w:p w14:paraId="78A87312" w14:textId="35EF236B" w:rsidR="00E1346F" w:rsidRDefault="00D148F3">
          <w:pPr>
            <w:pStyle w:val="TOC4"/>
            <w:rPr>
              <w:rFonts w:asciiTheme="minorHAnsi" w:eastAsiaTheme="minorEastAsia" w:hAnsiTheme="minorHAnsi" w:cstheme="minorBidi"/>
              <w:noProof/>
              <w:szCs w:val="22"/>
              <w:lang w:eastAsia="en-AU"/>
            </w:rPr>
          </w:pPr>
          <w:hyperlink w:anchor="_Toc159520349" w:history="1">
            <w:r w:rsidR="00E1346F" w:rsidRPr="00901D5E">
              <w:rPr>
                <w:rStyle w:val="Hyperlink"/>
                <w:noProof/>
              </w:rPr>
              <w:t>The shared burden of proof</w:t>
            </w:r>
            <w:r w:rsidR="00E1346F">
              <w:rPr>
                <w:noProof/>
                <w:webHidden/>
              </w:rPr>
              <w:tab/>
            </w:r>
            <w:r w:rsidR="00E1346F">
              <w:rPr>
                <w:noProof/>
                <w:webHidden/>
              </w:rPr>
              <w:fldChar w:fldCharType="begin"/>
            </w:r>
            <w:r w:rsidR="00E1346F">
              <w:rPr>
                <w:noProof/>
                <w:webHidden/>
              </w:rPr>
              <w:instrText xml:space="preserve"> PAGEREF _Toc159520349 \h </w:instrText>
            </w:r>
            <w:r w:rsidR="00E1346F">
              <w:rPr>
                <w:noProof/>
                <w:webHidden/>
              </w:rPr>
            </w:r>
            <w:r w:rsidR="00E1346F">
              <w:rPr>
                <w:noProof/>
                <w:webHidden/>
              </w:rPr>
              <w:fldChar w:fldCharType="separate"/>
            </w:r>
            <w:r w:rsidR="00E1346F">
              <w:rPr>
                <w:noProof/>
                <w:webHidden/>
              </w:rPr>
              <w:t>44</w:t>
            </w:r>
            <w:r w:rsidR="00E1346F">
              <w:rPr>
                <w:noProof/>
                <w:webHidden/>
              </w:rPr>
              <w:fldChar w:fldCharType="end"/>
            </w:r>
          </w:hyperlink>
        </w:p>
        <w:p w14:paraId="71536E59" w14:textId="4B6776C0" w:rsidR="00E1346F" w:rsidRDefault="00D148F3">
          <w:pPr>
            <w:pStyle w:val="TOC2"/>
            <w:rPr>
              <w:rFonts w:asciiTheme="minorHAnsi" w:eastAsiaTheme="minorEastAsia" w:hAnsiTheme="minorHAnsi" w:cstheme="minorBidi"/>
              <w:lang w:eastAsia="en-AU"/>
            </w:rPr>
          </w:pPr>
          <w:hyperlink w:anchor="_Toc159520350" w:history="1">
            <w:r w:rsidR="00E1346F" w:rsidRPr="00901D5E">
              <w:rPr>
                <w:rStyle w:val="Hyperlink"/>
              </w:rPr>
              <w:t>Part 15 – Miscellaneous provisions</w:t>
            </w:r>
            <w:r w:rsidR="00E1346F">
              <w:rPr>
                <w:webHidden/>
              </w:rPr>
              <w:tab/>
            </w:r>
            <w:r w:rsidR="00E1346F">
              <w:rPr>
                <w:webHidden/>
              </w:rPr>
              <w:fldChar w:fldCharType="begin"/>
            </w:r>
            <w:r w:rsidR="00E1346F">
              <w:rPr>
                <w:webHidden/>
              </w:rPr>
              <w:instrText xml:space="preserve"> PAGEREF _Toc159520350 \h </w:instrText>
            </w:r>
            <w:r w:rsidR="00E1346F">
              <w:rPr>
                <w:webHidden/>
              </w:rPr>
            </w:r>
            <w:r w:rsidR="00E1346F">
              <w:rPr>
                <w:webHidden/>
              </w:rPr>
              <w:fldChar w:fldCharType="separate"/>
            </w:r>
            <w:r w:rsidR="00E1346F">
              <w:rPr>
                <w:webHidden/>
              </w:rPr>
              <w:t>44</w:t>
            </w:r>
            <w:r w:rsidR="00E1346F">
              <w:rPr>
                <w:webHidden/>
              </w:rPr>
              <w:fldChar w:fldCharType="end"/>
            </w:r>
          </w:hyperlink>
        </w:p>
        <w:p w14:paraId="28BD536E" w14:textId="62CB624D" w:rsidR="00E1346F" w:rsidRDefault="00D148F3">
          <w:pPr>
            <w:pStyle w:val="TOC2"/>
            <w:rPr>
              <w:rFonts w:asciiTheme="minorHAnsi" w:eastAsiaTheme="minorEastAsia" w:hAnsiTheme="minorHAnsi" w:cstheme="minorBidi"/>
              <w:lang w:eastAsia="en-AU"/>
            </w:rPr>
          </w:pPr>
          <w:hyperlink w:anchor="_Toc159520351" w:history="1">
            <w:r w:rsidR="00E1346F" w:rsidRPr="00901D5E">
              <w:rPr>
                <w:rStyle w:val="Hyperlink"/>
              </w:rPr>
              <w:t>Part 16 – Repeal provision</w:t>
            </w:r>
            <w:r w:rsidR="00E1346F">
              <w:rPr>
                <w:webHidden/>
              </w:rPr>
              <w:tab/>
            </w:r>
            <w:r w:rsidR="00E1346F">
              <w:rPr>
                <w:webHidden/>
              </w:rPr>
              <w:fldChar w:fldCharType="begin"/>
            </w:r>
            <w:r w:rsidR="00E1346F">
              <w:rPr>
                <w:webHidden/>
              </w:rPr>
              <w:instrText xml:space="preserve"> PAGEREF _Toc159520351 \h </w:instrText>
            </w:r>
            <w:r w:rsidR="00E1346F">
              <w:rPr>
                <w:webHidden/>
              </w:rPr>
            </w:r>
            <w:r w:rsidR="00E1346F">
              <w:rPr>
                <w:webHidden/>
              </w:rPr>
              <w:fldChar w:fldCharType="separate"/>
            </w:r>
            <w:r w:rsidR="00E1346F">
              <w:rPr>
                <w:webHidden/>
              </w:rPr>
              <w:t>44</w:t>
            </w:r>
            <w:r w:rsidR="00E1346F">
              <w:rPr>
                <w:webHidden/>
              </w:rPr>
              <w:fldChar w:fldCharType="end"/>
            </w:r>
          </w:hyperlink>
        </w:p>
        <w:p w14:paraId="0236699F" w14:textId="28609286" w:rsidR="00E1346F" w:rsidRDefault="00D148F3">
          <w:pPr>
            <w:pStyle w:val="TOC2"/>
            <w:rPr>
              <w:rFonts w:asciiTheme="minorHAnsi" w:eastAsiaTheme="minorEastAsia" w:hAnsiTheme="minorHAnsi" w:cstheme="minorBidi"/>
              <w:lang w:eastAsia="en-AU"/>
            </w:rPr>
          </w:pPr>
          <w:hyperlink w:anchor="_Toc159520352" w:history="1">
            <w:r w:rsidR="00E1346F" w:rsidRPr="00901D5E">
              <w:rPr>
                <w:rStyle w:val="Hyperlink"/>
              </w:rPr>
              <w:t>Part 17 –Transitional provisions</w:t>
            </w:r>
            <w:r w:rsidR="00E1346F">
              <w:rPr>
                <w:webHidden/>
              </w:rPr>
              <w:tab/>
            </w:r>
            <w:r w:rsidR="00E1346F">
              <w:rPr>
                <w:webHidden/>
              </w:rPr>
              <w:fldChar w:fldCharType="begin"/>
            </w:r>
            <w:r w:rsidR="00E1346F">
              <w:rPr>
                <w:webHidden/>
              </w:rPr>
              <w:instrText xml:space="preserve"> PAGEREF _Toc159520352 \h </w:instrText>
            </w:r>
            <w:r w:rsidR="00E1346F">
              <w:rPr>
                <w:webHidden/>
              </w:rPr>
            </w:r>
            <w:r w:rsidR="00E1346F">
              <w:rPr>
                <w:webHidden/>
              </w:rPr>
              <w:fldChar w:fldCharType="separate"/>
            </w:r>
            <w:r w:rsidR="00E1346F">
              <w:rPr>
                <w:webHidden/>
              </w:rPr>
              <w:t>45</w:t>
            </w:r>
            <w:r w:rsidR="00E1346F">
              <w:rPr>
                <w:webHidden/>
              </w:rPr>
              <w:fldChar w:fldCharType="end"/>
            </w:r>
          </w:hyperlink>
        </w:p>
        <w:p w14:paraId="7C7EB740" w14:textId="2325E7AB" w:rsidR="00E1346F" w:rsidRDefault="00D148F3">
          <w:pPr>
            <w:pStyle w:val="TOC2"/>
            <w:rPr>
              <w:rFonts w:asciiTheme="minorHAnsi" w:eastAsiaTheme="minorEastAsia" w:hAnsiTheme="minorHAnsi" w:cstheme="minorBidi"/>
              <w:lang w:eastAsia="en-AU"/>
            </w:rPr>
          </w:pPr>
          <w:hyperlink w:anchor="_Toc159520353" w:history="1">
            <w:r w:rsidR="00E1346F" w:rsidRPr="00901D5E">
              <w:rPr>
                <w:rStyle w:val="Hyperlink"/>
              </w:rPr>
              <w:t>Part 18 – Amendment of legislation</w:t>
            </w:r>
            <w:r w:rsidR="00E1346F">
              <w:rPr>
                <w:webHidden/>
              </w:rPr>
              <w:tab/>
            </w:r>
            <w:r w:rsidR="00E1346F">
              <w:rPr>
                <w:webHidden/>
              </w:rPr>
              <w:fldChar w:fldCharType="begin"/>
            </w:r>
            <w:r w:rsidR="00E1346F">
              <w:rPr>
                <w:webHidden/>
              </w:rPr>
              <w:instrText xml:space="preserve"> PAGEREF _Toc159520353 \h </w:instrText>
            </w:r>
            <w:r w:rsidR="00E1346F">
              <w:rPr>
                <w:webHidden/>
              </w:rPr>
            </w:r>
            <w:r w:rsidR="00E1346F">
              <w:rPr>
                <w:webHidden/>
              </w:rPr>
              <w:fldChar w:fldCharType="separate"/>
            </w:r>
            <w:r w:rsidR="00E1346F">
              <w:rPr>
                <w:webHidden/>
              </w:rPr>
              <w:t>45</w:t>
            </w:r>
            <w:r w:rsidR="00E1346F">
              <w:rPr>
                <w:webHidden/>
              </w:rPr>
              <w:fldChar w:fldCharType="end"/>
            </w:r>
          </w:hyperlink>
        </w:p>
        <w:p w14:paraId="28E7021A" w14:textId="2448FED3" w:rsidR="004B692B" w:rsidRPr="000F0E94" w:rsidRDefault="004B692B" w:rsidP="00793AEF">
          <w:pPr>
            <w:jc w:val="both"/>
          </w:pPr>
          <w:r w:rsidRPr="000F0E94">
            <w:fldChar w:fldCharType="end"/>
          </w:r>
        </w:p>
      </w:sdtContent>
    </w:sdt>
    <w:p w14:paraId="4876CCF7" w14:textId="77777777" w:rsidR="00D41FE3" w:rsidRDefault="00D41FE3">
      <w:pPr>
        <w:spacing w:after="0"/>
        <w:rPr>
          <w:rFonts w:ascii="Arial" w:eastAsia="Calibri" w:hAnsi="Arial" w:cs="Arial"/>
          <w:b/>
          <w:bCs/>
          <w:color w:val="FFFFFF" w:themeColor="background1"/>
          <w:kern w:val="0"/>
          <w:sz w:val="40"/>
          <w:szCs w:val="40"/>
          <w14:ligatures w14:val="none"/>
        </w:rPr>
      </w:pPr>
      <w:bookmarkStart w:id="14" w:name="_Toc158722876"/>
      <w:r>
        <w:br w:type="page"/>
      </w:r>
    </w:p>
    <w:p w14:paraId="0C361CC9" w14:textId="42B290D4" w:rsidR="004E49AC" w:rsidRDefault="004E49AC" w:rsidP="004E49AC">
      <w:pPr>
        <w:pStyle w:val="Heading2"/>
      </w:pPr>
      <w:bookmarkStart w:id="15" w:name="_Toc159520244"/>
      <w:bookmarkEnd w:id="14"/>
      <w:r>
        <w:lastRenderedPageBreak/>
        <w:t>Abbreviations</w:t>
      </w:r>
      <w:bookmarkEnd w:id="15"/>
    </w:p>
    <w:tbl>
      <w:tblPr>
        <w:tblStyle w:val="TableGrid"/>
        <w:tblW w:w="0" w:type="auto"/>
        <w:tblBorders>
          <w:left w:val="none" w:sz="0" w:space="0" w:color="auto"/>
          <w:right w:val="none" w:sz="0" w:space="0" w:color="auto"/>
        </w:tblBorders>
        <w:tblLook w:val="04A0" w:firstRow="1" w:lastRow="0" w:firstColumn="1" w:lastColumn="0" w:noHBand="0" w:noVBand="1"/>
      </w:tblPr>
      <w:tblGrid>
        <w:gridCol w:w="2268"/>
        <w:gridCol w:w="6748"/>
      </w:tblGrid>
      <w:tr w:rsidR="00F72D10" w:rsidRPr="00E1346F" w14:paraId="0192C395" w14:textId="77777777" w:rsidTr="00997AB7">
        <w:tc>
          <w:tcPr>
            <w:tcW w:w="2268" w:type="dxa"/>
          </w:tcPr>
          <w:p w14:paraId="63D66BB8" w14:textId="77777777" w:rsidR="00F72D10" w:rsidRPr="00E1346F" w:rsidRDefault="00F72D10" w:rsidP="00793AEF">
            <w:pPr>
              <w:spacing w:line="320" w:lineRule="exact"/>
              <w:jc w:val="both"/>
              <w:rPr>
                <w:rFonts w:ascii="Arial" w:hAnsi="Arial" w:cs="Arial"/>
                <w:b/>
                <w:bCs/>
                <w:color w:val="484948"/>
                <w:sz w:val="20"/>
                <w:szCs w:val="20"/>
              </w:rPr>
            </w:pPr>
            <w:bookmarkStart w:id="16" w:name="_Hlk158646101"/>
            <w:r w:rsidRPr="00E1346F">
              <w:rPr>
                <w:rFonts w:ascii="Arial" w:hAnsi="Arial" w:cs="Arial"/>
                <w:b/>
                <w:bCs/>
                <w:color w:val="484948"/>
                <w:sz w:val="20"/>
                <w:szCs w:val="20"/>
              </w:rPr>
              <w:t>Abbreviation</w:t>
            </w:r>
          </w:p>
        </w:tc>
        <w:tc>
          <w:tcPr>
            <w:tcW w:w="6748" w:type="dxa"/>
          </w:tcPr>
          <w:p w14:paraId="33EF6216" w14:textId="77777777" w:rsidR="00F72D10" w:rsidRPr="00E1346F" w:rsidRDefault="00F72D10" w:rsidP="00793AEF">
            <w:pPr>
              <w:spacing w:line="320" w:lineRule="exact"/>
              <w:jc w:val="both"/>
              <w:rPr>
                <w:rFonts w:ascii="Arial" w:hAnsi="Arial" w:cs="Arial"/>
                <w:b/>
                <w:bCs/>
                <w:color w:val="484948"/>
                <w:sz w:val="20"/>
                <w:szCs w:val="20"/>
              </w:rPr>
            </w:pPr>
            <w:r w:rsidRPr="00E1346F">
              <w:rPr>
                <w:rFonts w:ascii="Arial" w:hAnsi="Arial" w:cs="Arial"/>
                <w:b/>
                <w:bCs/>
                <w:color w:val="484948"/>
                <w:sz w:val="20"/>
                <w:szCs w:val="20"/>
              </w:rPr>
              <w:t>Definition</w:t>
            </w:r>
          </w:p>
        </w:tc>
      </w:tr>
      <w:tr w:rsidR="005457C6" w:rsidRPr="00E1346F" w14:paraId="0E79FB4F" w14:textId="77777777" w:rsidTr="004C1870">
        <w:tc>
          <w:tcPr>
            <w:tcW w:w="2268" w:type="dxa"/>
            <w:shd w:val="clear" w:color="auto" w:fill="auto"/>
          </w:tcPr>
          <w:p w14:paraId="1A632CF4" w14:textId="1908C15B" w:rsidR="005457C6" w:rsidRPr="00E1346F" w:rsidRDefault="005457C6" w:rsidP="00793AEF">
            <w:pPr>
              <w:spacing w:line="320" w:lineRule="exact"/>
              <w:jc w:val="both"/>
              <w:rPr>
                <w:rFonts w:ascii="Arial" w:hAnsi="Arial" w:cs="Arial"/>
                <w:color w:val="484948"/>
                <w:sz w:val="20"/>
                <w:szCs w:val="20"/>
              </w:rPr>
            </w:pPr>
            <w:r w:rsidRPr="00E1346F">
              <w:rPr>
                <w:rFonts w:ascii="Arial" w:hAnsi="Arial" w:cs="Arial"/>
                <w:color w:val="484948"/>
                <w:sz w:val="20"/>
                <w:szCs w:val="20"/>
              </w:rPr>
              <w:t>ACT</w:t>
            </w:r>
          </w:p>
        </w:tc>
        <w:tc>
          <w:tcPr>
            <w:tcW w:w="6748" w:type="dxa"/>
            <w:shd w:val="clear" w:color="auto" w:fill="auto"/>
          </w:tcPr>
          <w:p w14:paraId="69C039E5" w14:textId="6D29C8ED" w:rsidR="005457C6" w:rsidRPr="00E1346F" w:rsidRDefault="005457C6" w:rsidP="00793AEF">
            <w:pPr>
              <w:spacing w:line="320" w:lineRule="exact"/>
              <w:jc w:val="both"/>
              <w:rPr>
                <w:sz w:val="20"/>
                <w:szCs w:val="20"/>
              </w:rPr>
            </w:pPr>
            <w:r w:rsidRPr="00E1346F">
              <w:rPr>
                <w:sz w:val="20"/>
                <w:szCs w:val="20"/>
              </w:rPr>
              <w:t>Australian Capital Territory</w:t>
            </w:r>
          </w:p>
        </w:tc>
      </w:tr>
      <w:tr w:rsidR="00974880" w:rsidRPr="00E1346F" w14:paraId="1D92EB27" w14:textId="77777777" w:rsidTr="004C1870">
        <w:tc>
          <w:tcPr>
            <w:tcW w:w="2268" w:type="dxa"/>
            <w:shd w:val="clear" w:color="auto" w:fill="auto"/>
          </w:tcPr>
          <w:p w14:paraId="54A906B4" w14:textId="5394BB6F" w:rsidR="00974880" w:rsidRPr="00E1346F" w:rsidRDefault="00974880" w:rsidP="00793AEF">
            <w:pPr>
              <w:spacing w:line="320" w:lineRule="exact"/>
              <w:jc w:val="both"/>
              <w:rPr>
                <w:rFonts w:ascii="Arial" w:hAnsi="Arial" w:cs="Arial"/>
                <w:color w:val="484948"/>
                <w:sz w:val="20"/>
                <w:szCs w:val="20"/>
              </w:rPr>
            </w:pPr>
            <w:r w:rsidRPr="00E1346F">
              <w:rPr>
                <w:rFonts w:ascii="Arial" w:hAnsi="Arial" w:cs="Arial"/>
                <w:color w:val="484948"/>
                <w:sz w:val="20"/>
                <w:szCs w:val="20"/>
              </w:rPr>
              <w:t>AD Act</w:t>
            </w:r>
          </w:p>
        </w:tc>
        <w:tc>
          <w:tcPr>
            <w:tcW w:w="6748" w:type="dxa"/>
            <w:shd w:val="clear" w:color="auto" w:fill="auto"/>
          </w:tcPr>
          <w:p w14:paraId="7372FE4E" w14:textId="2B17AC93" w:rsidR="00974880" w:rsidRPr="00E1346F" w:rsidRDefault="00974880" w:rsidP="00793AEF">
            <w:pPr>
              <w:spacing w:line="320" w:lineRule="exact"/>
              <w:jc w:val="both"/>
              <w:rPr>
                <w:sz w:val="20"/>
                <w:szCs w:val="20"/>
              </w:rPr>
            </w:pPr>
            <w:r w:rsidRPr="00E1346F">
              <w:rPr>
                <w:i/>
                <w:iCs/>
                <w:sz w:val="20"/>
                <w:szCs w:val="20"/>
              </w:rPr>
              <w:t xml:space="preserve">Anti-Discrimination Act 1991 </w:t>
            </w:r>
            <w:r w:rsidRPr="00E1346F">
              <w:rPr>
                <w:sz w:val="20"/>
                <w:szCs w:val="20"/>
              </w:rPr>
              <w:t>(Qld)</w:t>
            </w:r>
          </w:p>
        </w:tc>
      </w:tr>
      <w:tr w:rsidR="00865487" w:rsidRPr="00E1346F" w14:paraId="44B2BB43" w14:textId="77777777" w:rsidTr="004C1870">
        <w:tc>
          <w:tcPr>
            <w:tcW w:w="2268" w:type="dxa"/>
            <w:shd w:val="clear" w:color="auto" w:fill="auto"/>
          </w:tcPr>
          <w:p w14:paraId="21E35FCC" w14:textId="77288D49" w:rsidR="00865487" w:rsidRPr="00E1346F" w:rsidRDefault="00865487" w:rsidP="00793AEF">
            <w:pPr>
              <w:spacing w:line="320" w:lineRule="exact"/>
              <w:jc w:val="both"/>
              <w:rPr>
                <w:rFonts w:ascii="Arial" w:hAnsi="Arial" w:cs="Arial"/>
                <w:color w:val="484948"/>
                <w:sz w:val="20"/>
                <w:szCs w:val="20"/>
              </w:rPr>
            </w:pPr>
            <w:r w:rsidRPr="00E1346F">
              <w:rPr>
                <w:rFonts w:ascii="Arial" w:hAnsi="Arial" w:cs="Arial"/>
                <w:color w:val="484948"/>
                <w:sz w:val="20"/>
                <w:szCs w:val="20"/>
              </w:rPr>
              <w:t>Age Discrimination Act</w:t>
            </w:r>
          </w:p>
        </w:tc>
        <w:tc>
          <w:tcPr>
            <w:tcW w:w="6748" w:type="dxa"/>
            <w:shd w:val="clear" w:color="auto" w:fill="auto"/>
          </w:tcPr>
          <w:p w14:paraId="2ADEE98E" w14:textId="22F877BB" w:rsidR="00865487" w:rsidRPr="00E1346F" w:rsidRDefault="00865487" w:rsidP="00793AEF">
            <w:pPr>
              <w:spacing w:line="320" w:lineRule="exact"/>
              <w:jc w:val="both"/>
              <w:rPr>
                <w:sz w:val="20"/>
                <w:szCs w:val="20"/>
              </w:rPr>
            </w:pPr>
            <w:r w:rsidRPr="00E1346F">
              <w:rPr>
                <w:i/>
                <w:iCs/>
                <w:sz w:val="20"/>
                <w:szCs w:val="20"/>
              </w:rPr>
              <w:t xml:space="preserve">Age Discrimination Act 2004 </w:t>
            </w:r>
            <w:r w:rsidRPr="00E1346F">
              <w:rPr>
                <w:sz w:val="20"/>
                <w:szCs w:val="20"/>
              </w:rPr>
              <w:t>(Cth)</w:t>
            </w:r>
          </w:p>
        </w:tc>
      </w:tr>
      <w:tr w:rsidR="000F179C" w:rsidRPr="00E1346F" w14:paraId="2E0B0D6D" w14:textId="77777777" w:rsidTr="004C1870">
        <w:tc>
          <w:tcPr>
            <w:tcW w:w="2268" w:type="dxa"/>
            <w:shd w:val="clear" w:color="auto" w:fill="auto"/>
          </w:tcPr>
          <w:p w14:paraId="51C0EBDA" w14:textId="7ADBC7AD" w:rsidR="000F179C" w:rsidRPr="00E1346F" w:rsidRDefault="000F179C" w:rsidP="00793AEF">
            <w:pPr>
              <w:spacing w:line="320" w:lineRule="exact"/>
              <w:jc w:val="both"/>
              <w:rPr>
                <w:rFonts w:ascii="Arial" w:hAnsi="Arial" w:cs="Arial"/>
                <w:color w:val="484948"/>
                <w:sz w:val="20"/>
                <w:szCs w:val="20"/>
              </w:rPr>
            </w:pPr>
            <w:r w:rsidRPr="00E1346F">
              <w:rPr>
                <w:rFonts w:ascii="Arial" w:hAnsi="Arial" w:cs="Arial"/>
                <w:color w:val="484948"/>
                <w:sz w:val="20"/>
                <w:szCs w:val="20"/>
              </w:rPr>
              <w:t>Building Belonging Report</w:t>
            </w:r>
          </w:p>
        </w:tc>
        <w:tc>
          <w:tcPr>
            <w:tcW w:w="6748" w:type="dxa"/>
            <w:shd w:val="clear" w:color="auto" w:fill="auto"/>
          </w:tcPr>
          <w:p w14:paraId="7124DBA4" w14:textId="63F89842" w:rsidR="000F179C" w:rsidRPr="00E1346F" w:rsidRDefault="000F179C" w:rsidP="00793AEF">
            <w:pPr>
              <w:spacing w:line="320" w:lineRule="exact"/>
              <w:jc w:val="both"/>
              <w:rPr>
                <w:i/>
                <w:iCs/>
                <w:sz w:val="20"/>
                <w:szCs w:val="20"/>
              </w:rPr>
            </w:pPr>
            <w:r w:rsidRPr="00E1346F">
              <w:rPr>
                <w:i/>
                <w:iCs/>
                <w:sz w:val="20"/>
                <w:szCs w:val="20"/>
              </w:rPr>
              <w:t>Building belonging: Review of Queensland’s Anti-Discrimination Act 1991</w:t>
            </w:r>
          </w:p>
        </w:tc>
      </w:tr>
      <w:tr w:rsidR="008F2571" w:rsidRPr="00E1346F" w14:paraId="35343E6E" w14:textId="77777777" w:rsidTr="004C1870">
        <w:tc>
          <w:tcPr>
            <w:tcW w:w="2268" w:type="dxa"/>
            <w:shd w:val="clear" w:color="auto" w:fill="auto"/>
          </w:tcPr>
          <w:p w14:paraId="49AAC515" w14:textId="08A6F0B0" w:rsidR="008F2571" w:rsidRPr="00E1346F" w:rsidRDefault="008F2571" w:rsidP="00793AEF">
            <w:pPr>
              <w:spacing w:line="320" w:lineRule="exact"/>
              <w:jc w:val="both"/>
              <w:rPr>
                <w:rFonts w:ascii="Arial" w:hAnsi="Arial" w:cs="Arial"/>
                <w:sz w:val="20"/>
                <w:szCs w:val="20"/>
              </w:rPr>
            </w:pPr>
            <w:r w:rsidRPr="00E1346F">
              <w:rPr>
                <w:rFonts w:ascii="Arial" w:hAnsi="Arial" w:cs="Arial"/>
                <w:sz w:val="20"/>
                <w:szCs w:val="20"/>
              </w:rPr>
              <w:t>Commissioner</w:t>
            </w:r>
          </w:p>
        </w:tc>
        <w:tc>
          <w:tcPr>
            <w:tcW w:w="6748" w:type="dxa"/>
            <w:shd w:val="clear" w:color="auto" w:fill="auto"/>
          </w:tcPr>
          <w:p w14:paraId="37578FCB" w14:textId="6C0D6E37" w:rsidR="008F2571" w:rsidRPr="00E1346F" w:rsidRDefault="008F2571" w:rsidP="00793AEF">
            <w:pPr>
              <w:spacing w:line="320" w:lineRule="exact"/>
              <w:jc w:val="both"/>
              <w:rPr>
                <w:sz w:val="20"/>
                <w:szCs w:val="20"/>
              </w:rPr>
            </w:pPr>
            <w:r w:rsidRPr="00E1346F">
              <w:rPr>
                <w:sz w:val="20"/>
                <w:szCs w:val="20"/>
              </w:rPr>
              <w:t>Queensland Human Rights Commissioner</w:t>
            </w:r>
          </w:p>
        </w:tc>
      </w:tr>
      <w:tr w:rsidR="00BB72F4" w:rsidRPr="00E1346F" w14:paraId="747E228B" w14:textId="77777777" w:rsidTr="004C1870">
        <w:tc>
          <w:tcPr>
            <w:tcW w:w="2268" w:type="dxa"/>
            <w:shd w:val="clear" w:color="auto" w:fill="auto"/>
          </w:tcPr>
          <w:p w14:paraId="7B5368CD" w14:textId="4E095B10" w:rsidR="00BB72F4" w:rsidRPr="00E1346F" w:rsidRDefault="00BB72F4" w:rsidP="00BB72F4">
            <w:pPr>
              <w:spacing w:line="320" w:lineRule="exact"/>
              <w:jc w:val="both"/>
              <w:rPr>
                <w:rFonts w:ascii="Arial" w:hAnsi="Arial" w:cs="Arial"/>
                <w:sz w:val="20"/>
                <w:szCs w:val="20"/>
              </w:rPr>
            </w:pPr>
            <w:r w:rsidRPr="00E1346F">
              <w:rPr>
                <w:sz w:val="20"/>
                <w:szCs w:val="20"/>
              </w:rPr>
              <w:t>CRPD Committee</w:t>
            </w:r>
          </w:p>
        </w:tc>
        <w:tc>
          <w:tcPr>
            <w:tcW w:w="6748" w:type="dxa"/>
            <w:shd w:val="clear" w:color="auto" w:fill="auto"/>
          </w:tcPr>
          <w:p w14:paraId="49E86BD8" w14:textId="57F75B17" w:rsidR="00BB72F4" w:rsidRPr="00E1346F" w:rsidRDefault="00BB72F4" w:rsidP="00BB72F4">
            <w:pPr>
              <w:spacing w:line="320" w:lineRule="exact"/>
              <w:jc w:val="both"/>
              <w:rPr>
                <w:i/>
                <w:iCs/>
                <w:sz w:val="20"/>
                <w:szCs w:val="20"/>
              </w:rPr>
            </w:pPr>
            <w:r w:rsidRPr="00E1346F">
              <w:rPr>
                <w:sz w:val="20"/>
                <w:szCs w:val="20"/>
              </w:rPr>
              <w:t>United Nations Committee on the Rights of Persons with Disabilities</w:t>
            </w:r>
          </w:p>
        </w:tc>
      </w:tr>
      <w:tr w:rsidR="00BB72F4" w:rsidRPr="00E1346F" w14:paraId="3A253156" w14:textId="77777777" w:rsidTr="004C1870">
        <w:tc>
          <w:tcPr>
            <w:tcW w:w="2268" w:type="dxa"/>
            <w:shd w:val="clear" w:color="auto" w:fill="auto"/>
          </w:tcPr>
          <w:p w14:paraId="5EFE2E67" w14:textId="07A5EF6B" w:rsidR="00BB72F4" w:rsidRPr="00E1346F" w:rsidRDefault="00BB72F4" w:rsidP="00BB72F4">
            <w:pPr>
              <w:spacing w:line="320" w:lineRule="exact"/>
              <w:jc w:val="both"/>
              <w:rPr>
                <w:rFonts w:ascii="Arial" w:hAnsi="Arial" w:cs="Arial"/>
                <w:sz w:val="20"/>
                <w:szCs w:val="20"/>
              </w:rPr>
            </w:pPr>
            <w:r w:rsidRPr="00E1346F">
              <w:rPr>
                <w:rFonts w:ascii="Arial" w:hAnsi="Arial" w:cs="Arial"/>
                <w:sz w:val="20"/>
                <w:szCs w:val="20"/>
              </w:rPr>
              <w:t>CSA</w:t>
            </w:r>
          </w:p>
        </w:tc>
        <w:tc>
          <w:tcPr>
            <w:tcW w:w="6748" w:type="dxa"/>
            <w:shd w:val="clear" w:color="auto" w:fill="auto"/>
          </w:tcPr>
          <w:p w14:paraId="58471609" w14:textId="57125ED5" w:rsidR="00BB72F4" w:rsidRPr="00E1346F" w:rsidRDefault="00BB72F4" w:rsidP="00BB72F4">
            <w:pPr>
              <w:spacing w:line="320" w:lineRule="exact"/>
              <w:jc w:val="both"/>
              <w:rPr>
                <w:i/>
                <w:iCs/>
                <w:sz w:val="20"/>
                <w:szCs w:val="20"/>
              </w:rPr>
            </w:pPr>
            <w:r w:rsidRPr="00E1346F">
              <w:rPr>
                <w:i/>
                <w:iCs/>
                <w:sz w:val="20"/>
                <w:szCs w:val="20"/>
              </w:rPr>
              <w:t>Corrective Services Act 2006</w:t>
            </w:r>
          </w:p>
        </w:tc>
      </w:tr>
      <w:tr w:rsidR="00BB72F4" w:rsidRPr="00E1346F" w14:paraId="1B462DCE" w14:textId="77777777" w:rsidTr="004C1870">
        <w:tc>
          <w:tcPr>
            <w:tcW w:w="2268" w:type="dxa"/>
            <w:shd w:val="clear" w:color="auto" w:fill="auto"/>
          </w:tcPr>
          <w:p w14:paraId="614A99CF" w14:textId="77777777" w:rsidR="00BB72F4" w:rsidRPr="00E1346F" w:rsidRDefault="00BB72F4" w:rsidP="00BB72F4">
            <w:pPr>
              <w:spacing w:line="320" w:lineRule="exact"/>
              <w:jc w:val="both"/>
              <w:rPr>
                <w:rFonts w:ascii="Arial" w:hAnsi="Arial" w:cs="Arial"/>
                <w:color w:val="484948"/>
                <w:sz w:val="20"/>
                <w:szCs w:val="20"/>
              </w:rPr>
            </w:pPr>
            <w:r w:rsidRPr="00E1346F">
              <w:rPr>
                <w:rFonts w:ascii="Arial" w:hAnsi="Arial" w:cs="Arial"/>
                <w:color w:val="484948"/>
                <w:sz w:val="20"/>
                <w:szCs w:val="20"/>
              </w:rPr>
              <w:t>current AD Act</w:t>
            </w:r>
          </w:p>
        </w:tc>
        <w:tc>
          <w:tcPr>
            <w:tcW w:w="6748" w:type="dxa"/>
            <w:shd w:val="clear" w:color="auto" w:fill="auto"/>
          </w:tcPr>
          <w:p w14:paraId="05FB7863" w14:textId="77777777" w:rsidR="00BB72F4" w:rsidRPr="00E1346F" w:rsidRDefault="00BB72F4" w:rsidP="00BB72F4">
            <w:pPr>
              <w:spacing w:line="320" w:lineRule="exact"/>
              <w:jc w:val="both"/>
              <w:rPr>
                <w:rFonts w:ascii="Arial" w:hAnsi="Arial" w:cs="Arial"/>
                <w:color w:val="484948"/>
                <w:sz w:val="20"/>
                <w:szCs w:val="20"/>
              </w:rPr>
            </w:pPr>
            <w:r w:rsidRPr="00E1346F">
              <w:rPr>
                <w:i/>
                <w:iCs/>
                <w:sz w:val="20"/>
                <w:szCs w:val="20"/>
              </w:rPr>
              <w:t>Anti-Discrimination Act 1991</w:t>
            </w:r>
          </w:p>
        </w:tc>
      </w:tr>
      <w:tr w:rsidR="00CA4FC7" w:rsidRPr="00E1346F" w14:paraId="57C256FB" w14:textId="77777777" w:rsidTr="00997AB7">
        <w:tc>
          <w:tcPr>
            <w:tcW w:w="2268" w:type="dxa"/>
            <w:shd w:val="clear" w:color="auto" w:fill="auto"/>
          </w:tcPr>
          <w:p w14:paraId="798F9205" w14:textId="2BA922CB" w:rsidR="00CA4FC7" w:rsidRPr="00E1346F" w:rsidRDefault="00CA4FC7" w:rsidP="00CA4FC7">
            <w:pPr>
              <w:spacing w:line="320" w:lineRule="exact"/>
              <w:jc w:val="both"/>
              <w:rPr>
                <w:rFonts w:ascii="Arial" w:hAnsi="Arial" w:cs="Arial"/>
                <w:color w:val="484948"/>
                <w:sz w:val="20"/>
                <w:szCs w:val="20"/>
              </w:rPr>
            </w:pPr>
            <w:r w:rsidRPr="00E1346F">
              <w:rPr>
                <w:rFonts w:ascii="Arial" w:hAnsi="Arial" w:cs="Arial"/>
                <w:sz w:val="20"/>
                <w:szCs w:val="20"/>
              </w:rPr>
              <w:t>Disability Discrimination Act</w:t>
            </w:r>
          </w:p>
        </w:tc>
        <w:tc>
          <w:tcPr>
            <w:tcW w:w="6748" w:type="dxa"/>
            <w:shd w:val="clear" w:color="auto" w:fill="auto"/>
          </w:tcPr>
          <w:p w14:paraId="13E1C800" w14:textId="2AFCDF56" w:rsidR="00CA4FC7" w:rsidRPr="00E1346F" w:rsidRDefault="00CA4FC7" w:rsidP="00CA4FC7">
            <w:pPr>
              <w:spacing w:line="320" w:lineRule="exact"/>
              <w:jc w:val="both"/>
              <w:rPr>
                <w:rFonts w:ascii="Arial" w:hAnsi="Arial" w:cs="Arial"/>
                <w:color w:val="484948"/>
                <w:sz w:val="20"/>
                <w:szCs w:val="20"/>
              </w:rPr>
            </w:pPr>
            <w:r w:rsidRPr="00E1346F">
              <w:rPr>
                <w:i/>
                <w:iCs/>
                <w:sz w:val="20"/>
                <w:szCs w:val="20"/>
              </w:rPr>
              <w:t>Disability Discrimination Act 1992</w:t>
            </w:r>
            <w:r w:rsidRPr="00E1346F">
              <w:rPr>
                <w:sz w:val="20"/>
                <w:szCs w:val="20"/>
              </w:rPr>
              <w:t xml:space="preserve"> (Cth)</w:t>
            </w:r>
          </w:p>
        </w:tc>
      </w:tr>
      <w:tr w:rsidR="00CA4FC7" w:rsidRPr="00E1346F" w14:paraId="41601883" w14:textId="77777777" w:rsidTr="00997AB7">
        <w:tc>
          <w:tcPr>
            <w:tcW w:w="2268" w:type="dxa"/>
            <w:shd w:val="clear" w:color="auto" w:fill="auto"/>
          </w:tcPr>
          <w:p w14:paraId="7665D995" w14:textId="020D37A6" w:rsidR="00CA4FC7" w:rsidRPr="00E1346F" w:rsidRDefault="00CA4FC7" w:rsidP="00CA4FC7">
            <w:pPr>
              <w:spacing w:line="320" w:lineRule="exact"/>
              <w:jc w:val="both"/>
              <w:rPr>
                <w:rFonts w:ascii="Arial" w:hAnsi="Arial" w:cs="Arial"/>
                <w:color w:val="484948"/>
                <w:sz w:val="20"/>
                <w:szCs w:val="20"/>
              </w:rPr>
            </w:pPr>
            <w:r w:rsidRPr="00E1346F">
              <w:rPr>
                <w:rFonts w:ascii="Arial" w:hAnsi="Arial" w:cs="Arial"/>
                <w:color w:val="484948"/>
                <w:sz w:val="20"/>
                <w:szCs w:val="20"/>
              </w:rPr>
              <w:t>DJAG</w:t>
            </w:r>
          </w:p>
        </w:tc>
        <w:tc>
          <w:tcPr>
            <w:tcW w:w="6748" w:type="dxa"/>
            <w:shd w:val="clear" w:color="auto" w:fill="auto"/>
          </w:tcPr>
          <w:p w14:paraId="3C591AA6" w14:textId="36347237" w:rsidR="00CA4FC7" w:rsidRPr="00E1346F" w:rsidRDefault="00CA4FC7" w:rsidP="00CA4FC7">
            <w:pPr>
              <w:spacing w:line="320" w:lineRule="exact"/>
              <w:jc w:val="both"/>
              <w:rPr>
                <w:rFonts w:ascii="Arial" w:hAnsi="Arial" w:cs="Arial"/>
                <w:color w:val="484948"/>
                <w:sz w:val="20"/>
                <w:szCs w:val="20"/>
              </w:rPr>
            </w:pPr>
            <w:r w:rsidRPr="00E1346F">
              <w:rPr>
                <w:rFonts w:ascii="Arial" w:hAnsi="Arial" w:cs="Arial"/>
                <w:color w:val="484948"/>
                <w:sz w:val="20"/>
                <w:szCs w:val="20"/>
              </w:rPr>
              <w:t>Department of Justice and Attorney-General</w:t>
            </w:r>
          </w:p>
        </w:tc>
      </w:tr>
      <w:tr w:rsidR="00CA4FC7" w:rsidRPr="00E1346F" w14:paraId="7DEFEB32" w14:textId="77777777" w:rsidTr="00997AB7">
        <w:tc>
          <w:tcPr>
            <w:tcW w:w="2268" w:type="dxa"/>
            <w:shd w:val="clear" w:color="auto" w:fill="auto"/>
          </w:tcPr>
          <w:p w14:paraId="1E993B00" w14:textId="7C99E3D6" w:rsidR="00CA4FC7" w:rsidRPr="00E1346F" w:rsidRDefault="00CA4FC7" w:rsidP="00CA4FC7">
            <w:pPr>
              <w:spacing w:line="320" w:lineRule="exact"/>
              <w:jc w:val="both"/>
              <w:rPr>
                <w:rFonts w:ascii="Arial" w:hAnsi="Arial" w:cs="Arial"/>
                <w:color w:val="484948"/>
                <w:sz w:val="20"/>
                <w:szCs w:val="20"/>
              </w:rPr>
            </w:pPr>
            <w:r w:rsidRPr="00E1346F">
              <w:rPr>
                <w:rFonts w:ascii="Arial" w:hAnsi="Arial" w:cs="Arial"/>
                <w:color w:val="484948"/>
                <w:sz w:val="20"/>
                <w:szCs w:val="20"/>
              </w:rPr>
              <w:t>draft Bill</w:t>
            </w:r>
          </w:p>
        </w:tc>
        <w:tc>
          <w:tcPr>
            <w:tcW w:w="6748" w:type="dxa"/>
            <w:shd w:val="clear" w:color="auto" w:fill="auto"/>
          </w:tcPr>
          <w:p w14:paraId="77792791" w14:textId="29DC5FE8" w:rsidR="00CA4FC7" w:rsidRPr="00E1346F" w:rsidRDefault="00CA4FC7" w:rsidP="00CA4FC7">
            <w:pPr>
              <w:spacing w:line="320" w:lineRule="exact"/>
              <w:jc w:val="both"/>
              <w:rPr>
                <w:rFonts w:ascii="Arial" w:hAnsi="Arial" w:cs="Arial"/>
                <w:color w:val="484948"/>
                <w:sz w:val="20"/>
                <w:szCs w:val="20"/>
              </w:rPr>
            </w:pPr>
            <w:r w:rsidRPr="00E1346F">
              <w:rPr>
                <w:sz w:val="20"/>
                <w:szCs w:val="20"/>
              </w:rPr>
              <w:t xml:space="preserve">draft </w:t>
            </w:r>
            <w:r w:rsidRPr="00E1346F">
              <w:rPr>
                <w:i/>
                <w:iCs/>
                <w:sz w:val="20"/>
                <w:szCs w:val="20"/>
              </w:rPr>
              <w:t>Anti-Discrimination Bill 2024</w:t>
            </w:r>
          </w:p>
        </w:tc>
      </w:tr>
      <w:tr w:rsidR="00CA4FC7" w:rsidRPr="00E1346F" w14:paraId="54AEE37C" w14:textId="77777777" w:rsidTr="00680ABE">
        <w:tc>
          <w:tcPr>
            <w:tcW w:w="2268" w:type="dxa"/>
            <w:shd w:val="clear" w:color="auto" w:fill="auto"/>
          </w:tcPr>
          <w:p w14:paraId="7AF0F443" w14:textId="7E024A78" w:rsidR="00CA4FC7" w:rsidRPr="00E1346F" w:rsidRDefault="00CA4FC7" w:rsidP="00CA4FC7">
            <w:pPr>
              <w:spacing w:line="320" w:lineRule="exact"/>
              <w:jc w:val="both"/>
              <w:rPr>
                <w:sz w:val="20"/>
                <w:szCs w:val="20"/>
              </w:rPr>
            </w:pPr>
            <w:r w:rsidRPr="00E1346F">
              <w:rPr>
                <w:sz w:val="20"/>
                <w:szCs w:val="20"/>
              </w:rPr>
              <w:t>Human Rights Act</w:t>
            </w:r>
          </w:p>
        </w:tc>
        <w:tc>
          <w:tcPr>
            <w:tcW w:w="6748" w:type="dxa"/>
            <w:shd w:val="clear" w:color="auto" w:fill="auto"/>
          </w:tcPr>
          <w:p w14:paraId="08D7AA5A" w14:textId="1D32EB0D" w:rsidR="00CA4FC7" w:rsidRPr="00E1346F" w:rsidRDefault="00CA4FC7" w:rsidP="00CA4FC7">
            <w:pPr>
              <w:spacing w:line="320" w:lineRule="exact"/>
              <w:jc w:val="both"/>
              <w:rPr>
                <w:i/>
                <w:iCs/>
                <w:sz w:val="20"/>
                <w:szCs w:val="20"/>
              </w:rPr>
            </w:pPr>
            <w:r w:rsidRPr="00E1346F">
              <w:rPr>
                <w:i/>
                <w:iCs/>
                <w:sz w:val="20"/>
                <w:szCs w:val="20"/>
              </w:rPr>
              <w:t>Human Rights Act 2019</w:t>
            </w:r>
          </w:p>
        </w:tc>
      </w:tr>
      <w:tr w:rsidR="00CA4FC7" w:rsidRPr="00E1346F" w14:paraId="4E88A9C6" w14:textId="77777777" w:rsidTr="00680ABE">
        <w:tc>
          <w:tcPr>
            <w:tcW w:w="2268" w:type="dxa"/>
            <w:shd w:val="clear" w:color="auto" w:fill="auto"/>
          </w:tcPr>
          <w:p w14:paraId="286812DE" w14:textId="087DB7BA" w:rsidR="00CA4FC7" w:rsidRPr="00E1346F" w:rsidRDefault="00CA4FC7" w:rsidP="00CA4FC7">
            <w:pPr>
              <w:spacing w:line="320" w:lineRule="exact"/>
              <w:jc w:val="both"/>
              <w:rPr>
                <w:sz w:val="20"/>
                <w:szCs w:val="20"/>
              </w:rPr>
            </w:pPr>
            <w:r w:rsidRPr="00E1346F">
              <w:rPr>
                <w:sz w:val="20"/>
                <w:szCs w:val="20"/>
              </w:rPr>
              <w:t>IRC</w:t>
            </w:r>
          </w:p>
        </w:tc>
        <w:tc>
          <w:tcPr>
            <w:tcW w:w="6748" w:type="dxa"/>
            <w:shd w:val="clear" w:color="auto" w:fill="auto"/>
          </w:tcPr>
          <w:p w14:paraId="3BA89C80" w14:textId="6EA39B0E" w:rsidR="00CA4FC7" w:rsidRPr="00E1346F" w:rsidRDefault="00CA4FC7" w:rsidP="00CA4FC7">
            <w:pPr>
              <w:spacing w:line="320" w:lineRule="exact"/>
              <w:jc w:val="both"/>
              <w:rPr>
                <w:sz w:val="20"/>
                <w:szCs w:val="20"/>
              </w:rPr>
            </w:pPr>
            <w:r w:rsidRPr="00E1346F">
              <w:rPr>
                <w:sz w:val="20"/>
                <w:szCs w:val="20"/>
              </w:rPr>
              <w:t>Industrial Relations Commission</w:t>
            </w:r>
          </w:p>
        </w:tc>
      </w:tr>
      <w:tr w:rsidR="00CA4FC7" w:rsidRPr="00E1346F" w14:paraId="583233F4" w14:textId="77777777" w:rsidTr="00680ABE">
        <w:tc>
          <w:tcPr>
            <w:tcW w:w="2268" w:type="dxa"/>
            <w:shd w:val="clear" w:color="auto" w:fill="auto"/>
          </w:tcPr>
          <w:p w14:paraId="327BD60D" w14:textId="74502020" w:rsidR="00CA4FC7" w:rsidRPr="00E1346F" w:rsidRDefault="00CA4FC7" w:rsidP="00CA4FC7">
            <w:pPr>
              <w:spacing w:line="320" w:lineRule="exact"/>
              <w:jc w:val="both"/>
              <w:rPr>
                <w:sz w:val="20"/>
                <w:szCs w:val="20"/>
              </w:rPr>
            </w:pPr>
            <w:r w:rsidRPr="00E1346F">
              <w:rPr>
                <w:sz w:val="20"/>
                <w:szCs w:val="20"/>
              </w:rPr>
              <w:t>LASC</w:t>
            </w:r>
          </w:p>
        </w:tc>
        <w:tc>
          <w:tcPr>
            <w:tcW w:w="6748" w:type="dxa"/>
            <w:shd w:val="clear" w:color="auto" w:fill="auto"/>
          </w:tcPr>
          <w:p w14:paraId="53CF7116" w14:textId="72237A57" w:rsidR="00CA4FC7" w:rsidRPr="00E1346F" w:rsidRDefault="00CA4FC7" w:rsidP="00CA4FC7">
            <w:pPr>
              <w:spacing w:line="320" w:lineRule="exact"/>
              <w:jc w:val="both"/>
              <w:rPr>
                <w:sz w:val="20"/>
                <w:szCs w:val="20"/>
              </w:rPr>
            </w:pPr>
            <w:r w:rsidRPr="00E1346F">
              <w:rPr>
                <w:sz w:val="20"/>
                <w:szCs w:val="20"/>
              </w:rPr>
              <w:t>Legal Affairs and Safety Committee</w:t>
            </w:r>
          </w:p>
        </w:tc>
      </w:tr>
      <w:tr w:rsidR="00CA4FC7" w:rsidRPr="00E1346F" w14:paraId="76C6A97C" w14:textId="77777777" w:rsidTr="001D655A">
        <w:tc>
          <w:tcPr>
            <w:tcW w:w="2268" w:type="dxa"/>
            <w:shd w:val="clear" w:color="auto" w:fill="auto"/>
          </w:tcPr>
          <w:p w14:paraId="1F341A0C" w14:textId="77777777" w:rsidR="00CA4FC7" w:rsidRPr="00E1346F" w:rsidRDefault="00CA4FC7" w:rsidP="00CA4FC7">
            <w:pPr>
              <w:spacing w:line="320" w:lineRule="exact"/>
              <w:jc w:val="both"/>
              <w:rPr>
                <w:rFonts w:ascii="Arial" w:hAnsi="Arial" w:cs="Arial"/>
                <w:color w:val="484948"/>
                <w:sz w:val="20"/>
                <w:szCs w:val="20"/>
              </w:rPr>
            </w:pPr>
            <w:r w:rsidRPr="00E1346F">
              <w:rPr>
                <w:sz w:val="20"/>
                <w:szCs w:val="20"/>
              </w:rPr>
              <w:t>LASC Vilification and Hate Crimes Bill Report</w:t>
            </w:r>
          </w:p>
        </w:tc>
        <w:tc>
          <w:tcPr>
            <w:tcW w:w="6748" w:type="dxa"/>
            <w:shd w:val="clear" w:color="auto" w:fill="auto"/>
          </w:tcPr>
          <w:p w14:paraId="2CD80864" w14:textId="77777777" w:rsidR="00CA4FC7" w:rsidRPr="00E1346F" w:rsidRDefault="00CA4FC7" w:rsidP="00CA4FC7">
            <w:pPr>
              <w:keepLines/>
              <w:spacing w:after="0" w:line="259" w:lineRule="auto"/>
              <w:ind w:right="-284"/>
              <w:jc w:val="both"/>
              <w:rPr>
                <w:rFonts w:ascii="Arial" w:hAnsi="Arial" w:cs="Arial"/>
                <w:color w:val="484948"/>
                <w:sz w:val="20"/>
                <w:szCs w:val="20"/>
              </w:rPr>
            </w:pPr>
            <w:r w:rsidRPr="00E1346F">
              <w:rPr>
                <w:sz w:val="20"/>
                <w:szCs w:val="20"/>
              </w:rPr>
              <w:t xml:space="preserve">Legal Affairs and Safety Committee, </w:t>
            </w:r>
            <w:r w:rsidRPr="00E1346F">
              <w:rPr>
                <w:i/>
                <w:iCs/>
                <w:sz w:val="20"/>
                <w:szCs w:val="20"/>
              </w:rPr>
              <w:t xml:space="preserve">Criminal Code (Serious Vilification and Hate Crimes) and Other Legislation Amendment Bill 2023 </w:t>
            </w:r>
            <w:r w:rsidRPr="00E1346F">
              <w:rPr>
                <w:sz w:val="20"/>
                <w:szCs w:val="20"/>
              </w:rPr>
              <w:t>(Report No. 49, 57th Parliament)</w:t>
            </w:r>
          </w:p>
        </w:tc>
      </w:tr>
      <w:tr w:rsidR="00CA4FC7" w:rsidRPr="00E1346F" w14:paraId="7C683444" w14:textId="77777777" w:rsidTr="00680ABE">
        <w:tc>
          <w:tcPr>
            <w:tcW w:w="2268" w:type="dxa"/>
            <w:shd w:val="clear" w:color="auto" w:fill="auto"/>
          </w:tcPr>
          <w:p w14:paraId="61D98916" w14:textId="77777777" w:rsidR="00CA4FC7" w:rsidRPr="00E1346F" w:rsidRDefault="00CA4FC7" w:rsidP="00CA4FC7">
            <w:pPr>
              <w:spacing w:line="320" w:lineRule="exact"/>
              <w:jc w:val="both"/>
              <w:rPr>
                <w:rFonts w:ascii="Arial" w:hAnsi="Arial" w:cs="Arial"/>
                <w:color w:val="484948"/>
                <w:sz w:val="20"/>
                <w:szCs w:val="20"/>
              </w:rPr>
            </w:pPr>
            <w:r w:rsidRPr="00E1346F">
              <w:rPr>
                <w:sz w:val="20"/>
                <w:szCs w:val="20"/>
              </w:rPr>
              <w:t>LASC Vilification Report</w:t>
            </w:r>
          </w:p>
        </w:tc>
        <w:tc>
          <w:tcPr>
            <w:tcW w:w="6748" w:type="dxa"/>
            <w:shd w:val="clear" w:color="auto" w:fill="auto"/>
          </w:tcPr>
          <w:p w14:paraId="716CF7B8" w14:textId="252B8ED4" w:rsidR="00CA4FC7" w:rsidRPr="00E1346F" w:rsidRDefault="00CA4FC7" w:rsidP="00CA4FC7">
            <w:pPr>
              <w:spacing w:line="320" w:lineRule="exact"/>
              <w:jc w:val="both"/>
              <w:rPr>
                <w:sz w:val="20"/>
                <w:szCs w:val="20"/>
              </w:rPr>
            </w:pPr>
            <w:r w:rsidRPr="00E1346F">
              <w:rPr>
                <w:sz w:val="20"/>
                <w:szCs w:val="20"/>
              </w:rPr>
              <w:t xml:space="preserve">Legal Affairs and Safety Committee, </w:t>
            </w:r>
            <w:r w:rsidRPr="00E1346F">
              <w:rPr>
                <w:i/>
                <w:iCs/>
                <w:sz w:val="20"/>
                <w:szCs w:val="20"/>
              </w:rPr>
              <w:t xml:space="preserve">Inquiry into serious vilification and hate crime </w:t>
            </w:r>
            <w:r w:rsidRPr="00E1346F">
              <w:rPr>
                <w:sz w:val="20"/>
                <w:szCs w:val="20"/>
              </w:rPr>
              <w:t>(Report no. 22, 57</w:t>
            </w:r>
            <w:r w:rsidRPr="00E1346F">
              <w:rPr>
                <w:sz w:val="20"/>
                <w:szCs w:val="20"/>
                <w:vertAlign w:val="superscript"/>
              </w:rPr>
              <w:t>th</w:t>
            </w:r>
            <w:r w:rsidRPr="00E1346F">
              <w:rPr>
                <w:sz w:val="20"/>
                <w:szCs w:val="20"/>
              </w:rPr>
              <w:t xml:space="preserve"> Parliament)</w:t>
            </w:r>
          </w:p>
        </w:tc>
      </w:tr>
      <w:tr w:rsidR="00CA4FC7" w:rsidRPr="00E1346F" w14:paraId="63F889F6" w14:textId="77777777" w:rsidTr="009E606F">
        <w:tc>
          <w:tcPr>
            <w:tcW w:w="2268" w:type="dxa"/>
            <w:shd w:val="clear" w:color="auto" w:fill="auto"/>
          </w:tcPr>
          <w:p w14:paraId="0F9BCDEE" w14:textId="6AFFC9D4" w:rsidR="00CA4FC7" w:rsidRPr="00E1346F" w:rsidRDefault="00CA4FC7" w:rsidP="00CA4FC7">
            <w:pPr>
              <w:spacing w:line="320" w:lineRule="exact"/>
              <w:jc w:val="both"/>
              <w:rPr>
                <w:rFonts w:ascii="Arial" w:hAnsi="Arial" w:cs="Arial"/>
                <w:color w:val="484948"/>
                <w:sz w:val="20"/>
                <w:szCs w:val="20"/>
              </w:rPr>
            </w:pPr>
            <w:r w:rsidRPr="00E1346F">
              <w:rPr>
                <w:rFonts w:ascii="Arial" w:hAnsi="Arial" w:cs="Arial"/>
                <w:color w:val="484948"/>
                <w:sz w:val="20"/>
                <w:szCs w:val="20"/>
              </w:rPr>
              <w:t>new BDM</w:t>
            </w:r>
            <w:r w:rsidR="003C28C5" w:rsidRPr="00E1346F">
              <w:rPr>
                <w:rFonts w:ascii="Arial" w:hAnsi="Arial" w:cs="Arial"/>
                <w:color w:val="484948"/>
                <w:sz w:val="20"/>
                <w:szCs w:val="20"/>
              </w:rPr>
              <w:t>R</w:t>
            </w:r>
            <w:r w:rsidRPr="00E1346F">
              <w:rPr>
                <w:rFonts w:ascii="Arial" w:hAnsi="Arial" w:cs="Arial"/>
                <w:color w:val="484948"/>
                <w:sz w:val="20"/>
                <w:szCs w:val="20"/>
              </w:rPr>
              <w:t xml:space="preserve"> Act</w:t>
            </w:r>
          </w:p>
        </w:tc>
        <w:tc>
          <w:tcPr>
            <w:tcW w:w="6748" w:type="dxa"/>
            <w:shd w:val="clear" w:color="auto" w:fill="auto"/>
          </w:tcPr>
          <w:p w14:paraId="6737D523" w14:textId="77777777" w:rsidR="00CA4FC7" w:rsidRPr="00E1346F" w:rsidRDefault="00CA4FC7" w:rsidP="00CA4FC7">
            <w:pPr>
              <w:spacing w:line="320" w:lineRule="exact"/>
              <w:jc w:val="both"/>
              <w:rPr>
                <w:rFonts w:ascii="Arial" w:hAnsi="Arial" w:cs="Arial"/>
                <w:color w:val="484948"/>
                <w:sz w:val="20"/>
                <w:szCs w:val="20"/>
              </w:rPr>
            </w:pPr>
            <w:r w:rsidRPr="00E1346F">
              <w:rPr>
                <w:i/>
                <w:sz w:val="20"/>
                <w:szCs w:val="20"/>
              </w:rPr>
              <w:t xml:space="preserve">Births, Deaths and Marriages Registration </w:t>
            </w:r>
            <w:r w:rsidRPr="00E1346F">
              <w:rPr>
                <w:i/>
                <w:iCs/>
                <w:sz w:val="20"/>
                <w:szCs w:val="20"/>
              </w:rPr>
              <w:t>Act 2023</w:t>
            </w:r>
          </w:p>
        </w:tc>
      </w:tr>
      <w:tr w:rsidR="00CA4FC7" w:rsidRPr="00E1346F" w14:paraId="111956FB" w14:textId="77777777" w:rsidTr="009E606F">
        <w:tc>
          <w:tcPr>
            <w:tcW w:w="2268" w:type="dxa"/>
            <w:shd w:val="clear" w:color="auto" w:fill="auto"/>
          </w:tcPr>
          <w:p w14:paraId="1B4BA8CD" w14:textId="0CB39D2A" w:rsidR="00CA4FC7" w:rsidRPr="00E1346F" w:rsidRDefault="00CA4FC7" w:rsidP="00CA4FC7">
            <w:pPr>
              <w:spacing w:line="320" w:lineRule="exact"/>
              <w:jc w:val="both"/>
              <w:rPr>
                <w:rFonts w:ascii="Arial" w:hAnsi="Arial" w:cs="Arial"/>
                <w:color w:val="484948"/>
                <w:sz w:val="20"/>
                <w:szCs w:val="20"/>
              </w:rPr>
            </w:pPr>
            <w:r w:rsidRPr="00E1346F">
              <w:rPr>
                <w:rFonts w:ascii="Arial" w:hAnsi="Arial" w:cs="Arial"/>
                <w:color w:val="484948"/>
                <w:sz w:val="20"/>
                <w:szCs w:val="20"/>
              </w:rPr>
              <w:t>QCAT</w:t>
            </w:r>
          </w:p>
        </w:tc>
        <w:tc>
          <w:tcPr>
            <w:tcW w:w="6748" w:type="dxa"/>
            <w:shd w:val="clear" w:color="auto" w:fill="auto"/>
          </w:tcPr>
          <w:p w14:paraId="40978D6D" w14:textId="1C6CF647" w:rsidR="00CA4FC7" w:rsidRPr="00E1346F" w:rsidRDefault="00CA4FC7" w:rsidP="00CA4FC7">
            <w:pPr>
              <w:spacing w:line="320" w:lineRule="exact"/>
              <w:jc w:val="both"/>
              <w:rPr>
                <w:iCs/>
                <w:sz w:val="20"/>
                <w:szCs w:val="20"/>
              </w:rPr>
            </w:pPr>
            <w:r w:rsidRPr="00E1346F">
              <w:rPr>
                <w:iCs/>
                <w:sz w:val="20"/>
                <w:szCs w:val="20"/>
              </w:rPr>
              <w:t>Queensland Civil and Administrative Tribunal</w:t>
            </w:r>
          </w:p>
        </w:tc>
      </w:tr>
      <w:tr w:rsidR="00CA4FC7" w:rsidRPr="00E1346F" w14:paraId="5A675A90" w14:textId="77777777" w:rsidTr="00997AB7">
        <w:tc>
          <w:tcPr>
            <w:tcW w:w="2268" w:type="dxa"/>
            <w:shd w:val="clear" w:color="auto" w:fill="auto"/>
          </w:tcPr>
          <w:p w14:paraId="06CA27C2" w14:textId="06180509" w:rsidR="00CA4FC7" w:rsidRPr="00E1346F" w:rsidRDefault="00CA4FC7" w:rsidP="00CA4FC7">
            <w:pPr>
              <w:spacing w:line="320" w:lineRule="exact"/>
              <w:jc w:val="both"/>
              <w:rPr>
                <w:rFonts w:ascii="Arial" w:hAnsi="Arial" w:cs="Arial"/>
                <w:color w:val="484948"/>
                <w:sz w:val="20"/>
                <w:szCs w:val="20"/>
              </w:rPr>
            </w:pPr>
            <w:bookmarkStart w:id="17" w:name="_Hlk98770032"/>
            <w:r w:rsidRPr="00E1346F">
              <w:rPr>
                <w:rFonts w:ascii="Arial" w:hAnsi="Arial" w:cs="Arial"/>
                <w:color w:val="484948"/>
                <w:sz w:val="20"/>
                <w:szCs w:val="20"/>
              </w:rPr>
              <w:t>QHRC</w:t>
            </w:r>
          </w:p>
        </w:tc>
        <w:tc>
          <w:tcPr>
            <w:tcW w:w="6748" w:type="dxa"/>
            <w:shd w:val="clear" w:color="auto" w:fill="auto"/>
          </w:tcPr>
          <w:p w14:paraId="1463F980" w14:textId="74417D04" w:rsidR="00CA4FC7" w:rsidRPr="00E1346F" w:rsidRDefault="00CA4FC7" w:rsidP="00CA4FC7">
            <w:pPr>
              <w:spacing w:line="320" w:lineRule="exact"/>
              <w:jc w:val="both"/>
              <w:rPr>
                <w:rFonts w:ascii="Arial" w:hAnsi="Arial" w:cs="Arial"/>
                <w:color w:val="484948"/>
                <w:sz w:val="20"/>
                <w:szCs w:val="20"/>
              </w:rPr>
            </w:pPr>
            <w:r w:rsidRPr="00E1346F">
              <w:rPr>
                <w:rFonts w:ascii="Arial" w:hAnsi="Arial" w:cs="Arial"/>
                <w:color w:val="484948"/>
                <w:sz w:val="20"/>
                <w:szCs w:val="20"/>
              </w:rPr>
              <w:t>Queensland Human Rights Commission</w:t>
            </w:r>
          </w:p>
        </w:tc>
      </w:tr>
      <w:tr w:rsidR="00CA4FC7" w:rsidRPr="00E1346F" w14:paraId="52C8C266" w14:textId="77777777" w:rsidTr="00997AB7">
        <w:tc>
          <w:tcPr>
            <w:tcW w:w="2268" w:type="dxa"/>
            <w:shd w:val="clear" w:color="auto" w:fill="auto"/>
          </w:tcPr>
          <w:p w14:paraId="33D1EC90" w14:textId="1E8A8370" w:rsidR="00CA4FC7" w:rsidRPr="00E1346F" w:rsidRDefault="00CA4FC7" w:rsidP="00CA4FC7">
            <w:pPr>
              <w:spacing w:line="320" w:lineRule="exact"/>
              <w:jc w:val="both"/>
              <w:rPr>
                <w:rFonts w:ascii="Arial" w:hAnsi="Arial" w:cs="Arial"/>
                <w:color w:val="484948"/>
                <w:sz w:val="20"/>
                <w:szCs w:val="20"/>
              </w:rPr>
            </w:pPr>
            <w:r w:rsidRPr="00E1346F">
              <w:rPr>
                <w:sz w:val="20"/>
                <w:szCs w:val="20"/>
              </w:rPr>
              <w:t>Respect@Work Report</w:t>
            </w:r>
          </w:p>
        </w:tc>
        <w:tc>
          <w:tcPr>
            <w:tcW w:w="6748" w:type="dxa"/>
            <w:shd w:val="clear" w:color="auto" w:fill="auto"/>
          </w:tcPr>
          <w:p w14:paraId="176D2FA0" w14:textId="5A4B0264" w:rsidR="00CA4FC7" w:rsidRPr="00E1346F" w:rsidRDefault="00CA4FC7" w:rsidP="00CA4FC7">
            <w:pPr>
              <w:spacing w:line="320" w:lineRule="exact"/>
              <w:jc w:val="both"/>
              <w:rPr>
                <w:rFonts w:ascii="Arial" w:hAnsi="Arial" w:cs="Arial"/>
                <w:color w:val="484948"/>
                <w:sz w:val="20"/>
                <w:szCs w:val="20"/>
              </w:rPr>
            </w:pPr>
            <w:r w:rsidRPr="00E1346F">
              <w:rPr>
                <w:i/>
                <w:iCs/>
                <w:sz w:val="20"/>
                <w:szCs w:val="20"/>
              </w:rPr>
              <w:t>Respect@Work: Sexual Harassment National Inquiry Report</w:t>
            </w:r>
          </w:p>
        </w:tc>
      </w:tr>
      <w:tr w:rsidR="00CA4FC7" w:rsidRPr="00E1346F" w14:paraId="22218251" w14:textId="77777777" w:rsidTr="00997AB7">
        <w:tc>
          <w:tcPr>
            <w:tcW w:w="2268" w:type="dxa"/>
            <w:shd w:val="clear" w:color="auto" w:fill="auto"/>
          </w:tcPr>
          <w:p w14:paraId="64108845" w14:textId="4C066348" w:rsidR="00CA4FC7" w:rsidRPr="00E1346F" w:rsidRDefault="00CA4FC7" w:rsidP="00CA4FC7">
            <w:pPr>
              <w:spacing w:line="320" w:lineRule="exact"/>
              <w:jc w:val="both"/>
              <w:rPr>
                <w:sz w:val="20"/>
                <w:szCs w:val="20"/>
              </w:rPr>
            </w:pPr>
            <w:r w:rsidRPr="00E1346F">
              <w:rPr>
                <w:sz w:val="20"/>
                <w:szCs w:val="20"/>
              </w:rPr>
              <w:t>Sex Discrimination Act</w:t>
            </w:r>
          </w:p>
        </w:tc>
        <w:tc>
          <w:tcPr>
            <w:tcW w:w="6748" w:type="dxa"/>
            <w:shd w:val="clear" w:color="auto" w:fill="auto"/>
          </w:tcPr>
          <w:p w14:paraId="69489FA6" w14:textId="2C1B9261" w:rsidR="00CA4FC7" w:rsidRPr="00E1346F" w:rsidRDefault="00CA4FC7" w:rsidP="00CA4FC7">
            <w:pPr>
              <w:spacing w:line="320" w:lineRule="exact"/>
              <w:jc w:val="both"/>
              <w:rPr>
                <w:i/>
                <w:iCs/>
                <w:sz w:val="20"/>
                <w:szCs w:val="20"/>
              </w:rPr>
            </w:pPr>
            <w:r w:rsidRPr="00E1346F">
              <w:rPr>
                <w:i/>
                <w:iCs/>
                <w:sz w:val="20"/>
                <w:szCs w:val="20"/>
              </w:rPr>
              <w:t xml:space="preserve">Sex Discrimination Act 1984 </w:t>
            </w:r>
            <w:r w:rsidRPr="00E1346F">
              <w:rPr>
                <w:sz w:val="20"/>
                <w:szCs w:val="20"/>
              </w:rPr>
              <w:t>(Cth)</w:t>
            </w:r>
          </w:p>
        </w:tc>
      </w:tr>
      <w:tr w:rsidR="00FD4B9A" w:rsidRPr="00E1346F" w14:paraId="3CF29487" w14:textId="77777777" w:rsidTr="00997AB7">
        <w:tc>
          <w:tcPr>
            <w:tcW w:w="2268" w:type="dxa"/>
            <w:shd w:val="clear" w:color="auto" w:fill="auto"/>
          </w:tcPr>
          <w:p w14:paraId="1226B102" w14:textId="5BBB7FA9" w:rsidR="00FD4B9A" w:rsidRPr="00E1346F" w:rsidRDefault="00FD4B9A" w:rsidP="00CA4FC7">
            <w:pPr>
              <w:spacing w:line="320" w:lineRule="exact"/>
              <w:jc w:val="both"/>
              <w:rPr>
                <w:sz w:val="20"/>
                <w:szCs w:val="20"/>
              </w:rPr>
            </w:pPr>
            <w:r w:rsidRPr="00E1346F">
              <w:rPr>
                <w:sz w:val="20"/>
                <w:szCs w:val="20"/>
              </w:rPr>
              <w:t>Victorian EO Act</w:t>
            </w:r>
          </w:p>
        </w:tc>
        <w:tc>
          <w:tcPr>
            <w:tcW w:w="6748" w:type="dxa"/>
            <w:shd w:val="clear" w:color="auto" w:fill="auto"/>
          </w:tcPr>
          <w:p w14:paraId="71614DCD" w14:textId="34566C72" w:rsidR="00FD4B9A" w:rsidRPr="00E1346F" w:rsidRDefault="00FD4B9A" w:rsidP="00CA4FC7">
            <w:pPr>
              <w:spacing w:line="320" w:lineRule="exact"/>
              <w:jc w:val="both"/>
              <w:rPr>
                <w:sz w:val="20"/>
                <w:szCs w:val="20"/>
              </w:rPr>
            </w:pPr>
            <w:r w:rsidRPr="00E1346F">
              <w:rPr>
                <w:i/>
                <w:iCs/>
                <w:sz w:val="20"/>
                <w:szCs w:val="20"/>
              </w:rPr>
              <w:t xml:space="preserve">Equal Opportunity Act 2010 </w:t>
            </w:r>
            <w:r w:rsidRPr="00E1346F">
              <w:rPr>
                <w:sz w:val="20"/>
                <w:szCs w:val="20"/>
              </w:rPr>
              <w:t>(Vic)</w:t>
            </w:r>
          </w:p>
        </w:tc>
      </w:tr>
      <w:tr w:rsidR="00CA4FC7" w:rsidRPr="00E1346F" w14:paraId="332B4B45" w14:textId="77777777" w:rsidTr="00997AB7">
        <w:tc>
          <w:tcPr>
            <w:tcW w:w="2268" w:type="dxa"/>
            <w:shd w:val="clear" w:color="auto" w:fill="auto"/>
          </w:tcPr>
          <w:p w14:paraId="6B0E9326" w14:textId="59876B95" w:rsidR="00CA4FC7" w:rsidRPr="00E1346F" w:rsidRDefault="00CA4FC7" w:rsidP="00CA4FC7">
            <w:pPr>
              <w:spacing w:line="320" w:lineRule="exact"/>
              <w:jc w:val="both"/>
              <w:rPr>
                <w:rFonts w:ascii="Arial" w:hAnsi="Arial" w:cs="Arial"/>
                <w:color w:val="484948"/>
                <w:sz w:val="20"/>
                <w:szCs w:val="20"/>
              </w:rPr>
            </w:pPr>
            <w:r w:rsidRPr="00E1346F">
              <w:rPr>
                <w:sz w:val="20"/>
                <w:szCs w:val="20"/>
              </w:rPr>
              <w:t>Vilification and Hate Crimes Act</w:t>
            </w:r>
          </w:p>
        </w:tc>
        <w:tc>
          <w:tcPr>
            <w:tcW w:w="6748" w:type="dxa"/>
            <w:shd w:val="clear" w:color="auto" w:fill="auto"/>
          </w:tcPr>
          <w:p w14:paraId="29300B39" w14:textId="59195BD3" w:rsidR="00CA4FC7" w:rsidRPr="00E1346F" w:rsidRDefault="00CA4FC7" w:rsidP="00CA4FC7">
            <w:pPr>
              <w:spacing w:line="320" w:lineRule="exact"/>
              <w:jc w:val="both"/>
              <w:rPr>
                <w:rFonts w:ascii="Arial" w:hAnsi="Arial" w:cs="Arial"/>
                <w:color w:val="484948"/>
                <w:sz w:val="20"/>
                <w:szCs w:val="20"/>
              </w:rPr>
            </w:pPr>
            <w:r w:rsidRPr="00E1346F">
              <w:rPr>
                <w:i/>
                <w:iCs/>
                <w:sz w:val="20"/>
                <w:szCs w:val="20"/>
              </w:rPr>
              <w:t>Criminal Code (Serious Vilification and Hate Crimes) and Other Legislation Amendment Act 2023</w:t>
            </w:r>
          </w:p>
        </w:tc>
      </w:tr>
      <w:bookmarkEnd w:id="16"/>
      <w:bookmarkEnd w:id="17"/>
    </w:tbl>
    <w:p w14:paraId="2809A230" w14:textId="77777777" w:rsidR="000F179C" w:rsidRDefault="000F179C" w:rsidP="00793AEF">
      <w:pPr>
        <w:spacing w:after="0"/>
        <w:jc w:val="both"/>
        <w:rPr>
          <w:rFonts w:asciiTheme="majorHAnsi" w:eastAsiaTheme="majorEastAsia" w:hAnsiTheme="majorHAnsi" w:cstheme="majorBidi"/>
          <w:b/>
          <w:color w:val="033651" w:themeColor="accent1"/>
          <w:sz w:val="40"/>
          <w:szCs w:val="26"/>
        </w:rPr>
      </w:pPr>
      <w:r>
        <w:br w:type="page"/>
      </w:r>
    </w:p>
    <w:p w14:paraId="10B2E19D" w14:textId="7AB90BE1" w:rsidR="004B692B" w:rsidRPr="000F0E94" w:rsidRDefault="004B692B" w:rsidP="004E49AC">
      <w:pPr>
        <w:pStyle w:val="Heading1"/>
      </w:pPr>
      <w:bookmarkStart w:id="18" w:name="_Toc159520245"/>
      <w:r w:rsidRPr="000F0E94">
        <w:lastRenderedPageBreak/>
        <w:t>Part One – About this Guide</w:t>
      </w:r>
      <w:bookmarkEnd w:id="18"/>
    </w:p>
    <w:p w14:paraId="3986000E" w14:textId="77777777" w:rsidR="004B692B" w:rsidRPr="000F0E94" w:rsidRDefault="004B692B" w:rsidP="004E49AC">
      <w:pPr>
        <w:pStyle w:val="Heading2"/>
      </w:pPr>
      <w:bookmarkStart w:id="19" w:name="_Toc159520246"/>
      <w:r w:rsidRPr="000F0E94">
        <w:t>Purpose of this Consultation Guide</w:t>
      </w:r>
      <w:bookmarkEnd w:id="19"/>
    </w:p>
    <w:p w14:paraId="64BCDF84" w14:textId="66061215" w:rsidR="004B692B" w:rsidRDefault="004B692B" w:rsidP="00793AEF">
      <w:pPr>
        <w:jc w:val="both"/>
      </w:pPr>
      <w:r w:rsidRPr="000F0E94">
        <w:t xml:space="preserve">The </w:t>
      </w:r>
      <w:r w:rsidRPr="00DE21DE">
        <w:t xml:space="preserve">Department of Justice and Attorney-General (DJAG) is seeking comments from </w:t>
      </w:r>
      <w:r>
        <w:t xml:space="preserve">the public </w:t>
      </w:r>
      <w:r w:rsidRPr="00DE21DE">
        <w:t xml:space="preserve">on the attached draft Bill to replace the </w:t>
      </w:r>
      <w:bookmarkStart w:id="20" w:name="_Toc78985616"/>
      <w:bookmarkStart w:id="21" w:name="_Toc79065771"/>
      <w:r w:rsidRPr="00DE21DE">
        <w:t xml:space="preserve">current </w:t>
      </w:r>
      <w:r w:rsidRPr="00DE21DE">
        <w:rPr>
          <w:i/>
          <w:iCs/>
        </w:rPr>
        <w:t>Anti-Discrimination Act 1991</w:t>
      </w:r>
      <w:r w:rsidRPr="00DE21DE">
        <w:t xml:space="preserve"> (</w:t>
      </w:r>
      <w:r>
        <w:t xml:space="preserve">current </w:t>
      </w:r>
      <w:r w:rsidRPr="00DE21DE">
        <w:t>AD Act).</w:t>
      </w:r>
    </w:p>
    <w:p w14:paraId="6D4F35A5" w14:textId="02B2BB16" w:rsidR="004B692B" w:rsidRDefault="004B692B" w:rsidP="00793AEF">
      <w:pPr>
        <w:jc w:val="both"/>
      </w:pPr>
      <w:r w:rsidRPr="000F0E94">
        <w:t>This Consultation Guide provides an overview of the draft Bill to assist stakeholders to understand the nature and scope of the proposed amendments. It is not a substitute for explanatory notes, or the draft Bill itself.</w:t>
      </w:r>
    </w:p>
    <w:p w14:paraId="4D8657CB" w14:textId="1035386C" w:rsidR="00090A92" w:rsidRPr="00973C87" w:rsidRDefault="00090A92" w:rsidP="00793AEF">
      <w:pPr>
        <w:jc w:val="both"/>
      </w:pPr>
      <w:bookmarkStart w:id="22" w:name="_Hlk158830497"/>
      <w:r w:rsidRPr="00973C87">
        <w:t>Further consultation papers are also available on the following</w:t>
      </w:r>
      <w:r w:rsidR="002F2178">
        <w:t xml:space="preserve"> subject areas contained in the </w:t>
      </w:r>
      <w:r w:rsidRPr="00973C87">
        <w:t>draft Bill:</w:t>
      </w:r>
    </w:p>
    <w:p w14:paraId="7640DBDD" w14:textId="409DEE74" w:rsidR="00090A92" w:rsidRPr="00973C87" w:rsidRDefault="00090A92" w:rsidP="00200316">
      <w:pPr>
        <w:numPr>
          <w:ilvl w:val="0"/>
          <w:numId w:val="3"/>
        </w:numPr>
        <w:spacing w:after="160" w:line="259" w:lineRule="auto"/>
        <w:ind w:left="714" w:hanging="357"/>
        <w:jc w:val="both"/>
        <w:rPr>
          <w:szCs w:val="20"/>
        </w:rPr>
      </w:pPr>
      <w:r w:rsidRPr="00973C87">
        <w:rPr>
          <w:szCs w:val="20"/>
        </w:rPr>
        <w:t>equality and non-discrimination for persons with disabilities;</w:t>
      </w:r>
    </w:p>
    <w:p w14:paraId="05D19CA1" w14:textId="3A4EED1B" w:rsidR="00090A92" w:rsidRPr="00973C87" w:rsidRDefault="00090A92" w:rsidP="00200316">
      <w:pPr>
        <w:numPr>
          <w:ilvl w:val="0"/>
          <w:numId w:val="3"/>
        </w:numPr>
        <w:spacing w:after="160" w:line="259" w:lineRule="auto"/>
        <w:ind w:left="714" w:hanging="357"/>
        <w:jc w:val="both"/>
        <w:rPr>
          <w:szCs w:val="20"/>
        </w:rPr>
      </w:pPr>
      <w:r w:rsidRPr="00973C87">
        <w:rPr>
          <w:szCs w:val="20"/>
        </w:rPr>
        <w:t>affirmative measures; and</w:t>
      </w:r>
    </w:p>
    <w:p w14:paraId="5AAF3918" w14:textId="01A6621D" w:rsidR="00090A92" w:rsidRPr="00973C87" w:rsidRDefault="00372B08" w:rsidP="00200316">
      <w:pPr>
        <w:numPr>
          <w:ilvl w:val="0"/>
          <w:numId w:val="3"/>
        </w:numPr>
        <w:spacing w:after="160" w:line="259" w:lineRule="auto"/>
        <w:ind w:left="714" w:hanging="357"/>
        <w:jc w:val="both"/>
        <w:rPr>
          <w:szCs w:val="20"/>
        </w:rPr>
      </w:pPr>
      <w:r>
        <w:rPr>
          <w:szCs w:val="20"/>
        </w:rPr>
        <w:t xml:space="preserve">key </w:t>
      </w:r>
      <w:r w:rsidR="00090A92" w:rsidRPr="00973C87">
        <w:rPr>
          <w:szCs w:val="20"/>
        </w:rPr>
        <w:t>exceptions for religious bodies</w:t>
      </w:r>
      <w:r w:rsidR="002F2178">
        <w:rPr>
          <w:szCs w:val="20"/>
        </w:rPr>
        <w:t>.</w:t>
      </w:r>
    </w:p>
    <w:p w14:paraId="1CF9B9E2" w14:textId="3C1D5DA1" w:rsidR="00090A92" w:rsidRPr="00973C87" w:rsidRDefault="00090A92" w:rsidP="00793AEF">
      <w:pPr>
        <w:jc w:val="both"/>
      </w:pPr>
      <w:r w:rsidRPr="00973C87">
        <w:t>These consultation papers</w:t>
      </w:r>
      <w:r w:rsidR="00973C87" w:rsidRPr="00973C87">
        <w:t xml:space="preserve"> ask specific questions of stakeholders </w:t>
      </w:r>
      <w:r w:rsidR="002F2178">
        <w:t>in these subject areas.</w:t>
      </w:r>
    </w:p>
    <w:p w14:paraId="03D7C5EB" w14:textId="63DD31E5" w:rsidR="00090A92" w:rsidRDefault="00090A92" w:rsidP="00793AEF">
      <w:pPr>
        <w:jc w:val="both"/>
      </w:pPr>
      <w:r w:rsidRPr="00973C87">
        <w:t xml:space="preserve">The consultation papers are available at: the DJAG </w:t>
      </w:r>
      <w:hyperlink r:id="rId9" w:history="1">
        <w:r w:rsidRPr="00973C87">
          <w:rPr>
            <w:rStyle w:val="Hyperlink"/>
            <w:b/>
            <w:bCs/>
          </w:rPr>
          <w:t>community consultation webpage</w:t>
        </w:r>
      </w:hyperlink>
      <w:r w:rsidR="00372B08">
        <w:t xml:space="preserve">, which can </w:t>
      </w:r>
      <w:r w:rsidRPr="00973C87">
        <w:t xml:space="preserve">be accessed via the DJAG website at </w:t>
      </w:r>
      <w:hyperlink r:id="rId10" w:history="1">
        <w:r w:rsidRPr="00973C87">
          <w:rPr>
            <w:rStyle w:val="Hyperlink"/>
          </w:rPr>
          <w:t>www.justice.qld.gov.au/community-engagement/community-consultation/current</w:t>
        </w:r>
      </w:hyperlink>
      <w:r w:rsidRPr="00973C87">
        <w:t xml:space="preserve"> or at Get Involved at </w:t>
      </w:r>
      <w:hyperlink r:id="rId11" w:history="1">
        <w:r w:rsidRPr="00973C87">
          <w:rPr>
            <w:rStyle w:val="Hyperlink"/>
          </w:rPr>
          <w:t>https://www.getinvolved.qld.gov.au/</w:t>
        </w:r>
      </w:hyperlink>
      <w:r w:rsidRPr="00713B37">
        <w:t xml:space="preserve"> </w:t>
      </w:r>
    </w:p>
    <w:p w14:paraId="37CFFCFA" w14:textId="77777777" w:rsidR="004E49AC" w:rsidRDefault="004E49AC" w:rsidP="00793AEF">
      <w:pPr>
        <w:jc w:val="both"/>
      </w:pPr>
    </w:p>
    <w:p w14:paraId="12C9E964" w14:textId="77777777" w:rsidR="004B692B" w:rsidRPr="000F0E94" w:rsidRDefault="004B692B" w:rsidP="004E49AC">
      <w:pPr>
        <w:pStyle w:val="Heading2"/>
      </w:pPr>
      <w:bookmarkStart w:id="23" w:name="_Toc159520247"/>
      <w:bookmarkEnd w:id="22"/>
      <w:r w:rsidRPr="000F0E94">
        <w:t>Background</w:t>
      </w:r>
      <w:bookmarkEnd w:id="23"/>
    </w:p>
    <w:p w14:paraId="670B4AE9" w14:textId="77777777" w:rsidR="004B692B" w:rsidRPr="000F0E94" w:rsidRDefault="004B692B" w:rsidP="004E49AC">
      <w:pPr>
        <w:pStyle w:val="Heading3"/>
      </w:pPr>
      <w:bookmarkStart w:id="24" w:name="_Toc159520248"/>
      <w:r w:rsidRPr="000F0E94">
        <w:t>Why are the changes in the draft Bill being considered?</w:t>
      </w:r>
      <w:bookmarkEnd w:id="24"/>
    </w:p>
    <w:bookmarkEnd w:id="20"/>
    <w:bookmarkEnd w:id="21"/>
    <w:p w14:paraId="3745C594" w14:textId="77777777" w:rsidR="004B692B" w:rsidRPr="005024DE" w:rsidRDefault="004B692B" w:rsidP="00793AEF">
      <w:pPr>
        <w:jc w:val="both"/>
        <w:rPr>
          <w:i/>
          <w:iCs/>
        </w:rPr>
      </w:pPr>
      <w:r w:rsidRPr="005024DE">
        <w:t>The draft Bill has been informed by several independent reviews, legislative amendments, and policy initiatives.</w:t>
      </w:r>
    </w:p>
    <w:p w14:paraId="0AB99F0D" w14:textId="77777777" w:rsidR="004B692B" w:rsidRPr="00F72D10" w:rsidRDefault="004B692B" w:rsidP="004E49AC">
      <w:pPr>
        <w:pStyle w:val="Heading4"/>
      </w:pPr>
      <w:bookmarkStart w:id="25" w:name="_Toc159520249"/>
      <w:r w:rsidRPr="00F72D10">
        <w:t>Queensland Human Rights Commission – Review of the Anti-Discrimination Act 1991</w:t>
      </w:r>
      <w:bookmarkEnd w:id="25"/>
    </w:p>
    <w:p w14:paraId="0E1778DD" w14:textId="63553375" w:rsidR="004B692B" w:rsidRPr="005024DE" w:rsidRDefault="004B692B" w:rsidP="00793AEF">
      <w:pPr>
        <w:jc w:val="both"/>
      </w:pPr>
      <w:bookmarkStart w:id="26" w:name="_Hlk158217357"/>
      <w:r w:rsidRPr="005024DE">
        <w:t xml:space="preserve">On 4 May 2021, the Attorney-General requested that the </w:t>
      </w:r>
      <w:r w:rsidR="0044570D">
        <w:t>QHRC</w:t>
      </w:r>
      <w:r>
        <w:t xml:space="preserve"> </w:t>
      </w:r>
      <w:r w:rsidRPr="005024DE">
        <w:t xml:space="preserve">undertake a review of the </w:t>
      </w:r>
      <w:r w:rsidR="000F179C">
        <w:t xml:space="preserve">current </w:t>
      </w:r>
      <w:r w:rsidRPr="005024DE">
        <w:t xml:space="preserve">AD Act. From that time until the delivery of the QHRC’s final report on 30 July 2022, the QHRC conducted a broad-ranging, independent review of the </w:t>
      </w:r>
      <w:r w:rsidR="000F179C">
        <w:t xml:space="preserve">current </w:t>
      </w:r>
      <w:r w:rsidRPr="005024DE">
        <w:t>AD Act.</w:t>
      </w:r>
    </w:p>
    <w:bookmarkEnd w:id="26"/>
    <w:p w14:paraId="3584602C" w14:textId="77777777" w:rsidR="004B692B" w:rsidRPr="005024DE" w:rsidRDefault="004B692B" w:rsidP="00793AEF">
      <w:pPr>
        <w:jc w:val="both"/>
      </w:pPr>
      <w:r w:rsidRPr="005024DE">
        <w:t xml:space="preserve">During its review, the QHRC held two rounds of consultations with both special interest groups and relevant government departments, published a </w:t>
      </w:r>
      <w:hyperlink r:id="rId12" w:history="1">
        <w:r w:rsidRPr="00245B6A">
          <w:rPr>
            <w:rStyle w:val="Hyperlink"/>
          </w:rPr>
          <w:t>discussion paper</w:t>
        </w:r>
      </w:hyperlink>
      <w:r w:rsidRPr="005024DE">
        <w:t xml:space="preserve"> and received submissions over a 7-month period from August 2021 to March 2022.</w:t>
      </w:r>
    </w:p>
    <w:p w14:paraId="326A4011" w14:textId="77777777" w:rsidR="004B692B" w:rsidRDefault="004B692B" w:rsidP="00793AEF">
      <w:pPr>
        <w:jc w:val="both"/>
      </w:pPr>
      <w:bookmarkStart w:id="27" w:name="_Hlk158217364"/>
      <w:r w:rsidRPr="005024DE">
        <w:t xml:space="preserve">The </w:t>
      </w:r>
      <w:hyperlink r:id="rId13" w:history="1">
        <w:r w:rsidRPr="00EA49A5">
          <w:rPr>
            <w:rStyle w:val="Hyperlink"/>
          </w:rPr>
          <w:t>final report</w:t>
        </w:r>
      </w:hyperlink>
      <w:r w:rsidRPr="005024DE">
        <w:t xml:space="preserve">, entitled </w:t>
      </w:r>
      <w:r w:rsidRPr="005024DE">
        <w:rPr>
          <w:i/>
          <w:iCs/>
        </w:rPr>
        <w:t xml:space="preserve">Building belonging: Review of Queensland’s Anti-Discrimination Act 1991 </w:t>
      </w:r>
      <w:r w:rsidRPr="005024DE">
        <w:t>(</w:t>
      </w:r>
      <w:r w:rsidRPr="00EB3EFF">
        <w:t>Building Belonging Report</w:t>
      </w:r>
      <w:r w:rsidRPr="005024DE">
        <w:t>) made 46 recommendations directed at modernising and strengthening Queensland’s discrimination protections.</w:t>
      </w:r>
    </w:p>
    <w:p w14:paraId="31289BFA" w14:textId="7760530B" w:rsidR="004B692B" w:rsidRDefault="004B692B" w:rsidP="00793AEF">
      <w:pPr>
        <w:jc w:val="both"/>
        <w:rPr>
          <w:color w:val="B01D47"/>
        </w:rPr>
      </w:pPr>
      <w:bookmarkStart w:id="28" w:name="_Hlk158217838"/>
      <w:bookmarkEnd w:id="27"/>
      <w:r w:rsidRPr="002E3D95">
        <w:t xml:space="preserve">The </w:t>
      </w:r>
      <w:hyperlink r:id="rId14" w:history="1">
        <w:r w:rsidR="00274197" w:rsidRPr="00274197">
          <w:rPr>
            <w:rStyle w:val="Hyperlink"/>
          </w:rPr>
          <w:t>f</w:t>
        </w:r>
        <w:r w:rsidRPr="00274197">
          <w:rPr>
            <w:rStyle w:val="Hyperlink"/>
          </w:rPr>
          <w:t>inal Queensland Government Response</w:t>
        </w:r>
      </w:hyperlink>
      <w:r w:rsidRPr="002E3D95">
        <w:t xml:space="preserve"> to the Building Belonging Report was tabled in the Legislative Assembly on 3 April 2023 supporting in-principle all recommendations and committing to the introduction of legislation in this term of government</w:t>
      </w:r>
      <w:r>
        <w:t>.</w:t>
      </w:r>
    </w:p>
    <w:p w14:paraId="29706CAB" w14:textId="77777777" w:rsidR="004B692B" w:rsidRPr="004E49AC" w:rsidRDefault="004B692B" w:rsidP="004E49AC">
      <w:pPr>
        <w:pStyle w:val="Heading4"/>
      </w:pPr>
      <w:bookmarkStart w:id="29" w:name="_Toc159520250"/>
      <w:bookmarkEnd w:id="28"/>
      <w:r w:rsidRPr="004E49AC">
        <w:t>Other initiatives</w:t>
      </w:r>
      <w:bookmarkEnd w:id="29"/>
    </w:p>
    <w:p w14:paraId="59059E95" w14:textId="77777777" w:rsidR="004B692B" w:rsidRPr="00EF2C33" w:rsidRDefault="004B692B" w:rsidP="00793AEF">
      <w:pPr>
        <w:jc w:val="both"/>
        <w:rPr>
          <w:i/>
          <w:iCs/>
        </w:rPr>
      </w:pPr>
      <w:r w:rsidRPr="00EF2C33">
        <w:t>In addition to the Building Belonging Report, the development of the draft Bill has been informed by the following reviews, legislative amendments, and policy initiatives:</w:t>
      </w:r>
    </w:p>
    <w:p w14:paraId="47A19863" w14:textId="2E12B5F7" w:rsidR="004B692B" w:rsidRPr="00EF2C33" w:rsidRDefault="004B692B" w:rsidP="00200316">
      <w:pPr>
        <w:keepLines/>
        <w:numPr>
          <w:ilvl w:val="0"/>
          <w:numId w:val="6"/>
        </w:numPr>
        <w:spacing w:after="0" w:line="259" w:lineRule="auto"/>
        <w:ind w:left="714" w:right="-284" w:hanging="357"/>
        <w:jc w:val="both"/>
      </w:pPr>
      <w:r w:rsidRPr="00EF2C33">
        <w:t xml:space="preserve">the </w:t>
      </w:r>
      <w:r w:rsidRPr="00EF2C33">
        <w:rPr>
          <w:i/>
        </w:rPr>
        <w:t xml:space="preserve">Births, Deaths and Marriages Registration </w:t>
      </w:r>
      <w:r w:rsidRPr="00EF2C33">
        <w:rPr>
          <w:i/>
          <w:iCs/>
        </w:rPr>
        <w:t>Act 2023</w:t>
      </w:r>
      <w:r w:rsidRPr="00EF2C33">
        <w:t xml:space="preserve"> (new BDM</w:t>
      </w:r>
      <w:r w:rsidR="00C57D17">
        <w:t>R</w:t>
      </w:r>
      <w:r w:rsidRPr="00EF2C33">
        <w:t xml:space="preserve"> Act) passed on 14</w:t>
      </w:r>
      <w:r>
        <w:t> </w:t>
      </w:r>
      <w:r w:rsidRPr="00EF2C33">
        <w:t>June 2023;</w:t>
      </w:r>
    </w:p>
    <w:p w14:paraId="1D5FFB23" w14:textId="0CDC33DD" w:rsidR="004B692B" w:rsidRPr="00EF2C33" w:rsidRDefault="004B692B" w:rsidP="00200316">
      <w:pPr>
        <w:keepLines/>
        <w:numPr>
          <w:ilvl w:val="0"/>
          <w:numId w:val="6"/>
        </w:numPr>
        <w:spacing w:after="0" w:line="259" w:lineRule="auto"/>
        <w:ind w:left="714" w:right="-284" w:hanging="357"/>
        <w:jc w:val="both"/>
      </w:pPr>
      <w:bookmarkStart w:id="30" w:name="_Hlk158218234"/>
      <w:r w:rsidRPr="00EF2C33">
        <w:lastRenderedPageBreak/>
        <w:t xml:space="preserve">the </w:t>
      </w:r>
      <w:bookmarkStart w:id="31" w:name="_Hlk137459860"/>
      <w:r w:rsidRPr="00EF2C33">
        <w:t xml:space="preserve">Australian Human Rights Commission’s </w:t>
      </w:r>
      <w:r w:rsidRPr="00EA49A5">
        <w:rPr>
          <w:i/>
          <w:iCs/>
        </w:rPr>
        <w:t xml:space="preserve">Respect@Work: Sexual Harassment National Inquiry Report </w:t>
      </w:r>
      <w:r w:rsidRPr="00EF2C33">
        <w:t xml:space="preserve">(2020) </w:t>
      </w:r>
      <w:bookmarkEnd w:id="31"/>
      <w:r w:rsidRPr="00EF2C33">
        <w:t xml:space="preserve">(Respect@Work Report) and the </w:t>
      </w:r>
      <w:r w:rsidRPr="00EF2C33">
        <w:rPr>
          <w:i/>
          <w:iCs/>
        </w:rPr>
        <w:t>Anti-Discrimination and Human Rights Legislation Amendment (Respect at Work) Act 2022</w:t>
      </w:r>
      <w:r w:rsidRPr="00EF2C33">
        <w:t xml:space="preserve"> (Cth)</w:t>
      </w:r>
      <w:r w:rsidR="00A07D14">
        <w:t xml:space="preserve"> (which made changes to the </w:t>
      </w:r>
      <w:r w:rsidR="000F060E">
        <w:rPr>
          <w:i/>
          <w:iCs/>
        </w:rPr>
        <w:t xml:space="preserve">Sex Discrimination Act 1984 </w:t>
      </w:r>
      <w:r w:rsidR="000F060E">
        <w:t>(Cth) (</w:t>
      </w:r>
      <w:r w:rsidR="00A07D14">
        <w:t>Sex Discrimination Act</w:t>
      </w:r>
      <w:r w:rsidR="000F060E">
        <w:t>)</w:t>
      </w:r>
      <w:r w:rsidR="00A07D14">
        <w:t xml:space="preserve"> to implement recommendations in the Respect@Work report)</w:t>
      </w:r>
      <w:r w:rsidRPr="00EF2C33">
        <w:t xml:space="preserve">; </w:t>
      </w:r>
    </w:p>
    <w:bookmarkEnd w:id="30"/>
    <w:p w14:paraId="06323A25" w14:textId="31390496" w:rsidR="004B692B" w:rsidRPr="00EF2C33" w:rsidRDefault="004B692B" w:rsidP="00200316">
      <w:pPr>
        <w:keepLines/>
        <w:numPr>
          <w:ilvl w:val="0"/>
          <w:numId w:val="6"/>
        </w:numPr>
        <w:spacing w:after="0" w:line="259" w:lineRule="auto"/>
        <w:ind w:left="714" w:right="-284" w:hanging="357"/>
        <w:jc w:val="both"/>
      </w:pPr>
      <w:r w:rsidRPr="00EF2C33">
        <w:t>the</w:t>
      </w:r>
      <w:r w:rsidR="008C1514">
        <w:t xml:space="preserve"> r</w:t>
      </w:r>
      <w:r w:rsidRPr="00EF2C33">
        <w:t xml:space="preserve">eport </w:t>
      </w:r>
      <w:r w:rsidR="008C1514">
        <w:t xml:space="preserve">on the </w:t>
      </w:r>
      <w:r w:rsidRPr="008C1514">
        <w:rPr>
          <w:i/>
          <w:iCs/>
        </w:rPr>
        <w:t>Inquiry into serious vilification and hate crime</w:t>
      </w:r>
      <w:r w:rsidRPr="00EF2C33">
        <w:t xml:space="preserve"> </w:t>
      </w:r>
      <w:r w:rsidR="008C1514">
        <w:t>(Report No. 22, 57</w:t>
      </w:r>
      <w:r w:rsidR="008C1514" w:rsidRPr="008C1514">
        <w:rPr>
          <w:vertAlign w:val="superscript"/>
        </w:rPr>
        <w:t>th</w:t>
      </w:r>
      <w:r w:rsidR="008C1514">
        <w:t xml:space="preserve"> Parliament) </w:t>
      </w:r>
      <w:r w:rsidRPr="00EF2C33">
        <w:t>by the Legal Affairs and Safety Committee</w:t>
      </w:r>
      <w:r w:rsidR="008C1514">
        <w:t xml:space="preserve"> </w:t>
      </w:r>
      <w:r w:rsidRPr="00EF2C33">
        <w:t xml:space="preserve">(LASC) (LASC Vilification Report) tabled on 31 January 2022, the </w:t>
      </w:r>
      <w:r w:rsidRPr="00F8452B">
        <w:rPr>
          <w:i/>
          <w:iCs/>
        </w:rPr>
        <w:t xml:space="preserve">Criminal Code (Serious Vilification and Hate Crimes) and Other Legislation Amendment </w:t>
      </w:r>
      <w:r w:rsidR="00F8452B" w:rsidRPr="00F8452B">
        <w:rPr>
          <w:i/>
          <w:iCs/>
        </w:rPr>
        <w:t>Act 2023</w:t>
      </w:r>
      <w:r w:rsidRPr="00EF2C33">
        <w:t xml:space="preserve"> (</w:t>
      </w:r>
      <w:bookmarkStart w:id="32" w:name="_Hlk136869125"/>
      <w:r w:rsidRPr="00EF2C33">
        <w:t xml:space="preserve">Vilification and Hate Crimes </w:t>
      </w:r>
      <w:r w:rsidR="00F8452B">
        <w:t>Act</w:t>
      </w:r>
      <w:bookmarkEnd w:id="32"/>
      <w:r w:rsidRPr="00EF2C33">
        <w:t xml:space="preserve">) </w:t>
      </w:r>
      <w:r>
        <w:t>assented to on 19 October 2023</w:t>
      </w:r>
      <w:r w:rsidRPr="00EF2C33">
        <w:t xml:space="preserve">, and </w:t>
      </w:r>
      <w:bookmarkStart w:id="33" w:name="_Hlk141869956"/>
      <w:r w:rsidR="00F8452B">
        <w:t xml:space="preserve">LASC’s </w:t>
      </w:r>
      <w:r w:rsidR="008C1514">
        <w:t>r</w:t>
      </w:r>
      <w:r w:rsidR="00F8452B">
        <w:t>e</w:t>
      </w:r>
      <w:r w:rsidRPr="00EF2C33">
        <w:t xml:space="preserve">port on the </w:t>
      </w:r>
      <w:r w:rsidRPr="008C1514">
        <w:rPr>
          <w:i/>
          <w:iCs/>
        </w:rPr>
        <w:t>Criminal Code (Serious Vilification and Hate Crimes) and Other Legislation Amendment Bill 2023</w:t>
      </w:r>
      <w:r w:rsidRPr="00EF2C33">
        <w:t xml:space="preserve"> (Report No. 49, 57th Parliament) </w:t>
      </w:r>
      <w:bookmarkEnd w:id="33"/>
      <w:r w:rsidRPr="00EF2C33">
        <w:t xml:space="preserve">(LASC </w:t>
      </w:r>
      <w:bookmarkStart w:id="34" w:name="_Hlk141866085"/>
      <w:r w:rsidRPr="00EF2C33">
        <w:t>Vilification and Hate Crimes Bill Report</w:t>
      </w:r>
      <w:bookmarkEnd w:id="34"/>
      <w:r w:rsidRPr="00EF2C33">
        <w:t>);</w:t>
      </w:r>
      <w:r w:rsidR="008A0B0A">
        <w:t xml:space="preserve"> and</w:t>
      </w:r>
    </w:p>
    <w:p w14:paraId="4FED5B68" w14:textId="17D9BC2D" w:rsidR="004B692B" w:rsidRPr="00EF2C33" w:rsidRDefault="004B692B" w:rsidP="00200316">
      <w:pPr>
        <w:keepLines/>
        <w:numPr>
          <w:ilvl w:val="0"/>
          <w:numId w:val="6"/>
        </w:numPr>
        <w:spacing w:after="0" w:line="259" w:lineRule="auto"/>
        <w:ind w:left="714" w:right="-284" w:hanging="357"/>
        <w:jc w:val="both"/>
      </w:pPr>
      <w:r w:rsidRPr="00EF2C33">
        <w:t>the Australian Law Reform Commission’s review of religious educational institutions and anti-discrimination laws; and</w:t>
      </w:r>
    </w:p>
    <w:p w14:paraId="5FD886F0" w14:textId="491047DA" w:rsidR="004B692B" w:rsidRPr="00EF2C33" w:rsidRDefault="004B692B" w:rsidP="00200316">
      <w:pPr>
        <w:keepLines/>
        <w:numPr>
          <w:ilvl w:val="0"/>
          <w:numId w:val="6"/>
        </w:numPr>
        <w:spacing w:after="0" w:line="259" w:lineRule="auto"/>
        <w:ind w:left="714" w:right="-284" w:hanging="357"/>
        <w:jc w:val="both"/>
      </w:pPr>
      <w:r w:rsidRPr="00EF2C33">
        <w:t xml:space="preserve">the Queensland Law Reform Commission’s Report: </w:t>
      </w:r>
      <w:r w:rsidRPr="00EF2C33">
        <w:rPr>
          <w:i/>
          <w:iCs/>
        </w:rPr>
        <w:t>A decriminalised sex-work industry for Queensland</w:t>
      </w:r>
      <w:r w:rsidRPr="00EF2C33">
        <w:t xml:space="preserve"> tabled on 24 April 2023. </w:t>
      </w:r>
    </w:p>
    <w:p w14:paraId="3352704B" w14:textId="7C021232" w:rsidR="00D35A1B" w:rsidRPr="00705B57" w:rsidRDefault="00D35A1B" w:rsidP="004E49AC">
      <w:pPr>
        <w:pStyle w:val="Heading3"/>
      </w:pPr>
      <w:bookmarkStart w:id="35" w:name="_Toc159520251"/>
      <w:r w:rsidRPr="00705B57">
        <w:t xml:space="preserve">The </w:t>
      </w:r>
      <w:r w:rsidR="00973C87" w:rsidRPr="00705B57">
        <w:t>proposed reforms and consultation</w:t>
      </w:r>
      <w:bookmarkEnd w:id="35"/>
    </w:p>
    <w:p w14:paraId="18475500" w14:textId="791E92FB" w:rsidR="008A0B0A" w:rsidRPr="008A0B0A" w:rsidRDefault="008A0B0A" w:rsidP="008A0B0A">
      <w:pPr>
        <w:rPr>
          <w:szCs w:val="22"/>
        </w:rPr>
      </w:pPr>
      <w:bookmarkStart w:id="36" w:name="_Hlk97917935"/>
      <w:r w:rsidRPr="008A0B0A">
        <w:rPr>
          <w:szCs w:val="22"/>
        </w:rPr>
        <w:t>The Building Belonging</w:t>
      </w:r>
      <w:r w:rsidRPr="008A0B0A">
        <w:rPr>
          <w:i/>
          <w:iCs/>
          <w:szCs w:val="22"/>
        </w:rPr>
        <w:t xml:space="preserve"> </w:t>
      </w:r>
      <w:r w:rsidRPr="008A0B0A">
        <w:rPr>
          <w:bCs/>
          <w:szCs w:val="22"/>
        </w:rPr>
        <w:t>Report</w:t>
      </w:r>
      <w:r w:rsidRPr="008A0B0A" w:rsidDel="00FD7D35">
        <w:rPr>
          <w:szCs w:val="22"/>
        </w:rPr>
        <w:t xml:space="preserve"> </w:t>
      </w:r>
      <w:r w:rsidRPr="008A0B0A">
        <w:rPr>
          <w:szCs w:val="22"/>
        </w:rPr>
        <w:t xml:space="preserve">recommends a holistic redrafting of the current AD Act. </w:t>
      </w:r>
    </w:p>
    <w:p w14:paraId="39957E01" w14:textId="77777777" w:rsidR="008A0B0A" w:rsidRPr="00705B57" w:rsidRDefault="008A0B0A" w:rsidP="008A0B0A">
      <w:pPr>
        <w:rPr>
          <w:bCs/>
          <w:szCs w:val="22"/>
        </w:rPr>
      </w:pPr>
      <w:r w:rsidRPr="008A0B0A">
        <w:rPr>
          <w:szCs w:val="22"/>
        </w:rPr>
        <w:t xml:space="preserve">The proposed new anti-discrimination law will fundamentally alter the operation of Queensland’s discrimination legislation with a view to ensuring it is a modern and </w:t>
      </w:r>
      <w:r w:rsidRPr="008A0B0A">
        <w:rPr>
          <w:bCs/>
          <w:szCs w:val="22"/>
        </w:rPr>
        <w:t>effective instrument that appropriately protects people from discrimination, sexual harassment, vilification and other objectionable/unlawful conduct.</w:t>
      </w:r>
    </w:p>
    <w:p w14:paraId="53F06E37" w14:textId="081031C0" w:rsidR="008A0B0A" w:rsidRPr="008A0B0A" w:rsidRDefault="008A0B0A" w:rsidP="008A0B0A">
      <w:pPr>
        <w:rPr>
          <w:bCs/>
          <w:szCs w:val="22"/>
        </w:rPr>
      </w:pPr>
      <w:r w:rsidRPr="008A0B0A">
        <w:rPr>
          <w:bCs/>
          <w:szCs w:val="22"/>
        </w:rPr>
        <w:t>The</w:t>
      </w:r>
      <w:r w:rsidR="00D84C1E">
        <w:rPr>
          <w:bCs/>
          <w:szCs w:val="22"/>
        </w:rPr>
        <w:t xml:space="preserve"> purpose of the</w:t>
      </w:r>
      <w:r w:rsidRPr="008A0B0A">
        <w:rPr>
          <w:bCs/>
          <w:szCs w:val="22"/>
        </w:rPr>
        <w:t xml:space="preserve"> </w:t>
      </w:r>
      <w:r w:rsidRPr="008A0B0A">
        <w:rPr>
          <w:b/>
          <w:szCs w:val="22"/>
        </w:rPr>
        <w:t>attached draft Bill</w:t>
      </w:r>
      <w:r w:rsidR="00D84C1E">
        <w:rPr>
          <w:b/>
          <w:szCs w:val="22"/>
        </w:rPr>
        <w:t xml:space="preserve"> is to</w:t>
      </w:r>
      <w:r w:rsidRPr="008A0B0A">
        <w:rPr>
          <w:bCs/>
          <w:szCs w:val="22"/>
        </w:rPr>
        <w:t>:</w:t>
      </w:r>
    </w:p>
    <w:p w14:paraId="5B99A49A" w14:textId="77777777" w:rsidR="00D84C1E" w:rsidRPr="00D84C1E" w:rsidRDefault="00D84C1E" w:rsidP="00D84C1E">
      <w:pPr>
        <w:numPr>
          <w:ilvl w:val="0"/>
          <w:numId w:val="3"/>
        </w:numPr>
        <w:rPr>
          <w:bCs/>
          <w:szCs w:val="22"/>
        </w:rPr>
      </w:pPr>
      <w:r w:rsidRPr="00D84C1E">
        <w:rPr>
          <w:bCs/>
          <w:szCs w:val="22"/>
        </w:rPr>
        <w:t>promote and protect the rights to equality and non-discrimination;</w:t>
      </w:r>
    </w:p>
    <w:p w14:paraId="304C9C29" w14:textId="77777777" w:rsidR="00D84C1E" w:rsidRPr="00D84C1E" w:rsidRDefault="00D84C1E" w:rsidP="00D84C1E">
      <w:pPr>
        <w:numPr>
          <w:ilvl w:val="0"/>
          <w:numId w:val="3"/>
        </w:numPr>
        <w:rPr>
          <w:bCs/>
          <w:szCs w:val="22"/>
        </w:rPr>
      </w:pPr>
      <w:r w:rsidRPr="00D84C1E">
        <w:rPr>
          <w:bCs/>
          <w:szCs w:val="22"/>
        </w:rPr>
        <w:t xml:space="preserve">eliminate discrimination, sexual harassment, vilification and other unlawful conduct to the greatest extent possible; </w:t>
      </w:r>
    </w:p>
    <w:p w14:paraId="060FA02C" w14:textId="77777777" w:rsidR="00D84C1E" w:rsidRPr="00D84C1E" w:rsidRDefault="00D84C1E" w:rsidP="00D84C1E">
      <w:pPr>
        <w:numPr>
          <w:ilvl w:val="0"/>
          <w:numId w:val="3"/>
        </w:numPr>
        <w:rPr>
          <w:bCs/>
          <w:szCs w:val="22"/>
        </w:rPr>
      </w:pPr>
      <w:r w:rsidRPr="00D84C1E">
        <w:rPr>
          <w:bCs/>
          <w:szCs w:val="22"/>
        </w:rPr>
        <w:t>promote and facilitate the identification and elimination of systemic causes of discrimination, sexual harassment, vilification and victimisation;</w:t>
      </w:r>
    </w:p>
    <w:p w14:paraId="20807235" w14:textId="77777777" w:rsidR="00D84C1E" w:rsidRPr="00D84C1E" w:rsidRDefault="00D84C1E" w:rsidP="00D84C1E">
      <w:pPr>
        <w:numPr>
          <w:ilvl w:val="0"/>
          <w:numId w:val="3"/>
        </w:numPr>
        <w:rPr>
          <w:bCs/>
          <w:szCs w:val="22"/>
        </w:rPr>
      </w:pPr>
      <w:r w:rsidRPr="00D84C1E">
        <w:rPr>
          <w:bCs/>
          <w:szCs w:val="22"/>
        </w:rPr>
        <w:t>promote and facilitate voluntary compliance with the legislation; and</w:t>
      </w:r>
    </w:p>
    <w:p w14:paraId="7AAA13E5" w14:textId="77777777" w:rsidR="00D84C1E" w:rsidRPr="00D84C1E" w:rsidRDefault="00D84C1E" w:rsidP="00D84C1E">
      <w:pPr>
        <w:numPr>
          <w:ilvl w:val="0"/>
          <w:numId w:val="3"/>
        </w:numPr>
        <w:rPr>
          <w:bCs/>
          <w:szCs w:val="22"/>
        </w:rPr>
      </w:pPr>
      <w:r w:rsidRPr="00D84C1E">
        <w:rPr>
          <w:bCs/>
          <w:szCs w:val="22"/>
        </w:rPr>
        <w:t xml:space="preserve">establish a flexible and efficient process for resolving complaints about alleged contraventions of the legislation. </w:t>
      </w:r>
    </w:p>
    <w:p w14:paraId="760DFE1E" w14:textId="77777777" w:rsidR="008A0B0A" w:rsidRPr="008A0B0A" w:rsidRDefault="008A0B0A" w:rsidP="004E49AC">
      <w:pPr>
        <w:pStyle w:val="Heading4"/>
      </w:pPr>
      <w:bookmarkStart w:id="37" w:name="_Toc159520252"/>
      <w:r w:rsidRPr="008A0B0A">
        <w:t>New emphasis on substantive equality</w:t>
      </w:r>
      <w:bookmarkEnd w:id="37"/>
    </w:p>
    <w:bookmarkEnd w:id="36"/>
    <w:p w14:paraId="11DAC8C6" w14:textId="77777777" w:rsidR="008A0B0A" w:rsidRPr="008A0B0A" w:rsidRDefault="008A0B0A" w:rsidP="008A0B0A">
      <w:pPr>
        <w:rPr>
          <w:szCs w:val="22"/>
        </w:rPr>
      </w:pPr>
      <w:r w:rsidRPr="008A0B0A">
        <w:rPr>
          <w:szCs w:val="22"/>
        </w:rPr>
        <w:t xml:space="preserve">Modern anti-discrimination laws have a greater emphasis on achieving substantive equality, not simply formal equality. Formal equality encourages neutrality of treatment. It is underpinned by the view that to achieve equality everybody must be treated alike. The first wave of anti-discrimination laws reflected this approach.  This approach has been subject to criticism, including on the basis that not everyone starts on an equal footing, and so equal treatment will not address the results of systemic and historical inequalities and disadvantages for certain groups in society. </w:t>
      </w:r>
    </w:p>
    <w:p w14:paraId="6778BF0B" w14:textId="51FBE481" w:rsidR="00882B97" w:rsidRDefault="008A0B0A" w:rsidP="008A0B0A">
      <w:pPr>
        <w:rPr>
          <w:szCs w:val="22"/>
        </w:rPr>
      </w:pPr>
      <w:r w:rsidRPr="008A0B0A">
        <w:rPr>
          <w:szCs w:val="22"/>
        </w:rPr>
        <w:t xml:space="preserve">In contrast, substantive equality is focused on equalising the starting point, recognising that it may be necessary to accommodate differences, and treat various groups differently to achieve real (and substantive) equality. </w:t>
      </w:r>
    </w:p>
    <w:p w14:paraId="477A08FF" w14:textId="77777777" w:rsidR="00882B97" w:rsidRDefault="00882B97">
      <w:pPr>
        <w:spacing w:after="0"/>
        <w:rPr>
          <w:szCs w:val="22"/>
        </w:rPr>
      </w:pPr>
      <w:r>
        <w:rPr>
          <w:szCs w:val="22"/>
        </w:rPr>
        <w:br w:type="page"/>
      </w:r>
    </w:p>
    <w:p w14:paraId="1E45E802" w14:textId="77777777" w:rsidR="008A0B0A" w:rsidRPr="008A0B0A" w:rsidRDefault="008A0B0A" w:rsidP="008A0B0A">
      <w:pPr>
        <w:rPr>
          <w:szCs w:val="22"/>
        </w:rPr>
      </w:pPr>
      <w:bookmarkStart w:id="38" w:name="_Hlk158829410"/>
      <w:r w:rsidRPr="008A0B0A">
        <w:rPr>
          <w:szCs w:val="22"/>
        </w:rPr>
        <w:lastRenderedPageBreak/>
        <w:t>Many of the recommendations of the Building Belonging Report and the reforms proposed for the new anti-discrimination law are aimed at achieving substantive equality. These include recommendations in relation to:</w:t>
      </w:r>
    </w:p>
    <w:p w14:paraId="7AE2547D" w14:textId="4764D216" w:rsidR="008A0B0A" w:rsidRPr="008A0B0A" w:rsidRDefault="008A0B0A" w:rsidP="00721411">
      <w:pPr>
        <w:numPr>
          <w:ilvl w:val="0"/>
          <w:numId w:val="20"/>
        </w:numPr>
        <w:contextualSpacing/>
        <w:rPr>
          <w:szCs w:val="22"/>
        </w:rPr>
      </w:pPr>
      <w:bookmarkStart w:id="39" w:name="_Hlk159507526"/>
      <w:r w:rsidRPr="008A0B0A">
        <w:rPr>
          <w:szCs w:val="22"/>
        </w:rPr>
        <w:t xml:space="preserve">the </w:t>
      </w:r>
      <w:r w:rsidR="000144E6">
        <w:rPr>
          <w:szCs w:val="22"/>
        </w:rPr>
        <w:t>main</w:t>
      </w:r>
      <w:r w:rsidRPr="008A0B0A">
        <w:rPr>
          <w:szCs w:val="22"/>
        </w:rPr>
        <w:t xml:space="preserve"> </w:t>
      </w:r>
      <w:r w:rsidR="005C311B" w:rsidRPr="002E7F89">
        <w:rPr>
          <w:b/>
          <w:bCs/>
          <w:szCs w:val="22"/>
        </w:rPr>
        <w:t xml:space="preserve">purposes </w:t>
      </w:r>
      <w:r w:rsidRPr="005C311B">
        <w:rPr>
          <w:b/>
          <w:bCs/>
          <w:szCs w:val="22"/>
        </w:rPr>
        <w:t>of the</w:t>
      </w:r>
      <w:r w:rsidRPr="008A0B0A">
        <w:rPr>
          <w:b/>
          <w:bCs/>
          <w:szCs w:val="22"/>
        </w:rPr>
        <w:t xml:space="preserve"> draft Bill</w:t>
      </w:r>
      <w:r w:rsidRPr="008A0B0A">
        <w:rPr>
          <w:szCs w:val="22"/>
        </w:rPr>
        <w:t>, which include to eliminate discrimination, sexual harassment, vilification and victimisation and other unlawful conduct to the greatest extent possible (clause 8);</w:t>
      </w:r>
    </w:p>
    <w:p w14:paraId="57D02F5A" w14:textId="77777777" w:rsidR="008A0B0A" w:rsidRPr="008A0B0A" w:rsidRDefault="008A0B0A" w:rsidP="00721411">
      <w:pPr>
        <w:numPr>
          <w:ilvl w:val="0"/>
          <w:numId w:val="20"/>
        </w:numPr>
        <w:contextualSpacing/>
        <w:rPr>
          <w:szCs w:val="22"/>
        </w:rPr>
      </w:pPr>
      <w:r w:rsidRPr="008A0B0A">
        <w:rPr>
          <w:szCs w:val="22"/>
        </w:rPr>
        <w:t xml:space="preserve">the </w:t>
      </w:r>
      <w:r w:rsidRPr="008A0B0A">
        <w:rPr>
          <w:b/>
          <w:bCs/>
          <w:szCs w:val="22"/>
        </w:rPr>
        <w:t>introduction of a positive duty</w:t>
      </w:r>
      <w:r w:rsidRPr="008A0B0A">
        <w:rPr>
          <w:szCs w:val="22"/>
        </w:rPr>
        <w:t xml:space="preserve"> to take reasonable and proportionate measures to eliminate discrimination, sexual harassment, vilification and victimisation as far as possible (clause 19); </w:t>
      </w:r>
    </w:p>
    <w:p w14:paraId="68B577EB" w14:textId="77777777" w:rsidR="008A0B0A" w:rsidRPr="008A0B0A" w:rsidRDefault="008A0B0A" w:rsidP="00721411">
      <w:pPr>
        <w:numPr>
          <w:ilvl w:val="0"/>
          <w:numId w:val="20"/>
        </w:numPr>
        <w:contextualSpacing/>
        <w:rPr>
          <w:szCs w:val="22"/>
        </w:rPr>
      </w:pPr>
      <w:r w:rsidRPr="008A0B0A">
        <w:rPr>
          <w:szCs w:val="22"/>
        </w:rPr>
        <w:t xml:space="preserve">the </w:t>
      </w:r>
      <w:r w:rsidRPr="008A0B0A">
        <w:rPr>
          <w:b/>
          <w:bCs/>
          <w:szCs w:val="22"/>
        </w:rPr>
        <w:t>introduction of a positive duty to make reasonable accommodation</w:t>
      </w:r>
      <w:r w:rsidRPr="008A0B0A">
        <w:rPr>
          <w:szCs w:val="22"/>
        </w:rPr>
        <w:t xml:space="preserve"> for a person with disability (clause 18); </w:t>
      </w:r>
    </w:p>
    <w:p w14:paraId="14C6659D" w14:textId="77777777" w:rsidR="008A0B0A" w:rsidRPr="008A0B0A" w:rsidRDefault="008A0B0A" w:rsidP="00721411">
      <w:pPr>
        <w:numPr>
          <w:ilvl w:val="0"/>
          <w:numId w:val="20"/>
        </w:numPr>
        <w:contextualSpacing/>
        <w:rPr>
          <w:szCs w:val="22"/>
        </w:rPr>
      </w:pPr>
      <w:r w:rsidRPr="008A0B0A">
        <w:rPr>
          <w:szCs w:val="22"/>
        </w:rPr>
        <w:t>provision for ‘</w:t>
      </w:r>
      <w:r w:rsidRPr="008A0B0A">
        <w:rPr>
          <w:b/>
          <w:bCs/>
          <w:szCs w:val="22"/>
        </w:rPr>
        <w:t>affirmative measures’</w:t>
      </w:r>
      <w:r w:rsidRPr="008A0B0A">
        <w:rPr>
          <w:szCs w:val="22"/>
        </w:rPr>
        <w:t xml:space="preserve"> to be made for the purpose of promoting or realising substantive equality for members of a group with a protected attribute or a particular combination of protected attributes (clause 16);</w:t>
      </w:r>
    </w:p>
    <w:p w14:paraId="1A34F973" w14:textId="77777777" w:rsidR="008A0B0A" w:rsidRPr="008A0B0A" w:rsidRDefault="008A0B0A" w:rsidP="00721411">
      <w:pPr>
        <w:numPr>
          <w:ilvl w:val="0"/>
          <w:numId w:val="20"/>
        </w:numPr>
        <w:contextualSpacing/>
        <w:rPr>
          <w:szCs w:val="22"/>
        </w:rPr>
      </w:pPr>
      <w:r w:rsidRPr="008A0B0A">
        <w:rPr>
          <w:szCs w:val="22"/>
        </w:rPr>
        <w:t>additional requirements for ‘</w:t>
      </w:r>
      <w:r w:rsidRPr="008A0B0A">
        <w:rPr>
          <w:b/>
          <w:bCs/>
          <w:szCs w:val="22"/>
        </w:rPr>
        <w:t>affirmative measures’ for members of a particular race</w:t>
      </w:r>
      <w:r w:rsidRPr="008A0B0A">
        <w:rPr>
          <w:szCs w:val="22"/>
        </w:rPr>
        <w:t xml:space="preserve"> (clause 16);</w:t>
      </w:r>
    </w:p>
    <w:p w14:paraId="7D527A34" w14:textId="77777777" w:rsidR="008A0B0A" w:rsidRPr="008A0B0A" w:rsidRDefault="008A0B0A" w:rsidP="00721411">
      <w:pPr>
        <w:numPr>
          <w:ilvl w:val="0"/>
          <w:numId w:val="20"/>
        </w:numPr>
        <w:contextualSpacing/>
        <w:rPr>
          <w:szCs w:val="22"/>
        </w:rPr>
      </w:pPr>
      <w:r w:rsidRPr="008A0B0A">
        <w:rPr>
          <w:szCs w:val="22"/>
        </w:rPr>
        <w:t xml:space="preserve">new </w:t>
      </w:r>
      <w:r w:rsidRPr="008A0B0A">
        <w:rPr>
          <w:b/>
          <w:bCs/>
          <w:szCs w:val="22"/>
        </w:rPr>
        <w:t>compliance functions for the QHRC</w:t>
      </w:r>
      <w:r w:rsidRPr="008A0B0A">
        <w:rPr>
          <w:szCs w:val="22"/>
        </w:rPr>
        <w:t xml:space="preserve"> including a new regulatory approach for promoting compliance with the new duties and obligations under the Bill (Part 10); and</w:t>
      </w:r>
    </w:p>
    <w:p w14:paraId="60271D64" w14:textId="77777777" w:rsidR="008A0B0A" w:rsidRPr="008A0B0A" w:rsidRDefault="008A0B0A" w:rsidP="00721411">
      <w:pPr>
        <w:numPr>
          <w:ilvl w:val="0"/>
          <w:numId w:val="20"/>
        </w:numPr>
        <w:contextualSpacing/>
        <w:rPr>
          <w:szCs w:val="22"/>
        </w:rPr>
      </w:pPr>
      <w:r w:rsidRPr="008A0B0A">
        <w:rPr>
          <w:szCs w:val="22"/>
        </w:rPr>
        <w:t xml:space="preserve">allowing for </w:t>
      </w:r>
      <w:r w:rsidRPr="008A0B0A">
        <w:rPr>
          <w:b/>
          <w:bCs/>
          <w:szCs w:val="22"/>
        </w:rPr>
        <w:t>complaints by organisations</w:t>
      </w:r>
      <w:r w:rsidRPr="008A0B0A">
        <w:rPr>
          <w:szCs w:val="22"/>
        </w:rPr>
        <w:t xml:space="preserve"> who have an interest in promoting the interests or welfare of persons with protected attributes (interested body complaints) and representative complaints in certain circumstances (Part 9).</w:t>
      </w:r>
    </w:p>
    <w:bookmarkEnd w:id="38"/>
    <w:bookmarkEnd w:id="39"/>
    <w:p w14:paraId="579F72F2" w14:textId="77777777" w:rsidR="008A0B0A" w:rsidRPr="008A0B0A" w:rsidRDefault="008A0B0A" w:rsidP="008A0B0A">
      <w:pPr>
        <w:rPr>
          <w:szCs w:val="22"/>
        </w:rPr>
      </w:pPr>
    </w:p>
    <w:p w14:paraId="2A439D2C" w14:textId="77777777" w:rsidR="008A0B0A" w:rsidRDefault="008A0B0A">
      <w:pPr>
        <w:spacing w:after="0"/>
      </w:pPr>
    </w:p>
    <w:p w14:paraId="0E1A2275" w14:textId="77777777" w:rsidR="008A0B0A" w:rsidRDefault="008A0B0A">
      <w:pPr>
        <w:spacing w:after="0"/>
        <w:rPr>
          <w:rFonts w:asciiTheme="majorHAnsi" w:eastAsiaTheme="majorEastAsia" w:hAnsiTheme="majorHAnsi" w:cstheme="majorBidi"/>
          <w:b/>
          <w:color w:val="033651" w:themeColor="accent1"/>
          <w:sz w:val="40"/>
          <w:szCs w:val="26"/>
        </w:rPr>
      </w:pPr>
      <w:r>
        <w:br w:type="page"/>
      </w:r>
    </w:p>
    <w:p w14:paraId="50744494" w14:textId="6A95E2F6" w:rsidR="004B692B" w:rsidRPr="00002FB0" w:rsidRDefault="004B692B" w:rsidP="004E49AC">
      <w:pPr>
        <w:pStyle w:val="Heading1"/>
      </w:pPr>
      <w:bookmarkStart w:id="40" w:name="_Toc159520253"/>
      <w:r w:rsidRPr="00002FB0">
        <w:lastRenderedPageBreak/>
        <w:t>Part Two</w:t>
      </w:r>
      <w:r w:rsidRPr="001C7316">
        <w:t xml:space="preserve"> – Guide</w:t>
      </w:r>
      <w:r w:rsidRPr="000F0E94">
        <w:t xml:space="preserve"> to </w:t>
      </w:r>
      <w:r w:rsidR="003A1523">
        <w:t>Draft Bill</w:t>
      </w:r>
      <w:bookmarkEnd w:id="40"/>
    </w:p>
    <w:p w14:paraId="13EB1188" w14:textId="2A9F92F5" w:rsidR="004B692B" w:rsidRDefault="004B692B" w:rsidP="00793AEF">
      <w:pPr>
        <w:keepLines/>
        <w:spacing w:before="120"/>
        <w:ind w:right="-284"/>
        <w:jc w:val="both"/>
      </w:pPr>
      <w:r>
        <w:t xml:space="preserve">The draft Bill contains </w:t>
      </w:r>
      <w:r w:rsidRPr="00705B57">
        <w:rPr>
          <w:b/>
          <w:bCs/>
        </w:rPr>
        <w:t>1</w:t>
      </w:r>
      <w:r w:rsidR="008C1514" w:rsidRPr="00705B57">
        <w:rPr>
          <w:b/>
          <w:bCs/>
        </w:rPr>
        <w:t>8</w:t>
      </w:r>
      <w:r w:rsidRPr="00705B57">
        <w:rPr>
          <w:b/>
          <w:bCs/>
        </w:rPr>
        <w:t xml:space="preserve"> parts</w:t>
      </w:r>
      <w:r>
        <w:t>, which are addressed below.</w:t>
      </w:r>
    </w:p>
    <w:p w14:paraId="3774A159" w14:textId="77777777" w:rsidR="004B692B" w:rsidRPr="000F0E94" w:rsidRDefault="004B692B" w:rsidP="004E49AC">
      <w:pPr>
        <w:pStyle w:val="Heading2"/>
      </w:pPr>
      <w:bookmarkStart w:id="41" w:name="_Toc159520254"/>
      <w:r>
        <w:t xml:space="preserve">Part 1 - </w:t>
      </w:r>
      <w:r w:rsidRPr="000F0E94">
        <w:t>Preliminary</w:t>
      </w:r>
      <w:bookmarkEnd w:id="41"/>
      <w:r w:rsidRPr="000F0E94">
        <w:t xml:space="preserve"> </w:t>
      </w:r>
    </w:p>
    <w:p w14:paraId="105E9EB7" w14:textId="44680C21" w:rsidR="004B692B" w:rsidRDefault="004B692B" w:rsidP="00793AEF">
      <w:pPr>
        <w:jc w:val="both"/>
      </w:pPr>
      <w:r w:rsidRPr="005C311B">
        <w:t>Part 1</w:t>
      </w:r>
      <w:r>
        <w:t xml:space="preserve"> of the draft Bill </w:t>
      </w:r>
      <w:r w:rsidR="00705B57">
        <w:t>provides for commencement (</w:t>
      </w:r>
      <w:r w:rsidR="00705B57" w:rsidRPr="00974880">
        <w:rPr>
          <w:b/>
          <w:bCs/>
        </w:rPr>
        <w:t>clause 2</w:t>
      </w:r>
      <w:r w:rsidR="00705B57">
        <w:t>); the application of the Act (</w:t>
      </w:r>
      <w:r w:rsidR="00705B57" w:rsidRPr="00974880">
        <w:rPr>
          <w:b/>
          <w:bCs/>
        </w:rPr>
        <w:t>clauses 3, 4 and 5</w:t>
      </w:r>
      <w:r w:rsidR="00705B57">
        <w:t>); application of the Act to persons with disability who have support persons, assistance animals or disability aids (</w:t>
      </w:r>
      <w:r w:rsidR="00705B57" w:rsidRPr="00974880">
        <w:rPr>
          <w:b/>
          <w:bCs/>
        </w:rPr>
        <w:t>clause 6</w:t>
      </w:r>
      <w:r w:rsidR="00705B57">
        <w:t>); beneficial interpretation (</w:t>
      </w:r>
      <w:r w:rsidR="00705B57" w:rsidRPr="00974880">
        <w:rPr>
          <w:b/>
          <w:bCs/>
        </w:rPr>
        <w:t>clause 7</w:t>
      </w:r>
      <w:r w:rsidR="00705B57">
        <w:t xml:space="preserve">); the </w:t>
      </w:r>
      <w:r w:rsidR="00E543F1">
        <w:t xml:space="preserve">main purposes of the </w:t>
      </w:r>
      <w:r w:rsidR="00705B57">
        <w:t>Act (</w:t>
      </w:r>
      <w:r w:rsidR="00705B57" w:rsidRPr="00974880">
        <w:rPr>
          <w:b/>
          <w:bCs/>
        </w:rPr>
        <w:t>clause 8</w:t>
      </w:r>
      <w:r w:rsidR="00974880">
        <w:t>)</w:t>
      </w:r>
      <w:r w:rsidR="00705B57">
        <w:t>; definitions (</w:t>
      </w:r>
      <w:r w:rsidR="00705B57" w:rsidRPr="00974880">
        <w:rPr>
          <w:b/>
          <w:bCs/>
        </w:rPr>
        <w:t>clause 9</w:t>
      </w:r>
      <w:r w:rsidR="00705B57">
        <w:t>); the list of protected attributes (</w:t>
      </w:r>
      <w:r w:rsidR="00705B57" w:rsidRPr="00974880">
        <w:rPr>
          <w:b/>
          <w:bCs/>
        </w:rPr>
        <w:t>clause 10</w:t>
      </w:r>
      <w:r w:rsidR="00705B57">
        <w:t>); and the definition of reasonable accommodation (</w:t>
      </w:r>
      <w:r w:rsidR="00705B57" w:rsidRPr="00974880">
        <w:rPr>
          <w:b/>
          <w:bCs/>
        </w:rPr>
        <w:t>clause 12</w:t>
      </w:r>
      <w:r w:rsidR="00705B57">
        <w:t>).</w:t>
      </w:r>
    </w:p>
    <w:p w14:paraId="6215BA56" w14:textId="1C12C657" w:rsidR="00974880" w:rsidRDefault="003708B2" w:rsidP="004E49AC">
      <w:pPr>
        <w:pStyle w:val="Heading3"/>
      </w:pPr>
      <w:bookmarkStart w:id="42" w:name="_Toc159520255"/>
      <w:r>
        <w:t>Application of Act to ships connected with Queensland</w:t>
      </w:r>
      <w:bookmarkEnd w:id="42"/>
    </w:p>
    <w:p w14:paraId="6DBFE8D2" w14:textId="201356EA" w:rsidR="00974880" w:rsidRDefault="00974880" w:rsidP="00974880">
      <w:pPr>
        <w:rPr>
          <w:color w:val="auto"/>
          <w:sz w:val="24"/>
        </w:rPr>
      </w:pPr>
      <w:r>
        <w:t>In 2001</w:t>
      </w:r>
      <w:r w:rsidR="00865487">
        <w:t>,</w:t>
      </w:r>
      <w:r>
        <w:t xml:space="preserve"> the AD Act was amended specifically to extend the operation of the Act </w:t>
      </w:r>
      <w:bookmarkStart w:id="43" w:name="_Hlk133422969"/>
      <w:r>
        <w:t>extra-territorially to ships which have a connection to Queensland but which are outside Queensland waters at the time of the alleged acts of sexual harassment or discrimination.</w:t>
      </w:r>
      <w:r>
        <w:rPr>
          <w:rStyle w:val="FootnoteReference"/>
        </w:rPr>
        <w:footnoteReference w:id="1"/>
      </w:r>
    </w:p>
    <w:bookmarkEnd w:id="43"/>
    <w:p w14:paraId="7653B660" w14:textId="67248B33" w:rsidR="00974880" w:rsidRDefault="00974880" w:rsidP="00974880">
      <w:r>
        <w:t xml:space="preserve">The amendment addressed the gap arising from the interaction of </w:t>
      </w:r>
      <w:r w:rsidRPr="003708B2">
        <w:t xml:space="preserve">the </w:t>
      </w:r>
      <w:r w:rsidR="00865487">
        <w:t>Sex Discrimination Act</w:t>
      </w:r>
      <w:r w:rsidR="003708B2" w:rsidRPr="003708B2">
        <w:t xml:space="preserve"> </w:t>
      </w:r>
      <w:r w:rsidRPr="003708B2">
        <w:t>and the AD Act, whereby the AD Act was found not to apply to dis</w:t>
      </w:r>
      <w:r>
        <w:t xml:space="preserve">crimination or sexual harassment which occurs outside Queensland territorial waters. In amending the legislation, the Queensland Parliament accepted the decision in </w:t>
      </w:r>
      <w:r>
        <w:rPr>
          <w:i/>
          <w:iCs/>
        </w:rPr>
        <w:t>Carter v Sercombe</w:t>
      </w:r>
      <w:r>
        <w:rPr>
          <w:rStyle w:val="FootnoteReference"/>
        </w:rPr>
        <w:footnoteReference w:id="2"/>
      </w:r>
      <w:r>
        <w:t xml:space="preserve"> that the AD Act does not operate extra-territorially. </w:t>
      </w:r>
    </w:p>
    <w:p w14:paraId="048864E9" w14:textId="1ECC9CAB" w:rsidR="00974880" w:rsidRDefault="00974880" w:rsidP="00974880">
      <w:r>
        <w:t>In 2001</w:t>
      </w:r>
      <w:r w:rsidR="00865487">
        <w:t>,</w:t>
      </w:r>
      <w:r>
        <w:t xml:space="preserve"> the Parliament enacted an express provision to extend the jurisdiction of the AD Act to a limited extent (to ships with a connection with Queensland) but did not allow for a general rule of extra-territorial application. </w:t>
      </w:r>
      <w:r w:rsidR="003708B2">
        <w:t>This provision is retained in the draft Bill.</w:t>
      </w:r>
    </w:p>
    <w:p w14:paraId="0369F46F" w14:textId="769A6AF4" w:rsidR="00974880" w:rsidRDefault="00974880" w:rsidP="004E49AC">
      <w:pPr>
        <w:pStyle w:val="Heading3"/>
      </w:pPr>
      <w:bookmarkStart w:id="44" w:name="_Toc159520256"/>
      <w:r>
        <w:t>Application to employment connected with Queensland</w:t>
      </w:r>
      <w:bookmarkEnd w:id="44"/>
    </w:p>
    <w:p w14:paraId="51C74AF0" w14:textId="0150D666" w:rsidR="003708B2" w:rsidRDefault="003708B2" w:rsidP="00974880">
      <w:pPr>
        <w:jc w:val="both"/>
      </w:pPr>
      <w:r>
        <w:t>It</w:t>
      </w:r>
      <w:r w:rsidRPr="003708B2">
        <w:t xml:space="preserve"> is intended to supplement section 3A of the current Act with a provision that also applies the new Act to contraventions of the new Act in the area of employment that occur outside of Queensland borders where there is a connection to Queensland. </w:t>
      </w:r>
    </w:p>
    <w:p w14:paraId="5C5C78F7" w14:textId="010537B9" w:rsidR="00974880" w:rsidRDefault="00974880" w:rsidP="00974880">
      <w:pPr>
        <w:jc w:val="both"/>
      </w:pPr>
      <w:r>
        <w:t>The draft Bill clarifies that the legislation applies to acts done in relation to employment connected with Queensland, regardless of where the Act is done, and provides criteria for determining whether employment is connected with Queensland (</w:t>
      </w:r>
      <w:r w:rsidRPr="00FA4F78">
        <w:rPr>
          <w:b/>
          <w:bCs/>
        </w:rPr>
        <w:t>clause 5</w:t>
      </w:r>
      <w:r>
        <w:t xml:space="preserve">). </w:t>
      </w:r>
    </w:p>
    <w:p w14:paraId="3C0512C8" w14:textId="12D2E7D2" w:rsidR="00974880" w:rsidRDefault="00974880" w:rsidP="004E49AC">
      <w:pPr>
        <w:pStyle w:val="Heading3"/>
      </w:pPr>
      <w:bookmarkStart w:id="45" w:name="_Toc159520257"/>
      <w:r>
        <w:t>Beneficial interpretation</w:t>
      </w:r>
      <w:bookmarkEnd w:id="45"/>
    </w:p>
    <w:p w14:paraId="2823384F" w14:textId="77777777" w:rsidR="00974880" w:rsidRPr="00974880" w:rsidRDefault="00974880" w:rsidP="00974880">
      <w:pPr>
        <w:jc w:val="both"/>
      </w:pPr>
      <w:r w:rsidRPr="00974880">
        <w:t xml:space="preserve">In the case of </w:t>
      </w:r>
      <w:r w:rsidRPr="00974880">
        <w:rPr>
          <w:i/>
          <w:iCs/>
        </w:rPr>
        <w:t>AB v WA</w:t>
      </w:r>
      <w:r w:rsidRPr="00974880">
        <w:rPr>
          <w:vertAlign w:val="superscript"/>
        </w:rPr>
        <w:footnoteReference w:id="3"/>
      </w:r>
      <w:r w:rsidRPr="00974880">
        <w:t>, the High Court supported the statutory rule of construction that remedial legislation, such as anti-discrimination law, is beneficial legislation and that any ambiguity in interpretation should be resolved in a way that is most favourable to the people the legislation is intended to benefit.</w:t>
      </w:r>
    </w:p>
    <w:p w14:paraId="4955B4ED" w14:textId="403775FF" w:rsidR="00974880" w:rsidRPr="00974880" w:rsidRDefault="00974880" w:rsidP="00974880">
      <w:pPr>
        <w:jc w:val="both"/>
      </w:pPr>
      <w:r w:rsidRPr="00974880">
        <w:t>A new interpretation provision (</w:t>
      </w:r>
      <w:r w:rsidRPr="00974880">
        <w:rPr>
          <w:b/>
          <w:bCs/>
        </w:rPr>
        <w:t>clause 7</w:t>
      </w:r>
      <w:r w:rsidRPr="00974880">
        <w:t xml:space="preserve">) requires the legislation to be interpreted in a way that is beneficial to a person who has a protected attribute to the extent that it is possible to do so consistently with the </w:t>
      </w:r>
      <w:r w:rsidR="005C311B">
        <w:t xml:space="preserve">purposes </w:t>
      </w:r>
      <w:r w:rsidRPr="00974880">
        <w:t xml:space="preserve">of the new Act and the </w:t>
      </w:r>
      <w:r w:rsidRPr="00974880">
        <w:rPr>
          <w:i/>
          <w:iCs/>
        </w:rPr>
        <w:t xml:space="preserve">Human Rights Act 2019 </w:t>
      </w:r>
      <w:r w:rsidRPr="00974880">
        <w:t xml:space="preserve">(Human Rights Act). </w:t>
      </w:r>
    </w:p>
    <w:p w14:paraId="6E0C8653" w14:textId="76222636" w:rsidR="004B692B" w:rsidRPr="00D65678" w:rsidRDefault="004B692B" w:rsidP="004E49AC">
      <w:pPr>
        <w:pStyle w:val="Heading3"/>
      </w:pPr>
      <w:bookmarkStart w:id="46" w:name="_Toc159520258"/>
      <w:r w:rsidRPr="00D65678">
        <w:lastRenderedPageBreak/>
        <w:t xml:space="preserve">Protected </w:t>
      </w:r>
      <w:r>
        <w:t>a</w:t>
      </w:r>
      <w:r w:rsidRPr="00D65678">
        <w:t>ttributes</w:t>
      </w:r>
      <w:bookmarkEnd w:id="46"/>
    </w:p>
    <w:p w14:paraId="0283E25C" w14:textId="51CC81E3" w:rsidR="00E357FE" w:rsidRDefault="004B692B" w:rsidP="00793AEF">
      <w:pPr>
        <w:jc w:val="both"/>
      </w:pPr>
      <w:r>
        <w:t>The draft Bill contains a list of protected attributes (</w:t>
      </w:r>
      <w:r w:rsidRPr="00FA4F78">
        <w:rPr>
          <w:b/>
          <w:bCs/>
        </w:rPr>
        <w:t>clause 10</w:t>
      </w:r>
      <w:r>
        <w:t>). ‘Protected attribute’ is a key concept relevant to discrimination, and particular protected attributes are also relevant to vilification</w:t>
      </w:r>
      <w:r w:rsidRPr="00E6593D">
        <w:t xml:space="preserve">. </w:t>
      </w:r>
    </w:p>
    <w:p w14:paraId="2D9FCEDD" w14:textId="6023B7A4" w:rsidR="00974880" w:rsidRDefault="00974880" w:rsidP="00793AEF">
      <w:pPr>
        <w:jc w:val="both"/>
      </w:pPr>
      <w:r>
        <w:t>The list of protected attributes include:</w:t>
      </w:r>
    </w:p>
    <w:p w14:paraId="42132686" w14:textId="147A2D4C" w:rsidR="00C73C4A" w:rsidRPr="00C73C4A" w:rsidRDefault="00C73C4A" w:rsidP="006F2334">
      <w:pPr>
        <w:ind w:left="720"/>
        <w:jc w:val="both"/>
      </w:pPr>
      <w:r>
        <w:t xml:space="preserve">(a) </w:t>
      </w:r>
      <w:r w:rsidRPr="00C73C4A">
        <w:t>age;</w:t>
      </w:r>
    </w:p>
    <w:p w14:paraId="73B9AC08" w14:textId="77777777" w:rsidR="00C73C4A" w:rsidRPr="00C73C4A" w:rsidRDefault="00C73C4A" w:rsidP="006F2334">
      <w:pPr>
        <w:ind w:left="720"/>
        <w:jc w:val="both"/>
      </w:pPr>
      <w:r w:rsidRPr="00C73C4A">
        <w:t>(b) breastfeeding;</w:t>
      </w:r>
    </w:p>
    <w:p w14:paraId="3509A871" w14:textId="77777777" w:rsidR="00C73C4A" w:rsidRPr="00C73C4A" w:rsidRDefault="00C73C4A" w:rsidP="006F2334">
      <w:pPr>
        <w:ind w:left="720"/>
        <w:jc w:val="both"/>
      </w:pPr>
      <w:r w:rsidRPr="00C73C4A">
        <w:t>(c) disability;</w:t>
      </w:r>
    </w:p>
    <w:p w14:paraId="4E8FC281" w14:textId="77777777" w:rsidR="00C73C4A" w:rsidRPr="00C73C4A" w:rsidRDefault="00C73C4A" w:rsidP="006F2334">
      <w:pPr>
        <w:ind w:left="720"/>
        <w:jc w:val="both"/>
      </w:pPr>
      <w:r w:rsidRPr="00C73C4A">
        <w:t>(d) family, carer or kinship responsibilities;</w:t>
      </w:r>
    </w:p>
    <w:p w14:paraId="7C25A554" w14:textId="77777777" w:rsidR="00C73C4A" w:rsidRPr="00C73C4A" w:rsidRDefault="00C73C4A" w:rsidP="006F2334">
      <w:pPr>
        <w:ind w:left="720"/>
        <w:jc w:val="both"/>
      </w:pPr>
      <w:r w:rsidRPr="00C73C4A">
        <w:t>(e) gender identity;</w:t>
      </w:r>
    </w:p>
    <w:p w14:paraId="4B4478E2" w14:textId="77777777" w:rsidR="00C73C4A" w:rsidRPr="00C73C4A" w:rsidRDefault="00C73C4A" w:rsidP="006F2334">
      <w:pPr>
        <w:ind w:left="720"/>
        <w:jc w:val="both"/>
      </w:pPr>
      <w:r w:rsidRPr="00C73C4A">
        <w:t>(f) homelessness;</w:t>
      </w:r>
    </w:p>
    <w:p w14:paraId="1CDE4933" w14:textId="77777777" w:rsidR="00C73C4A" w:rsidRPr="00C73C4A" w:rsidRDefault="00C73C4A" w:rsidP="006F2334">
      <w:pPr>
        <w:ind w:left="720"/>
        <w:jc w:val="both"/>
      </w:pPr>
      <w:r w:rsidRPr="00C73C4A">
        <w:t>(g) irrelevant criminal record;</w:t>
      </w:r>
    </w:p>
    <w:p w14:paraId="16AAEDDD" w14:textId="77777777" w:rsidR="00C73C4A" w:rsidRPr="00C73C4A" w:rsidRDefault="00C73C4A" w:rsidP="006F2334">
      <w:pPr>
        <w:ind w:left="720"/>
        <w:jc w:val="both"/>
      </w:pPr>
      <w:r w:rsidRPr="00C73C4A">
        <w:t>(h) parental status;</w:t>
      </w:r>
    </w:p>
    <w:p w14:paraId="367403F0" w14:textId="77777777" w:rsidR="00C73C4A" w:rsidRPr="00C73C4A" w:rsidRDefault="00C73C4A" w:rsidP="006F2334">
      <w:pPr>
        <w:ind w:left="720"/>
        <w:jc w:val="both"/>
      </w:pPr>
      <w:r w:rsidRPr="00C73C4A">
        <w:t>(i) physical features;</w:t>
      </w:r>
    </w:p>
    <w:p w14:paraId="1BC7E110" w14:textId="77777777" w:rsidR="00C73C4A" w:rsidRPr="00C73C4A" w:rsidRDefault="00C73C4A" w:rsidP="006F2334">
      <w:pPr>
        <w:ind w:left="720"/>
        <w:jc w:val="both"/>
      </w:pPr>
      <w:r w:rsidRPr="00C73C4A">
        <w:t>(j) political belief or activity;</w:t>
      </w:r>
    </w:p>
    <w:p w14:paraId="5E11D23E" w14:textId="77777777" w:rsidR="00C73C4A" w:rsidRPr="00C73C4A" w:rsidRDefault="00C73C4A" w:rsidP="006F2334">
      <w:pPr>
        <w:ind w:left="720"/>
        <w:jc w:val="both"/>
      </w:pPr>
      <w:r w:rsidRPr="00C73C4A">
        <w:t>(k) pregnancy;</w:t>
      </w:r>
    </w:p>
    <w:p w14:paraId="6CBB6D89" w14:textId="77777777" w:rsidR="00C73C4A" w:rsidRPr="00C73C4A" w:rsidRDefault="00C73C4A" w:rsidP="006F2334">
      <w:pPr>
        <w:ind w:left="720"/>
        <w:jc w:val="both"/>
      </w:pPr>
      <w:r w:rsidRPr="00C73C4A">
        <w:t>(l) race;</w:t>
      </w:r>
    </w:p>
    <w:p w14:paraId="6D6618E1" w14:textId="77777777" w:rsidR="00C73C4A" w:rsidRPr="00C73C4A" w:rsidRDefault="00C73C4A" w:rsidP="006F2334">
      <w:pPr>
        <w:ind w:left="720"/>
        <w:jc w:val="both"/>
      </w:pPr>
      <w:r w:rsidRPr="00C73C4A">
        <w:t>(m) relationship status;</w:t>
      </w:r>
    </w:p>
    <w:p w14:paraId="00D5502D" w14:textId="77777777" w:rsidR="00C73C4A" w:rsidRPr="00C73C4A" w:rsidRDefault="00C73C4A" w:rsidP="006F2334">
      <w:pPr>
        <w:ind w:left="720"/>
        <w:jc w:val="both"/>
      </w:pPr>
      <w:r w:rsidRPr="00C73C4A">
        <w:t>(n) religious belief or religious activity;</w:t>
      </w:r>
    </w:p>
    <w:p w14:paraId="12717923" w14:textId="77777777" w:rsidR="00C73C4A" w:rsidRPr="00C73C4A" w:rsidRDefault="00C73C4A" w:rsidP="006F2334">
      <w:pPr>
        <w:ind w:left="720"/>
        <w:jc w:val="both"/>
      </w:pPr>
      <w:r w:rsidRPr="00C73C4A">
        <w:t>(o) sex;</w:t>
      </w:r>
    </w:p>
    <w:p w14:paraId="2640DC54" w14:textId="77777777" w:rsidR="00C73C4A" w:rsidRPr="00C73C4A" w:rsidRDefault="00C73C4A" w:rsidP="006F2334">
      <w:pPr>
        <w:ind w:left="720"/>
        <w:jc w:val="both"/>
      </w:pPr>
      <w:r w:rsidRPr="00C73C4A">
        <w:t>(p) sex characteristics;</w:t>
      </w:r>
    </w:p>
    <w:p w14:paraId="215152BB" w14:textId="77777777" w:rsidR="00C73C4A" w:rsidRPr="00C73C4A" w:rsidRDefault="00C73C4A" w:rsidP="006F2334">
      <w:pPr>
        <w:ind w:left="720"/>
        <w:jc w:val="both"/>
      </w:pPr>
      <w:r w:rsidRPr="00C73C4A">
        <w:t>(q) sex work activity;</w:t>
      </w:r>
    </w:p>
    <w:p w14:paraId="47DF8159" w14:textId="77777777" w:rsidR="00C73C4A" w:rsidRPr="00C73C4A" w:rsidRDefault="00C73C4A" w:rsidP="006F2334">
      <w:pPr>
        <w:ind w:left="720"/>
        <w:jc w:val="both"/>
      </w:pPr>
      <w:r w:rsidRPr="00C73C4A">
        <w:t>(r) sexual orientation;</w:t>
      </w:r>
    </w:p>
    <w:p w14:paraId="6472185F" w14:textId="77777777" w:rsidR="00C73C4A" w:rsidRPr="00C73C4A" w:rsidRDefault="00C73C4A" w:rsidP="006F2334">
      <w:pPr>
        <w:ind w:left="720"/>
        <w:jc w:val="both"/>
      </w:pPr>
      <w:r w:rsidRPr="00C73C4A">
        <w:t>(s) subject to domestic or family violence;</w:t>
      </w:r>
    </w:p>
    <w:p w14:paraId="081DDF5D" w14:textId="77777777" w:rsidR="00C73C4A" w:rsidRPr="00C73C4A" w:rsidRDefault="00C73C4A" w:rsidP="006F2334">
      <w:pPr>
        <w:ind w:left="720"/>
        <w:jc w:val="both"/>
      </w:pPr>
      <w:r w:rsidRPr="00C73C4A">
        <w:t>(t) trade union activity;</w:t>
      </w:r>
    </w:p>
    <w:p w14:paraId="48832894" w14:textId="3124BDAE" w:rsidR="00974880" w:rsidRDefault="00C73C4A" w:rsidP="006F2334">
      <w:pPr>
        <w:ind w:left="720"/>
        <w:jc w:val="both"/>
      </w:pPr>
      <w:r w:rsidRPr="00C73C4A">
        <w:t>(u) association with, or relation to, a person identified on</w:t>
      </w:r>
      <w:r>
        <w:t xml:space="preserve"> </w:t>
      </w:r>
      <w:r w:rsidRPr="00C73C4A">
        <w:t>the basis of any of the above attributes;</w:t>
      </w:r>
    </w:p>
    <w:p w14:paraId="46D42EAF" w14:textId="786BDAC3" w:rsidR="00974880" w:rsidRDefault="00C73C4A" w:rsidP="006F2334">
      <w:pPr>
        <w:ind w:left="720"/>
        <w:jc w:val="both"/>
      </w:pPr>
      <w:r w:rsidRPr="00C73C4A">
        <w:t>(v) a combination of 2 or more of any of the above</w:t>
      </w:r>
      <w:r>
        <w:t xml:space="preserve"> </w:t>
      </w:r>
      <w:r w:rsidRPr="00C73C4A">
        <w:t>attributes.</w:t>
      </w:r>
    </w:p>
    <w:p w14:paraId="0908D686" w14:textId="2AB67D8C" w:rsidR="00C73C4A" w:rsidRDefault="00C73C4A" w:rsidP="00793AEF">
      <w:pPr>
        <w:jc w:val="both"/>
      </w:pPr>
      <w:r>
        <w:t xml:space="preserve">The definitions of </w:t>
      </w:r>
      <w:r w:rsidR="00D4482C">
        <w:t xml:space="preserve">certain </w:t>
      </w:r>
      <w:r>
        <w:t xml:space="preserve">protected attributes are in the </w:t>
      </w:r>
      <w:r w:rsidRPr="00C73C4A">
        <w:rPr>
          <w:b/>
          <w:bCs/>
        </w:rPr>
        <w:t>Schedule 1 Dictionary</w:t>
      </w:r>
      <w:r>
        <w:t>.</w:t>
      </w:r>
    </w:p>
    <w:p w14:paraId="718A0567" w14:textId="5CB45DA1" w:rsidR="004B692B" w:rsidRPr="00C73C4A" w:rsidRDefault="004B692B" w:rsidP="00793AEF">
      <w:pPr>
        <w:jc w:val="both"/>
      </w:pPr>
      <w:r w:rsidRPr="00C73C4A">
        <w:t xml:space="preserve">The draft Bill maintains the existing protected attributes of </w:t>
      </w:r>
      <w:r w:rsidRPr="00C73C4A">
        <w:rPr>
          <w:b/>
          <w:bCs/>
        </w:rPr>
        <w:t>sex</w:t>
      </w:r>
      <w:r w:rsidRPr="00C73C4A">
        <w:t xml:space="preserve">, </w:t>
      </w:r>
      <w:r w:rsidRPr="00C73C4A">
        <w:rPr>
          <w:b/>
          <w:bCs/>
        </w:rPr>
        <w:t>relationship status</w:t>
      </w:r>
      <w:r w:rsidRPr="00C73C4A">
        <w:t xml:space="preserve">, </w:t>
      </w:r>
      <w:r w:rsidRPr="00C73C4A">
        <w:rPr>
          <w:b/>
          <w:bCs/>
        </w:rPr>
        <w:t>pregnancy</w:t>
      </w:r>
      <w:r w:rsidRPr="00C73C4A">
        <w:t xml:space="preserve">, </w:t>
      </w:r>
      <w:r w:rsidRPr="00C73C4A">
        <w:rPr>
          <w:b/>
          <w:bCs/>
        </w:rPr>
        <w:t>breastfeeding</w:t>
      </w:r>
      <w:r w:rsidRPr="00C73C4A">
        <w:t xml:space="preserve">, </w:t>
      </w:r>
      <w:r w:rsidRPr="00C73C4A">
        <w:rPr>
          <w:b/>
          <w:bCs/>
        </w:rPr>
        <w:t>age</w:t>
      </w:r>
      <w:r w:rsidRPr="00C73C4A">
        <w:t xml:space="preserve">, </w:t>
      </w:r>
      <w:r w:rsidRPr="00C73C4A">
        <w:rPr>
          <w:b/>
          <w:bCs/>
        </w:rPr>
        <w:t>religious belief or religious activity</w:t>
      </w:r>
      <w:r w:rsidRPr="00C73C4A">
        <w:t xml:space="preserve">, </w:t>
      </w:r>
      <w:r w:rsidRPr="00C73C4A">
        <w:rPr>
          <w:b/>
          <w:bCs/>
        </w:rPr>
        <w:t>political belief or activity</w:t>
      </w:r>
      <w:r w:rsidRPr="00C73C4A">
        <w:t xml:space="preserve"> and association with, or relation to, a person with any of the other protected attributes.</w:t>
      </w:r>
    </w:p>
    <w:p w14:paraId="56FE3CDF" w14:textId="77777777" w:rsidR="004B692B" w:rsidRPr="00C73C4A" w:rsidRDefault="004B692B" w:rsidP="00793AEF">
      <w:pPr>
        <w:jc w:val="both"/>
      </w:pPr>
      <w:r w:rsidRPr="00C73C4A">
        <w:t>Other existing attributes are to be updated in the draft Bill to reflect modernised language and definitions. For example:</w:t>
      </w:r>
    </w:p>
    <w:p w14:paraId="72722BF9" w14:textId="1D3DEEE2" w:rsidR="004B692B" w:rsidRPr="00C73C4A" w:rsidRDefault="004B692B" w:rsidP="00200316">
      <w:pPr>
        <w:pStyle w:val="ListParagraph"/>
        <w:numPr>
          <w:ilvl w:val="0"/>
          <w:numId w:val="4"/>
        </w:numPr>
        <w:spacing w:before="60" w:line="280" w:lineRule="exact"/>
        <w:ind w:left="714" w:hanging="357"/>
        <w:contextualSpacing w:val="0"/>
        <w:jc w:val="both"/>
      </w:pPr>
      <w:r w:rsidRPr="00C73C4A">
        <w:t>the attribute of ‘</w:t>
      </w:r>
      <w:r w:rsidRPr="00C73C4A">
        <w:rPr>
          <w:b/>
          <w:bCs/>
        </w:rPr>
        <w:t>race</w:t>
      </w:r>
      <w:r w:rsidRPr="00C73C4A">
        <w:t>’</w:t>
      </w:r>
      <w:r w:rsidR="002912DB" w:rsidRPr="00C73C4A">
        <w:t xml:space="preserve"> is </w:t>
      </w:r>
      <w:r w:rsidRPr="00C73C4A">
        <w:t xml:space="preserve">amended to include immigration and migration status. </w:t>
      </w:r>
    </w:p>
    <w:p w14:paraId="4BEC5240" w14:textId="569B61FC" w:rsidR="004B692B" w:rsidRPr="00C73C4A" w:rsidRDefault="004B692B" w:rsidP="00200316">
      <w:pPr>
        <w:pStyle w:val="ListParagraph"/>
        <w:numPr>
          <w:ilvl w:val="0"/>
          <w:numId w:val="4"/>
        </w:numPr>
        <w:spacing w:before="60" w:line="280" w:lineRule="exact"/>
        <w:ind w:left="714" w:hanging="357"/>
        <w:contextualSpacing w:val="0"/>
        <w:jc w:val="both"/>
      </w:pPr>
      <w:r w:rsidRPr="00C73C4A">
        <w:t>the attribute of ‘</w:t>
      </w:r>
      <w:r w:rsidRPr="00C73C4A">
        <w:rPr>
          <w:b/>
          <w:bCs/>
        </w:rPr>
        <w:t>impairment</w:t>
      </w:r>
      <w:r w:rsidRPr="00C73C4A">
        <w:t>’ has been re-named ‘</w:t>
      </w:r>
      <w:r w:rsidRPr="00C73C4A">
        <w:rPr>
          <w:b/>
          <w:bCs/>
        </w:rPr>
        <w:t>disability</w:t>
      </w:r>
      <w:r w:rsidRPr="00C73C4A">
        <w:t>’</w:t>
      </w:r>
      <w:r w:rsidR="002912DB" w:rsidRPr="00C73C4A">
        <w:t>,</w:t>
      </w:r>
      <w:r w:rsidRPr="00C73C4A">
        <w:t xml:space="preserve"> </w:t>
      </w:r>
      <w:r w:rsidR="002912DB" w:rsidRPr="00C73C4A">
        <w:t xml:space="preserve">and the definition is </w:t>
      </w:r>
      <w:r w:rsidRPr="00C73C4A">
        <w:t xml:space="preserve">updated to </w:t>
      </w:r>
      <w:r w:rsidR="00C73C4A" w:rsidRPr="00C73C4A">
        <w:t xml:space="preserve">broadly </w:t>
      </w:r>
      <w:r w:rsidRPr="00C73C4A">
        <w:t xml:space="preserve">align with the </w:t>
      </w:r>
      <w:r w:rsidRPr="00C73C4A">
        <w:rPr>
          <w:i/>
          <w:iCs/>
        </w:rPr>
        <w:t>Disability Discrimination Act 1992</w:t>
      </w:r>
      <w:r w:rsidRPr="00C73C4A">
        <w:t xml:space="preserve"> (Cth) (</w:t>
      </w:r>
      <w:r w:rsidR="00CA4FC7">
        <w:t>Disability Discrimination</w:t>
      </w:r>
      <w:r w:rsidRPr="00C73C4A">
        <w:t xml:space="preserve"> Act). </w:t>
      </w:r>
    </w:p>
    <w:p w14:paraId="441C4308" w14:textId="419902D9" w:rsidR="004B692B" w:rsidRPr="00C73C4A" w:rsidRDefault="004B692B" w:rsidP="00200316">
      <w:pPr>
        <w:pStyle w:val="ListParagraph"/>
        <w:numPr>
          <w:ilvl w:val="0"/>
          <w:numId w:val="4"/>
        </w:numPr>
        <w:spacing w:before="60" w:line="280" w:lineRule="exact"/>
        <w:ind w:left="714" w:hanging="357"/>
        <w:contextualSpacing w:val="0"/>
        <w:jc w:val="both"/>
      </w:pPr>
      <w:r w:rsidRPr="00C73C4A">
        <w:t>the attribute of ‘</w:t>
      </w:r>
      <w:r w:rsidRPr="00C73C4A">
        <w:rPr>
          <w:b/>
          <w:bCs/>
        </w:rPr>
        <w:t>lawful sexual activity</w:t>
      </w:r>
      <w:r w:rsidRPr="00C73C4A">
        <w:t>’ has been renamed as ‘</w:t>
      </w:r>
      <w:r w:rsidRPr="00C73C4A">
        <w:rPr>
          <w:b/>
          <w:bCs/>
        </w:rPr>
        <w:t>sex work activity’</w:t>
      </w:r>
      <w:r w:rsidRPr="00C73C4A">
        <w:t xml:space="preserve">, and the definition is updated to make clear that the attribute includes both the provision of stated services, and the person being or having been a person who provides such services. </w:t>
      </w:r>
    </w:p>
    <w:p w14:paraId="0B446553" w14:textId="0A6606DA" w:rsidR="004B692B" w:rsidRPr="00C73C4A" w:rsidRDefault="004B692B" w:rsidP="00200316">
      <w:pPr>
        <w:pStyle w:val="ListParagraph"/>
        <w:numPr>
          <w:ilvl w:val="0"/>
          <w:numId w:val="4"/>
        </w:numPr>
        <w:spacing w:before="60" w:line="280" w:lineRule="exact"/>
        <w:ind w:left="714" w:hanging="357"/>
        <w:contextualSpacing w:val="0"/>
        <w:jc w:val="both"/>
      </w:pPr>
      <w:r w:rsidRPr="00C73C4A">
        <w:lastRenderedPageBreak/>
        <w:t>the attribute of ‘</w:t>
      </w:r>
      <w:r w:rsidRPr="00C73C4A">
        <w:rPr>
          <w:b/>
          <w:bCs/>
        </w:rPr>
        <w:t>gender identity</w:t>
      </w:r>
      <w:r w:rsidRPr="00C73C4A">
        <w:t>’ has been amended to align with the definition of the term in the new BDM</w:t>
      </w:r>
      <w:r w:rsidR="00C57D17">
        <w:t>R</w:t>
      </w:r>
      <w:r w:rsidRPr="00C73C4A">
        <w:t xml:space="preserve"> Act. The new attribute of ‘gender identity’ separates this concept from people with variants of sex characteristics. It aligns with international best practice understanding of ‘gender identity’, including the 2007 </w:t>
      </w:r>
      <w:r w:rsidRPr="00C73C4A">
        <w:rPr>
          <w:i/>
          <w:iCs/>
        </w:rPr>
        <w:t>Yogyakarta Principles: Principles on the Application of International Human Rights Law in Relation to Sexual Orientation and Gender Identity</w:t>
      </w:r>
      <w:r w:rsidRPr="00C73C4A">
        <w:t xml:space="preserve">. It is also consistent with the definition adopted in section 213G of the </w:t>
      </w:r>
      <w:r w:rsidRPr="00C73C4A">
        <w:rPr>
          <w:i/>
          <w:iCs/>
        </w:rPr>
        <w:t>Public Health Act 2005</w:t>
      </w:r>
      <w:r w:rsidRPr="00C73C4A">
        <w:t xml:space="preserve"> (Qld) as part of the 2020 reforms to prohibit the practice of conversion therapy by health service providers.</w:t>
      </w:r>
    </w:p>
    <w:p w14:paraId="59EFC557" w14:textId="2D8B40A3" w:rsidR="004B692B" w:rsidRPr="00C73C4A" w:rsidRDefault="004B692B" w:rsidP="00200316">
      <w:pPr>
        <w:pStyle w:val="ListParagraph"/>
        <w:numPr>
          <w:ilvl w:val="0"/>
          <w:numId w:val="4"/>
        </w:numPr>
        <w:spacing w:before="60" w:line="280" w:lineRule="exact"/>
        <w:ind w:left="714" w:hanging="357"/>
        <w:contextualSpacing w:val="0"/>
        <w:jc w:val="both"/>
      </w:pPr>
      <w:r w:rsidRPr="00C73C4A">
        <w:t>the attribute of ‘</w:t>
      </w:r>
      <w:r w:rsidRPr="00C73C4A">
        <w:rPr>
          <w:b/>
          <w:bCs/>
        </w:rPr>
        <w:t>sexuality</w:t>
      </w:r>
      <w:r w:rsidRPr="00C73C4A">
        <w:t>’ has been re-named ‘</w:t>
      </w:r>
      <w:r w:rsidRPr="00C73C4A">
        <w:rPr>
          <w:b/>
          <w:bCs/>
        </w:rPr>
        <w:t>sexual orientation</w:t>
      </w:r>
      <w:r w:rsidRPr="00C73C4A">
        <w:t xml:space="preserve">’ and amended to align with terminology and definitions used in section s213E of the </w:t>
      </w:r>
      <w:r w:rsidRPr="00C73C4A">
        <w:rPr>
          <w:i/>
          <w:iCs/>
        </w:rPr>
        <w:t>Public Health Act 2005</w:t>
      </w:r>
      <w:r w:rsidRPr="00C73C4A">
        <w:t xml:space="preserve">.; </w:t>
      </w:r>
    </w:p>
    <w:p w14:paraId="5E72908B" w14:textId="5148AF4A" w:rsidR="004B692B" w:rsidRPr="00C73C4A" w:rsidRDefault="004B692B" w:rsidP="00200316">
      <w:pPr>
        <w:pStyle w:val="ListParagraph"/>
        <w:numPr>
          <w:ilvl w:val="0"/>
          <w:numId w:val="4"/>
        </w:numPr>
        <w:spacing w:before="60" w:line="280" w:lineRule="exact"/>
        <w:ind w:left="714" w:hanging="357"/>
        <w:contextualSpacing w:val="0"/>
        <w:jc w:val="both"/>
      </w:pPr>
      <w:r w:rsidRPr="00C73C4A">
        <w:t>the attribute of ‘</w:t>
      </w:r>
      <w:r w:rsidRPr="00C73C4A">
        <w:rPr>
          <w:b/>
          <w:bCs/>
        </w:rPr>
        <w:t>family responsibilities</w:t>
      </w:r>
      <w:r w:rsidRPr="00C73C4A">
        <w:t>’ has been re-named ‘</w:t>
      </w:r>
      <w:r w:rsidRPr="00C73C4A">
        <w:rPr>
          <w:b/>
          <w:bCs/>
        </w:rPr>
        <w:t>family, carer or kinship responsibilities</w:t>
      </w:r>
      <w:r w:rsidRPr="00C73C4A">
        <w:t>’, and its definition has been removed. This change is intended to afford equal protection to those who have responsibilities to others beyond their immediate family circle, and better reflect the relationships that exist in Queensland’s multicultural society; and</w:t>
      </w:r>
    </w:p>
    <w:p w14:paraId="6C1FFA96" w14:textId="4E5E9BB1" w:rsidR="004B692B" w:rsidRPr="00C73C4A" w:rsidRDefault="00261ACC" w:rsidP="00200316">
      <w:pPr>
        <w:pStyle w:val="ListParagraph"/>
        <w:numPr>
          <w:ilvl w:val="0"/>
          <w:numId w:val="4"/>
        </w:numPr>
        <w:spacing w:before="60" w:line="280" w:lineRule="exact"/>
        <w:ind w:left="714" w:hanging="357"/>
        <w:contextualSpacing w:val="0"/>
        <w:jc w:val="both"/>
      </w:pPr>
      <w:r w:rsidRPr="00C73C4A">
        <w:t xml:space="preserve">the attribute of </w:t>
      </w:r>
      <w:r w:rsidR="004B692B" w:rsidRPr="00C73C4A">
        <w:rPr>
          <w:b/>
          <w:bCs/>
        </w:rPr>
        <w:t>trade union activity’</w:t>
      </w:r>
      <w:r w:rsidRPr="00C73C4A">
        <w:t>,</w:t>
      </w:r>
      <w:r w:rsidRPr="00C73C4A">
        <w:rPr>
          <w:b/>
          <w:bCs/>
        </w:rPr>
        <w:t xml:space="preserve"> </w:t>
      </w:r>
      <w:r w:rsidRPr="00C73C4A">
        <w:t xml:space="preserve">which is defined </w:t>
      </w:r>
      <w:r w:rsidR="004B692B" w:rsidRPr="00C73C4A">
        <w:t>include stated activities,</w:t>
      </w:r>
      <w:r w:rsidRPr="00C73C4A">
        <w:t xml:space="preserve"> makes it clear that it only includes such </w:t>
      </w:r>
      <w:r w:rsidR="004B692B" w:rsidRPr="00C73C4A">
        <w:t>activities in respect of association of employees that are registered</w:t>
      </w:r>
      <w:r w:rsidRPr="00C73C4A">
        <w:t xml:space="preserve"> as an organisation </w:t>
      </w:r>
      <w:r w:rsidR="004B692B" w:rsidRPr="00C73C4A">
        <w:t xml:space="preserve">under the </w:t>
      </w:r>
      <w:r w:rsidR="004B692B" w:rsidRPr="00C73C4A">
        <w:rPr>
          <w:i/>
          <w:iCs/>
        </w:rPr>
        <w:t>Industrial Relations Act 2016</w:t>
      </w:r>
      <w:r w:rsidR="004B692B" w:rsidRPr="00C73C4A">
        <w:t xml:space="preserve"> and the </w:t>
      </w:r>
      <w:r w:rsidR="004B692B" w:rsidRPr="00C73C4A">
        <w:rPr>
          <w:i/>
          <w:iCs/>
        </w:rPr>
        <w:t>Fair Work (Registered Organisations) Act 2009</w:t>
      </w:r>
      <w:r w:rsidR="004B692B" w:rsidRPr="00C73C4A">
        <w:t xml:space="preserve"> (Cth).</w:t>
      </w:r>
    </w:p>
    <w:p w14:paraId="21DD4162" w14:textId="1E87BBE1" w:rsidR="004B692B" w:rsidRPr="00C73C4A" w:rsidRDefault="004B692B" w:rsidP="00793AEF">
      <w:pPr>
        <w:jc w:val="both"/>
      </w:pPr>
      <w:r w:rsidRPr="00C73C4A">
        <w:t>The draft Bill also introduces new protected attributes:</w:t>
      </w:r>
    </w:p>
    <w:p w14:paraId="40220DDD" w14:textId="479CC92D" w:rsidR="004B692B" w:rsidRPr="00C73C4A" w:rsidRDefault="004B692B" w:rsidP="00200316">
      <w:pPr>
        <w:pStyle w:val="ListParagraph"/>
        <w:numPr>
          <w:ilvl w:val="0"/>
          <w:numId w:val="4"/>
        </w:numPr>
        <w:spacing w:before="60" w:line="280" w:lineRule="exact"/>
        <w:ind w:left="714" w:hanging="357"/>
        <w:contextualSpacing w:val="0"/>
        <w:jc w:val="both"/>
      </w:pPr>
      <w:r w:rsidRPr="00C73C4A">
        <w:rPr>
          <w:b/>
          <w:bCs/>
        </w:rPr>
        <w:t>‘sex characteristics’</w:t>
      </w:r>
      <w:r w:rsidRPr="00C73C4A">
        <w:t>, which is defined to align with the definition of the term in the new BDM</w:t>
      </w:r>
      <w:r w:rsidR="00E543F1">
        <w:t>R</w:t>
      </w:r>
      <w:r w:rsidRPr="00C73C4A">
        <w:t xml:space="preserve"> Act and provides specific coverage for intersex people. It aligns with international best practice understanding of ‘sex characteristics’, including the </w:t>
      </w:r>
      <w:r w:rsidRPr="00C73C4A">
        <w:rPr>
          <w:i/>
          <w:iCs/>
        </w:rPr>
        <w:t>2017 Yogyakarta Principles Plus 10: Additional Principles and State Obligations on the Application of International Human Rights Law in Relation to Sexual Orientation, Gender Identity, Gender Expression and Sex Characteristics;</w:t>
      </w:r>
    </w:p>
    <w:p w14:paraId="757AB923" w14:textId="2F4C9F1E" w:rsidR="004B692B" w:rsidRPr="00C73C4A" w:rsidRDefault="004B692B" w:rsidP="00200316">
      <w:pPr>
        <w:pStyle w:val="ListParagraph"/>
        <w:numPr>
          <w:ilvl w:val="0"/>
          <w:numId w:val="4"/>
        </w:numPr>
        <w:spacing w:before="60" w:line="280" w:lineRule="exact"/>
        <w:ind w:left="714" w:hanging="357"/>
        <w:contextualSpacing w:val="0"/>
        <w:jc w:val="both"/>
      </w:pPr>
      <w:r w:rsidRPr="00C73C4A">
        <w:rPr>
          <w:b/>
          <w:bCs/>
        </w:rPr>
        <w:t xml:space="preserve">‘irrelevant criminal record’ </w:t>
      </w:r>
      <w:r w:rsidRPr="00C73C4A">
        <w:t xml:space="preserve">which is defined to mean a record, or imputation of a record, relating to an offence or alleged offence in stated circumstances. Stated offences are defined similarly to the definition in the </w:t>
      </w:r>
      <w:r w:rsidRPr="00C73C4A">
        <w:rPr>
          <w:i/>
          <w:iCs/>
        </w:rPr>
        <w:t>Discrimination Act 1991</w:t>
      </w:r>
      <w:r w:rsidRPr="00C73C4A">
        <w:t xml:space="preserve"> (ACT) with the express exclusion of expunged convictions under the </w:t>
      </w:r>
      <w:r w:rsidRPr="00C73C4A">
        <w:rPr>
          <w:i/>
          <w:iCs/>
        </w:rPr>
        <w:t>Criminal Law (Historical Homosexual Convictions Expungement) Act 2017</w:t>
      </w:r>
      <w:r w:rsidRPr="00C73C4A">
        <w:t xml:space="preserve"> and spent convictions under the </w:t>
      </w:r>
      <w:r w:rsidRPr="00C73C4A">
        <w:rPr>
          <w:i/>
          <w:iCs/>
        </w:rPr>
        <w:t>Criminal Law (Rehabilitation of Offenders) Act 1986</w:t>
      </w:r>
      <w:r w:rsidR="005F0B87">
        <w:rPr>
          <w:i/>
          <w:iCs/>
        </w:rPr>
        <w:t xml:space="preserve"> </w:t>
      </w:r>
      <w:r w:rsidRPr="00C73C4A">
        <w:t>;</w:t>
      </w:r>
    </w:p>
    <w:p w14:paraId="001D7C77" w14:textId="47309EE5" w:rsidR="004B692B" w:rsidRPr="00C73C4A" w:rsidRDefault="004B692B" w:rsidP="00200316">
      <w:pPr>
        <w:pStyle w:val="ListParagraph"/>
        <w:numPr>
          <w:ilvl w:val="0"/>
          <w:numId w:val="4"/>
        </w:numPr>
        <w:spacing w:before="60" w:line="280" w:lineRule="exact"/>
        <w:ind w:left="714" w:hanging="357"/>
        <w:contextualSpacing w:val="0"/>
        <w:jc w:val="both"/>
        <w:rPr>
          <w:b/>
          <w:bCs/>
        </w:rPr>
      </w:pPr>
      <w:r w:rsidRPr="00C73C4A">
        <w:rPr>
          <w:b/>
          <w:bCs/>
        </w:rPr>
        <w:t xml:space="preserve">‘physical </w:t>
      </w:r>
      <w:r w:rsidR="000144E6">
        <w:rPr>
          <w:b/>
          <w:bCs/>
        </w:rPr>
        <w:t>appearance</w:t>
      </w:r>
      <w:r w:rsidRPr="00C73C4A">
        <w:rPr>
          <w:b/>
          <w:bCs/>
        </w:rPr>
        <w:t>’</w:t>
      </w:r>
      <w:r w:rsidRPr="00C73C4A">
        <w:t xml:space="preserve">, which </w:t>
      </w:r>
      <w:r w:rsidR="000144E6">
        <w:t>is</w:t>
      </w:r>
      <w:r w:rsidRPr="00C73C4A">
        <w:t xml:space="preserve"> defined to mean a person’s weight, size or height</w:t>
      </w:r>
      <w:r w:rsidR="000144E6">
        <w:t>; or the presence of</w:t>
      </w:r>
      <w:r w:rsidRPr="00C73C4A">
        <w:t xml:space="preserve"> a birth mark or scar</w:t>
      </w:r>
      <w:r w:rsidR="00112A79">
        <w:t xml:space="preserve"> on the person’s body</w:t>
      </w:r>
      <w:r w:rsidR="000144E6">
        <w:t>;</w:t>
      </w:r>
      <w:r w:rsidRPr="00C73C4A">
        <w:t xml:space="preserve"> or </w:t>
      </w:r>
      <w:r w:rsidR="000144E6">
        <w:t>anything else about the person’s</w:t>
      </w:r>
      <w:r w:rsidR="005F0B87">
        <w:t xml:space="preserve"> physical appearance other than (i) </w:t>
      </w:r>
      <w:r w:rsidR="00112A79">
        <w:t xml:space="preserve">the person’s </w:t>
      </w:r>
      <w:r w:rsidR="005F0B87">
        <w:t xml:space="preserve">chosen </w:t>
      </w:r>
      <w:r w:rsidR="00112A79">
        <w:t>hairstyle</w:t>
      </w:r>
      <w:r w:rsidR="005F0B87">
        <w:t>;</w:t>
      </w:r>
      <w:r w:rsidR="00112A79">
        <w:t xml:space="preserve"> or </w:t>
      </w:r>
      <w:r w:rsidR="005F0B87">
        <w:t xml:space="preserve"> (ii) any other part of the person’s physical appearance that has been freely chosen, including, for example, by cosmetic surgery, piercing or tattooing;</w:t>
      </w:r>
    </w:p>
    <w:p w14:paraId="063C8161" w14:textId="61E0CBD1" w:rsidR="004B692B" w:rsidRPr="00C73C4A" w:rsidRDefault="004B692B" w:rsidP="00200316">
      <w:pPr>
        <w:pStyle w:val="ListParagraph"/>
        <w:numPr>
          <w:ilvl w:val="0"/>
          <w:numId w:val="4"/>
        </w:numPr>
        <w:spacing w:before="60" w:line="280" w:lineRule="exact"/>
        <w:ind w:left="714" w:hanging="357"/>
        <w:contextualSpacing w:val="0"/>
        <w:jc w:val="both"/>
      </w:pPr>
      <w:r w:rsidRPr="00C73C4A">
        <w:rPr>
          <w:b/>
          <w:bCs/>
        </w:rPr>
        <w:t>‘subject to domestic or family violence’</w:t>
      </w:r>
      <w:r w:rsidRPr="00C73C4A">
        <w:t>,</w:t>
      </w:r>
      <w:r w:rsidRPr="00C73C4A">
        <w:rPr>
          <w:b/>
          <w:bCs/>
        </w:rPr>
        <w:t xml:space="preserve"> </w:t>
      </w:r>
      <w:r w:rsidRPr="00C73C4A">
        <w:t>for which there is no specific proposed definition;</w:t>
      </w:r>
      <w:r w:rsidR="00261ACC" w:rsidRPr="00C73C4A">
        <w:t xml:space="preserve"> and</w:t>
      </w:r>
    </w:p>
    <w:p w14:paraId="5A3C16CB" w14:textId="77777777" w:rsidR="004B692B" w:rsidRPr="00C73C4A" w:rsidRDefault="004B692B" w:rsidP="00200316">
      <w:pPr>
        <w:pStyle w:val="ListParagraph"/>
        <w:numPr>
          <w:ilvl w:val="0"/>
          <w:numId w:val="4"/>
        </w:numPr>
        <w:spacing w:before="60" w:line="280" w:lineRule="exact"/>
        <w:ind w:left="714" w:hanging="357"/>
        <w:contextualSpacing w:val="0"/>
        <w:jc w:val="both"/>
      </w:pPr>
      <w:r w:rsidRPr="00C73C4A">
        <w:rPr>
          <w:b/>
          <w:bCs/>
        </w:rPr>
        <w:t>homelessness</w:t>
      </w:r>
      <w:r w:rsidRPr="00C73C4A">
        <w:t>, for which there is no specific proposed definition.</w:t>
      </w:r>
    </w:p>
    <w:p w14:paraId="52F60045" w14:textId="77777777" w:rsidR="00C73C4A" w:rsidRPr="00C73C4A" w:rsidRDefault="004B692B" w:rsidP="00793AEF">
      <w:pPr>
        <w:jc w:val="both"/>
      </w:pPr>
      <w:r w:rsidRPr="00C73C4A">
        <w:t>Finally,</w:t>
      </w:r>
      <w:r w:rsidR="00C73C4A" w:rsidRPr="00C73C4A">
        <w:t xml:space="preserve"> a protected attribute also includes:</w:t>
      </w:r>
    </w:p>
    <w:p w14:paraId="0BD6AC37" w14:textId="0F888F49" w:rsidR="00C73C4A" w:rsidRPr="00C73C4A" w:rsidRDefault="00C73C4A" w:rsidP="00721411">
      <w:pPr>
        <w:pStyle w:val="ListParagraph"/>
        <w:numPr>
          <w:ilvl w:val="0"/>
          <w:numId w:val="21"/>
        </w:numPr>
        <w:jc w:val="both"/>
      </w:pPr>
      <w:r w:rsidRPr="00C73C4A">
        <w:t>association with, or relation to, a person identified on the basis of any of the protected attributes; and</w:t>
      </w:r>
    </w:p>
    <w:p w14:paraId="05F7140D" w14:textId="35FB34DC" w:rsidR="004B692B" w:rsidRPr="00C73C4A" w:rsidRDefault="00C73C4A" w:rsidP="00721411">
      <w:pPr>
        <w:pStyle w:val="ListParagraph"/>
        <w:numPr>
          <w:ilvl w:val="0"/>
          <w:numId w:val="21"/>
        </w:numPr>
        <w:jc w:val="both"/>
      </w:pPr>
      <w:r w:rsidRPr="00C73C4A">
        <w:t>a</w:t>
      </w:r>
      <w:r w:rsidR="004B692B" w:rsidRPr="00C73C4A">
        <w:t xml:space="preserve"> combination of two or more of any of the </w:t>
      </w:r>
      <w:r w:rsidR="005C311B">
        <w:t xml:space="preserve">other protected </w:t>
      </w:r>
      <w:r w:rsidRPr="00C73C4A">
        <w:t>attributes</w:t>
      </w:r>
      <w:r w:rsidR="004B692B" w:rsidRPr="00C73C4A">
        <w:t xml:space="preserve">. </w:t>
      </w:r>
    </w:p>
    <w:p w14:paraId="2279C4EF" w14:textId="04ED9174" w:rsidR="004B692B" w:rsidRPr="00F72D10" w:rsidRDefault="004B692B" w:rsidP="004E49AC">
      <w:pPr>
        <w:pStyle w:val="Heading3"/>
        <w:rPr>
          <w:iCs/>
        </w:rPr>
      </w:pPr>
      <w:bookmarkStart w:id="47" w:name="_Toc159520259"/>
      <w:r w:rsidRPr="00F72D10">
        <w:lastRenderedPageBreak/>
        <w:t>Conduct in relation to a protected attribute</w:t>
      </w:r>
      <w:bookmarkEnd w:id="47"/>
    </w:p>
    <w:p w14:paraId="6670405A" w14:textId="77777777" w:rsidR="00913BD3" w:rsidRDefault="004B692B" w:rsidP="00793AEF">
      <w:pPr>
        <w:jc w:val="both"/>
      </w:pPr>
      <w:r w:rsidRPr="007760A8">
        <w:rPr>
          <w:b/>
          <w:bCs/>
        </w:rPr>
        <w:t>Clause 1</w:t>
      </w:r>
      <w:r>
        <w:rPr>
          <w:b/>
          <w:bCs/>
        </w:rPr>
        <w:t>1</w:t>
      </w:r>
      <w:r>
        <w:t xml:space="preserve"> </w:t>
      </w:r>
      <w:r w:rsidR="00256CE3">
        <w:t>specifies that engaging in conduct in relation to a protected attribute includes conduct in relation to</w:t>
      </w:r>
      <w:r w:rsidR="00913BD3">
        <w:t>:</w:t>
      </w:r>
    </w:p>
    <w:p w14:paraId="7CFF65AC" w14:textId="77777777" w:rsidR="00913BD3" w:rsidRDefault="00913BD3" w:rsidP="00913BD3">
      <w:pPr>
        <w:pStyle w:val="ListParagraph"/>
        <w:numPr>
          <w:ilvl w:val="0"/>
          <w:numId w:val="42"/>
        </w:numPr>
        <w:jc w:val="both"/>
      </w:pPr>
      <w:r>
        <w:t xml:space="preserve">a </w:t>
      </w:r>
      <w:r w:rsidR="00256CE3">
        <w:t>characteristic that a person generally has</w:t>
      </w:r>
      <w:r>
        <w:t>;</w:t>
      </w:r>
      <w:r w:rsidR="00256CE3">
        <w:t xml:space="preserve"> or </w:t>
      </w:r>
    </w:p>
    <w:p w14:paraId="562C1B1F" w14:textId="77777777" w:rsidR="00913BD3" w:rsidRDefault="00913BD3" w:rsidP="00913BD3">
      <w:pPr>
        <w:pStyle w:val="ListParagraph"/>
        <w:numPr>
          <w:ilvl w:val="0"/>
          <w:numId w:val="42"/>
        </w:numPr>
        <w:jc w:val="both"/>
      </w:pPr>
      <w:r>
        <w:t>a characteristic that is often imputed to a person with the protected attribute; or</w:t>
      </w:r>
    </w:p>
    <w:p w14:paraId="1D8C5B47" w14:textId="77777777" w:rsidR="00913BD3" w:rsidRDefault="00913BD3" w:rsidP="00913BD3">
      <w:pPr>
        <w:pStyle w:val="ListParagraph"/>
        <w:numPr>
          <w:ilvl w:val="0"/>
          <w:numId w:val="42"/>
        </w:numPr>
        <w:jc w:val="both"/>
      </w:pPr>
      <w:r>
        <w:t>a protected attribute that a person is presumed to have, or to have had at any time, by the person engaging in the conduct; or</w:t>
      </w:r>
    </w:p>
    <w:p w14:paraId="49F494FD" w14:textId="77777777" w:rsidR="00913BD3" w:rsidRDefault="00913BD3" w:rsidP="00913BD3">
      <w:pPr>
        <w:pStyle w:val="ListParagraph"/>
        <w:numPr>
          <w:ilvl w:val="0"/>
          <w:numId w:val="42"/>
        </w:numPr>
        <w:jc w:val="both"/>
      </w:pPr>
      <w:r>
        <w:t>a protected attribute that a person had, even if the person did not have it at the time the conduct was engaged in.</w:t>
      </w:r>
    </w:p>
    <w:p w14:paraId="0F90D87B" w14:textId="331C08DF" w:rsidR="00913BD3" w:rsidRDefault="00913BD3" w:rsidP="00913BD3">
      <w:r>
        <w:t>This clause also clarifies that engaging in conduct in relation to a protected attribute in relation to a person who has two or more protected attributes includes engaging in the conduct in relation to- any of the protected attributes; two or more of the protected attributes; or the combined effect of two or more of the protected attributes.</w:t>
      </w:r>
    </w:p>
    <w:p w14:paraId="4E68C561" w14:textId="539993F9" w:rsidR="00913BD3" w:rsidRPr="00913BD3" w:rsidRDefault="00913BD3" w:rsidP="00913BD3">
      <w:r>
        <w:t xml:space="preserve">This recognises cumulative (discrimination </w:t>
      </w:r>
      <w:r w:rsidR="002A48E0">
        <w:t>on the basis of two or more protected attributes</w:t>
      </w:r>
      <w:r>
        <w:t>) and intersectional discrimination (</w:t>
      </w:r>
      <w:r w:rsidR="002A48E0">
        <w:t xml:space="preserve">where a person experiences </w:t>
      </w:r>
      <w:r>
        <w:t xml:space="preserve">discrimination </w:t>
      </w:r>
      <w:r w:rsidR="002A48E0">
        <w:t xml:space="preserve">based on </w:t>
      </w:r>
      <w:r>
        <w:t xml:space="preserve">a particular combination of </w:t>
      </w:r>
      <w:r w:rsidR="002A48E0">
        <w:t xml:space="preserve">protected </w:t>
      </w:r>
      <w:r>
        <w:t>attributes).</w:t>
      </w:r>
    </w:p>
    <w:p w14:paraId="1E59CB35" w14:textId="47048AAC" w:rsidR="004B692B" w:rsidRDefault="004B692B" w:rsidP="004E49AC">
      <w:pPr>
        <w:pStyle w:val="Heading3"/>
      </w:pPr>
      <w:bookmarkStart w:id="48" w:name="_Toc159520260"/>
      <w:r>
        <w:t>Reasonable accommodation</w:t>
      </w:r>
      <w:bookmarkEnd w:id="48"/>
    </w:p>
    <w:p w14:paraId="75D57B7B" w14:textId="77777777" w:rsidR="004B692B" w:rsidRDefault="004B692B" w:rsidP="00793AEF">
      <w:pPr>
        <w:jc w:val="both"/>
      </w:pPr>
      <w:r>
        <w:t>The draft Bill also provides a definition of ‘reasonable accommodation’ in relation to a person with a disability (</w:t>
      </w:r>
      <w:r w:rsidRPr="00EE069E">
        <w:rPr>
          <w:b/>
          <w:bCs/>
        </w:rPr>
        <w:t>clause 1</w:t>
      </w:r>
      <w:r>
        <w:rPr>
          <w:b/>
          <w:bCs/>
        </w:rPr>
        <w:t>2</w:t>
      </w:r>
      <w:r>
        <w:t>), which is a key concept relevant to discrimination.</w:t>
      </w:r>
    </w:p>
    <w:p w14:paraId="19EF059D" w14:textId="5D827CF9" w:rsidR="004B692B" w:rsidRDefault="004B692B" w:rsidP="00793AEF">
      <w:pPr>
        <w:jc w:val="both"/>
      </w:pPr>
      <w:r>
        <w:t xml:space="preserve">A ‘reasonable accommodation’ is an accommodation that is necessary and appropriate to be made, and effective to ensure the person is not treated unfavourably, and does not impose unjustifiable hardship on the person making the accommodation. </w:t>
      </w:r>
      <w:r w:rsidR="00C57D17">
        <w:t xml:space="preserve">The onus is on the </w:t>
      </w:r>
      <w:r>
        <w:t xml:space="preserve">person who fails to make an accommodation </w:t>
      </w:r>
      <w:r w:rsidR="00C57D17">
        <w:t xml:space="preserve">to prove, on </w:t>
      </w:r>
      <w:r w:rsidR="005B6FB5">
        <w:t>t</w:t>
      </w:r>
      <w:r w:rsidR="00C57D17">
        <w:t xml:space="preserve">he balance of probabilities, that </w:t>
      </w:r>
      <w:r>
        <w:t>making</w:t>
      </w:r>
      <w:r w:rsidR="00C57D17">
        <w:t xml:space="preserve"> such an accommodation </w:t>
      </w:r>
      <w:r>
        <w:t xml:space="preserve">would impose </w:t>
      </w:r>
      <w:r w:rsidR="00C57D17">
        <w:t xml:space="preserve">an </w:t>
      </w:r>
      <w:r>
        <w:t>unjustifiable hardship There are a number of stated factors which must be considered in deciding whether an accommodation would impose an unjustifiable hardship.</w:t>
      </w:r>
    </w:p>
    <w:p w14:paraId="544E16B2" w14:textId="720135C5" w:rsidR="00BB72F4" w:rsidRPr="00BB72F4" w:rsidRDefault="00BB72F4" w:rsidP="00BB72F4">
      <w:pPr>
        <w:spacing w:after="0"/>
        <w:jc w:val="both"/>
      </w:pPr>
      <w:r w:rsidRPr="00BB72F4">
        <w:t>‘Reasonable accommodations’ refer to making suitable provisions or adjustments to accommodate a person’s attributes to avoid discrimination and achieve substantive equality. Examples of reasonable accommodations include modified work equipment such as a workstation or providing a particular software package for a computer to a person with disability.</w:t>
      </w:r>
    </w:p>
    <w:p w14:paraId="5EAA730B" w14:textId="77777777" w:rsidR="00BB72F4" w:rsidRDefault="00BB72F4" w:rsidP="00BB72F4">
      <w:pPr>
        <w:spacing w:after="0"/>
        <w:jc w:val="both"/>
      </w:pPr>
    </w:p>
    <w:p w14:paraId="6974AEEB" w14:textId="38A56563" w:rsidR="00AB47ED" w:rsidRDefault="00BB72F4" w:rsidP="005C311B">
      <w:pPr>
        <w:spacing w:after="0"/>
        <w:jc w:val="both"/>
      </w:pPr>
      <w:r w:rsidRPr="00BB72F4">
        <w:t xml:space="preserve">Reasonable accommodations have a focus on the person with disability. In some circumstances, providing reasonable accommodations may benefit other persons with disabilities, but this is not necessary. In this sense reasonable accommodations are different from affirmative measures (discussed in the next section, </w:t>
      </w:r>
      <w:r w:rsidR="005B6FB5">
        <w:t>Part 3</w:t>
      </w:r>
      <w:r w:rsidRPr="00BB72F4">
        <w:t>) which have a proactive quality. The duty to provide reasonable accommodation is a reactive duty in relation to a particular person with disability.</w:t>
      </w:r>
      <w:r w:rsidRPr="00BB72F4">
        <w:rPr>
          <w:vertAlign w:val="superscript"/>
        </w:rPr>
        <w:footnoteReference w:id="4"/>
      </w:r>
    </w:p>
    <w:p w14:paraId="47CA164D" w14:textId="77777777" w:rsidR="005C311B" w:rsidRDefault="005C311B" w:rsidP="002E7F89">
      <w:pPr>
        <w:spacing w:after="0"/>
        <w:jc w:val="both"/>
      </w:pPr>
    </w:p>
    <w:p w14:paraId="25A18B59" w14:textId="77777777" w:rsidR="00D84C1E" w:rsidRPr="003A1523" w:rsidRDefault="00D84C1E" w:rsidP="00D84C1E">
      <w:pPr>
        <w:pStyle w:val="Heading2"/>
      </w:pPr>
      <w:bookmarkStart w:id="50" w:name="_Toc159520261"/>
      <w:r w:rsidRPr="003A1523">
        <w:t>Part 2 - What is discrimination</w:t>
      </w:r>
      <w:bookmarkEnd w:id="50"/>
    </w:p>
    <w:p w14:paraId="416B9865" w14:textId="77777777" w:rsidR="00D84C1E" w:rsidRDefault="00D84C1E" w:rsidP="00D84C1E">
      <w:r w:rsidRPr="00E73F09">
        <w:rPr>
          <w:b/>
          <w:bCs/>
        </w:rPr>
        <w:t>Part 2</w:t>
      </w:r>
      <w:r>
        <w:t xml:space="preserve"> of the draft Bill provides for the meaning of discrimination including: direct discrimination, indirect discrimination and affirmative measures.</w:t>
      </w:r>
    </w:p>
    <w:p w14:paraId="57C223F8" w14:textId="77777777" w:rsidR="00D84C1E" w:rsidRDefault="00D84C1E" w:rsidP="00D84C1E">
      <w:r w:rsidRPr="00E73F09">
        <w:t>Modern anti-discrimination legislation defines discrimination as either direct or indirect, based on one or more personal attributes</w:t>
      </w:r>
      <w:r>
        <w:t>, or combination of personal attributes</w:t>
      </w:r>
      <w:r w:rsidRPr="00E73F09">
        <w:t>, and in an area of activity or public life in which discrimination is prohibited.</w:t>
      </w:r>
    </w:p>
    <w:p w14:paraId="4DEAD3A9" w14:textId="77777777" w:rsidR="00D84C1E" w:rsidRPr="00B432EB" w:rsidRDefault="00D84C1E" w:rsidP="00D84C1E">
      <w:r w:rsidRPr="00B432EB">
        <w:t>There are also changes in the draft Bill to replace the burden of proof for discrimination (currently on the complainant to prove, on the balance of probabilities) with a shared burden of proof. These are discussed further in relation to Part 14.</w:t>
      </w:r>
    </w:p>
    <w:p w14:paraId="44C6C9D2" w14:textId="77777777" w:rsidR="00D84C1E" w:rsidRPr="003A1523" w:rsidRDefault="00D84C1E" w:rsidP="00D84C1E">
      <w:pPr>
        <w:pStyle w:val="Heading3"/>
      </w:pPr>
      <w:bookmarkStart w:id="51" w:name="_Toc159520262"/>
      <w:r w:rsidRPr="003A1523">
        <w:lastRenderedPageBreak/>
        <w:t>Defining Discrimination</w:t>
      </w:r>
      <w:bookmarkEnd w:id="51"/>
    </w:p>
    <w:p w14:paraId="19394573" w14:textId="77777777" w:rsidR="00D84C1E" w:rsidRDefault="00D84C1E" w:rsidP="00D84C1E">
      <w:r w:rsidRPr="00E73F09">
        <w:rPr>
          <w:b/>
          <w:bCs/>
        </w:rPr>
        <w:t>Clause 13</w:t>
      </w:r>
      <w:r>
        <w:t xml:space="preserve"> provides that </w:t>
      </w:r>
      <w:r w:rsidRPr="00496826">
        <w:rPr>
          <w:b/>
          <w:bCs/>
        </w:rPr>
        <w:t>discrimination</w:t>
      </w:r>
      <w:r>
        <w:t xml:space="preserve"> occurs if a person directly or indirectly discriminates against the other person on the basis of a protected attribute.</w:t>
      </w:r>
    </w:p>
    <w:p w14:paraId="4529FD2E" w14:textId="77777777" w:rsidR="00D84C1E" w:rsidRDefault="00D84C1E" w:rsidP="00D84C1E">
      <w:r>
        <w:t>It does not matter:</w:t>
      </w:r>
    </w:p>
    <w:p w14:paraId="76E2B496" w14:textId="77777777" w:rsidR="00D84C1E" w:rsidRDefault="00D84C1E" w:rsidP="00D84C1E">
      <w:pPr>
        <w:pStyle w:val="ListParagraph"/>
        <w:numPr>
          <w:ilvl w:val="0"/>
          <w:numId w:val="22"/>
        </w:numPr>
      </w:pPr>
      <w:r>
        <w:t>whether the discrimination is direct or indirect or both direct and indirect;</w:t>
      </w:r>
    </w:p>
    <w:p w14:paraId="7236C764" w14:textId="77777777" w:rsidR="00D84C1E" w:rsidRDefault="00D84C1E" w:rsidP="00D84C1E">
      <w:pPr>
        <w:pStyle w:val="ListParagraph"/>
        <w:numPr>
          <w:ilvl w:val="0"/>
          <w:numId w:val="22"/>
        </w:numPr>
      </w:pPr>
      <w:r>
        <w:t>whether the person who discriminates is aware of the discrimination; or</w:t>
      </w:r>
    </w:p>
    <w:p w14:paraId="3A8C2C8F" w14:textId="77777777" w:rsidR="00D84C1E" w:rsidRDefault="00D84C1E" w:rsidP="00D84C1E">
      <w:pPr>
        <w:pStyle w:val="ListParagraph"/>
        <w:numPr>
          <w:ilvl w:val="0"/>
          <w:numId w:val="22"/>
        </w:numPr>
      </w:pPr>
      <w:r>
        <w:t>whether the discrimination happens because the person does an act or omits to do an act.</w:t>
      </w:r>
    </w:p>
    <w:p w14:paraId="2E962CB6" w14:textId="6146D285" w:rsidR="00D84C1E" w:rsidRDefault="00D84C1E" w:rsidP="00D84C1E">
      <w:r>
        <w:t>Also</w:t>
      </w:r>
      <w:r w:rsidR="0002048F">
        <w:t>,</w:t>
      </w:r>
      <w:r>
        <w:t xml:space="preserve"> a person’s motive for discrimination is irrelevant.</w:t>
      </w:r>
    </w:p>
    <w:p w14:paraId="523E15E3" w14:textId="77777777" w:rsidR="00D84C1E" w:rsidRDefault="00D84C1E" w:rsidP="00D84C1E">
      <w:r>
        <w:t xml:space="preserve">This clause also makes it clear that taking </w:t>
      </w:r>
      <w:r w:rsidRPr="00496826">
        <w:rPr>
          <w:b/>
          <w:bCs/>
        </w:rPr>
        <w:t>affirmative measures</w:t>
      </w:r>
      <w:r>
        <w:t>, is not discrimination.</w:t>
      </w:r>
    </w:p>
    <w:p w14:paraId="32DA8227" w14:textId="77777777" w:rsidR="00D84C1E" w:rsidRPr="003A1523" w:rsidRDefault="00D84C1E" w:rsidP="00D84C1E">
      <w:pPr>
        <w:pStyle w:val="Heading4"/>
      </w:pPr>
      <w:bookmarkStart w:id="52" w:name="_Toc159520263"/>
      <w:r w:rsidRPr="003A1523">
        <w:t>Direct Discrimination</w:t>
      </w:r>
      <w:bookmarkEnd w:id="52"/>
    </w:p>
    <w:p w14:paraId="03BFE019" w14:textId="77777777" w:rsidR="00D84C1E" w:rsidRPr="00963362" w:rsidRDefault="00D84C1E" w:rsidP="00D84C1E">
      <w:pPr>
        <w:jc w:val="both"/>
      </w:pPr>
      <w:r>
        <w:t xml:space="preserve">Under the current AD Act, </w:t>
      </w:r>
      <w:r w:rsidRPr="00963362">
        <w:t>discrimination means treating a person with a protected attribute less favourably than a person (whether real or hypothetical) without the attribute in the same (or relevantly the same) circumstances. Th</w:t>
      </w:r>
      <w:r>
        <w:t>e use of a comparative person</w:t>
      </w:r>
      <w:r w:rsidRPr="00963362">
        <w:t xml:space="preserve"> is called the ‘comparator test’. The protected attribute must be a substantial reason for the treatment, and the responsibility for proving why treatment occurred currently rests on the person who claims to have been discriminated against.</w:t>
      </w:r>
    </w:p>
    <w:p w14:paraId="7304CEF5" w14:textId="77777777" w:rsidR="00D84C1E" w:rsidRPr="00963362" w:rsidRDefault="00D84C1E" w:rsidP="00D84C1E">
      <w:pPr>
        <w:jc w:val="both"/>
      </w:pPr>
      <w:r w:rsidRPr="00AD7B5F">
        <w:t xml:space="preserve">Under the new meaning of </w:t>
      </w:r>
      <w:r w:rsidRPr="00AD7B5F">
        <w:rPr>
          <w:b/>
          <w:bCs/>
        </w:rPr>
        <w:t>direct discrimination</w:t>
      </w:r>
      <w:r w:rsidRPr="00AD7B5F">
        <w:t xml:space="preserve"> in</w:t>
      </w:r>
      <w:r>
        <w:rPr>
          <w:b/>
          <w:bCs/>
        </w:rPr>
        <w:t xml:space="preserve"> c</w:t>
      </w:r>
      <w:r w:rsidRPr="00FA4F78">
        <w:rPr>
          <w:b/>
          <w:bCs/>
        </w:rPr>
        <w:t>lause 1</w:t>
      </w:r>
      <w:r>
        <w:rPr>
          <w:b/>
          <w:bCs/>
        </w:rPr>
        <w:t>4</w:t>
      </w:r>
      <w:r>
        <w:t xml:space="preserve"> the</w:t>
      </w:r>
      <w:r w:rsidRPr="00963362">
        <w:t xml:space="preserve"> comparator test</w:t>
      </w:r>
      <w:r>
        <w:t xml:space="preserve"> is removed</w:t>
      </w:r>
      <w:r w:rsidRPr="00963362">
        <w:t>, so that direct discrimination is simply</w:t>
      </w:r>
      <w:r>
        <w:t>:</w:t>
      </w:r>
      <w:r w:rsidRPr="00963362">
        <w:t xml:space="preserve"> treating, or proposing to treat, a person with a protected attribute</w:t>
      </w:r>
      <w:r>
        <w:t xml:space="preserve"> </w:t>
      </w:r>
      <w:r w:rsidRPr="00963362">
        <w:t xml:space="preserve">unfavourably because of their protected attribute. </w:t>
      </w:r>
    </w:p>
    <w:p w14:paraId="1A848FD5" w14:textId="77777777" w:rsidR="00D84C1E" w:rsidRDefault="00D84C1E" w:rsidP="00D84C1E">
      <w:pPr>
        <w:spacing w:before="60" w:line="280" w:lineRule="exact"/>
        <w:jc w:val="both"/>
      </w:pPr>
      <w:r w:rsidRPr="009062BB">
        <w:t>The definition</w:t>
      </w:r>
      <w:r>
        <w:t xml:space="preserve"> also</w:t>
      </w:r>
      <w:r w:rsidRPr="009062BB">
        <w:t xml:space="preserve"> </w:t>
      </w:r>
      <w:r>
        <w:t>clarifies</w:t>
      </w:r>
      <w:r w:rsidRPr="009062BB">
        <w:t xml:space="preserve"> that</w:t>
      </w:r>
      <w:r>
        <w:t>:</w:t>
      </w:r>
    </w:p>
    <w:p w14:paraId="6A8E978C" w14:textId="77777777" w:rsidR="00D84C1E" w:rsidRDefault="00D84C1E" w:rsidP="00D84C1E">
      <w:pPr>
        <w:pStyle w:val="ListParagraph"/>
        <w:numPr>
          <w:ilvl w:val="0"/>
          <w:numId w:val="23"/>
        </w:numPr>
        <w:spacing w:before="60" w:line="280" w:lineRule="exact"/>
        <w:jc w:val="both"/>
      </w:pPr>
      <w:r w:rsidRPr="009062BB">
        <w:t>it does not matter whether the other person’s protected attribute is only one of the reasons for the unfavourable treatment</w:t>
      </w:r>
      <w:r>
        <w:t>;</w:t>
      </w:r>
    </w:p>
    <w:p w14:paraId="7B58C666" w14:textId="5DD84587" w:rsidR="00D84C1E" w:rsidRDefault="00D84C1E" w:rsidP="00D84C1E">
      <w:pPr>
        <w:pStyle w:val="ListParagraph"/>
        <w:numPr>
          <w:ilvl w:val="0"/>
          <w:numId w:val="23"/>
        </w:numPr>
        <w:spacing w:before="60" w:line="280" w:lineRule="exact"/>
        <w:jc w:val="both"/>
      </w:pPr>
      <w:r>
        <w:t>t</w:t>
      </w:r>
      <w:r w:rsidRPr="009062BB">
        <w:t>he existence of a protected attribute need only be a contributing reason for the unfavourable treatment, not the substantial or main reason for the unfavourable treatment</w:t>
      </w:r>
      <w:r w:rsidR="00882B97">
        <w:t>;</w:t>
      </w:r>
      <w:r w:rsidRPr="009062BB">
        <w:t xml:space="preserve"> </w:t>
      </w:r>
    </w:p>
    <w:p w14:paraId="17C03084" w14:textId="77777777" w:rsidR="00D84C1E" w:rsidRPr="00AD7B5F" w:rsidRDefault="00D84C1E" w:rsidP="00D84C1E">
      <w:pPr>
        <w:pStyle w:val="ListParagraph"/>
        <w:numPr>
          <w:ilvl w:val="0"/>
          <w:numId w:val="23"/>
        </w:numPr>
        <w:spacing w:before="60" w:line="280" w:lineRule="exact"/>
        <w:jc w:val="both"/>
        <w:rPr>
          <w:b/>
          <w:bCs/>
          <w:i/>
          <w:iCs/>
          <w:u w:val="single"/>
        </w:rPr>
      </w:pPr>
      <w:r>
        <w:t xml:space="preserve">it </w:t>
      </w:r>
      <w:r w:rsidRPr="009062BB">
        <w:t xml:space="preserve">does not matter whether the person who discriminates considers the treatment is unfavourable. </w:t>
      </w:r>
    </w:p>
    <w:p w14:paraId="4311FC5D" w14:textId="77777777" w:rsidR="00D84C1E" w:rsidRPr="003A1523" w:rsidRDefault="00D84C1E" w:rsidP="00D84C1E">
      <w:pPr>
        <w:pStyle w:val="Heading4"/>
      </w:pPr>
      <w:bookmarkStart w:id="53" w:name="_Toc159520264"/>
      <w:r w:rsidRPr="003A1523">
        <w:t>Indirect Discrimination</w:t>
      </w:r>
      <w:bookmarkEnd w:id="53"/>
    </w:p>
    <w:p w14:paraId="240B4F68" w14:textId="77777777" w:rsidR="00D84C1E" w:rsidRDefault="00D84C1E" w:rsidP="00D84C1E">
      <w:pPr>
        <w:jc w:val="both"/>
      </w:pPr>
      <w:r>
        <w:t xml:space="preserve">Under the current AD Act, </w:t>
      </w:r>
      <w:r w:rsidRPr="00963362">
        <w:t xml:space="preserve">indirect discrimination </w:t>
      </w:r>
      <w:r>
        <w:t>is defined as</w:t>
      </w:r>
      <w:r w:rsidRPr="00963362">
        <w:t xml:space="preserve"> the imposition of a condition, requirement or practice</w:t>
      </w:r>
      <w:r>
        <w:t>:</w:t>
      </w:r>
      <w:r w:rsidRPr="00963362">
        <w:t xml:space="preserve"> with which a person who has a protected attribute is unable to comply</w:t>
      </w:r>
      <w:r>
        <w:t xml:space="preserve">; with which </w:t>
      </w:r>
      <w:r w:rsidRPr="00963362">
        <w:t>a higher proportion of people without the attribute are able to comply</w:t>
      </w:r>
      <w:r>
        <w:t xml:space="preserve">; and that is not reasonable. </w:t>
      </w:r>
      <w:r w:rsidRPr="00EE3B5D">
        <w:t>This test also imports the idea of a comparato</w:t>
      </w:r>
      <w:r>
        <w:t>r, and the onus of is on th</w:t>
      </w:r>
      <w:r w:rsidRPr="00963362">
        <w:t>e person who claims to have been discriminated</w:t>
      </w:r>
      <w:r>
        <w:t xml:space="preserve"> against to meet the evidential burden.</w:t>
      </w:r>
    </w:p>
    <w:p w14:paraId="60F21787" w14:textId="77777777" w:rsidR="00D84C1E" w:rsidRDefault="00D84C1E" w:rsidP="00D84C1E">
      <w:pPr>
        <w:jc w:val="both"/>
      </w:pPr>
      <w:r w:rsidRPr="00720075">
        <w:rPr>
          <w:b/>
          <w:bCs/>
        </w:rPr>
        <w:t>Clause 1</w:t>
      </w:r>
      <w:r>
        <w:rPr>
          <w:b/>
          <w:bCs/>
        </w:rPr>
        <w:t>5</w:t>
      </w:r>
      <w:r>
        <w:t xml:space="preserve"> of the draft Bill provides that a person </w:t>
      </w:r>
      <w:r w:rsidRPr="00496826">
        <w:rPr>
          <w:b/>
          <w:bCs/>
        </w:rPr>
        <w:t>indirectly discriminates</w:t>
      </w:r>
      <w:r>
        <w:t xml:space="preserve"> against another person if the person imposes, or proposes to impose, a condition, requirement or practice that </w:t>
      </w:r>
      <w:r w:rsidRPr="00A001BF">
        <w:t>has, or is likely to have, the effect of disadvantaging the</w:t>
      </w:r>
      <w:r>
        <w:t xml:space="preserve"> </w:t>
      </w:r>
      <w:r w:rsidRPr="00A001BF">
        <w:t>other person because the other person has a protected</w:t>
      </w:r>
      <w:r>
        <w:t xml:space="preserve"> </w:t>
      </w:r>
      <w:r w:rsidRPr="00A001BF">
        <w:t>attribute</w:t>
      </w:r>
      <w:r>
        <w:t xml:space="preserve">, and </w:t>
      </w:r>
      <w:r w:rsidRPr="00A001BF">
        <w:t>is not reasonable.</w:t>
      </w:r>
      <w:r>
        <w:t xml:space="preserve"> The person imposing the condition, requirement or practice has the onus of proving that it was reasonable. </w:t>
      </w:r>
    </w:p>
    <w:p w14:paraId="427D9293" w14:textId="77777777" w:rsidR="00D84C1E" w:rsidRDefault="00D84C1E" w:rsidP="00D84C1E">
      <w:pPr>
        <w:jc w:val="both"/>
      </w:pPr>
      <w:r>
        <w:t xml:space="preserve">Under </w:t>
      </w:r>
      <w:r w:rsidRPr="00EE069E">
        <w:rPr>
          <w:b/>
          <w:bCs/>
        </w:rPr>
        <w:t>clause 1</w:t>
      </w:r>
      <w:r>
        <w:rPr>
          <w:b/>
          <w:bCs/>
        </w:rPr>
        <w:t>5</w:t>
      </w:r>
      <w:r>
        <w:t xml:space="preserve"> of the draft Bill, a person will also indirectly discriminate against a person with a disability if they:</w:t>
      </w:r>
    </w:p>
    <w:p w14:paraId="666CE6E5" w14:textId="77777777" w:rsidR="00D84C1E" w:rsidRPr="00054A4F" w:rsidRDefault="00D84C1E" w:rsidP="00D84C1E">
      <w:pPr>
        <w:numPr>
          <w:ilvl w:val="0"/>
          <w:numId w:val="5"/>
        </w:numPr>
        <w:spacing w:before="60" w:line="280" w:lineRule="exact"/>
        <w:jc w:val="both"/>
      </w:pPr>
      <w:r w:rsidRPr="00054A4F">
        <w:t>impose, or proposes to impose, a condition, requirement or practice that has, or is likely to have, the effect of disadvantaging the person with disability because of the disability; and</w:t>
      </w:r>
    </w:p>
    <w:p w14:paraId="7AE2C2B1" w14:textId="77777777" w:rsidR="00D84C1E" w:rsidRPr="00054A4F" w:rsidRDefault="00D84C1E" w:rsidP="00D84C1E">
      <w:pPr>
        <w:numPr>
          <w:ilvl w:val="0"/>
          <w:numId w:val="5"/>
        </w:numPr>
        <w:spacing w:before="60" w:line="280" w:lineRule="exact"/>
        <w:jc w:val="both"/>
      </w:pPr>
      <w:r w:rsidRPr="00054A4F">
        <w:t>the condition, requirement or practice would not disadvantage the person with disability if a reasonable accommodation was made; and</w:t>
      </w:r>
    </w:p>
    <w:p w14:paraId="685408E5" w14:textId="77777777" w:rsidR="00D84C1E" w:rsidRPr="00054A4F" w:rsidRDefault="00D84C1E" w:rsidP="00D84C1E">
      <w:pPr>
        <w:numPr>
          <w:ilvl w:val="0"/>
          <w:numId w:val="5"/>
        </w:numPr>
        <w:spacing w:before="60" w:line="280" w:lineRule="exact"/>
        <w:jc w:val="both"/>
      </w:pPr>
      <w:r w:rsidRPr="00054A4F">
        <w:t>the person fails or refuses to make a reasonable accommodation.</w:t>
      </w:r>
    </w:p>
    <w:p w14:paraId="7AE6181F" w14:textId="77777777" w:rsidR="00D84C1E" w:rsidRDefault="00D84C1E" w:rsidP="00D84C1E">
      <w:pPr>
        <w:jc w:val="both"/>
      </w:pPr>
      <w:r>
        <w:lastRenderedPageBreak/>
        <w:t xml:space="preserve">The clause sets out a number of factors that may be taken into consideration when determining whether a condition, requirement or practice is reasonable, broadly consistent with section 9(3)(a)-(e) of the </w:t>
      </w:r>
      <w:r w:rsidRPr="008849B8">
        <w:rPr>
          <w:i/>
          <w:iCs/>
        </w:rPr>
        <w:t xml:space="preserve">Equal Opportunity Act 2010 </w:t>
      </w:r>
      <w:r>
        <w:t>(Vic) (Victorian EO Act).</w:t>
      </w:r>
    </w:p>
    <w:p w14:paraId="683862C8" w14:textId="77777777" w:rsidR="00D84C1E" w:rsidRDefault="00D84C1E" w:rsidP="00D84C1E">
      <w:pPr>
        <w:jc w:val="both"/>
      </w:pPr>
      <w:r w:rsidRPr="008849B8">
        <w:t xml:space="preserve">These changes provide a similar approach to that adopted in </w:t>
      </w:r>
      <w:r>
        <w:t xml:space="preserve">the </w:t>
      </w:r>
      <w:r w:rsidRPr="008849B8">
        <w:rPr>
          <w:i/>
          <w:iCs/>
        </w:rPr>
        <w:t xml:space="preserve">Age Discrimination Act 2004 </w:t>
      </w:r>
      <w:r w:rsidRPr="008849B8">
        <w:t>(Cth)</w:t>
      </w:r>
      <w:r>
        <w:t xml:space="preserve"> (the Age Discrimination Act), the </w:t>
      </w:r>
      <w:r w:rsidRPr="00496826">
        <w:t xml:space="preserve">Sex Discrimination Act </w:t>
      </w:r>
      <w:r>
        <w:t>and a number of States and Territories</w:t>
      </w:r>
      <w:r w:rsidRPr="008849B8">
        <w:t xml:space="preserve">. </w:t>
      </w:r>
    </w:p>
    <w:p w14:paraId="563286DE" w14:textId="77777777" w:rsidR="00D84C1E" w:rsidRPr="003A1523" w:rsidRDefault="00D84C1E" w:rsidP="004E49AC">
      <w:pPr>
        <w:pStyle w:val="Heading3"/>
      </w:pPr>
      <w:bookmarkStart w:id="54" w:name="_Toc159520265"/>
      <w:r w:rsidRPr="003A1523">
        <w:t>Affirmative Measures - general</w:t>
      </w:r>
      <w:bookmarkEnd w:id="54"/>
    </w:p>
    <w:p w14:paraId="6B6CE849" w14:textId="77777777" w:rsidR="00D84C1E" w:rsidRDefault="00D84C1E" w:rsidP="00D84C1E">
      <w:pPr>
        <w:jc w:val="both"/>
      </w:pPr>
      <w:r w:rsidRPr="00A610FF">
        <w:t xml:space="preserve">The term ‘affirmative measures’ generally refers to proactive measures which aim to correct or compensate for past or present discrimination, and prevent discrimination from recurring in the future for a group of persons with a particular attribute. Affirmative measures may involve strategies to provide preferential treatment to a group with the aim of increasing the representation of these groups in the workforce, or for people with disability to exercise rights and participate in society on the same basis. </w:t>
      </w:r>
    </w:p>
    <w:p w14:paraId="4C18191A" w14:textId="77777777" w:rsidR="00D84C1E" w:rsidRPr="00496826" w:rsidRDefault="00D84C1E" w:rsidP="00D84C1E">
      <w:pPr>
        <w:jc w:val="both"/>
      </w:pPr>
      <w:r w:rsidRPr="00496826">
        <w:t xml:space="preserve">Affirmative measures promote substantive equality for a group of people who have one or more protected attributes. </w:t>
      </w:r>
    </w:p>
    <w:p w14:paraId="5387D987" w14:textId="77777777" w:rsidR="00D84C1E" w:rsidRPr="00496826" w:rsidRDefault="00D84C1E" w:rsidP="00D84C1E">
      <w:pPr>
        <w:jc w:val="both"/>
      </w:pPr>
      <w:r w:rsidRPr="00496826">
        <w:t xml:space="preserve">While ‘affirmative measures’ are also known as other terms, including ‘special measures’ and ‘affirmative action’, the Building Belonging Report preferred the term ‘affirmative measures,’ given the term ‘special measures’ could have paternalistic connotations. The term ‘affirmative measures’ </w:t>
      </w:r>
      <w:r>
        <w:t>is</w:t>
      </w:r>
      <w:r w:rsidRPr="00496826">
        <w:t xml:space="preserve"> </w:t>
      </w:r>
      <w:r>
        <w:t xml:space="preserve">the term used in the </w:t>
      </w:r>
      <w:r w:rsidRPr="00496826">
        <w:t>draft Bill.</w:t>
      </w:r>
    </w:p>
    <w:p w14:paraId="1DB0FD24" w14:textId="5EFFEC27" w:rsidR="00D84C1E" w:rsidRPr="00A610FF" w:rsidRDefault="00D84C1E" w:rsidP="00D84C1E">
      <w:pPr>
        <w:jc w:val="both"/>
      </w:pPr>
      <w:r w:rsidRPr="00A610FF">
        <w:t>The current AD Act refers to these measures as ‘welfare measures’ or ‘equal opportunity measures’ and frames them as exceptions to discrimination (see sections 104 and 105 of the current AD Act)</w:t>
      </w:r>
      <w:r w:rsidR="00F97930">
        <w:t>.</w:t>
      </w:r>
      <w:r w:rsidRPr="00A610FF">
        <w:t xml:space="preserve"> The draft Bill aims to encourage the use of these strategies by reframing </w:t>
      </w:r>
      <w:r>
        <w:t xml:space="preserve">them as </w:t>
      </w:r>
      <w:r w:rsidRPr="00A610FF">
        <w:t xml:space="preserve">affirmative measures which are explicitly permitted. </w:t>
      </w:r>
      <w:r>
        <w:t xml:space="preserve">If a </w:t>
      </w:r>
      <w:r w:rsidRPr="00A610FF">
        <w:t xml:space="preserve">measure meets the criteria of an ‘affirmative measure’ under the </w:t>
      </w:r>
      <w:r>
        <w:t xml:space="preserve">draft Bill, </w:t>
      </w:r>
      <w:r w:rsidRPr="00A610FF">
        <w:t>then it will not be discrimination.</w:t>
      </w:r>
    </w:p>
    <w:p w14:paraId="29EC138A" w14:textId="77777777" w:rsidR="00D84C1E" w:rsidRDefault="00D84C1E" w:rsidP="00D84C1E">
      <w:pPr>
        <w:jc w:val="both"/>
      </w:pPr>
      <w:r w:rsidRPr="00A610FF">
        <w:rPr>
          <w:b/>
          <w:bCs/>
        </w:rPr>
        <w:t xml:space="preserve">Clause 16 </w:t>
      </w:r>
      <w:r>
        <w:t xml:space="preserve">defines </w:t>
      </w:r>
      <w:r w:rsidRPr="00893152">
        <w:rPr>
          <w:b/>
          <w:bCs/>
        </w:rPr>
        <w:t>affirmative measures</w:t>
      </w:r>
      <w:r>
        <w:t>.</w:t>
      </w:r>
    </w:p>
    <w:p w14:paraId="60B65738" w14:textId="77777777" w:rsidR="00D84C1E" w:rsidRPr="00893152" w:rsidRDefault="00D84C1E" w:rsidP="00D84C1E">
      <w:pPr>
        <w:jc w:val="both"/>
      </w:pPr>
      <w:r w:rsidRPr="00893152">
        <w:t>An affirmative measure must:</w:t>
      </w:r>
    </w:p>
    <w:p w14:paraId="4E3CE120" w14:textId="77777777" w:rsidR="00D84C1E" w:rsidRPr="00893152" w:rsidRDefault="00D84C1E" w:rsidP="00D84C1E">
      <w:pPr>
        <w:numPr>
          <w:ilvl w:val="0"/>
          <w:numId w:val="24"/>
        </w:numPr>
        <w:jc w:val="both"/>
      </w:pPr>
      <w:r w:rsidRPr="00893152">
        <w:t>confer a benefit on the members of the group;</w:t>
      </w:r>
    </w:p>
    <w:p w14:paraId="1095640A" w14:textId="1B138B75" w:rsidR="00D84C1E" w:rsidRPr="00893152" w:rsidRDefault="00D84C1E" w:rsidP="00D84C1E">
      <w:pPr>
        <w:numPr>
          <w:ilvl w:val="0"/>
          <w:numId w:val="24"/>
        </w:numPr>
        <w:jc w:val="both"/>
      </w:pPr>
      <w:r w:rsidRPr="00893152">
        <w:t>be taken in good faith for achieving the purpose (i.e. achieving substantive equality for members of a group with a protected attribute);</w:t>
      </w:r>
    </w:p>
    <w:p w14:paraId="4E2B9E30" w14:textId="77777777" w:rsidR="00D84C1E" w:rsidRPr="00893152" w:rsidRDefault="00D84C1E" w:rsidP="00D84C1E">
      <w:pPr>
        <w:numPr>
          <w:ilvl w:val="0"/>
          <w:numId w:val="24"/>
        </w:numPr>
        <w:jc w:val="both"/>
      </w:pPr>
      <w:r w:rsidRPr="00893152">
        <w:t>be reasonably likely to achieve the purpose;</w:t>
      </w:r>
    </w:p>
    <w:p w14:paraId="7A606702" w14:textId="77777777" w:rsidR="00D84C1E" w:rsidRPr="00893152" w:rsidRDefault="00D84C1E" w:rsidP="00D84C1E">
      <w:pPr>
        <w:numPr>
          <w:ilvl w:val="0"/>
          <w:numId w:val="24"/>
        </w:numPr>
        <w:jc w:val="both"/>
      </w:pPr>
      <w:r w:rsidRPr="00893152">
        <w:t>be proportionate to achieving the purpose; and</w:t>
      </w:r>
    </w:p>
    <w:p w14:paraId="5F5CB42E" w14:textId="77777777" w:rsidR="00D84C1E" w:rsidRPr="00893152" w:rsidRDefault="00D84C1E" w:rsidP="00D84C1E">
      <w:pPr>
        <w:numPr>
          <w:ilvl w:val="0"/>
          <w:numId w:val="24"/>
        </w:numPr>
        <w:jc w:val="both"/>
      </w:pPr>
      <w:r w:rsidRPr="00893152">
        <w:t>be justified because the members of the group have a particular need for advancement or assistance.</w:t>
      </w:r>
    </w:p>
    <w:p w14:paraId="02793DAE" w14:textId="77777777" w:rsidR="00D84C1E" w:rsidRPr="00893152" w:rsidRDefault="00D84C1E" w:rsidP="00D84C1E">
      <w:pPr>
        <w:jc w:val="both"/>
      </w:pPr>
      <w:r w:rsidRPr="00893152">
        <w:t>A measure is taken for achieving the purpose if it is taken –</w:t>
      </w:r>
    </w:p>
    <w:p w14:paraId="003FDE15" w14:textId="77777777" w:rsidR="00D84C1E" w:rsidRPr="00893152" w:rsidRDefault="00D84C1E" w:rsidP="00D84C1E">
      <w:pPr>
        <w:numPr>
          <w:ilvl w:val="0"/>
          <w:numId w:val="25"/>
        </w:numPr>
        <w:jc w:val="both"/>
      </w:pPr>
      <w:r w:rsidRPr="00893152">
        <w:t>solely for achieving the purpose; or</w:t>
      </w:r>
    </w:p>
    <w:p w14:paraId="2D378301" w14:textId="77777777" w:rsidR="00D84C1E" w:rsidRPr="00893152" w:rsidRDefault="00D84C1E" w:rsidP="00D84C1E">
      <w:pPr>
        <w:numPr>
          <w:ilvl w:val="0"/>
          <w:numId w:val="25"/>
        </w:numPr>
        <w:jc w:val="both"/>
      </w:pPr>
      <w:r w:rsidRPr="00893152">
        <w:t>for achieving the purpose as well as for other reasons.</w:t>
      </w:r>
    </w:p>
    <w:p w14:paraId="45A990C1" w14:textId="77777777" w:rsidR="00D84C1E" w:rsidRPr="00893152" w:rsidRDefault="00D84C1E" w:rsidP="00D84C1E">
      <w:pPr>
        <w:jc w:val="both"/>
      </w:pPr>
      <w:r w:rsidRPr="00893152">
        <w:t>The person taking the affirm</w:t>
      </w:r>
      <w:r>
        <w:t>ative</w:t>
      </w:r>
      <w:r w:rsidRPr="00893152">
        <w:t xml:space="preserve"> measure has the onus of proving, on the balance of probabilities, that the measure is an affirmative measure.</w:t>
      </w:r>
    </w:p>
    <w:p w14:paraId="15230C11" w14:textId="77777777" w:rsidR="00D84C1E" w:rsidRDefault="00D84C1E" w:rsidP="00D84C1E">
      <w:pPr>
        <w:jc w:val="both"/>
      </w:pPr>
      <w:r w:rsidRPr="00893152">
        <w:t>A measure stops being an affirmative measure if the purpose is achieved.</w:t>
      </w:r>
    </w:p>
    <w:p w14:paraId="7C929461" w14:textId="77777777" w:rsidR="00D84C1E" w:rsidRPr="00893152" w:rsidRDefault="00D84C1E" w:rsidP="00D84C1E">
      <w:pPr>
        <w:jc w:val="both"/>
      </w:pPr>
      <w:r w:rsidRPr="00893152">
        <w:t>If it doesn’t meet the criteria then it will be discrimination, and if a person, organisation or government wishes to pursue the measure, they will require an exemption from the tribunal.</w:t>
      </w:r>
      <w:r w:rsidRPr="00893152">
        <w:rPr>
          <w:vertAlign w:val="superscript"/>
        </w:rPr>
        <w:footnoteReference w:id="5"/>
      </w:r>
      <w:r w:rsidRPr="00893152">
        <w:t xml:space="preserve"> It is intended that the provisions for affirmative measures operate primarily on a self-assessment basis. That is, it is </w:t>
      </w:r>
      <w:r w:rsidRPr="00893152">
        <w:lastRenderedPageBreak/>
        <w:t>preferrable that persons seeking to engage in affirmative measures make their own assessment of the matter, rather than making an application to the tribunal for a determination as to whether the measures are an affirmative measure or require an exemption. The functions of the QHRC under the new legislation will include developing guidance about the application of the AD Act, and this must include guidelines about the development of affirmative measures.</w:t>
      </w:r>
    </w:p>
    <w:p w14:paraId="1E5353E3" w14:textId="77777777" w:rsidR="00D84C1E" w:rsidRPr="003A1523" w:rsidRDefault="00D84C1E" w:rsidP="004E49AC">
      <w:pPr>
        <w:pStyle w:val="Heading3"/>
      </w:pPr>
      <w:bookmarkStart w:id="55" w:name="_Toc159520266"/>
      <w:r w:rsidRPr="003A1523">
        <w:t>Affirmative measures for achieving racial equality</w:t>
      </w:r>
      <w:bookmarkEnd w:id="55"/>
    </w:p>
    <w:p w14:paraId="7DC5EEAC" w14:textId="77777777" w:rsidR="00D84C1E" w:rsidRDefault="00D84C1E" w:rsidP="00D84C1E">
      <w:pPr>
        <w:jc w:val="both"/>
      </w:pPr>
      <w:r w:rsidRPr="00893152">
        <w:t>In the Building Belonging Report, the QHRC have recommended that any drafting of provisions for affirmative measures will need to ensure it does not entrench disadvantage for marginalised racial groups, and in particular, First Nations peoples.</w:t>
      </w:r>
    </w:p>
    <w:p w14:paraId="2D623A11" w14:textId="77777777" w:rsidR="00D84C1E" w:rsidRPr="00893152" w:rsidRDefault="00D84C1E" w:rsidP="00D84C1E">
      <w:pPr>
        <w:jc w:val="both"/>
        <w:rPr>
          <w:b/>
          <w:bCs/>
          <w:iCs/>
        </w:rPr>
      </w:pPr>
      <w:r w:rsidRPr="00893152">
        <w:t>In addition to the general requirements (listed above), it is proposed that any affirmative measures for realising substantive equality for groups or individuals of a particular race, must also meet additional requirements. These additional requirements</w:t>
      </w:r>
      <w:r>
        <w:t xml:space="preserve"> (</w:t>
      </w:r>
      <w:r w:rsidRPr="00893152">
        <w:rPr>
          <w:b/>
          <w:bCs/>
        </w:rPr>
        <w:t>clause 16</w:t>
      </w:r>
      <w:r>
        <w:t>)</w:t>
      </w:r>
      <w:r w:rsidRPr="00893152">
        <w:t xml:space="preserve"> will include that the measure:</w:t>
      </w:r>
    </w:p>
    <w:p w14:paraId="2C5A6223" w14:textId="77777777" w:rsidR="00D84C1E" w:rsidRPr="00893152" w:rsidRDefault="00D84C1E" w:rsidP="00D84C1E">
      <w:pPr>
        <w:numPr>
          <w:ilvl w:val="0"/>
          <w:numId w:val="26"/>
        </w:numPr>
        <w:jc w:val="both"/>
      </w:pPr>
      <w:r w:rsidRPr="00893152">
        <w:t xml:space="preserve">is taken for the </w:t>
      </w:r>
      <w:r w:rsidRPr="00893152">
        <w:rPr>
          <w:b/>
          <w:bCs/>
        </w:rPr>
        <w:t>sole purpose</w:t>
      </w:r>
      <w:r w:rsidRPr="00893152">
        <w:t xml:space="preserve"> of promoting or realising substantive equality for the members; and</w:t>
      </w:r>
    </w:p>
    <w:p w14:paraId="2273A8E4" w14:textId="77777777" w:rsidR="00D84C1E" w:rsidRPr="00893152" w:rsidRDefault="00D84C1E" w:rsidP="00D84C1E">
      <w:pPr>
        <w:numPr>
          <w:ilvl w:val="0"/>
          <w:numId w:val="26"/>
        </w:numPr>
        <w:jc w:val="both"/>
      </w:pPr>
      <w:r w:rsidRPr="00893152">
        <w:t xml:space="preserve">is </w:t>
      </w:r>
      <w:r w:rsidRPr="00893152">
        <w:rPr>
          <w:b/>
          <w:bCs/>
        </w:rPr>
        <w:t>necessary</w:t>
      </w:r>
      <w:r w:rsidRPr="00893152">
        <w:t xml:space="preserve"> to promote or realise substantive equality.</w:t>
      </w:r>
    </w:p>
    <w:p w14:paraId="4A22F3F1" w14:textId="77777777" w:rsidR="00D84C1E" w:rsidRPr="00893152" w:rsidRDefault="00D84C1E" w:rsidP="00D84C1E">
      <w:pPr>
        <w:jc w:val="both"/>
      </w:pPr>
      <w:r w:rsidRPr="00893152">
        <w:t xml:space="preserve">In deciding whether a measure </w:t>
      </w:r>
      <w:r w:rsidRPr="00893152">
        <w:rPr>
          <w:b/>
          <w:bCs/>
        </w:rPr>
        <w:t>confers a benefit</w:t>
      </w:r>
      <w:r w:rsidRPr="00893152">
        <w:t>, the decision must be:</w:t>
      </w:r>
    </w:p>
    <w:p w14:paraId="39F53879" w14:textId="77777777" w:rsidR="00D84C1E" w:rsidRPr="00893152" w:rsidRDefault="00D84C1E" w:rsidP="00D84C1E">
      <w:pPr>
        <w:numPr>
          <w:ilvl w:val="0"/>
          <w:numId w:val="27"/>
        </w:numPr>
        <w:jc w:val="both"/>
      </w:pPr>
      <w:r w:rsidRPr="00893152">
        <w:t>decided on the basis of adequate consultation with the members of the group, or a representative body for the members of the group, in the design and implementation of the measure; and</w:t>
      </w:r>
    </w:p>
    <w:p w14:paraId="0F843E38" w14:textId="77777777" w:rsidR="00D84C1E" w:rsidRPr="00893152" w:rsidRDefault="00D84C1E" w:rsidP="00D84C1E">
      <w:pPr>
        <w:numPr>
          <w:ilvl w:val="0"/>
          <w:numId w:val="27"/>
        </w:numPr>
        <w:jc w:val="both"/>
      </w:pPr>
      <w:r w:rsidRPr="00893152">
        <w:rPr>
          <w:b/>
          <w:bCs/>
        </w:rPr>
        <w:t>regularly reviewed</w:t>
      </w:r>
      <w:r w:rsidRPr="00893152">
        <w:t xml:space="preserve"> in consultation with the members of the group.</w:t>
      </w:r>
    </w:p>
    <w:p w14:paraId="5F53B007" w14:textId="77777777" w:rsidR="00D84C1E" w:rsidRPr="00BF5056" w:rsidRDefault="00D84C1E" w:rsidP="00D84C1E">
      <w:r>
        <w:t xml:space="preserve">The </w:t>
      </w:r>
      <w:r w:rsidRPr="00AB47ED">
        <w:t>International Convention on the Elimination of All Forms of Racial Discrimination</w:t>
      </w:r>
      <w:r>
        <w:t xml:space="preserve"> (ICERD)</w:t>
      </w:r>
      <w:r w:rsidRPr="00BF5056">
        <w:rPr>
          <w:vertAlign w:val="superscript"/>
        </w:rPr>
        <w:footnoteReference w:id="6"/>
      </w:r>
      <w:r w:rsidRPr="00BF5056">
        <w:t xml:space="preserve"> recognises ‘special measures’ as important for the advancement of equality and confirms that such measures are not racial discrimination.</w:t>
      </w:r>
      <w:r w:rsidRPr="00893152">
        <w:rPr>
          <w:sz w:val="20"/>
        </w:rPr>
        <w:t xml:space="preserve"> </w:t>
      </w:r>
      <w:r w:rsidRPr="00893152">
        <w:t>The importance of engagement of people impacted by measures that are designed to benefit them is also reflected in the United Nations Declaration on the Rights of Indigenous People (UNDRIP).</w:t>
      </w:r>
      <w:r w:rsidRPr="00893152">
        <w:rPr>
          <w:vertAlign w:val="superscript"/>
        </w:rPr>
        <w:footnoteReference w:id="7"/>
      </w:r>
    </w:p>
    <w:p w14:paraId="2894D389" w14:textId="77777777" w:rsidR="00D84C1E" w:rsidRPr="00851670" w:rsidRDefault="00D84C1E" w:rsidP="00D84C1E">
      <w:pPr>
        <w:rPr>
          <w:szCs w:val="22"/>
        </w:rPr>
      </w:pPr>
      <w:r w:rsidRPr="00851670">
        <w:rPr>
          <w:szCs w:val="22"/>
        </w:rPr>
        <w:t>The requirement for consultation with</w:t>
      </w:r>
      <w:r>
        <w:rPr>
          <w:szCs w:val="22"/>
        </w:rPr>
        <w:t>,</w:t>
      </w:r>
      <w:r w:rsidRPr="00851670">
        <w:rPr>
          <w:szCs w:val="22"/>
        </w:rPr>
        <w:t xml:space="preserve"> and participation of</w:t>
      </w:r>
      <w:r>
        <w:rPr>
          <w:szCs w:val="22"/>
        </w:rPr>
        <w:t>,</w:t>
      </w:r>
      <w:r w:rsidRPr="00851670">
        <w:rPr>
          <w:szCs w:val="22"/>
        </w:rPr>
        <w:t xml:space="preserve"> </w:t>
      </w:r>
      <w:r>
        <w:rPr>
          <w:szCs w:val="22"/>
        </w:rPr>
        <w:t>First Nations</w:t>
      </w:r>
      <w:r w:rsidRPr="00851670">
        <w:rPr>
          <w:szCs w:val="22"/>
        </w:rPr>
        <w:t xml:space="preserve"> people in the design and implementation of affirmative measures has received mixed support however in case law in Australia.</w:t>
      </w:r>
      <w:r w:rsidRPr="00851670">
        <w:rPr>
          <w:szCs w:val="22"/>
          <w:vertAlign w:val="superscript"/>
        </w:rPr>
        <w:footnoteReference w:id="8"/>
      </w:r>
    </w:p>
    <w:p w14:paraId="7084042F" w14:textId="77777777" w:rsidR="00D84C1E" w:rsidRPr="00851670" w:rsidRDefault="00D84C1E" w:rsidP="00D84C1E">
      <w:pPr>
        <w:rPr>
          <w:szCs w:val="22"/>
        </w:rPr>
      </w:pPr>
      <w:r w:rsidRPr="00851670">
        <w:rPr>
          <w:szCs w:val="22"/>
        </w:rPr>
        <w:t>The new anti-discrimination law represents an opportunity for Queensland to embed the concept of self-determination and the requirement for consultation as expressed in UNDRIP into the affirmative measures provisions.</w:t>
      </w:r>
    </w:p>
    <w:p w14:paraId="0132C46A" w14:textId="77777777" w:rsidR="00383EF8" w:rsidRPr="004E49AC" w:rsidRDefault="00383EF8" w:rsidP="00383EF8">
      <w:pPr>
        <w:pStyle w:val="Heading2"/>
      </w:pPr>
      <w:bookmarkStart w:id="56" w:name="_Toc159520267"/>
      <w:r w:rsidRPr="004E49AC">
        <w:lastRenderedPageBreak/>
        <w:t>Part 3 – Positive duties</w:t>
      </w:r>
      <w:bookmarkEnd w:id="56"/>
    </w:p>
    <w:p w14:paraId="13A5D2C1" w14:textId="77777777" w:rsidR="00383EF8" w:rsidRDefault="00383EF8" w:rsidP="00383EF8">
      <w:pPr>
        <w:jc w:val="both"/>
      </w:pPr>
      <w:r w:rsidRPr="00523763">
        <w:t>A key finding of the Building Belonging Report was that Queensland’s anti-discrimination framework lacked a preventative focus.</w:t>
      </w:r>
      <w:r>
        <w:t xml:space="preserve"> Part 3 of the draft Bill is directed at addressing this gap. </w:t>
      </w:r>
    </w:p>
    <w:p w14:paraId="5B92EB16" w14:textId="77777777" w:rsidR="00383EF8" w:rsidRDefault="00383EF8" w:rsidP="00383EF8">
      <w:pPr>
        <w:spacing w:after="160" w:line="259" w:lineRule="auto"/>
        <w:jc w:val="both"/>
      </w:pPr>
      <w:r>
        <w:t xml:space="preserve">The Building Belonging Report recommends </w:t>
      </w:r>
      <w:r w:rsidRPr="0073136B">
        <w:rPr>
          <w:noProof/>
        </w:rPr>
        <w:t xml:space="preserve">shifting the focus </w:t>
      </w:r>
      <w:r>
        <w:rPr>
          <w:noProof/>
        </w:rPr>
        <w:t xml:space="preserve">of Queensland’s anti-discrimination law </w:t>
      </w:r>
      <w:r w:rsidRPr="0073136B">
        <w:rPr>
          <w:noProof/>
        </w:rPr>
        <w:t>to prevention</w:t>
      </w:r>
      <w:r w:rsidRPr="007B2461">
        <w:rPr>
          <w:noProof/>
        </w:rPr>
        <w:t xml:space="preserve"> to stop discrimination and sexual harassment before it happens</w:t>
      </w:r>
      <w:r>
        <w:rPr>
          <w:noProof/>
        </w:rPr>
        <w:t xml:space="preserve"> by placing </w:t>
      </w:r>
      <w:r w:rsidRPr="006717AC">
        <w:rPr>
          <w:noProof/>
        </w:rPr>
        <w:t>a positive legal obligation on duty-holders to take active steps to prevent discrimination and sexual harrassment and other prohibited conduct as far as possible,</w:t>
      </w:r>
      <w:r>
        <w:rPr>
          <w:noProof/>
        </w:rPr>
        <w:t xml:space="preserve"> combined with regulatory powers for the QHRC to ensure compliance with the positive duty.</w:t>
      </w:r>
    </w:p>
    <w:p w14:paraId="2E51A072" w14:textId="77777777" w:rsidR="00383EF8" w:rsidRDefault="00383EF8" w:rsidP="00383EF8">
      <w:pPr>
        <w:jc w:val="both"/>
      </w:pPr>
      <w:r>
        <w:t>The positive duty represents a “4</w:t>
      </w:r>
      <w:r w:rsidRPr="00FB681E">
        <w:rPr>
          <w:vertAlign w:val="superscript"/>
        </w:rPr>
        <w:t>th</w:t>
      </w:r>
      <w:r>
        <w:t xml:space="preserve"> generation of anti-discrimination law” which seeks to prevent discrimination, sexual harassment, vilification and victimisation from occurring before it happens and shift the onus of achieving substantive equality in society onto duty-holders, rather than rely on individuals bringing complaint to the QHRC or to a tribunal. In this way, the duty will seek to redress systemic discrimination, sexual harassment, vilification and victimisation.</w:t>
      </w:r>
    </w:p>
    <w:p w14:paraId="0C84F15C" w14:textId="77777777" w:rsidR="00383EF8" w:rsidRDefault="00383EF8" w:rsidP="00383EF8">
      <w:pPr>
        <w:pStyle w:val="Heading3"/>
      </w:pPr>
      <w:bookmarkStart w:id="57" w:name="_Toc159520268"/>
      <w:r>
        <w:t>The purpose of this part</w:t>
      </w:r>
      <w:bookmarkEnd w:id="57"/>
    </w:p>
    <w:p w14:paraId="632C15E2" w14:textId="77777777" w:rsidR="00383EF8" w:rsidRDefault="00383EF8" w:rsidP="00383EF8">
      <w:pPr>
        <w:jc w:val="both"/>
      </w:pPr>
      <w:r>
        <w:t xml:space="preserve">The purpose of the part, to provide for the taking of positive action to help achieve the purposes of the Act, is set out in </w:t>
      </w:r>
      <w:r w:rsidRPr="00FA4F78">
        <w:rPr>
          <w:b/>
          <w:bCs/>
        </w:rPr>
        <w:t>clause 1</w:t>
      </w:r>
      <w:r>
        <w:rPr>
          <w:b/>
          <w:bCs/>
        </w:rPr>
        <w:t>7</w:t>
      </w:r>
      <w:r>
        <w:t xml:space="preserve"> of the Bill.</w:t>
      </w:r>
    </w:p>
    <w:p w14:paraId="2D507989" w14:textId="77777777" w:rsidR="00383EF8" w:rsidRDefault="00383EF8" w:rsidP="00383EF8">
      <w:pPr>
        <w:jc w:val="both"/>
      </w:pPr>
      <w:r>
        <w:t xml:space="preserve">The QHRC must issue guidelines about how persons may comply with their duties under this part (see </w:t>
      </w:r>
      <w:r w:rsidRPr="005A2B11">
        <w:rPr>
          <w:b/>
          <w:bCs/>
        </w:rPr>
        <w:t xml:space="preserve">clause </w:t>
      </w:r>
      <w:r>
        <w:rPr>
          <w:b/>
          <w:bCs/>
        </w:rPr>
        <w:t>146</w:t>
      </w:r>
      <w:r>
        <w:t>).</w:t>
      </w:r>
    </w:p>
    <w:p w14:paraId="03534EF8" w14:textId="77777777" w:rsidR="00383EF8" w:rsidRDefault="00383EF8" w:rsidP="00383EF8">
      <w:pPr>
        <w:jc w:val="both"/>
      </w:pPr>
      <w:r>
        <w:t>There are two different positive duties under this part:</w:t>
      </w:r>
    </w:p>
    <w:p w14:paraId="2E093D89" w14:textId="77777777" w:rsidR="00383EF8" w:rsidRDefault="00383EF8" w:rsidP="00383EF8">
      <w:pPr>
        <w:pStyle w:val="ListParagraph"/>
        <w:numPr>
          <w:ilvl w:val="0"/>
          <w:numId w:val="28"/>
        </w:numPr>
        <w:jc w:val="both"/>
      </w:pPr>
      <w:r>
        <w:t>the duty to make reasonable accommodation for a person with disability (</w:t>
      </w:r>
      <w:r w:rsidRPr="00200316">
        <w:rPr>
          <w:b/>
          <w:bCs/>
        </w:rPr>
        <w:t>duty to make reasonable accommodation</w:t>
      </w:r>
      <w:r>
        <w:t>); and</w:t>
      </w:r>
    </w:p>
    <w:p w14:paraId="338A8884" w14:textId="77777777" w:rsidR="00383EF8" w:rsidRDefault="00383EF8" w:rsidP="00383EF8">
      <w:pPr>
        <w:pStyle w:val="ListParagraph"/>
        <w:numPr>
          <w:ilvl w:val="0"/>
          <w:numId w:val="28"/>
        </w:numPr>
        <w:jc w:val="both"/>
      </w:pPr>
      <w:r>
        <w:t>the duty to eliminate discrimination, sexual harassment, vilification and victimisation (</w:t>
      </w:r>
      <w:r w:rsidRPr="00200316">
        <w:rPr>
          <w:b/>
          <w:bCs/>
        </w:rPr>
        <w:t>the general duty</w:t>
      </w:r>
      <w:r>
        <w:t>).</w:t>
      </w:r>
    </w:p>
    <w:p w14:paraId="64A3EEF7" w14:textId="77777777" w:rsidR="00383EF8" w:rsidRDefault="00383EF8" w:rsidP="00383EF8">
      <w:pPr>
        <w:jc w:val="both"/>
      </w:pPr>
      <w:r>
        <w:t>There are differences in how each duty may be enforced and by whom.</w:t>
      </w:r>
    </w:p>
    <w:p w14:paraId="001370B9" w14:textId="77777777" w:rsidR="00383EF8" w:rsidRDefault="00383EF8" w:rsidP="00383EF8">
      <w:pPr>
        <w:pStyle w:val="Heading3"/>
      </w:pPr>
      <w:bookmarkStart w:id="58" w:name="_Toc159520269"/>
      <w:r>
        <w:t>Duty to make reasonable accommodation</w:t>
      </w:r>
      <w:bookmarkEnd w:id="58"/>
    </w:p>
    <w:p w14:paraId="04D80768" w14:textId="57D9C192" w:rsidR="00383EF8" w:rsidRDefault="00383EF8" w:rsidP="00383EF8">
      <w:pPr>
        <w:jc w:val="both"/>
      </w:pPr>
      <w:r w:rsidRPr="008C7CD0">
        <w:rPr>
          <w:b/>
          <w:bCs/>
        </w:rPr>
        <w:t>Clause 1</w:t>
      </w:r>
      <w:r>
        <w:rPr>
          <w:b/>
          <w:bCs/>
        </w:rPr>
        <w:t>8</w:t>
      </w:r>
      <w:r>
        <w:t xml:space="preserve"> provides for a new positive duty for a person to make reasonable accommodations to ensure that a person with disability is not treated unfavourably, where a person has a duty not to discriminate against them under Part 4 of the draft Bill. </w:t>
      </w:r>
    </w:p>
    <w:p w14:paraId="6EA0DBF9" w14:textId="77777777" w:rsidR="00383EF8" w:rsidRDefault="00383EF8" w:rsidP="00383EF8">
      <w:pPr>
        <w:jc w:val="both"/>
      </w:pPr>
      <w:r>
        <w:t xml:space="preserve">Reasonable accommodation in relation to a person with disability is defined in </w:t>
      </w:r>
      <w:r w:rsidRPr="006D462A">
        <w:rPr>
          <w:b/>
          <w:bCs/>
        </w:rPr>
        <w:t>clause 12</w:t>
      </w:r>
      <w:r>
        <w:t>.</w:t>
      </w:r>
    </w:p>
    <w:p w14:paraId="2C23D9FC" w14:textId="77777777" w:rsidR="00383EF8" w:rsidRDefault="00383EF8" w:rsidP="00383EF8">
      <w:pPr>
        <w:jc w:val="both"/>
      </w:pPr>
      <w:r>
        <w:t xml:space="preserve">As noted above, the failure to make reasonable accommodation for a person with disability may also be direct or indirect discrimination (see </w:t>
      </w:r>
      <w:r w:rsidRPr="006D462A">
        <w:rPr>
          <w:b/>
          <w:bCs/>
        </w:rPr>
        <w:t xml:space="preserve">clauses 14 and 15 </w:t>
      </w:r>
      <w:r>
        <w:t xml:space="preserve">above). This means that a person may make a complaint to the QHRC of discrimination on the ground of disability, if a person fails or refuses to make reasonable accommodation to address the needs of the person with disability and this failure or refusal has the effect that the person with disability is treated unfavourably. </w:t>
      </w:r>
    </w:p>
    <w:p w14:paraId="766E69FE" w14:textId="77777777" w:rsidR="00383EF8" w:rsidRDefault="00383EF8" w:rsidP="00383EF8">
      <w:pPr>
        <w:pStyle w:val="Heading3"/>
      </w:pPr>
      <w:bookmarkStart w:id="59" w:name="_Toc159520270"/>
      <w:r>
        <w:t>The general duty</w:t>
      </w:r>
      <w:bookmarkEnd w:id="59"/>
    </w:p>
    <w:p w14:paraId="04E52020" w14:textId="77777777" w:rsidR="00383EF8" w:rsidRDefault="00383EF8" w:rsidP="00383EF8">
      <w:pPr>
        <w:jc w:val="both"/>
      </w:pPr>
      <w:r w:rsidRPr="008C7CD0">
        <w:rPr>
          <w:b/>
          <w:bCs/>
        </w:rPr>
        <w:t xml:space="preserve">Clause </w:t>
      </w:r>
      <w:r>
        <w:rPr>
          <w:b/>
          <w:bCs/>
        </w:rPr>
        <w:t>19</w:t>
      </w:r>
      <w:r>
        <w:t xml:space="preserve"> of the draft Bill provides a new positive duty, to take reasonable and proportionate measures to eliminate</w:t>
      </w:r>
      <w:r w:rsidRPr="00523763">
        <w:t xml:space="preserve"> discrimination, sexual harassment, vilification or victimisation</w:t>
      </w:r>
      <w:r>
        <w:t xml:space="preserve"> as far as possible.</w:t>
      </w:r>
    </w:p>
    <w:p w14:paraId="650E1FFF" w14:textId="77777777" w:rsidR="00383EF8" w:rsidRDefault="00383EF8" w:rsidP="00383EF8">
      <w:pPr>
        <w:jc w:val="both"/>
      </w:pPr>
      <w:r>
        <w:t>This duty applies to a person who must not engage in discrimination, sexual harassment, vilification or victimisation under part 4, 6 or 7 of the Bill and is:</w:t>
      </w:r>
    </w:p>
    <w:p w14:paraId="69EE7890" w14:textId="77777777" w:rsidR="00383EF8" w:rsidRDefault="00383EF8" w:rsidP="00383EF8">
      <w:pPr>
        <w:pStyle w:val="ListParagraph"/>
        <w:numPr>
          <w:ilvl w:val="0"/>
          <w:numId w:val="30"/>
        </w:numPr>
        <w:jc w:val="both"/>
      </w:pPr>
      <w:r>
        <w:t>a corporation, partnership or unincorporated body that carries on a business or operations;</w:t>
      </w:r>
    </w:p>
    <w:p w14:paraId="7C9420F9" w14:textId="77777777" w:rsidR="00383EF8" w:rsidRDefault="00383EF8" w:rsidP="00383EF8">
      <w:pPr>
        <w:pStyle w:val="ListParagraph"/>
        <w:numPr>
          <w:ilvl w:val="0"/>
          <w:numId w:val="30"/>
        </w:numPr>
        <w:jc w:val="both"/>
      </w:pPr>
      <w:r>
        <w:lastRenderedPageBreak/>
        <w:t>an individual who –</w:t>
      </w:r>
    </w:p>
    <w:p w14:paraId="59C1E98A" w14:textId="77777777" w:rsidR="00383EF8" w:rsidRDefault="00383EF8" w:rsidP="00383EF8">
      <w:pPr>
        <w:pStyle w:val="ListParagraph"/>
        <w:numPr>
          <w:ilvl w:val="1"/>
          <w:numId w:val="29"/>
        </w:numPr>
        <w:jc w:val="both"/>
      </w:pPr>
      <w:r>
        <w:t>carries on a business or operations; and</w:t>
      </w:r>
    </w:p>
    <w:p w14:paraId="7F294159" w14:textId="77777777" w:rsidR="00383EF8" w:rsidRDefault="00383EF8" w:rsidP="00383EF8">
      <w:pPr>
        <w:pStyle w:val="ListParagraph"/>
        <w:numPr>
          <w:ilvl w:val="1"/>
          <w:numId w:val="29"/>
        </w:numPr>
        <w:jc w:val="both"/>
      </w:pPr>
      <w:r>
        <w:t>has responsibility for directing or controlling the business or operations of a person mentioned in paragraph a)</w:t>
      </w:r>
    </w:p>
    <w:p w14:paraId="6CBCFAF3" w14:textId="77777777" w:rsidR="00383EF8" w:rsidRDefault="00383EF8" w:rsidP="00383EF8">
      <w:r w:rsidRPr="002B7662">
        <w:rPr>
          <w:b/>
          <w:bCs/>
        </w:rPr>
        <w:t>Clause 2</w:t>
      </w:r>
      <w:r>
        <w:rPr>
          <w:b/>
          <w:bCs/>
        </w:rPr>
        <w:t>0</w:t>
      </w:r>
      <w:r>
        <w:t xml:space="preserve"> provides for </w:t>
      </w:r>
      <w:r w:rsidRPr="00523763">
        <w:t>factors that must be taken into consideration when de</w:t>
      </w:r>
      <w:r>
        <w:t xml:space="preserve">ciding whether a measure is </w:t>
      </w:r>
      <w:r w:rsidRPr="00523763">
        <w:t>reasonable and proportionate to comply with the duty.</w:t>
      </w:r>
      <w:r>
        <w:t xml:space="preserve"> These </w:t>
      </w:r>
      <w:r w:rsidRPr="00523763">
        <w:t xml:space="preserve">factors are intended to balance the interests of people with a protected attribute to fully enjoy their rights to equality </w:t>
      </w:r>
      <w:r>
        <w:t>without</w:t>
      </w:r>
      <w:r w:rsidRPr="00523763">
        <w:t xml:space="preserve"> placing an unduly high burden on duty holders to comply with the law.</w:t>
      </w:r>
      <w:r>
        <w:t xml:space="preserve"> </w:t>
      </w:r>
    </w:p>
    <w:p w14:paraId="28F433CA" w14:textId="77777777" w:rsidR="00383EF8" w:rsidRPr="00E06B0C" w:rsidRDefault="00383EF8" w:rsidP="00383EF8">
      <w:pPr>
        <w:jc w:val="both"/>
      </w:pPr>
      <w:r w:rsidRPr="00373C71">
        <w:t>Clauses 19 and 20</w:t>
      </w:r>
      <w:r w:rsidRPr="00E06B0C">
        <w:t xml:space="preserve"> draw from existing provisions in the</w:t>
      </w:r>
      <w:r>
        <w:t xml:space="preserve"> Victorian EO Act</w:t>
      </w:r>
      <w:r w:rsidRPr="00E06B0C">
        <w:t xml:space="preserve"> and the recommendations relating to the introduction of a positive duty to prevent sexual harassment recommended in the Respect@Work Report and now in section 47C of the Sex Discrimination Act.</w:t>
      </w:r>
    </w:p>
    <w:p w14:paraId="3B739B6F" w14:textId="77777777" w:rsidR="00383EF8" w:rsidRPr="000F060E" w:rsidRDefault="00383EF8" w:rsidP="00383EF8">
      <w:pPr>
        <w:jc w:val="both"/>
      </w:pPr>
      <w:r w:rsidRPr="000F060E">
        <w:t>While the general duty will place a new obligation on certain duty holders, it is not intended than an individual could bring a complaint in relation to failure to implement the general duty, but that this duty be supported by the QHRC’s education, training and support functions (see Part 10 below). For serious and systemic issues, there is the possibility of an investigation by the QHRC, which in certain circumstances could lead to enforcement outcomes (see Part 12 below).</w:t>
      </w:r>
    </w:p>
    <w:p w14:paraId="021332D5" w14:textId="77777777" w:rsidR="00383EF8" w:rsidRPr="00383EF8" w:rsidRDefault="00383EF8" w:rsidP="00383EF8">
      <w:pPr>
        <w:pStyle w:val="Heading2"/>
        <w:rPr>
          <w:rFonts w:eastAsia="Times New Roman"/>
        </w:rPr>
      </w:pPr>
      <w:bookmarkStart w:id="60" w:name="_Toc159520271"/>
      <w:r w:rsidRPr="00383EF8">
        <w:rPr>
          <w:rFonts w:eastAsia="Times New Roman"/>
        </w:rPr>
        <w:t>Part 4 – Unlawful Discrimination</w:t>
      </w:r>
      <w:bookmarkEnd w:id="60"/>
    </w:p>
    <w:p w14:paraId="3591D8E4" w14:textId="6BC1BCBD" w:rsidR="00383EF8" w:rsidRPr="00383EF8" w:rsidRDefault="00383EF8" w:rsidP="00383EF8">
      <w:r>
        <w:t>Modern</w:t>
      </w:r>
      <w:r w:rsidRPr="00383EF8">
        <w:t xml:space="preserve"> anti-discrimination legislation defines discrimination as direct or indirect, based on one or more personal attributes, and in an </w:t>
      </w:r>
      <w:r w:rsidRPr="00383EF8">
        <w:rPr>
          <w:b/>
          <w:bCs/>
        </w:rPr>
        <w:t>area of activity or public life</w:t>
      </w:r>
      <w:r w:rsidRPr="00383EF8">
        <w:t xml:space="preserve"> in which discrimination is prohibited.</w:t>
      </w:r>
    </w:p>
    <w:p w14:paraId="373A6F8F" w14:textId="77777777" w:rsidR="00383EF8" w:rsidRPr="00383EF8" w:rsidRDefault="00383EF8" w:rsidP="00383EF8">
      <w:r w:rsidRPr="00383EF8">
        <w:t>Generally, anti-discrimination law only operates in areas of public life and therefore does not apply to all settings, including private settings.</w:t>
      </w:r>
    </w:p>
    <w:p w14:paraId="57D68B6D" w14:textId="77777777" w:rsidR="00383EF8" w:rsidRPr="00383EF8" w:rsidRDefault="00383EF8" w:rsidP="00383EF8">
      <w:r w:rsidRPr="00383EF8">
        <w:t xml:space="preserve">Modern anti-discrimination also provides for </w:t>
      </w:r>
      <w:r w:rsidRPr="00383EF8">
        <w:rPr>
          <w:b/>
          <w:bCs/>
        </w:rPr>
        <w:t>exceptions</w:t>
      </w:r>
      <w:r w:rsidRPr="00383EF8">
        <w:t xml:space="preserve"> to the prohibitions on discrimination outlined in each area of activity. This ensures that legislation strikes the appropriate balance between protecting people from discrimination on the one hand, while also protecting different rights and interests on the other.</w:t>
      </w:r>
    </w:p>
    <w:p w14:paraId="7EFDFBCB" w14:textId="1AFEB3DD" w:rsidR="00383EF8" w:rsidRDefault="00383EF8" w:rsidP="007832D7">
      <w:pPr>
        <w:pStyle w:val="Heading3"/>
        <w:rPr>
          <w:rFonts w:eastAsia="Times New Roman"/>
        </w:rPr>
      </w:pPr>
      <w:bookmarkStart w:id="61" w:name="_Toc159520272"/>
      <w:r>
        <w:rPr>
          <w:rFonts w:eastAsia="Times New Roman"/>
        </w:rPr>
        <w:t>When is discrimination lawful discrimination</w:t>
      </w:r>
      <w:bookmarkEnd w:id="61"/>
    </w:p>
    <w:p w14:paraId="65E903AD" w14:textId="6BECCD24" w:rsidR="00383EF8" w:rsidRDefault="00383EF8" w:rsidP="00AD04A3">
      <w:r w:rsidRPr="00AD04A3">
        <w:rPr>
          <w:b/>
          <w:bCs/>
        </w:rPr>
        <w:t>Clause 21</w:t>
      </w:r>
      <w:r w:rsidRPr="00AD04A3">
        <w:t xml:space="preserve"> provides for when discrimination is lawful discrimination</w:t>
      </w:r>
      <w:r w:rsidR="00AD04A3">
        <w:t>. Discrimination is lawful if:</w:t>
      </w:r>
    </w:p>
    <w:p w14:paraId="7686DFDA" w14:textId="5D135418" w:rsidR="00AD04A3" w:rsidRDefault="00AD04A3" w:rsidP="00AD04A3">
      <w:pPr>
        <w:pStyle w:val="ListParagraph"/>
        <w:numPr>
          <w:ilvl w:val="0"/>
          <w:numId w:val="44"/>
        </w:numPr>
      </w:pPr>
      <w:r>
        <w:t>an exception applies; or</w:t>
      </w:r>
    </w:p>
    <w:p w14:paraId="330DB37C" w14:textId="38F6E4A4" w:rsidR="00AD04A3" w:rsidRDefault="00AD04A3" w:rsidP="00AD04A3">
      <w:pPr>
        <w:pStyle w:val="ListParagraph"/>
        <w:numPr>
          <w:ilvl w:val="0"/>
          <w:numId w:val="44"/>
        </w:numPr>
      </w:pPr>
      <w:r>
        <w:t>an exemption has been granted by the tribunal (under Part 4, division 11).</w:t>
      </w:r>
    </w:p>
    <w:p w14:paraId="445B5964" w14:textId="70B18931" w:rsidR="004B692B" w:rsidRPr="000F0E94" w:rsidRDefault="004B692B" w:rsidP="007832D7">
      <w:pPr>
        <w:pStyle w:val="Heading3"/>
        <w:rPr>
          <w:rFonts w:eastAsia="Times New Roman"/>
        </w:rPr>
      </w:pPr>
      <w:bookmarkStart w:id="62" w:name="_Toc159520273"/>
      <w:r w:rsidRPr="000F0E94">
        <w:rPr>
          <w:rFonts w:eastAsia="Times New Roman"/>
        </w:rPr>
        <w:t>Areas of activity in which discrimination is prohibited</w:t>
      </w:r>
      <w:bookmarkEnd w:id="62"/>
    </w:p>
    <w:p w14:paraId="7F813731" w14:textId="77777777" w:rsidR="004B692B" w:rsidRDefault="004B692B" w:rsidP="00793AEF">
      <w:pPr>
        <w:jc w:val="both"/>
      </w:pPr>
      <w:r>
        <w:t>Currently, discrimination is prohibited in certain areas of activity set out in Part 4 of the current AD Act. In contrast, sexual harassment is prohibited in any setting, as is vilification, which refers to public acts.</w:t>
      </w:r>
    </w:p>
    <w:p w14:paraId="1B2F3D80" w14:textId="77777777" w:rsidR="004B692B" w:rsidRDefault="004B692B" w:rsidP="00793AEF">
      <w:pPr>
        <w:jc w:val="both"/>
      </w:pPr>
      <w:r>
        <w:t xml:space="preserve">The draft Bill retains the </w:t>
      </w:r>
      <w:r w:rsidRPr="00E06B0C">
        <w:rPr>
          <w:b/>
          <w:bCs/>
        </w:rPr>
        <w:t>following areas of activity</w:t>
      </w:r>
      <w:r>
        <w:t xml:space="preserve"> in which discrimination is prohibited:</w:t>
      </w:r>
    </w:p>
    <w:p w14:paraId="7E572426" w14:textId="62BBD356" w:rsidR="004B692B" w:rsidRPr="005E757A" w:rsidRDefault="004B692B" w:rsidP="00200316">
      <w:pPr>
        <w:pStyle w:val="ListParagraph"/>
        <w:numPr>
          <w:ilvl w:val="0"/>
          <w:numId w:val="7"/>
        </w:numPr>
        <w:spacing w:before="60" w:line="280" w:lineRule="exact"/>
        <w:jc w:val="both"/>
      </w:pPr>
      <w:r w:rsidRPr="005E757A">
        <w:t xml:space="preserve">work </w:t>
      </w:r>
      <w:r>
        <w:t xml:space="preserve">and work-related </w:t>
      </w:r>
      <w:r w:rsidRPr="005E757A">
        <w:t xml:space="preserve">(see </w:t>
      </w:r>
      <w:r w:rsidRPr="00FA4F78">
        <w:rPr>
          <w:b/>
          <w:bCs/>
        </w:rPr>
        <w:t xml:space="preserve">clauses </w:t>
      </w:r>
      <w:r>
        <w:rPr>
          <w:b/>
          <w:bCs/>
        </w:rPr>
        <w:t>2</w:t>
      </w:r>
      <w:r w:rsidR="00830349">
        <w:rPr>
          <w:b/>
          <w:bCs/>
        </w:rPr>
        <w:t>2</w:t>
      </w:r>
      <w:r w:rsidRPr="00FA4F78">
        <w:rPr>
          <w:b/>
          <w:bCs/>
        </w:rPr>
        <w:t>-</w:t>
      </w:r>
      <w:r w:rsidR="00730FF8">
        <w:rPr>
          <w:b/>
          <w:bCs/>
        </w:rPr>
        <w:t>27</w:t>
      </w:r>
      <w:r w:rsidRPr="005E757A">
        <w:t>)</w:t>
      </w:r>
      <w:r>
        <w:t>;</w:t>
      </w:r>
    </w:p>
    <w:p w14:paraId="7012BF09" w14:textId="4790385D" w:rsidR="004B692B" w:rsidRPr="005E757A" w:rsidRDefault="004B692B" w:rsidP="00200316">
      <w:pPr>
        <w:pStyle w:val="ListParagraph"/>
        <w:numPr>
          <w:ilvl w:val="0"/>
          <w:numId w:val="7"/>
        </w:numPr>
        <w:spacing w:before="60" w:line="280" w:lineRule="exact"/>
        <w:jc w:val="both"/>
      </w:pPr>
      <w:r w:rsidRPr="005E757A">
        <w:t xml:space="preserve">education (see </w:t>
      </w:r>
      <w:r w:rsidRPr="00FA4F78">
        <w:rPr>
          <w:b/>
          <w:bCs/>
        </w:rPr>
        <w:t xml:space="preserve">clauses </w:t>
      </w:r>
      <w:r w:rsidR="00830349">
        <w:rPr>
          <w:b/>
          <w:bCs/>
        </w:rPr>
        <w:t>3</w:t>
      </w:r>
      <w:r w:rsidR="00730FF8">
        <w:rPr>
          <w:b/>
          <w:bCs/>
        </w:rPr>
        <w:t>4</w:t>
      </w:r>
      <w:r w:rsidRPr="005E757A">
        <w:t>)</w:t>
      </w:r>
      <w:r w:rsidRPr="00FA4F78">
        <w:t>;</w:t>
      </w:r>
    </w:p>
    <w:p w14:paraId="1A37B894" w14:textId="02CF2107" w:rsidR="004B692B" w:rsidRPr="00521836" w:rsidRDefault="004B692B" w:rsidP="00200316">
      <w:pPr>
        <w:pStyle w:val="ListParagraph"/>
        <w:numPr>
          <w:ilvl w:val="0"/>
          <w:numId w:val="7"/>
        </w:numPr>
        <w:spacing w:before="60" w:line="280" w:lineRule="exact"/>
        <w:jc w:val="both"/>
      </w:pPr>
      <w:r w:rsidRPr="00521836">
        <w:t xml:space="preserve">goods and services (see </w:t>
      </w:r>
      <w:r w:rsidRPr="00FA4F78">
        <w:rPr>
          <w:b/>
          <w:bCs/>
        </w:rPr>
        <w:t xml:space="preserve">clause </w:t>
      </w:r>
      <w:r w:rsidR="00730FF8">
        <w:rPr>
          <w:b/>
          <w:bCs/>
        </w:rPr>
        <w:t>38</w:t>
      </w:r>
      <w:r w:rsidRPr="00521836">
        <w:t>);</w:t>
      </w:r>
    </w:p>
    <w:p w14:paraId="66B0C66D" w14:textId="5F32C9D4" w:rsidR="004B692B" w:rsidRPr="00521836" w:rsidRDefault="004B692B" w:rsidP="00200316">
      <w:pPr>
        <w:pStyle w:val="ListParagraph"/>
        <w:numPr>
          <w:ilvl w:val="0"/>
          <w:numId w:val="7"/>
        </w:numPr>
        <w:spacing w:before="60" w:line="280" w:lineRule="exact"/>
        <w:jc w:val="both"/>
      </w:pPr>
      <w:r w:rsidRPr="00521836">
        <w:t xml:space="preserve">disposition of land (see </w:t>
      </w:r>
      <w:r w:rsidRPr="00FA4F78">
        <w:rPr>
          <w:b/>
          <w:bCs/>
        </w:rPr>
        <w:t xml:space="preserve">clause </w:t>
      </w:r>
      <w:r w:rsidR="00830349">
        <w:rPr>
          <w:b/>
          <w:bCs/>
        </w:rPr>
        <w:t>4</w:t>
      </w:r>
      <w:r w:rsidR="00730FF8">
        <w:rPr>
          <w:b/>
          <w:bCs/>
        </w:rPr>
        <w:t>3</w:t>
      </w:r>
      <w:r w:rsidRPr="00521836">
        <w:t>);</w:t>
      </w:r>
    </w:p>
    <w:p w14:paraId="26B93A70" w14:textId="515D7DE2" w:rsidR="004B692B" w:rsidRPr="00521836" w:rsidRDefault="004B692B" w:rsidP="00200316">
      <w:pPr>
        <w:pStyle w:val="ListParagraph"/>
        <w:numPr>
          <w:ilvl w:val="0"/>
          <w:numId w:val="7"/>
        </w:numPr>
        <w:spacing w:before="60" w:line="280" w:lineRule="exact"/>
        <w:jc w:val="both"/>
      </w:pPr>
      <w:r w:rsidRPr="00521836">
        <w:t xml:space="preserve">accommodation (see </w:t>
      </w:r>
      <w:r w:rsidRPr="00FA4F78">
        <w:rPr>
          <w:b/>
          <w:bCs/>
        </w:rPr>
        <w:t xml:space="preserve">clauses </w:t>
      </w:r>
      <w:r w:rsidR="00FB4A1C">
        <w:rPr>
          <w:b/>
          <w:bCs/>
        </w:rPr>
        <w:t>46 and 47</w:t>
      </w:r>
      <w:r w:rsidRPr="00521836">
        <w:t>)</w:t>
      </w:r>
      <w:r w:rsidRPr="00FA4F78">
        <w:t>;</w:t>
      </w:r>
    </w:p>
    <w:p w14:paraId="2B039150" w14:textId="41B48CCE" w:rsidR="004B692B" w:rsidRPr="00FA4F78" w:rsidRDefault="004B692B" w:rsidP="00200316">
      <w:pPr>
        <w:pStyle w:val="ListParagraph"/>
        <w:numPr>
          <w:ilvl w:val="0"/>
          <w:numId w:val="7"/>
        </w:numPr>
        <w:spacing w:before="60" w:line="280" w:lineRule="exact"/>
        <w:jc w:val="both"/>
      </w:pPr>
      <w:r w:rsidRPr="00521836">
        <w:t xml:space="preserve">club membership (see </w:t>
      </w:r>
      <w:r w:rsidRPr="00FA4F78">
        <w:rPr>
          <w:b/>
          <w:bCs/>
        </w:rPr>
        <w:t xml:space="preserve">clauses </w:t>
      </w:r>
      <w:r w:rsidR="00FB4A1C">
        <w:rPr>
          <w:b/>
          <w:bCs/>
        </w:rPr>
        <w:t>51</w:t>
      </w:r>
      <w:r w:rsidRPr="00521836">
        <w:t>)</w:t>
      </w:r>
      <w:r w:rsidRPr="00FA4F78">
        <w:t>;</w:t>
      </w:r>
    </w:p>
    <w:p w14:paraId="42EA6D80" w14:textId="4E177B47" w:rsidR="004B692B" w:rsidRPr="00FA4F78" w:rsidRDefault="004B692B" w:rsidP="00200316">
      <w:pPr>
        <w:pStyle w:val="ListParagraph"/>
        <w:numPr>
          <w:ilvl w:val="0"/>
          <w:numId w:val="7"/>
        </w:numPr>
        <w:spacing w:before="60" w:line="280" w:lineRule="exact"/>
        <w:jc w:val="both"/>
      </w:pPr>
      <w:r w:rsidRPr="00FA4F78">
        <w:t>administration of state laws and programs (see</w:t>
      </w:r>
      <w:r>
        <w:t xml:space="preserve"> </w:t>
      </w:r>
      <w:r w:rsidRPr="00FA4F78">
        <w:rPr>
          <w:b/>
          <w:bCs/>
        </w:rPr>
        <w:t xml:space="preserve">clause </w:t>
      </w:r>
      <w:r w:rsidR="00FB4A1C">
        <w:rPr>
          <w:b/>
          <w:bCs/>
        </w:rPr>
        <w:t>53</w:t>
      </w:r>
      <w:r w:rsidRPr="00FA4F78">
        <w:t xml:space="preserve">); and </w:t>
      </w:r>
    </w:p>
    <w:p w14:paraId="36778D42" w14:textId="5A51D655" w:rsidR="004B692B" w:rsidRDefault="004B692B" w:rsidP="00200316">
      <w:pPr>
        <w:pStyle w:val="ListParagraph"/>
        <w:numPr>
          <w:ilvl w:val="0"/>
          <w:numId w:val="7"/>
        </w:numPr>
        <w:spacing w:before="60" w:line="280" w:lineRule="exact"/>
        <w:jc w:val="both"/>
      </w:pPr>
      <w:r w:rsidRPr="00521836">
        <w:t xml:space="preserve">local government (see </w:t>
      </w:r>
      <w:r w:rsidRPr="00FA4F78">
        <w:rPr>
          <w:b/>
          <w:bCs/>
        </w:rPr>
        <w:t xml:space="preserve">clause </w:t>
      </w:r>
      <w:r w:rsidR="00FB4A1C">
        <w:rPr>
          <w:b/>
          <w:bCs/>
        </w:rPr>
        <w:t>54</w:t>
      </w:r>
      <w:r w:rsidRPr="00521836">
        <w:t>).</w:t>
      </w:r>
    </w:p>
    <w:p w14:paraId="3290FCF2" w14:textId="5BF8EB85" w:rsidR="003D1E18" w:rsidRDefault="003D1E18" w:rsidP="004E49AC">
      <w:pPr>
        <w:pStyle w:val="Heading4"/>
      </w:pPr>
      <w:bookmarkStart w:id="63" w:name="_Toc159520274"/>
      <w:r>
        <w:lastRenderedPageBreak/>
        <w:t>Goods and services</w:t>
      </w:r>
      <w:bookmarkEnd w:id="63"/>
    </w:p>
    <w:p w14:paraId="4EFA3F20" w14:textId="21872A20" w:rsidR="003D1E18" w:rsidRDefault="003D1E18" w:rsidP="003D1E18">
      <w:r>
        <w:t xml:space="preserve">The draft Bill does not replicate the exclusion of </w:t>
      </w:r>
      <w:r w:rsidR="00ED22E0">
        <w:t xml:space="preserve">not-for-profit associations from the application of prohibitions on discrimination in the supply of goods and services (as currently reflected in section 46 of the AD Act). The general exclusion of not-for-profits from prohibitions on discrimination in the supply of goods and services is inconsistent with all other anti-discrimination laws in Australia. A narrower exception will apply in relation to the supply of goods and services by ‘voluntary bodies’, as discussed below. </w:t>
      </w:r>
    </w:p>
    <w:p w14:paraId="40E54D67" w14:textId="19077AAF" w:rsidR="00E06B0C" w:rsidRDefault="00E06B0C" w:rsidP="004E49AC">
      <w:pPr>
        <w:pStyle w:val="Heading4"/>
      </w:pPr>
      <w:bookmarkStart w:id="64" w:name="_Toc159520275"/>
      <w:r>
        <w:t>Superannuation and insurance</w:t>
      </w:r>
      <w:bookmarkEnd w:id="64"/>
    </w:p>
    <w:p w14:paraId="104B1B98" w14:textId="3F93EC86" w:rsidR="00995210" w:rsidRDefault="00D36941" w:rsidP="00793AEF">
      <w:pPr>
        <w:jc w:val="both"/>
      </w:pPr>
      <w:r>
        <w:t>While t</w:t>
      </w:r>
      <w:r w:rsidR="004B692B">
        <w:t>he draft Bill does not replicate the specific prohibitions for the superannuation and insurance areas of activity that appear in the current AD Act</w:t>
      </w:r>
      <w:r>
        <w:t>, the effect of the prohibition will be maintained</w:t>
      </w:r>
      <w:r w:rsidR="004B692B">
        <w:t xml:space="preserve">. </w:t>
      </w:r>
      <w:r w:rsidR="005B3965">
        <w:t xml:space="preserve">Superannuation and insurance will instead be subject to relevant discrimination prohibitions in relation to work and work-related areas (see </w:t>
      </w:r>
      <w:r w:rsidR="005B3965">
        <w:rPr>
          <w:b/>
          <w:bCs/>
        </w:rPr>
        <w:t>clauses 22-</w:t>
      </w:r>
      <w:r w:rsidR="00FB4A1C">
        <w:rPr>
          <w:b/>
          <w:bCs/>
        </w:rPr>
        <w:t>27</w:t>
      </w:r>
      <w:r w:rsidR="005B3965">
        <w:t>) and the supply of goods and services (</w:t>
      </w:r>
      <w:r w:rsidR="005B3965">
        <w:rPr>
          <w:b/>
          <w:bCs/>
        </w:rPr>
        <w:t xml:space="preserve">clause </w:t>
      </w:r>
      <w:r w:rsidR="00FB4A1C">
        <w:rPr>
          <w:b/>
          <w:bCs/>
        </w:rPr>
        <w:t>38</w:t>
      </w:r>
      <w:r w:rsidR="005B3965" w:rsidRPr="005B3965">
        <w:t>)</w:t>
      </w:r>
      <w:r w:rsidR="005B3965">
        <w:rPr>
          <w:b/>
          <w:bCs/>
        </w:rPr>
        <w:t xml:space="preserve">. </w:t>
      </w:r>
      <w:r w:rsidR="00995210">
        <w:t xml:space="preserve">The effect of the prohibitions in the superannuation and insurance areas of activity in the current AD Act would be maintained because these prohibitions mirror prohibitions </w:t>
      </w:r>
      <w:r w:rsidR="009C24FA">
        <w:t>in relation to</w:t>
      </w:r>
      <w:r w:rsidR="00995210">
        <w:t xml:space="preserve"> work and work-related areas and </w:t>
      </w:r>
      <w:r w:rsidR="009C24FA">
        <w:t xml:space="preserve">the supply of </w:t>
      </w:r>
      <w:r w:rsidR="00995210">
        <w:t xml:space="preserve">goods and services. </w:t>
      </w:r>
      <w:r w:rsidR="005B3965">
        <w:t>T</w:t>
      </w:r>
      <w:r w:rsidR="004B692B">
        <w:t xml:space="preserve">he draft Bill </w:t>
      </w:r>
      <w:r w:rsidR="005B3965">
        <w:t>accordingly</w:t>
      </w:r>
      <w:r w:rsidR="00995210">
        <w:t>:</w:t>
      </w:r>
    </w:p>
    <w:p w14:paraId="42C52FB1" w14:textId="5D83E0FD" w:rsidR="00995210" w:rsidRDefault="005B3965" w:rsidP="00995210">
      <w:pPr>
        <w:pStyle w:val="Bulletpointbody"/>
      </w:pPr>
      <w:r>
        <w:t xml:space="preserve">omits </w:t>
      </w:r>
      <w:r w:rsidR="00995210">
        <w:t>provisions which exclude superannuation and insurance from discrimination prohibitions in relation to work and work-related areas and the goods and services area (sections 13 and 45 of the current AD Act); and</w:t>
      </w:r>
    </w:p>
    <w:p w14:paraId="2372FAF0" w14:textId="06319446" w:rsidR="004B692B" w:rsidRDefault="00995210" w:rsidP="006F2334">
      <w:pPr>
        <w:pStyle w:val="Bulletpointbody"/>
      </w:pPr>
      <w:r>
        <w:t xml:space="preserve">provides that ‘services’ includes ‘services relating to banking, insurance, superannuation or the provision of grants, loans, credit or finance’ (definition of ‘services’ in </w:t>
      </w:r>
      <w:r>
        <w:rPr>
          <w:b/>
          <w:bCs/>
        </w:rPr>
        <w:t>Schedule 1</w:t>
      </w:r>
      <w:r>
        <w:t xml:space="preserve">).  </w:t>
      </w:r>
    </w:p>
    <w:p w14:paraId="07C0BB10" w14:textId="1B83E6C5" w:rsidR="00F11C40" w:rsidRDefault="00F11C40" w:rsidP="00793AEF">
      <w:pPr>
        <w:jc w:val="both"/>
      </w:pPr>
      <w:r w:rsidRPr="008D4265">
        <w:t xml:space="preserve">This is </w:t>
      </w:r>
      <w:r w:rsidR="001E29F2">
        <w:t>more consistent with</w:t>
      </w:r>
      <w:r w:rsidRPr="008D4265">
        <w:t xml:space="preserve"> the approach </w:t>
      </w:r>
      <w:r w:rsidR="001E29F2">
        <w:t xml:space="preserve">to superannuation and insurance </w:t>
      </w:r>
      <w:r w:rsidRPr="008D4265">
        <w:t xml:space="preserve">in </w:t>
      </w:r>
      <w:r w:rsidR="001E29F2">
        <w:t>most</w:t>
      </w:r>
      <w:r>
        <w:t xml:space="preserve"> other </w:t>
      </w:r>
      <w:r w:rsidR="001E29F2">
        <w:t xml:space="preserve">Australian </w:t>
      </w:r>
      <w:r>
        <w:t>anti-discrimination laws</w:t>
      </w:r>
      <w:r w:rsidR="001E29F2">
        <w:t>,</w:t>
      </w:r>
      <w:r>
        <w:t xml:space="preserve"> including Victoria</w:t>
      </w:r>
      <w:r w:rsidR="00407840">
        <w:t xml:space="preserve">n EO Act </w:t>
      </w:r>
      <w:r>
        <w:t>.</w:t>
      </w:r>
    </w:p>
    <w:p w14:paraId="7773DB21" w14:textId="484BA451" w:rsidR="008D4265" w:rsidRDefault="008D4265" w:rsidP="00793AEF">
      <w:pPr>
        <w:jc w:val="both"/>
      </w:pPr>
      <w:r>
        <w:t>There continues to be certain exceptions for the supply of superannuation and insurance</w:t>
      </w:r>
      <w:r w:rsidR="001E29F2">
        <w:t>. T</w:t>
      </w:r>
      <w:r>
        <w:t>hese</w:t>
      </w:r>
      <w:r w:rsidR="001E29F2">
        <w:t xml:space="preserve"> exceptions</w:t>
      </w:r>
      <w:r>
        <w:t xml:space="preserve"> are discussed below.</w:t>
      </w:r>
    </w:p>
    <w:p w14:paraId="714F8CDE" w14:textId="18EBA13A" w:rsidR="008D4265" w:rsidRDefault="008D4265" w:rsidP="004E49AC">
      <w:pPr>
        <w:pStyle w:val="Heading4"/>
      </w:pPr>
      <w:bookmarkStart w:id="65" w:name="_Toc159520276"/>
      <w:bookmarkStart w:id="66" w:name="_Hlk159408259"/>
      <w:r>
        <w:t>Club membership</w:t>
      </w:r>
      <w:bookmarkEnd w:id="65"/>
    </w:p>
    <w:p w14:paraId="1E91E972" w14:textId="70E66297" w:rsidR="000C7864" w:rsidRDefault="008D4265" w:rsidP="001E29F2">
      <w:pPr>
        <w:jc w:val="both"/>
      </w:pPr>
      <w:r>
        <w:t>The other significant change to the</w:t>
      </w:r>
      <w:r w:rsidR="004B692B" w:rsidRPr="00DD74CE">
        <w:t xml:space="preserve"> </w:t>
      </w:r>
      <w:r w:rsidR="004B692B">
        <w:t>existing areas of activity in the current AD Act</w:t>
      </w:r>
      <w:r>
        <w:t xml:space="preserve"> is </w:t>
      </w:r>
      <w:r w:rsidR="00F67173">
        <w:t>in relation to clubs</w:t>
      </w:r>
      <w:r>
        <w:t xml:space="preserve">. </w:t>
      </w:r>
    </w:p>
    <w:p w14:paraId="57E3A1B4" w14:textId="4D97E274" w:rsidR="0048147B" w:rsidRDefault="000C7864" w:rsidP="0048147B">
      <w:pPr>
        <w:tabs>
          <w:tab w:val="num" w:pos="1174"/>
        </w:tabs>
        <w:spacing w:before="60" w:line="280" w:lineRule="exact"/>
        <w:jc w:val="both"/>
      </w:pPr>
      <w:r w:rsidRPr="000C7864">
        <w:t>The definition of ‘club’ under the AD Act currently excludes not-for-profit associations.</w:t>
      </w:r>
      <w:r>
        <w:rPr>
          <w:rStyle w:val="FootnoteReference"/>
        </w:rPr>
        <w:footnoteReference w:id="9"/>
      </w:r>
      <w:r w:rsidRPr="000C7864">
        <w:t xml:space="preserve"> This is inconsistent with </w:t>
      </w:r>
      <w:r w:rsidR="00CA4FC7">
        <w:t>all other Australian anti-discrimination laws. M</w:t>
      </w:r>
      <w:r w:rsidRPr="000C7864">
        <w:t xml:space="preserve">ost other state and territory laws have adopted </w:t>
      </w:r>
      <w:r w:rsidR="00CA4FC7">
        <w:t>a</w:t>
      </w:r>
      <w:r w:rsidR="00CA4FC7" w:rsidRPr="000C7864">
        <w:t xml:space="preserve"> </w:t>
      </w:r>
      <w:r w:rsidRPr="000C7864">
        <w:t xml:space="preserve">definition of club </w:t>
      </w:r>
      <w:r w:rsidR="00CA4FC7">
        <w:t>modelled on the definition used in</w:t>
      </w:r>
      <w:r w:rsidR="00CA4FC7" w:rsidRPr="000C7864">
        <w:t xml:space="preserve"> </w:t>
      </w:r>
      <w:r w:rsidRPr="000C7864">
        <w:t xml:space="preserve">either the Disability Discrimination Act or the Sex Discrimination Act. </w:t>
      </w:r>
      <w:r>
        <w:t>The draft Bill adopts a definition of club</w:t>
      </w:r>
      <w:r w:rsidRPr="000C7864">
        <w:t xml:space="preserve"> </w:t>
      </w:r>
      <w:r w:rsidR="0048147B">
        <w:t xml:space="preserve">(see </w:t>
      </w:r>
      <w:r w:rsidR="0048147B" w:rsidRPr="0048147B">
        <w:rPr>
          <w:b/>
          <w:bCs/>
        </w:rPr>
        <w:t>Schedule 1</w:t>
      </w:r>
      <w:r w:rsidR="0048147B">
        <w:t xml:space="preserve">) </w:t>
      </w:r>
      <w:r w:rsidRPr="000C7864">
        <w:t xml:space="preserve">modelled on the Disability Discrimination Act. </w:t>
      </w:r>
    </w:p>
    <w:p w14:paraId="0FBDC163" w14:textId="56D752D5" w:rsidR="0048147B" w:rsidRDefault="0048147B" w:rsidP="0048147B">
      <w:pPr>
        <w:tabs>
          <w:tab w:val="num" w:pos="1174"/>
        </w:tabs>
        <w:spacing w:before="60" w:line="280" w:lineRule="exact"/>
        <w:jc w:val="both"/>
      </w:pPr>
      <w:r>
        <w:t xml:space="preserve">A club will mean an association, whether incorporated or unincorporated, of persons associated together for social, literary, cultural, political, sporting, athletic or other lawful purposes that provides and maintains facilities, in whole or in part, from the funds of the </w:t>
      </w:r>
      <w:r w:rsidR="00F67173">
        <w:t>association</w:t>
      </w:r>
      <w:r>
        <w:t>.</w:t>
      </w:r>
    </w:p>
    <w:p w14:paraId="265E355C" w14:textId="3042BB8A" w:rsidR="00E1417E" w:rsidRDefault="004B692B" w:rsidP="008D4265">
      <w:pPr>
        <w:spacing w:before="60" w:line="280" w:lineRule="exact"/>
        <w:jc w:val="both"/>
      </w:pPr>
      <w:r w:rsidRPr="00F95ABF">
        <w:t>Th</w:t>
      </w:r>
      <w:r>
        <w:t xml:space="preserve">is </w:t>
      </w:r>
      <w:r w:rsidRPr="00F95ABF">
        <w:t xml:space="preserve">change in definition </w:t>
      </w:r>
      <w:r>
        <w:t xml:space="preserve">would broaden the application of the prohibitions on discrimination to </w:t>
      </w:r>
      <w:r w:rsidRPr="00F95ABF">
        <w:t xml:space="preserve">some clubs that may not be subject to the </w:t>
      </w:r>
      <w:r>
        <w:t>current AD Act, including not-for-profit association</w:t>
      </w:r>
      <w:r w:rsidR="00407840">
        <w:t>s</w:t>
      </w:r>
      <w:r w:rsidR="00E1417E">
        <w:t xml:space="preserve">. </w:t>
      </w:r>
    </w:p>
    <w:p w14:paraId="482D09D2" w14:textId="562700EA" w:rsidR="00E1417E" w:rsidRPr="006F2334" w:rsidRDefault="00E1417E" w:rsidP="008D4265">
      <w:pPr>
        <w:spacing w:before="60" w:line="280" w:lineRule="exact"/>
        <w:jc w:val="both"/>
      </w:pPr>
      <w:r w:rsidRPr="00C2412E">
        <w:t>The prohibition of discrimination against members ‘in connection with the membership or affairs of the club’ as reflected in section 95(e) of the current AD Act has additionally been updated to refer instead to discrimination ‘in connection with the membership or the management of the club’</w:t>
      </w:r>
      <w:r w:rsidR="00817565" w:rsidRPr="00C2412E">
        <w:t xml:space="preserve"> (see </w:t>
      </w:r>
      <w:r w:rsidR="00817565" w:rsidRPr="00C2412E">
        <w:rPr>
          <w:b/>
          <w:bCs/>
        </w:rPr>
        <w:t>clause 5</w:t>
      </w:r>
      <w:r w:rsidR="00C2412E" w:rsidRPr="002E7F89">
        <w:rPr>
          <w:b/>
          <w:bCs/>
        </w:rPr>
        <w:t>1(2)(e)</w:t>
      </w:r>
      <w:r w:rsidR="00817565" w:rsidRPr="00C2412E">
        <w:t>)</w:t>
      </w:r>
      <w:r w:rsidRPr="00C2412E">
        <w:t xml:space="preserve">. The current AD Act defines ‘affairs’ with reference to section 53 of the </w:t>
      </w:r>
      <w:r w:rsidRPr="00C2412E">
        <w:rPr>
          <w:i/>
          <w:iCs/>
        </w:rPr>
        <w:t xml:space="preserve">Corporations Act 2001 </w:t>
      </w:r>
      <w:r w:rsidRPr="00C2412E">
        <w:t xml:space="preserve">(Cth), which defines ‘the affairs of a body corporate’ for the purposes of particular provisions of that Act. </w:t>
      </w:r>
      <w:r w:rsidR="00817565" w:rsidRPr="00C2412E">
        <w:t>However, m</w:t>
      </w:r>
      <w:r w:rsidRPr="00C2412E">
        <w:t xml:space="preserve">any of the matters prescribed by section 53 of the </w:t>
      </w:r>
      <w:r w:rsidRPr="00C2412E">
        <w:rPr>
          <w:i/>
          <w:iCs/>
        </w:rPr>
        <w:t xml:space="preserve">Corporations Act 2001 </w:t>
      </w:r>
      <w:r w:rsidRPr="00C2412E">
        <w:t xml:space="preserve">(Cth) would not be relevant to discrimination by clubs. </w:t>
      </w:r>
      <w:r w:rsidR="00817565" w:rsidRPr="00C2412E">
        <w:t>The ordinary concept of ‘management’ would capture the most relevant aspects of the definition of ‘affairs’.</w:t>
      </w:r>
      <w:r w:rsidR="00817565">
        <w:t xml:space="preserve"> </w:t>
      </w:r>
    </w:p>
    <w:p w14:paraId="30E7A50B" w14:textId="679E1D19" w:rsidR="004B692B" w:rsidRPr="00826060" w:rsidRDefault="004B692B" w:rsidP="007832D7">
      <w:pPr>
        <w:pStyle w:val="Heading3"/>
        <w:rPr>
          <w:rFonts w:eastAsia="Times New Roman"/>
        </w:rPr>
      </w:pPr>
      <w:bookmarkStart w:id="67" w:name="_Toc159520277"/>
      <w:bookmarkEnd w:id="66"/>
      <w:r w:rsidRPr="00826060">
        <w:rPr>
          <w:rFonts w:eastAsia="Times New Roman"/>
        </w:rPr>
        <w:lastRenderedPageBreak/>
        <w:t>Lawful discrimination – exceptions and exemptions</w:t>
      </w:r>
      <w:bookmarkEnd w:id="67"/>
    </w:p>
    <w:p w14:paraId="52D3F942" w14:textId="132B8305" w:rsidR="009928E6" w:rsidRPr="009928E6" w:rsidRDefault="00AD04A3" w:rsidP="009928E6">
      <w:pPr>
        <w:jc w:val="both"/>
      </w:pPr>
      <w:r>
        <w:t>As noted above, m</w:t>
      </w:r>
      <w:r w:rsidR="009928E6" w:rsidRPr="009928E6">
        <w:t>odern anti-discrimination legislation also provides for ex</w:t>
      </w:r>
      <w:r w:rsidR="009928E6">
        <w:t>ceptions</w:t>
      </w:r>
      <w:r w:rsidR="009928E6" w:rsidRPr="009928E6">
        <w:t xml:space="preserve"> to the prohibitions </w:t>
      </w:r>
      <w:r w:rsidR="00817565">
        <w:t>on</w:t>
      </w:r>
      <w:r w:rsidR="00817565" w:rsidRPr="009928E6">
        <w:t xml:space="preserve"> </w:t>
      </w:r>
      <w:r w:rsidR="009928E6" w:rsidRPr="009928E6">
        <w:t xml:space="preserve">discrimination outlined in each area of activity. This ensures that the legislation strikes the appropriate balance between protecting people from discrimination on the one hand, while also protecting other rights and interests on the other. </w:t>
      </w:r>
    </w:p>
    <w:p w14:paraId="2E944780" w14:textId="410E1E71" w:rsidR="009928E6" w:rsidRDefault="009928E6" w:rsidP="009928E6">
      <w:pPr>
        <w:jc w:val="both"/>
      </w:pPr>
      <w:r w:rsidRPr="009928E6">
        <w:t>The current</w:t>
      </w:r>
      <w:r>
        <w:t xml:space="preserve"> AD</w:t>
      </w:r>
      <w:r w:rsidRPr="009928E6">
        <w:t xml:space="preserve"> Act contains a number of </w:t>
      </w:r>
      <w:r>
        <w:t>‘</w:t>
      </w:r>
      <w:r w:rsidRPr="009928E6">
        <w:t>exemptions</w:t>
      </w:r>
      <w:r>
        <w:t>’</w:t>
      </w:r>
      <w:r w:rsidRPr="009928E6">
        <w:t xml:space="preserve"> under each area of activity</w:t>
      </w:r>
      <w:r w:rsidR="00817565">
        <w:t>, in addition to</w:t>
      </w:r>
      <w:r w:rsidRPr="009928E6">
        <w:t xml:space="preserve"> general exemptions </w:t>
      </w:r>
      <w:r w:rsidR="00817565">
        <w:t xml:space="preserve">which apply to all areas of activity </w:t>
      </w:r>
      <w:r w:rsidRPr="009928E6">
        <w:t>under Part 5</w:t>
      </w:r>
      <w:r>
        <w:t xml:space="preserve">. The draft Bill will use the term ‘exception’ </w:t>
      </w:r>
      <w:r w:rsidRPr="009928E6">
        <w:t>in accordance with the QHRC’s recommendations.</w:t>
      </w:r>
      <w:r>
        <w:t xml:space="preserve"> In addition</w:t>
      </w:r>
      <w:r w:rsidR="00184A9A">
        <w:t>,</w:t>
      </w:r>
      <w:r>
        <w:t xml:space="preserve"> a person may apply to the Tribunal under Part 4, division 11 for an exemption.</w:t>
      </w:r>
    </w:p>
    <w:p w14:paraId="76357CE2" w14:textId="5ABE6275" w:rsidR="009928E6" w:rsidRDefault="009928E6" w:rsidP="009928E6">
      <w:pPr>
        <w:jc w:val="both"/>
      </w:pPr>
      <w:r w:rsidRPr="009928E6">
        <w:t xml:space="preserve">An exception or exemption </w:t>
      </w:r>
      <w:r>
        <w:t>i</w:t>
      </w:r>
      <w:r w:rsidRPr="009928E6">
        <w:t>s a</w:t>
      </w:r>
      <w:r>
        <w:t xml:space="preserve"> </w:t>
      </w:r>
      <w:r w:rsidRPr="009928E6">
        <w:t>defence to discrimination, and the person seeking to rely o</w:t>
      </w:r>
      <w:r>
        <w:t xml:space="preserve">n </w:t>
      </w:r>
      <w:r w:rsidRPr="009928E6">
        <w:t>the exception or exemption has the onus of proving, on the</w:t>
      </w:r>
      <w:r>
        <w:t xml:space="preserve"> </w:t>
      </w:r>
      <w:r w:rsidRPr="009928E6">
        <w:t>balance of probabilities, that the exception or exemption</w:t>
      </w:r>
      <w:r>
        <w:t xml:space="preserve"> </w:t>
      </w:r>
      <w:r w:rsidRPr="009928E6">
        <w:t>applies</w:t>
      </w:r>
      <w:r>
        <w:t xml:space="preserve"> (</w:t>
      </w:r>
      <w:r w:rsidRPr="009928E6">
        <w:rPr>
          <w:b/>
          <w:bCs/>
        </w:rPr>
        <w:t>clause 21(</w:t>
      </w:r>
      <w:r w:rsidR="00C07FAB">
        <w:rPr>
          <w:b/>
          <w:bCs/>
        </w:rPr>
        <w:t>4</w:t>
      </w:r>
      <w:r w:rsidRPr="009928E6">
        <w:rPr>
          <w:b/>
          <w:bCs/>
        </w:rPr>
        <w:t>)</w:t>
      </w:r>
      <w:r>
        <w:t>)</w:t>
      </w:r>
      <w:r w:rsidRPr="009928E6">
        <w:t>.</w:t>
      </w:r>
    </w:p>
    <w:p w14:paraId="19DA6BFD" w14:textId="5D0989CD" w:rsidR="004B692B" w:rsidRDefault="004B692B" w:rsidP="00793AEF">
      <w:pPr>
        <w:jc w:val="both"/>
      </w:pPr>
      <w:r w:rsidRPr="00C07FAB">
        <w:t xml:space="preserve">If </w:t>
      </w:r>
      <w:r w:rsidR="00817565" w:rsidRPr="00C07FAB">
        <w:t xml:space="preserve">the </w:t>
      </w:r>
      <w:r w:rsidRPr="00C07FAB">
        <w:t xml:space="preserve">conduct </w:t>
      </w:r>
      <w:r w:rsidR="00817565" w:rsidRPr="00C07FAB">
        <w:t xml:space="preserve">constituting </w:t>
      </w:r>
      <w:r w:rsidRPr="00C07FAB">
        <w:t xml:space="preserve">discrimination </w:t>
      </w:r>
      <w:r w:rsidR="00817565" w:rsidRPr="00C07FAB">
        <w:t xml:space="preserve">is captured by prohibitions in </w:t>
      </w:r>
      <w:r w:rsidRPr="00C07FAB">
        <w:t xml:space="preserve">multiple areas of activity, </w:t>
      </w:r>
      <w:r w:rsidR="009731FE" w:rsidRPr="00C07FAB">
        <w:t>the conduct will not constitute unlawful discrimination if it is permitted by an exception in at least one area of activity.</w:t>
      </w:r>
      <w:r w:rsidR="009731FE">
        <w:t xml:space="preserve"> </w:t>
      </w:r>
    </w:p>
    <w:p w14:paraId="4DF45FE1" w14:textId="384119DF" w:rsidR="00817565" w:rsidRDefault="007F0485" w:rsidP="007F0485">
      <w:pPr>
        <w:keepLines/>
        <w:spacing w:before="120" w:after="0"/>
        <w:ind w:right="-284"/>
        <w:jc w:val="both"/>
      </w:pPr>
      <w:r>
        <w:rPr>
          <w:b/>
          <w:bCs/>
        </w:rPr>
        <w:t xml:space="preserve">While many of the same exceptions that are currently in the AD Act are adopted in the draft Bill, some </w:t>
      </w:r>
      <w:r w:rsidRPr="007F0485">
        <w:rPr>
          <w:b/>
          <w:bCs/>
        </w:rPr>
        <w:t>outdated exceptions</w:t>
      </w:r>
      <w:r>
        <w:rPr>
          <w:b/>
          <w:bCs/>
        </w:rPr>
        <w:t xml:space="preserve"> are not included, and some exceptions</w:t>
      </w:r>
      <w:r w:rsidR="009731FE">
        <w:rPr>
          <w:b/>
          <w:bCs/>
        </w:rPr>
        <w:t xml:space="preserve"> (including exceptions for religious bodies)</w:t>
      </w:r>
      <w:r>
        <w:rPr>
          <w:b/>
          <w:bCs/>
        </w:rPr>
        <w:t xml:space="preserve"> are updated</w:t>
      </w:r>
      <w:r>
        <w:t xml:space="preserve"> </w:t>
      </w:r>
      <w:r w:rsidR="00D56B17">
        <w:t>so t</w:t>
      </w:r>
      <w:r w:rsidR="009731FE">
        <w:t>hat t</w:t>
      </w:r>
      <w:r w:rsidR="00D56B17">
        <w:t>hey no longer allow</w:t>
      </w:r>
      <w:r>
        <w:t xml:space="preserve"> broad-based discrimination</w:t>
      </w:r>
      <w:r w:rsidR="009731FE">
        <w:t xml:space="preserve"> – </w:t>
      </w:r>
      <w:r>
        <w:t xml:space="preserve">particularly </w:t>
      </w:r>
      <w:r w:rsidR="009731FE">
        <w:t>on the basis of a person’s</w:t>
      </w:r>
      <w:r>
        <w:t xml:space="preserve"> gender identit</w:t>
      </w:r>
      <w:r w:rsidR="009731FE">
        <w:t>y</w:t>
      </w:r>
      <w:r>
        <w:t xml:space="preserve">, sex characteristics </w:t>
      </w:r>
      <w:r w:rsidR="009731FE">
        <w:t xml:space="preserve">or </w:t>
      </w:r>
      <w:r>
        <w:t>sexual orientation</w:t>
      </w:r>
      <w:r w:rsidR="00D56B17">
        <w:t xml:space="preserve">. </w:t>
      </w:r>
    </w:p>
    <w:p w14:paraId="20D33033" w14:textId="049786FD" w:rsidR="0082012F" w:rsidRDefault="009731FE" w:rsidP="004E49AC">
      <w:pPr>
        <w:pStyle w:val="Heading4"/>
      </w:pPr>
      <w:r>
        <w:br/>
      </w:r>
      <w:bookmarkStart w:id="68" w:name="_Toc159520278"/>
      <w:r w:rsidR="0082012F">
        <w:t>Superannuation and insurance</w:t>
      </w:r>
      <w:bookmarkEnd w:id="68"/>
    </w:p>
    <w:p w14:paraId="3085FEE6" w14:textId="28124E58" w:rsidR="007F0485" w:rsidRDefault="00D56B17" w:rsidP="00793AEF">
      <w:pPr>
        <w:jc w:val="both"/>
      </w:pPr>
      <w:bookmarkStart w:id="69" w:name="_Hlk159247570"/>
      <w:r w:rsidRPr="009731FE">
        <w:t xml:space="preserve">Exceptions for </w:t>
      </w:r>
      <w:r w:rsidRPr="009731FE">
        <w:rPr>
          <w:b/>
          <w:bCs/>
        </w:rPr>
        <w:t>superannuation and insurance</w:t>
      </w:r>
      <w:r w:rsidRPr="009731FE">
        <w:t xml:space="preserve"> are maintained, but the draft Bill</w:t>
      </w:r>
      <w:r>
        <w:t xml:space="preserve"> </w:t>
      </w:r>
      <w:r w:rsidR="009731FE">
        <w:t xml:space="preserve">links </w:t>
      </w:r>
      <w:r w:rsidR="00D6758D">
        <w:t>the</w:t>
      </w:r>
      <w:r w:rsidR="00AE77AB">
        <w:t>se</w:t>
      </w:r>
      <w:r w:rsidR="00D6758D">
        <w:t xml:space="preserve"> exceptions for superannuation and insurance to relevant Commonwealth anti-discrimination laws </w:t>
      </w:r>
      <w:r w:rsidR="00AE77AB">
        <w:t>rather than</w:t>
      </w:r>
      <w:r w:rsidR="00D6758D">
        <w:t xml:space="preserve"> replicating equivalent exceptions </w:t>
      </w:r>
      <w:r w:rsidR="00AE77AB">
        <w:t>with</w:t>
      </w:r>
      <w:r w:rsidR="00D6758D">
        <w:t xml:space="preserve">in the Bill (see </w:t>
      </w:r>
      <w:r w:rsidR="00D6758D">
        <w:rPr>
          <w:b/>
          <w:bCs/>
        </w:rPr>
        <w:t xml:space="preserve">clause </w:t>
      </w:r>
      <w:r w:rsidR="00474FAB">
        <w:rPr>
          <w:b/>
          <w:bCs/>
        </w:rPr>
        <w:t>56</w:t>
      </w:r>
      <w:r w:rsidR="00D6758D">
        <w:rPr>
          <w:b/>
          <w:bCs/>
        </w:rPr>
        <w:t>(2)</w:t>
      </w:r>
      <w:r w:rsidR="00D6758D">
        <w:t xml:space="preserve">). Discrimination in relation to insurance or superannuation will not be unlawful if it is permitted by the Age Discrimination Act, Disability Discrimination Act or Sex Discrimination Act. This is consistent with the approach under the current AD Act to discrimination in relation to superannuation and insurance on the basis of sex or relationship status (sections 59 and 73). Since the AD Act predated the Age Discrimination Act and Disability Discrimination Act, it directly provides for exceptions for discrimination on the basis of age and ‘impairment’, which are </w:t>
      </w:r>
      <w:r w:rsidR="00AE77AB">
        <w:t>modelled</w:t>
      </w:r>
      <w:r w:rsidR="00D6758D">
        <w:t xml:space="preserve"> on the exceptions</w:t>
      </w:r>
      <w:r w:rsidR="00AE77AB">
        <w:t xml:space="preserve"> for superannuation and insurance</w:t>
      </w:r>
      <w:r w:rsidR="00D6758D">
        <w:t xml:space="preserve"> under the Sex Discrimination Act (sections 60-63 and 74-75). </w:t>
      </w:r>
      <w:r w:rsidR="00AE77AB">
        <w:t>The Age Discrimination Act and Disability Discrimination Act each contain exceptions in relation to insurance and superannuation.</w:t>
      </w:r>
      <w:r w:rsidR="00AE77AB">
        <w:rPr>
          <w:rStyle w:val="FootnoteReference"/>
        </w:rPr>
        <w:footnoteReference w:id="10"/>
      </w:r>
      <w:r w:rsidR="00AE77AB">
        <w:t xml:space="preserve">The draft Bill harmonises the approach to exceptions for superannuation and insurance rather than maintaining a distinction between exceptions for discrimination on the basis of sex and relationship status, compared to age and disability. This promotes the internal coherence of the Bill, as well as consistency in the application of discrimination laws to the superannuation and insurance industry on a national level.  </w:t>
      </w:r>
      <w:bookmarkEnd w:id="69"/>
    </w:p>
    <w:p w14:paraId="395DEB93" w14:textId="75072928" w:rsidR="0082012F" w:rsidRDefault="0082012F" w:rsidP="004E49AC">
      <w:pPr>
        <w:pStyle w:val="Heading4"/>
      </w:pPr>
      <w:bookmarkStart w:id="70" w:name="_Toc159520279"/>
      <w:r>
        <w:t>Unjustifiable hardship</w:t>
      </w:r>
      <w:bookmarkEnd w:id="70"/>
    </w:p>
    <w:p w14:paraId="243974E4" w14:textId="4E524D95" w:rsidR="0082012F" w:rsidRPr="0082012F" w:rsidRDefault="0082012F" w:rsidP="0082012F">
      <w:pPr>
        <w:rPr>
          <w:szCs w:val="22"/>
        </w:rPr>
      </w:pPr>
      <w:r>
        <w:rPr>
          <w:szCs w:val="22"/>
        </w:rPr>
        <w:t>W</w:t>
      </w:r>
      <w:r w:rsidRPr="0082012F">
        <w:rPr>
          <w:szCs w:val="22"/>
        </w:rPr>
        <w:t xml:space="preserve">here a person with disability requires ‘special services or facilities’ and the supply of those facilities would impose ‘unjustifiable hardship’, the </w:t>
      </w:r>
      <w:r>
        <w:rPr>
          <w:szCs w:val="22"/>
        </w:rPr>
        <w:t xml:space="preserve">AD </w:t>
      </w:r>
      <w:r w:rsidRPr="0082012F">
        <w:rPr>
          <w:szCs w:val="22"/>
        </w:rPr>
        <w:t xml:space="preserve">Act </w:t>
      </w:r>
      <w:r>
        <w:rPr>
          <w:szCs w:val="22"/>
        </w:rPr>
        <w:t>currently</w:t>
      </w:r>
      <w:r w:rsidRPr="0082012F">
        <w:rPr>
          <w:szCs w:val="22"/>
        </w:rPr>
        <w:t xml:space="preserve"> provides for </w:t>
      </w:r>
      <w:r w:rsidRPr="0082012F">
        <w:rPr>
          <w:b/>
          <w:bCs/>
          <w:szCs w:val="22"/>
        </w:rPr>
        <w:t>exceptions</w:t>
      </w:r>
      <w:r w:rsidRPr="0082012F">
        <w:rPr>
          <w:szCs w:val="22"/>
        </w:rPr>
        <w:t xml:space="preserve"> that allow for people with disability to be subject to discrimination in the areas of work, education, goods and services, accommodation, and clubs.</w:t>
      </w:r>
      <w:r w:rsidRPr="0082012F">
        <w:rPr>
          <w:szCs w:val="22"/>
          <w:vertAlign w:val="superscript"/>
        </w:rPr>
        <w:footnoteReference w:id="11"/>
      </w:r>
      <w:r w:rsidRPr="0082012F">
        <w:rPr>
          <w:szCs w:val="22"/>
        </w:rPr>
        <w:t xml:space="preserve"> The term ‘</w:t>
      </w:r>
      <w:r w:rsidRPr="0082012F">
        <w:rPr>
          <w:b/>
          <w:bCs/>
          <w:szCs w:val="22"/>
        </w:rPr>
        <w:t>unjustifiable hardship’</w:t>
      </w:r>
      <w:r w:rsidRPr="0082012F">
        <w:rPr>
          <w:szCs w:val="22"/>
        </w:rPr>
        <w:t xml:space="preserve"> also appears in the current </w:t>
      </w:r>
      <w:r w:rsidR="00C07FAB">
        <w:rPr>
          <w:szCs w:val="22"/>
        </w:rPr>
        <w:t xml:space="preserve">AD </w:t>
      </w:r>
      <w:r w:rsidRPr="0082012F">
        <w:rPr>
          <w:szCs w:val="22"/>
        </w:rPr>
        <w:t xml:space="preserve">Act in relation to: </w:t>
      </w:r>
    </w:p>
    <w:p w14:paraId="4B462226" w14:textId="77777777" w:rsidR="0082012F" w:rsidRPr="0082012F" w:rsidRDefault="0082012F" w:rsidP="0082012F">
      <w:pPr>
        <w:numPr>
          <w:ilvl w:val="0"/>
          <w:numId w:val="1"/>
        </w:numPr>
        <w:ind w:left="426" w:hanging="284"/>
        <w:contextualSpacing/>
        <w:rPr>
          <w:szCs w:val="22"/>
        </w:rPr>
      </w:pPr>
      <w:r w:rsidRPr="0082012F">
        <w:rPr>
          <w:szCs w:val="22"/>
        </w:rPr>
        <w:lastRenderedPageBreak/>
        <w:t>an exception to the prohibition against workplace discrimination on the basis of ‘impairment’, where the circumstances of a person’s ‘impairment’ cause unjustifiable hardship for an employer, depending on the impairment and the nature of the work;</w:t>
      </w:r>
      <w:r w:rsidRPr="0082012F">
        <w:rPr>
          <w:szCs w:val="22"/>
          <w:vertAlign w:val="superscript"/>
        </w:rPr>
        <w:footnoteReference w:id="12"/>
      </w:r>
      <w:r w:rsidRPr="0082012F">
        <w:rPr>
          <w:szCs w:val="22"/>
        </w:rPr>
        <w:t xml:space="preserve"> and </w:t>
      </w:r>
    </w:p>
    <w:p w14:paraId="79D52967" w14:textId="34B8DB0F" w:rsidR="001E29F2" w:rsidRPr="001E29F2" w:rsidRDefault="0082012F" w:rsidP="001E29F2">
      <w:pPr>
        <w:numPr>
          <w:ilvl w:val="0"/>
          <w:numId w:val="1"/>
        </w:numPr>
        <w:ind w:left="426" w:hanging="284"/>
        <w:contextualSpacing/>
        <w:rPr>
          <w:szCs w:val="22"/>
        </w:rPr>
      </w:pPr>
      <w:r w:rsidRPr="0082012F">
        <w:rPr>
          <w:szCs w:val="22"/>
        </w:rPr>
        <w:t>an exception to the prohibition against discrimination on the basis of sex, where the supply of separate sleeping accommodation for men and women working together would cause unjustifiable hardship to the employer.</w:t>
      </w:r>
      <w:r w:rsidRPr="0082012F">
        <w:rPr>
          <w:szCs w:val="22"/>
          <w:vertAlign w:val="superscript"/>
        </w:rPr>
        <w:footnoteReference w:id="13"/>
      </w:r>
    </w:p>
    <w:p w14:paraId="5A55FCD7" w14:textId="6E16CD5E" w:rsidR="0082012F" w:rsidRPr="0082012F" w:rsidRDefault="001E29F2" w:rsidP="0082012F">
      <w:pPr>
        <w:rPr>
          <w:i/>
          <w:iCs/>
        </w:rPr>
      </w:pPr>
      <w:r>
        <w:br/>
      </w:r>
      <w:r w:rsidR="0082012F">
        <w:t>The draft Bill replaces these</w:t>
      </w:r>
      <w:r w:rsidR="0082012F" w:rsidRPr="0082012F">
        <w:t xml:space="preserve"> unjustifiable hardship exceptions with a positive, standalone duty to make reasonable accommodation </w:t>
      </w:r>
      <w:r w:rsidR="0082012F">
        <w:t>(</w:t>
      </w:r>
      <w:r w:rsidR="0082012F" w:rsidRPr="0082012F">
        <w:rPr>
          <w:b/>
          <w:bCs/>
        </w:rPr>
        <w:t>clause 18</w:t>
      </w:r>
      <w:r w:rsidR="0082012F">
        <w:t xml:space="preserve">). </w:t>
      </w:r>
      <w:r w:rsidR="0082012F" w:rsidRPr="0082012F">
        <w:rPr>
          <w:b/>
          <w:bCs/>
        </w:rPr>
        <w:t>Clause 12</w:t>
      </w:r>
      <w:r w:rsidR="0082012F">
        <w:t xml:space="preserve"> defines reasonable accommodation to include an accommodation that does not impose unjustifiable hardship on the person making the accommodation. A</w:t>
      </w:r>
      <w:r w:rsidR="0082012F" w:rsidRPr="0082012F">
        <w:t xml:space="preserve"> non-exhaustive list of criteria </w:t>
      </w:r>
      <w:r w:rsidR="0082012F">
        <w:t xml:space="preserve">is included </w:t>
      </w:r>
      <w:r w:rsidR="0082012F" w:rsidRPr="0082012F">
        <w:t xml:space="preserve">for assessing whether an accommodation </w:t>
      </w:r>
      <w:r w:rsidR="0082012F">
        <w:t>would impose an unjustifiable hardship</w:t>
      </w:r>
      <w:r w:rsidR="0082012F" w:rsidRPr="0082012F">
        <w:t>.</w:t>
      </w:r>
    </w:p>
    <w:p w14:paraId="42ECAAA4" w14:textId="63233FDD" w:rsidR="004B692B" w:rsidRPr="00F72D10" w:rsidRDefault="004B692B" w:rsidP="004E49AC">
      <w:pPr>
        <w:pStyle w:val="Heading4"/>
      </w:pPr>
      <w:bookmarkStart w:id="71" w:name="_Toc159520280"/>
      <w:r w:rsidRPr="00F72D10">
        <w:t>Limiting some exceptions to discrimination or restrictions that are ‘reasonable and proportionate in the circumstances’</w:t>
      </w:r>
      <w:bookmarkEnd w:id="71"/>
    </w:p>
    <w:p w14:paraId="0C5B2395" w14:textId="35843636" w:rsidR="004B692B" w:rsidRPr="00CF76C9" w:rsidRDefault="004B692B" w:rsidP="00793AEF">
      <w:pPr>
        <w:jc w:val="both"/>
      </w:pPr>
      <w:r>
        <w:t xml:space="preserve">A number of the exceptions in the draft Bill </w:t>
      </w:r>
      <w:r w:rsidR="00E720DF">
        <w:t>permit</w:t>
      </w:r>
      <w:r w:rsidR="009731FE">
        <w:t xml:space="preserve"> certain forms of discrimination or restrictions subject to</w:t>
      </w:r>
      <w:r>
        <w:t xml:space="preserve"> a requirement that the discrimination or restriction must be ‘reasonable and proportionate in the circumstances’. The purpose of </w:t>
      </w:r>
      <w:r w:rsidR="009731FE">
        <w:t>this requirement</w:t>
      </w:r>
      <w:r>
        <w:t xml:space="preserve"> is to </w:t>
      </w:r>
      <w:r w:rsidRPr="00CF76C9">
        <w:t xml:space="preserve">ensure that an appropriate balance is struck between the legitimate objective of the discrimination </w:t>
      </w:r>
      <w:r>
        <w:t xml:space="preserve">within the scope of the exception </w:t>
      </w:r>
      <w:r w:rsidRPr="00CF76C9">
        <w:t xml:space="preserve">and the rights and interests of individuals who would be affected by the discrimination. Assessing whether discrimination </w:t>
      </w:r>
      <w:r>
        <w:t xml:space="preserve">or imposing a restriction is </w:t>
      </w:r>
      <w:r w:rsidRPr="00CF76C9">
        <w:t xml:space="preserve">reasonable and proportionate in a particular situation would, for example, involve consideration of: </w:t>
      </w:r>
    </w:p>
    <w:p w14:paraId="1F70C1FB" w14:textId="77777777" w:rsidR="004B692B" w:rsidRPr="00CF76C9" w:rsidRDefault="004B692B" w:rsidP="00721411">
      <w:pPr>
        <w:pStyle w:val="ListParagraph"/>
        <w:numPr>
          <w:ilvl w:val="0"/>
          <w:numId w:val="14"/>
        </w:numPr>
        <w:spacing w:after="160" w:line="252" w:lineRule="auto"/>
        <w:jc w:val="both"/>
      </w:pPr>
      <w:r w:rsidRPr="00CF76C9">
        <w:t xml:space="preserve">the purpose of the proposed conduct – why is it necessary or desirable to discriminate/impose a restriction in these circumstances? Why is this purpose important? </w:t>
      </w:r>
    </w:p>
    <w:p w14:paraId="43CE6C29" w14:textId="77777777" w:rsidR="004B692B" w:rsidRPr="00CF76C9" w:rsidRDefault="004B692B" w:rsidP="00721411">
      <w:pPr>
        <w:pStyle w:val="ListParagraph"/>
        <w:numPr>
          <w:ilvl w:val="0"/>
          <w:numId w:val="14"/>
        </w:numPr>
        <w:spacing w:after="160" w:line="252" w:lineRule="auto"/>
        <w:jc w:val="both"/>
      </w:pPr>
      <w:r>
        <w:t>t</w:t>
      </w:r>
      <w:r w:rsidRPr="00CF76C9">
        <w:t>he impact of the discrimination</w:t>
      </w:r>
      <w:r>
        <w:t>/restriction</w:t>
      </w:r>
      <w:r w:rsidRPr="00CF76C9">
        <w:t xml:space="preserve"> on the other person(s) – how will the discrimination/restriction affect the rights and interests of a person or persons with protected attributes? Are there other options available to the person(s) in their geographical area if they are denied access to this opportunity? </w:t>
      </w:r>
    </w:p>
    <w:p w14:paraId="611840A7" w14:textId="3D57F4AB" w:rsidR="004B692B" w:rsidRPr="00CF76C9" w:rsidRDefault="004B692B" w:rsidP="00721411">
      <w:pPr>
        <w:pStyle w:val="ListParagraph"/>
        <w:numPr>
          <w:ilvl w:val="0"/>
          <w:numId w:val="14"/>
        </w:numPr>
        <w:spacing w:after="160" w:line="252" w:lineRule="auto"/>
        <w:jc w:val="both"/>
      </w:pPr>
      <w:r>
        <w:t>a</w:t>
      </w:r>
      <w:r w:rsidRPr="00CF76C9">
        <w:t>lternative options – is there another option available which would not involve discrimination/</w:t>
      </w:r>
      <w:r>
        <w:t>imposing a res</w:t>
      </w:r>
      <w:r w:rsidRPr="00CF76C9">
        <w:t>t</w:t>
      </w:r>
      <w:r>
        <w:t>riction</w:t>
      </w:r>
      <w:r w:rsidR="00F67173">
        <w:t xml:space="preserve"> which</w:t>
      </w:r>
      <w:r w:rsidRPr="00CF76C9">
        <w:t xml:space="preserve"> would have less of an impact on affected persons? Would this be as effective in achieving the objective? </w:t>
      </w:r>
    </w:p>
    <w:p w14:paraId="7A7525C0" w14:textId="709AEB6A" w:rsidR="004B692B" w:rsidRDefault="004B692B" w:rsidP="00721411">
      <w:pPr>
        <w:pStyle w:val="ListParagraph"/>
        <w:numPr>
          <w:ilvl w:val="0"/>
          <w:numId w:val="14"/>
        </w:numPr>
        <w:spacing w:after="160" w:line="252" w:lineRule="auto"/>
        <w:jc w:val="both"/>
      </w:pPr>
      <w:r>
        <w:t>w</w:t>
      </w:r>
      <w:r w:rsidRPr="00CF76C9">
        <w:t>hether or not the importance of achieving the purpose outweighs the harm caused by the discrimination/restriction – is there a fair balance between the rights and interests of the affected persons, and the legitimate objective of discrimination</w:t>
      </w:r>
      <w:r>
        <w:t>/restriction</w:t>
      </w:r>
      <w:r w:rsidRPr="00CF76C9">
        <w:t>?</w:t>
      </w:r>
    </w:p>
    <w:p w14:paraId="2DF73FA2" w14:textId="608E520A" w:rsidR="00CB1D11" w:rsidRPr="00EE13BE" w:rsidRDefault="00CB1D11" w:rsidP="00CB1D11">
      <w:r>
        <w:t xml:space="preserve">The draft Bill does not include </w:t>
      </w:r>
      <w:r w:rsidRPr="00EE13BE">
        <w:t>a list of matters that must be considered when assessing whether discrimination is reasonable and proportionate in the circumstances. This will allow the concept of ‘reasonable and proportionate’ to be applied flexibly, having regard to the relevant circumstances</w:t>
      </w:r>
      <w:r w:rsidR="009928E6">
        <w:t xml:space="preserve"> of the case</w:t>
      </w:r>
      <w:r w:rsidRPr="00EE13BE">
        <w:t xml:space="preserve">. It will also allow the concept to develop in conjunction with jurisprudence from other jurisdictions with equivalent exceptions. </w:t>
      </w:r>
    </w:p>
    <w:p w14:paraId="7B3623D8" w14:textId="4E92732A" w:rsidR="004B692B" w:rsidRPr="00F72D10" w:rsidRDefault="003A1523" w:rsidP="003A1523">
      <w:pPr>
        <w:pStyle w:val="Heading3"/>
        <w:rPr>
          <w:iCs/>
        </w:rPr>
      </w:pPr>
      <w:bookmarkStart w:id="72" w:name="_Toc159520281"/>
      <w:r>
        <w:rPr>
          <w:iCs/>
        </w:rPr>
        <w:t xml:space="preserve">Exceptions </w:t>
      </w:r>
      <w:r w:rsidR="007264A7">
        <w:t>– W</w:t>
      </w:r>
      <w:r w:rsidR="004B692B" w:rsidRPr="00F72D10">
        <w:t xml:space="preserve">ork </w:t>
      </w:r>
      <w:r w:rsidR="009C47BE">
        <w:t xml:space="preserve">and </w:t>
      </w:r>
      <w:r w:rsidR="004B692B" w:rsidRPr="00F72D10">
        <w:t>work-related area</w:t>
      </w:r>
      <w:r w:rsidR="00F67173">
        <w:t>s</w:t>
      </w:r>
      <w:bookmarkEnd w:id="72"/>
      <w:r>
        <w:t xml:space="preserve"> </w:t>
      </w:r>
    </w:p>
    <w:p w14:paraId="2813B044" w14:textId="5334FDD8" w:rsidR="003A1523" w:rsidRDefault="003A1523" w:rsidP="004E49AC">
      <w:pPr>
        <w:pStyle w:val="Heading4"/>
      </w:pPr>
      <w:bookmarkStart w:id="73" w:name="_Toc159520282"/>
      <w:r>
        <w:t>Genuine occupational requirements – generally</w:t>
      </w:r>
      <w:bookmarkEnd w:id="73"/>
      <w:r>
        <w:t xml:space="preserve"> </w:t>
      </w:r>
    </w:p>
    <w:p w14:paraId="670A014A" w14:textId="2F982122" w:rsidR="004B692B" w:rsidRPr="003A1523" w:rsidRDefault="004B692B" w:rsidP="00793AEF">
      <w:pPr>
        <w:jc w:val="both"/>
      </w:pPr>
      <w:r w:rsidRPr="005204A9">
        <w:rPr>
          <w:b/>
          <w:bCs/>
        </w:rPr>
        <w:t xml:space="preserve">Clause </w:t>
      </w:r>
      <w:r w:rsidR="00474FAB">
        <w:rPr>
          <w:b/>
          <w:bCs/>
        </w:rPr>
        <w:t>28</w:t>
      </w:r>
      <w:r>
        <w:t xml:space="preserve"> </w:t>
      </w:r>
      <w:r w:rsidRPr="0005332F">
        <w:t>provides</w:t>
      </w:r>
      <w:r>
        <w:t xml:space="preserve"> that a person may discriminate against a person in relation to a position if the discrimination is based on </w:t>
      </w:r>
      <w:r w:rsidRPr="003A1523">
        <w:rPr>
          <w:b/>
          <w:bCs/>
        </w:rPr>
        <w:t>a genuine occupational requirement</w:t>
      </w:r>
      <w:r>
        <w:t xml:space="preserve"> for the position, and is reasonable and proportionate in the circumstances. The clause will not apply </w:t>
      </w:r>
      <w:r w:rsidR="00E720DF">
        <w:t xml:space="preserve">where </w:t>
      </w:r>
      <w:r w:rsidR="009C47BE">
        <w:t xml:space="preserve">participation in the teaching, observance or </w:t>
      </w:r>
      <w:r w:rsidR="009C47BE" w:rsidRPr="003A1523">
        <w:t>practice of a religion</w:t>
      </w:r>
      <w:r w:rsidR="00E720DF">
        <w:t xml:space="preserve"> is a genuine occupational requirement in relation to work for a religious body</w:t>
      </w:r>
      <w:r w:rsidR="003A1523" w:rsidRPr="003A1523">
        <w:t xml:space="preserve">. </w:t>
      </w:r>
      <w:r w:rsidR="00E720DF">
        <w:t>Genuine occupational requirements in relation to work for a religious body</w:t>
      </w:r>
      <w:r w:rsidR="009C47BE" w:rsidRPr="003A1523">
        <w:t xml:space="preserve"> </w:t>
      </w:r>
      <w:r w:rsidR="00E720DF">
        <w:t>are</w:t>
      </w:r>
      <w:r w:rsidR="009C47BE" w:rsidRPr="003A1523">
        <w:t xml:space="preserve"> covered by </w:t>
      </w:r>
      <w:r w:rsidRPr="003A1523">
        <w:rPr>
          <w:b/>
          <w:bCs/>
        </w:rPr>
        <w:t xml:space="preserve">clause </w:t>
      </w:r>
      <w:r w:rsidR="00474FAB">
        <w:rPr>
          <w:b/>
          <w:bCs/>
        </w:rPr>
        <w:t>29</w:t>
      </w:r>
      <w:r w:rsidRPr="003A1523">
        <w:t>.</w:t>
      </w:r>
    </w:p>
    <w:p w14:paraId="05E05C69" w14:textId="7A3BEF1D" w:rsidR="004B692B" w:rsidRDefault="004B692B" w:rsidP="00793AEF">
      <w:pPr>
        <w:jc w:val="both"/>
      </w:pPr>
      <w:r w:rsidRPr="003A1523">
        <w:lastRenderedPageBreak/>
        <w:t>Under current jurisprudence, genuine occupational requirement</w:t>
      </w:r>
      <w:r w:rsidR="00E720DF">
        <w:t>s</w:t>
      </w:r>
      <w:r w:rsidRPr="003A1523">
        <w:t xml:space="preserve"> </w:t>
      </w:r>
      <w:r w:rsidR="00E720DF">
        <w:t>are</w:t>
      </w:r>
      <w:r w:rsidR="00E720DF" w:rsidRPr="003A1523">
        <w:t xml:space="preserve"> </w:t>
      </w:r>
      <w:r w:rsidRPr="003A1523">
        <w:t>considered synonymous with ‘inherent requirements’ which is the test found in Commonwealth discrimination law</w:t>
      </w:r>
      <w:r w:rsidR="003A1523" w:rsidRPr="003A1523">
        <w:t xml:space="preserve"> (e.g. </w:t>
      </w:r>
      <w:r w:rsidR="00E720DF">
        <w:t>section 21A of the</w:t>
      </w:r>
      <w:r w:rsidR="00E720DF" w:rsidRPr="003A1523">
        <w:t xml:space="preserve"> </w:t>
      </w:r>
      <w:r w:rsidR="003A1523" w:rsidRPr="003A1523">
        <w:t xml:space="preserve">Disability Discrimination Act). </w:t>
      </w:r>
      <w:r w:rsidRPr="003A1523">
        <w:t xml:space="preserve"> </w:t>
      </w:r>
      <w:r w:rsidR="003A1523">
        <w:t>However</w:t>
      </w:r>
      <w:r w:rsidR="00842840">
        <w:t>,</w:t>
      </w:r>
      <w:r w:rsidR="003A1523">
        <w:t xml:space="preserve"> clause </w:t>
      </w:r>
      <w:r w:rsidR="00474FAB">
        <w:t>28</w:t>
      </w:r>
      <w:r w:rsidR="003A1523">
        <w:t xml:space="preserve"> in the draft Bill</w:t>
      </w:r>
      <w:r w:rsidR="001211E6">
        <w:t xml:space="preserve"> now</w:t>
      </w:r>
      <w:r w:rsidR="003A1523">
        <w:t xml:space="preserve"> also </w:t>
      </w:r>
      <w:r w:rsidR="00842840">
        <w:t>requires</w:t>
      </w:r>
      <w:r w:rsidR="001211E6">
        <w:t xml:space="preserve"> that the imposition of a genuine occupational requirement </w:t>
      </w:r>
      <w:r w:rsidR="00842840">
        <w:t>is</w:t>
      </w:r>
      <w:r w:rsidR="001211E6">
        <w:t xml:space="preserve"> </w:t>
      </w:r>
      <w:r w:rsidR="001211E6" w:rsidRPr="001211E6">
        <w:rPr>
          <w:i/>
          <w:iCs/>
        </w:rPr>
        <w:t>reasonable and proportionate</w:t>
      </w:r>
      <w:r w:rsidR="001211E6">
        <w:t>.</w:t>
      </w:r>
    </w:p>
    <w:p w14:paraId="6E04336F" w14:textId="7D349186" w:rsidR="001211E6" w:rsidRDefault="001211E6" w:rsidP="004E49AC">
      <w:pPr>
        <w:pStyle w:val="Heading4"/>
      </w:pPr>
      <w:bookmarkStart w:id="74" w:name="_Toc159520283"/>
      <w:r>
        <w:t>Genuine occupational requirements – religious bodies</w:t>
      </w:r>
      <w:bookmarkEnd w:id="74"/>
    </w:p>
    <w:p w14:paraId="34AA1382" w14:textId="0AC31D89" w:rsidR="000C7864" w:rsidRDefault="004B692B" w:rsidP="00793AEF">
      <w:pPr>
        <w:jc w:val="both"/>
      </w:pPr>
      <w:r w:rsidRPr="005204A9">
        <w:rPr>
          <w:b/>
          <w:bCs/>
        </w:rPr>
        <w:t xml:space="preserve">Clause </w:t>
      </w:r>
      <w:r w:rsidR="00474FAB">
        <w:rPr>
          <w:b/>
          <w:bCs/>
        </w:rPr>
        <w:t>29</w:t>
      </w:r>
      <w:r>
        <w:t xml:space="preserve"> </w:t>
      </w:r>
      <w:r w:rsidRPr="0005332F">
        <w:t xml:space="preserve">provides that a person may discriminate against another person on the basis of the other person’s religious beliefs or religious activity </w:t>
      </w:r>
      <w:r>
        <w:t xml:space="preserve">in relation to work for a religious body. </w:t>
      </w:r>
    </w:p>
    <w:p w14:paraId="55479486" w14:textId="5F9A3818" w:rsidR="000C7864" w:rsidRDefault="000C7864" w:rsidP="00793AEF">
      <w:pPr>
        <w:jc w:val="both"/>
      </w:pPr>
      <w:r>
        <w:t xml:space="preserve">The current AD Act allows for discrimination </w:t>
      </w:r>
      <w:r w:rsidR="00842840">
        <w:t xml:space="preserve">in relation to work for </w:t>
      </w:r>
      <w:r>
        <w:t xml:space="preserve">religious bodies on </w:t>
      </w:r>
      <w:r w:rsidR="00842840">
        <w:t>the basis of any protected attribute</w:t>
      </w:r>
      <w:r>
        <w:t xml:space="preserve"> (except for age, race and impairment).</w:t>
      </w:r>
      <w:r>
        <w:rPr>
          <w:rStyle w:val="FootnoteReference"/>
        </w:rPr>
        <w:footnoteReference w:id="14"/>
      </w:r>
    </w:p>
    <w:p w14:paraId="2B6E3B8C" w14:textId="3B9FA23C" w:rsidR="000C7864" w:rsidRDefault="0048147B" w:rsidP="00793AEF">
      <w:pPr>
        <w:jc w:val="both"/>
      </w:pPr>
      <w:r w:rsidRPr="0048147B">
        <w:t>Narrowing the grounds on which a religious body can discriminate in the area of employment to religious belief and religious activity will bring Queensland broadly in line with anti-discrimination laws in several other Australian jurisdictions, including</w:t>
      </w:r>
      <w:r w:rsidR="005457C6">
        <w:t xml:space="preserve"> the Australian Capital Territory</w:t>
      </w:r>
      <w:r w:rsidRPr="0048147B">
        <w:t xml:space="preserve"> </w:t>
      </w:r>
      <w:r w:rsidR="005457C6">
        <w:t>(</w:t>
      </w:r>
      <w:r w:rsidRPr="0048147B">
        <w:t>ACT</w:t>
      </w:r>
      <w:r w:rsidR="005457C6">
        <w:t>)</w:t>
      </w:r>
      <w:r w:rsidRPr="0048147B">
        <w:t>,</w:t>
      </w:r>
      <w:r w:rsidRPr="0048147B">
        <w:rPr>
          <w:vertAlign w:val="superscript"/>
        </w:rPr>
        <w:footnoteReference w:id="15"/>
      </w:r>
      <w:r w:rsidRPr="0048147B">
        <w:t xml:space="preserve"> Tasmania,</w:t>
      </w:r>
      <w:r w:rsidRPr="0048147B">
        <w:rPr>
          <w:vertAlign w:val="superscript"/>
        </w:rPr>
        <w:footnoteReference w:id="16"/>
      </w:r>
      <w:r w:rsidRPr="0048147B">
        <w:t xml:space="preserve"> and Victoria.</w:t>
      </w:r>
      <w:r w:rsidRPr="0048147B">
        <w:rPr>
          <w:vertAlign w:val="superscript"/>
        </w:rPr>
        <w:footnoteReference w:id="17"/>
      </w:r>
      <w:r w:rsidRPr="0048147B">
        <w:t xml:space="preserve"> The proposed approach is also broadly consistent with the proposals for amendments to the </w:t>
      </w:r>
      <w:r w:rsidRPr="006F2334">
        <w:t>Sex Discrimination Act</w:t>
      </w:r>
      <w:r w:rsidRPr="00865487">
        <w:t xml:space="preserve"> and</w:t>
      </w:r>
      <w:r w:rsidRPr="0048147B">
        <w:t xml:space="preserve"> the </w:t>
      </w:r>
      <w:r w:rsidRPr="0048147B">
        <w:rPr>
          <w:i/>
          <w:iCs/>
        </w:rPr>
        <w:t>Fair Work Act 2009</w:t>
      </w:r>
      <w:r w:rsidRPr="0048147B">
        <w:t xml:space="preserve"> (Cth) outlined in the </w:t>
      </w:r>
      <w:r w:rsidR="005457C6">
        <w:t>Australian Law Reform Commission’s</w:t>
      </w:r>
      <w:r w:rsidR="005457C6" w:rsidRPr="0048147B">
        <w:t xml:space="preserve"> </w:t>
      </w:r>
      <w:r w:rsidRPr="0048147B">
        <w:rPr>
          <w:i/>
          <w:iCs/>
        </w:rPr>
        <w:t>Consultation Paper: Religious Educational Institutions and Anti-Discrimination Laws</w:t>
      </w:r>
      <w:r w:rsidRPr="0048147B">
        <w:t>.</w:t>
      </w:r>
      <w:r w:rsidRPr="0048147B">
        <w:rPr>
          <w:vertAlign w:val="superscript"/>
        </w:rPr>
        <w:footnoteReference w:id="18"/>
      </w:r>
      <w:r w:rsidRPr="0048147B">
        <w:t xml:space="preserve"> A more restrictive approach has been adopted in </w:t>
      </w:r>
      <w:r w:rsidR="005457C6">
        <w:t>the Northern Territory</w:t>
      </w:r>
      <w:r w:rsidRPr="0048147B">
        <w:t xml:space="preserve">, with recent amendments resulting in the </w:t>
      </w:r>
      <w:r w:rsidR="00D36941">
        <w:t xml:space="preserve">complete </w:t>
      </w:r>
      <w:r w:rsidRPr="0048147B">
        <w:t>removal of an exception for employment in religious educational institutions.</w:t>
      </w:r>
      <w:r w:rsidRPr="0048147B">
        <w:rPr>
          <w:vertAlign w:val="superscript"/>
        </w:rPr>
        <w:footnoteReference w:id="19"/>
      </w:r>
    </w:p>
    <w:p w14:paraId="6E11A112" w14:textId="2A05BBD5" w:rsidR="0048147B" w:rsidRPr="0048147B" w:rsidRDefault="0048147B" w:rsidP="0048147B">
      <w:pPr>
        <w:jc w:val="both"/>
      </w:pPr>
      <w:r>
        <w:t>The</w:t>
      </w:r>
      <w:r w:rsidRPr="0048147B">
        <w:t xml:space="preserve"> draft Bill will allow discrimination by a religious body on the grounds of religious belief or religious activity if:</w:t>
      </w:r>
    </w:p>
    <w:p w14:paraId="355D2567" w14:textId="77777777" w:rsidR="0048147B" w:rsidRPr="0048147B" w:rsidRDefault="0048147B" w:rsidP="00721411">
      <w:pPr>
        <w:numPr>
          <w:ilvl w:val="0"/>
          <w:numId w:val="31"/>
        </w:numPr>
        <w:jc w:val="both"/>
      </w:pPr>
      <w:r w:rsidRPr="0048147B">
        <w:t>participation in the teaching, observance or practice of the religion concerned is a genuine occupational requirement of the work; and</w:t>
      </w:r>
    </w:p>
    <w:p w14:paraId="5170AF9E" w14:textId="77777777" w:rsidR="0048147B" w:rsidRPr="0048147B" w:rsidRDefault="0048147B" w:rsidP="00721411">
      <w:pPr>
        <w:numPr>
          <w:ilvl w:val="0"/>
          <w:numId w:val="31"/>
        </w:numPr>
        <w:jc w:val="both"/>
      </w:pPr>
      <w:r w:rsidRPr="0048147B">
        <w:t>the other person cannot satisfy the genuine occupational requirement because of the other person’s religious belief or religious activity; and</w:t>
      </w:r>
    </w:p>
    <w:p w14:paraId="6B0E1A03" w14:textId="77777777" w:rsidR="0048147B" w:rsidRPr="0048147B" w:rsidRDefault="0048147B" w:rsidP="00721411">
      <w:pPr>
        <w:numPr>
          <w:ilvl w:val="0"/>
          <w:numId w:val="31"/>
        </w:numPr>
        <w:jc w:val="both"/>
      </w:pPr>
      <w:r w:rsidRPr="0048147B">
        <w:t xml:space="preserve">the discrimination is reasonable and proportionate in the circumstances. </w:t>
      </w:r>
    </w:p>
    <w:p w14:paraId="722FAFF4" w14:textId="5DEB4045" w:rsidR="0048147B" w:rsidRDefault="00D36941" w:rsidP="0048147B">
      <w:pPr>
        <w:jc w:val="both"/>
      </w:pPr>
      <w:bookmarkStart w:id="75" w:name="_Hlk159095960"/>
      <w:r>
        <w:t>The clause also makes it clear that a</w:t>
      </w:r>
      <w:r w:rsidR="006D1657">
        <w:t xml:space="preserve"> person cannot rely on the exception to discriminate against another person on the basis of a protected attribute other than religious belief or religious activity, such as their sexual orientation</w:t>
      </w:r>
      <w:r w:rsidR="00474FAB">
        <w:t>,</w:t>
      </w:r>
      <w:r w:rsidR="00930F88">
        <w:t xml:space="preserve"> gender identity</w:t>
      </w:r>
      <w:r w:rsidR="00474FAB">
        <w:t xml:space="preserve"> or relationship status</w:t>
      </w:r>
      <w:r w:rsidR="006D1657">
        <w:t xml:space="preserve">. </w:t>
      </w:r>
    </w:p>
    <w:p w14:paraId="1E013BD6" w14:textId="46D6D858" w:rsidR="0048147B" w:rsidRPr="006D1657" w:rsidRDefault="0048147B" w:rsidP="004E49AC">
      <w:pPr>
        <w:pStyle w:val="Heading4"/>
      </w:pPr>
      <w:bookmarkStart w:id="76" w:name="_Toc159520284"/>
      <w:bookmarkEnd w:id="75"/>
      <w:r>
        <w:t>Compulsory retirement age under an Act</w:t>
      </w:r>
      <w:bookmarkEnd w:id="76"/>
    </w:p>
    <w:p w14:paraId="4220FF03" w14:textId="33CD5544" w:rsidR="004B692B" w:rsidRDefault="004B692B" w:rsidP="00793AEF">
      <w:pPr>
        <w:jc w:val="both"/>
      </w:pPr>
      <w:r w:rsidRPr="006D1657">
        <w:rPr>
          <w:b/>
          <w:bCs/>
        </w:rPr>
        <w:t xml:space="preserve">Clause </w:t>
      </w:r>
      <w:r w:rsidR="00474FAB">
        <w:rPr>
          <w:b/>
          <w:bCs/>
        </w:rPr>
        <w:t>30</w:t>
      </w:r>
      <w:r w:rsidRPr="006D1657">
        <w:t xml:space="preserve"> provides that the Act has no effect on the imposition, under an Act, of a compulsory retirement age on stated judicial and other office holders. This exception is similar to the general exception to discrimination under section 106A of the current AD Act which, in part, allows for the imposition of a compulsory retirement age on certain stated office holders imposed on or before 30</w:t>
      </w:r>
      <w:r w:rsidR="00474FAB">
        <w:t> </w:t>
      </w:r>
      <w:r w:rsidRPr="006D1657">
        <w:t>June 1994 under an Act.</w:t>
      </w:r>
    </w:p>
    <w:p w14:paraId="04461C79" w14:textId="35E7B469" w:rsidR="0048147B" w:rsidRDefault="0048147B" w:rsidP="004E49AC">
      <w:pPr>
        <w:pStyle w:val="Heading4"/>
      </w:pPr>
      <w:bookmarkStart w:id="77" w:name="_Toc159520285"/>
      <w:r>
        <w:lastRenderedPageBreak/>
        <w:t>Domestic or personal services</w:t>
      </w:r>
      <w:bookmarkEnd w:id="77"/>
    </w:p>
    <w:p w14:paraId="06E3ED76" w14:textId="0CAA4889" w:rsidR="004B692B" w:rsidRPr="00540BF4" w:rsidRDefault="004B692B" w:rsidP="00793AEF">
      <w:pPr>
        <w:jc w:val="both"/>
      </w:pPr>
      <w:r w:rsidRPr="005204A9">
        <w:rPr>
          <w:b/>
          <w:bCs/>
        </w:rPr>
        <w:t xml:space="preserve">Clause </w:t>
      </w:r>
      <w:r w:rsidR="00474FAB">
        <w:rPr>
          <w:b/>
          <w:bCs/>
        </w:rPr>
        <w:t>31</w:t>
      </w:r>
      <w:r>
        <w:t xml:space="preserve"> </w:t>
      </w:r>
      <w:r w:rsidRPr="0005332F">
        <w:t xml:space="preserve">provides that a person may discriminate against </w:t>
      </w:r>
      <w:r w:rsidR="00540BF4">
        <w:t>an</w:t>
      </w:r>
      <w:r w:rsidRPr="0005332F">
        <w:t>other person</w:t>
      </w:r>
      <w:r>
        <w:t xml:space="preserve">, </w:t>
      </w:r>
      <w:r w:rsidR="00540BF4">
        <w:t>except</w:t>
      </w:r>
      <w:r>
        <w:t xml:space="preserve"> on the basis of race, </w:t>
      </w:r>
      <w:r w:rsidRPr="0005332F">
        <w:t xml:space="preserve">in relation to work involving the provision of domestic and personal services in the employer’s home or in the </w:t>
      </w:r>
      <w:r>
        <w:t>home of</w:t>
      </w:r>
      <w:r w:rsidRPr="0005332F">
        <w:t xml:space="preserve"> the person to whom the services are provided at their request</w:t>
      </w:r>
      <w:r>
        <w:t xml:space="preserve"> </w:t>
      </w:r>
      <w:r w:rsidRPr="0005332F">
        <w:t>to the employer.</w:t>
      </w:r>
      <w:r>
        <w:t xml:space="preserve"> The exception applies only to discrimination in stated pre-work and work areas of activity. </w:t>
      </w:r>
      <w:r w:rsidRPr="00BF5013">
        <w:t xml:space="preserve">This </w:t>
      </w:r>
      <w:r>
        <w:t xml:space="preserve">is similar to </w:t>
      </w:r>
      <w:r w:rsidRPr="00BF5013">
        <w:t>sections 26 and 27 of the current AD Act.</w:t>
      </w:r>
    </w:p>
    <w:p w14:paraId="6EF9C5FD" w14:textId="4241FFDC" w:rsidR="00DE4758" w:rsidRPr="00BF5013" w:rsidRDefault="00DE4758" w:rsidP="004E49AC">
      <w:pPr>
        <w:pStyle w:val="Heading4"/>
      </w:pPr>
      <w:bookmarkStart w:id="78" w:name="_Toc159520286"/>
      <w:r>
        <w:t>Work involving vulnerable people</w:t>
      </w:r>
      <w:bookmarkEnd w:id="78"/>
    </w:p>
    <w:p w14:paraId="71197366" w14:textId="7B6FA8BB" w:rsidR="004B692B" w:rsidRDefault="004B692B" w:rsidP="00793AEF">
      <w:pPr>
        <w:jc w:val="both"/>
      </w:pPr>
      <w:r w:rsidRPr="00587C8A">
        <w:rPr>
          <w:b/>
          <w:bCs/>
        </w:rPr>
        <w:t xml:space="preserve">Clause </w:t>
      </w:r>
      <w:r w:rsidR="00474FAB">
        <w:rPr>
          <w:b/>
          <w:bCs/>
        </w:rPr>
        <w:t>32</w:t>
      </w:r>
      <w:r w:rsidRPr="00587C8A">
        <w:t xml:space="preserve"> provides that a person may discriminate against another person on the basis of </w:t>
      </w:r>
      <w:r w:rsidRPr="00DE4758">
        <w:rPr>
          <w:b/>
          <w:bCs/>
        </w:rPr>
        <w:t>irrelevant criminal record</w:t>
      </w:r>
      <w:r w:rsidR="00DE4758">
        <w:rPr>
          <w:b/>
          <w:bCs/>
        </w:rPr>
        <w:t xml:space="preserve"> (which is a new protected attribute in the draft Bill)</w:t>
      </w:r>
      <w:r w:rsidRPr="00587C8A">
        <w:t xml:space="preserve"> in relation to work principally involving the care, instruction or supervision of a </w:t>
      </w:r>
      <w:r>
        <w:t>child or provid</w:t>
      </w:r>
      <w:r w:rsidR="006D1657">
        <w:t xml:space="preserve">ing </w:t>
      </w:r>
      <w:r>
        <w:t>care, support or assistance to a person with disability or an aged person. This is similar to exceptions provid</w:t>
      </w:r>
      <w:r w:rsidR="006D1657">
        <w:t>ed</w:t>
      </w:r>
      <w:r>
        <w:t xml:space="preserve"> for in the </w:t>
      </w:r>
      <w:r w:rsidRPr="00587C8A">
        <w:rPr>
          <w:i/>
          <w:iCs/>
        </w:rPr>
        <w:t>Anti</w:t>
      </w:r>
      <w:r w:rsidR="00474FAB">
        <w:rPr>
          <w:i/>
          <w:iCs/>
        </w:rPr>
        <w:noBreakHyphen/>
      </w:r>
      <w:r w:rsidRPr="00587C8A">
        <w:rPr>
          <w:i/>
          <w:iCs/>
        </w:rPr>
        <w:t>Discrimination Act 1998</w:t>
      </w:r>
      <w:r>
        <w:t xml:space="preserve"> (Tas) and </w:t>
      </w:r>
      <w:r w:rsidRPr="00587C8A">
        <w:rPr>
          <w:i/>
          <w:iCs/>
        </w:rPr>
        <w:t>Anti-Discrimination Act 1992</w:t>
      </w:r>
      <w:r>
        <w:t xml:space="preserve"> (NT). This exception is intended to ensure that the new protected attribute of ‘irrelevant criminal record’ does not undermine statutory schemes that operate to protect vulnerable people, such as the </w:t>
      </w:r>
      <w:r w:rsidRPr="00587C8A">
        <w:rPr>
          <w:i/>
          <w:iCs/>
        </w:rPr>
        <w:t>Working with Children (Risk Management and Screening Act) 2000</w:t>
      </w:r>
      <w:r>
        <w:t xml:space="preserve"> and the </w:t>
      </w:r>
      <w:r w:rsidRPr="00587C8A">
        <w:rPr>
          <w:i/>
          <w:iCs/>
        </w:rPr>
        <w:t>Disability Service Act 2006</w:t>
      </w:r>
      <w:r>
        <w:t>.</w:t>
      </w:r>
    </w:p>
    <w:p w14:paraId="258D1DCD" w14:textId="6E600D10" w:rsidR="00DE4758" w:rsidRDefault="00DE4758" w:rsidP="004E49AC">
      <w:pPr>
        <w:pStyle w:val="Heading4"/>
      </w:pPr>
      <w:bookmarkStart w:id="79" w:name="_Toc159520287"/>
      <w:r>
        <w:t>Youth wages</w:t>
      </w:r>
      <w:bookmarkEnd w:id="79"/>
    </w:p>
    <w:p w14:paraId="786CFE59" w14:textId="415F48BC" w:rsidR="004B692B" w:rsidRDefault="004B692B" w:rsidP="00793AEF">
      <w:pPr>
        <w:jc w:val="both"/>
      </w:pPr>
      <w:r w:rsidRPr="005204A9">
        <w:rPr>
          <w:b/>
          <w:bCs/>
        </w:rPr>
        <w:t xml:space="preserve">Clause </w:t>
      </w:r>
      <w:r w:rsidR="00474FAB">
        <w:rPr>
          <w:b/>
          <w:bCs/>
        </w:rPr>
        <w:t>33</w:t>
      </w:r>
      <w:r>
        <w:t xml:space="preserve"> </w:t>
      </w:r>
      <w:r w:rsidRPr="00AB447A">
        <w:t>provides that a person may remunerate a worker who is under 21 years of age according to the worker’s</w:t>
      </w:r>
      <w:r>
        <w:t xml:space="preserve"> age, consistent with section 33 of the current AD Act.</w:t>
      </w:r>
    </w:p>
    <w:p w14:paraId="176E8CBF" w14:textId="7FD8C6EC" w:rsidR="00DE4758" w:rsidRDefault="00DE4758" w:rsidP="00AD04A3">
      <w:pPr>
        <w:pStyle w:val="Heading5"/>
      </w:pPr>
      <w:bookmarkStart w:id="80" w:name="_Toc159520288"/>
      <w:bookmarkStart w:id="81" w:name="_Hlk159090657"/>
      <w:r>
        <w:t>What is not included?</w:t>
      </w:r>
      <w:bookmarkEnd w:id="80"/>
    </w:p>
    <w:bookmarkEnd w:id="81"/>
    <w:p w14:paraId="08668490" w14:textId="66D326CF" w:rsidR="004B692B" w:rsidRDefault="004B692B" w:rsidP="00793AEF">
      <w:pPr>
        <w:jc w:val="both"/>
      </w:pPr>
      <w:r>
        <w:t xml:space="preserve">The draft Bill does not include </w:t>
      </w:r>
      <w:r w:rsidR="00DE4758">
        <w:t xml:space="preserve">the following </w:t>
      </w:r>
      <w:r>
        <w:t xml:space="preserve">exceptions </w:t>
      </w:r>
      <w:r w:rsidR="00DE4758">
        <w:t>that are included in the</w:t>
      </w:r>
      <w:r>
        <w:t xml:space="preserve"> current AD Act:</w:t>
      </w:r>
    </w:p>
    <w:p w14:paraId="5FF82EE6" w14:textId="7F7634F3" w:rsidR="004B692B" w:rsidRDefault="004B692B" w:rsidP="00200316">
      <w:pPr>
        <w:pStyle w:val="ListParagraph"/>
        <w:numPr>
          <w:ilvl w:val="0"/>
          <w:numId w:val="8"/>
        </w:numPr>
        <w:spacing w:before="60" w:line="280" w:lineRule="exact"/>
        <w:jc w:val="both"/>
      </w:pPr>
      <w:r>
        <w:t xml:space="preserve">section 28 concerning work with children, which </w:t>
      </w:r>
      <w:r w:rsidR="0038476F">
        <w:t xml:space="preserve">was </w:t>
      </w:r>
      <w:r>
        <w:t>repealed as part of the new BDM</w:t>
      </w:r>
      <w:r w:rsidR="0038476F">
        <w:t>R</w:t>
      </w:r>
      <w:r>
        <w:t xml:space="preserve"> Act;</w:t>
      </w:r>
    </w:p>
    <w:p w14:paraId="4F2C1C4C" w14:textId="77777777" w:rsidR="004B692B" w:rsidRDefault="004B692B" w:rsidP="00200316">
      <w:pPr>
        <w:pStyle w:val="ListParagraph"/>
        <w:numPr>
          <w:ilvl w:val="0"/>
          <w:numId w:val="8"/>
        </w:numPr>
        <w:spacing w:before="60" w:line="280" w:lineRule="exact"/>
        <w:jc w:val="both"/>
      </w:pPr>
      <w:r>
        <w:t>section 30 concerning single sex accommodation, and section 31 concerning workers who are married couple or in specified relationships, which are considered redundant; and</w:t>
      </w:r>
    </w:p>
    <w:p w14:paraId="0325B891" w14:textId="77777777" w:rsidR="0070392C" w:rsidRDefault="004B692B" w:rsidP="00F4266B">
      <w:pPr>
        <w:pStyle w:val="ListParagraph"/>
        <w:numPr>
          <w:ilvl w:val="0"/>
          <w:numId w:val="8"/>
        </w:numPr>
        <w:spacing w:before="60" w:line="280" w:lineRule="exact"/>
        <w:jc w:val="both"/>
      </w:pPr>
      <w:r>
        <w:t xml:space="preserve">sections 32 </w:t>
      </w:r>
      <w:r w:rsidR="001273ED">
        <w:t>(retiring age for partners)</w:t>
      </w:r>
      <w:r w:rsidR="00540BF4">
        <w:t>,</w:t>
      </w:r>
      <w:r w:rsidR="001273ED">
        <w:t xml:space="preserve"> </w:t>
      </w:r>
      <w:r>
        <w:t>34</w:t>
      </w:r>
      <w:r w:rsidR="001273ED">
        <w:t xml:space="preserve"> (special terms if job capacity is restricted by impairment)</w:t>
      </w:r>
      <w:r w:rsidR="00540BF4">
        <w:t>,</w:t>
      </w:r>
      <w:r w:rsidR="001273ED">
        <w:t xml:space="preserve"> 35 (special services or facilities required)</w:t>
      </w:r>
      <w:r w:rsidR="00540BF4">
        <w:t>.</w:t>
      </w:r>
      <w:r w:rsidR="001273ED">
        <w:t xml:space="preserve"> and</w:t>
      </w:r>
      <w:r>
        <w:t xml:space="preserve"> 36</w:t>
      </w:r>
      <w:r w:rsidR="001273ED">
        <w:t xml:space="preserve"> (circumstances of impairment)</w:t>
      </w:r>
      <w:r w:rsidR="0070392C">
        <w:t>.</w:t>
      </w:r>
      <w:r>
        <w:t xml:space="preserve"> </w:t>
      </w:r>
      <w:r w:rsidR="0070392C" w:rsidRPr="0070392C">
        <w:t xml:space="preserve">The Bill contains an alternative approach which includes the positive duty to make reasonable accommodation for a person with </w:t>
      </w:r>
      <w:r w:rsidR="0070392C" w:rsidRPr="00373C71">
        <w:t>disability in clause 18 (which is defined in clause 12 to include a non-exhaustive list of criteria for determining if the accommodation would impose an unjustifiable hardship on the person required to make the</w:t>
      </w:r>
      <w:r w:rsidR="0070392C" w:rsidRPr="0070392C">
        <w:t xml:space="preserve"> accommodation). </w:t>
      </w:r>
    </w:p>
    <w:p w14:paraId="2CF453AC" w14:textId="08ADF158" w:rsidR="004B692B" w:rsidRDefault="00DE4758" w:rsidP="0070392C">
      <w:pPr>
        <w:pStyle w:val="Heading3"/>
      </w:pPr>
      <w:bookmarkStart w:id="82" w:name="_Toc159520289"/>
      <w:r>
        <w:t xml:space="preserve">Exceptions – </w:t>
      </w:r>
      <w:r w:rsidR="004B692B">
        <w:t>Education</w:t>
      </w:r>
      <w:bookmarkEnd w:id="82"/>
    </w:p>
    <w:p w14:paraId="32493C25" w14:textId="2C4CBDE2" w:rsidR="00DE4758" w:rsidRPr="00DE4758" w:rsidRDefault="00DE4758" w:rsidP="004E49AC">
      <w:pPr>
        <w:pStyle w:val="Heading4"/>
      </w:pPr>
      <w:bookmarkStart w:id="83" w:name="_Toc159520290"/>
      <w:r>
        <w:t>Educational authority for students of a particular sex or students with disability</w:t>
      </w:r>
      <w:bookmarkEnd w:id="83"/>
      <w:r>
        <w:t xml:space="preserve"> </w:t>
      </w:r>
    </w:p>
    <w:p w14:paraId="343AB125" w14:textId="77D3417A" w:rsidR="004B692B" w:rsidRDefault="004B692B" w:rsidP="00793AEF">
      <w:pPr>
        <w:jc w:val="both"/>
      </w:pPr>
      <w:r w:rsidRPr="005204A9">
        <w:rPr>
          <w:b/>
          <w:bCs/>
        </w:rPr>
        <w:t xml:space="preserve">Clause </w:t>
      </w:r>
      <w:r w:rsidR="00474FAB">
        <w:rPr>
          <w:b/>
          <w:bCs/>
        </w:rPr>
        <w:t>35</w:t>
      </w:r>
      <w:r>
        <w:t xml:space="preserve"> </w:t>
      </w:r>
      <w:r w:rsidRPr="00AB447A">
        <w:t>provides for an exception</w:t>
      </w:r>
      <w:r w:rsidR="003D1E18">
        <w:t>,</w:t>
      </w:r>
      <w:r w:rsidRPr="00AB447A">
        <w:t xml:space="preserve"> similar to section 41 of the current AD Act</w:t>
      </w:r>
      <w:r>
        <w:t xml:space="preserve">, </w:t>
      </w:r>
      <w:r w:rsidRPr="00AB447A">
        <w:t xml:space="preserve">in relation </w:t>
      </w:r>
      <w:r>
        <w:t xml:space="preserve">to the refusal to accept admission of a student by </w:t>
      </w:r>
      <w:r w:rsidRPr="00AB447A">
        <w:t>an educational authority</w:t>
      </w:r>
      <w:r>
        <w:t xml:space="preserve"> that operates, or proposes to operate, an educational institution wholly or mainly for students of a particular sex, or</w:t>
      </w:r>
      <w:r w:rsidR="001273ED">
        <w:t xml:space="preserve"> students</w:t>
      </w:r>
      <w:r>
        <w:t xml:space="preserve"> </w:t>
      </w:r>
      <w:r w:rsidR="001273ED">
        <w:t>with</w:t>
      </w:r>
      <w:r>
        <w:t xml:space="preserve"> disability</w:t>
      </w:r>
      <w:r w:rsidR="001273ED">
        <w:t xml:space="preserve"> or disability of a particular kind</w:t>
      </w:r>
      <w:r>
        <w:t xml:space="preserve">. </w:t>
      </w:r>
    </w:p>
    <w:p w14:paraId="659E893D" w14:textId="31BE2BDA" w:rsidR="001273ED" w:rsidRDefault="001273ED" w:rsidP="001273ED">
      <w:pPr>
        <w:spacing w:after="160" w:line="259" w:lineRule="auto"/>
        <w:jc w:val="both"/>
      </w:pPr>
      <w:r>
        <w:t xml:space="preserve">This clause will </w:t>
      </w:r>
      <w:r w:rsidRPr="001A7E3B">
        <w:t>allow an educational authority</w:t>
      </w:r>
      <w:r>
        <w:t xml:space="preserve"> that operates wholly or mainly for students of a particular sex, or students with disability or disability of a particular kind,</w:t>
      </w:r>
      <w:r w:rsidRPr="001A7E3B">
        <w:t xml:space="preserve"> to </w:t>
      </w:r>
      <w:r w:rsidR="003D1E18">
        <w:t>refuse to admit as students persons</w:t>
      </w:r>
      <w:r w:rsidRPr="001A7E3B">
        <w:t xml:space="preserve"> who are not of the particular sex or who do not have a general or specific </w:t>
      </w:r>
      <w:r>
        <w:t xml:space="preserve">disability. </w:t>
      </w:r>
    </w:p>
    <w:p w14:paraId="51246500" w14:textId="4EC5FC4B" w:rsidR="001273ED" w:rsidRPr="001273ED" w:rsidRDefault="001273ED" w:rsidP="001273ED">
      <w:pPr>
        <w:spacing w:after="160" w:line="259" w:lineRule="auto"/>
        <w:jc w:val="both"/>
      </w:pPr>
      <w:r w:rsidRPr="001273ED">
        <w:t xml:space="preserve">The proposed exception only applies at the time of admission of students. This means, for example, that an educational authority will not be able to discriminate against a student who alters their record of sex in the relevant child register after enrolment. ‘Sex’ is not defined for the purposes of the draft </w:t>
      </w:r>
      <w:r w:rsidRPr="001273ED">
        <w:lastRenderedPageBreak/>
        <w:t xml:space="preserve">Bill. However, when the </w:t>
      </w:r>
      <w:r w:rsidR="00C70074">
        <w:t>new BDM</w:t>
      </w:r>
      <w:r w:rsidR="0038476F">
        <w:t>R</w:t>
      </w:r>
      <w:r w:rsidR="00C70074">
        <w:t xml:space="preserve"> Act</w:t>
      </w:r>
      <w:r w:rsidRPr="001273ED">
        <w:t xml:space="preserve"> commences, a person’s sex will include a person’s sex as altered on the register.</w:t>
      </w:r>
      <w:r w:rsidRPr="001273ED">
        <w:rPr>
          <w:vertAlign w:val="superscript"/>
        </w:rPr>
        <w:footnoteReference w:id="20"/>
      </w:r>
      <w:r w:rsidRPr="001273ED">
        <w:t xml:space="preserve"> </w:t>
      </w:r>
    </w:p>
    <w:p w14:paraId="150BCA00" w14:textId="7C438D15" w:rsidR="001273ED" w:rsidRDefault="001273ED" w:rsidP="001273ED">
      <w:pPr>
        <w:spacing w:after="160" w:line="259" w:lineRule="auto"/>
        <w:jc w:val="both"/>
      </w:pPr>
      <w:r w:rsidRPr="001273ED">
        <w:t>Providing an exception for single-sex schools which applies in relation to the admission of students is consistent with anti-discrimination laws in most other Australian jurisdictions.</w:t>
      </w:r>
    </w:p>
    <w:p w14:paraId="6E2E77C4" w14:textId="0864C0FD" w:rsidR="001273ED" w:rsidRDefault="001273ED" w:rsidP="004E49AC">
      <w:pPr>
        <w:pStyle w:val="Heading4"/>
      </w:pPr>
      <w:bookmarkStart w:id="84" w:name="_Toc159520291"/>
      <w:r>
        <w:t xml:space="preserve">Educational institution for </w:t>
      </w:r>
      <w:r w:rsidR="007264A7">
        <w:t xml:space="preserve">students of a </w:t>
      </w:r>
      <w:r>
        <w:t>particular religion</w:t>
      </w:r>
      <w:bookmarkEnd w:id="84"/>
    </w:p>
    <w:p w14:paraId="4F07C050" w14:textId="23B5E6B0" w:rsidR="001273ED" w:rsidRDefault="004B692B" w:rsidP="00793AEF">
      <w:pPr>
        <w:jc w:val="both"/>
      </w:pPr>
      <w:r w:rsidRPr="00C204EF">
        <w:rPr>
          <w:b/>
          <w:bCs/>
        </w:rPr>
        <w:t xml:space="preserve">Clause </w:t>
      </w:r>
      <w:r w:rsidR="00474FAB">
        <w:rPr>
          <w:b/>
          <w:bCs/>
        </w:rPr>
        <w:t>36</w:t>
      </w:r>
      <w:r w:rsidRPr="00C204EF">
        <w:t xml:space="preserve"> provides for an exception in relation to refusal to accept admission of a stu</w:t>
      </w:r>
      <w:r>
        <w:t xml:space="preserve">dent by </w:t>
      </w:r>
      <w:r w:rsidRPr="00AB447A">
        <w:t>an educational authority</w:t>
      </w:r>
      <w:r>
        <w:t xml:space="preserve"> that operates, or proposes to operate, an educational institution wholly or mainly for students of a particular religion</w:t>
      </w:r>
      <w:r w:rsidR="00631196">
        <w:t xml:space="preserve">. </w:t>
      </w:r>
    </w:p>
    <w:p w14:paraId="23C7BB33" w14:textId="77777777" w:rsidR="00486778" w:rsidRPr="00486778" w:rsidRDefault="00486778" w:rsidP="00486778">
      <w:pPr>
        <w:jc w:val="both"/>
      </w:pPr>
      <w:r w:rsidRPr="00486778">
        <w:t>Providing an exception in relation to enrolment at religious educational institutions promotes the right to manifest religion in community by allowing religious schools to only admit students who are of a particular religion. It also protects and promotes the right to the protection of families and children.</w:t>
      </w:r>
    </w:p>
    <w:p w14:paraId="2AA65862" w14:textId="0957BEEA" w:rsidR="001273ED" w:rsidRDefault="00486778" w:rsidP="00486778">
      <w:pPr>
        <w:jc w:val="both"/>
      </w:pPr>
      <w:r w:rsidRPr="00486778">
        <w:t xml:space="preserve">Most Australian anti-discrimination laws which prohibit discrimination on religious grounds provide an exception in relation to admission of students at religious educational institutions. </w:t>
      </w:r>
    </w:p>
    <w:p w14:paraId="5C1536BA" w14:textId="1F2E38E7" w:rsidR="00486778" w:rsidRPr="00486778" w:rsidRDefault="00486778" w:rsidP="00486778">
      <w:pPr>
        <w:jc w:val="both"/>
      </w:pPr>
      <w:r w:rsidRPr="00486778">
        <w:t xml:space="preserve">Educational institutions that operate wholly or mainly for students of a particular religion will be permitted to discriminate on the basis of religious belief or religious activity by refusing to admit as a student </w:t>
      </w:r>
      <w:r w:rsidR="003D1E18">
        <w:t>a person</w:t>
      </w:r>
      <w:r w:rsidRPr="00486778">
        <w:t xml:space="preserve"> who is not of </w:t>
      </w:r>
      <w:r w:rsidR="003D1E18">
        <w:t>the</w:t>
      </w:r>
      <w:r w:rsidR="003D1E18" w:rsidRPr="00486778">
        <w:t xml:space="preserve"> </w:t>
      </w:r>
      <w:r w:rsidRPr="00486778">
        <w:t xml:space="preserve">particular religion. </w:t>
      </w:r>
    </w:p>
    <w:p w14:paraId="34E157EF" w14:textId="0C56CF3D" w:rsidR="00486778" w:rsidRPr="00486778" w:rsidRDefault="00486778" w:rsidP="00486778">
      <w:pPr>
        <w:jc w:val="both"/>
      </w:pPr>
      <w:r w:rsidRPr="00486778">
        <w:t xml:space="preserve">For example, a school for Catholic students may choose to reject an applicant for admission on the basis that they are not Catholic, having regard to the applicant’s religious beliefs or religious activity. However, </w:t>
      </w:r>
      <w:r w:rsidR="007C14FA">
        <w:t xml:space="preserve">the clause also makes it clear that </w:t>
      </w:r>
      <w:r w:rsidRPr="00486778">
        <w:t xml:space="preserve">the school would not be permitted to discriminate on the basis of other protected attributes, such as an applicant’s gender identity or sexual orientation. </w:t>
      </w:r>
    </w:p>
    <w:p w14:paraId="43F747E9" w14:textId="77777777" w:rsidR="00486778" w:rsidRPr="00486778" w:rsidRDefault="00486778" w:rsidP="00486778">
      <w:pPr>
        <w:jc w:val="both"/>
      </w:pPr>
      <w:r w:rsidRPr="00486778">
        <w:t xml:space="preserve">Further, discrimination would only be permitted at the time of enrolment. A school could not, for example, expel or discipline a student on the basis that the student’s religious beliefs or religious activities have changed after enrolment. </w:t>
      </w:r>
    </w:p>
    <w:p w14:paraId="11A5E469" w14:textId="1E7F82C2" w:rsidR="004B692B" w:rsidRDefault="004B692B" w:rsidP="00793AEF">
      <w:pPr>
        <w:jc w:val="both"/>
      </w:pPr>
      <w:r w:rsidRPr="00C204EF">
        <w:t>‘Religion’ is not defined in the draft Bill but is intended to be interpreted relatively broadly so as to include</w:t>
      </w:r>
      <w:r>
        <w:t xml:space="preserve"> mainstream and alternative religions and beliefs.</w:t>
      </w:r>
    </w:p>
    <w:p w14:paraId="24383C34" w14:textId="77777777" w:rsidR="004B692B" w:rsidRDefault="004B692B" w:rsidP="00793AEF">
      <w:pPr>
        <w:jc w:val="both"/>
      </w:pPr>
      <w:r>
        <w:t>In contrast, ‘religious belief’ is defined in the current AD Act and the draft Bill to mean ‘holding or not holding a religious belief’, while ‘religious activity’ is defined as ‘engaging in, not engaging in or refusing to engage in a lawful religious activity’.</w:t>
      </w:r>
    </w:p>
    <w:p w14:paraId="29817BD7" w14:textId="154AFECF" w:rsidR="00486778" w:rsidRPr="004E49AC" w:rsidRDefault="00486778" w:rsidP="004E49AC">
      <w:pPr>
        <w:pStyle w:val="Heading4"/>
      </w:pPr>
      <w:bookmarkStart w:id="85" w:name="_Toc159520292"/>
      <w:r w:rsidRPr="004E49AC">
        <w:t>Age-based admission scheme</w:t>
      </w:r>
      <w:bookmarkEnd w:id="85"/>
    </w:p>
    <w:p w14:paraId="3954148A" w14:textId="389FB90E" w:rsidR="004B692B" w:rsidRDefault="004B692B" w:rsidP="00793AEF">
      <w:pPr>
        <w:jc w:val="both"/>
      </w:pPr>
      <w:r w:rsidRPr="005204A9">
        <w:rPr>
          <w:b/>
          <w:bCs/>
        </w:rPr>
        <w:t xml:space="preserve">Clause </w:t>
      </w:r>
      <w:r w:rsidR="00474FAB">
        <w:rPr>
          <w:b/>
          <w:bCs/>
        </w:rPr>
        <w:t>37</w:t>
      </w:r>
      <w:r>
        <w:t xml:space="preserve"> </w:t>
      </w:r>
      <w:r w:rsidRPr="00AB447A">
        <w:t>provides for an exception consistent with section 43 of the current AD Act for an educational authority selecting students for an education program on the basis of an admission scheme that has a minimum qua</w:t>
      </w:r>
      <w:r>
        <w:t>lifying age.</w:t>
      </w:r>
    </w:p>
    <w:p w14:paraId="4696CAC2" w14:textId="77777777" w:rsidR="00486778" w:rsidRPr="00486778" w:rsidRDefault="00486778" w:rsidP="00AD04A3">
      <w:pPr>
        <w:pStyle w:val="Heading5"/>
      </w:pPr>
      <w:bookmarkStart w:id="86" w:name="_Toc159520293"/>
      <w:r w:rsidRPr="00486778">
        <w:t>What is not included?</w:t>
      </w:r>
      <w:bookmarkEnd w:id="86"/>
    </w:p>
    <w:p w14:paraId="69A4C1A1" w14:textId="5AAA1BE1" w:rsidR="004B692B" w:rsidRDefault="004B692B" w:rsidP="00793AEF">
      <w:pPr>
        <w:jc w:val="both"/>
      </w:pPr>
      <w:r>
        <w:t xml:space="preserve">The draft Bill does not include an exception consistent with section 44 of the current </w:t>
      </w:r>
      <w:r w:rsidR="0070392C">
        <w:t xml:space="preserve">AD </w:t>
      </w:r>
      <w:r>
        <w:t xml:space="preserve">Act concerning </w:t>
      </w:r>
      <w:r w:rsidR="003D1E18">
        <w:t>allowing discrimination on the basis of impairment if supply of</w:t>
      </w:r>
      <w:r>
        <w:t xml:space="preserve"> special services or facilities required by a person would impose unjustifiable hardship on the educational authority. </w:t>
      </w:r>
      <w:bookmarkStart w:id="87" w:name="_Hlk159254270"/>
      <w:r w:rsidR="0070392C">
        <w:t xml:space="preserve">The </w:t>
      </w:r>
      <w:r w:rsidR="0038476F">
        <w:t xml:space="preserve">draft </w:t>
      </w:r>
      <w:r w:rsidR="0070392C">
        <w:t>Bill contains an alternative approach which includes the</w:t>
      </w:r>
      <w:r>
        <w:t xml:space="preserve"> </w:t>
      </w:r>
      <w:r w:rsidR="006F2334">
        <w:t>positive duty to make reasonable accommodation</w:t>
      </w:r>
      <w:r w:rsidR="0070392C">
        <w:t xml:space="preserve"> for a person with </w:t>
      </w:r>
      <w:r w:rsidR="0070392C" w:rsidRPr="00373C71">
        <w:t>disability</w:t>
      </w:r>
      <w:r w:rsidR="006F2334" w:rsidRPr="00373C71">
        <w:t xml:space="preserve"> in clause 18 </w:t>
      </w:r>
      <w:r w:rsidR="0070392C" w:rsidRPr="00373C71">
        <w:t>(which is defined in</w:t>
      </w:r>
      <w:r w:rsidR="006F2334" w:rsidRPr="00373C71">
        <w:t xml:space="preserve"> clause 12</w:t>
      </w:r>
      <w:r w:rsidR="0070392C" w:rsidRPr="00373C71">
        <w:t xml:space="preserve"> to include a non-exhaustive list of criteria for determining if the accommodation would impose an unjustifiable hardship on the person required to make the</w:t>
      </w:r>
      <w:r w:rsidR="0070392C">
        <w:t xml:space="preserve"> accommodation). </w:t>
      </w:r>
      <w:bookmarkEnd w:id="87"/>
    </w:p>
    <w:p w14:paraId="70A532F9" w14:textId="0F0FEF6D" w:rsidR="004B692B" w:rsidRPr="00F72D10" w:rsidRDefault="00486778" w:rsidP="00486778">
      <w:pPr>
        <w:pStyle w:val="Heading3"/>
        <w:rPr>
          <w:iCs/>
        </w:rPr>
      </w:pPr>
      <w:bookmarkStart w:id="88" w:name="_Toc159520294"/>
      <w:r>
        <w:lastRenderedPageBreak/>
        <w:t xml:space="preserve">Exceptions </w:t>
      </w:r>
      <w:r w:rsidR="007264A7">
        <w:t xml:space="preserve">– </w:t>
      </w:r>
      <w:r w:rsidR="004B692B" w:rsidRPr="00F72D10">
        <w:t>Goods &amp; Services</w:t>
      </w:r>
      <w:bookmarkEnd w:id="88"/>
    </w:p>
    <w:p w14:paraId="6EBA6B69" w14:textId="5404D0F1" w:rsidR="00486778" w:rsidRDefault="00486778" w:rsidP="004E49AC">
      <w:pPr>
        <w:pStyle w:val="Heading4"/>
      </w:pPr>
      <w:bookmarkStart w:id="89" w:name="_Toc159520295"/>
      <w:r>
        <w:t>Voluntary body</w:t>
      </w:r>
      <w:bookmarkEnd w:id="89"/>
    </w:p>
    <w:p w14:paraId="0CA17378" w14:textId="10776EA1" w:rsidR="004B692B" w:rsidRPr="00A56051" w:rsidRDefault="004B692B" w:rsidP="00793AEF">
      <w:pPr>
        <w:jc w:val="both"/>
        <w:rPr>
          <w:lang w:val="en-US"/>
        </w:rPr>
      </w:pPr>
      <w:r w:rsidRPr="006E2498">
        <w:rPr>
          <w:b/>
          <w:bCs/>
          <w:lang w:val="en-US"/>
        </w:rPr>
        <w:t xml:space="preserve">Clause </w:t>
      </w:r>
      <w:r w:rsidR="00C2412E">
        <w:rPr>
          <w:b/>
          <w:bCs/>
          <w:lang w:val="en-US"/>
        </w:rPr>
        <w:t>39</w:t>
      </w:r>
      <w:r w:rsidRPr="00945FA7">
        <w:rPr>
          <w:lang w:val="en-US"/>
        </w:rPr>
        <w:t xml:space="preserve"> </w:t>
      </w:r>
      <w:r>
        <w:rPr>
          <w:lang w:val="en-US"/>
        </w:rPr>
        <w:t>provides that voluntary bodies may discriminate against a person in relation to the admission of persons as members</w:t>
      </w:r>
      <w:r w:rsidR="003D1E18">
        <w:rPr>
          <w:lang w:val="en-US"/>
        </w:rPr>
        <w:t xml:space="preserve"> of the body</w:t>
      </w:r>
      <w:r>
        <w:rPr>
          <w:lang w:val="en-US"/>
        </w:rPr>
        <w:t>, or</w:t>
      </w:r>
      <w:r w:rsidR="003D1E18">
        <w:rPr>
          <w:lang w:val="en-US"/>
        </w:rPr>
        <w:t xml:space="preserve"> the</w:t>
      </w:r>
      <w:r>
        <w:rPr>
          <w:lang w:val="en-US"/>
        </w:rPr>
        <w:t xml:space="preserve"> provisions of benefits and services to members of the body. </w:t>
      </w:r>
    </w:p>
    <w:p w14:paraId="5769F030" w14:textId="2D1841B2" w:rsidR="00486778" w:rsidRPr="00486778" w:rsidRDefault="00486778" w:rsidP="00486778">
      <w:pPr>
        <w:jc w:val="both"/>
      </w:pPr>
      <w:r w:rsidRPr="00486778">
        <w:rPr>
          <w:lang w:val="en-US"/>
        </w:rPr>
        <w:t xml:space="preserve">Voluntary body means: </w:t>
      </w:r>
      <w:r w:rsidRPr="00486778">
        <w:t>an association or other body (whether</w:t>
      </w:r>
      <w:r>
        <w:t xml:space="preserve"> </w:t>
      </w:r>
      <w:r w:rsidRPr="00486778">
        <w:t>incorporated or unincorporated) the activities of which are not</w:t>
      </w:r>
      <w:r>
        <w:t xml:space="preserve"> </w:t>
      </w:r>
      <w:r w:rsidRPr="00486778">
        <w:t>engaged in for the purpose of making a profit, but does not</w:t>
      </w:r>
      <w:r>
        <w:t xml:space="preserve"> </w:t>
      </w:r>
      <w:r w:rsidRPr="00486778">
        <w:t>include—</w:t>
      </w:r>
    </w:p>
    <w:p w14:paraId="163051E8" w14:textId="77777777" w:rsidR="00486778" w:rsidRPr="00486778" w:rsidRDefault="00486778" w:rsidP="006F2334">
      <w:pPr>
        <w:ind w:left="720"/>
        <w:jc w:val="both"/>
      </w:pPr>
      <w:r w:rsidRPr="00486778">
        <w:t>(a) a club; or</w:t>
      </w:r>
    </w:p>
    <w:p w14:paraId="76711EE6" w14:textId="63EF6F85" w:rsidR="00486778" w:rsidRPr="00486778" w:rsidRDefault="00486778" w:rsidP="00EF353F">
      <w:pPr>
        <w:ind w:left="993" w:hanging="273"/>
        <w:jc w:val="both"/>
      </w:pPr>
      <w:r w:rsidRPr="00486778">
        <w:t>(b) an organisation of workers, employers, or people who</w:t>
      </w:r>
      <w:r>
        <w:t xml:space="preserve"> </w:t>
      </w:r>
      <w:r w:rsidRPr="00486778">
        <w:t>carry on an industry, profession, trade or</w:t>
      </w:r>
      <w:r>
        <w:t xml:space="preserve"> </w:t>
      </w:r>
      <w:r w:rsidRPr="00486778">
        <w:t>business; or</w:t>
      </w:r>
    </w:p>
    <w:p w14:paraId="6110FD28" w14:textId="30F3374B" w:rsidR="00486778" w:rsidRPr="00486778" w:rsidRDefault="00486778" w:rsidP="006F2334">
      <w:pPr>
        <w:ind w:left="720"/>
        <w:jc w:val="both"/>
      </w:pPr>
      <w:r w:rsidRPr="00486778">
        <w:t>(c) a body established by a law of the Commonwealth or a</w:t>
      </w:r>
      <w:r>
        <w:t xml:space="preserve"> </w:t>
      </w:r>
      <w:r w:rsidRPr="00486778">
        <w:t>State; or</w:t>
      </w:r>
    </w:p>
    <w:p w14:paraId="6490F508" w14:textId="71B01EAE" w:rsidR="00486778" w:rsidRPr="0038476F" w:rsidRDefault="00486778" w:rsidP="0038476F">
      <w:pPr>
        <w:ind w:left="720"/>
        <w:jc w:val="both"/>
      </w:pPr>
      <w:r w:rsidRPr="00486778">
        <w:t>(d) an association that provides grants, loans, credit or</w:t>
      </w:r>
      <w:r>
        <w:t xml:space="preserve"> </w:t>
      </w:r>
      <w:r w:rsidRPr="00486778">
        <w:t>finance to its members.</w:t>
      </w:r>
    </w:p>
    <w:p w14:paraId="353A4C7A" w14:textId="1AF6D95F" w:rsidR="00FB57F0" w:rsidRPr="00FB57F0" w:rsidRDefault="00AC7F17" w:rsidP="00FB57F0">
      <w:pPr>
        <w:jc w:val="both"/>
        <w:rPr>
          <w:lang w:val="en-US"/>
        </w:rPr>
      </w:pPr>
      <w:r w:rsidRPr="00FB57F0">
        <w:rPr>
          <w:lang w:val="en-US"/>
        </w:rPr>
        <w:t xml:space="preserve">This is a new exception, </w:t>
      </w:r>
      <w:r w:rsidR="003D1E18">
        <w:rPr>
          <w:lang w:val="en-US"/>
        </w:rPr>
        <w:t>which has been</w:t>
      </w:r>
      <w:r w:rsidRPr="00FB57F0">
        <w:rPr>
          <w:lang w:val="en-US"/>
        </w:rPr>
        <w:t xml:space="preserve"> included because of the</w:t>
      </w:r>
      <w:r w:rsidR="003D1E18">
        <w:rPr>
          <w:lang w:val="en-US"/>
        </w:rPr>
        <w:t xml:space="preserve"> not-for-profit associations are no longer excluded from the application of the prohibition against discrimination in relation to the supply of goods and services (as provided for by section 46(2) of the </w:t>
      </w:r>
      <w:r w:rsidR="0038476F">
        <w:rPr>
          <w:lang w:val="en-US"/>
        </w:rPr>
        <w:t xml:space="preserve">current </w:t>
      </w:r>
      <w:r w:rsidR="003D1E18">
        <w:rPr>
          <w:lang w:val="en-US"/>
        </w:rPr>
        <w:t>AD Act)</w:t>
      </w:r>
      <w:r w:rsidRPr="00FB57F0">
        <w:rPr>
          <w:lang w:val="en-US"/>
        </w:rPr>
        <w:t>.</w:t>
      </w:r>
      <w:r w:rsidR="00FB57F0" w:rsidRPr="00FB57F0">
        <w:rPr>
          <w:lang w:val="en-US"/>
        </w:rPr>
        <w:t xml:space="preserve"> </w:t>
      </w:r>
      <w:r w:rsidR="003D1E18">
        <w:rPr>
          <w:lang w:val="en-US"/>
        </w:rPr>
        <w:t xml:space="preserve">Clause </w:t>
      </w:r>
      <w:r w:rsidR="00C2412E">
        <w:rPr>
          <w:lang w:val="en-US"/>
        </w:rPr>
        <w:t>39</w:t>
      </w:r>
      <w:r w:rsidR="003D1E18" w:rsidRPr="00FB57F0">
        <w:rPr>
          <w:lang w:val="en-US"/>
        </w:rPr>
        <w:t xml:space="preserve"> </w:t>
      </w:r>
      <w:r w:rsidR="00FB57F0" w:rsidRPr="00FB57F0">
        <w:rPr>
          <w:lang w:val="en-US"/>
        </w:rPr>
        <w:t xml:space="preserve">is based on the exception in section 39 of the Sex Discrimination Act. </w:t>
      </w:r>
    </w:p>
    <w:p w14:paraId="3B528E9D" w14:textId="6977F2E0" w:rsidR="00486778" w:rsidRDefault="00486778" w:rsidP="004E49AC">
      <w:pPr>
        <w:pStyle w:val="Heading4"/>
      </w:pPr>
      <w:bookmarkStart w:id="90" w:name="_Toc159520296"/>
      <w:r>
        <w:t>Sites of cultural or religious significance</w:t>
      </w:r>
      <w:bookmarkEnd w:id="90"/>
    </w:p>
    <w:p w14:paraId="57D5922B" w14:textId="06018CF4" w:rsidR="00AA740F" w:rsidRDefault="004B692B" w:rsidP="00793AEF">
      <w:pPr>
        <w:jc w:val="both"/>
        <w:rPr>
          <w:lang w:val="en-US"/>
        </w:rPr>
      </w:pPr>
      <w:r w:rsidRPr="006B285A">
        <w:rPr>
          <w:b/>
          <w:bCs/>
          <w:lang w:val="en-US"/>
        </w:rPr>
        <w:t xml:space="preserve">Clause </w:t>
      </w:r>
      <w:r w:rsidR="00C2412E">
        <w:rPr>
          <w:b/>
          <w:bCs/>
          <w:lang w:val="en-US"/>
        </w:rPr>
        <w:t>40</w:t>
      </w:r>
      <w:r w:rsidRPr="006B285A">
        <w:rPr>
          <w:b/>
          <w:bCs/>
          <w:lang w:val="en-US"/>
        </w:rPr>
        <w:t xml:space="preserve"> </w:t>
      </w:r>
      <w:r w:rsidRPr="006B285A">
        <w:rPr>
          <w:lang w:val="en-US"/>
        </w:rPr>
        <w:t xml:space="preserve">provides </w:t>
      </w:r>
      <w:r>
        <w:rPr>
          <w:lang w:val="en-US"/>
        </w:rPr>
        <w:t xml:space="preserve">that a person may restrict access to land or a building of cultural or religious significance by people </w:t>
      </w:r>
      <w:r w:rsidR="00945FA7">
        <w:rPr>
          <w:lang w:val="en-US"/>
        </w:rPr>
        <w:t>on the basis of a person’s age, sex, race</w:t>
      </w:r>
      <w:r w:rsidR="00C30AD9">
        <w:rPr>
          <w:lang w:val="en-US"/>
        </w:rPr>
        <w:t>,</w:t>
      </w:r>
      <w:r w:rsidR="00945FA7">
        <w:rPr>
          <w:lang w:val="en-US"/>
        </w:rPr>
        <w:t xml:space="preserve"> religious belief or religious activity </w:t>
      </w:r>
      <w:r>
        <w:rPr>
          <w:lang w:val="en-US"/>
        </w:rPr>
        <w:t>if the restriction</w:t>
      </w:r>
      <w:r w:rsidR="00C30AD9">
        <w:rPr>
          <w:lang w:val="en-US"/>
        </w:rPr>
        <w:t>:</w:t>
      </w:r>
    </w:p>
    <w:p w14:paraId="6B6A451B" w14:textId="1D0C2047" w:rsidR="00AA740F" w:rsidRDefault="004B692B" w:rsidP="00AA740F">
      <w:pPr>
        <w:pStyle w:val="ListParagraph"/>
        <w:numPr>
          <w:ilvl w:val="0"/>
          <w:numId w:val="39"/>
        </w:numPr>
        <w:jc w:val="both"/>
        <w:rPr>
          <w:lang w:val="en-US"/>
        </w:rPr>
      </w:pPr>
      <w:r w:rsidRPr="00AA740F">
        <w:rPr>
          <w:lang w:val="en-US"/>
        </w:rPr>
        <w:t xml:space="preserve">is in accordance with </w:t>
      </w:r>
      <w:r w:rsidR="00C30AD9" w:rsidRPr="00AA740F">
        <w:rPr>
          <w:lang w:val="en-US"/>
        </w:rPr>
        <w:t xml:space="preserve">the </w:t>
      </w:r>
      <w:r w:rsidRPr="00AA740F">
        <w:rPr>
          <w:lang w:val="en-US"/>
        </w:rPr>
        <w:t>culture concerned or is to conform to the doctrines, tenets or beliefs of the religion concerned</w:t>
      </w:r>
      <w:r w:rsidR="00C30AD9" w:rsidRPr="00AA740F">
        <w:rPr>
          <w:lang w:val="en-US"/>
        </w:rPr>
        <w:t>;</w:t>
      </w:r>
      <w:r w:rsidR="00945FA7" w:rsidRPr="00AA740F">
        <w:rPr>
          <w:lang w:val="en-US"/>
        </w:rPr>
        <w:t xml:space="preserve"> and </w:t>
      </w:r>
    </w:p>
    <w:p w14:paraId="7889A2E0" w14:textId="77777777" w:rsidR="00AA740F" w:rsidRDefault="00945FA7" w:rsidP="00AA740F">
      <w:pPr>
        <w:pStyle w:val="ListParagraph"/>
        <w:numPr>
          <w:ilvl w:val="0"/>
          <w:numId w:val="39"/>
        </w:numPr>
        <w:jc w:val="both"/>
        <w:rPr>
          <w:lang w:val="en-US"/>
        </w:rPr>
      </w:pPr>
      <w:r w:rsidRPr="00AA740F">
        <w:rPr>
          <w:lang w:val="en-US"/>
        </w:rPr>
        <w:t>is reasonable and proportionate in the circumstances</w:t>
      </w:r>
      <w:r w:rsidR="004B692B" w:rsidRPr="00AA740F">
        <w:rPr>
          <w:lang w:val="en-US"/>
        </w:rPr>
        <w:t xml:space="preserve">. </w:t>
      </w:r>
    </w:p>
    <w:p w14:paraId="28D7838F" w14:textId="63EF908F" w:rsidR="004B692B" w:rsidRPr="00AA740F" w:rsidRDefault="004B692B" w:rsidP="00AA740F">
      <w:pPr>
        <w:jc w:val="both"/>
        <w:rPr>
          <w:lang w:val="en-US"/>
        </w:rPr>
      </w:pPr>
      <w:r w:rsidRPr="00AA740F">
        <w:rPr>
          <w:lang w:val="en-US"/>
        </w:rPr>
        <w:t>This is similar to section 48 of the current AD Act but has been modified so that it applies to religious belief or religious activity rather than ‘religion’ and the restriction must be ‘reasonable and proportionate’ in the circumstances.</w:t>
      </w:r>
    </w:p>
    <w:p w14:paraId="65CF880D" w14:textId="621F5B75" w:rsidR="00486778" w:rsidRDefault="00A012A0" w:rsidP="004E49AC">
      <w:pPr>
        <w:pStyle w:val="Heading4"/>
      </w:pPr>
      <w:bookmarkStart w:id="91" w:name="_Toc159520297"/>
      <w:r>
        <w:t>Age-based benefits</w:t>
      </w:r>
      <w:bookmarkEnd w:id="91"/>
    </w:p>
    <w:p w14:paraId="6EDECAEE" w14:textId="753F08A6" w:rsidR="004B692B" w:rsidRDefault="004B692B" w:rsidP="00793AEF">
      <w:pPr>
        <w:jc w:val="both"/>
        <w:rPr>
          <w:lang w:val="en-US"/>
        </w:rPr>
      </w:pPr>
      <w:bookmarkStart w:id="92" w:name="_Hlk159091153"/>
      <w:r>
        <w:rPr>
          <w:b/>
          <w:bCs/>
          <w:lang w:val="en-US"/>
        </w:rPr>
        <w:t>Clause 4</w:t>
      </w:r>
      <w:r w:rsidR="00C2412E">
        <w:rPr>
          <w:b/>
          <w:bCs/>
          <w:lang w:val="en-US"/>
        </w:rPr>
        <w:t>1</w:t>
      </w:r>
      <w:r>
        <w:rPr>
          <w:b/>
          <w:bCs/>
          <w:lang w:val="en-US"/>
        </w:rPr>
        <w:t xml:space="preserve"> </w:t>
      </w:r>
      <w:r w:rsidR="00A012A0" w:rsidRPr="006F2334">
        <w:rPr>
          <w:lang w:val="en-US"/>
        </w:rPr>
        <w:t>provides</w:t>
      </w:r>
      <w:r>
        <w:rPr>
          <w:lang w:val="en-US"/>
        </w:rPr>
        <w:t xml:space="preserve"> for</w:t>
      </w:r>
      <w:r w:rsidR="00A012A0">
        <w:rPr>
          <w:lang w:val="en-US"/>
        </w:rPr>
        <w:t xml:space="preserve"> an</w:t>
      </w:r>
      <w:r>
        <w:rPr>
          <w:lang w:val="en-US"/>
        </w:rPr>
        <w:t xml:space="preserve"> exception similar to section 49 of the current AD Act for age-based benefits</w:t>
      </w:r>
      <w:r w:rsidR="00C30AD9">
        <w:rPr>
          <w:lang w:val="en-US"/>
        </w:rPr>
        <w:t xml:space="preserve">. This exception </w:t>
      </w:r>
      <w:r w:rsidR="00A012A0">
        <w:rPr>
          <w:lang w:val="en-US"/>
        </w:rPr>
        <w:t>allows a person who supplies goods or services to provide benefits and concessions on the basis of age.</w:t>
      </w:r>
    </w:p>
    <w:p w14:paraId="48E0F850" w14:textId="0E3BC5BD" w:rsidR="00A012A0" w:rsidRDefault="00A012A0" w:rsidP="00793AEF">
      <w:pPr>
        <w:jc w:val="both"/>
        <w:rPr>
          <w:lang w:val="en-US"/>
        </w:rPr>
      </w:pPr>
      <w:r>
        <w:rPr>
          <w:lang w:val="en-US"/>
        </w:rPr>
        <w:t xml:space="preserve">This </w:t>
      </w:r>
      <w:r w:rsidR="00C30AD9">
        <w:rPr>
          <w:lang w:val="en-US"/>
        </w:rPr>
        <w:t xml:space="preserve">exception </w:t>
      </w:r>
      <w:r>
        <w:rPr>
          <w:lang w:val="en-US"/>
        </w:rPr>
        <w:t xml:space="preserve">does not apply to insurance or </w:t>
      </w:r>
      <w:r w:rsidR="00AC7F17">
        <w:rPr>
          <w:lang w:val="en-US"/>
        </w:rPr>
        <w:t xml:space="preserve">superannuation (see </w:t>
      </w:r>
      <w:r w:rsidR="00AC7F17" w:rsidRPr="00AC7F17">
        <w:rPr>
          <w:b/>
          <w:bCs/>
          <w:lang w:val="en-US"/>
        </w:rPr>
        <w:t xml:space="preserve">clause </w:t>
      </w:r>
      <w:r w:rsidR="00C2412E">
        <w:rPr>
          <w:b/>
          <w:bCs/>
          <w:lang w:val="en-US"/>
        </w:rPr>
        <w:t>56</w:t>
      </w:r>
      <w:r w:rsidR="00AC7F17">
        <w:rPr>
          <w:lang w:val="en-US"/>
        </w:rPr>
        <w:t xml:space="preserve"> for exceptions in relation to </w:t>
      </w:r>
      <w:r w:rsidR="00AC7F17" w:rsidRPr="00AC7F17">
        <w:rPr>
          <w:b/>
          <w:bCs/>
          <w:lang w:val="en-US"/>
        </w:rPr>
        <w:t>superannuation and insurance</w:t>
      </w:r>
      <w:r w:rsidR="00AC7F17">
        <w:rPr>
          <w:lang w:val="en-US"/>
        </w:rPr>
        <w:t>).</w:t>
      </w:r>
    </w:p>
    <w:p w14:paraId="7D6EB2AF" w14:textId="76031362" w:rsidR="00A012A0" w:rsidRDefault="00A012A0" w:rsidP="004E49AC">
      <w:pPr>
        <w:pStyle w:val="Heading4"/>
      </w:pPr>
      <w:bookmarkStart w:id="93" w:name="_Toc159520298"/>
      <w:bookmarkEnd w:id="92"/>
      <w:r>
        <w:t>Children to be accompanied by an adult</w:t>
      </w:r>
      <w:bookmarkEnd w:id="93"/>
    </w:p>
    <w:p w14:paraId="3A5BFE45" w14:textId="1D85101C" w:rsidR="00A012A0" w:rsidRDefault="00A012A0" w:rsidP="00A012A0">
      <w:pPr>
        <w:jc w:val="both"/>
        <w:rPr>
          <w:lang w:val="en-US"/>
        </w:rPr>
      </w:pPr>
      <w:r>
        <w:rPr>
          <w:b/>
          <w:bCs/>
          <w:lang w:val="en-US"/>
        </w:rPr>
        <w:t xml:space="preserve">Clause </w:t>
      </w:r>
      <w:r w:rsidR="00C2412E">
        <w:rPr>
          <w:b/>
          <w:bCs/>
          <w:lang w:val="en-US"/>
        </w:rPr>
        <w:t>42</w:t>
      </w:r>
      <w:r>
        <w:rPr>
          <w:b/>
          <w:bCs/>
          <w:lang w:val="en-US"/>
        </w:rPr>
        <w:t xml:space="preserve"> </w:t>
      </w:r>
      <w:r w:rsidRPr="006F2334">
        <w:rPr>
          <w:lang w:val="en-US"/>
        </w:rPr>
        <w:t>provides</w:t>
      </w:r>
      <w:r>
        <w:rPr>
          <w:lang w:val="en-US"/>
        </w:rPr>
        <w:t xml:space="preserve"> for an exception similar to section 50 of the current AD Act</w:t>
      </w:r>
      <w:r w:rsidR="00C30AD9">
        <w:rPr>
          <w:lang w:val="en-US"/>
        </w:rPr>
        <w:t>,</w:t>
      </w:r>
      <w:r>
        <w:rPr>
          <w:lang w:val="en-US"/>
        </w:rPr>
        <w:t xml:space="preserve"> allowing a person, as a term of supplying goods and services to a child, to require that the child be accompanied by an adult if there would be a reasonable risk that a child may cause a disruption or endanger themselves or others if not accompanied by an adult.</w:t>
      </w:r>
    </w:p>
    <w:p w14:paraId="1C34037A" w14:textId="3B56D31B" w:rsidR="00A012A0" w:rsidRDefault="00A012A0" w:rsidP="00AD04A3">
      <w:pPr>
        <w:pStyle w:val="Heading5"/>
      </w:pPr>
      <w:bookmarkStart w:id="94" w:name="_Toc159520299"/>
      <w:r>
        <w:t>What is not included</w:t>
      </w:r>
      <w:r w:rsidR="00C30AD9">
        <w:t>?</w:t>
      </w:r>
      <w:bookmarkEnd w:id="94"/>
    </w:p>
    <w:p w14:paraId="741BFF53" w14:textId="20761BD1" w:rsidR="004B692B" w:rsidRDefault="004B692B" w:rsidP="006F2334">
      <w:pPr>
        <w:jc w:val="both"/>
      </w:pPr>
      <w:r>
        <w:t>The draft Bill does not include</w:t>
      </w:r>
      <w:r w:rsidR="00C30AD9">
        <w:t xml:space="preserve"> </w:t>
      </w:r>
      <w:r>
        <w:t xml:space="preserve">an exception consistent with section 51 of the current AD Act concerning the supply of special services or facilities </w:t>
      </w:r>
      <w:r w:rsidR="00C30AD9">
        <w:t>which</w:t>
      </w:r>
      <w:r>
        <w:t xml:space="preserve"> would impose unjustifiable hardship on the person supplying the goods or services. </w:t>
      </w:r>
      <w:r w:rsidR="0070392C" w:rsidRPr="0070392C">
        <w:t>The</w:t>
      </w:r>
      <w:r w:rsidR="00AA740F">
        <w:t xml:space="preserve"> draft</w:t>
      </w:r>
      <w:r w:rsidR="0070392C" w:rsidRPr="0070392C">
        <w:t xml:space="preserve"> Bill contains an alternative approach which includes the positive duty to make reasonable accommodation for a person with </w:t>
      </w:r>
      <w:r w:rsidR="0070392C" w:rsidRPr="00373C71">
        <w:t xml:space="preserve">disability in clause 18 (which is defined in clause 12 to include a non-exhaustive list of criteria for determining if the </w:t>
      </w:r>
      <w:r w:rsidR="0070392C" w:rsidRPr="00373C71">
        <w:lastRenderedPageBreak/>
        <w:t>accommodation would impose an unjustifiable hardship on the person required to make the</w:t>
      </w:r>
      <w:r w:rsidR="0070392C" w:rsidRPr="0070392C">
        <w:t xml:space="preserve"> accommodation).</w:t>
      </w:r>
    </w:p>
    <w:p w14:paraId="6452E5C5" w14:textId="6E7E4D9C" w:rsidR="004B692B" w:rsidRPr="00F72D10" w:rsidRDefault="00FB57F0" w:rsidP="00FB57F0">
      <w:pPr>
        <w:pStyle w:val="Heading3"/>
        <w:rPr>
          <w:iCs/>
        </w:rPr>
      </w:pPr>
      <w:bookmarkStart w:id="95" w:name="_Toc159520300"/>
      <w:r>
        <w:rPr>
          <w:iCs/>
        </w:rPr>
        <w:t xml:space="preserve">Exceptions </w:t>
      </w:r>
      <w:r w:rsidR="007264A7">
        <w:t xml:space="preserve">– </w:t>
      </w:r>
      <w:r w:rsidR="004B692B" w:rsidRPr="00F72D10">
        <w:t>Disposition of land</w:t>
      </w:r>
      <w:bookmarkEnd w:id="95"/>
    </w:p>
    <w:p w14:paraId="2EFA2BE5" w14:textId="0A0F44E6" w:rsidR="00FB57F0" w:rsidRDefault="00FB57F0" w:rsidP="004E49AC">
      <w:pPr>
        <w:pStyle w:val="Heading4"/>
      </w:pPr>
      <w:bookmarkStart w:id="96" w:name="_Toc159520301"/>
      <w:r>
        <w:t>Disposition by will or gift</w:t>
      </w:r>
      <w:bookmarkEnd w:id="96"/>
    </w:p>
    <w:p w14:paraId="5B459281" w14:textId="4E95DBB3" w:rsidR="004B692B" w:rsidRDefault="004B692B" w:rsidP="00793AEF">
      <w:pPr>
        <w:jc w:val="both"/>
      </w:pPr>
      <w:r w:rsidRPr="007D3A24">
        <w:rPr>
          <w:b/>
          <w:bCs/>
        </w:rPr>
        <w:t xml:space="preserve">Clause </w:t>
      </w:r>
      <w:r w:rsidR="00C2412E">
        <w:rPr>
          <w:b/>
          <w:bCs/>
        </w:rPr>
        <w:t>44</w:t>
      </w:r>
      <w:r w:rsidRPr="007D3A24">
        <w:t xml:space="preserve"> provides for an exception </w:t>
      </w:r>
      <w:r w:rsidR="00A3181C">
        <w:t xml:space="preserve">concerning testamentary </w:t>
      </w:r>
      <w:r w:rsidR="00B3480E">
        <w:t xml:space="preserve">disposition or gift </w:t>
      </w:r>
      <w:r w:rsidRPr="007D3A24">
        <w:t>similar to section 79 of the current AD Act.</w:t>
      </w:r>
    </w:p>
    <w:p w14:paraId="2FA577CC" w14:textId="5CB55AAA" w:rsidR="00FB57F0" w:rsidRPr="007D3A24" w:rsidRDefault="00FB57F0" w:rsidP="004E49AC">
      <w:pPr>
        <w:pStyle w:val="Heading4"/>
      </w:pPr>
      <w:bookmarkStart w:id="97" w:name="_Toc159520302"/>
      <w:r>
        <w:t>Sites of cultural or religious significance</w:t>
      </w:r>
      <w:bookmarkEnd w:id="97"/>
    </w:p>
    <w:p w14:paraId="171233D6" w14:textId="1577DC58" w:rsidR="004B692B" w:rsidRDefault="004B692B" w:rsidP="00793AEF">
      <w:pPr>
        <w:jc w:val="both"/>
        <w:rPr>
          <w:lang w:val="en-US"/>
        </w:rPr>
      </w:pPr>
      <w:r>
        <w:rPr>
          <w:b/>
          <w:bCs/>
        </w:rPr>
        <w:t xml:space="preserve">Clause </w:t>
      </w:r>
      <w:r w:rsidR="00C2412E">
        <w:rPr>
          <w:b/>
          <w:bCs/>
        </w:rPr>
        <w:t>45</w:t>
      </w:r>
      <w:r>
        <w:rPr>
          <w:b/>
          <w:bCs/>
        </w:rPr>
        <w:t xml:space="preserve"> </w:t>
      </w:r>
      <w:r>
        <w:t>provides for an exception</w:t>
      </w:r>
      <w:r w:rsidR="00B3480E">
        <w:t xml:space="preserve"> concerning sites of cultural or religious significance </w:t>
      </w:r>
      <w:r>
        <w:t xml:space="preserve">similar to section 80 of the current AD Act. The provision has been modified so that it </w:t>
      </w:r>
      <w:r>
        <w:rPr>
          <w:lang w:val="en-US"/>
        </w:rPr>
        <w:t xml:space="preserve">it relates to religious belief or religious activity rather than ‘religion’ and the </w:t>
      </w:r>
      <w:r w:rsidR="007C7EAB">
        <w:rPr>
          <w:lang w:val="en-US"/>
        </w:rPr>
        <w:t xml:space="preserve">discrimination </w:t>
      </w:r>
      <w:r>
        <w:rPr>
          <w:lang w:val="en-US"/>
        </w:rPr>
        <w:t>must be ‘reasonable and proportionate’ in the circumstances.</w:t>
      </w:r>
    </w:p>
    <w:p w14:paraId="4198A6C5" w14:textId="55E51847" w:rsidR="00FB57F0" w:rsidRDefault="00FB57F0" w:rsidP="00793AEF">
      <w:pPr>
        <w:jc w:val="both"/>
        <w:rPr>
          <w:lang w:val="en-US"/>
        </w:rPr>
      </w:pPr>
      <w:r>
        <w:rPr>
          <w:lang w:val="en-US"/>
        </w:rPr>
        <w:t>A person may discriminate on the basis of age, sex, race, religious activity</w:t>
      </w:r>
      <w:r w:rsidR="007C7EAB">
        <w:rPr>
          <w:lang w:val="en-US"/>
        </w:rPr>
        <w:t xml:space="preserve"> or</w:t>
      </w:r>
      <w:r>
        <w:rPr>
          <w:lang w:val="en-US"/>
        </w:rPr>
        <w:t xml:space="preserve"> religious belief in </w:t>
      </w:r>
      <w:r w:rsidR="007C7EAB">
        <w:rPr>
          <w:lang w:val="en-US"/>
        </w:rPr>
        <w:t xml:space="preserve">relation to the </w:t>
      </w:r>
      <w:r>
        <w:rPr>
          <w:lang w:val="en-US"/>
        </w:rPr>
        <w:t>disposition of an interest in land or a building of cultural or religious significance</w:t>
      </w:r>
      <w:r w:rsidR="00CC6067">
        <w:rPr>
          <w:lang w:val="en-US"/>
        </w:rPr>
        <w:t xml:space="preserve"> if</w:t>
      </w:r>
      <w:r>
        <w:rPr>
          <w:lang w:val="en-US"/>
        </w:rPr>
        <w:t xml:space="preserve"> the discrimination:</w:t>
      </w:r>
    </w:p>
    <w:p w14:paraId="3108122E" w14:textId="50E12F56" w:rsidR="00FB57F0" w:rsidRDefault="00FB57F0" w:rsidP="00FB57F0">
      <w:pPr>
        <w:pStyle w:val="ListParagraph"/>
        <w:numPr>
          <w:ilvl w:val="0"/>
          <w:numId w:val="8"/>
        </w:numPr>
        <w:jc w:val="both"/>
        <w:rPr>
          <w:lang w:val="en-US"/>
        </w:rPr>
      </w:pPr>
      <w:r>
        <w:rPr>
          <w:lang w:val="en-US"/>
        </w:rPr>
        <w:t>is in accordance with the culture concerned or is to conform to the doctrines, tenets or beliefs of the religio</w:t>
      </w:r>
      <w:r w:rsidR="00CC6067">
        <w:rPr>
          <w:lang w:val="en-US"/>
        </w:rPr>
        <w:t>n</w:t>
      </w:r>
      <w:r>
        <w:rPr>
          <w:lang w:val="en-US"/>
        </w:rPr>
        <w:t xml:space="preserve"> concerned; and</w:t>
      </w:r>
    </w:p>
    <w:p w14:paraId="4047953F" w14:textId="58D1B05A" w:rsidR="00FB57F0" w:rsidRPr="00FB57F0" w:rsidRDefault="00FB57F0" w:rsidP="00FB57F0">
      <w:pPr>
        <w:pStyle w:val="ListParagraph"/>
        <w:numPr>
          <w:ilvl w:val="0"/>
          <w:numId w:val="8"/>
        </w:numPr>
        <w:jc w:val="both"/>
        <w:rPr>
          <w:lang w:val="en-US"/>
        </w:rPr>
      </w:pPr>
      <w:r>
        <w:rPr>
          <w:lang w:val="en-US"/>
        </w:rPr>
        <w:t>is reasonable and proportionate in the circumstances.</w:t>
      </w:r>
    </w:p>
    <w:p w14:paraId="305B4B78" w14:textId="67B62CED" w:rsidR="004B692B" w:rsidRPr="00F72D10" w:rsidRDefault="00FB57F0" w:rsidP="007F0485">
      <w:pPr>
        <w:pStyle w:val="Heading3"/>
      </w:pPr>
      <w:bookmarkStart w:id="98" w:name="_Toc159520303"/>
      <w:r>
        <w:t xml:space="preserve">Exceptions </w:t>
      </w:r>
      <w:r w:rsidR="007264A7">
        <w:t xml:space="preserve">– </w:t>
      </w:r>
      <w:r w:rsidR="004B692B" w:rsidRPr="00F72D10">
        <w:t>Accommodation</w:t>
      </w:r>
      <w:bookmarkEnd w:id="98"/>
    </w:p>
    <w:p w14:paraId="68847951" w14:textId="1EC6AA0C" w:rsidR="007F0485" w:rsidRDefault="007F0485" w:rsidP="004E49AC">
      <w:pPr>
        <w:pStyle w:val="Heading4"/>
      </w:pPr>
      <w:bookmarkStart w:id="99" w:name="_Toc159520304"/>
      <w:r>
        <w:t>Shared accommodation</w:t>
      </w:r>
      <w:bookmarkEnd w:id="99"/>
    </w:p>
    <w:p w14:paraId="529FCC5C" w14:textId="324CD3A4" w:rsidR="007F0485" w:rsidRPr="007F0485" w:rsidRDefault="007F0485" w:rsidP="00793AEF">
      <w:pPr>
        <w:jc w:val="both"/>
      </w:pPr>
      <w:r>
        <w:rPr>
          <w:b/>
          <w:bCs/>
        </w:rPr>
        <w:t xml:space="preserve">Clause </w:t>
      </w:r>
      <w:r w:rsidR="00C2412E">
        <w:rPr>
          <w:b/>
          <w:bCs/>
        </w:rPr>
        <w:t>48</w:t>
      </w:r>
      <w:r>
        <w:rPr>
          <w:b/>
          <w:bCs/>
        </w:rPr>
        <w:t xml:space="preserve"> </w:t>
      </w:r>
      <w:r w:rsidRPr="007F0485">
        <w:t>provides for an exception similar to section 87 of the current AD Act, allowing a person to discriminat</w:t>
      </w:r>
      <w:r w:rsidR="00CC6067">
        <w:t>e</w:t>
      </w:r>
      <w:r w:rsidRPr="007F0485">
        <w:t xml:space="preserve"> in deciding who is to reside in accommodation that:</w:t>
      </w:r>
    </w:p>
    <w:p w14:paraId="3E154B00" w14:textId="732EB998" w:rsidR="007F0485" w:rsidRPr="007F0485" w:rsidRDefault="007F0485" w:rsidP="00721411">
      <w:pPr>
        <w:pStyle w:val="ListParagraph"/>
        <w:numPr>
          <w:ilvl w:val="0"/>
          <w:numId w:val="32"/>
        </w:numPr>
        <w:jc w:val="both"/>
      </w:pPr>
      <w:r w:rsidRPr="007F0485">
        <w:t>forms part of, and is intended to continue to form part of, the main home of the person or a near relative; and</w:t>
      </w:r>
    </w:p>
    <w:p w14:paraId="71A9782D" w14:textId="1A038442" w:rsidR="00CC6067" w:rsidRDefault="007F0485" w:rsidP="00721411">
      <w:pPr>
        <w:pStyle w:val="ListParagraph"/>
        <w:numPr>
          <w:ilvl w:val="0"/>
          <w:numId w:val="32"/>
        </w:numPr>
        <w:jc w:val="both"/>
      </w:pPr>
      <w:r w:rsidRPr="007F0485">
        <w:t xml:space="preserve">is for no more than 3 people, excluding the person, </w:t>
      </w:r>
      <w:r w:rsidR="00CC6067">
        <w:t xml:space="preserve">the </w:t>
      </w:r>
      <w:r w:rsidRPr="007F0485">
        <w:t>near relative</w:t>
      </w:r>
      <w:r w:rsidR="00CC6067">
        <w:t>, another near relative of the person,</w:t>
      </w:r>
      <w:r w:rsidRPr="007F0485">
        <w:t xml:space="preserve"> or a near relative of the near relative.</w:t>
      </w:r>
    </w:p>
    <w:p w14:paraId="0CCFBBC0" w14:textId="5EF4CCFA" w:rsidR="00CC6067" w:rsidRPr="007F0485" w:rsidRDefault="00CC6067" w:rsidP="00CC6067">
      <w:r>
        <w:t xml:space="preserve">‘Near relative’ is defined for the purposes of this exception. </w:t>
      </w:r>
    </w:p>
    <w:p w14:paraId="4A4C6A0C" w14:textId="78D96D07" w:rsidR="007F0485" w:rsidRDefault="007F0485" w:rsidP="004E49AC">
      <w:pPr>
        <w:pStyle w:val="Heading4"/>
      </w:pPr>
      <w:bookmarkStart w:id="100" w:name="_Toc159520305"/>
      <w:r>
        <w:t>Accommodation for students of particular sex or students with disability</w:t>
      </w:r>
      <w:bookmarkEnd w:id="100"/>
      <w:r>
        <w:t xml:space="preserve"> </w:t>
      </w:r>
    </w:p>
    <w:p w14:paraId="73BE26DD" w14:textId="486012D8" w:rsidR="007F0485" w:rsidRDefault="007F0485" w:rsidP="00793AEF">
      <w:pPr>
        <w:jc w:val="both"/>
      </w:pPr>
      <w:r>
        <w:rPr>
          <w:b/>
          <w:bCs/>
        </w:rPr>
        <w:t xml:space="preserve">Clause </w:t>
      </w:r>
      <w:r w:rsidR="00C2412E">
        <w:rPr>
          <w:b/>
          <w:bCs/>
        </w:rPr>
        <w:t>49</w:t>
      </w:r>
      <w:r>
        <w:rPr>
          <w:b/>
          <w:bCs/>
        </w:rPr>
        <w:t xml:space="preserve"> </w:t>
      </w:r>
      <w:r w:rsidRPr="007F0485">
        <w:t xml:space="preserve">provides for an exception concerning accommodation for students of </w:t>
      </w:r>
      <w:r w:rsidR="00CC6067">
        <w:t xml:space="preserve">a </w:t>
      </w:r>
      <w:r w:rsidRPr="007F0485">
        <w:t>particular sex or students with disability</w:t>
      </w:r>
      <w:r w:rsidR="00CC6067">
        <w:t>,</w:t>
      </w:r>
      <w:r w:rsidRPr="007F0485">
        <w:t xml:space="preserve"> similar to section 89 of the current AD Act.</w:t>
      </w:r>
    </w:p>
    <w:p w14:paraId="1E98B145" w14:textId="4D3E9AF6" w:rsidR="007F0485" w:rsidRDefault="00445B3E" w:rsidP="00793AEF">
      <w:pPr>
        <w:jc w:val="both"/>
        <w:rPr>
          <w:b/>
          <w:bCs/>
        </w:rPr>
      </w:pPr>
      <w:r>
        <w:t>An educational authority that operates, or proposes to operate</w:t>
      </w:r>
      <w:r w:rsidR="00CC6067">
        <w:t>, an educational institution</w:t>
      </w:r>
      <w:r>
        <w:t xml:space="preserve"> wholly or mainly for students of a particular sex, or students with disability or disability of a particular kind, may provide accommodation wholly for students of the particular sex</w:t>
      </w:r>
      <w:r w:rsidR="00CC6067">
        <w:t>,</w:t>
      </w:r>
      <w:r>
        <w:t xml:space="preserve"> or</w:t>
      </w:r>
      <w:r w:rsidR="00CC6067">
        <w:t xml:space="preserve"> students</w:t>
      </w:r>
      <w:r>
        <w:t xml:space="preserve"> with disability or disability of the particular kind.</w:t>
      </w:r>
    </w:p>
    <w:p w14:paraId="396B134F" w14:textId="28BFC143" w:rsidR="004B692B" w:rsidRDefault="004B692B" w:rsidP="00793AEF">
      <w:pPr>
        <w:jc w:val="both"/>
      </w:pPr>
      <w:r w:rsidRPr="00FA4F78">
        <w:rPr>
          <w:b/>
          <w:bCs/>
        </w:rPr>
        <w:t xml:space="preserve">Clause </w:t>
      </w:r>
      <w:r>
        <w:rPr>
          <w:b/>
          <w:bCs/>
        </w:rPr>
        <w:t>5</w:t>
      </w:r>
      <w:r w:rsidR="00C2412E">
        <w:rPr>
          <w:b/>
          <w:bCs/>
        </w:rPr>
        <w:t>0</w:t>
      </w:r>
      <w:r>
        <w:t xml:space="preserve"> provide</w:t>
      </w:r>
      <w:r w:rsidR="005F36E9">
        <w:t>s</w:t>
      </w:r>
      <w:r>
        <w:t xml:space="preserve"> for</w:t>
      </w:r>
      <w:r w:rsidR="005F36E9">
        <w:t xml:space="preserve"> an </w:t>
      </w:r>
      <w:r>
        <w:t xml:space="preserve">exception </w:t>
      </w:r>
      <w:r w:rsidR="00B3480E">
        <w:t xml:space="preserve">concerning </w:t>
      </w:r>
      <w:r w:rsidR="005F36E9">
        <w:t>accommodation for students of a particular religion</w:t>
      </w:r>
      <w:r w:rsidR="00CC6067">
        <w:t>,</w:t>
      </w:r>
      <w:r w:rsidR="00B3480E">
        <w:t xml:space="preserve"> similar </w:t>
      </w:r>
      <w:r>
        <w:t xml:space="preserve">to </w:t>
      </w:r>
      <w:r w:rsidR="005F36E9">
        <w:t>section</w:t>
      </w:r>
      <w:r>
        <w:t xml:space="preserve"> 89 of the current AD Act</w:t>
      </w:r>
      <w:r w:rsidR="00B3480E">
        <w:t xml:space="preserve">. </w:t>
      </w:r>
      <w:r w:rsidR="005F36E9" w:rsidRPr="005F36E9">
        <w:t>However</w:t>
      </w:r>
      <w:r w:rsidR="00CC6067">
        <w:t>,</w:t>
      </w:r>
      <w:r w:rsidR="005F36E9" w:rsidRPr="005F36E9">
        <w:t xml:space="preserve"> this exception has</w:t>
      </w:r>
      <w:r w:rsidRPr="005F36E9">
        <w:t xml:space="preserve"> been</w:t>
      </w:r>
      <w:r>
        <w:t xml:space="preserve"> modified so that it relates to </w:t>
      </w:r>
      <w:r>
        <w:rPr>
          <w:lang w:val="en-US"/>
        </w:rPr>
        <w:t>religious belief or religious activity rather than ‘religion’</w:t>
      </w:r>
      <w:r w:rsidR="00CC6067">
        <w:rPr>
          <w:lang w:val="en-US"/>
        </w:rPr>
        <w:t>.</w:t>
      </w:r>
    </w:p>
    <w:p w14:paraId="3498C35C" w14:textId="0C9D7A33" w:rsidR="007F0485" w:rsidRDefault="00446718" w:rsidP="00793AEF">
      <w:pPr>
        <w:jc w:val="both"/>
      </w:pPr>
      <w:r>
        <w:t>An education</w:t>
      </w:r>
      <w:r w:rsidR="00CC6067">
        <w:t>al</w:t>
      </w:r>
      <w:r>
        <w:t xml:space="preserve"> authority that operates, or proposes to operate, </w:t>
      </w:r>
      <w:r w:rsidR="00CC6067">
        <w:t xml:space="preserve">an educational institution </w:t>
      </w:r>
      <w:r>
        <w:t xml:space="preserve">wholly or mainly for students of a particular religion may discriminate on the basis of religious belief or religious activity by providing accommodation wholly or mainly for students of the particular religion. </w:t>
      </w:r>
    </w:p>
    <w:p w14:paraId="5B3D8B82" w14:textId="1DD1D43B" w:rsidR="007F0485" w:rsidRDefault="00446718" w:rsidP="00793AEF">
      <w:pPr>
        <w:jc w:val="both"/>
      </w:pPr>
      <w:r w:rsidRPr="00446718">
        <w:t xml:space="preserve">A person cannot rely on the exception to discriminate against another person on the basis of a protected attribute other than religious belief or religious activity, such as their sexual orientation or gender identity. </w:t>
      </w:r>
    </w:p>
    <w:p w14:paraId="2F67D00E" w14:textId="16C44AAC" w:rsidR="007F0485" w:rsidRDefault="007F0485" w:rsidP="00AD04A3">
      <w:pPr>
        <w:pStyle w:val="Heading5"/>
      </w:pPr>
      <w:bookmarkStart w:id="101" w:name="_Toc159520306"/>
      <w:r w:rsidRPr="00204E58">
        <w:lastRenderedPageBreak/>
        <w:t>What is not included</w:t>
      </w:r>
      <w:r w:rsidR="007C7EAB">
        <w:t>?</w:t>
      </w:r>
      <w:bookmarkEnd w:id="101"/>
    </w:p>
    <w:p w14:paraId="5BD099EF" w14:textId="4A169CD7" w:rsidR="004B692B" w:rsidRDefault="004B692B" w:rsidP="00793AEF">
      <w:pPr>
        <w:jc w:val="both"/>
      </w:pPr>
      <w:r>
        <w:t xml:space="preserve">The draft Bill does not </w:t>
      </w:r>
      <w:r w:rsidR="00E52C3C">
        <w:t xml:space="preserve">include </w:t>
      </w:r>
      <w:r>
        <w:t>exceptions similar to the following sections of the current AD Act:</w:t>
      </w:r>
    </w:p>
    <w:p w14:paraId="7C387BCB" w14:textId="4EE83490" w:rsidR="00BB698C" w:rsidRDefault="00B3480E" w:rsidP="00721411">
      <w:pPr>
        <w:pStyle w:val="ListParagraph"/>
        <w:numPr>
          <w:ilvl w:val="0"/>
          <w:numId w:val="9"/>
        </w:numPr>
        <w:spacing w:before="60" w:line="280" w:lineRule="exact"/>
        <w:jc w:val="both"/>
      </w:pPr>
      <w:r>
        <w:t>section 88 concerning accommodation for workers</w:t>
      </w:r>
      <w:r w:rsidR="00BB698C">
        <w:t>, which is considered redundant and out</w:t>
      </w:r>
      <w:r w:rsidR="00204E58">
        <w:t>-dated</w:t>
      </w:r>
      <w:r w:rsidR="00BB698C">
        <w:t>;</w:t>
      </w:r>
    </w:p>
    <w:p w14:paraId="6CAE56AA" w14:textId="62EFA56E" w:rsidR="004B692B" w:rsidRDefault="004B692B" w:rsidP="00721411">
      <w:pPr>
        <w:pStyle w:val="ListParagraph"/>
        <w:numPr>
          <w:ilvl w:val="0"/>
          <w:numId w:val="9"/>
        </w:numPr>
        <w:spacing w:before="60" w:line="280" w:lineRule="exact"/>
        <w:jc w:val="both"/>
      </w:pPr>
      <w:r>
        <w:t xml:space="preserve">section 90 concerning accommodation with religious purposes. </w:t>
      </w:r>
      <w:r w:rsidR="00CC6067">
        <w:t>Accommodation provided by religious bodies will be covered</w:t>
      </w:r>
      <w:r>
        <w:t xml:space="preserve"> the general exception in </w:t>
      </w:r>
      <w:r w:rsidRPr="00394D63">
        <w:rPr>
          <w:b/>
          <w:bCs/>
        </w:rPr>
        <w:t xml:space="preserve">clause </w:t>
      </w:r>
      <w:r w:rsidR="00C2412E">
        <w:rPr>
          <w:b/>
          <w:bCs/>
        </w:rPr>
        <w:t>62</w:t>
      </w:r>
      <w:r w:rsidRPr="00651C8A">
        <w:t>;</w:t>
      </w:r>
    </w:p>
    <w:p w14:paraId="773FA6B9" w14:textId="08A3F308" w:rsidR="004B692B" w:rsidRPr="0051190B" w:rsidRDefault="004B692B" w:rsidP="00721411">
      <w:pPr>
        <w:pStyle w:val="ListParagraph"/>
        <w:numPr>
          <w:ilvl w:val="0"/>
          <w:numId w:val="9"/>
        </w:numPr>
        <w:spacing w:before="60" w:line="280" w:lineRule="exact"/>
        <w:jc w:val="both"/>
      </w:pPr>
      <w:r w:rsidRPr="0051190B">
        <w:t>section 91 concerning accommodation with charitable purposes. It is intended that this circumstance</w:t>
      </w:r>
      <w:r w:rsidR="00CC6067">
        <w:t xml:space="preserve"> will</w:t>
      </w:r>
      <w:r w:rsidRPr="0051190B">
        <w:t xml:space="preserve"> be appropriately covered by the affirmative measures provision in </w:t>
      </w:r>
      <w:r w:rsidRPr="0051190B">
        <w:rPr>
          <w:b/>
          <w:bCs/>
        </w:rPr>
        <w:t xml:space="preserve">clause 16 </w:t>
      </w:r>
      <w:r w:rsidRPr="0051190B">
        <w:t xml:space="preserve">or the general exception for charities in </w:t>
      </w:r>
      <w:r w:rsidRPr="0051190B">
        <w:rPr>
          <w:b/>
          <w:bCs/>
        </w:rPr>
        <w:t xml:space="preserve">clause </w:t>
      </w:r>
      <w:r w:rsidR="00C2412E">
        <w:rPr>
          <w:b/>
          <w:bCs/>
        </w:rPr>
        <w:t>63</w:t>
      </w:r>
      <w:r w:rsidRPr="0051190B">
        <w:t>;</w:t>
      </w:r>
      <w:r>
        <w:t xml:space="preserve"> and</w:t>
      </w:r>
    </w:p>
    <w:p w14:paraId="5FEC07DB" w14:textId="0613BA64" w:rsidR="004B692B" w:rsidRDefault="004B692B" w:rsidP="00721411">
      <w:pPr>
        <w:pStyle w:val="ListParagraph"/>
        <w:numPr>
          <w:ilvl w:val="0"/>
          <w:numId w:val="9"/>
        </w:numPr>
        <w:spacing w:before="60" w:line="280" w:lineRule="exact"/>
        <w:jc w:val="both"/>
      </w:pPr>
      <w:r>
        <w:t xml:space="preserve">section 92 concerning discrimination on the basis of impairment where a person would require special services or facilities. </w:t>
      </w:r>
      <w:r w:rsidR="0070392C" w:rsidRPr="0070392C">
        <w:t xml:space="preserve">The </w:t>
      </w:r>
      <w:r w:rsidR="004D2BE2">
        <w:t xml:space="preserve">draft </w:t>
      </w:r>
      <w:r w:rsidR="0070392C" w:rsidRPr="0070392C">
        <w:t xml:space="preserve">Bill contains an alternative approach which includes the positive duty to make reasonable accommodation for a person with </w:t>
      </w:r>
      <w:r w:rsidR="0070392C" w:rsidRPr="00373C71">
        <w:t>disability in clause 18 (which is defined in clause 12 to include a non-exhaustive list of criteria for determining if the accommodation would impose an unjustifiable hardship on the person required to make the</w:t>
      </w:r>
      <w:r w:rsidR="0070392C" w:rsidRPr="0070392C">
        <w:t xml:space="preserve"> accommodation).</w:t>
      </w:r>
    </w:p>
    <w:p w14:paraId="7CF6581D" w14:textId="6CC9402F" w:rsidR="004B692B" w:rsidRPr="00F72D10" w:rsidRDefault="00204E58" w:rsidP="00204E58">
      <w:pPr>
        <w:pStyle w:val="Heading3"/>
        <w:rPr>
          <w:iCs/>
        </w:rPr>
      </w:pPr>
      <w:bookmarkStart w:id="102" w:name="_Toc159520307"/>
      <w:r>
        <w:rPr>
          <w:iCs/>
        </w:rPr>
        <w:t xml:space="preserve">Exceptions </w:t>
      </w:r>
      <w:r w:rsidR="007264A7">
        <w:t xml:space="preserve">– </w:t>
      </w:r>
      <w:r w:rsidR="004B692B" w:rsidRPr="00F72D10">
        <w:t>Club membership</w:t>
      </w:r>
      <w:bookmarkEnd w:id="102"/>
      <w:r w:rsidR="004B692B" w:rsidRPr="00F72D10">
        <w:t xml:space="preserve"> </w:t>
      </w:r>
    </w:p>
    <w:p w14:paraId="226B65F4" w14:textId="0BC31D79" w:rsidR="00204E58" w:rsidRPr="00204E58" w:rsidRDefault="00204E58" w:rsidP="004E49AC">
      <w:pPr>
        <w:pStyle w:val="Heading4"/>
      </w:pPr>
      <w:bookmarkStart w:id="103" w:name="_Toc159520308"/>
      <w:r w:rsidRPr="00204E58">
        <w:t>Club established for particular class of people</w:t>
      </w:r>
      <w:bookmarkEnd w:id="103"/>
    </w:p>
    <w:p w14:paraId="3203042B" w14:textId="7F926701" w:rsidR="00204E58" w:rsidRDefault="004B692B" w:rsidP="00793AEF">
      <w:pPr>
        <w:jc w:val="both"/>
      </w:pPr>
      <w:r>
        <w:rPr>
          <w:b/>
          <w:bCs/>
        </w:rPr>
        <w:t xml:space="preserve">Clause </w:t>
      </w:r>
      <w:r w:rsidR="009F7F58">
        <w:rPr>
          <w:b/>
          <w:bCs/>
        </w:rPr>
        <w:t>52</w:t>
      </w:r>
      <w:r>
        <w:rPr>
          <w:b/>
          <w:bCs/>
        </w:rPr>
        <w:t xml:space="preserve"> </w:t>
      </w:r>
      <w:r w:rsidRPr="00F72C8C">
        <w:t>provides an exception if a club is established to benefit a class of people sharing a particular protected attribute and the discrimination is</w:t>
      </w:r>
      <w:r w:rsidR="00BB698C">
        <w:t xml:space="preserve"> occurs because the person does not have the protected attribute and is reasonable and proportionate in the circumstances. </w:t>
      </w:r>
      <w:r w:rsidRPr="00F72C8C">
        <w:t xml:space="preserve">This </w:t>
      </w:r>
      <w:r>
        <w:t xml:space="preserve">broader </w:t>
      </w:r>
      <w:r w:rsidR="00CC6067">
        <w:t>provision replaces</w:t>
      </w:r>
      <w:r>
        <w:t xml:space="preserve"> the provisions in section 97 and 98 of the current AD Act.</w:t>
      </w:r>
      <w:r w:rsidR="00CC6067">
        <w:t xml:space="preserve"> It is modelled on a similar exception which </w:t>
      </w:r>
      <w:r w:rsidR="004D2BE2">
        <w:t xml:space="preserve">was recently </w:t>
      </w:r>
      <w:r w:rsidR="00CC6067">
        <w:t>introduced in anti-discrimination legislation in the ACT.</w:t>
      </w:r>
      <w:r w:rsidR="00CC6067">
        <w:rPr>
          <w:rStyle w:val="FootnoteReference"/>
        </w:rPr>
        <w:footnoteReference w:id="21"/>
      </w:r>
      <w:r w:rsidR="00CC6067">
        <w:t xml:space="preserve"> </w:t>
      </w:r>
    </w:p>
    <w:p w14:paraId="445094AF" w14:textId="00840939" w:rsidR="00204E58" w:rsidRDefault="00204E58" w:rsidP="00AD04A3">
      <w:pPr>
        <w:pStyle w:val="Heading5"/>
      </w:pPr>
      <w:bookmarkStart w:id="104" w:name="_Toc159520309"/>
      <w:r>
        <w:t>What is not included</w:t>
      </w:r>
      <w:r w:rsidR="007C7EAB">
        <w:t>?</w:t>
      </w:r>
      <w:bookmarkEnd w:id="104"/>
    </w:p>
    <w:p w14:paraId="252EB3C3" w14:textId="15D906AC" w:rsidR="004B692B" w:rsidRDefault="004B692B" w:rsidP="00793AEF">
      <w:pPr>
        <w:jc w:val="both"/>
      </w:pPr>
      <w:r w:rsidRPr="00BE14A2">
        <w:t>The draft Bill does not include exceptions similar to the following sections of the AD Act</w:t>
      </w:r>
      <w:r>
        <w:t>:</w:t>
      </w:r>
    </w:p>
    <w:p w14:paraId="4AC90374" w14:textId="77127BD7" w:rsidR="005823E7" w:rsidRDefault="005823E7" w:rsidP="00721411">
      <w:pPr>
        <w:pStyle w:val="ListParagraph"/>
        <w:numPr>
          <w:ilvl w:val="0"/>
          <w:numId w:val="10"/>
        </w:numPr>
        <w:spacing w:before="60" w:line="280" w:lineRule="exact"/>
        <w:jc w:val="both"/>
      </w:pPr>
      <w:r>
        <w:t>section 98 concerning discrimination on the basis of sex with respect to access to benefits arising from membership of a club</w:t>
      </w:r>
      <w:r w:rsidR="00753E0E">
        <w:t>, which is not considered necessary. The omission of an exception in these terms is consistent with recent reforms to anti-discrimination legislation in the ACT</w:t>
      </w:r>
      <w:r w:rsidR="00753E0E">
        <w:rPr>
          <w:rStyle w:val="FootnoteReference"/>
        </w:rPr>
        <w:footnoteReference w:id="22"/>
      </w:r>
      <w:r>
        <w:t xml:space="preserve">; </w:t>
      </w:r>
    </w:p>
    <w:p w14:paraId="0BB2F6D7" w14:textId="4F7EB3EA" w:rsidR="004B692B" w:rsidRPr="00F72C8C" w:rsidRDefault="004B692B" w:rsidP="00721411">
      <w:pPr>
        <w:pStyle w:val="ListParagraph"/>
        <w:numPr>
          <w:ilvl w:val="0"/>
          <w:numId w:val="10"/>
        </w:numPr>
        <w:spacing w:before="60" w:line="280" w:lineRule="exact"/>
        <w:jc w:val="both"/>
      </w:pPr>
      <w:r w:rsidRPr="00F72C8C">
        <w:t>section 99 concerning membership to a minor if there is a reasonable risk of injury. This is not considered necessary as there are no comparable exceptions in other jurisdictions;</w:t>
      </w:r>
      <w:r w:rsidR="005823E7">
        <w:t xml:space="preserve"> and</w:t>
      </w:r>
    </w:p>
    <w:p w14:paraId="6BB45604" w14:textId="683AA6C4" w:rsidR="004B692B" w:rsidRDefault="004B692B" w:rsidP="00721411">
      <w:pPr>
        <w:pStyle w:val="ListParagraph"/>
        <w:numPr>
          <w:ilvl w:val="0"/>
          <w:numId w:val="10"/>
        </w:numPr>
        <w:spacing w:before="60" w:line="280" w:lineRule="exact"/>
        <w:jc w:val="both"/>
      </w:pPr>
      <w:r w:rsidRPr="00F72C8C">
        <w:t xml:space="preserve">section 100 concerning discrimination on the basis of impairment where a person would require special services or facilities. </w:t>
      </w:r>
      <w:r w:rsidR="0070392C" w:rsidRPr="0070392C">
        <w:t xml:space="preserve">The </w:t>
      </w:r>
      <w:r w:rsidR="004D2BE2">
        <w:t xml:space="preserve">draft </w:t>
      </w:r>
      <w:r w:rsidR="0070392C" w:rsidRPr="0070392C">
        <w:t xml:space="preserve">Bill contains an alternative approach which includes the positive duty to make reasonable accommodation for a person with </w:t>
      </w:r>
      <w:r w:rsidR="0070392C" w:rsidRPr="00373C71">
        <w:t>disability in clause 18 (which is defined in clause 12 to include a non-exhaustive list of criteria for determining if the accommodation would impose an unjustifiable hardship on the person required to make the</w:t>
      </w:r>
      <w:r w:rsidR="0070392C" w:rsidRPr="0070392C">
        <w:t xml:space="preserve"> accommodation).</w:t>
      </w:r>
    </w:p>
    <w:p w14:paraId="0054D556" w14:textId="46403261" w:rsidR="004B692B" w:rsidRPr="00F72D10" w:rsidRDefault="00092E86" w:rsidP="00092E86">
      <w:pPr>
        <w:pStyle w:val="Heading3"/>
        <w:rPr>
          <w:iCs/>
        </w:rPr>
      </w:pPr>
      <w:bookmarkStart w:id="105" w:name="_Toc159520310"/>
      <w:r>
        <w:rPr>
          <w:iCs/>
        </w:rPr>
        <w:lastRenderedPageBreak/>
        <w:t xml:space="preserve">Exceptions </w:t>
      </w:r>
      <w:r w:rsidR="007264A7">
        <w:t xml:space="preserve">– </w:t>
      </w:r>
      <w:r w:rsidR="004B692B" w:rsidRPr="00F72D10">
        <w:t>Administration of State laws &amp; programs, and local Government</w:t>
      </w:r>
      <w:bookmarkEnd w:id="105"/>
    </w:p>
    <w:p w14:paraId="5188FDB6" w14:textId="77777777" w:rsidR="004B692B" w:rsidRDefault="004B692B" w:rsidP="00793AEF">
      <w:pPr>
        <w:jc w:val="both"/>
      </w:pPr>
      <w:r>
        <w:t>The current AD Act does not contain any exceptions for discrimination occurring in the administration of State laws and State government programs, or in the local government areas of activity. This position is retained in the draft Bill.</w:t>
      </w:r>
    </w:p>
    <w:p w14:paraId="0F7A152D" w14:textId="77777777" w:rsidR="004B692B" w:rsidRPr="00826060" w:rsidRDefault="004B692B" w:rsidP="00FB57F0">
      <w:pPr>
        <w:pStyle w:val="Heading3"/>
        <w:rPr>
          <w:rFonts w:eastAsia="Times New Roman"/>
        </w:rPr>
      </w:pPr>
      <w:bookmarkStart w:id="106" w:name="_Toc159520311"/>
      <w:r w:rsidRPr="00826060">
        <w:rPr>
          <w:rFonts w:eastAsia="Times New Roman"/>
        </w:rPr>
        <w:t>General exceptions for discrimination</w:t>
      </w:r>
      <w:bookmarkEnd w:id="106"/>
    </w:p>
    <w:p w14:paraId="536B556A" w14:textId="6793550F" w:rsidR="00092E86" w:rsidRDefault="004B692B" w:rsidP="00793AEF">
      <w:pPr>
        <w:jc w:val="both"/>
      </w:pPr>
      <w:r>
        <w:t xml:space="preserve">In addition to the specific exceptions </w:t>
      </w:r>
      <w:r w:rsidR="00753E0E">
        <w:t>for particular</w:t>
      </w:r>
      <w:r>
        <w:t xml:space="preserve"> area</w:t>
      </w:r>
      <w:r w:rsidR="00753E0E">
        <w:t>s</w:t>
      </w:r>
      <w:r>
        <w:t xml:space="preserve"> of activity, the draft Bill</w:t>
      </w:r>
      <w:r w:rsidR="00092E86">
        <w:t>, like the current AD Act</w:t>
      </w:r>
      <w:r w:rsidR="00753E0E">
        <w:t>,</w:t>
      </w:r>
      <w:r>
        <w:t xml:space="preserve"> includes general exceptions which </w:t>
      </w:r>
      <w:r w:rsidR="00753E0E">
        <w:t xml:space="preserve">apply in relation </w:t>
      </w:r>
      <w:r>
        <w:t>to any of the areas of activity covered in Part 4</w:t>
      </w:r>
      <w:r w:rsidR="004D2BE2">
        <w:t xml:space="preserve"> of the draft Bill</w:t>
      </w:r>
      <w:r>
        <w:t xml:space="preserve">. </w:t>
      </w:r>
    </w:p>
    <w:p w14:paraId="5FAFFA0E" w14:textId="10B88C70" w:rsidR="00092E86" w:rsidRDefault="00092E86" w:rsidP="004E49AC">
      <w:pPr>
        <w:pStyle w:val="Heading4"/>
      </w:pPr>
      <w:bookmarkStart w:id="107" w:name="_Toc159520312"/>
      <w:r>
        <w:t>C</w:t>
      </w:r>
      <w:r w:rsidRPr="00092E86">
        <w:t>ompliance with legislation or court or tribunal orders</w:t>
      </w:r>
      <w:bookmarkEnd w:id="107"/>
    </w:p>
    <w:p w14:paraId="6A9D96A9" w14:textId="79ED4C0B" w:rsidR="005457C6" w:rsidRDefault="00092E86" w:rsidP="00092E86">
      <w:pPr>
        <w:spacing w:before="60" w:line="280" w:lineRule="exact"/>
        <w:jc w:val="both"/>
      </w:pPr>
      <w:r w:rsidRPr="00092E86">
        <w:rPr>
          <w:b/>
          <w:bCs/>
        </w:rPr>
        <w:t>C</w:t>
      </w:r>
      <w:r w:rsidR="004B692B" w:rsidRPr="00092E86">
        <w:rPr>
          <w:b/>
          <w:bCs/>
        </w:rPr>
        <w:t xml:space="preserve">lause </w:t>
      </w:r>
      <w:r w:rsidR="00D22582">
        <w:rPr>
          <w:b/>
          <w:bCs/>
        </w:rPr>
        <w:t>56</w:t>
      </w:r>
      <w:r w:rsidR="004B692B">
        <w:t xml:space="preserve"> provides an exception for discrimination</w:t>
      </w:r>
      <w:r w:rsidR="00753E0E">
        <w:t xml:space="preserve"> which:</w:t>
      </w:r>
      <w:r w:rsidR="004B692B">
        <w:t xml:space="preserve"> </w:t>
      </w:r>
    </w:p>
    <w:p w14:paraId="71D2E16F" w14:textId="4D7EF16D" w:rsidR="005457C6" w:rsidRDefault="00753E0E" w:rsidP="005457C6">
      <w:pPr>
        <w:pStyle w:val="Bulletpointbody"/>
      </w:pPr>
      <w:r>
        <w:t xml:space="preserve">is </w:t>
      </w:r>
      <w:r w:rsidR="004B692B">
        <w:t>necessary to comply with, or authorised by, another Act or an Act of the Commonwealth</w:t>
      </w:r>
      <w:r>
        <w:t xml:space="preserve">; </w:t>
      </w:r>
      <w:r w:rsidR="004B692B">
        <w:t>or</w:t>
      </w:r>
      <w:r>
        <w:t>,</w:t>
      </w:r>
      <w:r w:rsidR="004B692B">
        <w:t xml:space="preserve"> </w:t>
      </w:r>
    </w:p>
    <w:p w14:paraId="14AB8F26" w14:textId="37BD3CD1" w:rsidR="00092E86" w:rsidRDefault="004B692B" w:rsidP="006F2334">
      <w:pPr>
        <w:pStyle w:val="Bulletpointbody"/>
      </w:pPr>
      <w:r>
        <w:t xml:space="preserve">is necessary to comply with an order of a court or tribunal. </w:t>
      </w:r>
    </w:p>
    <w:p w14:paraId="770445FD" w14:textId="02B2564C" w:rsidR="00350C87" w:rsidRDefault="00753E0E" w:rsidP="00753E0E">
      <w:pPr>
        <w:spacing w:before="60" w:line="280" w:lineRule="exact"/>
        <w:jc w:val="both"/>
      </w:pPr>
      <w:r>
        <w:t xml:space="preserve">This exception will, for example, </w:t>
      </w:r>
      <w:r w:rsidR="00350C87" w:rsidRPr="006F2334">
        <w:t xml:space="preserve">permit discrimination on the basis of immigration or migration status </w:t>
      </w:r>
      <w:r w:rsidRPr="006F2334">
        <w:t>where</w:t>
      </w:r>
      <w:r>
        <w:t xml:space="preserve"> </w:t>
      </w:r>
      <w:r w:rsidR="00350C87" w:rsidRPr="006F2334">
        <w:t>necessary to comply with a law of the State or the Commonwealth regarding the regulation of immigration to Australia.</w:t>
      </w:r>
    </w:p>
    <w:p w14:paraId="11442A1C" w14:textId="666AE8CA" w:rsidR="005457C6" w:rsidRDefault="005457C6" w:rsidP="006F2334">
      <w:pPr>
        <w:spacing w:before="60" w:line="280" w:lineRule="exact"/>
        <w:jc w:val="both"/>
      </w:pPr>
      <w:r>
        <w:t xml:space="preserve">This exception will also permit discrimination that is necessary to comply with, or is authorised by, a Commonwealth Act which regulates superannuation – in line with the specific exceptions currently provided by sections 64 or 65 of the </w:t>
      </w:r>
      <w:r w:rsidR="004D2BE2">
        <w:t xml:space="preserve">current </w:t>
      </w:r>
      <w:r>
        <w:t xml:space="preserve">AD Act. </w:t>
      </w:r>
    </w:p>
    <w:p w14:paraId="41C2600B" w14:textId="46B53ED1" w:rsidR="00092E86" w:rsidRDefault="00092E86" w:rsidP="00350C87">
      <w:pPr>
        <w:pStyle w:val="Heading7"/>
      </w:pPr>
      <w:r>
        <w:t>Superannuation and insurance</w:t>
      </w:r>
    </w:p>
    <w:p w14:paraId="62B0CB66" w14:textId="1F8B3457" w:rsidR="00092E86" w:rsidRDefault="00092E86" w:rsidP="00092E86">
      <w:pPr>
        <w:spacing w:before="60" w:line="280" w:lineRule="exact"/>
        <w:jc w:val="both"/>
      </w:pPr>
      <w:bookmarkStart w:id="108" w:name="_Hlk159247179"/>
      <w:r w:rsidRPr="002E7F89">
        <w:rPr>
          <w:b/>
          <w:bCs/>
        </w:rPr>
        <w:t xml:space="preserve">Clause </w:t>
      </w:r>
      <w:r w:rsidR="00D22582">
        <w:rPr>
          <w:b/>
          <w:bCs/>
        </w:rPr>
        <w:t>56</w:t>
      </w:r>
      <w:r w:rsidR="0069399C" w:rsidRPr="002E7F89">
        <w:rPr>
          <w:b/>
          <w:bCs/>
        </w:rPr>
        <w:t>(2)</w:t>
      </w:r>
      <w:r w:rsidR="004B692B">
        <w:t xml:space="preserve"> also states that discrimination is permitted in relation to insurance or superannuation </w:t>
      </w:r>
      <w:r w:rsidR="004B4B1D">
        <w:t>if the discrimination</w:t>
      </w:r>
      <w:r>
        <w:t>:</w:t>
      </w:r>
    </w:p>
    <w:p w14:paraId="5490AA5F" w14:textId="4E8258D4" w:rsidR="00092E86" w:rsidRPr="00092E86" w:rsidRDefault="00092E86" w:rsidP="006F2334">
      <w:pPr>
        <w:pStyle w:val="Bulletpointbody"/>
        <w:rPr>
          <w:i/>
          <w:iCs/>
        </w:rPr>
      </w:pPr>
      <w:r w:rsidRPr="00092E86">
        <w:t xml:space="preserve">is on the basis of age and is permitted under the </w:t>
      </w:r>
      <w:r w:rsidRPr="006F2334">
        <w:t>Age Discrimination Act</w:t>
      </w:r>
      <w:r w:rsidRPr="00092E86">
        <w:t>; or</w:t>
      </w:r>
    </w:p>
    <w:p w14:paraId="313B8B05" w14:textId="234288EB" w:rsidR="00092E86" w:rsidRDefault="00092E86" w:rsidP="006F2334">
      <w:pPr>
        <w:pStyle w:val="Bulletpointbody"/>
      </w:pPr>
      <w:r w:rsidRPr="00092E86">
        <w:t>is on the basis of disability and is permitted under the</w:t>
      </w:r>
      <w:r>
        <w:t xml:space="preserve"> </w:t>
      </w:r>
      <w:r w:rsidRPr="006F2334">
        <w:t>Disability Discrimination Act</w:t>
      </w:r>
      <w:r w:rsidRPr="00092E86">
        <w:t xml:space="preserve"> ; or</w:t>
      </w:r>
    </w:p>
    <w:p w14:paraId="65A3871D" w14:textId="628AEBBD" w:rsidR="00092E86" w:rsidRPr="00092E86" w:rsidRDefault="00092E86" w:rsidP="006F2334">
      <w:pPr>
        <w:pStyle w:val="Bulletpointbody"/>
      </w:pPr>
      <w:r w:rsidRPr="00350C87">
        <w:t>is on the basis of sex, relationship status or family, carer</w:t>
      </w:r>
      <w:r w:rsidR="00350C87">
        <w:t xml:space="preserve"> </w:t>
      </w:r>
      <w:r w:rsidRPr="00350C87">
        <w:t xml:space="preserve">or kinship responsibilities and is permitted under the </w:t>
      </w:r>
      <w:r w:rsidRPr="006F2334">
        <w:t>Sex</w:t>
      </w:r>
      <w:r w:rsidR="00350C87" w:rsidRPr="006F2334">
        <w:t xml:space="preserve"> </w:t>
      </w:r>
      <w:r w:rsidRPr="006F2334">
        <w:t>Discrimination Act</w:t>
      </w:r>
      <w:r w:rsidRPr="00865487">
        <w:t>.</w:t>
      </w:r>
    </w:p>
    <w:p w14:paraId="6A63C620" w14:textId="1C3B67E3" w:rsidR="00B23E7C" w:rsidRDefault="00092E86" w:rsidP="00B23E7C">
      <w:pPr>
        <w:spacing w:before="60" w:line="280" w:lineRule="exact"/>
        <w:ind w:left="60"/>
        <w:jc w:val="both"/>
      </w:pPr>
      <w:r w:rsidRPr="00B97702">
        <w:t xml:space="preserve">This ensures that exceptions for superannuation and insurance align with those in Commonwealth </w:t>
      </w:r>
      <w:r w:rsidR="00B97702">
        <w:t xml:space="preserve">anti-discrimination </w:t>
      </w:r>
      <w:r w:rsidRPr="00B97702">
        <w:t xml:space="preserve">laws. </w:t>
      </w:r>
      <w:r w:rsidR="00795B2F">
        <w:t xml:space="preserve">The Age Discrimination Act and Disability Discrimination Act contain exceptions which are broadly consistent with exceptions under the </w:t>
      </w:r>
      <w:r w:rsidR="0069399C">
        <w:t xml:space="preserve">current </w:t>
      </w:r>
      <w:r w:rsidR="00795B2F">
        <w:t>AD Act which apply to discrimination on the basis of age and impairment in relation to superannuation and insurance.</w:t>
      </w:r>
      <w:r w:rsidR="00795B2F">
        <w:rPr>
          <w:rStyle w:val="FootnoteReference"/>
        </w:rPr>
        <w:footnoteReference w:id="23"/>
      </w:r>
      <w:r w:rsidR="00795B2F">
        <w:t xml:space="preserve"> Clause 64(2) is accordingly intended to </w:t>
      </w:r>
      <w:r w:rsidR="00B23E7C">
        <w:t xml:space="preserve">generally </w:t>
      </w:r>
      <w:r w:rsidR="00795B2F">
        <w:t>maintain the effect of exceptions in relation to superannuation and insurance under the current AD Ac</w:t>
      </w:r>
      <w:r w:rsidR="00B23E7C">
        <w:t xml:space="preserve">t. As discussed above, this promotes internal consistency in the approach to exceptions for superannuation and insurance within the </w:t>
      </w:r>
      <w:r w:rsidR="0069399C">
        <w:t xml:space="preserve">draft </w:t>
      </w:r>
      <w:r w:rsidR="00B23E7C">
        <w:t xml:space="preserve">Bill, as well as promoting alignment with Commonwealth anti-discrimination laws. </w:t>
      </w:r>
    </w:p>
    <w:p w14:paraId="540D5F16" w14:textId="4CE4DC7A" w:rsidR="00743B6F" w:rsidRDefault="00743B6F" w:rsidP="00743B6F">
      <w:pPr>
        <w:spacing w:before="60" w:line="280" w:lineRule="exact"/>
        <w:jc w:val="both"/>
      </w:pPr>
      <w:r w:rsidRPr="002E7F89">
        <w:rPr>
          <w:b/>
          <w:bCs/>
        </w:rPr>
        <w:t xml:space="preserve">Clause </w:t>
      </w:r>
      <w:r w:rsidR="00D22582">
        <w:rPr>
          <w:b/>
          <w:bCs/>
        </w:rPr>
        <w:t>56</w:t>
      </w:r>
      <w:r w:rsidRPr="002E7F89">
        <w:rPr>
          <w:b/>
          <w:bCs/>
        </w:rPr>
        <w:t>(</w:t>
      </w:r>
      <w:r w:rsidR="0069399C">
        <w:rPr>
          <w:b/>
          <w:bCs/>
        </w:rPr>
        <w:t>3</w:t>
      </w:r>
      <w:r w:rsidRPr="002E7F89">
        <w:rPr>
          <w:b/>
          <w:bCs/>
        </w:rPr>
        <w:t>)</w:t>
      </w:r>
      <w:r>
        <w:t xml:space="preserve"> imposes an additional requirement for persons who </w:t>
      </w:r>
      <w:r w:rsidRPr="009D3CEF">
        <w:t xml:space="preserve">discriminate </w:t>
      </w:r>
      <w:r>
        <w:t>against another person in relation to insurance or superannuation</w:t>
      </w:r>
      <w:r w:rsidRPr="009D3CEF">
        <w:t xml:space="preserve"> by relying on actuarial</w:t>
      </w:r>
      <w:r>
        <w:t xml:space="preserve"> or </w:t>
      </w:r>
      <w:r w:rsidRPr="009D3CEF">
        <w:t xml:space="preserve">statistical </w:t>
      </w:r>
      <w:r>
        <w:t>data or other relevant factors, in accordance with relevant exceptions under Commonwealth anti-discrimination laws. Upon request, the person relying on the exception must give the person discriminated against</w:t>
      </w:r>
      <w:r w:rsidRPr="009D3CEF">
        <w:t>, within a reasonable time</w:t>
      </w:r>
      <w:r>
        <w:t xml:space="preserve">: </w:t>
      </w:r>
    </w:p>
    <w:p w14:paraId="2005C395" w14:textId="77777777" w:rsidR="00743B6F" w:rsidRDefault="00743B6F" w:rsidP="00721411">
      <w:pPr>
        <w:pStyle w:val="ListParagraph"/>
        <w:numPr>
          <w:ilvl w:val="0"/>
          <w:numId w:val="33"/>
        </w:numPr>
        <w:spacing w:before="60" w:line="280" w:lineRule="exact"/>
        <w:jc w:val="both"/>
      </w:pPr>
      <w:r w:rsidRPr="009D3CEF">
        <w:t>the data relied upon</w:t>
      </w:r>
      <w:r>
        <w:t xml:space="preserve"> or </w:t>
      </w:r>
      <w:r w:rsidRPr="009D3CEF">
        <w:t xml:space="preserve">a </w:t>
      </w:r>
      <w:r>
        <w:t xml:space="preserve">written </w:t>
      </w:r>
      <w:r w:rsidRPr="009D3CEF">
        <w:t>meaningful explanation of it</w:t>
      </w:r>
      <w:r>
        <w:t xml:space="preserve">, and details of the source and date of the data; or </w:t>
      </w:r>
    </w:p>
    <w:p w14:paraId="182CF6E2" w14:textId="77777777" w:rsidR="00743B6F" w:rsidRDefault="00743B6F" w:rsidP="00721411">
      <w:pPr>
        <w:pStyle w:val="ListParagraph"/>
        <w:numPr>
          <w:ilvl w:val="0"/>
          <w:numId w:val="33"/>
        </w:numPr>
        <w:spacing w:before="60" w:line="280" w:lineRule="exact"/>
        <w:jc w:val="both"/>
      </w:pPr>
      <w:r>
        <w:lastRenderedPageBreak/>
        <w:t xml:space="preserve">a meaningful explanation of the other relevant factors relied upon. </w:t>
      </w:r>
    </w:p>
    <w:p w14:paraId="10080815" w14:textId="02EB0745" w:rsidR="00743B6F" w:rsidRDefault="00743B6F" w:rsidP="00743B6F">
      <w:pPr>
        <w:spacing w:before="60" w:line="280" w:lineRule="exact"/>
        <w:jc w:val="both"/>
      </w:pPr>
      <w:r>
        <w:t xml:space="preserve">This requirement is similar to a new requirement which </w:t>
      </w:r>
      <w:r w:rsidR="0069399C">
        <w:t xml:space="preserve">was recently </w:t>
      </w:r>
      <w:r>
        <w:t>introduced in anti-discrimination legislation in the ACT.</w:t>
      </w:r>
      <w:r>
        <w:rPr>
          <w:rStyle w:val="FootnoteReference"/>
        </w:rPr>
        <w:footnoteReference w:id="24"/>
      </w:r>
      <w:r>
        <w:t xml:space="preserve"> It is intended to ensure that people who are subject to discrimination in relation to superannuation and insurance are in a position to assess whether the discrimination against them falls within the scope of applicable exceptions. </w:t>
      </w:r>
    </w:p>
    <w:p w14:paraId="0563DC7A" w14:textId="7032CEBF" w:rsidR="00B23E7C" w:rsidRDefault="00B23E7C" w:rsidP="006F2334">
      <w:pPr>
        <w:spacing w:before="60" w:line="280" w:lineRule="exact"/>
        <w:ind w:left="60"/>
        <w:jc w:val="both"/>
      </w:pPr>
      <w:r>
        <w:t xml:space="preserve">A transitional provision has been included in </w:t>
      </w:r>
      <w:r w:rsidRPr="006F2334">
        <w:rPr>
          <w:b/>
          <w:bCs/>
        </w:rPr>
        <w:t>clause 2</w:t>
      </w:r>
      <w:r w:rsidR="00D22582">
        <w:rPr>
          <w:b/>
          <w:bCs/>
        </w:rPr>
        <w:t>58</w:t>
      </w:r>
      <w:r>
        <w:t xml:space="preserve"> of the draft Bill to maintain the effect of section 60 of the AD Act in relation to superannuation fund conditions which predated the AD Act. </w:t>
      </w:r>
    </w:p>
    <w:p w14:paraId="5EEE3E36" w14:textId="489674EA" w:rsidR="00092E86" w:rsidRPr="009D3CEF" w:rsidRDefault="00092E86" w:rsidP="004E49AC">
      <w:pPr>
        <w:pStyle w:val="Heading4"/>
      </w:pPr>
      <w:bookmarkStart w:id="109" w:name="_Toc159520313"/>
      <w:bookmarkEnd w:id="108"/>
      <w:r>
        <w:t>Citizenship or visa requirements under State government policies etc</w:t>
      </w:r>
      <w:bookmarkEnd w:id="109"/>
    </w:p>
    <w:p w14:paraId="24EECAF9" w14:textId="0DEDB05A" w:rsidR="00D80A9C" w:rsidRDefault="00D80A9C" w:rsidP="00D80A9C">
      <w:pPr>
        <w:spacing w:before="60" w:line="280" w:lineRule="exact"/>
        <w:jc w:val="both"/>
      </w:pPr>
      <w:r w:rsidRPr="00D80A9C">
        <w:rPr>
          <w:b/>
          <w:bCs/>
        </w:rPr>
        <w:t>C</w:t>
      </w:r>
      <w:r w:rsidR="004B692B" w:rsidRPr="00D80A9C">
        <w:rPr>
          <w:b/>
          <w:bCs/>
        </w:rPr>
        <w:t xml:space="preserve">lause </w:t>
      </w:r>
      <w:r w:rsidR="00D22582">
        <w:rPr>
          <w:b/>
          <w:bCs/>
        </w:rPr>
        <w:t>57</w:t>
      </w:r>
      <w:r w:rsidR="004B692B">
        <w:t xml:space="preserve"> is similar to s</w:t>
      </w:r>
      <w:r w:rsidR="004B692B" w:rsidRPr="007F3787">
        <w:t xml:space="preserve">ection 106B of the </w:t>
      </w:r>
      <w:r w:rsidR="004B692B">
        <w:t>current AD Act</w:t>
      </w:r>
      <w:r w:rsidR="004B692B" w:rsidRPr="007F3787">
        <w:t xml:space="preserve">. </w:t>
      </w:r>
      <w:r w:rsidRPr="00D80A9C">
        <w:t>Section 106B of the current Act was inserted in</w:t>
      </w:r>
      <w:r>
        <w:t>to the AD Act in</w:t>
      </w:r>
      <w:r w:rsidRPr="00D80A9C">
        <w:t xml:space="preserve"> 2012 and </w:t>
      </w:r>
      <w:r w:rsidR="00753E0E">
        <w:t>enables</w:t>
      </w:r>
      <w:r w:rsidR="00753E0E" w:rsidRPr="00D80A9C">
        <w:t xml:space="preserve"> </w:t>
      </w:r>
      <w:r w:rsidRPr="00D80A9C">
        <w:t xml:space="preserve">eligibility provisions that require a particular citizenship or visa status to be included in state government policies. </w:t>
      </w:r>
    </w:p>
    <w:p w14:paraId="1C921C26" w14:textId="509E83AA" w:rsidR="00350C87" w:rsidRDefault="00D80A9C" w:rsidP="004E49AC">
      <w:pPr>
        <w:pStyle w:val="Heading4"/>
      </w:pPr>
      <w:bookmarkStart w:id="110" w:name="_Toc159520314"/>
      <w:r>
        <w:t xml:space="preserve">Public </w:t>
      </w:r>
      <w:r w:rsidR="00753E0E">
        <w:t>h</w:t>
      </w:r>
      <w:r>
        <w:t>ealth</w:t>
      </w:r>
      <w:bookmarkEnd w:id="110"/>
    </w:p>
    <w:p w14:paraId="19D0C4EA" w14:textId="729337D8" w:rsidR="00D80A9C" w:rsidRDefault="00D80A9C" w:rsidP="00350C87">
      <w:pPr>
        <w:spacing w:before="60" w:line="280" w:lineRule="exact"/>
        <w:jc w:val="both"/>
      </w:pPr>
      <w:r w:rsidRPr="00D80A9C">
        <w:rPr>
          <w:b/>
          <w:bCs/>
        </w:rPr>
        <w:t xml:space="preserve">Clause </w:t>
      </w:r>
      <w:r w:rsidR="00D22582">
        <w:rPr>
          <w:b/>
          <w:bCs/>
        </w:rPr>
        <w:t>58</w:t>
      </w:r>
      <w:r>
        <w:t xml:space="preserve"> allows a person to discriminate against another person to do an act that is reasonably necessary to protect public health</w:t>
      </w:r>
      <w:r w:rsidR="0022227E">
        <w:t xml:space="preserve">, consistent with section 107 of the current AD Act. </w:t>
      </w:r>
    </w:p>
    <w:p w14:paraId="4F8D8A4C" w14:textId="01B967A9" w:rsidR="00D80A9C" w:rsidRDefault="00D80A9C" w:rsidP="004E49AC">
      <w:pPr>
        <w:pStyle w:val="Heading4"/>
      </w:pPr>
      <w:bookmarkStart w:id="111" w:name="_Toc159520315"/>
      <w:r>
        <w:t>Workplace health and safety</w:t>
      </w:r>
      <w:bookmarkEnd w:id="111"/>
    </w:p>
    <w:p w14:paraId="79E8EED2" w14:textId="35FE8F01" w:rsidR="00D80A9C" w:rsidRDefault="00D80A9C" w:rsidP="00350C87">
      <w:pPr>
        <w:spacing w:before="60" w:line="280" w:lineRule="exact"/>
        <w:jc w:val="both"/>
      </w:pPr>
      <w:r w:rsidRPr="00D80A9C">
        <w:rPr>
          <w:b/>
          <w:bCs/>
        </w:rPr>
        <w:t xml:space="preserve">Clause </w:t>
      </w:r>
      <w:r w:rsidR="00D22582">
        <w:rPr>
          <w:b/>
          <w:bCs/>
        </w:rPr>
        <w:t>59</w:t>
      </w:r>
      <w:r>
        <w:t xml:space="preserve"> allows a person to discriminate to do an act that is reasonably necessary to protect the health and safety of people at a place of work</w:t>
      </w:r>
      <w:r w:rsidR="0022227E">
        <w:t xml:space="preserve">, consistent with section 108 of the current AD Act. </w:t>
      </w:r>
    </w:p>
    <w:p w14:paraId="560665A4" w14:textId="7AACE809" w:rsidR="00D80A9C" w:rsidRDefault="00D80A9C" w:rsidP="004E49AC">
      <w:pPr>
        <w:pStyle w:val="Heading4"/>
      </w:pPr>
      <w:bookmarkStart w:id="112" w:name="_Toc159520316"/>
      <w:r>
        <w:t>Assistance animals</w:t>
      </w:r>
      <w:bookmarkEnd w:id="112"/>
    </w:p>
    <w:p w14:paraId="564E9C13" w14:textId="01C0F48E" w:rsidR="00D80A9C" w:rsidRDefault="004D24BB" w:rsidP="00350C87">
      <w:pPr>
        <w:spacing w:before="60" w:line="280" w:lineRule="exact"/>
        <w:jc w:val="both"/>
      </w:pPr>
      <w:r w:rsidRPr="004D24BB">
        <w:rPr>
          <w:b/>
          <w:bCs/>
        </w:rPr>
        <w:t xml:space="preserve">Clause </w:t>
      </w:r>
      <w:r w:rsidR="00D22582">
        <w:rPr>
          <w:b/>
          <w:bCs/>
        </w:rPr>
        <w:t>60</w:t>
      </w:r>
      <w:r>
        <w:t xml:space="preserve"> provides that a person may require a person with disability who has an assistance animal to ensure the animal is kept under the control of that person or another person on their behalf.</w:t>
      </w:r>
    </w:p>
    <w:p w14:paraId="0A2945A9" w14:textId="790D8D17" w:rsidR="004B692B" w:rsidRPr="00F72D10" w:rsidRDefault="004D24BB" w:rsidP="004E49AC">
      <w:pPr>
        <w:pStyle w:val="Heading4"/>
      </w:pPr>
      <w:bookmarkStart w:id="113" w:name="_Toc159520317"/>
      <w:r>
        <w:t xml:space="preserve">Roles in </w:t>
      </w:r>
      <w:r w:rsidR="00753E0E">
        <w:t>r</w:t>
      </w:r>
      <w:r w:rsidR="004B692B" w:rsidRPr="00F72D10">
        <w:t>eligious bodies</w:t>
      </w:r>
      <w:bookmarkEnd w:id="113"/>
    </w:p>
    <w:p w14:paraId="6C620968" w14:textId="62A056BC" w:rsidR="004B692B" w:rsidRDefault="004B692B" w:rsidP="00793AEF">
      <w:pPr>
        <w:jc w:val="both"/>
      </w:pPr>
      <w:r w:rsidRPr="00D74F77">
        <w:rPr>
          <w:b/>
          <w:bCs/>
        </w:rPr>
        <w:t xml:space="preserve">Clause </w:t>
      </w:r>
      <w:r w:rsidR="00D22582">
        <w:rPr>
          <w:b/>
          <w:bCs/>
        </w:rPr>
        <w:t>61</w:t>
      </w:r>
      <w:r w:rsidRPr="00D74F77">
        <w:rPr>
          <w:b/>
          <w:bCs/>
        </w:rPr>
        <w:t xml:space="preserve"> </w:t>
      </w:r>
      <w:r w:rsidRPr="00D74F77">
        <w:t xml:space="preserve">provides </w:t>
      </w:r>
      <w:r>
        <w:t xml:space="preserve">that the Act </w:t>
      </w:r>
      <w:r w:rsidR="00BC5816">
        <w:t xml:space="preserve">will </w:t>
      </w:r>
      <w:r>
        <w:t xml:space="preserve">not apply in relation to the ordination or appointment of people as priests, ministers of religion or members of a religious order or to another religious role, the training or education of people seeking ordination or appointment to these roles, or the selection or appointment of people to perform functions in relation to, or otherwise participate in, any religious observance or practice. This is based on section 109(a) to (c) of the current AD Act, but is expanded to include ordination or appointment, training or education and selection or appointment to perform functions of lay people. This expansion is intended to </w:t>
      </w:r>
      <w:r w:rsidRPr="008D3702">
        <w:t xml:space="preserve">better reflect the right to freedom of religion by ensuring that </w:t>
      </w:r>
      <w:r>
        <w:t xml:space="preserve">these stated activities can be </w:t>
      </w:r>
      <w:r w:rsidRPr="008D3702">
        <w:t xml:space="preserve">according to religious values and practices </w:t>
      </w:r>
      <w:r>
        <w:t xml:space="preserve">in respect of </w:t>
      </w:r>
      <w:r w:rsidRPr="008D3702">
        <w:t>all people who play an important spiritual role within a religious body</w:t>
      </w:r>
      <w:r w:rsidR="00753E0E">
        <w:t>.</w:t>
      </w:r>
    </w:p>
    <w:p w14:paraId="56B1AE1E" w14:textId="1F1B3DB3" w:rsidR="00721554" w:rsidRDefault="00721554" w:rsidP="004E49AC">
      <w:pPr>
        <w:pStyle w:val="Heading4"/>
      </w:pPr>
      <w:bookmarkStart w:id="114" w:name="_Toc159520318"/>
      <w:r>
        <w:t>Acts by religious bodies</w:t>
      </w:r>
      <w:bookmarkEnd w:id="114"/>
    </w:p>
    <w:p w14:paraId="080FD0A6" w14:textId="0BF66518" w:rsidR="004B692B" w:rsidRDefault="004B692B" w:rsidP="00793AEF">
      <w:pPr>
        <w:jc w:val="both"/>
      </w:pPr>
      <w:r w:rsidRPr="00FE3294">
        <w:rPr>
          <w:b/>
          <w:bCs/>
        </w:rPr>
        <w:t xml:space="preserve">Clause </w:t>
      </w:r>
      <w:r w:rsidR="00D22582">
        <w:rPr>
          <w:b/>
          <w:bCs/>
        </w:rPr>
        <w:t>62</w:t>
      </w:r>
      <w:r>
        <w:rPr>
          <w:b/>
          <w:bCs/>
        </w:rPr>
        <w:t xml:space="preserve"> </w:t>
      </w:r>
      <w:r w:rsidRPr="00D208A4">
        <w:t xml:space="preserve">provides that </w:t>
      </w:r>
      <w:r>
        <w:t xml:space="preserve">a religious body may discriminate against a person on the basis of their religious belief or activity, other than in the work or work-related area or the education area, if the act constituting the discrimination is in accordance with the doctrines, tenets or beliefs of the religious body, and the discrimination is reasonable and proportionate in the circumstances. This clause draws from section 109(1)(d)(i) and 109(2) of the current AD Act, and also replaces the specific exemption in section 90 of the current AD Act. This </w:t>
      </w:r>
      <w:r w:rsidR="00DB093A">
        <w:t xml:space="preserve">will not permit </w:t>
      </w:r>
      <w:r>
        <w:t>discriminat</w:t>
      </w:r>
      <w:r w:rsidR="00B97702">
        <w:t>ion</w:t>
      </w:r>
      <w:r>
        <w:t xml:space="preserve"> on the basis of other attributes, including sexual orientation or gender identity, and only provide</w:t>
      </w:r>
      <w:r w:rsidR="00DB093A">
        <w:t>s</w:t>
      </w:r>
      <w:r>
        <w:t xml:space="preserve"> an exception where discrimination is in accordance with the doctrines, tenets or beliefs of the religious body concerned.</w:t>
      </w:r>
    </w:p>
    <w:p w14:paraId="757B405B" w14:textId="33803C97" w:rsidR="00721554" w:rsidRDefault="00721554" w:rsidP="004E49AC">
      <w:pPr>
        <w:pStyle w:val="Heading4"/>
      </w:pPr>
      <w:bookmarkStart w:id="115" w:name="_Toc159520319"/>
      <w:r>
        <w:lastRenderedPageBreak/>
        <w:t>Charities</w:t>
      </w:r>
      <w:bookmarkEnd w:id="115"/>
      <w:r>
        <w:t xml:space="preserve"> </w:t>
      </w:r>
    </w:p>
    <w:p w14:paraId="7C3169ED" w14:textId="0342B95B" w:rsidR="00BC5816" w:rsidRDefault="0022227E" w:rsidP="006F2334">
      <w:r w:rsidRPr="006F2334">
        <w:rPr>
          <w:b/>
          <w:bCs/>
        </w:rPr>
        <w:t>Clause</w:t>
      </w:r>
      <w:r w:rsidR="00B262FE">
        <w:rPr>
          <w:b/>
          <w:bCs/>
        </w:rPr>
        <w:t xml:space="preserve"> </w:t>
      </w:r>
      <w:r w:rsidR="00D22582">
        <w:rPr>
          <w:b/>
          <w:bCs/>
        </w:rPr>
        <w:t>63</w:t>
      </w:r>
      <w:r w:rsidR="00B262FE">
        <w:rPr>
          <w:b/>
          <w:bCs/>
        </w:rPr>
        <w:t xml:space="preserve"> </w:t>
      </w:r>
      <w:r w:rsidR="00B262FE">
        <w:t>of the draft Bill provides that a person may</w:t>
      </w:r>
      <w:r w:rsidR="00BC5816">
        <w:t>:</w:t>
      </w:r>
      <w:r w:rsidR="00B262FE">
        <w:t xml:space="preserve"> </w:t>
      </w:r>
    </w:p>
    <w:p w14:paraId="17A1549D" w14:textId="31CD9B92" w:rsidR="00BC5816" w:rsidRPr="00BC5816" w:rsidRDefault="00B262FE" w:rsidP="00BC5816">
      <w:pPr>
        <w:pStyle w:val="ListParagraph"/>
        <w:numPr>
          <w:ilvl w:val="0"/>
          <w:numId w:val="40"/>
        </w:numPr>
        <w:rPr>
          <w:iCs/>
        </w:rPr>
      </w:pPr>
      <w:r>
        <w:t>include a provision that discriminates against a person or a group of persons in a document that provides exclusively for charitable benefits; and</w:t>
      </w:r>
    </w:p>
    <w:p w14:paraId="7269636F" w14:textId="77777777" w:rsidR="00BC5816" w:rsidRPr="00BC5816" w:rsidRDefault="00B262FE" w:rsidP="00BC5816">
      <w:pPr>
        <w:pStyle w:val="ListParagraph"/>
        <w:numPr>
          <w:ilvl w:val="0"/>
          <w:numId w:val="40"/>
        </w:numPr>
        <w:rPr>
          <w:iCs/>
        </w:rPr>
      </w:pPr>
      <w:r>
        <w:t xml:space="preserve"> do an act required to give effect to such a provision. </w:t>
      </w:r>
    </w:p>
    <w:p w14:paraId="61E1CB32" w14:textId="7EDFFFE8" w:rsidR="00721554" w:rsidRPr="00BC5816" w:rsidRDefault="00B262FE" w:rsidP="00BC5816">
      <w:pPr>
        <w:rPr>
          <w:iCs/>
        </w:rPr>
      </w:pPr>
      <w:r>
        <w:t xml:space="preserve">This is consistent with section 110 of the current AD Act. </w:t>
      </w:r>
    </w:p>
    <w:p w14:paraId="3B0553B1" w14:textId="1460D541" w:rsidR="004B692B" w:rsidRPr="00F72D10" w:rsidRDefault="004B692B" w:rsidP="004E49AC">
      <w:pPr>
        <w:pStyle w:val="Heading4"/>
      </w:pPr>
      <w:bookmarkStart w:id="116" w:name="_Toc159520320"/>
      <w:r w:rsidRPr="00F72D10">
        <w:t>Sport</w:t>
      </w:r>
      <w:bookmarkEnd w:id="116"/>
    </w:p>
    <w:p w14:paraId="50E6872F" w14:textId="274EDC0C" w:rsidR="00324F04" w:rsidRDefault="004B692B" w:rsidP="00793AEF">
      <w:pPr>
        <w:jc w:val="both"/>
      </w:pPr>
      <w:r w:rsidRPr="003A06C9">
        <w:rPr>
          <w:b/>
          <w:bCs/>
        </w:rPr>
        <w:t xml:space="preserve">Clause </w:t>
      </w:r>
      <w:r w:rsidR="00D22582">
        <w:rPr>
          <w:b/>
          <w:bCs/>
        </w:rPr>
        <w:t>64</w:t>
      </w:r>
      <w:r>
        <w:rPr>
          <w:b/>
          <w:bCs/>
        </w:rPr>
        <w:t xml:space="preserve"> </w:t>
      </w:r>
      <w:r w:rsidRPr="00F3366C">
        <w:t>of the draft Bill provides that a person</w:t>
      </w:r>
      <w:r w:rsidRPr="00F025AB">
        <w:t xml:space="preserve"> may restrict participation in a competitive sporting activity on stated grounds</w:t>
      </w:r>
      <w:r w:rsidR="00324F04">
        <w:t>, in line with section 111 of the current AD Act</w:t>
      </w:r>
      <w:r w:rsidRPr="00F025AB">
        <w:t xml:space="preserve">. </w:t>
      </w:r>
      <w:r>
        <w:t xml:space="preserve">This exception </w:t>
      </w:r>
      <w:r w:rsidRPr="0078243A">
        <w:t xml:space="preserve">permits </w:t>
      </w:r>
      <w:r w:rsidR="00324F04">
        <w:t xml:space="preserve">participation in a competitive sporting activity to be restricted to: </w:t>
      </w:r>
    </w:p>
    <w:p w14:paraId="28A4BB78" w14:textId="568422EC" w:rsidR="00324F04" w:rsidRDefault="00324F04" w:rsidP="00324F04">
      <w:pPr>
        <w:pStyle w:val="Bulletpointbody"/>
      </w:pPr>
      <w:r>
        <w:t>people who can effectively compete; or</w:t>
      </w:r>
    </w:p>
    <w:p w14:paraId="263CA2A9" w14:textId="091DAAF4" w:rsidR="00324F04" w:rsidRDefault="00324F04" w:rsidP="00324F04">
      <w:pPr>
        <w:pStyle w:val="Bulletpointbody"/>
      </w:pPr>
      <w:r>
        <w:t xml:space="preserve">people of a particular age or age group; or </w:t>
      </w:r>
    </w:p>
    <w:p w14:paraId="52341361" w14:textId="2EBD5B83" w:rsidR="00324F04" w:rsidRDefault="00324F04" w:rsidP="006F2334">
      <w:pPr>
        <w:pStyle w:val="Bulletpointbody"/>
      </w:pPr>
      <w:r>
        <w:t xml:space="preserve">people with disability or disability of a particular kind. </w:t>
      </w:r>
    </w:p>
    <w:p w14:paraId="4BA38695" w14:textId="0784316C" w:rsidR="004B692B" w:rsidRDefault="00324F04" w:rsidP="00793AEF">
      <w:pPr>
        <w:jc w:val="both"/>
      </w:pPr>
      <w:r>
        <w:t xml:space="preserve">For competitive sporting activities for persons of 12 years of age or older, participation may be restricted </w:t>
      </w:r>
      <w:r w:rsidR="004B692B" w:rsidRPr="0078243A">
        <w:t>on the basis of ‘sex or gender identity’</w:t>
      </w:r>
      <w:r>
        <w:t xml:space="preserve"> if the restriction is reasonable.</w:t>
      </w:r>
      <w:r w:rsidR="004B692B" w:rsidRPr="0078243A">
        <w:t xml:space="preserve"> </w:t>
      </w:r>
      <w:r>
        <w:t>In assessing whether a restriction is reasonable, regard must be had to: the</w:t>
      </w:r>
      <w:r w:rsidR="004B692B" w:rsidRPr="0078243A">
        <w:t xml:space="preserve"> nature and purpose of the activity</w:t>
      </w:r>
      <w:r w:rsidR="004B692B">
        <w:t xml:space="preserve"> (including the strength, stamina or physique requirements of the activity)</w:t>
      </w:r>
      <w:r>
        <w:t>;</w:t>
      </w:r>
      <w:r w:rsidR="004B692B" w:rsidRPr="0078243A">
        <w:t xml:space="preserve"> the consequences of the exclusion</w:t>
      </w:r>
      <w:r w:rsidR="004B692B">
        <w:t xml:space="preserve"> or restriction</w:t>
      </w:r>
      <w:r>
        <w:t>;</w:t>
      </w:r>
      <w:r w:rsidR="004B692B">
        <w:t xml:space="preserve"> and</w:t>
      </w:r>
      <w:r>
        <w:t>,</w:t>
      </w:r>
      <w:r w:rsidR="004B692B">
        <w:t xml:space="preserve"> whether there are other opportunities for people of the excluded or restricted sex to participate in the activity.</w:t>
      </w:r>
      <w:r w:rsidR="008C2C99">
        <w:t xml:space="preserve"> The inclusion of additional factors which must be considered when assessing whether a restriction is reasonable is intended to ensure that due consideration is given to the rights and interests of persons who may be excluded from a competitive sporting activity. </w:t>
      </w:r>
    </w:p>
    <w:p w14:paraId="035D1683" w14:textId="63986624" w:rsidR="008C2C99" w:rsidRDefault="005678C9" w:rsidP="00793AEF">
      <w:pPr>
        <w:jc w:val="both"/>
      </w:pPr>
      <w:r w:rsidRPr="005678C9">
        <w:t>This clause</w:t>
      </w:r>
      <w:r w:rsidR="00324F04">
        <w:t xml:space="preserve"> will </w:t>
      </w:r>
      <w:r w:rsidR="008C2C99">
        <w:t xml:space="preserve">otherwise </w:t>
      </w:r>
      <w:r w:rsidR="00324F04">
        <w:t xml:space="preserve">maintain the effect </w:t>
      </w:r>
      <w:r w:rsidR="008C2C99">
        <w:t xml:space="preserve">of the existing exception under section 111 of the </w:t>
      </w:r>
      <w:r w:rsidR="0096298A">
        <w:t xml:space="preserve">current </w:t>
      </w:r>
      <w:r w:rsidR="008C2C99">
        <w:t>AD Act after relevant amendments by the BDM</w:t>
      </w:r>
      <w:r w:rsidR="0096298A">
        <w:t>R Act</w:t>
      </w:r>
      <w:r w:rsidR="008C2C99">
        <w:t xml:space="preserve"> come into force on 29 April 2024. The </w:t>
      </w:r>
      <w:r w:rsidR="00C70074">
        <w:t xml:space="preserve">new </w:t>
      </w:r>
      <w:r w:rsidR="008C2C99">
        <w:t>BDM</w:t>
      </w:r>
      <w:r w:rsidR="0096298A">
        <w:t>R</w:t>
      </w:r>
      <w:r w:rsidR="008C2C99">
        <w:t xml:space="preserve"> Act will amend the definition of ‘gender identity’ in the AD Act and introduce the new protected attribute of ‘sex characteristics’. These amendments are replicated in the draft Bill. The amendments made by the </w:t>
      </w:r>
      <w:r w:rsidR="00C70074">
        <w:t xml:space="preserve">new </w:t>
      </w:r>
      <w:r w:rsidR="008C2C99">
        <w:t>BDM</w:t>
      </w:r>
      <w:r w:rsidR="0096298A">
        <w:t>R</w:t>
      </w:r>
      <w:r w:rsidR="008C2C99">
        <w:t xml:space="preserve"> Act from 29 April 2024 will affect the operation of section 111 of the AD Act</w:t>
      </w:r>
      <w:r w:rsidR="0022227E">
        <w:t xml:space="preserve"> by preventing reliance on the exception to discriminate against people with variations in sex characteristics</w:t>
      </w:r>
      <w:r>
        <w:t xml:space="preserve"> (consistent with the recommendations of the Building Belonging Report)</w:t>
      </w:r>
      <w:r w:rsidR="008C2C99">
        <w:t>.</w:t>
      </w:r>
      <w:r w:rsidR="0022227E">
        <w:t xml:space="preserve"> </w:t>
      </w:r>
    </w:p>
    <w:p w14:paraId="467270D8" w14:textId="68934C9E" w:rsidR="004B692B" w:rsidRDefault="004B692B" w:rsidP="00793AEF">
      <w:pPr>
        <w:jc w:val="both"/>
      </w:pPr>
      <w:r>
        <w:t xml:space="preserve">No other state </w:t>
      </w:r>
      <w:r w:rsidR="0022227E">
        <w:t xml:space="preserve">or territory </w:t>
      </w:r>
      <w:r>
        <w:t xml:space="preserve">anti-discrimination legislation currently permits discrimination in </w:t>
      </w:r>
      <w:r w:rsidR="0022227E">
        <w:t xml:space="preserve">relation to </w:t>
      </w:r>
      <w:r>
        <w:t>competitive sporting activit</w:t>
      </w:r>
      <w:r w:rsidR="0022227E">
        <w:t>ies</w:t>
      </w:r>
      <w:r>
        <w:t xml:space="preserve"> based on a person’s sex characteristics</w:t>
      </w:r>
      <w:r w:rsidR="008C2C99">
        <w:t>.</w:t>
      </w:r>
      <w:r w:rsidR="00FB4057">
        <w:t xml:space="preserve"> The </w:t>
      </w:r>
      <w:r w:rsidR="008C2C99">
        <w:t xml:space="preserve"> Victorian </w:t>
      </w:r>
      <w:r w:rsidR="00FB4057">
        <w:t xml:space="preserve">EO Act </w:t>
      </w:r>
      <w:r w:rsidR="002F1822">
        <w:t xml:space="preserve">was recently amended to </w:t>
      </w:r>
      <w:r>
        <w:t>include ‘sex characteristics’</w:t>
      </w:r>
      <w:r w:rsidR="0022227E">
        <w:t xml:space="preserve"> as a protected attributes</w:t>
      </w:r>
      <w:r w:rsidR="008C2C99">
        <w:t>,</w:t>
      </w:r>
      <w:r>
        <w:t xml:space="preserve"> but </w:t>
      </w:r>
      <w:r w:rsidR="008C2C99">
        <w:t>no consequential amendments were made to permit discrimination on the basis of</w:t>
      </w:r>
      <w:r>
        <w:t xml:space="preserve"> sex characteristics in </w:t>
      </w:r>
      <w:r w:rsidR="008C2C99">
        <w:t xml:space="preserve">relation to competitive </w:t>
      </w:r>
      <w:r>
        <w:t>sport</w:t>
      </w:r>
      <w:r w:rsidR="008C2C99">
        <w:t>ing activities</w:t>
      </w:r>
      <w:r>
        <w:t xml:space="preserve">. </w:t>
      </w:r>
      <w:r w:rsidR="008C2C99">
        <w:t>T</w:t>
      </w:r>
      <w:r>
        <w:t xml:space="preserve">he </w:t>
      </w:r>
      <w:r w:rsidRPr="006F2334">
        <w:t>Sex Discrimination Act</w:t>
      </w:r>
      <w:r w:rsidRPr="00C377BF">
        <w:rPr>
          <w:i/>
          <w:iCs/>
        </w:rPr>
        <w:t xml:space="preserve"> </w:t>
      </w:r>
      <w:r w:rsidR="008C2C99">
        <w:t xml:space="preserve">is the only anti-discrimination law in Australia that currently </w:t>
      </w:r>
      <w:r>
        <w:t xml:space="preserve">permits discrimination </w:t>
      </w:r>
      <w:r w:rsidR="008C2C99">
        <w:t xml:space="preserve">on the basis of </w:t>
      </w:r>
      <w:r>
        <w:t>sex characteristics</w:t>
      </w:r>
      <w:r w:rsidR="008C2C99">
        <w:t xml:space="preserve"> </w:t>
      </w:r>
      <w:r>
        <w:t>in sport.</w:t>
      </w:r>
      <w:r w:rsidR="008C2C99">
        <w:rPr>
          <w:rStyle w:val="FootnoteReference"/>
        </w:rPr>
        <w:footnoteReference w:id="25"/>
      </w:r>
      <w:r>
        <w:t xml:space="preserve"> </w:t>
      </w:r>
      <w:r w:rsidR="008C2C99">
        <w:t>However</w:t>
      </w:r>
      <w:r>
        <w:t>, the Law Reform Commission</w:t>
      </w:r>
      <w:r w:rsidR="008C2C99">
        <w:t xml:space="preserve"> of Western Australia</w:t>
      </w:r>
      <w:r>
        <w:t xml:space="preserve"> </w:t>
      </w:r>
      <w:r w:rsidR="008C2C99">
        <w:t xml:space="preserve">recently </w:t>
      </w:r>
      <w:r>
        <w:t xml:space="preserve">recommended including sex characteristics in the sports exception in </w:t>
      </w:r>
      <w:r w:rsidR="008C2C99">
        <w:t xml:space="preserve">legislation to replace the </w:t>
      </w:r>
      <w:r w:rsidRPr="008768F4">
        <w:rPr>
          <w:i/>
          <w:iCs/>
        </w:rPr>
        <w:t>Equal Opportunity Act 1984</w:t>
      </w:r>
      <w:r>
        <w:t xml:space="preserve"> (WA).</w:t>
      </w:r>
      <w:r w:rsidR="008C2C99">
        <w:rPr>
          <w:rStyle w:val="FootnoteReference"/>
        </w:rPr>
        <w:footnoteReference w:id="26"/>
      </w:r>
      <w:r>
        <w:t xml:space="preserve"> </w:t>
      </w:r>
    </w:p>
    <w:p w14:paraId="2F5FE9BC" w14:textId="75EF258F" w:rsidR="004B692B" w:rsidRDefault="004B692B" w:rsidP="00793AEF">
      <w:pPr>
        <w:jc w:val="both"/>
      </w:pPr>
      <w:r>
        <w:t xml:space="preserve">The exception in the draft Bill refers to ‘competitive sporting activity’ without defining that term but </w:t>
      </w:r>
      <w:r w:rsidR="0022227E">
        <w:t xml:space="preserve">continues </w:t>
      </w:r>
      <w:r>
        <w:t>to refer to what it does not include (namely, coaching, umpiring or administration).</w:t>
      </w:r>
    </w:p>
    <w:p w14:paraId="7280C8D2" w14:textId="1B93985A" w:rsidR="005678C9" w:rsidRDefault="005678C9" w:rsidP="00793AEF">
      <w:pPr>
        <w:jc w:val="both"/>
      </w:pPr>
      <w:r>
        <w:t xml:space="preserve">It is also important to note that competitive sport is not a specific area of activity in which discrimination is prohibited. Rather, clause 64 is a general exception, applying to any of the areas of activity in the draft Bill, but is most likely to apply in the area of club membership (e.g. for sporting clubs). </w:t>
      </w:r>
    </w:p>
    <w:p w14:paraId="585E9BA6" w14:textId="53473C8A" w:rsidR="00350C87" w:rsidRDefault="00721554" w:rsidP="004E49AC">
      <w:pPr>
        <w:pStyle w:val="Heading4"/>
      </w:pPr>
      <w:bookmarkStart w:id="117" w:name="_Toc159520321"/>
      <w:r>
        <w:lastRenderedPageBreak/>
        <w:t>Legal incapacity</w:t>
      </w:r>
      <w:bookmarkEnd w:id="117"/>
    </w:p>
    <w:p w14:paraId="5BFC7004" w14:textId="2518B078" w:rsidR="00721554" w:rsidRPr="00B262FE" w:rsidRDefault="00B262FE" w:rsidP="00721554">
      <w:pPr>
        <w:rPr>
          <w:lang w:val="en-US"/>
        </w:rPr>
      </w:pPr>
      <w:r>
        <w:rPr>
          <w:b/>
          <w:bCs/>
          <w:lang w:val="en-US"/>
        </w:rPr>
        <w:t xml:space="preserve">Clause </w:t>
      </w:r>
      <w:r w:rsidR="00D22582">
        <w:rPr>
          <w:b/>
          <w:bCs/>
          <w:lang w:val="en-US"/>
        </w:rPr>
        <w:t>65</w:t>
      </w:r>
      <w:r>
        <w:rPr>
          <w:lang w:val="en-US"/>
        </w:rPr>
        <w:t xml:space="preserve"> of the draft Bill provides that a person may discriminate against another person because the other person is subject to a legal incapacity if the incapacity is relevant to the transaction. This is consistent with section 112 of the current AD Act. </w:t>
      </w:r>
    </w:p>
    <w:p w14:paraId="4086252B" w14:textId="4E3B34FF" w:rsidR="00350C87" w:rsidRDefault="004D24BB" w:rsidP="005678C9">
      <w:pPr>
        <w:pStyle w:val="Heading5"/>
      </w:pPr>
      <w:bookmarkStart w:id="118" w:name="_Toc159520322"/>
      <w:r w:rsidRPr="004D24BB">
        <w:t>What is not included</w:t>
      </w:r>
      <w:r w:rsidR="00753E0E">
        <w:t>?</w:t>
      </w:r>
      <w:bookmarkEnd w:id="118"/>
    </w:p>
    <w:p w14:paraId="754CB1BE" w14:textId="77777777" w:rsidR="00350C87" w:rsidRPr="004B7AB0" w:rsidRDefault="00350C87" w:rsidP="00350C87">
      <w:pPr>
        <w:jc w:val="both"/>
      </w:pPr>
      <w:r>
        <w:t xml:space="preserve">The draft Bill does not include provisions similar to section 104 (welfare measures) and 105 (equal opportunity measures) of the current AD Act, </w:t>
      </w:r>
      <w:r w:rsidRPr="004B7AB0">
        <w:t xml:space="preserve">as these are dealt with by the affirmative measures in </w:t>
      </w:r>
      <w:r w:rsidRPr="004B7AB0">
        <w:rPr>
          <w:b/>
          <w:bCs/>
        </w:rPr>
        <w:t>clause 16</w:t>
      </w:r>
      <w:r w:rsidRPr="004B7AB0">
        <w:t xml:space="preserve"> of the Bill.</w:t>
      </w:r>
    </w:p>
    <w:p w14:paraId="1A4BBF09" w14:textId="7D8CF9B5" w:rsidR="00350C87" w:rsidRDefault="00350C87" w:rsidP="00350C87">
      <w:pPr>
        <w:jc w:val="both"/>
      </w:pPr>
      <w:r w:rsidRPr="004B7AB0">
        <w:t xml:space="preserve">The Bill does not include provisions similar to section 106C of the current AD Act, which relates to accommodation for use in connection with work as a sex worker. </w:t>
      </w:r>
      <w:r w:rsidR="0022227E">
        <w:t xml:space="preserve">This is consistent with the </w:t>
      </w:r>
      <w:r w:rsidR="0022227E" w:rsidRPr="0022227E">
        <w:t>Criminal Code (Decriminalising Sex Work) and Other Legislation Amendment Bill 2024</w:t>
      </w:r>
      <w:r w:rsidR="0022227E">
        <w:t xml:space="preserve">, which proposes to repeal section 106C of the AD Act.  </w:t>
      </w:r>
    </w:p>
    <w:p w14:paraId="63CF21D2" w14:textId="476D58AE" w:rsidR="004B692B" w:rsidRDefault="004B692B" w:rsidP="00350C87">
      <w:pPr>
        <w:pStyle w:val="Heading3"/>
        <w:rPr>
          <w:rFonts w:eastAsia="Times New Roman"/>
        </w:rPr>
      </w:pPr>
      <w:bookmarkStart w:id="119" w:name="_Toc159520323"/>
      <w:r w:rsidRPr="00FE3294">
        <w:rPr>
          <w:rFonts w:eastAsia="Times New Roman"/>
        </w:rPr>
        <w:t>Exemptions</w:t>
      </w:r>
      <w:bookmarkEnd w:id="119"/>
    </w:p>
    <w:p w14:paraId="1C517100" w14:textId="5B87B357" w:rsidR="004B692B" w:rsidRDefault="004B692B" w:rsidP="00793AEF">
      <w:pPr>
        <w:jc w:val="both"/>
      </w:pPr>
      <w:r w:rsidRPr="00980F1A">
        <w:t>The draft Bill allows for an application for a</w:t>
      </w:r>
      <w:r>
        <w:t xml:space="preserve">n exemption from </w:t>
      </w:r>
      <w:r w:rsidR="002F1822">
        <w:t xml:space="preserve">a provision in </w:t>
      </w:r>
      <w:r>
        <w:t>Part 4 to be made to the tribunal (the Industrial Relations Commission (IRC) in a work-related matter or the Queensland Civil and Administrative Tribunal (QCAT) in relation to any other matter) (</w:t>
      </w:r>
      <w:r w:rsidRPr="00980F1A">
        <w:rPr>
          <w:b/>
          <w:bCs/>
        </w:rPr>
        <w:t xml:space="preserve">clause </w:t>
      </w:r>
      <w:r w:rsidR="00D22582">
        <w:rPr>
          <w:b/>
          <w:bCs/>
        </w:rPr>
        <w:t>66</w:t>
      </w:r>
      <w:r>
        <w:t>). It specifies the role of the Commissioner in an application for an exemption (</w:t>
      </w:r>
      <w:r w:rsidRPr="00980F1A">
        <w:rPr>
          <w:b/>
          <w:bCs/>
        </w:rPr>
        <w:t xml:space="preserve">clause </w:t>
      </w:r>
      <w:r w:rsidR="00D22582">
        <w:rPr>
          <w:b/>
          <w:bCs/>
        </w:rPr>
        <w:t>67</w:t>
      </w:r>
      <w:r>
        <w:t>) and provides for the tribunal’s powers to grant an exemption (</w:t>
      </w:r>
      <w:r w:rsidRPr="0017161D">
        <w:rPr>
          <w:b/>
          <w:bCs/>
        </w:rPr>
        <w:t xml:space="preserve">clause </w:t>
      </w:r>
      <w:r w:rsidR="00D22582">
        <w:rPr>
          <w:b/>
          <w:bCs/>
        </w:rPr>
        <w:t>68</w:t>
      </w:r>
      <w:r>
        <w:t>). Th</w:t>
      </w:r>
      <w:r w:rsidR="002F1822">
        <w:t xml:space="preserve">ese clauses are </w:t>
      </w:r>
      <w:r>
        <w:t>based on the approach in section 113 of the current AD Act.</w:t>
      </w:r>
    </w:p>
    <w:p w14:paraId="7B68BC34" w14:textId="7FF7FEBF" w:rsidR="004B692B" w:rsidRPr="00980F1A" w:rsidRDefault="004B692B" w:rsidP="00793AEF">
      <w:pPr>
        <w:jc w:val="both"/>
      </w:pPr>
      <w:r w:rsidRPr="00980F1A">
        <w:t>An application may be transferred by the IRC to QCAT if the IRC considers the exemption sought relates or includes a matter other than a work-related matter</w:t>
      </w:r>
      <w:r>
        <w:rPr>
          <w:b/>
          <w:bCs/>
        </w:rPr>
        <w:t xml:space="preserve"> (c</w:t>
      </w:r>
      <w:r w:rsidRPr="00980F1A">
        <w:rPr>
          <w:b/>
          <w:bCs/>
        </w:rPr>
        <w:t xml:space="preserve">lause </w:t>
      </w:r>
      <w:r w:rsidR="00D22582">
        <w:rPr>
          <w:b/>
          <w:bCs/>
        </w:rPr>
        <w:t>69</w:t>
      </w:r>
      <w:r w:rsidRPr="00980F1A">
        <w:t>), consistent with section 113</w:t>
      </w:r>
      <w:r w:rsidR="00972CF0">
        <w:t>AA</w:t>
      </w:r>
      <w:r w:rsidRPr="00980F1A">
        <w:t xml:space="preserve"> of the current AD Act.</w:t>
      </w:r>
    </w:p>
    <w:p w14:paraId="7C09015C" w14:textId="67F4E609" w:rsidR="009D1152" w:rsidRDefault="004B692B" w:rsidP="00793AEF">
      <w:pPr>
        <w:jc w:val="both"/>
      </w:pPr>
      <w:r>
        <w:t>The Commissioner, or a person with a relevant interest</w:t>
      </w:r>
      <w:r w:rsidR="00D22582">
        <w:t>,</w:t>
      </w:r>
      <w:r>
        <w:t xml:space="preserve"> may appeal against a tribunal’s decision on an application for an exemption (</w:t>
      </w:r>
      <w:r w:rsidRPr="000A1238">
        <w:rPr>
          <w:b/>
          <w:bCs/>
        </w:rPr>
        <w:t xml:space="preserve">clause </w:t>
      </w:r>
      <w:r w:rsidR="00972CF0">
        <w:rPr>
          <w:b/>
          <w:bCs/>
        </w:rPr>
        <w:t>7</w:t>
      </w:r>
      <w:r w:rsidR="00D22582">
        <w:rPr>
          <w:b/>
          <w:bCs/>
        </w:rPr>
        <w:t>0</w:t>
      </w:r>
      <w:r>
        <w:t>), consistent with section 113A of the current AD Act.</w:t>
      </w:r>
    </w:p>
    <w:p w14:paraId="73303B69" w14:textId="7D90E986" w:rsidR="009D1152" w:rsidRDefault="009D1152">
      <w:pPr>
        <w:spacing w:after="0"/>
      </w:pPr>
    </w:p>
    <w:p w14:paraId="00862AF9" w14:textId="121D1787" w:rsidR="004B692B" w:rsidRDefault="004B692B" w:rsidP="00721554">
      <w:pPr>
        <w:pStyle w:val="Heading2"/>
      </w:pPr>
      <w:bookmarkStart w:id="120" w:name="_Toc159520324"/>
      <w:r>
        <w:t xml:space="preserve">Part 5 - </w:t>
      </w:r>
      <w:r w:rsidRPr="000F0E94">
        <w:t>Discrimination against residents of regional communities</w:t>
      </w:r>
      <w:bookmarkEnd w:id="120"/>
    </w:p>
    <w:p w14:paraId="362B525F" w14:textId="35C1D3A0" w:rsidR="004B692B" w:rsidRDefault="004B692B" w:rsidP="00793AEF">
      <w:pPr>
        <w:jc w:val="both"/>
        <w:rPr>
          <w:rFonts w:cstheme="minorHAnsi"/>
        </w:rPr>
      </w:pPr>
      <w:r>
        <w:t>Part 5 of the Bill (</w:t>
      </w:r>
      <w:r w:rsidRPr="000A1238">
        <w:rPr>
          <w:b/>
          <w:bCs/>
        </w:rPr>
        <w:t xml:space="preserve">clauses </w:t>
      </w:r>
      <w:r w:rsidR="00A72C6A">
        <w:rPr>
          <w:b/>
          <w:bCs/>
        </w:rPr>
        <w:t>71</w:t>
      </w:r>
      <w:r>
        <w:rPr>
          <w:b/>
          <w:bCs/>
        </w:rPr>
        <w:t xml:space="preserve"> to </w:t>
      </w:r>
      <w:r w:rsidR="00A72C6A">
        <w:rPr>
          <w:b/>
          <w:bCs/>
        </w:rPr>
        <w:t>77</w:t>
      </w:r>
      <w:r>
        <w:t xml:space="preserve">) concerns discrimination against residents of regional communities, and is based on chapter 5B of the current AD Act. It </w:t>
      </w:r>
      <w:r>
        <w:rPr>
          <w:rFonts w:cstheme="minorHAnsi"/>
        </w:rPr>
        <w:t xml:space="preserve">supports the provisions in the </w:t>
      </w:r>
      <w:r w:rsidRPr="000A1238">
        <w:rPr>
          <w:rFonts w:cstheme="minorHAnsi"/>
          <w:i/>
          <w:iCs/>
        </w:rPr>
        <w:t>Strong and Sustainable Resource Community Act 2017</w:t>
      </w:r>
      <w:r>
        <w:rPr>
          <w:rFonts w:cstheme="minorHAnsi"/>
        </w:rPr>
        <w:t xml:space="preserve"> (SSRC Act) by prohibiting discrimination against a resident of a nearby regional community by an owner or principal contractor of a large resource project when recruiting workers for the project or by terminating a worker’s employment when the worker is or becomes a resident in a nearby regional community rather </w:t>
      </w:r>
      <w:r w:rsidR="00C361A7">
        <w:rPr>
          <w:rFonts w:cstheme="minorHAnsi"/>
        </w:rPr>
        <w:t>a</w:t>
      </w:r>
      <w:r>
        <w:rPr>
          <w:rFonts w:cstheme="minorHAnsi"/>
        </w:rPr>
        <w:t xml:space="preserve"> fly-in fly-out worker.</w:t>
      </w:r>
    </w:p>
    <w:p w14:paraId="7E622825" w14:textId="77777777" w:rsidR="009D1152" w:rsidRDefault="009D1152" w:rsidP="00721554">
      <w:pPr>
        <w:pStyle w:val="Heading2"/>
      </w:pPr>
    </w:p>
    <w:p w14:paraId="3703DE08" w14:textId="2A32EAB0" w:rsidR="004B692B" w:rsidRPr="000F0E94" w:rsidRDefault="004B692B" w:rsidP="00721554">
      <w:pPr>
        <w:pStyle w:val="Heading2"/>
      </w:pPr>
      <w:bookmarkStart w:id="121" w:name="_Toc159520325"/>
      <w:r>
        <w:t xml:space="preserve">Part 6 – Sexual </w:t>
      </w:r>
      <w:r w:rsidR="000E36F6">
        <w:t>harassment</w:t>
      </w:r>
      <w:bookmarkEnd w:id="121"/>
    </w:p>
    <w:p w14:paraId="2A699DD8" w14:textId="4B2D67D7" w:rsidR="004B692B" w:rsidRDefault="004B692B" w:rsidP="00793AEF">
      <w:pPr>
        <w:jc w:val="both"/>
      </w:pPr>
      <w:r>
        <w:t xml:space="preserve">Part 6 of the </w:t>
      </w:r>
      <w:r w:rsidR="00BC5816">
        <w:t xml:space="preserve">draft </w:t>
      </w:r>
      <w:r>
        <w:t>Bill defines, and prohibits, sexual harassment.</w:t>
      </w:r>
    </w:p>
    <w:p w14:paraId="3EABC7DD" w14:textId="2A0FC3AC" w:rsidR="00912372" w:rsidRDefault="00912372" w:rsidP="00572789">
      <w:pPr>
        <w:pStyle w:val="Heading3"/>
      </w:pPr>
      <w:bookmarkStart w:id="122" w:name="_Toc159520326"/>
      <w:r>
        <w:t>Meaning of sexual harassment</w:t>
      </w:r>
      <w:bookmarkEnd w:id="122"/>
    </w:p>
    <w:p w14:paraId="28C20B9E" w14:textId="031917E5" w:rsidR="0070392C" w:rsidRDefault="0070392C" w:rsidP="0070392C">
      <w:pPr>
        <w:jc w:val="both"/>
      </w:pPr>
      <w:r w:rsidRPr="0070392C">
        <w:t xml:space="preserve">Under the current AD Act, sexual harassment is defined as ‘unwelcome sexual conduct that was done either with the intention of offending, humiliating or intimidating the complainant, or in circumstances where a reasonable person would have anticipated the possibility the complainant would be offended, humiliated or intimidated.’ Queensland is the only jurisdiction in Australia which </w:t>
      </w:r>
      <w:r w:rsidRPr="0070392C">
        <w:lastRenderedPageBreak/>
        <w:t>makes sexual harassment unlawful wherever it occurs, rather than restricted to certain areas of activity.</w:t>
      </w:r>
    </w:p>
    <w:p w14:paraId="6CC95F9E" w14:textId="73642470" w:rsidR="00912372" w:rsidRPr="0070392C" w:rsidRDefault="00912372" w:rsidP="0070392C">
      <w:pPr>
        <w:jc w:val="both"/>
      </w:pPr>
      <w:r>
        <w:t xml:space="preserve">Consistent with the recommended approach in </w:t>
      </w:r>
      <w:r w:rsidR="00A07D14">
        <w:t xml:space="preserve">the </w:t>
      </w:r>
      <w:r>
        <w:t>Building Belonging</w:t>
      </w:r>
      <w:r w:rsidR="00A07D14">
        <w:t xml:space="preserve"> Report</w:t>
      </w:r>
      <w:r>
        <w:t>, the current prohibition on (</w:t>
      </w:r>
      <w:r w:rsidRPr="002E7F89">
        <w:rPr>
          <w:b/>
          <w:bCs/>
        </w:rPr>
        <w:t xml:space="preserve">clause </w:t>
      </w:r>
      <w:r w:rsidR="00373C71" w:rsidRPr="002E7F89">
        <w:rPr>
          <w:b/>
          <w:bCs/>
        </w:rPr>
        <w:t>78</w:t>
      </w:r>
      <w:r w:rsidR="00373C71">
        <w:t>)</w:t>
      </w:r>
      <w:r>
        <w:t xml:space="preserve"> and meaning of sexual harassment (</w:t>
      </w:r>
      <w:r w:rsidRPr="002E7F89">
        <w:rPr>
          <w:b/>
          <w:bCs/>
        </w:rPr>
        <w:t xml:space="preserve">clause </w:t>
      </w:r>
      <w:r w:rsidR="00373C71" w:rsidRPr="002E7F89">
        <w:rPr>
          <w:b/>
          <w:bCs/>
        </w:rPr>
        <w:t>79</w:t>
      </w:r>
      <w:r>
        <w:t>) i</w:t>
      </w:r>
      <w:r w:rsidR="00D124AF">
        <w:t>s</w:t>
      </w:r>
      <w:r>
        <w:t xml:space="preserve"> retained. </w:t>
      </w:r>
    </w:p>
    <w:p w14:paraId="47F51BB0" w14:textId="437D98D1" w:rsidR="00912372" w:rsidRPr="00E30F7F" w:rsidRDefault="00912372" w:rsidP="00793AEF">
      <w:pPr>
        <w:jc w:val="both"/>
        <w:rPr>
          <w:rFonts w:cstheme="minorHAnsi"/>
          <w:szCs w:val="22"/>
        </w:rPr>
      </w:pPr>
      <w:r w:rsidRPr="002E7F89">
        <w:rPr>
          <w:rFonts w:cstheme="minorHAnsi"/>
          <w:b/>
          <w:bCs/>
          <w:szCs w:val="22"/>
        </w:rPr>
        <w:t>C</w:t>
      </w:r>
      <w:r w:rsidR="004B692B" w:rsidRPr="00BC5816">
        <w:rPr>
          <w:rFonts w:cstheme="minorHAnsi"/>
          <w:b/>
          <w:bCs/>
          <w:szCs w:val="22"/>
        </w:rPr>
        <w:t>lause</w:t>
      </w:r>
      <w:r w:rsidR="004B692B" w:rsidRPr="00E30F7F">
        <w:rPr>
          <w:rFonts w:cstheme="minorHAnsi"/>
          <w:b/>
          <w:bCs/>
          <w:szCs w:val="22"/>
        </w:rPr>
        <w:t xml:space="preserve"> </w:t>
      </w:r>
      <w:r w:rsidR="00373C71">
        <w:rPr>
          <w:rFonts w:cstheme="minorHAnsi"/>
          <w:b/>
          <w:bCs/>
          <w:szCs w:val="22"/>
        </w:rPr>
        <w:t>79</w:t>
      </w:r>
      <w:r w:rsidRPr="00E30F7F">
        <w:rPr>
          <w:rFonts w:cstheme="minorHAnsi"/>
          <w:szCs w:val="22"/>
        </w:rPr>
        <w:t xml:space="preserve"> provides that sexual harassment happens if: </w:t>
      </w:r>
    </w:p>
    <w:p w14:paraId="61FFC5F5" w14:textId="48E736A7" w:rsidR="00912372" w:rsidRPr="00E30F7F" w:rsidRDefault="00E30F7F" w:rsidP="00721411">
      <w:pPr>
        <w:pStyle w:val="ListParagraph"/>
        <w:numPr>
          <w:ilvl w:val="0"/>
          <w:numId w:val="35"/>
        </w:numPr>
        <w:jc w:val="both"/>
        <w:rPr>
          <w:rFonts w:cstheme="minorHAnsi"/>
          <w:szCs w:val="22"/>
        </w:rPr>
      </w:pPr>
      <w:r w:rsidRPr="00E30F7F">
        <w:rPr>
          <w:rFonts w:cstheme="minorHAnsi"/>
          <w:szCs w:val="22"/>
        </w:rPr>
        <w:t>a person –</w:t>
      </w:r>
    </w:p>
    <w:p w14:paraId="0F855E33" w14:textId="77777777" w:rsidR="00E30F7F" w:rsidRPr="00E30F7F" w:rsidRDefault="00E30F7F" w:rsidP="00721411">
      <w:pPr>
        <w:pStyle w:val="ListParagraph"/>
        <w:numPr>
          <w:ilvl w:val="1"/>
          <w:numId w:val="35"/>
        </w:numPr>
        <w:jc w:val="both"/>
        <w:rPr>
          <w:rFonts w:cstheme="minorHAnsi"/>
          <w:szCs w:val="22"/>
        </w:rPr>
      </w:pPr>
      <w:r w:rsidRPr="00E30F7F">
        <w:rPr>
          <w:rFonts w:cstheme="minorHAnsi"/>
          <w:szCs w:val="22"/>
        </w:rPr>
        <w:t>subjects another person to an unsolicited act of physical intimacy; or</w:t>
      </w:r>
    </w:p>
    <w:p w14:paraId="2B59705E" w14:textId="77777777" w:rsidR="00E30F7F" w:rsidRPr="00E30F7F" w:rsidRDefault="00E30F7F" w:rsidP="00721411">
      <w:pPr>
        <w:pStyle w:val="ListParagraph"/>
        <w:numPr>
          <w:ilvl w:val="1"/>
          <w:numId w:val="35"/>
        </w:numPr>
        <w:jc w:val="both"/>
        <w:rPr>
          <w:rFonts w:cstheme="minorHAnsi"/>
          <w:szCs w:val="22"/>
        </w:rPr>
      </w:pPr>
      <w:r w:rsidRPr="00E30F7F">
        <w:rPr>
          <w:rFonts w:cstheme="minorHAnsi"/>
          <w:color w:val="auto"/>
          <w:kern w:val="0"/>
          <w:szCs w:val="22"/>
        </w:rPr>
        <w:t>makes an unsolicited demand or request, whether directly or by implication, for sexual favours from the other person; or</w:t>
      </w:r>
    </w:p>
    <w:p w14:paraId="22ECA9A9" w14:textId="77777777" w:rsidR="00E30F7F" w:rsidRPr="00E30F7F" w:rsidRDefault="00E30F7F" w:rsidP="00721411">
      <w:pPr>
        <w:pStyle w:val="ListParagraph"/>
        <w:numPr>
          <w:ilvl w:val="1"/>
          <w:numId w:val="35"/>
        </w:numPr>
        <w:jc w:val="both"/>
        <w:rPr>
          <w:rFonts w:cstheme="minorHAnsi"/>
          <w:szCs w:val="22"/>
        </w:rPr>
      </w:pPr>
      <w:r w:rsidRPr="00E30F7F">
        <w:rPr>
          <w:rFonts w:cstheme="minorHAnsi"/>
          <w:color w:val="auto"/>
          <w:kern w:val="0"/>
          <w:szCs w:val="22"/>
        </w:rPr>
        <w:t>makes a remark, orally or in writing, with sexual connotations relating to the other person; or</w:t>
      </w:r>
    </w:p>
    <w:p w14:paraId="74E02E56" w14:textId="7443477A" w:rsidR="00E30F7F" w:rsidRPr="00E30F7F" w:rsidRDefault="00E30F7F" w:rsidP="00721411">
      <w:pPr>
        <w:pStyle w:val="ListParagraph"/>
        <w:numPr>
          <w:ilvl w:val="1"/>
          <w:numId w:val="35"/>
        </w:numPr>
        <w:jc w:val="both"/>
        <w:rPr>
          <w:rFonts w:cstheme="minorHAnsi"/>
          <w:szCs w:val="22"/>
        </w:rPr>
      </w:pPr>
      <w:r w:rsidRPr="00E30F7F">
        <w:rPr>
          <w:rFonts w:cstheme="minorHAnsi"/>
          <w:color w:val="auto"/>
          <w:kern w:val="0"/>
          <w:szCs w:val="22"/>
        </w:rPr>
        <w:t>engages in any other unwelcome conduct of a sexual nature in relation to the other person; and</w:t>
      </w:r>
    </w:p>
    <w:p w14:paraId="756CC142" w14:textId="36D756CB" w:rsidR="00E30F7F" w:rsidRPr="00E30F7F" w:rsidRDefault="00E30F7F" w:rsidP="00721411">
      <w:pPr>
        <w:pStyle w:val="ListParagraph"/>
        <w:numPr>
          <w:ilvl w:val="0"/>
          <w:numId w:val="35"/>
        </w:numPr>
        <w:jc w:val="both"/>
        <w:rPr>
          <w:rFonts w:cstheme="minorHAnsi"/>
          <w:szCs w:val="22"/>
        </w:rPr>
      </w:pPr>
      <w:r w:rsidRPr="00E30F7F">
        <w:rPr>
          <w:rFonts w:cstheme="minorHAnsi"/>
          <w:szCs w:val="22"/>
        </w:rPr>
        <w:t>the person engages in the conduct mentioned in paragraph (a) –</w:t>
      </w:r>
    </w:p>
    <w:p w14:paraId="3FFEB59E" w14:textId="36CD18AA" w:rsidR="00E30F7F" w:rsidRPr="00E30F7F" w:rsidRDefault="00E30F7F" w:rsidP="00721411">
      <w:pPr>
        <w:pStyle w:val="ListParagraph"/>
        <w:numPr>
          <w:ilvl w:val="1"/>
          <w:numId w:val="35"/>
        </w:numPr>
        <w:jc w:val="both"/>
        <w:rPr>
          <w:rFonts w:cstheme="minorHAnsi"/>
          <w:color w:val="auto"/>
          <w:kern w:val="0"/>
          <w:szCs w:val="22"/>
        </w:rPr>
      </w:pPr>
      <w:r w:rsidRPr="00E30F7F">
        <w:rPr>
          <w:rFonts w:cstheme="minorHAnsi"/>
          <w:color w:val="auto"/>
          <w:kern w:val="0"/>
          <w:szCs w:val="22"/>
        </w:rPr>
        <w:t>with the intention of offending, humiliating or intimidating the other person; or</w:t>
      </w:r>
    </w:p>
    <w:p w14:paraId="7537F304" w14:textId="21CC1F87" w:rsidR="00E30F7F" w:rsidRPr="00E30F7F" w:rsidRDefault="00E30F7F" w:rsidP="00721411">
      <w:pPr>
        <w:pStyle w:val="ListParagraph"/>
        <w:numPr>
          <w:ilvl w:val="1"/>
          <w:numId w:val="35"/>
        </w:numPr>
        <w:jc w:val="both"/>
        <w:rPr>
          <w:rFonts w:cstheme="minorHAnsi"/>
          <w:color w:val="auto"/>
          <w:kern w:val="0"/>
          <w:szCs w:val="22"/>
        </w:rPr>
      </w:pPr>
      <w:r w:rsidRPr="00E30F7F">
        <w:rPr>
          <w:rFonts w:cstheme="minorHAnsi"/>
          <w:color w:val="auto"/>
          <w:kern w:val="0"/>
          <w:szCs w:val="22"/>
        </w:rPr>
        <w:t>in circumstances where a reasonable person would have anticipated the possibility that the other person would be offended, humiliated or intimidated by the conduct.</w:t>
      </w:r>
    </w:p>
    <w:p w14:paraId="17E74F8F" w14:textId="445C5B4C" w:rsidR="00E30F7F" w:rsidRDefault="00E30F7F" w:rsidP="00E30F7F">
      <w:pPr>
        <w:jc w:val="both"/>
      </w:pPr>
      <w:r>
        <w:t>The matters that must be considered in deciding whether a reasonable person would have anticipated the possibility that the other person would be offended, humiliated or intimidated by relevant conduct (</w:t>
      </w:r>
      <w:r w:rsidRPr="00062954">
        <w:rPr>
          <w:b/>
          <w:bCs/>
        </w:rPr>
        <w:t xml:space="preserve">clause </w:t>
      </w:r>
      <w:r>
        <w:rPr>
          <w:b/>
          <w:bCs/>
        </w:rPr>
        <w:t>8</w:t>
      </w:r>
      <w:r w:rsidR="00373C71">
        <w:rPr>
          <w:b/>
          <w:bCs/>
        </w:rPr>
        <w:t>0</w:t>
      </w:r>
      <w:r>
        <w:t>) are based on section 120 of the current AD Act.</w:t>
      </w:r>
    </w:p>
    <w:p w14:paraId="1D2617AA" w14:textId="3B5E96B4" w:rsidR="00912372" w:rsidRDefault="00912372" w:rsidP="004E49AC">
      <w:pPr>
        <w:pStyle w:val="Heading4"/>
      </w:pPr>
      <w:bookmarkStart w:id="123" w:name="_Toc159520327"/>
      <w:r>
        <w:t>Respect@Work Report</w:t>
      </w:r>
      <w:bookmarkEnd w:id="123"/>
    </w:p>
    <w:p w14:paraId="31388B88" w14:textId="4FC8E784" w:rsidR="00912372" w:rsidRPr="00912372" w:rsidRDefault="00912372" w:rsidP="00912372">
      <w:pPr>
        <w:jc w:val="both"/>
      </w:pPr>
      <w:r w:rsidRPr="00912372">
        <w:t>The Respect@Work Report recommended a new prohibition of ‘sex-based harassment’ (to cover conduct that falls short of sexual harassment in the Sex Discrimination Act), given the existing threshold for sexual harassment in the Sex Discrimination Act was so high (requiring conduct of a seriously demeaning nature). In contrast the AD Act does not have such a high threshold and the Building Belonging Report found that not only was that type of conduct already prohibited under the current AD Act, adding a new provision risked creating confusion and potentially narrowing the law. The Building Belonging Report therefore recommended retaining the current provisions as the current definition of sexual harassment is effective and operates well</w:t>
      </w:r>
      <w:r w:rsidR="00FB4057">
        <w:t>.</w:t>
      </w:r>
      <w:r w:rsidRPr="00912372">
        <w:t xml:space="preserve"> </w:t>
      </w:r>
    </w:p>
    <w:p w14:paraId="148C8059" w14:textId="3695D92B" w:rsidR="004B692B" w:rsidRDefault="004B692B" w:rsidP="00793AEF">
      <w:pPr>
        <w:jc w:val="both"/>
      </w:pPr>
      <w:r>
        <w:t>However</w:t>
      </w:r>
      <w:r w:rsidR="00912372">
        <w:t>, the draft Bill does</w:t>
      </w:r>
      <w:r>
        <w:t xml:space="preserve"> clarify that a remark with sexual connotations relating to the other person may occur </w:t>
      </w:r>
      <w:r w:rsidRPr="00912372">
        <w:rPr>
          <w:i/>
          <w:iCs/>
        </w:rPr>
        <w:t>orally or in writing</w:t>
      </w:r>
      <w:r>
        <w:t xml:space="preserve">. This is intended to make it clear that the prohibition extends beyond physical acts and achieves closer consistency with section 28A of the </w:t>
      </w:r>
      <w:r w:rsidRPr="006F2334">
        <w:t>Sex Discrimination Act</w:t>
      </w:r>
      <w:r>
        <w:t>.</w:t>
      </w:r>
    </w:p>
    <w:p w14:paraId="327B1C67" w14:textId="69668D04" w:rsidR="00912372" w:rsidRDefault="00A07D14" w:rsidP="00793AEF">
      <w:pPr>
        <w:jc w:val="both"/>
      </w:pPr>
      <w:r>
        <w:t>It is considered that r</w:t>
      </w:r>
      <w:r w:rsidR="00912372">
        <w:t>etaining the current prohibition on sexual harassment</w:t>
      </w:r>
      <w:r w:rsidR="00A35D26">
        <w:t xml:space="preserve">, </w:t>
      </w:r>
      <w:r w:rsidR="00912372">
        <w:t xml:space="preserve">with minor clarifications, along with the following provisions of the draft Bill, will achieve </w:t>
      </w:r>
      <w:r w:rsidR="000C3CD5">
        <w:t xml:space="preserve">optimal </w:t>
      </w:r>
      <w:r w:rsidR="00912372">
        <w:t xml:space="preserve">harmonisation with the Sex </w:t>
      </w:r>
      <w:r w:rsidR="000C3CD5">
        <w:t>Discrimination Act (without a reduction in protections):</w:t>
      </w:r>
    </w:p>
    <w:p w14:paraId="47271F04" w14:textId="1A9334EF" w:rsidR="000C3CD5" w:rsidRDefault="000C3CD5" w:rsidP="00721411">
      <w:pPr>
        <w:keepLines/>
        <w:numPr>
          <w:ilvl w:val="1"/>
          <w:numId w:val="34"/>
        </w:numPr>
        <w:tabs>
          <w:tab w:val="clear" w:pos="1174"/>
        </w:tabs>
        <w:spacing w:before="120" w:after="0"/>
        <w:ind w:left="851" w:right="-284"/>
        <w:jc w:val="both"/>
      </w:pPr>
      <w:bookmarkStart w:id="124" w:name="_Hlk137631324"/>
      <w:r>
        <w:t xml:space="preserve">the </w:t>
      </w:r>
      <w:r w:rsidR="00373C71">
        <w:t>purposes</w:t>
      </w:r>
      <w:r>
        <w:t xml:space="preserve"> of the </w:t>
      </w:r>
      <w:r w:rsidR="00FB4057">
        <w:t xml:space="preserve">draft </w:t>
      </w:r>
      <w:r>
        <w:t xml:space="preserve">Bill including </w:t>
      </w:r>
      <w:r w:rsidR="00A07D14">
        <w:t>to eliminate discrimination, sexual harassment, vilification, victimisation and other unlawful conduct to the greatest extent possible</w:t>
      </w:r>
      <w:r>
        <w:t xml:space="preserve"> (</w:t>
      </w:r>
      <w:r w:rsidR="00373C71" w:rsidRPr="002E7F89">
        <w:rPr>
          <w:b/>
          <w:bCs/>
        </w:rPr>
        <w:t>c</w:t>
      </w:r>
      <w:r w:rsidR="00A07D14" w:rsidRPr="00373C71">
        <w:rPr>
          <w:b/>
          <w:bCs/>
        </w:rPr>
        <w:t>laus</w:t>
      </w:r>
      <w:r w:rsidR="00A07D14">
        <w:rPr>
          <w:b/>
          <w:bCs/>
        </w:rPr>
        <w:t>e 8</w:t>
      </w:r>
      <w:r>
        <w:t>);</w:t>
      </w:r>
      <w:r w:rsidR="00A35D26">
        <w:t xml:space="preserve"> and</w:t>
      </w:r>
    </w:p>
    <w:p w14:paraId="42DDBF95" w14:textId="1C62842D" w:rsidR="000C3CD5" w:rsidRPr="002F3B8B" w:rsidRDefault="000C3CD5" w:rsidP="00721411">
      <w:pPr>
        <w:keepLines/>
        <w:numPr>
          <w:ilvl w:val="1"/>
          <w:numId w:val="34"/>
        </w:numPr>
        <w:tabs>
          <w:tab w:val="clear" w:pos="1174"/>
        </w:tabs>
        <w:spacing w:before="120" w:after="0"/>
        <w:ind w:left="851" w:right="-284"/>
        <w:jc w:val="both"/>
        <w:rPr>
          <w:b/>
          <w:i/>
        </w:rPr>
      </w:pPr>
      <w:r w:rsidRPr="00FC2A95">
        <w:t xml:space="preserve">a positive duty to take reasonable and proportionate measures to eliminate discrimination, sexual harassment, </w:t>
      </w:r>
      <w:r w:rsidR="00A07D14">
        <w:t>vilification or victimisation as far as</w:t>
      </w:r>
      <w:r>
        <w:t xml:space="preserve"> </w:t>
      </w:r>
      <w:r w:rsidRPr="00FC2A95">
        <w:t>possible (</w:t>
      </w:r>
      <w:r w:rsidR="00373C71" w:rsidRPr="002E7F89">
        <w:rPr>
          <w:b/>
          <w:bCs/>
        </w:rPr>
        <w:t>c</w:t>
      </w:r>
      <w:r w:rsidR="00A35D26" w:rsidRPr="00373C71">
        <w:rPr>
          <w:b/>
          <w:bCs/>
        </w:rPr>
        <w:t>lause 1</w:t>
      </w:r>
      <w:r w:rsidR="00A35D26">
        <w:rPr>
          <w:b/>
          <w:bCs/>
        </w:rPr>
        <w:t>9</w:t>
      </w:r>
      <w:r w:rsidRPr="00FC2A95">
        <w:t>) with complementary enforcement powers</w:t>
      </w:r>
      <w:r w:rsidR="00A35D26">
        <w:t xml:space="preserve"> for the QHRC (</w:t>
      </w:r>
      <w:r w:rsidR="00A35D26" w:rsidRPr="00A35D26">
        <w:rPr>
          <w:b/>
          <w:bCs/>
        </w:rPr>
        <w:t>Part 12</w:t>
      </w:r>
      <w:r w:rsidR="00A35D26">
        <w:t>).</w:t>
      </w:r>
    </w:p>
    <w:bookmarkEnd w:id="124"/>
    <w:p w14:paraId="3C8003DE" w14:textId="3B5BC785" w:rsidR="0002048F" w:rsidRDefault="0002048F">
      <w:pPr>
        <w:spacing w:after="0"/>
        <w:rPr>
          <w:rFonts w:asciiTheme="majorHAnsi" w:eastAsiaTheme="majorEastAsia" w:hAnsiTheme="majorHAnsi" w:cstheme="majorBidi"/>
          <w:b/>
          <w:color w:val="033651" w:themeColor="accent1"/>
          <w:sz w:val="40"/>
          <w:szCs w:val="26"/>
        </w:rPr>
      </w:pPr>
      <w:r>
        <w:br w:type="page"/>
      </w:r>
    </w:p>
    <w:p w14:paraId="4B020D50" w14:textId="77777777" w:rsidR="00572789" w:rsidRDefault="00572789" w:rsidP="00572789">
      <w:pPr>
        <w:pStyle w:val="Heading2"/>
      </w:pPr>
    </w:p>
    <w:p w14:paraId="2D9F5DAF" w14:textId="34A5176A" w:rsidR="004B692B" w:rsidRPr="000F0E94" w:rsidRDefault="004B692B" w:rsidP="00572789">
      <w:pPr>
        <w:pStyle w:val="Heading2"/>
      </w:pPr>
      <w:bookmarkStart w:id="125" w:name="_Toc159520328"/>
      <w:r>
        <w:t>Part 7 – Vilification, victimisation and other unlawful conduct</w:t>
      </w:r>
      <w:bookmarkEnd w:id="125"/>
    </w:p>
    <w:p w14:paraId="78E348E4" w14:textId="6A6A780C" w:rsidR="00990557" w:rsidRDefault="00990557" w:rsidP="00990557">
      <w:pPr>
        <w:jc w:val="both"/>
      </w:pPr>
      <w:r w:rsidRPr="00990557">
        <w:t>In most jurisdictions around Australia, anti-discrimination laws will also prohibit certain additional behaviour beyond discrimination. The purpose of this part will be to set out, and prohibit, this other unlawful conduct.</w:t>
      </w:r>
    </w:p>
    <w:p w14:paraId="67BFF022" w14:textId="4EF1CFBC" w:rsidR="00AB35DB" w:rsidRPr="00AB35DB" w:rsidRDefault="00721411" w:rsidP="00882B97">
      <w:pPr>
        <w:pStyle w:val="Heading3"/>
      </w:pPr>
      <w:bookmarkStart w:id="126" w:name="_Toc159520329"/>
      <w:r>
        <w:t>Background - t</w:t>
      </w:r>
      <w:r w:rsidR="00AB35DB" w:rsidRPr="00AB35DB">
        <w:t>he LASC inquiries</w:t>
      </w:r>
      <w:bookmarkEnd w:id="126"/>
    </w:p>
    <w:p w14:paraId="44825959" w14:textId="735CABB1" w:rsidR="00AB35DB" w:rsidRPr="00AB35DB" w:rsidRDefault="00AB35DB" w:rsidP="00AB35DB">
      <w:pPr>
        <w:jc w:val="both"/>
      </w:pPr>
      <w:r w:rsidRPr="00AB35DB">
        <w:t>The LASC Report of the Inquiry into serious vilification and hate crimes (</w:t>
      </w:r>
      <w:r>
        <w:t>LASC Vilification Report</w:t>
      </w:r>
      <w:r w:rsidRPr="00AB35DB">
        <w:t xml:space="preserve">) contained 17 recommendations for reform to Queensland’s vilification laws, including recommendations for reform to both serious vilification (criminal vilification) and vilification (civil vilification) in the AD Act. The Criminal Code (Serious Vilification and Hate Crimes) and Other Legislation Amendment Bill 2023 responded to </w:t>
      </w:r>
      <w:r w:rsidR="00721411">
        <w:t xml:space="preserve">various recommendations in the LASC Vilification </w:t>
      </w:r>
      <w:r w:rsidRPr="00AB35DB">
        <w:t xml:space="preserve">Report </w:t>
      </w:r>
      <w:r w:rsidR="00721411">
        <w:t>(including moving the offence of serious vilification to the Criminal Code,</w:t>
      </w:r>
      <w:r w:rsidR="00B2227A">
        <w:t xml:space="preserve"> </w:t>
      </w:r>
      <w:r w:rsidRPr="00AB35DB">
        <w:t>introducing circumstances of aggravation relating to vilification motivating certain criminal conduct, and prohibiting the display of hate symbols</w:t>
      </w:r>
      <w:r w:rsidR="00B00D96">
        <w:t>)</w:t>
      </w:r>
      <w:r w:rsidRPr="00AB35DB">
        <w:t>. The LASC Report No. 49: Criminal Code (Serious Vilification and Hate Crimes) and Other Legislation Amendment Bill 2023 (</w:t>
      </w:r>
      <w:r w:rsidR="00721411">
        <w:t xml:space="preserve">LASC </w:t>
      </w:r>
      <w:bookmarkStart w:id="127" w:name="_Hlk159260787"/>
      <w:r w:rsidR="00721411">
        <w:t>Vilification and Hate Crimes Bill Report</w:t>
      </w:r>
      <w:bookmarkEnd w:id="127"/>
      <w:r w:rsidRPr="00AB35DB">
        <w:t>) also made a number of recommendations relating to vilification.</w:t>
      </w:r>
    </w:p>
    <w:p w14:paraId="465BBCC8" w14:textId="6A675A80" w:rsidR="00AB35DB" w:rsidRPr="00AB35DB" w:rsidRDefault="00AB35DB" w:rsidP="00AB35DB">
      <w:pPr>
        <w:jc w:val="both"/>
      </w:pPr>
      <w:r w:rsidRPr="00AB35DB">
        <w:t xml:space="preserve">The government response </w:t>
      </w:r>
      <w:r w:rsidR="00721411">
        <w:t>(</w:t>
      </w:r>
      <w:r w:rsidRPr="00AB35DB">
        <w:t xml:space="preserve">to both </w:t>
      </w:r>
      <w:r w:rsidR="00721411">
        <w:t xml:space="preserve">the </w:t>
      </w:r>
      <w:bookmarkStart w:id="128" w:name="_Hlk159260968"/>
      <w:r w:rsidR="00721411">
        <w:t xml:space="preserve">LASC Vilification Report </w:t>
      </w:r>
      <w:bookmarkEnd w:id="128"/>
      <w:r w:rsidR="00721411">
        <w:t xml:space="preserve">and the </w:t>
      </w:r>
      <w:bookmarkStart w:id="129" w:name="_Hlk159260997"/>
      <w:r w:rsidR="00721411">
        <w:t xml:space="preserve">LASC </w:t>
      </w:r>
      <w:r w:rsidR="00721411" w:rsidRPr="00721411">
        <w:t>Vilification and Hate Crimes Bill Report</w:t>
      </w:r>
      <w:bookmarkEnd w:id="129"/>
      <w:r w:rsidR="00721411">
        <w:t xml:space="preserve">) </w:t>
      </w:r>
      <w:r w:rsidRPr="00AB35DB">
        <w:t>noted that some issues around vilification would be considered as part of the response to the Building Belonging Report</w:t>
      </w:r>
      <w:r w:rsidR="00721411">
        <w:t xml:space="preserve"> </w:t>
      </w:r>
      <w:r w:rsidRPr="00AB35DB">
        <w:t xml:space="preserve">. The recommendations from the LASC reports that are being considered as part of the </w:t>
      </w:r>
      <w:r w:rsidR="00721411">
        <w:t>draft Bill</w:t>
      </w:r>
      <w:r w:rsidRPr="00AB35DB">
        <w:t xml:space="preserve"> include:</w:t>
      </w:r>
    </w:p>
    <w:p w14:paraId="4866252A" w14:textId="6F1FBECB" w:rsidR="00AB35DB" w:rsidRPr="00AB35DB" w:rsidRDefault="00AB35DB" w:rsidP="00721411">
      <w:pPr>
        <w:numPr>
          <w:ilvl w:val="0"/>
          <w:numId w:val="38"/>
        </w:numPr>
        <w:jc w:val="both"/>
      </w:pPr>
      <w:r w:rsidRPr="00AB35DB">
        <w:t>updating and expanding the list of protected attributes for both criminal and civil vilification to include race, religion, sex, sexual orientation, gender identity, sex characteristics, disability and age</w:t>
      </w:r>
      <w:r w:rsidR="00721411">
        <w:t xml:space="preserve"> </w:t>
      </w:r>
      <w:bookmarkStart w:id="130" w:name="_Hlk159261012"/>
      <w:r w:rsidR="00721411">
        <w:t xml:space="preserve">(recommendation </w:t>
      </w:r>
      <w:r w:rsidR="00B2227A">
        <w:t>4</w:t>
      </w:r>
      <w:r w:rsidR="00721411">
        <w:t xml:space="preserve"> of the </w:t>
      </w:r>
      <w:r w:rsidR="00721411" w:rsidRPr="00721411">
        <w:t>LASC Vilification Report</w:t>
      </w:r>
      <w:r w:rsidR="00721411">
        <w:t xml:space="preserve"> and recommendation </w:t>
      </w:r>
      <w:r w:rsidR="00B2227A">
        <w:t>2</w:t>
      </w:r>
      <w:r w:rsidR="00721411">
        <w:t xml:space="preserve"> of the LASC </w:t>
      </w:r>
      <w:r w:rsidR="00721411" w:rsidRPr="00721411">
        <w:t>Vilification and Hate Crimes Bill Report</w:t>
      </w:r>
      <w:r w:rsidR="00721411">
        <w:t>)</w:t>
      </w:r>
      <w:r w:rsidRPr="00AB35DB">
        <w:t>;</w:t>
      </w:r>
      <w:bookmarkEnd w:id="130"/>
    </w:p>
    <w:p w14:paraId="11AC944D" w14:textId="77EEF18E" w:rsidR="00AB35DB" w:rsidRPr="00AB35DB" w:rsidRDefault="00AB35DB" w:rsidP="00721411">
      <w:pPr>
        <w:numPr>
          <w:ilvl w:val="0"/>
          <w:numId w:val="38"/>
        </w:numPr>
        <w:jc w:val="both"/>
      </w:pPr>
      <w:r w:rsidRPr="00AB35DB">
        <w:t>clarifying that the test for civil vilification does not require a complainant to show that another person was actually incited, but instead that the public act was ‘reasonably likely’ to incite (that is, an objective incitement test)</w:t>
      </w:r>
      <w:r w:rsidR="00721411">
        <w:t xml:space="preserve"> </w:t>
      </w:r>
      <w:r w:rsidRPr="00AB35DB">
        <w:t>;</w:t>
      </w:r>
      <w:r w:rsidR="00721411" w:rsidRPr="00721411">
        <w:t xml:space="preserve"> (recommendation </w:t>
      </w:r>
      <w:r w:rsidR="00B2227A">
        <w:t>5</w:t>
      </w:r>
      <w:r w:rsidR="00721411" w:rsidRPr="00721411">
        <w:t xml:space="preserve"> of the LASC Vilification Report)</w:t>
      </w:r>
      <w:r w:rsidR="00721411" w:rsidRPr="00AB35DB">
        <w:t>;</w:t>
      </w:r>
    </w:p>
    <w:p w14:paraId="24C211DC" w14:textId="5DF459CC" w:rsidR="00AB35DB" w:rsidRPr="00AB35DB" w:rsidRDefault="00AB35DB" w:rsidP="00721411">
      <w:pPr>
        <w:numPr>
          <w:ilvl w:val="0"/>
          <w:numId w:val="38"/>
        </w:numPr>
        <w:jc w:val="both"/>
      </w:pPr>
      <w:r w:rsidRPr="00AB35DB">
        <w:t>introduction of new ‘harm based provision’ in the AD Act, which will prohibit public acts that a reasonable person would consider hateful, seriously contemptuous, or reviling or seriously ridiculing of a person or a class of persons</w:t>
      </w:r>
      <w:r w:rsidR="00721411">
        <w:t xml:space="preserve"> </w:t>
      </w:r>
      <w:r w:rsidR="00721411" w:rsidRPr="00721411">
        <w:t xml:space="preserve">(recommendation </w:t>
      </w:r>
      <w:r w:rsidR="00B2227A">
        <w:t>5</w:t>
      </w:r>
      <w:r w:rsidR="00721411" w:rsidRPr="00721411">
        <w:t xml:space="preserve"> of the LASC Vilification Report)</w:t>
      </w:r>
      <w:r w:rsidR="00721411" w:rsidRPr="00AB35DB">
        <w:t>;</w:t>
      </w:r>
      <w:r w:rsidRPr="00AB35DB">
        <w:t xml:space="preserve"> and</w:t>
      </w:r>
    </w:p>
    <w:p w14:paraId="4433EE20" w14:textId="3B735E69" w:rsidR="00AB35DB" w:rsidRPr="00AB35DB" w:rsidRDefault="00AB35DB" w:rsidP="00721411">
      <w:pPr>
        <w:numPr>
          <w:ilvl w:val="0"/>
          <w:numId w:val="38"/>
        </w:numPr>
        <w:jc w:val="both"/>
      </w:pPr>
      <w:r w:rsidRPr="00AB35DB">
        <w:t>a new definition of ‘public act’ for both criminal and civil vilification which encompasses social media and other online communication as well as conduct which occurs in closed environments, such as schools and hospitals</w:t>
      </w:r>
      <w:r w:rsidR="00721411">
        <w:t xml:space="preserve"> </w:t>
      </w:r>
      <w:r w:rsidR="00721411" w:rsidRPr="00721411">
        <w:t xml:space="preserve">(recommendation </w:t>
      </w:r>
      <w:r w:rsidR="00B2227A">
        <w:t>6</w:t>
      </w:r>
      <w:r w:rsidR="00721411" w:rsidRPr="00721411">
        <w:t xml:space="preserve"> of the LASC Vilification Report and recommendation </w:t>
      </w:r>
      <w:r w:rsidR="00B2227A">
        <w:t>3</w:t>
      </w:r>
      <w:r w:rsidR="00721411" w:rsidRPr="00721411">
        <w:t xml:space="preserve"> of the LASC Vilification and Hate Crimes Bill Report)</w:t>
      </w:r>
      <w:r w:rsidR="00721411">
        <w:t>.</w:t>
      </w:r>
    </w:p>
    <w:p w14:paraId="0E52A9EC" w14:textId="2E7E631B" w:rsidR="00AB35DB" w:rsidRPr="00990557" w:rsidRDefault="00AB35DB" w:rsidP="00AB35DB">
      <w:pPr>
        <w:pStyle w:val="Heading3"/>
      </w:pPr>
      <w:bookmarkStart w:id="131" w:name="_Toc159520330"/>
      <w:r>
        <w:t>The purpose of Part 7</w:t>
      </w:r>
      <w:bookmarkEnd w:id="131"/>
    </w:p>
    <w:p w14:paraId="55D9C8EE" w14:textId="7CB70A20" w:rsidR="004B692B" w:rsidRDefault="004B692B" w:rsidP="00793AEF">
      <w:pPr>
        <w:jc w:val="both"/>
      </w:pPr>
      <w:r w:rsidRPr="00671F74">
        <w:t xml:space="preserve">The purpose of Part 7 of the draft Bill, as </w:t>
      </w:r>
      <w:r>
        <w:t xml:space="preserve">identified </w:t>
      </w:r>
      <w:r w:rsidRPr="00671F74">
        <w:t xml:space="preserve">in </w:t>
      </w:r>
      <w:r w:rsidRPr="00671F74">
        <w:rPr>
          <w:b/>
          <w:bCs/>
        </w:rPr>
        <w:t xml:space="preserve">clause </w:t>
      </w:r>
      <w:r w:rsidR="00E73EC9">
        <w:rPr>
          <w:b/>
          <w:bCs/>
        </w:rPr>
        <w:t>8</w:t>
      </w:r>
      <w:r w:rsidR="00373C71">
        <w:rPr>
          <w:b/>
          <w:bCs/>
        </w:rPr>
        <w:t>1</w:t>
      </w:r>
      <w:r w:rsidRPr="00671F74">
        <w:t>, is to promote equ</w:t>
      </w:r>
      <w:r>
        <w:t xml:space="preserve">ality of opportunity for everyone by prohibiting particular conduct that is inconsistent with the </w:t>
      </w:r>
      <w:r w:rsidR="00373C71">
        <w:t xml:space="preserve">purposes </w:t>
      </w:r>
      <w:r>
        <w:t xml:space="preserve">of the </w:t>
      </w:r>
      <w:r w:rsidR="0096298A">
        <w:t>draft Bill</w:t>
      </w:r>
      <w:r>
        <w:t xml:space="preserve">. In general terms, the conduct captured is vilification, victimisation, unlawful advertising, unlawful requests for information and certain </w:t>
      </w:r>
      <w:r w:rsidR="00E73EC9">
        <w:t xml:space="preserve">other </w:t>
      </w:r>
      <w:r>
        <w:t>types of unlawful conduct.</w:t>
      </w:r>
    </w:p>
    <w:p w14:paraId="06F86600" w14:textId="18FDCE6B" w:rsidR="00990557" w:rsidRDefault="004B692B" w:rsidP="00793AEF">
      <w:pPr>
        <w:jc w:val="both"/>
      </w:pPr>
      <w:r w:rsidRPr="00E57EFA">
        <w:rPr>
          <w:b/>
          <w:bCs/>
        </w:rPr>
        <w:t xml:space="preserve">Clause </w:t>
      </w:r>
      <w:r w:rsidR="00373C71">
        <w:rPr>
          <w:b/>
          <w:bCs/>
        </w:rPr>
        <w:t>82</w:t>
      </w:r>
      <w:r>
        <w:t xml:space="preserve"> provides that a contravention of a provision prohibiting conduct under Part 7 will generally be dealt with by a complaint by a person against the person who has engaged in the conduct. However, if a provision includes a penalty, a contravention may be dealt with</w:t>
      </w:r>
      <w:r w:rsidR="00990557">
        <w:t xml:space="preserve"> either by:</w:t>
      </w:r>
    </w:p>
    <w:p w14:paraId="328EA350" w14:textId="5BEDE30A" w:rsidR="00990557" w:rsidRDefault="004B692B" w:rsidP="00721411">
      <w:pPr>
        <w:pStyle w:val="ListParagraph"/>
        <w:numPr>
          <w:ilvl w:val="0"/>
          <w:numId w:val="36"/>
        </w:numPr>
        <w:jc w:val="both"/>
      </w:pPr>
      <w:r>
        <w:lastRenderedPageBreak/>
        <w:t xml:space="preserve">a complaint </w:t>
      </w:r>
      <w:r w:rsidR="00990557">
        <w:t xml:space="preserve">under Part 9 of the draft Bill; </w:t>
      </w:r>
      <w:r>
        <w:t xml:space="preserve">or </w:t>
      </w:r>
    </w:p>
    <w:p w14:paraId="1EFE41CF" w14:textId="7D013657" w:rsidR="004B692B" w:rsidRDefault="004B692B" w:rsidP="00721411">
      <w:pPr>
        <w:pStyle w:val="ListParagraph"/>
        <w:numPr>
          <w:ilvl w:val="0"/>
          <w:numId w:val="36"/>
        </w:numPr>
        <w:jc w:val="both"/>
      </w:pPr>
      <w:r>
        <w:t>a proceeding for an offence against the provision brought by the Commissioner against the person who has engaged in the conduct.</w:t>
      </w:r>
    </w:p>
    <w:p w14:paraId="1B2F5288" w14:textId="4EF3E84A" w:rsidR="004B692B" w:rsidRDefault="004B692B" w:rsidP="00990557">
      <w:pPr>
        <w:pStyle w:val="Heading3"/>
        <w:rPr>
          <w:rFonts w:eastAsia="Times New Roman"/>
        </w:rPr>
      </w:pPr>
      <w:bookmarkStart w:id="132" w:name="_Toc159520331"/>
      <w:r w:rsidRPr="00002FB0">
        <w:rPr>
          <w:rFonts w:eastAsia="Times New Roman"/>
        </w:rPr>
        <w:t>Vilification</w:t>
      </w:r>
      <w:bookmarkEnd w:id="132"/>
    </w:p>
    <w:p w14:paraId="7E234B4D" w14:textId="48D63C35" w:rsidR="00604709" w:rsidRPr="00604709" w:rsidRDefault="00604709" w:rsidP="00604709">
      <w:pPr>
        <w:pStyle w:val="Heading4"/>
      </w:pPr>
      <w:bookmarkStart w:id="133" w:name="_Toc159520332"/>
      <w:r>
        <w:t>The prohibitions</w:t>
      </w:r>
      <w:bookmarkEnd w:id="133"/>
    </w:p>
    <w:p w14:paraId="017DE4F5" w14:textId="5BE498DD" w:rsidR="004B692B" w:rsidRDefault="00990557" w:rsidP="00793AEF">
      <w:pPr>
        <w:jc w:val="both"/>
      </w:pPr>
      <w:r w:rsidRPr="00990557">
        <w:t>The</w:t>
      </w:r>
      <w:r w:rsidR="004B692B" w:rsidRPr="00990557">
        <w:t xml:space="preserve"> current AD Act currently provides for a prohibition on vilification</w:t>
      </w:r>
      <w:r w:rsidRPr="00990557">
        <w:t xml:space="preserve"> (</w:t>
      </w:r>
      <w:r w:rsidRPr="002E7F89">
        <w:t>section 124A</w:t>
      </w:r>
      <w:r w:rsidRPr="00990557">
        <w:t>)</w:t>
      </w:r>
      <w:r>
        <w:t xml:space="preserve"> and</w:t>
      </w:r>
      <w:r w:rsidRPr="00990557">
        <w:t xml:space="preserve"> </w:t>
      </w:r>
      <w:r w:rsidR="004B692B" w:rsidRPr="00990557">
        <w:t>an offence of serious vilification</w:t>
      </w:r>
      <w:r w:rsidRPr="00990557">
        <w:t xml:space="preserve"> (</w:t>
      </w:r>
      <w:r w:rsidRPr="002E7F89">
        <w:t>section 131A</w:t>
      </w:r>
      <w:r w:rsidRPr="00990557">
        <w:t>).</w:t>
      </w:r>
      <w:r>
        <w:rPr>
          <w:b/>
          <w:bCs/>
        </w:rPr>
        <w:t xml:space="preserve"> </w:t>
      </w:r>
      <w:r w:rsidR="004B692B" w:rsidRPr="00BA26CB">
        <w:t xml:space="preserve"> </w:t>
      </w:r>
    </w:p>
    <w:p w14:paraId="7174E846" w14:textId="205AB24E" w:rsidR="00990557" w:rsidRDefault="00990557" w:rsidP="00793AEF">
      <w:pPr>
        <w:jc w:val="both"/>
      </w:pPr>
      <w:r>
        <w:t>The draft Bill includes:</w:t>
      </w:r>
    </w:p>
    <w:p w14:paraId="52772364" w14:textId="2D1AC976" w:rsidR="00990557" w:rsidRDefault="00990557" w:rsidP="00721411">
      <w:pPr>
        <w:pStyle w:val="ListParagraph"/>
        <w:numPr>
          <w:ilvl w:val="0"/>
          <w:numId w:val="37"/>
        </w:numPr>
        <w:jc w:val="both"/>
      </w:pPr>
      <w:r>
        <w:t xml:space="preserve">a prohibition on a public act that incites, or is </w:t>
      </w:r>
      <w:r w:rsidRPr="00AB35DB">
        <w:rPr>
          <w:i/>
          <w:iCs/>
        </w:rPr>
        <w:t>reasonably likely to</w:t>
      </w:r>
      <w:r>
        <w:t xml:space="preserve"> incite hatred, serious contempt or severe ridicule (</w:t>
      </w:r>
      <w:r w:rsidRPr="00990557">
        <w:rPr>
          <w:b/>
          <w:bCs/>
        </w:rPr>
        <w:t xml:space="preserve">clause </w:t>
      </w:r>
      <w:r w:rsidR="00373C71">
        <w:rPr>
          <w:b/>
          <w:bCs/>
        </w:rPr>
        <w:t>85</w:t>
      </w:r>
      <w:r>
        <w:t xml:space="preserve">) </w:t>
      </w:r>
      <w:r w:rsidR="00604709">
        <w:t>(</w:t>
      </w:r>
      <w:r w:rsidR="00AB35DB">
        <w:t xml:space="preserve">the ‘incitement’ provision </w:t>
      </w:r>
      <w:r>
        <w:t xml:space="preserve">based on section 124A of the </w:t>
      </w:r>
      <w:r w:rsidR="0096298A">
        <w:t xml:space="preserve">current AD </w:t>
      </w:r>
      <w:r>
        <w:t>Act</w:t>
      </w:r>
      <w:r w:rsidR="00604709">
        <w:t>)</w:t>
      </w:r>
      <w:r>
        <w:t>; and</w:t>
      </w:r>
    </w:p>
    <w:p w14:paraId="1FA3E242" w14:textId="5CAD6A04" w:rsidR="00990557" w:rsidRPr="00604709" w:rsidRDefault="00990557" w:rsidP="00721411">
      <w:pPr>
        <w:pStyle w:val="ListParagraph"/>
        <w:numPr>
          <w:ilvl w:val="0"/>
          <w:numId w:val="37"/>
        </w:numPr>
        <w:jc w:val="both"/>
      </w:pPr>
      <w:r>
        <w:t xml:space="preserve">a prohibition on </w:t>
      </w:r>
      <w:r w:rsidR="00604709">
        <w:t xml:space="preserve">engaging in a public act that a reasonable person would consider </w:t>
      </w:r>
      <w:r>
        <w:t xml:space="preserve">hateful, </w:t>
      </w:r>
      <w:r w:rsidRPr="00604709">
        <w:t>reviling</w:t>
      </w:r>
      <w:r w:rsidR="00604709" w:rsidRPr="00604709">
        <w:t>, seriously contemptuous, or seriously ridiculing (</w:t>
      </w:r>
      <w:r w:rsidR="00604709" w:rsidRPr="002E7F89">
        <w:rPr>
          <w:b/>
          <w:bCs/>
        </w:rPr>
        <w:t xml:space="preserve">clause </w:t>
      </w:r>
      <w:r w:rsidR="00373C71">
        <w:rPr>
          <w:b/>
          <w:bCs/>
        </w:rPr>
        <w:t>84</w:t>
      </w:r>
      <w:r w:rsidR="00604709" w:rsidRPr="00604709">
        <w:t xml:space="preserve">) (a new </w:t>
      </w:r>
      <w:r w:rsidR="00604709">
        <w:t xml:space="preserve">‘harm-based’ </w:t>
      </w:r>
      <w:r w:rsidR="00AB35DB">
        <w:t>provision</w:t>
      </w:r>
      <w:r w:rsidR="00604709" w:rsidRPr="00604709">
        <w:t xml:space="preserve">). </w:t>
      </w:r>
    </w:p>
    <w:p w14:paraId="55FF0A30" w14:textId="52626998" w:rsidR="00AB35DB" w:rsidRDefault="00AB35DB" w:rsidP="00D86093">
      <w:pPr>
        <w:jc w:val="both"/>
      </w:pPr>
      <w:r>
        <w:t>The ‘incitement’ provision makes it clearer that it is not necessary to show actual incitement.</w:t>
      </w:r>
    </w:p>
    <w:p w14:paraId="381A72F4" w14:textId="19181FB5" w:rsidR="00D86093" w:rsidRPr="00D86093" w:rsidRDefault="00D86093" w:rsidP="00D86093">
      <w:pPr>
        <w:jc w:val="both"/>
      </w:pPr>
      <w:r>
        <w:t xml:space="preserve">The new ‘harm-based’ provision addresses </w:t>
      </w:r>
      <w:r w:rsidRPr="00965EF2">
        <w:t xml:space="preserve">recommendation </w:t>
      </w:r>
      <w:r w:rsidR="00965EF2">
        <w:t xml:space="preserve">5 </w:t>
      </w:r>
      <w:r>
        <w:t xml:space="preserve">of the </w:t>
      </w:r>
      <w:r w:rsidRPr="00D86093">
        <w:t xml:space="preserve">LASC Vilification Report, </w:t>
      </w:r>
      <w:r w:rsidR="00965EF2">
        <w:t>where the Committee</w:t>
      </w:r>
      <w:r w:rsidRPr="00D86093">
        <w:t xml:space="preserve"> </w:t>
      </w:r>
      <w:r>
        <w:t xml:space="preserve">recommended that </w:t>
      </w:r>
      <w:r w:rsidRPr="00D86093">
        <w:t>the civil test under section 124A of the current AD Act be changed to reflect a focus on the impact that the vilification has on the victim.</w:t>
      </w:r>
      <w:r>
        <w:t xml:space="preserve"> Rather than change the current ‘incitement’ based </w:t>
      </w:r>
      <w:r w:rsidR="00AB35DB">
        <w:t>provision</w:t>
      </w:r>
      <w:r>
        <w:t xml:space="preserve">, an additional complementary ‘harm-based’ </w:t>
      </w:r>
      <w:r w:rsidR="00AB35DB">
        <w:t>provision</w:t>
      </w:r>
      <w:r>
        <w:t xml:space="preserve"> is included.</w:t>
      </w:r>
    </w:p>
    <w:p w14:paraId="5CC2F460" w14:textId="77777777" w:rsidR="00D86093" w:rsidRPr="00D86093" w:rsidRDefault="00D86093" w:rsidP="00D86093">
      <w:pPr>
        <w:jc w:val="both"/>
      </w:pPr>
      <w:r w:rsidRPr="00D86093">
        <w:t>While the two provisions (the ‘incitement provision’ and the new ‘harm-based provision’) may sometimes cover the same conduct, a complainant may seek to rely on either test depending on the circumstances of the case.</w:t>
      </w:r>
    </w:p>
    <w:p w14:paraId="059D1E02" w14:textId="1132392B" w:rsidR="00AB35DB" w:rsidRPr="00AB35DB" w:rsidRDefault="00AB35DB" w:rsidP="00AB35DB">
      <w:pPr>
        <w:jc w:val="both"/>
      </w:pPr>
      <w:r w:rsidRPr="00AB35DB">
        <w:t>This</w:t>
      </w:r>
      <w:r>
        <w:t xml:space="preserve"> approach</w:t>
      </w:r>
      <w:r w:rsidRPr="00AB35DB">
        <w:t xml:space="preserve"> was also recommended by the Victorian Legal and Social Issues Parliamentary Committee (Victorian Committee) in its inquiry into vilification in 2021.</w:t>
      </w:r>
      <w:r w:rsidR="00721411">
        <w:rPr>
          <w:rStyle w:val="FootnoteReference"/>
        </w:rPr>
        <w:footnoteReference w:id="27"/>
      </w:r>
      <w:r w:rsidRPr="00AB35DB">
        <w:t xml:space="preserve"> The Victorian Committee recommended two complementary approaches. The first was to clarify that is not necessary to show actual incitement, in line with the original intent of the incitement provision. The second, complementary approach is to introduce a separate harm-based provision, which instead of focusing on the effect the conduct had on a third party, focuses on the harm that the conduct causes to the complainant. These ‘harm-based provisions’ have precedent both federally (section 18C of the Racial Discrimination Act) and in Tasmania (section 17(1) of the </w:t>
      </w:r>
      <w:r w:rsidRPr="00AB35DB">
        <w:rPr>
          <w:i/>
          <w:iCs/>
        </w:rPr>
        <w:t>Anti-Discrimination Act 1998</w:t>
      </w:r>
      <w:r w:rsidRPr="00AB35DB">
        <w:t xml:space="preserve"> (Tas))</w:t>
      </w:r>
      <w:r w:rsidR="00EA3B77">
        <w:t>, however as suggested by the Victorian Committee, the provision has been drafted to reflect the high threshold for conduct that is intended to be prohibited</w:t>
      </w:r>
      <w:r w:rsidRPr="00AB35DB">
        <w:t xml:space="preserve">. </w:t>
      </w:r>
    </w:p>
    <w:p w14:paraId="3E0DEF67" w14:textId="67B5E048" w:rsidR="00604709" w:rsidRDefault="00604709" w:rsidP="00604709">
      <w:pPr>
        <w:jc w:val="both"/>
      </w:pPr>
      <w:r w:rsidRPr="00604709">
        <w:t xml:space="preserve">The current offence of serious vilification will be relocated to the Criminal Code from 29 April 2024 (by </w:t>
      </w:r>
      <w:r>
        <w:t xml:space="preserve">operation </w:t>
      </w:r>
      <w:r w:rsidRPr="00604709">
        <w:t xml:space="preserve">of the Criminal Code (Serious Vilification and Hate Crimes) and Other Legislation Amendment </w:t>
      </w:r>
      <w:r>
        <w:t xml:space="preserve">Act </w:t>
      </w:r>
      <w:r w:rsidRPr="00604709">
        <w:t xml:space="preserve">2023 (Vilification and Hate Crimes </w:t>
      </w:r>
      <w:r>
        <w:t>Act</w:t>
      </w:r>
      <w:r w:rsidRPr="00604709">
        <w:t>)</w:t>
      </w:r>
      <w:r>
        <w:t>.</w:t>
      </w:r>
    </w:p>
    <w:p w14:paraId="14A0244F" w14:textId="42AA4411" w:rsidR="004B692B" w:rsidRPr="00F72D10" w:rsidRDefault="004B692B" w:rsidP="00882B97">
      <w:pPr>
        <w:pStyle w:val="Heading4"/>
      </w:pPr>
      <w:bookmarkStart w:id="134" w:name="_Toc159520333"/>
      <w:r w:rsidRPr="00F72D10">
        <w:t>Protected attributes</w:t>
      </w:r>
      <w:bookmarkEnd w:id="134"/>
    </w:p>
    <w:p w14:paraId="217F9841" w14:textId="213F508F" w:rsidR="00604709" w:rsidRDefault="00604709" w:rsidP="00793AEF">
      <w:pPr>
        <w:jc w:val="both"/>
      </w:pPr>
      <w:r>
        <w:t xml:space="preserve">The protected grounds for clauses </w:t>
      </w:r>
      <w:r w:rsidR="00373C71">
        <w:t>84</w:t>
      </w:r>
      <w:r>
        <w:t xml:space="preserve"> and </w:t>
      </w:r>
      <w:r w:rsidR="00373C71">
        <w:t>85</w:t>
      </w:r>
      <w:r>
        <w:t xml:space="preserve"> will include: age, disability, gender identity, race, religion, sex, sex characteristics or sexual orientation.</w:t>
      </w:r>
    </w:p>
    <w:p w14:paraId="5E9DB8EC" w14:textId="01FC7C95" w:rsidR="004B692B" w:rsidRDefault="004B692B" w:rsidP="00793AEF">
      <w:pPr>
        <w:jc w:val="both"/>
      </w:pPr>
      <w:r>
        <w:t>The ground</w:t>
      </w:r>
      <w:r w:rsidR="001C6674">
        <w:t>s</w:t>
      </w:r>
      <w:r>
        <w:t xml:space="preserve"> referred to in the prohibition on vilification under section 124A of the current AD Act are </w:t>
      </w:r>
      <w:r w:rsidR="00604709">
        <w:t xml:space="preserve">currently </w:t>
      </w:r>
      <w:r>
        <w:t xml:space="preserve">race, religion, sexuality and gender identity. The grounds under </w:t>
      </w:r>
      <w:r w:rsidRPr="002E7F89">
        <w:t>clauses 9</w:t>
      </w:r>
      <w:r w:rsidR="00B86F40" w:rsidRPr="002E7F89">
        <w:t>2</w:t>
      </w:r>
      <w:r w:rsidRPr="005D39D5">
        <w:rPr>
          <w:b/>
          <w:bCs/>
        </w:rPr>
        <w:t xml:space="preserve"> </w:t>
      </w:r>
      <w:r w:rsidRPr="002E7F89">
        <w:t>and</w:t>
      </w:r>
      <w:r w:rsidRPr="005D39D5">
        <w:rPr>
          <w:b/>
          <w:bCs/>
        </w:rPr>
        <w:t xml:space="preserve"> </w:t>
      </w:r>
      <w:r w:rsidRPr="002E7F89">
        <w:t>9</w:t>
      </w:r>
      <w:r w:rsidR="00B86F40" w:rsidRPr="002E7F89">
        <w:t>3</w:t>
      </w:r>
      <w:r>
        <w:t xml:space="preserve"> expand this scope to </w:t>
      </w:r>
      <w:r w:rsidR="00604709">
        <w:t>include</w:t>
      </w:r>
      <w:r>
        <w:t xml:space="preserve"> age, disability, sex, sex characteristics</w:t>
      </w:r>
      <w:r w:rsidR="00604709">
        <w:t>, and</w:t>
      </w:r>
      <w:r>
        <w:t xml:space="preserve"> sexual orientation</w:t>
      </w:r>
      <w:r w:rsidR="00B00D96">
        <w:t xml:space="preserve"> (noting this term replaces ‘sexuality’)</w:t>
      </w:r>
      <w:r>
        <w:t xml:space="preserve">. This ensures that the terminology aligns with the updated protected attributes in </w:t>
      </w:r>
      <w:r w:rsidRPr="002E7F89">
        <w:t>clause 10</w:t>
      </w:r>
      <w:r>
        <w:t xml:space="preserve">, </w:t>
      </w:r>
      <w:r w:rsidRPr="001C6674">
        <w:t>and is also consistent with the intent of recommendation 4 of the LASC Vilification Report and recommendation 2 of the LASC Vilification and Hate Crimes Bill Report.</w:t>
      </w:r>
    </w:p>
    <w:p w14:paraId="63CC27D9" w14:textId="77F61952" w:rsidR="004B692B" w:rsidRPr="00882B97" w:rsidRDefault="004B692B" w:rsidP="00882B97">
      <w:pPr>
        <w:pStyle w:val="Heading4"/>
      </w:pPr>
      <w:bookmarkStart w:id="135" w:name="_Toc159520334"/>
      <w:r w:rsidRPr="00882B97">
        <w:lastRenderedPageBreak/>
        <w:t>Public act</w:t>
      </w:r>
      <w:bookmarkEnd w:id="135"/>
    </w:p>
    <w:p w14:paraId="2A21A22D" w14:textId="5EE73F60" w:rsidR="004B692B" w:rsidRPr="001C6674" w:rsidRDefault="004B692B" w:rsidP="00793AEF">
      <w:pPr>
        <w:jc w:val="both"/>
      </w:pPr>
      <w:r>
        <w:t>The definition of ‘public act’ (</w:t>
      </w:r>
      <w:r w:rsidRPr="0029164D">
        <w:rPr>
          <w:b/>
          <w:bCs/>
        </w:rPr>
        <w:t xml:space="preserve">clause </w:t>
      </w:r>
      <w:r w:rsidR="009D1152">
        <w:rPr>
          <w:b/>
          <w:bCs/>
        </w:rPr>
        <w:t>83</w:t>
      </w:r>
      <w:r>
        <w:t xml:space="preserve">) </w:t>
      </w:r>
      <w:r w:rsidR="00D86093">
        <w:t xml:space="preserve">adopts a </w:t>
      </w:r>
      <w:r>
        <w:t xml:space="preserve"> definition</w:t>
      </w:r>
      <w:r w:rsidR="00D86093">
        <w:t xml:space="preserve"> that is similar to section 93Z(5) of the </w:t>
      </w:r>
      <w:r w:rsidR="00D86093" w:rsidRPr="00D86093">
        <w:rPr>
          <w:i/>
          <w:iCs/>
        </w:rPr>
        <w:t>Crimes Act 1900</w:t>
      </w:r>
      <w:r w:rsidR="00D86093">
        <w:t xml:space="preserve"> (NSW) </w:t>
      </w:r>
      <w:r>
        <w:t xml:space="preserve">in section 4A of the current AD Act, </w:t>
      </w:r>
      <w:r w:rsidR="00D86093">
        <w:t xml:space="preserve">making </w:t>
      </w:r>
      <w:r w:rsidRPr="001C6674">
        <w:t xml:space="preserve"> it clear that a public act includes any form of communication to the public, including communicating through social media. This addresses recommendation 6 of the LASC Vilification Report and recommendation 4 of the LASC Vilification and Hate Crimes Bill Report.</w:t>
      </w:r>
    </w:p>
    <w:p w14:paraId="675752DD" w14:textId="68773F7B" w:rsidR="004B692B" w:rsidRDefault="004B692B" w:rsidP="00793AEF">
      <w:pPr>
        <w:jc w:val="both"/>
      </w:pPr>
      <w:r w:rsidRPr="001C6674">
        <w:t xml:space="preserve">The </w:t>
      </w:r>
      <w:r w:rsidR="00D86093">
        <w:t xml:space="preserve">draft </w:t>
      </w:r>
      <w:r w:rsidRPr="001C6674">
        <w:t xml:space="preserve">Bill also clarifies that conduct may be a public act even if it happens on private land or in a place not ordinarily accessed by the general public. This is intended to </w:t>
      </w:r>
      <w:r w:rsidR="00D86093">
        <w:t>address</w:t>
      </w:r>
      <w:r w:rsidRPr="001C6674">
        <w:t xml:space="preserve"> recommendation 3 of the LASC Vilification and Hate Crimes Bill Report </w:t>
      </w:r>
      <w:r w:rsidR="00D86093">
        <w:t xml:space="preserve">that </w:t>
      </w:r>
      <w:r w:rsidRPr="001C6674">
        <w:t>further consideration be given to</w:t>
      </w:r>
      <w:r w:rsidR="00D86093">
        <w:t xml:space="preserve"> </w:t>
      </w:r>
      <w:r w:rsidR="00D86093" w:rsidRPr="00D86093">
        <w:t>closed environments such as hospitals and educational institutions</w:t>
      </w:r>
      <w:r w:rsidR="00C956BA">
        <w:t>.</w:t>
      </w:r>
    </w:p>
    <w:p w14:paraId="08C1017D" w14:textId="50E0D169" w:rsidR="004B692B" w:rsidRPr="00F72D10" w:rsidRDefault="004B692B" w:rsidP="00AB35DB">
      <w:pPr>
        <w:pStyle w:val="Heading3"/>
      </w:pPr>
      <w:bookmarkStart w:id="136" w:name="_Toc159520335"/>
      <w:r w:rsidRPr="00F72D10">
        <w:t>Victimisation</w:t>
      </w:r>
      <w:bookmarkEnd w:id="136"/>
    </w:p>
    <w:p w14:paraId="6F62DD44" w14:textId="1F81A826" w:rsidR="004B692B" w:rsidRDefault="004B692B" w:rsidP="00793AEF">
      <w:pPr>
        <w:jc w:val="both"/>
      </w:pPr>
      <w:r>
        <w:t>The draft Bill includes a prohibition on a person victimising another person, with a criminal penalty for contravention (</w:t>
      </w:r>
      <w:r w:rsidRPr="00BA26CB">
        <w:rPr>
          <w:b/>
          <w:bCs/>
        </w:rPr>
        <w:t xml:space="preserve">clause </w:t>
      </w:r>
      <w:r w:rsidR="009D1152">
        <w:rPr>
          <w:b/>
          <w:bCs/>
        </w:rPr>
        <w:t>86</w:t>
      </w:r>
      <w:r>
        <w:t xml:space="preserve">). This is consistent with section 129 of the current AD Act. </w:t>
      </w:r>
    </w:p>
    <w:p w14:paraId="3ECF7722" w14:textId="2AF5A7E4" w:rsidR="004B692B" w:rsidRDefault="004B692B" w:rsidP="00793AEF">
      <w:pPr>
        <w:jc w:val="both"/>
      </w:pPr>
      <w:r>
        <w:t>The definition of ‘victimisation’ (</w:t>
      </w:r>
      <w:r w:rsidRPr="00A167FC">
        <w:rPr>
          <w:b/>
          <w:bCs/>
        </w:rPr>
        <w:t>clause</w:t>
      </w:r>
      <w:r w:rsidR="009D1152">
        <w:rPr>
          <w:b/>
          <w:bCs/>
        </w:rPr>
        <w:t xml:space="preserve"> 87</w:t>
      </w:r>
      <w:r>
        <w:t>) is consistent with section 130 of the current AD Act.</w:t>
      </w:r>
    </w:p>
    <w:p w14:paraId="381A2FE4" w14:textId="5E99BCB3" w:rsidR="004B692B" w:rsidRDefault="004B692B" w:rsidP="00793AEF">
      <w:pPr>
        <w:jc w:val="both"/>
      </w:pPr>
      <w:r>
        <w:t>The application and continued application of the prohibition (</w:t>
      </w:r>
      <w:r w:rsidRPr="00A167FC">
        <w:rPr>
          <w:b/>
          <w:bCs/>
        </w:rPr>
        <w:t xml:space="preserve">clause </w:t>
      </w:r>
      <w:r w:rsidR="009D1152">
        <w:rPr>
          <w:b/>
          <w:bCs/>
        </w:rPr>
        <w:t>88</w:t>
      </w:r>
      <w:r>
        <w:t>) is provided for on the same basis as section 107 of the current AD Act.</w:t>
      </w:r>
    </w:p>
    <w:p w14:paraId="5FABFDD1" w14:textId="77777777" w:rsidR="004B692B" w:rsidRPr="00940B66" w:rsidRDefault="004B692B" w:rsidP="00882B97">
      <w:pPr>
        <w:pStyle w:val="Heading3"/>
        <w:rPr>
          <w:rFonts w:eastAsia="Times New Roman"/>
        </w:rPr>
      </w:pPr>
      <w:bookmarkStart w:id="137" w:name="_Toc159520336"/>
      <w:r w:rsidRPr="00940B66">
        <w:rPr>
          <w:rFonts w:eastAsia="Times New Roman"/>
        </w:rPr>
        <w:t>Other conduct</w:t>
      </w:r>
      <w:bookmarkEnd w:id="137"/>
    </w:p>
    <w:p w14:paraId="64351969" w14:textId="77777777" w:rsidR="004B692B" w:rsidRDefault="004B692B" w:rsidP="00793AEF">
      <w:pPr>
        <w:jc w:val="both"/>
      </w:pPr>
      <w:r w:rsidRPr="00940B66">
        <w:t>The draft Bill includes p</w:t>
      </w:r>
      <w:r>
        <w:t>rohibitions on a person:</w:t>
      </w:r>
    </w:p>
    <w:p w14:paraId="641CACDB" w14:textId="11B2F31D" w:rsidR="004B692B" w:rsidRDefault="004B692B" w:rsidP="00721411">
      <w:pPr>
        <w:pStyle w:val="ListParagraph"/>
        <w:numPr>
          <w:ilvl w:val="0"/>
          <w:numId w:val="11"/>
        </w:numPr>
        <w:spacing w:before="60" w:line="280" w:lineRule="exact"/>
        <w:jc w:val="both"/>
      </w:pPr>
      <w:r>
        <w:t>publishing or displaying, or authorising the publication or display of, an advertisement that indicates that a persons intended to act in a way that contravenes the Act (</w:t>
      </w:r>
      <w:r w:rsidRPr="00940B66">
        <w:rPr>
          <w:b/>
          <w:bCs/>
        </w:rPr>
        <w:t>clause</w:t>
      </w:r>
      <w:r>
        <w:rPr>
          <w:b/>
          <w:bCs/>
        </w:rPr>
        <w:t xml:space="preserve"> </w:t>
      </w:r>
      <w:r w:rsidR="009D1152">
        <w:rPr>
          <w:b/>
          <w:bCs/>
        </w:rPr>
        <w:t>89</w:t>
      </w:r>
      <w:r>
        <w:t>), or providing false or misleading statement to another person in order to induce the publication or display of such an advertisement (</w:t>
      </w:r>
      <w:r w:rsidRPr="00940B66">
        <w:rPr>
          <w:b/>
          <w:bCs/>
        </w:rPr>
        <w:t xml:space="preserve">clause </w:t>
      </w:r>
      <w:r w:rsidR="009D1152">
        <w:rPr>
          <w:b/>
          <w:bCs/>
        </w:rPr>
        <w:t>90</w:t>
      </w:r>
      <w:r>
        <w:t>). These provisions are similar to sections 127 and 128 of the current AD Act;</w:t>
      </w:r>
    </w:p>
    <w:p w14:paraId="3B2033FC" w14:textId="18EE43DF" w:rsidR="004B692B" w:rsidRDefault="004B692B" w:rsidP="00721411">
      <w:pPr>
        <w:pStyle w:val="ListParagraph"/>
        <w:numPr>
          <w:ilvl w:val="0"/>
          <w:numId w:val="11"/>
        </w:numPr>
        <w:spacing w:before="60" w:line="280" w:lineRule="exact"/>
        <w:jc w:val="both"/>
      </w:pPr>
      <w:r>
        <w:t>requesting or encouraging another person to contravene the Act (</w:t>
      </w:r>
      <w:r w:rsidRPr="00940B66">
        <w:rPr>
          <w:b/>
          <w:bCs/>
        </w:rPr>
        <w:t xml:space="preserve">clause </w:t>
      </w:r>
      <w:r w:rsidR="009D1152">
        <w:rPr>
          <w:b/>
          <w:bCs/>
        </w:rPr>
        <w:t>91</w:t>
      </w:r>
      <w:r>
        <w:t>), with both persons being jointly and severally liable for the contravention if the request or encouragement is acted on. This is similar to sections 122 and 123 of the current AD Act; and</w:t>
      </w:r>
    </w:p>
    <w:p w14:paraId="5D773000" w14:textId="4A70D2FF" w:rsidR="009D1152" w:rsidRDefault="004B692B" w:rsidP="00721411">
      <w:pPr>
        <w:pStyle w:val="ListParagraph"/>
        <w:numPr>
          <w:ilvl w:val="0"/>
          <w:numId w:val="11"/>
        </w:numPr>
        <w:spacing w:before="60" w:line="280" w:lineRule="exact"/>
        <w:jc w:val="both"/>
      </w:pPr>
      <w:r>
        <w:t>asking another person to supply unnecessary information on which unlawful discrimination might be based (</w:t>
      </w:r>
      <w:r w:rsidRPr="00AD609F">
        <w:rPr>
          <w:b/>
          <w:bCs/>
        </w:rPr>
        <w:t xml:space="preserve">clause </w:t>
      </w:r>
      <w:r w:rsidR="009D1152">
        <w:rPr>
          <w:b/>
          <w:bCs/>
        </w:rPr>
        <w:t>92</w:t>
      </w:r>
      <w:r>
        <w:t>), similar to section 124 of the current AD Act.</w:t>
      </w:r>
    </w:p>
    <w:p w14:paraId="592C5695" w14:textId="6773A058" w:rsidR="009D1152" w:rsidRDefault="009D1152">
      <w:pPr>
        <w:spacing w:after="0"/>
      </w:pPr>
    </w:p>
    <w:p w14:paraId="40794797" w14:textId="22628BF3" w:rsidR="004B692B" w:rsidRDefault="004B692B" w:rsidP="00AB35DB">
      <w:pPr>
        <w:pStyle w:val="Heading2"/>
      </w:pPr>
      <w:bookmarkStart w:id="138" w:name="_Toc159520337"/>
      <w:r>
        <w:t>Part 8 – Provisions about liability</w:t>
      </w:r>
      <w:bookmarkEnd w:id="138"/>
    </w:p>
    <w:p w14:paraId="579E6402" w14:textId="657601AD" w:rsidR="001C6674" w:rsidRDefault="004B692B" w:rsidP="00793AEF">
      <w:pPr>
        <w:jc w:val="both"/>
      </w:pPr>
      <w:r>
        <w:t>The draft Bill provides that a provision of the Act that prohibits</w:t>
      </w:r>
      <w:r w:rsidR="001C6674">
        <w:t xml:space="preserve"> a person from engaging in discrimination, sexual harassment, vilification, victimisation or other conduct applies to the person and each representative of the person</w:t>
      </w:r>
      <w:r w:rsidR="00744B6B">
        <w:t>, as defined,</w:t>
      </w:r>
      <w:r w:rsidR="001C6674">
        <w:t xml:space="preserve"> (</w:t>
      </w:r>
      <w:r w:rsidR="001C6674" w:rsidRPr="001C6674">
        <w:rPr>
          <w:b/>
          <w:bCs/>
        </w:rPr>
        <w:t>clause</w:t>
      </w:r>
      <w:r w:rsidR="00744B6B">
        <w:rPr>
          <w:b/>
          <w:bCs/>
        </w:rPr>
        <w:t xml:space="preserve">s </w:t>
      </w:r>
      <w:r w:rsidR="009D1152">
        <w:rPr>
          <w:b/>
          <w:bCs/>
        </w:rPr>
        <w:t>93</w:t>
      </w:r>
      <w:r w:rsidR="00744B6B">
        <w:rPr>
          <w:b/>
          <w:bCs/>
        </w:rPr>
        <w:t xml:space="preserve"> and </w:t>
      </w:r>
      <w:r w:rsidR="009D1152">
        <w:rPr>
          <w:b/>
          <w:bCs/>
        </w:rPr>
        <w:t>94</w:t>
      </w:r>
      <w:r w:rsidR="001C6674">
        <w:t xml:space="preserve">), and any exception, exemption, defence or excuse applying to the person also applies to a representative acting for them. </w:t>
      </w:r>
    </w:p>
    <w:p w14:paraId="2F9CB343" w14:textId="2D60DD6A" w:rsidR="00744B6B" w:rsidRDefault="00744B6B" w:rsidP="00793AEF">
      <w:pPr>
        <w:jc w:val="both"/>
      </w:pPr>
      <w:r w:rsidRPr="008B5151">
        <w:rPr>
          <w:b/>
          <w:bCs/>
        </w:rPr>
        <w:t xml:space="preserve">Clause </w:t>
      </w:r>
      <w:r w:rsidR="00C86F7E">
        <w:rPr>
          <w:b/>
          <w:bCs/>
        </w:rPr>
        <w:t>95</w:t>
      </w:r>
      <w:r>
        <w:t xml:space="preserve"> specifies </w:t>
      </w:r>
      <w:r w:rsidR="008B5151">
        <w:t xml:space="preserve">that </w:t>
      </w:r>
      <w:r>
        <w:t>partnerships and unincorporated bodies are to be treated</w:t>
      </w:r>
      <w:r w:rsidR="008B5151">
        <w:t xml:space="preserve"> as </w:t>
      </w:r>
      <w:r w:rsidR="00D340C2">
        <w:t xml:space="preserve">corporations </w:t>
      </w:r>
      <w:r w:rsidR="008B5151">
        <w:t>under the Act</w:t>
      </w:r>
      <w:r>
        <w:t xml:space="preserve">, with duties or liabilities being imposed on each partner or each member of an unincorporated body, amounts payable being jointly and severally payable, and offences taken to have been committed by each partner or member of the unincorporated body. </w:t>
      </w:r>
      <w:r w:rsidR="008B5151">
        <w:t>It is a defence for a partner or a member to prove that that they exercised reasonable diligence to ensure that the partnership or unincorporated body complied with the provision, or that they were not in a position to influence the conduct of the partnership or unincorporated bo</w:t>
      </w:r>
      <w:r w:rsidR="00D16D68">
        <w:t>d</w:t>
      </w:r>
      <w:r w:rsidR="008B5151">
        <w:t>y in relation to the offence.</w:t>
      </w:r>
    </w:p>
    <w:p w14:paraId="0B7B75BA" w14:textId="0446E4B5" w:rsidR="00D16D68" w:rsidRDefault="004B692B" w:rsidP="00793AEF">
      <w:pPr>
        <w:jc w:val="both"/>
      </w:pPr>
      <w:r>
        <w:t xml:space="preserve">The draft Bill also provides for joint and several civil liability of a person and </w:t>
      </w:r>
      <w:r w:rsidR="008B5151">
        <w:t xml:space="preserve">their representative where the contravention was by a representative, and allows for a proceeding under the act to be </w:t>
      </w:r>
      <w:r w:rsidR="008B5151">
        <w:lastRenderedPageBreak/>
        <w:t>taken against either or both of them (</w:t>
      </w:r>
      <w:r w:rsidR="008B5151" w:rsidRPr="008B5151">
        <w:rPr>
          <w:b/>
          <w:bCs/>
        </w:rPr>
        <w:t xml:space="preserve">clause </w:t>
      </w:r>
      <w:r w:rsidR="00D340C2">
        <w:rPr>
          <w:b/>
          <w:bCs/>
        </w:rPr>
        <w:t>96</w:t>
      </w:r>
      <w:r w:rsidR="008B5151">
        <w:t xml:space="preserve">). </w:t>
      </w:r>
      <w:r>
        <w:t xml:space="preserve">It is a defence if a respondent proves </w:t>
      </w:r>
      <w:r w:rsidR="008B5151">
        <w:t>the person could not have, by the exercise of reasonable diligence, have prevented the act or omission.</w:t>
      </w:r>
      <w:r w:rsidR="00D16D68">
        <w:t xml:space="preserve"> If it is relevant to prove a person’s state of mind about a particular act or omission, it is enough to show a representative’s state of mind, where they the act was within their actual or apparent authority.</w:t>
      </w:r>
    </w:p>
    <w:p w14:paraId="4C2AE42E" w14:textId="77777777" w:rsidR="009D1152" w:rsidRDefault="009D1152" w:rsidP="00B552B9">
      <w:pPr>
        <w:pStyle w:val="Heading2"/>
      </w:pPr>
    </w:p>
    <w:p w14:paraId="720CAD58" w14:textId="61BDDF42" w:rsidR="00B552B9" w:rsidRDefault="00B552B9" w:rsidP="00B552B9">
      <w:pPr>
        <w:pStyle w:val="Heading2"/>
      </w:pPr>
      <w:bookmarkStart w:id="139" w:name="_Toc159520338"/>
      <w:r>
        <w:t>Part 9 – Complaints about contraventions</w:t>
      </w:r>
      <w:bookmarkEnd w:id="139"/>
    </w:p>
    <w:p w14:paraId="49622FF9" w14:textId="77777777" w:rsidR="00B552B9" w:rsidRDefault="00B552B9" w:rsidP="00B552B9">
      <w:pPr>
        <w:jc w:val="both"/>
      </w:pPr>
      <w:r w:rsidRPr="00C55395">
        <w:t>In Australia anti-discrimination law has been traditionally constructed around an individual complaints-based model. The law is enforced by individual victims of discrimination or other unlawful conduct such as sexual harassment or vilification through lodging complaints with the relevant commission.</w:t>
      </w:r>
    </w:p>
    <w:p w14:paraId="18BC50C7" w14:textId="2EC09446" w:rsidR="00B552B9" w:rsidRDefault="00B552B9" w:rsidP="00B552B9">
      <w:pPr>
        <w:jc w:val="both"/>
      </w:pPr>
      <w:r>
        <w:t xml:space="preserve">Under the current AD Act, one of the main roles of the QHRC is to resolve complaints </w:t>
      </w:r>
      <w:r w:rsidR="008F1446">
        <w:t xml:space="preserve">made </w:t>
      </w:r>
      <w:r>
        <w:t>under the AD Act. The QHRC attempts to resolve complaints through conciliation. In this regard the QHRC has a ‘filtering’ role before an unresolved complaint can be referred to IRC (for a ‘work-related’ matter) or QCAT (for all other matters).</w:t>
      </w:r>
    </w:p>
    <w:p w14:paraId="2A87D429" w14:textId="2D0514D4" w:rsidR="00B552B9" w:rsidRDefault="00B552B9" w:rsidP="00B552B9">
      <w:pPr>
        <w:jc w:val="both"/>
      </w:pPr>
      <w:r>
        <w:t xml:space="preserve">While the Bill will continue the dispute resolution function for the QHRC, it is intended to provide </w:t>
      </w:r>
      <w:r w:rsidR="008455A5">
        <w:t xml:space="preserve">a more flexible and efficient </w:t>
      </w:r>
      <w:r>
        <w:t>dispute resolution process</w:t>
      </w:r>
      <w:r w:rsidR="008455A5">
        <w:t xml:space="preserve">. </w:t>
      </w:r>
    </w:p>
    <w:p w14:paraId="6B62F7EF" w14:textId="29472CA1" w:rsidR="00B552B9" w:rsidRDefault="00B552B9" w:rsidP="00B552B9">
      <w:pPr>
        <w:jc w:val="both"/>
      </w:pPr>
      <w:r>
        <w:t>it is also intended (as discussed below), in view of the shift to a focus on substantive equality, and the positive duty to prevent discrimination and other unlawful conduct, that the QHRC will also be provided with a broader suite of functions, including compliance and enforcement tools to promote equality and prevent and eliminate discrimination.</w:t>
      </w:r>
    </w:p>
    <w:p w14:paraId="7D70BAD7" w14:textId="77777777" w:rsidR="00B552B9" w:rsidRPr="007E30EB" w:rsidRDefault="00B552B9" w:rsidP="008455A5">
      <w:pPr>
        <w:pStyle w:val="Heading3"/>
        <w:rPr>
          <w:rFonts w:eastAsia="Times New Roman"/>
        </w:rPr>
      </w:pPr>
      <w:bookmarkStart w:id="140" w:name="_Toc159520339"/>
      <w:r>
        <w:rPr>
          <w:rFonts w:eastAsia="Times New Roman"/>
        </w:rPr>
        <w:t>Complaints and d</w:t>
      </w:r>
      <w:r w:rsidRPr="007E30EB">
        <w:rPr>
          <w:rFonts w:eastAsia="Times New Roman"/>
        </w:rPr>
        <w:t>ispute resolution</w:t>
      </w:r>
      <w:bookmarkEnd w:id="140"/>
    </w:p>
    <w:p w14:paraId="68BCCDD4" w14:textId="055B34B4" w:rsidR="00B552B9" w:rsidRDefault="00B552B9" w:rsidP="00B552B9">
      <w:pPr>
        <w:keepLines/>
        <w:spacing w:before="240" w:after="0"/>
        <w:ind w:right="-284"/>
        <w:jc w:val="both"/>
      </w:pPr>
      <w:r>
        <w:t>Specific features of Part 9 of the draft Bill (</w:t>
      </w:r>
      <w:r w:rsidRPr="00645858">
        <w:rPr>
          <w:b/>
          <w:bCs/>
        </w:rPr>
        <w:t xml:space="preserve">clauses </w:t>
      </w:r>
      <w:r w:rsidR="00230FCB">
        <w:rPr>
          <w:b/>
          <w:bCs/>
        </w:rPr>
        <w:t>97</w:t>
      </w:r>
      <w:r>
        <w:rPr>
          <w:b/>
          <w:bCs/>
        </w:rPr>
        <w:t xml:space="preserve"> </w:t>
      </w:r>
      <w:r w:rsidRPr="00645858">
        <w:rPr>
          <w:b/>
          <w:bCs/>
        </w:rPr>
        <w:t xml:space="preserve">to </w:t>
      </w:r>
      <w:r w:rsidR="00230FCB">
        <w:rPr>
          <w:b/>
          <w:bCs/>
        </w:rPr>
        <w:t>142</w:t>
      </w:r>
      <w:r w:rsidRPr="00645858">
        <w:t>)</w:t>
      </w:r>
      <w:r>
        <w:t xml:space="preserve"> include: </w:t>
      </w:r>
    </w:p>
    <w:p w14:paraId="2E312472" w14:textId="12E0E857" w:rsidR="00B552B9" w:rsidRPr="008455A5" w:rsidRDefault="00FB2E7A" w:rsidP="00B552B9">
      <w:pPr>
        <w:pStyle w:val="ListParagraph"/>
        <w:keepLines/>
        <w:numPr>
          <w:ilvl w:val="0"/>
          <w:numId w:val="13"/>
        </w:numPr>
        <w:spacing w:before="240" w:after="0"/>
        <w:ind w:right="-284"/>
        <w:jc w:val="both"/>
      </w:pPr>
      <w:r>
        <w:rPr>
          <w:b/>
          <w:bCs/>
        </w:rPr>
        <w:t>f</w:t>
      </w:r>
      <w:r w:rsidR="00B552B9" w:rsidRPr="008455A5">
        <w:rPr>
          <w:b/>
          <w:bCs/>
        </w:rPr>
        <w:t>unctions for the Commissioner</w:t>
      </w:r>
      <w:r>
        <w:rPr>
          <w:b/>
          <w:bCs/>
        </w:rPr>
        <w:t xml:space="preserve"> </w:t>
      </w:r>
      <w:r w:rsidR="00B552B9" w:rsidRPr="008455A5">
        <w:t>to consider and if appropriate, inquire into complaints about alleged contraventions of the new Act, and provide services designed to facilitate resolution of complaints about alleged contraventions of the Act accepted by the Commissioner (</w:t>
      </w:r>
      <w:r w:rsidR="00B552B9" w:rsidRPr="008455A5">
        <w:rPr>
          <w:b/>
          <w:bCs/>
        </w:rPr>
        <w:t xml:space="preserve">clause </w:t>
      </w:r>
      <w:r w:rsidR="000B16A5">
        <w:rPr>
          <w:b/>
          <w:bCs/>
        </w:rPr>
        <w:t>98</w:t>
      </w:r>
      <w:r w:rsidR="00B552B9" w:rsidRPr="008455A5">
        <w:t>)</w:t>
      </w:r>
      <w:r>
        <w:t>;</w:t>
      </w:r>
    </w:p>
    <w:p w14:paraId="2E4FE881" w14:textId="5C7C6768" w:rsidR="00B552B9" w:rsidRPr="008455A5" w:rsidRDefault="00FB2E7A" w:rsidP="00B552B9">
      <w:pPr>
        <w:pStyle w:val="ListParagraph"/>
        <w:keepLines/>
        <w:numPr>
          <w:ilvl w:val="0"/>
          <w:numId w:val="13"/>
        </w:numPr>
        <w:spacing w:before="240" w:after="0"/>
        <w:ind w:right="-284"/>
        <w:jc w:val="both"/>
      </w:pPr>
      <w:r>
        <w:rPr>
          <w:b/>
          <w:bCs/>
        </w:rPr>
        <w:t>a</w:t>
      </w:r>
      <w:r w:rsidR="00B552B9" w:rsidRPr="008455A5">
        <w:rPr>
          <w:b/>
          <w:bCs/>
        </w:rPr>
        <w:t xml:space="preserve"> new ‘complaint period’</w:t>
      </w:r>
      <w:r>
        <w:rPr>
          <w:b/>
          <w:bCs/>
        </w:rPr>
        <w:t xml:space="preserve"> </w:t>
      </w:r>
      <w:r w:rsidR="008455A5" w:rsidRPr="008455A5">
        <w:t>providing that</w:t>
      </w:r>
      <w:r w:rsidR="00B552B9" w:rsidRPr="008455A5">
        <w:t xml:space="preserve"> a complaint may be made within 2 years after an alleged contravention or a person turns 18 if they were a child when the alleged contravention occurred (</w:t>
      </w:r>
      <w:r w:rsidR="00B552B9" w:rsidRPr="008455A5">
        <w:rPr>
          <w:b/>
          <w:bCs/>
        </w:rPr>
        <w:t>clause 10</w:t>
      </w:r>
      <w:r w:rsidR="000B16A5">
        <w:rPr>
          <w:b/>
          <w:bCs/>
        </w:rPr>
        <w:t>0</w:t>
      </w:r>
      <w:r w:rsidR="00B552B9" w:rsidRPr="008455A5">
        <w:t>). The Commissioner will</w:t>
      </w:r>
      <w:r w:rsidR="008455A5" w:rsidRPr="008455A5">
        <w:t xml:space="preserve"> also</w:t>
      </w:r>
      <w:r w:rsidR="00B552B9" w:rsidRPr="008455A5">
        <w:t xml:space="preserve"> have discretion </w:t>
      </w:r>
      <w:r w:rsidR="008455A5" w:rsidRPr="008455A5">
        <w:t>to</w:t>
      </w:r>
      <w:r w:rsidR="00B552B9" w:rsidRPr="008455A5">
        <w:t xml:space="preserve"> deal with a complaint that was not made within the complaint period if the Commissioner considers that there are exceptional circumstances and it is in the interests of justice to do so, having regard to stated matters (</w:t>
      </w:r>
      <w:r w:rsidR="00B552B9" w:rsidRPr="008455A5">
        <w:rPr>
          <w:b/>
          <w:bCs/>
        </w:rPr>
        <w:t>clause 1</w:t>
      </w:r>
      <w:r w:rsidR="000B16A5">
        <w:rPr>
          <w:b/>
          <w:bCs/>
        </w:rPr>
        <w:t>17</w:t>
      </w:r>
      <w:r w:rsidR="00B552B9" w:rsidRPr="008455A5">
        <w:t>)</w:t>
      </w:r>
      <w:r w:rsidR="00736079">
        <w:t>;</w:t>
      </w:r>
    </w:p>
    <w:p w14:paraId="4A977474" w14:textId="22D68819" w:rsidR="00B552B9" w:rsidRPr="00FB2E7A" w:rsidRDefault="00FB2E7A" w:rsidP="00B552B9">
      <w:pPr>
        <w:pStyle w:val="ListParagraph"/>
        <w:keepLines/>
        <w:numPr>
          <w:ilvl w:val="0"/>
          <w:numId w:val="13"/>
        </w:numPr>
        <w:spacing w:before="240" w:after="0"/>
        <w:ind w:right="-284"/>
        <w:jc w:val="both"/>
      </w:pPr>
      <w:r w:rsidRPr="002E7F89">
        <w:rPr>
          <w:b/>
          <w:bCs/>
        </w:rPr>
        <w:t>a</w:t>
      </w:r>
      <w:r w:rsidR="008455A5" w:rsidRPr="00FB2E7A">
        <w:rPr>
          <w:b/>
          <w:bCs/>
        </w:rPr>
        <w:t xml:space="preserve"> </w:t>
      </w:r>
      <w:r w:rsidR="00B552B9" w:rsidRPr="00FB2E7A">
        <w:rPr>
          <w:b/>
          <w:bCs/>
        </w:rPr>
        <w:t>requirement for the Commissioner to give help to a complainant to put a complaint in writing</w:t>
      </w:r>
      <w:r w:rsidR="003115D0">
        <w:rPr>
          <w:b/>
          <w:bCs/>
        </w:rPr>
        <w:t xml:space="preserve"> </w:t>
      </w:r>
      <w:r w:rsidR="00B552B9" w:rsidRPr="00FB2E7A">
        <w:t>if satisfied that the complainant needs help to do so (</w:t>
      </w:r>
      <w:r w:rsidR="00B552B9" w:rsidRPr="00FB2E7A">
        <w:rPr>
          <w:b/>
          <w:bCs/>
        </w:rPr>
        <w:t>clause 1</w:t>
      </w:r>
      <w:r w:rsidR="003115D0">
        <w:rPr>
          <w:b/>
          <w:bCs/>
        </w:rPr>
        <w:t>07</w:t>
      </w:r>
      <w:r w:rsidR="00B552B9" w:rsidRPr="00FB2E7A">
        <w:t>), and capacity to authorise another person to make a complaint if satisfied that a person cannot make it (</w:t>
      </w:r>
      <w:r w:rsidR="00B552B9" w:rsidRPr="00FB2E7A">
        <w:rPr>
          <w:b/>
          <w:bCs/>
        </w:rPr>
        <w:t>clause 10</w:t>
      </w:r>
      <w:r w:rsidR="003115D0">
        <w:rPr>
          <w:b/>
          <w:bCs/>
        </w:rPr>
        <w:t>1</w:t>
      </w:r>
      <w:r w:rsidR="00B552B9" w:rsidRPr="00FB2E7A">
        <w:t>)</w:t>
      </w:r>
      <w:r w:rsidR="003115D0">
        <w:t>;</w:t>
      </w:r>
    </w:p>
    <w:p w14:paraId="2F5B6CF2" w14:textId="5F3C3C77" w:rsidR="00B552B9" w:rsidRPr="008455A5" w:rsidRDefault="00FB2E7A" w:rsidP="00B552B9">
      <w:pPr>
        <w:pStyle w:val="ListParagraph"/>
        <w:keepLines/>
        <w:numPr>
          <w:ilvl w:val="0"/>
          <w:numId w:val="13"/>
        </w:numPr>
        <w:spacing w:before="240" w:after="0"/>
        <w:ind w:right="-284"/>
        <w:jc w:val="both"/>
      </w:pPr>
      <w:r>
        <w:rPr>
          <w:b/>
          <w:bCs/>
        </w:rPr>
        <w:t>p</w:t>
      </w:r>
      <w:r w:rsidR="00B552B9" w:rsidRPr="008455A5">
        <w:rPr>
          <w:b/>
          <w:bCs/>
        </w:rPr>
        <w:t>owers for the Commissioner to make preliminary inquiries about a complaint</w:t>
      </w:r>
      <w:r w:rsidR="00B552B9" w:rsidRPr="008455A5">
        <w:t xml:space="preserve"> to decide how to deal with it (</w:t>
      </w:r>
      <w:r w:rsidR="00B552B9" w:rsidRPr="008455A5">
        <w:rPr>
          <w:b/>
          <w:bCs/>
        </w:rPr>
        <w:t xml:space="preserve">clause </w:t>
      </w:r>
      <w:r w:rsidR="003115D0">
        <w:rPr>
          <w:b/>
          <w:bCs/>
        </w:rPr>
        <w:t>115</w:t>
      </w:r>
      <w:r w:rsidR="00B552B9" w:rsidRPr="008455A5">
        <w:t>)</w:t>
      </w:r>
      <w:r w:rsidR="00736079">
        <w:t>;</w:t>
      </w:r>
    </w:p>
    <w:p w14:paraId="616F3B7B" w14:textId="202FBE58" w:rsidR="00B552B9" w:rsidRPr="008455A5" w:rsidRDefault="00FB2E7A" w:rsidP="00B552B9">
      <w:pPr>
        <w:pStyle w:val="ListParagraph"/>
        <w:keepLines/>
        <w:numPr>
          <w:ilvl w:val="0"/>
          <w:numId w:val="13"/>
        </w:numPr>
        <w:spacing w:before="240" w:after="0"/>
        <w:ind w:right="-284"/>
        <w:jc w:val="both"/>
      </w:pPr>
      <w:r>
        <w:rPr>
          <w:b/>
          <w:bCs/>
        </w:rPr>
        <w:t>s</w:t>
      </w:r>
      <w:r w:rsidR="00B552B9" w:rsidRPr="008455A5">
        <w:rPr>
          <w:b/>
          <w:bCs/>
        </w:rPr>
        <w:t>pecific grounds on which the Commissioner must not deal or continue to deal, and may not deal or continue to deal, with a complaint</w:t>
      </w:r>
      <w:r w:rsidR="00B552B9" w:rsidRPr="008455A5">
        <w:t xml:space="preserve"> (</w:t>
      </w:r>
      <w:r w:rsidR="00B552B9" w:rsidRPr="008455A5">
        <w:rPr>
          <w:b/>
          <w:bCs/>
        </w:rPr>
        <w:t>clauses 123 and 124</w:t>
      </w:r>
      <w:r w:rsidR="00B552B9" w:rsidRPr="008455A5">
        <w:t>)</w:t>
      </w:r>
      <w:r w:rsidR="00736079">
        <w:t xml:space="preserve"> </w:t>
      </w:r>
      <w:r w:rsidR="00B552B9" w:rsidRPr="008455A5">
        <w:t>with specific notice requirements (</w:t>
      </w:r>
      <w:r w:rsidR="00B552B9" w:rsidRPr="008455A5">
        <w:rPr>
          <w:b/>
          <w:bCs/>
        </w:rPr>
        <w:t>clause 12</w:t>
      </w:r>
      <w:r w:rsidR="00736079">
        <w:rPr>
          <w:b/>
          <w:bCs/>
        </w:rPr>
        <w:t>1</w:t>
      </w:r>
      <w:r w:rsidR="00B552B9" w:rsidRPr="008455A5">
        <w:t>)</w:t>
      </w:r>
      <w:r w:rsidR="00736079">
        <w:t>;</w:t>
      </w:r>
    </w:p>
    <w:p w14:paraId="3555A4F4" w14:textId="6A86F51A" w:rsidR="008455A5" w:rsidRPr="008455A5" w:rsidRDefault="00FB2E7A" w:rsidP="008455A5">
      <w:pPr>
        <w:pStyle w:val="ListParagraph"/>
        <w:numPr>
          <w:ilvl w:val="0"/>
          <w:numId w:val="13"/>
        </w:numPr>
      </w:pPr>
      <w:r>
        <w:rPr>
          <w:b/>
          <w:bCs/>
        </w:rPr>
        <w:t>p</w:t>
      </w:r>
      <w:r w:rsidR="008455A5" w:rsidRPr="008455A5">
        <w:rPr>
          <w:b/>
          <w:bCs/>
        </w:rPr>
        <w:t>rinciples for dispute resolution</w:t>
      </w:r>
      <w:r w:rsidR="00736079">
        <w:rPr>
          <w:b/>
          <w:bCs/>
        </w:rPr>
        <w:t xml:space="preserve"> </w:t>
      </w:r>
      <w:r w:rsidR="008455A5" w:rsidRPr="008455A5">
        <w:t>that include for example that dispute resolution should be provided as early as possible and that the process should be fair to all parties (</w:t>
      </w:r>
      <w:r w:rsidR="008455A5" w:rsidRPr="008455A5">
        <w:rPr>
          <w:b/>
          <w:bCs/>
        </w:rPr>
        <w:t>clause 1</w:t>
      </w:r>
      <w:r w:rsidR="00736079">
        <w:rPr>
          <w:b/>
          <w:bCs/>
        </w:rPr>
        <w:t>28</w:t>
      </w:r>
      <w:r w:rsidR="008455A5" w:rsidRPr="008455A5">
        <w:t>)</w:t>
      </w:r>
      <w:r w:rsidR="00736079">
        <w:t>;</w:t>
      </w:r>
    </w:p>
    <w:p w14:paraId="0349C709" w14:textId="2A4A2F76" w:rsidR="00B552B9" w:rsidRPr="008455A5" w:rsidRDefault="00FB2E7A" w:rsidP="00B552B9">
      <w:pPr>
        <w:pStyle w:val="ListParagraph"/>
        <w:keepLines/>
        <w:numPr>
          <w:ilvl w:val="0"/>
          <w:numId w:val="13"/>
        </w:numPr>
        <w:spacing w:before="240" w:after="0"/>
        <w:ind w:right="-284"/>
        <w:jc w:val="both"/>
      </w:pPr>
      <w:r>
        <w:rPr>
          <w:b/>
          <w:bCs/>
        </w:rPr>
        <w:lastRenderedPageBreak/>
        <w:t>c</w:t>
      </w:r>
      <w:r w:rsidR="00B552B9" w:rsidRPr="008455A5">
        <w:rPr>
          <w:b/>
          <w:bCs/>
        </w:rPr>
        <w:t>apacity for the Commissioner to take action the Commissioner considers appropriate to try and resolve the complaint</w:t>
      </w:r>
      <w:r w:rsidR="00736079">
        <w:rPr>
          <w:b/>
          <w:bCs/>
        </w:rPr>
        <w:t xml:space="preserve"> </w:t>
      </w:r>
      <w:r w:rsidR="00B552B9" w:rsidRPr="008455A5">
        <w:t>which may include causing the complaint to be conciliated but also other action such as asking the respondent to make submissions, asking or directing the complainant or respondent give the Commissioner information, making enquiries of and discussing the complaint with the complainant and the respondent</w:t>
      </w:r>
      <w:r w:rsidR="008455A5" w:rsidRPr="008455A5">
        <w:t xml:space="preserve"> and facilitating discussions between the complainant and the respondent</w:t>
      </w:r>
      <w:r w:rsidR="00B552B9" w:rsidRPr="008455A5">
        <w:t xml:space="preserve"> (</w:t>
      </w:r>
      <w:r w:rsidR="00B552B9" w:rsidRPr="008455A5">
        <w:rPr>
          <w:b/>
          <w:bCs/>
        </w:rPr>
        <w:t>clause 1</w:t>
      </w:r>
      <w:r w:rsidR="00736079">
        <w:rPr>
          <w:b/>
          <w:bCs/>
        </w:rPr>
        <w:t>29</w:t>
      </w:r>
      <w:r w:rsidR="00B552B9" w:rsidRPr="008455A5">
        <w:t xml:space="preserve">). </w:t>
      </w:r>
    </w:p>
    <w:p w14:paraId="40656695" w14:textId="438BE958" w:rsidR="00B552B9" w:rsidRPr="008455A5" w:rsidRDefault="00FB2E7A" w:rsidP="00B552B9">
      <w:pPr>
        <w:pStyle w:val="ListParagraph"/>
        <w:keepLines/>
        <w:numPr>
          <w:ilvl w:val="0"/>
          <w:numId w:val="13"/>
        </w:numPr>
        <w:spacing w:before="240" w:after="0"/>
        <w:ind w:right="-284"/>
        <w:jc w:val="both"/>
      </w:pPr>
      <w:r>
        <w:rPr>
          <w:b/>
          <w:bCs/>
        </w:rPr>
        <w:t>p</w:t>
      </w:r>
      <w:r w:rsidR="00B552B9" w:rsidRPr="008455A5">
        <w:rPr>
          <w:b/>
          <w:bCs/>
        </w:rPr>
        <w:t>owers for the commissioner to invite or direct a relevant person to give the Commissioner information</w:t>
      </w:r>
      <w:r w:rsidR="008455A5" w:rsidRPr="008455A5">
        <w:rPr>
          <w:b/>
          <w:bCs/>
        </w:rPr>
        <w:t>:</w:t>
      </w:r>
      <w:r w:rsidR="00B552B9" w:rsidRPr="008455A5">
        <w:t xml:space="preserve"> for making preliminary inquiries or dealing with a complaint (</w:t>
      </w:r>
      <w:r w:rsidR="00B552B9" w:rsidRPr="008455A5">
        <w:rPr>
          <w:b/>
          <w:bCs/>
        </w:rPr>
        <w:t>clause 1</w:t>
      </w:r>
      <w:r w:rsidR="00736079">
        <w:rPr>
          <w:b/>
          <w:bCs/>
        </w:rPr>
        <w:t>24</w:t>
      </w:r>
      <w:r w:rsidR="00B552B9" w:rsidRPr="008455A5">
        <w:t>)</w:t>
      </w:r>
      <w:r w:rsidR="00736079">
        <w:t>;</w:t>
      </w:r>
      <w:r w:rsidR="00B552B9" w:rsidRPr="008455A5">
        <w:t xml:space="preserve"> </w:t>
      </w:r>
    </w:p>
    <w:p w14:paraId="0D1D3275" w14:textId="1470F6F7" w:rsidR="00B552B9" w:rsidRPr="008455A5" w:rsidRDefault="00FB2E7A" w:rsidP="00B552B9">
      <w:pPr>
        <w:pStyle w:val="ListParagraph"/>
        <w:keepLines/>
        <w:numPr>
          <w:ilvl w:val="0"/>
          <w:numId w:val="13"/>
        </w:numPr>
        <w:spacing w:before="240" w:after="0"/>
        <w:ind w:right="-284"/>
        <w:jc w:val="both"/>
      </w:pPr>
      <w:r>
        <w:rPr>
          <w:b/>
          <w:bCs/>
        </w:rPr>
        <w:t>c</w:t>
      </w:r>
      <w:r w:rsidR="00B552B9" w:rsidRPr="008455A5">
        <w:rPr>
          <w:b/>
          <w:bCs/>
        </w:rPr>
        <w:t>apacity for the Commissioner to direct an entity to take part in a conciliation conference</w:t>
      </w:r>
      <w:r w:rsidR="00B552B9" w:rsidRPr="008455A5">
        <w:t xml:space="preserve"> (</w:t>
      </w:r>
      <w:r w:rsidR="00B552B9" w:rsidRPr="008455A5">
        <w:rPr>
          <w:b/>
          <w:bCs/>
        </w:rPr>
        <w:t>clause 1</w:t>
      </w:r>
      <w:r w:rsidR="00736079">
        <w:rPr>
          <w:b/>
          <w:bCs/>
        </w:rPr>
        <w:t>32</w:t>
      </w:r>
      <w:r w:rsidR="00B552B9" w:rsidRPr="008455A5">
        <w:t>)</w:t>
      </w:r>
      <w:r w:rsidR="00736079">
        <w:t>; and</w:t>
      </w:r>
    </w:p>
    <w:p w14:paraId="34257232" w14:textId="5B918D6C" w:rsidR="00B552B9" w:rsidRPr="008455A5" w:rsidRDefault="00FB2E7A" w:rsidP="00B552B9">
      <w:pPr>
        <w:pStyle w:val="ListParagraph"/>
        <w:keepLines/>
        <w:numPr>
          <w:ilvl w:val="0"/>
          <w:numId w:val="13"/>
        </w:numPr>
        <w:spacing w:before="240" w:after="0"/>
        <w:ind w:right="-284"/>
        <w:jc w:val="both"/>
      </w:pPr>
      <w:r>
        <w:rPr>
          <w:b/>
          <w:bCs/>
        </w:rPr>
        <w:t>a</w:t>
      </w:r>
      <w:r w:rsidR="00B552B9" w:rsidRPr="008455A5">
        <w:rPr>
          <w:b/>
          <w:bCs/>
        </w:rPr>
        <w:t xml:space="preserve"> requirement for the Commissioner to use best endeavours to finish dealing with the complaint within 12 months after it is made</w:t>
      </w:r>
      <w:r w:rsidR="00B552B9" w:rsidRPr="008455A5">
        <w:t xml:space="preserve"> (</w:t>
      </w:r>
      <w:r w:rsidR="00B552B9" w:rsidRPr="008455A5">
        <w:rPr>
          <w:b/>
          <w:bCs/>
        </w:rPr>
        <w:t>clause 1</w:t>
      </w:r>
      <w:r w:rsidR="00736079">
        <w:rPr>
          <w:b/>
          <w:bCs/>
        </w:rPr>
        <w:t>25</w:t>
      </w:r>
      <w:r w:rsidR="00B552B9" w:rsidRPr="008455A5">
        <w:t>).</w:t>
      </w:r>
    </w:p>
    <w:p w14:paraId="1B9AAAC7" w14:textId="79EB4D76" w:rsidR="00B552B9" w:rsidRDefault="00B552B9" w:rsidP="00B552B9">
      <w:pPr>
        <w:keepLines/>
        <w:spacing w:before="240" w:after="0"/>
        <w:ind w:right="-284"/>
        <w:jc w:val="both"/>
      </w:pPr>
      <w:r>
        <w:t>As is the case under the current AD Act, t</w:t>
      </w:r>
      <w:r w:rsidRPr="00320FAF">
        <w:t>he draft Bill contains a right to for the complainant to requ</w:t>
      </w:r>
      <w:r>
        <w:t xml:space="preserve">est a referral to QCAT or </w:t>
      </w:r>
      <w:r w:rsidRPr="00692487">
        <w:t xml:space="preserve">the IRC (if the complaint is or includes a work-related matter) within 28 days after being notified that a </w:t>
      </w:r>
      <w:r w:rsidRPr="002C4161">
        <w:t>Commissioner believes the complaint cannot be resolved by dispute resolution</w:t>
      </w:r>
      <w:r w:rsidRPr="00692487">
        <w:t xml:space="preserve"> (</w:t>
      </w:r>
      <w:r w:rsidRPr="00692487">
        <w:rPr>
          <w:b/>
          <w:bCs/>
        </w:rPr>
        <w:t>c</w:t>
      </w:r>
      <w:r w:rsidRPr="00503940">
        <w:rPr>
          <w:b/>
          <w:bCs/>
        </w:rPr>
        <w:t xml:space="preserve">lause </w:t>
      </w:r>
      <w:r>
        <w:rPr>
          <w:b/>
          <w:bCs/>
        </w:rPr>
        <w:t>1</w:t>
      </w:r>
      <w:r w:rsidR="00D201CB">
        <w:rPr>
          <w:b/>
          <w:bCs/>
        </w:rPr>
        <w:t>26</w:t>
      </w:r>
      <w:r>
        <w:t xml:space="preserve">). </w:t>
      </w:r>
    </w:p>
    <w:p w14:paraId="17965A21" w14:textId="530790EA" w:rsidR="00B552B9" w:rsidRDefault="00B552B9" w:rsidP="00B552B9">
      <w:pPr>
        <w:keepLines/>
        <w:spacing w:before="240" w:after="0"/>
        <w:ind w:right="-284"/>
        <w:jc w:val="both"/>
      </w:pPr>
      <w:r>
        <w:t>The Commissioner will finish dealing with a complaint in the particular circumstances specified (</w:t>
      </w:r>
      <w:r w:rsidRPr="00005F13">
        <w:rPr>
          <w:b/>
          <w:bCs/>
        </w:rPr>
        <w:t>clause 1</w:t>
      </w:r>
      <w:r w:rsidR="00D201CB">
        <w:rPr>
          <w:b/>
          <w:bCs/>
        </w:rPr>
        <w:t>39</w:t>
      </w:r>
      <w:r>
        <w:t>).</w:t>
      </w:r>
    </w:p>
    <w:p w14:paraId="7E0C628D" w14:textId="77777777" w:rsidR="00B552B9" w:rsidRDefault="00B552B9" w:rsidP="00B552B9">
      <w:pPr>
        <w:pStyle w:val="Heading4"/>
        <w:jc w:val="both"/>
        <w:rPr>
          <w:rFonts w:eastAsia="Times New Roman"/>
        </w:rPr>
      </w:pPr>
      <w:bookmarkStart w:id="141" w:name="_Toc159520340"/>
      <w:r>
        <w:rPr>
          <w:rFonts w:eastAsia="Times New Roman"/>
        </w:rPr>
        <w:t>Who may make a complaint</w:t>
      </w:r>
      <w:bookmarkEnd w:id="141"/>
    </w:p>
    <w:p w14:paraId="3C2DAEC3" w14:textId="77777777" w:rsidR="00B552B9" w:rsidRDefault="00B552B9" w:rsidP="00B552B9">
      <w:pPr>
        <w:jc w:val="both"/>
      </w:pPr>
      <w:r>
        <w:t>Under the draft Bill, t</w:t>
      </w:r>
      <w:r w:rsidRPr="001F7129">
        <w:t xml:space="preserve">he following </w:t>
      </w:r>
      <w:r>
        <w:t xml:space="preserve">persons </w:t>
      </w:r>
      <w:r w:rsidRPr="001F7129">
        <w:t>may make a complaint about a contravention</w:t>
      </w:r>
      <w:r w:rsidRPr="00AD291C">
        <w:t xml:space="preserve"> of the Act</w:t>
      </w:r>
      <w:r>
        <w:t xml:space="preserve">: </w:t>
      </w:r>
    </w:p>
    <w:p w14:paraId="3F964C47" w14:textId="644F5452" w:rsidR="00B552B9" w:rsidRDefault="00B552B9" w:rsidP="00B552B9">
      <w:pPr>
        <w:pStyle w:val="ListParagraph"/>
        <w:keepLines/>
        <w:numPr>
          <w:ilvl w:val="0"/>
          <w:numId w:val="12"/>
        </w:numPr>
        <w:spacing w:before="240" w:after="0"/>
        <w:ind w:right="-284"/>
        <w:jc w:val="both"/>
      </w:pPr>
      <w:r w:rsidRPr="00AB55E7">
        <w:rPr>
          <w:b/>
          <w:bCs/>
        </w:rPr>
        <w:t>a person</w:t>
      </w:r>
      <w:r w:rsidRPr="003E5A6E">
        <w:t xml:space="preserve"> who</w:t>
      </w:r>
      <w:r>
        <w:t xml:space="preserve"> is the subject of the alleged contravention, which may be a child, or the child’s parent (</w:t>
      </w:r>
      <w:r w:rsidRPr="00005F13">
        <w:rPr>
          <w:b/>
          <w:bCs/>
        </w:rPr>
        <w:t>clause 10</w:t>
      </w:r>
      <w:r w:rsidR="00AC5F21">
        <w:rPr>
          <w:b/>
          <w:bCs/>
        </w:rPr>
        <w:t>1</w:t>
      </w:r>
      <w:r>
        <w:t>)</w:t>
      </w:r>
      <w:r w:rsidR="00AB55E7">
        <w:t>;</w:t>
      </w:r>
      <w:r>
        <w:t xml:space="preserve"> </w:t>
      </w:r>
    </w:p>
    <w:p w14:paraId="19C3A2B7" w14:textId="5262BC88" w:rsidR="00AB55E7" w:rsidRPr="00AB55E7" w:rsidRDefault="00AB55E7" w:rsidP="00B552B9">
      <w:pPr>
        <w:pStyle w:val="ListParagraph"/>
        <w:keepLines/>
        <w:numPr>
          <w:ilvl w:val="0"/>
          <w:numId w:val="12"/>
        </w:numPr>
        <w:spacing w:before="240" w:after="0"/>
        <w:ind w:right="-284"/>
        <w:jc w:val="both"/>
      </w:pPr>
      <w:r>
        <w:rPr>
          <w:b/>
          <w:bCs/>
        </w:rPr>
        <w:t>a child, or the child’s parents (clause 10</w:t>
      </w:r>
      <w:r w:rsidR="00AC5F21">
        <w:rPr>
          <w:b/>
          <w:bCs/>
        </w:rPr>
        <w:t>1</w:t>
      </w:r>
      <w:r>
        <w:rPr>
          <w:b/>
          <w:bCs/>
        </w:rPr>
        <w:t>);</w:t>
      </w:r>
    </w:p>
    <w:p w14:paraId="543DBA07" w14:textId="30E79914" w:rsidR="00AB55E7" w:rsidRDefault="00AB55E7" w:rsidP="00B552B9">
      <w:pPr>
        <w:pStyle w:val="ListParagraph"/>
        <w:keepLines/>
        <w:numPr>
          <w:ilvl w:val="0"/>
          <w:numId w:val="12"/>
        </w:numPr>
        <w:spacing w:before="240" w:after="0"/>
        <w:ind w:right="-284"/>
        <w:jc w:val="both"/>
      </w:pPr>
      <w:r>
        <w:rPr>
          <w:b/>
          <w:bCs/>
        </w:rPr>
        <w:t>an agent of the person (clause 10</w:t>
      </w:r>
      <w:r w:rsidR="00AC5F21">
        <w:rPr>
          <w:b/>
          <w:bCs/>
        </w:rPr>
        <w:t>1</w:t>
      </w:r>
      <w:r>
        <w:rPr>
          <w:b/>
          <w:bCs/>
        </w:rPr>
        <w:t>);</w:t>
      </w:r>
    </w:p>
    <w:p w14:paraId="03F906AE" w14:textId="52EEB251" w:rsidR="00B552B9" w:rsidRDefault="00B552B9" w:rsidP="00B552B9">
      <w:pPr>
        <w:pStyle w:val="ListParagraph"/>
        <w:numPr>
          <w:ilvl w:val="0"/>
          <w:numId w:val="12"/>
        </w:numPr>
        <w:spacing w:before="60" w:line="280" w:lineRule="exact"/>
        <w:jc w:val="both"/>
      </w:pPr>
      <w:r w:rsidRPr="00AB55E7">
        <w:rPr>
          <w:b/>
          <w:bCs/>
        </w:rPr>
        <w:t>a person</w:t>
      </w:r>
      <w:r>
        <w:t xml:space="preserve"> authorised in writing by the Commissioner to make a complaint for the person the subject of an alleged contravention (</w:t>
      </w:r>
      <w:r w:rsidRPr="001F7129">
        <w:rPr>
          <w:b/>
          <w:bCs/>
        </w:rPr>
        <w:t xml:space="preserve">clause </w:t>
      </w:r>
      <w:r>
        <w:rPr>
          <w:b/>
          <w:bCs/>
        </w:rPr>
        <w:t>10</w:t>
      </w:r>
      <w:r w:rsidR="00AC5F21">
        <w:rPr>
          <w:b/>
          <w:bCs/>
        </w:rPr>
        <w:t>1</w:t>
      </w:r>
      <w:r>
        <w:t>). The Commissioner may withdraw an authorisation in stated circumstances (</w:t>
      </w:r>
      <w:r w:rsidRPr="00902ABC">
        <w:rPr>
          <w:b/>
          <w:bCs/>
        </w:rPr>
        <w:t xml:space="preserve">clause </w:t>
      </w:r>
      <w:r>
        <w:rPr>
          <w:b/>
          <w:bCs/>
        </w:rPr>
        <w:t>14</w:t>
      </w:r>
      <w:r w:rsidR="00AC5F21">
        <w:rPr>
          <w:b/>
          <w:bCs/>
        </w:rPr>
        <w:t>0</w:t>
      </w:r>
      <w:r>
        <w:t>);</w:t>
      </w:r>
    </w:p>
    <w:p w14:paraId="0381EE3F" w14:textId="75581228" w:rsidR="00B552B9" w:rsidRDefault="00B552B9" w:rsidP="00B552B9">
      <w:pPr>
        <w:pStyle w:val="ListParagraph"/>
        <w:numPr>
          <w:ilvl w:val="0"/>
          <w:numId w:val="12"/>
        </w:numPr>
        <w:spacing w:before="60" w:line="280" w:lineRule="exact"/>
        <w:jc w:val="both"/>
      </w:pPr>
      <w:r w:rsidRPr="00AB55E7">
        <w:rPr>
          <w:b/>
          <w:bCs/>
        </w:rPr>
        <w:t>a ‘relevant body’</w:t>
      </w:r>
      <w:r>
        <w:t xml:space="preserve"> may make a complaint about an alleged contravention of the prohibitions on vilification (</w:t>
      </w:r>
      <w:r>
        <w:rPr>
          <w:b/>
          <w:bCs/>
        </w:rPr>
        <w:t>10</w:t>
      </w:r>
      <w:r w:rsidR="00AC5F21">
        <w:rPr>
          <w:b/>
          <w:bCs/>
        </w:rPr>
        <w:t>1</w:t>
      </w:r>
      <w:r>
        <w:rPr>
          <w:b/>
          <w:bCs/>
        </w:rPr>
        <w:t xml:space="preserve"> and 1</w:t>
      </w:r>
      <w:r w:rsidR="00AC5F21">
        <w:rPr>
          <w:b/>
          <w:bCs/>
        </w:rPr>
        <w:t>03</w:t>
      </w:r>
      <w:r>
        <w:t xml:space="preserve">), and this </w:t>
      </w:r>
      <w:r w:rsidRPr="003E5A6E">
        <w:t>may be</w:t>
      </w:r>
      <w:r>
        <w:t xml:space="preserve"> accepted by the Commissioner if the Commissioner is satisfied of stated matters (</w:t>
      </w:r>
      <w:r w:rsidRPr="001F7129">
        <w:rPr>
          <w:b/>
          <w:bCs/>
        </w:rPr>
        <w:t xml:space="preserve">clause </w:t>
      </w:r>
      <w:r>
        <w:rPr>
          <w:b/>
          <w:bCs/>
        </w:rPr>
        <w:t>1</w:t>
      </w:r>
      <w:r w:rsidR="00AC5F21">
        <w:rPr>
          <w:b/>
          <w:bCs/>
        </w:rPr>
        <w:t>03</w:t>
      </w:r>
      <w:r>
        <w:t>). This is similar to sections 134(3)</w:t>
      </w:r>
      <w:r w:rsidR="00AC5F21">
        <w:noBreakHyphen/>
      </w:r>
      <w:r>
        <w:t>(5) of the current AD Act;</w:t>
      </w:r>
    </w:p>
    <w:p w14:paraId="2A9DA0BC" w14:textId="56089F14" w:rsidR="00B552B9" w:rsidRPr="00AD4575" w:rsidRDefault="00B552B9" w:rsidP="00B552B9">
      <w:pPr>
        <w:pStyle w:val="ListParagraph"/>
        <w:numPr>
          <w:ilvl w:val="0"/>
          <w:numId w:val="12"/>
        </w:numPr>
        <w:spacing w:before="60" w:line="280" w:lineRule="exact"/>
        <w:jc w:val="both"/>
      </w:pPr>
      <w:r w:rsidRPr="00AB55E7">
        <w:rPr>
          <w:b/>
          <w:bCs/>
        </w:rPr>
        <w:t>an ‘interested body’</w:t>
      </w:r>
      <w:r w:rsidRPr="008C322E">
        <w:t xml:space="preserve"> may make a complaint on behalf of one or more named persons entitled to make a complaint that have consented, provided that the entity has a sufficient interest in the complaint</w:t>
      </w:r>
      <w:r>
        <w:t>, as specified in the section</w:t>
      </w:r>
      <w:r w:rsidRPr="008C322E">
        <w:t>, and if made on b</w:t>
      </w:r>
      <w:r>
        <w:t>e</w:t>
      </w:r>
      <w:r w:rsidRPr="008C322E">
        <w:t>half of more than one person, the alleged contravention arises out of the same conduct (</w:t>
      </w:r>
      <w:r w:rsidRPr="008C322E">
        <w:rPr>
          <w:b/>
          <w:bCs/>
        </w:rPr>
        <w:t xml:space="preserve">clauses </w:t>
      </w:r>
      <w:r>
        <w:rPr>
          <w:b/>
          <w:bCs/>
        </w:rPr>
        <w:t>10</w:t>
      </w:r>
      <w:r w:rsidR="00AC5F21">
        <w:rPr>
          <w:b/>
          <w:bCs/>
        </w:rPr>
        <w:t>1</w:t>
      </w:r>
      <w:r w:rsidRPr="008C322E">
        <w:rPr>
          <w:b/>
          <w:bCs/>
        </w:rPr>
        <w:t xml:space="preserve"> and </w:t>
      </w:r>
      <w:r>
        <w:rPr>
          <w:b/>
          <w:bCs/>
        </w:rPr>
        <w:t>1</w:t>
      </w:r>
      <w:r w:rsidR="00782C11">
        <w:rPr>
          <w:b/>
          <w:bCs/>
        </w:rPr>
        <w:t>04</w:t>
      </w:r>
      <w:r w:rsidRPr="008C322E">
        <w:t>)</w:t>
      </w:r>
      <w:r>
        <w:t>;</w:t>
      </w:r>
    </w:p>
    <w:p w14:paraId="7C2C0876" w14:textId="172ED8D9" w:rsidR="00B552B9" w:rsidRDefault="00B552B9" w:rsidP="00B552B9">
      <w:pPr>
        <w:pStyle w:val="ListParagraph"/>
        <w:numPr>
          <w:ilvl w:val="0"/>
          <w:numId w:val="12"/>
        </w:numPr>
        <w:spacing w:before="60" w:line="280" w:lineRule="exact"/>
        <w:jc w:val="both"/>
      </w:pPr>
      <w:r w:rsidRPr="00AB55E7">
        <w:rPr>
          <w:b/>
          <w:bCs/>
        </w:rPr>
        <w:t>a person may make a representative complaint</w:t>
      </w:r>
      <w:r w:rsidRPr="00AB55E7">
        <w:t xml:space="preserve"> for an alleged contravention of the Act on behalf of a class of persons (without consent being required) who may each make an individual complaint, provided that all of the complaints relate to, or arise out of, conduct of the same person and similar or related circumstances, and give rise to a substantial common issue of fact or law (</w:t>
      </w:r>
      <w:r w:rsidRPr="00AB55E7">
        <w:rPr>
          <w:b/>
          <w:bCs/>
        </w:rPr>
        <w:t>clause 1</w:t>
      </w:r>
      <w:r w:rsidR="00590EE9">
        <w:rPr>
          <w:b/>
          <w:bCs/>
        </w:rPr>
        <w:t>08</w:t>
      </w:r>
      <w:r w:rsidRPr="00AB55E7">
        <w:t>). A person is not precluded from bringing a complaint if they are not a class member for a representative complaint (</w:t>
      </w:r>
      <w:r w:rsidRPr="00AB55E7">
        <w:rPr>
          <w:b/>
          <w:bCs/>
        </w:rPr>
        <w:t>clause 11</w:t>
      </w:r>
      <w:r w:rsidR="00590EE9">
        <w:rPr>
          <w:b/>
          <w:bCs/>
        </w:rPr>
        <w:t>1</w:t>
      </w:r>
      <w:r w:rsidRPr="00AB55E7">
        <w:t xml:space="preserve">), but if they are </w:t>
      </w:r>
      <w:r w:rsidR="00590EE9">
        <w:t xml:space="preserve">a class membr </w:t>
      </w:r>
      <w:r w:rsidRPr="00AB55E7">
        <w:t>they will be not entitled to make a separate compliant in relation to the conduct, unless they opt out of the representative complaint (</w:t>
      </w:r>
      <w:r w:rsidRPr="00AB55E7">
        <w:rPr>
          <w:b/>
          <w:bCs/>
        </w:rPr>
        <w:t>clause 11</w:t>
      </w:r>
      <w:r w:rsidR="00590EE9">
        <w:rPr>
          <w:b/>
          <w:bCs/>
        </w:rPr>
        <w:t>0</w:t>
      </w:r>
      <w:r w:rsidRPr="00AB55E7">
        <w:t xml:space="preserve">). This introduces criteria similar to section 46PB of the </w:t>
      </w:r>
      <w:r w:rsidRPr="00AB55E7">
        <w:rPr>
          <w:i/>
          <w:iCs/>
        </w:rPr>
        <w:t>Australian Human Rights Commission Act 1986</w:t>
      </w:r>
      <w:r w:rsidRPr="00AB55E7">
        <w:t xml:space="preserve"> (Cth</w:t>
      </w:r>
      <w:r w:rsidR="00AB55E7" w:rsidRPr="00AB55E7">
        <w:t>)</w:t>
      </w:r>
      <w:r w:rsidRPr="00AB55E7">
        <w:t>. The Commissioner may give directions about the conduct of a representative complaint while it is being dealt with by the Commissioner (</w:t>
      </w:r>
      <w:r w:rsidRPr="00AB55E7">
        <w:rPr>
          <w:b/>
          <w:bCs/>
        </w:rPr>
        <w:t>clause 1</w:t>
      </w:r>
      <w:r w:rsidR="00590EE9">
        <w:rPr>
          <w:b/>
          <w:bCs/>
        </w:rPr>
        <w:t>14</w:t>
      </w:r>
      <w:r w:rsidRPr="00AB55E7">
        <w:t>); and</w:t>
      </w:r>
      <w:r>
        <w:t xml:space="preserve"> </w:t>
      </w:r>
    </w:p>
    <w:p w14:paraId="404D919A" w14:textId="1AF53C30" w:rsidR="00B552B9" w:rsidRPr="006321CC" w:rsidRDefault="00B552B9" w:rsidP="00B552B9">
      <w:pPr>
        <w:pStyle w:val="ListParagraph"/>
        <w:numPr>
          <w:ilvl w:val="0"/>
          <w:numId w:val="12"/>
        </w:numPr>
        <w:spacing w:before="60" w:line="280" w:lineRule="exact"/>
        <w:jc w:val="both"/>
      </w:pPr>
      <w:r w:rsidRPr="00AB55E7">
        <w:rPr>
          <w:b/>
          <w:bCs/>
        </w:rPr>
        <w:t xml:space="preserve">two or more </w:t>
      </w:r>
      <w:r w:rsidR="00590EE9">
        <w:rPr>
          <w:b/>
          <w:bCs/>
        </w:rPr>
        <w:t xml:space="preserve">persons </w:t>
      </w:r>
      <w:r>
        <w:t xml:space="preserve">may </w:t>
      </w:r>
      <w:r w:rsidRPr="006321CC">
        <w:t>jointly make a complaint (</w:t>
      </w:r>
      <w:r w:rsidRPr="002C4161">
        <w:rPr>
          <w:b/>
          <w:bCs/>
        </w:rPr>
        <w:t>clause 10</w:t>
      </w:r>
      <w:r w:rsidR="00590EE9">
        <w:rPr>
          <w:b/>
          <w:bCs/>
        </w:rPr>
        <w:t>2</w:t>
      </w:r>
      <w:r w:rsidRPr="006321CC">
        <w:t>).</w:t>
      </w:r>
    </w:p>
    <w:p w14:paraId="288780AB" w14:textId="77777777" w:rsidR="009D1152" w:rsidRDefault="009D1152" w:rsidP="00AB55E7">
      <w:pPr>
        <w:pStyle w:val="Heading2"/>
      </w:pPr>
      <w:bookmarkStart w:id="142" w:name="_Hlk159261472"/>
    </w:p>
    <w:p w14:paraId="4D7D5679" w14:textId="493F9D6F" w:rsidR="00AB55E7" w:rsidRDefault="00AB55E7" w:rsidP="00AB55E7">
      <w:pPr>
        <w:pStyle w:val="Heading2"/>
      </w:pPr>
      <w:bookmarkStart w:id="143" w:name="_Toc159520341"/>
      <w:r>
        <w:t>Part 10 – Commission’s compliance functions</w:t>
      </w:r>
      <w:bookmarkEnd w:id="143"/>
    </w:p>
    <w:p w14:paraId="1795DB28" w14:textId="28E4489E" w:rsidR="004B692B" w:rsidRPr="00352D26" w:rsidRDefault="00AB55E7" w:rsidP="00793AEF">
      <w:pPr>
        <w:jc w:val="both"/>
      </w:pPr>
      <w:r>
        <w:t>As noted above,</w:t>
      </w:r>
      <w:r w:rsidR="004B692B" w:rsidRPr="00C55395">
        <w:t xml:space="preserve"> Australia</w:t>
      </w:r>
      <w:r>
        <w:t>n</w:t>
      </w:r>
      <w:r w:rsidR="004B692B" w:rsidRPr="00C55395">
        <w:t xml:space="preserve"> anti-discrimination law</w:t>
      </w:r>
      <w:r>
        <w:t>s</w:t>
      </w:r>
      <w:r w:rsidR="004B692B" w:rsidRPr="00C55395">
        <w:t xml:space="preserve"> ha</w:t>
      </w:r>
      <w:r>
        <w:t xml:space="preserve">ve </w:t>
      </w:r>
      <w:r w:rsidR="004B692B" w:rsidRPr="00C55395">
        <w:t xml:space="preserve">been traditionally constructed around an individual complaints-based model. </w:t>
      </w:r>
      <w:r>
        <w:t>While the</w:t>
      </w:r>
      <w:r w:rsidR="004B692B">
        <w:t xml:space="preserve"> Bill will continue the dispute resolution function for the QHRC</w:t>
      </w:r>
      <w:r w:rsidR="004D5740">
        <w:t>,</w:t>
      </w:r>
      <w:r w:rsidR="004B692B">
        <w:t xml:space="preserve"> </w:t>
      </w:r>
      <w:r w:rsidR="000F490C">
        <w:t xml:space="preserve">as discussed above, </w:t>
      </w:r>
      <w:r w:rsidR="004B692B">
        <w:t xml:space="preserve">in view of the shift to </w:t>
      </w:r>
      <w:r w:rsidR="000F490C">
        <w:t xml:space="preserve">a focus on </w:t>
      </w:r>
      <w:r w:rsidR="004B692B">
        <w:t xml:space="preserve">substantive equality, and the positive duty to prevent discrimination and other unlawful conduct, it is </w:t>
      </w:r>
      <w:r w:rsidR="004D5740">
        <w:t xml:space="preserve">also </w:t>
      </w:r>
      <w:r w:rsidR="004B692B">
        <w:t>proposed that the QHRC will be provided with a broader suite of functions, including compliance and enforcement tools to promote equality and prevent and eliminate discrimination.</w:t>
      </w:r>
    </w:p>
    <w:bookmarkEnd w:id="142"/>
    <w:p w14:paraId="6B055DDA" w14:textId="77777777" w:rsidR="004B692B" w:rsidRDefault="004B692B" w:rsidP="00793AEF">
      <w:pPr>
        <w:jc w:val="both"/>
      </w:pPr>
      <w:r>
        <w:t xml:space="preserve">The </w:t>
      </w:r>
      <w:bookmarkStart w:id="144" w:name="_Hlk141795672"/>
      <w:r>
        <w:t>powers and functions will be consistent with a</w:t>
      </w:r>
      <w:r w:rsidRPr="00FA012A">
        <w:t xml:space="preserve"> </w:t>
      </w:r>
      <w:r>
        <w:t>‘</w:t>
      </w:r>
      <w:r w:rsidRPr="00FA012A">
        <w:t>regulatory pyramid approach</w:t>
      </w:r>
      <w:r>
        <w:t>’</w:t>
      </w:r>
      <w:r w:rsidRPr="00FA012A">
        <w:t xml:space="preserve">, beginning with persuasion and then education at its base and progressively escalating if voluntary compliance is not successful towards enforcement tools such as </w:t>
      </w:r>
      <w:r>
        <w:t xml:space="preserve">enforceable undertakings and </w:t>
      </w:r>
      <w:r w:rsidRPr="00FA012A">
        <w:t xml:space="preserve">compliance notices. </w:t>
      </w:r>
    </w:p>
    <w:p w14:paraId="47EE699C" w14:textId="77777777" w:rsidR="004B692B" w:rsidRDefault="004B692B" w:rsidP="00793AEF">
      <w:pPr>
        <w:jc w:val="both"/>
      </w:pPr>
      <w:r>
        <w:t>The levels of the pyramid will incorporate the following levels with supporting functions and powers of the Commissioner:</w:t>
      </w:r>
    </w:p>
    <w:bookmarkEnd w:id="144"/>
    <w:p w14:paraId="2A7E8E94" w14:textId="732D6428" w:rsidR="004B692B" w:rsidRDefault="001B178A" w:rsidP="00793AEF">
      <w:pPr>
        <w:spacing w:after="160" w:line="259" w:lineRule="auto"/>
        <w:jc w:val="both"/>
      </w:pPr>
      <w:r>
        <w:rPr>
          <w:noProof/>
        </w:rPr>
        <w:drawing>
          <wp:inline distT="0" distB="0" distL="0" distR="0" wp14:anchorId="2F68422D" wp14:editId="7F1F498B">
            <wp:extent cx="6120130" cy="3952875"/>
            <wp:effectExtent l="0" t="0" r="0" b="9525"/>
            <wp:docPr id="1" name="Picture 1" descr="Image of the regulatory pyramid appr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the regulatory pyramid approach."/>
                    <pic:cNvPicPr/>
                  </pic:nvPicPr>
                  <pic:blipFill>
                    <a:blip r:embed="rId15"/>
                    <a:stretch>
                      <a:fillRect/>
                    </a:stretch>
                  </pic:blipFill>
                  <pic:spPr>
                    <a:xfrm>
                      <a:off x="0" y="0"/>
                      <a:ext cx="6120130" cy="3952875"/>
                    </a:xfrm>
                    <a:prstGeom prst="rect">
                      <a:avLst/>
                    </a:prstGeom>
                  </pic:spPr>
                </pic:pic>
              </a:graphicData>
            </a:graphic>
          </wp:inline>
        </w:drawing>
      </w:r>
    </w:p>
    <w:p w14:paraId="2721D41C" w14:textId="77777777" w:rsidR="000F490C" w:rsidRDefault="000F490C" w:rsidP="00793AEF">
      <w:pPr>
        <w:pStyle w:val="Heading4"/>
        <w:jc w:val="both"/>
        <w:rPr>
          <w:rFonts w:eastAsia="Times New Roman"/>
        </w:rPr>
      </w:pPr>
    </w:p>
    <w:p w14:paraId="0D58BD72" w14:textId="7F45A5C2" w:rsidR="004B692B" w:rsidRDefault="004B692B" w:rsidP="00793AEF">
      <w:pPr>
        <w:jc w:val="both"/>
      </w:pPr>
      <w:r>
        <w:t>Part 10 of the draft Bill (</w:t>
      </w:r>
      <w:r w:rsidRPr="008F1EF1">
        <w:rPr>
          <w:b/>
          <w:bCs/>
        </w:rPr>
        <w:t>clause</w:t>
      </w:r>
      <w:r w:rsidR="008A521A">
        <w:rPr>
          <w:b/>
          <w:bCs/>
        </w:rPr>
        <w:t>s</w:t>
      </w:r>
      <w:r w:rsidRPr="008F1EF1">
        <w:rPr>
          <w:b/>
          <w:bCs/>
        </w:rPr>
        <w:t xml:space="preserve"> </w:t>
      </w:r>
      <w:r w:rsidR="00624DBB">
        <w:rPr>
          <w:b/>
          <w:bCs/>
        </w:rPr>
        <w:t>143</w:t>
      </w:r>
      <w:r>
        <w:rPr>
          <w:b/>
          <w:bCs/>
        </w:rPr>
        <w:t xml:space="preserve"> to </w:t>
      </w:r>
      <w:r w:rsidR="00624DBB">
        <w:rPr>
          <w:b/>
          <w:bCs/>
        </w:rPr>
        <w:t>152</w:t>
      </w:r>
      <w:r>
        <w:t xml:space="preserve">) contains other compliance functions for the </w:t>
      </w:r>
      <w:r w:rsidR="0044570D">
        <w:t xml:space="preserve">QHRC </w:t>
      </w:r>
      <w:r>
        <w:t>outside of the complaints and investigation frameworks.</w:t>
      </w:r>
    </w:p>
    <w:p w14:paraId="20686BBF" w14:textId="5BA81971" w:rsidR="004B692B" w:rsidRDefault="004B692B" w:rsidP="00793AEF">
      <w:pPr>
        <w:jc w:val="both"/>
      </w:pPr>
      <w:r>
        <w:t xml:space="preserve">This is intended to provide the first and second levels of the regulatory pyramid. The first level </w:t>
      </w:r>
      <w:r w:rsidR="008A521A">
        <w:t xml:space="preserve">is </w:t>
      </w:r>
      <w:r>
        <w:t xml:space="preserve">directed at building a level of understanding of obligations by duty holders and the community more generally, </w:t>
      </w:r>
      <w:r w:rsidR="008A521A">
        <w:t>with the aim of both preventing discrimination, sexual harassment, vilification and other unlawful conduct as well as educating people about their rights to be protected from this conduct</w:t>
      </w:r>
      <w:r>
        <w:t xml:space="preserve">. The second level is directed at </w:t>
      </w:r>
      <w:r w:rsidR="00AE7B9E">
        <w:t xml:space="preserve">promoting and facilitating voluntary compliance </w:t>
      </w:r>
      <w:r w:rsidR="008A521A">
        <w:t xml:space="preserve">by duty holders </w:t>
      </w:r>
      <w:r w:rsidR="00624DBB">
        <w:t xml:space="preserve">through compliance reviews and action plans.  </w:t>
      </w:r>
      <w:r w:rsidR="004D5740">
        <w:t>The third level compliance powers are intended for the most serious and systemic cases of unlawful conduct.</w:t>
      </w:r>
    </w:p>
    <w:p w14:paraId="60FA541A" w14:textId="77777777" w:rsidR="004B692B" w:rsidRDefault="004B692B" w:rsidP="00882B97">
      <w:pPr>
        <w:pStyle w:val="Heading3"/>
        <w:rPr>
          <w:rFonts w:eastAsia="Times New Roman"/>
        </w:rPr>
      </w:pPr>
      <w:bookmarkStart w:id="145" w:name="_Toc159520342"/>
      <w:r>
        <w:rPr>
          <w:rFonts w:eastAsia="Times New Roman"/>
        </w:rPr>
        <w:lastRenderedPageBreak/>
        <w:t>Education and research</w:t>
      </w:r>
      <w:bookmarkEnd w:id="145"/>
    </w:p>
    <w:p w14:paraId="7E7961DA" w14:textId="79528838" w:rsidR="004B692B" w:rsidRDefault="004B692B" w:rsidP="00793AEF">
      <w:pPr>
        <w:jc w:val="both"/>
      </w:pPr>
      <w:r>
        <w:t xml:space="preserve">The draft Bill provides </w:t>
      </w:r>
      <w:r w:rsidR="008A521A">
        <w:t>for the QHRC’s educative functions</w:t>
      </w:r>
      <w:r>
        <w:t xml:space="preserve"> (</w:t>
      </w:r>
      <w:r w:rsidRPr="00834641">
        <w:rPr>
          <w:b/>
          <w:bCs/>
        </w:rPr>
        <w:t>clause 1</w:t>
      </w:r>
      <w:r w:rsidR="00624DBB">
        <w:rPr>
          <w:b/>
          <w:bCs/>
        </w:rPr>
        <w:t>43</w:t>
      </w:r>
      <w:r w:rsidR="008A521A">
        <w:rPr>
          <w:b/>
          <w:bCs/>
        </w:rPr>
        <w:t xml:space="preserve">) </w:t>
      </w:r>
      <w:r w:rsidR="008A521A" w:rsidRPr="008A521A">
        <w:t>and research functions</w:t>
      </w:r>
      <w:r w:rsidR="008A521A">
        <w:rPr>
          <w:b/>
          <w:bCs/>
        </w:rPr>
        <w:t xml:space="preserve"> (clause 1</w:t>
      </w:r>
      <w:r w:rsidR="00624DBB">
        <w:rPr>
          <w:b/>
          <w:bCs/>
        </w:rPr>
        <w:t>44</w:t>
      </w:r>
      <w:r w:rsidR="008A521A">
        <w:rPr>
          <w:b/>
          <w:bCs/>
        </w:rPr>
        <w:t>).</w:t>
      </w:r>
    </w:p>
    <w:p w14:paraId="11ABE46E" w14:textId="59DB4EF9" w:rsidR="004B692B" w:rsidRDefault="004B692B" w:rsidP="00793AEF">
      <w:pPr>
        <w:jc w:val="both"/>
      </w:pPr>
      <w:r>
        <w:t xml:space="preserve">The draft Bill </w:t>
      </w:r>
      <w:r w:rsidR="008A521A">
        <w:t>(</w:t>
      </w:r>
      <w:r w:rsidR="008A521A" w:rsidRPr="008A521A">
        <w:rPr>
          <w:b/>
          <w:bCs/>
        </w:rPr>
        <w:t>clause 1</w:t>
      </w:r>
      <w:r w:rsidR="00624DBB">
        <w:rPr>
          <w:b/>
          <w:bCs/>
        </w:rPr>
        <w:t>44</w:t>
      </w:r>
      <w:r w:rsidR="008A521A">
        <w:t xml:space="preserve">) </w:t>
      </w:r>
      <w:r>
        <w:t>provides that the</w:t>
      </w:r>
      <w:r w:rsidR="0044570D">
        <w:t xml:space="preserve"> QHRC </w:t>
      </w:r>
      <w:r>
        <w:t>may undertake research into any matter arising from, or incidental to, the operation of th</w:t>
      </w:r>
      <w:r w:rsidR="00BB2BFE">
        <w:t xml:space="preserve">e Act </w:t>
      </w:r>
      <w:r>
        <w:t xml:space="preserve">that it considers would </w:t>
      </w:r>
      <w:r w:rsidR="00587233">
        <w:t xml:space="preserve">help achieve </w:t>
      </w:r>
      <w:r>
        <w:t xml:space="preserve">the </w:t>
      </w:r>
      <w:r w:rsidR="00624DBB">
        <w:t xml:space="preserve">purposes </w:t>
      </w:r>
      <w:r>
        <w:t xml:space="preserve">of the Act. The </w:t>
      </w:r>
      <w:r w:rsidR="0044570D">
        <w:t xml:space="preserve">QHRC </w:t>
      </w:r>
      <w:r>
        <w:t>may also conduct reviews into policies, programs, procedures, practices and services used by entity to identify non-compliance issues of systemic nature generally</w:t>
      </w:r>
      <w:r w:rsidRPr="00977F7E">
        <w:t>.</w:t>
      </w:r>
      <w:r>
        <w:t xml:space="preserve"> The Commissioner may prepare and give to the Minister a report arising from such research or </w:t>
      </w:r>
      <w:r w:rsidR="00BB2BFE">
        <w:t>reviews</w:t>
      </w:r>
      <w:r>
        <w:t>, and the Minister must table it within six sitting days after receiving it (</w:t>
      </w:r>
      <w:r w:rsidRPr="00977F7E">
        <w:rPr>
          <w:b/>
          <w:bCs/>
        </w:rPr>
        <w:t>clause 1</w:t>
      </w:r>
      <w:r w:rsidR="00624DBB">
        <w:rPr>
          <w:b/>
          <w:bCs/>
        </w:rPr>
        <w:t>45</w:t>
      </w:r>
      <w:r>
        <w:t>).</w:t>
      </w:r>
    </w:p>
    <w:p w14:paraId="2DED267F" w14:textId="77777777" w:rsidR="004B692B" w:rsidRDefault="004B692B" w:rsidP="00882B97">
      <w:pPr>
        <w:pStyle w:val="Heading3"/>
        <w:rPr>
          <w:rFonts w:eastAsia="Times New Roman"/>
        </w:rPr>
      </w:pPr>
      <w:bookmarkStart w:id="146" w:name="_Toc159520343"/>
      <w:r>
        <w:rPr>
          <w:rFonts w:eastAsia="Times New Roman"/>
        </w:rPr>
        <w:t>Guidelines</w:t>
      </w:r>
      <w:bookmarkEnd w:id="146"/>
    </w:p>
    <w:p w14:paraId="606718A7" w14:textId="573369EC" w:rsidR="008A521A" w:rsidRDefault="004B692B" w:rsidP="00793AEF">
      <w:pPr>
        <w:jc w:val="both"/>
      </w:pPr>
      <w:r>
        <w:t xml:space="preserve">The draft Bill provides that the </w:t>
      </w:r>
      <w:r w:rsidR="0044570D">
        <w:t>QHRC</w:t>
      </w:r>
      <w:r w:rsidR="008A521A">
        <w:t xml:space="preserve"> may issue guidelines about any matter relating to the legislation (</w:t>
      </w:r>
      <w:r w:rsidR="008A521A" w:rsidRPr="008A521A">
        <w:rPr>
          <w:b/>
          <w:bCs/>
        </w:rPr>
        <w:t>clause 1</w:t>
      </w:r>
      <w:r w:rsidR="00624DBB">
        <w:rPr>
          <w:b/>
          <w:bCs/>
        </w:rPr>
        <w:t>46</w:t>
      </w:r>
      <w:r w:rsidR="008A521A">
        <w:t>).</w:t>
      </w:r>
    </w:p>
    <w:p w14:paraId="5FE39BFC" w14:textId="6A341CB9" w:rsidR="008A521A" w:rsidRDefault="008A521A" w:rsidP="00793AEF">
      <w:pPr>
        <w:jc w:val="both"/>
      </w:pPr>
      <w:r>
        <w:t>There is a requirement for the QHRC to</w:t>
      </w:r>
      <w:r w:rsidR="0044570D">
        <w:t xml:space="preserve"> </w:t>
      </w:r>
      <w:r w:rsidR="004B692B">
        <w:t xml:space="preserve">issue and publish guidelines about how </w:t>
      </w:r>
      <w:r w:rsidR="00BB2BFE">
        <w:t xml:space="preserve">persons must comply with the </w:t>
      </w:r>
      <w:r w:rsidR="000C59C2">
        <w:t xml:space="preserve">positive duties in </w:t>
      </w:r>
      <w:r w:rsidR="000C59C2" w:rsidRPr="008A521A">
        <w:rPr>
          <w:b/>
          <w:bCs/>
        </w:rPr>
        <w:t>clauses 18</w:t>
      </w:r>
      <w:r w:rsidR="000C59C2">
        <w:t xml:space="preserve"> </w:t>
      </w:r>
      <w:r>
        <w:t xml:space="preserve">(reasonable accommodation for a person with disability) </w:t>
      </w:r>
      <w:r w:rsidR="000C59C2">
        <w:t xml:space="preserve">and </w:t>
      </w:r>
      <w:r w:rsidRPr="008A521A">
        <w:rPr>
          <w:b/>
          <w:bCs/>
        </w:rPr>
        <w:t xml:space="preserve">clause </w:t>
      </w:r>
      <w:r w:rsidR="000C59C2" w:rsidRPr="008A521A">
        <w:rPr>
          <w:b/>
          <w:bCs/>
        </w:rPr>
        <w:t>19</w:t>
      </w:r>
      <w:r w:rsidR="000C59C2">
        <w:t xml:space="preserve"> </w:t>
      </w:r>
      <w:r>
        <w:t>(the general duty to take reasonable and proportionate measures to eliminate discrimination, sexual harassment, vilification and victimisation as far as possible).</w:t>
      </w:r>
    </w:p>
    <w:p w14:paraId="7DEAAEA0" w14:textId="0200BEF4" w:rsidR="004B692B" w:rsidRDefault="004B692B" w:rsidP="00793AEF">
      <w:pPr>
        <w:jc w:val="both"/>
      </w:pPr>
      <w:r>
        <w:t xml:space="preserve">The guidelines are not legally binding but a court or the tribunal may consider evidence of compliance with the guidelines if relevant to a matter before it </w:t>
      </w:r>
      <w:r w:rsidRPr="002C4161">
        <w:t>(</w:t>
      </w:r>
      <w:r w:rsidRPr="00002FB0">
        <w:rPr>
          <w:b/>
          <w:bCs/>
        </w:rPr>
        <w:t xml:space="preserve">clause </w:t>
      </w:r>
      <w:r>
        <w:rPr>
          <w:b/>
          <w:bCs/>
        </w:rPr>
        <w:t>15</w:t>
      </w:r>
      <w:r w:rsidR="008A521A">
        <w:rPr>
          <w:b/>
          <w:bCs/>
        </w:rPr>
        <w:t>5</w:t>
      </w:r>
      <w:r>
        <w:t>).</w:t>
      </w:r>
    </w:p>
    <w:p w14:paraId="2F3A1DD2" w14:textId="77777777" w:rsidR="004B692B" w:rsidRDefault="004B692B" w:rsidP="00793AEF">
      <w:pPr>
        <w:jc w:val="both"/>
      </w:pPr>
      <w:r w:rsidRPr="00CD2121">
        <w:t>Guidelines are intended to be practical tools that assist with decision-making and compliance. The Building Belonging Report noted that Guidelines have educative value and can demonstrate best practice approaches, which is useful where the law is complex, difficult to apply in practice, and when case law is limited. Guidelines can be updated as the law changes and as new issues or approaches to best practice emerge.</w:t>
      </w:r>
    </w:p>
    <w:p w14:paraId="2CEE57D6" w14:textId="504F4185" w:rsidR="004B692B" w:rsidRDefault="004B692B" w:rsidP="00882B97">
      <w:pPr>
        <w:pStyle w:val="Heading3"/>
        <w:rPr>
          <w:rFonts w:eastAsia="Times New Roman"/>
        </w:rPr>
      </w:pPr>
      <w:bookmarkStart w:id="147" w:name="_Toc159520344"/>
      <w:r w:rsidRPr="00CD2121">
        <w:rPr>
          <w:rFonts w:eastAsia="Times New Roman"/>
        </w:rPr>
        <w:t xml:space="preserve">Compliance </w:t>
      </w:r>
      <w:r>
        <w:rPr>
          <w:rFonts w:eastAsia="Times New Roman"/>
        </w:rPr>
        <w:t>review</w:t>
      </w:r>
      <w:r w:rsidR="000C59C2">
        <w:rPr>
          <w:rFonts w:eastAsia="Times New Roman"/>
        </w:rPr>
        <w:t>s</w:t>
      </w:r>
      <w:r>
        <w:rPr>
          <w:rFonts w:eastAsia="Times New Roman"/>
        </w:rPr>
        <w:t xml:space="preserve"> and action plans</w:t>
      </w:r>
      <w:bookmarkEnd w:id="147"/>
    </w:p>
    <w:p w14:paraId="4EAC6B28" w14:textId="732939AB" w:rsidR="004B692B" w:rsidRDefault="004B692B" w:rsidP="00793AEF">
      <w:pPr>
        <w:jc w:val="both"/>
      </w:pPr>
      <w:r>
        <w:t xml:space="preserve">The draft Bill allows the </w:t>
      </w:r>
      <w:r w:rsidR="0044570D">
        <w:t>QHRC</w:t>
      </w:r>
      <w:r w:rsidR="000C59C2">
        <w:t xml:space="preserve"> to</w:t>
      </w:r>
      <w:r>
        <w:t>:</w:t>
      </w:r>
    </w:p>
    <w:p w14:paraId="4797C322" w14:textId="2AA882D6" w:rsidR="004B692B" w:rsidRDefault="004B692B" w:rsidP="00721411">
      <w:pPr>
        <w:pStyle w:val="ListParagraph"/>
        <w:numPr>
          <w:ilvl w:val="0"/>
          <w:numId w:val="16"/>
        </w:numPr>
        <w:spacing w:before="60" w:line="280" w:lineRule="exact"/>
        <w:jc w:val="both"/>
      </w:pPr>
      <w:r>
        <w:t>enter into an agreement for a compliance review of a person’s program’ and practices at their request (</w:t>
      </w:r>
      <w:r w:rsidRPr="00002FB0">
        <w:rPr>
          <w:b/>
          <w:bCs/>
        </w:rPr>
        <w:t xml:space="preserve">clause </w:t>
      </w:r>
      <w:r w:rsidR="00CB693B">
        <w:rPr>
          <w:b/>
          <w:bCs/>
        </w:rPr>
        <w:t>149</w:t>
      </w:r>
      <w:r>
        <w:t>);</w:t>
      </w:r>
    </w:p>
    <w:p w14:paraId="2425D4E2" w14:textId="7E92E278" w:rsidR="004B692B" w:rsidRDefault="004B692B" w:rsidP="00721411">
      <w:pPr>
        <w:pStyle w:val="ListParagraph"/>
        <w:numPr>
          <w:ilvl w:val="0"/>
          <w:numId w:val="16"/>
        </w:numPr>
        <w:spacing w:before="60" w:line="280" w:lineRule="exact"/>
        <w:jc w:val="both"/>
      </w:pPr>
      <w:r>
        <w:t>publish a report about the steps taken by a person to comply with the Act if they consent (</w:t>
      </w:r>
      <w:r w:rsidRPr="00002FB0">
        <w:rPr>
          <w:b/>
          <w:bCs/>
        </w:rPr>
        <w:t xml:space="preserve">clause </w:t>
      </w:r>
      <w:r w:rsidR="00CB693B">
        <w:rPr>
          <w:b/>
          <w:bCs/>
        </w:rPr>
        <w:t>150</w:t>
      </w:r>
      <w:r>
        <w:t>); and</w:t>
      </w:r>
    </w:p>
    <w:p w14:paraId="5A649A4C" w14:textId="7EDC04DA" w:rsidR="004B692B" w:rsidRDefault="004B692B" w:rsidP="00721411">
      <w:pPr>
        <w:pStyle w:val="ListParagraph"/>
        <w:numPr>
          <w:ilvl w:val="0"/>
          <w:numId w:val="16"/>
        </w:numPr>
        <w:spacing w:before="60" w:line="280" w:lineRule="exact"/>
        <w:jc w:val="both"/>
      </w:pPr>
      <w:r>
        <w:t>provide advice about preparing and implementing action plans, prepared by a person that specifies steps necessary to improve compliance with the Act, and set minimum requirements for action plans (</w:t>
      </w:r>
      <w:r w:rsidRPr="00002FB0">
        <w:rPr>
          <w:b/>
          <w:bCs/>
        </w:rPr>
        <w:t>clause 1</w:t>
      </w:r>
      <w:r w:rsidR="000C59C2">
        <w:rPr>
          <w:b/>
          <w:bCs/>
        </w:rPr>
        <w:t>5</w:t>
      </w:r>
      <w:r w:rsidR="00CB693B">
        <w:rPr>
          <w:b/>
          <w:bCs/>
        </w:rPr>
        <w:t>1</w:t>
      </w:r>
      <w:r w:rsidRPr="002C4161">
        <w:t>)</w:t>
      </w:r>
      <w:r w:rsidRPr="00285041">
        <w:t>.</w:t>
      </w:r>
      <w:r>
        <w:t xml:space="preserve"> Action plans may be provided to the </w:t>
      </w:r>
      <w:r w:rsidR="0044570D">
        <w:t xml:space="preserve">QHRC </w:t>
      </w:r>
      <w:r>
        <w:t xml:space="preserve">and included in the register of action plans published by the </w:t>
      </w:r>
      <w:r w:rsidR="0044570D">
        <w:t xml:space="preserve">QHRC </w:t>
      </w:r>
      <w:r>
        <w:t>(</w:t>
      </w:r>
      <w:r w:rsidRPr="00002FB0">
        <w:rPr>
          <w:b/>
          <w:bCs/>
        </w:rPr>
        <w:t>clause 1</w:t>
      </w:r>
      <w:r w:rsidR="000C59C2">
        <w:rPr>
          <w:b/>
          <w:bCs/>
        </w:rPr>
        <w:t>5</w:t>
      </w:r>
      <w:r w:rsidR="00CB693B">
        <w:rPr>
          <w:b/>
          <w:bCs/>
        </w:rPr>
        <w:t>2</w:t>
      </w:r>
      <w:r>
        <w:t>).</w:t>
      </w:r>
    </w:p>
    <w:p w14:paraId="6080384A" w14:textId="4DB6E000" w:rsidR="004B692B" w:rsidRDefault="004B692B" w:rsidP="00793AEF">
      <w:pPr>
        <w:jc w:val="both"/>
      </w:pPr>
    </w:p>
    <w:p w14:paraId="31FC5131" w14:textId="77777777" w:rsidR="004B692B" w:rsidRDefault="004B692B" w:rsidP="00AB55E7">
      <w:pPr>
        <w:pStyle w:val="Heading2"/>
      </w:pPr>
      <w:bookmarkStart w:id="148" w:name="_Toc159520345"/>
      <w:r w:rsidRPr="002C4161">
        <w:t>Part 11</w:t>
      </w:r>
      <w:r>
        <w:t xml:space="preserve"> – Opinions</w:t>
      </w:r>
      <w:bookmarkEnd w:id="148"/>
    </w:p>
    <w:p w14:paraId="37C38444" w14:textId="57EE5DCD" w:rsidR="004B692B" w:rsidRDefault="004B692B" w:rsidP="00793AEF">
      <w:pPr>
        <w:jc w:val="both"/>
      </w:pPr>
      <w:r>
        <w:t>Part 11 of the draft Bill (</w:t>
      </w:r>
      <w:r w:rsidRPr="002C4161">
        <w:rPr>
          <w:b/>
          <w:bCs/>
        </w:rPr>
        <w:t>clause</w:t>
      </w:r>
      <w:r w:rsidR="00CB693B">
        <w:rPr>
          <w:b/>
          <w:bCs/>
        </w:rPr>
        <w:t>s</w:t>
      </w:r>
      <w:r w:rsidRPr="002C4161">
        <w:rPr>
          <w:b/>
          <w:bCs/>
        </w:rPr>
        <w:t xml:space="preserve"> 1</w:t>
      </w:r>
      <w:r w:rsidR="00CB693B">
        <w:rPr>
          <w:b/>
          <w:bCs/>
        </w:rPr>
        <w:t>53</w:t>
      </w:r>
      <w:r w:rsidRPr="002C4161">
        <w:rPr>
          <w:b/>
          <w:bCs/>
        </w:rPr>
        <w:t xml:space="preserve"> to </w:t>
      </w:r>
      <w:r w:rsidR="00CB693B">
        <w:rPr>
          <w:b/>
          <w:bCs/>
        </w:rPr>
        <w:t>159</w:t>
      </w:r>
      <w:r>
        <w:t>) dea</w:t>
      </w:r>
      <w:r w:rsidR="00CB693B">
        <w:t>l</w:t>
      </w:r>
      <w:r>
        <w:t>s with opinions of the IRC or QCAT. The draft Bill allows the Commissioner to ask the IRC or QCAT for an opinion about how this act applies in a specific situation, where a person has asked for advice on this (</w:t>
      </w:r>
      <w:r w:rsidRPr="002C4161">
        <w:rPr>
          <w:b/>
          <w:bCs/>
        </w:rPr>
        <w:t xml:space="preserve">clause </w:t>
      </w:r>
      <w:r w:rsidR="00CB693B">
        <w:rPr>
          <w:b/>
          <w:bCs/>
        </w:rPr>
        <w:t>153</w:t>
      </w:r>
      <w:r>
        <w:t>). A person may not make a complaint against a person acting in accordance with an opinion provided by QCAT or the IRC (</w:t>
      </w:r>
      <w:r w:rsidR="00CB693B" w:rsidRPr="002E7F89">
        <w:rPr>
          <w:b/>
          <w:bCs/>
        </w:rPr>
        <w:t xml:space="preserve">clause </w:t>
      </w:r>
      <w:r w:rsidR="00CB693B" w:rsidRPr="00CB693B">
        <w:rPr>
          <w:b/>
          <w:bCs/>
        </w:rPr>
        <w:t>15</w:t>
      </w:r>
      <w:r w:rsidR="00CB693B">
        <w:rPr>
          <w:b/>
          <w:bCs/>
        </w:rPr>
        <w:t>7</w:t>
      </w:r>
      <w:r w:rsidR="00CB693B">
        <w:t>)</w:t>
      </w:r>
      <w:r>
        <w:t>. The Commissioner, or a person with a relevant interest, may appeal against a tribunal opinion (</w:t>
      </w:r>
      <w:r w:rsidRPr="002C4161">
        <w:rPr>
          <w:b/>
          <w:bCs/>
        </w:rPr>
        <w:t>clause 1</w:t>
      </w:r>
      <w:r w:rsidR="00CB693B">
        <w:rPr>
          <w:b/>
          <w:bCs/>
        </w:rPr>
        <w:t>59</w:t>
      </w:r>
      <w:r>
        <w:t xml:space="preserve">). These provisions are similar </w:t>
      </w:r>
      <w:r w:rsidR="00D4488B">
        <w:t xml:space="preserve">in effect </w:t>
      </w:r>
      <w:r>
        <w:t>to section</w:t>
      </w:r>
      <w:r w:rsidR="00D4488B">
        <w:t>s</w:t>
      </w:r>
      <w:r>
        <w:t xml:space="preserve"> 228 </w:t>
      </w:r>
      <w:r w:rsidR="00D4488B">
        <w:t xml:space="preserve">to </w:t>
      </w:r>
      <w:r>
        <w:t>233 of the current AD Act.</w:t>
      </w:r>
    </w:p>
    <w:p w14:paraId="1FD6955D" w14:textId="77777777" w:rsidR="009D1152" w:rsidRDefault="009D1152" w:rsidP="00AB55E7">
      <w:pPr>
        <w:pStyle w:val="Heading2"/>
      </w:pPr>
    </w:p>
    <w:p w14:paraId="62B5F8C5" w14:textId="7EFF3664" w:rsidR="004B692B" w:rsidRDefault="004B692B" w:rsidP="00AB55E7">
      <w:pPr>
        <w:pStyle w:val="Heading2"/>
      </w:pPr>
      <w:bookmarkStart w:id="149" w:name="_Toc159520346"/>
      <w:r w:rsidRPr="00F72D10">
        <w:t>Part 12 – Investigations</w:t>
      </w:r>
      <w:bookmarkEnd w:id="149"/>
    </w:p>
    <w:p w14:paraId="1ADAAF4A" w14:textId="6A5CE0A0" w:rsidR="005524C3" w:rsidRDefault="005524C3" w:rsidP="005524C3">
      <w:r>
        <w:t xml:space="preserve">Part 12 </w:t>
      </w:r>
      <w:r w:rsidR="00590EE9">
        <w:t>of the draft Bill (</w:t>
      </w:r>
      <w:r w:rsidR="00590EE9" w:rsidRPr="007B0889">
        <w:rPr>
          <w:b/>
          <w:bCs/>
        </w:rPr>
        <w:t xml:space="preserve">clauses </w:t>
      </w:r>
      <w:r w:rsidR="00D10B53">
        <w:rPr>
          <w:b/>
          <w:bCs/>
        </w:rPr>
        <w:t>160 to 169</w:t>
      </w:r>
      <w:r w:rsidR="00590EE9" w:rsidRPr="00645858">
        <w:t>)</w:t>
      </w:r>
      <w:r w:rsidR="00590EE9">
        <w:t xml:space="preserve"> </w:t>
      </w:r>
      <w:r>
        <w:t xml:space="preserve">includes the QHRC’s ‘third-level’ compliance powers, intended for the most serious and systemic cases of unlawful conduct. The draft Bill includes strengthened powers for the QHRC to be able to enforce the legislation. </w:t>
      </w:r>
    </w:p>
    <w:p w14:paraId="7C6C6D70" w14:textId="22B11932" w:rsidR="005524C3" w:rsidRDefault="005524C3" w:rsidP="005524C3">
      <w:r>
        <w:t xml:space="preserve">These powers include the power </w:t>
      </w:r>
      <w:r w:rsidR="00AB02C4">
        <w:t xml:space="preserve">for the Commissioner </w:t>
      </w:r>
      <w:r>
        <w:t>to conduct an investigation (</w:t>
      </w:r>
      <w:r w:rsidRPr="002E7F89">
        <w:rPr>
          <w:b/>
          <w:bCs/>
        </w:rPr>
        <w:t>clause 16</w:t>
      </w:r>
      <w:r w:rsidR="00CB693B">
        <w:rPr>
          <w:b/>
          <w:bCs/>
        </w:rPr>
        <w:t>0</w:t>
      </w:r>
      <w:r>
        <w:t xml:space="preserve">) and </w:t>
      </w:r>
      <w:r w:rsidR="00590EE9">
        <w:t>after this has occurred to:</w:t>
      </w:r>
    </w:p>
    <w:p w14:paraId="0B08366C" w14:textId="16D235C4" w:rsidR="005524C3" w:rsidRDefault="005524C3" w:rsidP="005524C3">
      <w:pPr>
        <w:pStyle w:val="ListParagraph"/>
        <w:numPr>
          <w:ilvl w:val="0"/>
          <w:numId w:val="41"/>
        </w:numPr>
      </w:pPr>
      <w:r>
        <w:t>report on the investigation (</w:t>
      </w:r>
      <w:r w:rsidRPr="00D013D2">
        <w:rPr>
          <w:b/>
          <w:bCs/>
        </w:rPr>
        <w:t xml:space="preserve">clause </w:t>
      </w:r>
      <w:r w:rsidR="00590EE9">
        <w:rPr>
          <w:b/>
          <w:bCs/>
        </w:rPr>
        <w:t>165</w:t>
      </w:r>
      <w:r>
        <w:t>);</w:t>
      </w:r>
    </w:p>
    <w:p w14:paraId="07380E6E" w14:textId="30669A81" w:rsidR="005524C3" w:rsidRDefault="005524C3" w:rsidP="005524C3">
      <w:pPr>
        <w:pStyle w:val="ListParagraph"/>
        <w:numPr>
          <w:ilvl w:val="0"/>
          <w:numId w:val="41"/>
        </w:numPr>
      </w:pPr>
      <w:r>
        <w:t xml:space="preserve">enter into an undertaking with a person </w:t>
      </w:r>
      <w:r w:rsidR="00D013D2" w:rsidRPr="00D013D2">
        <w:t xml:space="preserve">to take, to stop taking, or not to take, stated action </w:t>
      </w:r>
      <w:r>
        <w:t>to comply with the legislation (</w:t>
      </w:r>
      <w:r w:rsidRPr="00D013D2">
        <w:rPr>
          <w:b/>
          <w:bCs/>
        </w:rPr>
        <w:t xml:space="preserve">clause </w:t>
      </w:r>
      <w:r w:rsidR="00590EE9">
        <w:rPr>
          <w:b/>
          <w:bCs/>
        </w:rPr>
        <w:t>166</w:t>
      </w:r>
      <w:r>
        <w:t xml:space="preserve">); </w:t>
      </w:r>
      <w:r w:rsidR="00590EE9">
        <w:t>and</w:t>
      </w:r>
    </w:p>
    <w:p w14:paraId="2E2C2545" w14:textId="6B4201E8" w:rsidR="005524C3" w:rsidRPr="005524C3" w:rsidRDefault="005524C3" w:rsidP="005524C3">
      <w:pPr>
        <w:pStyle w:val="ListParagraph"/>
        <w:numPr>
          <w:ilvl w:val="0"/>
          <w:numId w:val="41"/>
        </w:numPr>
      </w:pPr>
      <w:r>
        <w:t xml:space="preserve">issue a compliance notice requiring a person </w:t>
      </w:r>
      <w:bookmarkStart w:id="150" w:name="_Hlk159350052"/>
      <w:r>
        <w:t xml:space="preserve">to take, to stop taking, or not to take, stated action </w:t>
      </w:r>
      <w:bookmarkEnd w:id="150"/>
      <w:r>
        <w:t>to comply with the legislation (</w:t>
      </w:r>
      <w:r w:rsidRPr="00D013D2">
        <w:rPr>
          <w:b/>
          <w:bCs/>
        </w:rPr>
        <w:t>clause 1</w:t>
      </w:r>
      <w:r w:rsidR="00590EE9">
        <w:rPr>
          <w:b/>
          <w:bCs/>
        </w:rPr>
        <w:t>67</w:t>
      </w:r>
      <w:r>
        <w:t>).</w:t>
      </w:r>
    </w:p>
    <w:p w14:paraId="292D2D6E" w14:textId="4D717BBA" w:rsidR="004B692B" w:rsidRDefault="00AB02C4" w:rsidP="00793AEF">
      <w:pPr>
        <w:jc w:val="both"/>
      </w:pPr>
      <w:r>
        <w:t xml:space="preserve">An investigation may be conducted </w:t>
      </w:r>
      <w:r w:rsidR="004B692B">
        <w:t xml:space="preserve">if the Commissioner believes on reasonable grounds that one or more contraventions of the Act may have happened in relation to a matter relating to the operation of the Act, the matter raises an issue that is serious in nature which relates to a class or group of persons and cannot be expected to resolved by a complaint, and the investigation would </w:t>
      </w:r>
      <w:r w:rsidR="00587233">
        <w:t xml:space="preserve">help achieve </w:t>
      </w:r>
      <w:r w:rsidR="004B692B">
        <w:t xml:space="preserve">the </w:t>
      </w:r>
      <w:r w:rsidR="00FB2E7A">
        <w:t xml:space="preserve">purposes </w:t>
      </w:r>
      <w:r w:rsidR="004B692B">
        <w:t>of Act (</w:t>
      </w:r>
      <w:r w:rsidR="004B692B" w:rsidRPr="0024618D">
        <w:rPr>
          <w:b/>
          <w:bCs/>
        </w:rPr>
        <w:t xml:space="preserve">clause </w:t>
      </w:r>
      <w:r w:rsidR="007B0889">
        <w:rPr>
          <w:b/>
          <w:bCs/>
        </w:rPr>
        <w:t>16</w:t>
      </w:r>
      <w:r w:rsidR="00590EE9">
        <w:rPr>
          <w:b/>
          <w:bCs/>
        </w:rPr>
        <w:t>0</w:t>
      </w:r>
      <w:r w:rsidR="004B692B">
        <w:t xml:space="preserve">). </w:t>
      </w:r>
    </w:p>
    <w:p w14:paraId="4534ACB4" w14:textId="480BBD9E" w:rsidR="004B692B" w:rsidRDefault="004B692B" w:rsidP="00793AEF">
      <w:pPr>
        <w:jc w:val="both"/>
      </w:pPr>
      <w:r>
        <w:t xml:space="preserve">The Commissioner </w:t>
      </w:r>
      <w:r w:rsidR="00AB02C4">
        <w:t xml:space="preserve">will be able to </w:t>
      </w:r>
      <w:r>
        <w:t xml:space="preserve">direct a person </w:t>
      </w:r>
      <w:r w:rsidR="007B0889">
        <w:t>t</w:t>
      </w:r>
      <w:r>
        <w:t>hat the Commissioner considers may have information relevant to an investigation to give it to the Commissioner (</w:t>
      </w:r>
      <w:r w:rsidRPr="001B451A">
        <w:rPr>
          <w:b/>
          <w:bCs/>
        </w:rPr>
        <w:t xml:space="preserve">clause </w:t>
      </w:r>
      <w:r w:rsidR="00AB02C4">
        <w:rPr>
          <w:b/>
          <w:bCs/>
        </w:rPr>
        <w:t>163</w:t>
      </w:r>
      <w:r>
        <w:t xml:space="preserve">). </w:t>
      </w:r>
    </w:p>
    <w:p w14:paraId="10D243C5" w14:textId="3B7B2498" w:rsidR="004B692B" w:rsidRDefault="004B692B" w:rsidP="00793AEF">
      <w:pPr>
        <w:jc w:val="both"/>
      </w:pPr>
      <w:r>
        <w:t>Compliance with an undertaking or a compliance notice may be enforced through application to the IRC or QCAT which may result in an order requiring the person to comply (</w:t>
      </w:r>
      <w:r w:rsidRPr="002C4161">
        <w:rPr>
          <w:b/>
          <w:bCs/>
        </w:rPr>
        <w:t>1</w:t>
      </w:r>
      <w:r w:rsidR="00AB02C4">
        <w:rPr>
          <w:b/>
          <w:bCs/>
        </w:rPr>
        <w:t>67</w:t>
      </w:r>
      <w:r w:rsidRPr="002C4161">
        <w:rPr>
          <w:b/>
          <w:bCs/>
        </w:rPr>
        <w:t xml:space="preserve"> and </w:t>
      </w:r>
      <w:r w:rsidRPr="000E4773">
        <w:rPr>
          <w:b/>
          <w:bCs/>
        </w:rPr>
        <w:t>1</w:t>
      </w:r>
      <w:r w:rsidR="00AB02C4">
        <w:rPr>
          <w:b/>
          <w:bCs/>
        </w:rPr>
        <w:t>69</w:t>
      </w:r>
      <w:r>
        <w:t xml:space="preserve">). </w:t>
      </w:r>
    </w:p>
    <w:p w14:paraId="29E2AC77" w14:textId="77777777" w:rsidR="009D1152" w:rsidRDefault="009D1152" w:rsidP="005524C3">
      <w:pPr>
        <w:pStyle w:val="Heading2"/>
      </w:pPr>
    </w:p>
    <w:p w14:paraId="6D7E8FE4" w14:textId="47FF5813" w:rsidR="004B692B" w:rsidRPr="000B2FBE" w:rsidRDefault="004B692B" w:rsidP="005524C3">
      <w:pPr>
        <w:pStyle w:val="Heading2"/>
      </w:pPr>
      <w:bookmarkStart w:id="151" w:name="_Toc159520347"/>
      <w:r w:rsidRPr="000B2FBE">
        <w:t>Part 1</w:t>
      </w:r>
      <w:r>
        <w:t>3</w:t>
      </w:r>
      <w:r w:rsidRPr="000B2FBE">
        <w:t xml:space="preserve"> – Administration</w:t>
      </w:r>
      <w:bookmarkEnd w:id="151"/>
    </w:p>
    <w:p w14:paraId="2B6307EE" w14:textId="1EAC138F" w:rsidR="004B692B" w:rsidRDefault="004B692B" w:rsidP="00793AEF">
      <w:pPr>
        <w:jc w:val="both"/>
      </w:pPr>
      <w:r>
        <w:t>Part 13 of the draft Bill (</w:t>
      </w:r>
      <w:r w:rsidRPr="00851F14">
        <w:rPr>
          <w:b/>
          <w:bCs/>
        </w:rPr>
        <w:t>clauses 1</w:t>
      </w:r>
      <w:r w:rsidR="007B0889">
        <w:rPr>
          <w:b/>
          <w:bCs/>
        </w:rPr>
        <w:t>7</w:t>
      </w:r>
      <w:r w:rsidR="00AB02C4">
        <w:rPr>
          <w:b/>
          <w:bCs/>
        </w:rPr>
        <w:t>0</w:t>
      </w:r>
      <w:r w:rsidRPr="00851F14">
        <w:rPr>
          <w:b/>
          <w:bCs/>
        </w:rPr>
        <w:t xml:space="preserve"> to 1</w:t>
      </w:r>
      <w:r w:rsidR="00AB02C4">
        <w:rPr>
          <w:b/>
          <w:bCs/>
        </w:rPr>
        <w:t>89</w:t>
      </w:r>
      <w:r>
        <w:t xml:space="preserve">) deals within the administration of the </w:t>
      </w:r>
      <w:r w:rsidR="00BB2BFE">
        <w:t>QHRC</w:t>
      </w:r>
      <w:r>
        <w:t xml:space="preserve">. It continues the operation of the </w:t>
      </w:r>
      <w:r w:rsidR="00BB2BFE">
        <w:t xml:space="preserve">QHRC </w:t>
      </w:r>
      <w:r>
        <w:t>as a statutory body and retains the general effect of chapter 9 of the current AD Act, with some modifications for alignment with the other changes in the draft Bill.</w:t>
      </w:r>
    </w:p>
    <w:p w14:paraId="1133F0BB" w14:textId="3FC94F3C" w:rsidR="004B692B" w:rsidRDefault="004B692B" w:rsidP="00793AEF">
      <w:pPr>
        <w:jc w:val="both"/>
      </w:pPr>
      <w:r w:rsidRPr="00851F14">
        <w:rPr>
          <w:b/>
          <w:bCs/>
        </w:rPr>
        <w:t>Clause 1</w:t>
      </w:r>
      <w:r w:rsidR="00F06F17">
        <w:rPr>
          <w:b/>
          <w:bCs/>
        </w:rPr>
        <w:t>7</w:t>
      </w:r>
      <w:r w:rsidR="00AB02C4">
        <w:rPr>
          <w:b/>
          <w:bCs/>
        </w:rPr>
        <w:t>1</w:t>
      </w:r>
      <w:r>
        <w:t xml:space="preserve"> provides for the </w:t>
      </w:r>
      <w:r w:rsidR="00F06F17">
        <w:t xml:space="preserve">QHRC’s </w:t>
      </w:r>
      <w:r>
        <w:t xml:space="preserve">functions, which include </w:t>
      </w:r>
      <w:r w:rsidR="00587233">
        <w:t xml:space="preserve">to promote and help achieve the purposes of the Act.  </w:t>
      </w:r>
    </w:p>
    <w:p w14:paraId="10121515" w14:textId="77777777" w:rsidR="009D1152" w:rsidRDefault="009D1152" w:rsidP="005524C3">
      <w:pPr>
        <w:pStyle w:val="Heading2"/>
      </w:pPr>
    </w:p>
    <w:p w14:paraId="10A7036A" w14:textId="11CD67C1" w:rsidR="004B692B" w:rsidRDefault="004B692B" w:rsidP="005524C3">
      <w:pPr>
        <w:pStyle w:val="Heading2"/>
      </w:pPr>
      <w:bookmarkStart w:id="152" w:name="_Toc159520348"/>
      <w:r w:rsidRPr="002C4161">
        <w:t>Part 14</w:t>
      </w:r>
      <w:r>
        <w:t xml:space="preserve"> – Functions and powers of the tribunal</w:t>
      </w:r>
      <w:bookmarkEnd w:id="152"/>
    </w:p>
    <w:p w14:paraId="723AA5F0" w14:textId="592E71B9" w:rsidR="004B692B" w:rsidRDefault="004B692B" w:rsidP="00793AEF">
      <w:pPr>
        <w:jc w:val="both"/>
      </w:pPr>
      <w:r>
        <w:t>Part 14 of the draft Bill (</w:t>
      </w:r>
      <w:r w:rsidRPr="00851F14">
        <w:rPr>
          <w:b/>
          <w:bCs/>
        </w:rPr>
        <w:t xml:space="preserve">clauses </w:t>
      </w:r>
      <w:r w:rsidR="007D354B">
        <w:rPr>
          <w:b/>
          <w:bCs/>
        </w:rPr>
        <w:t>19</w:t>
      </w:r>
      <w:r w:rsidR="00AB02C4">
        <w:rPr>
          <w:b/>
          <w:bCs/>
        </w:rPr>
        <w:t>0</w:t>
      </w:r>
      <w:r w:rsidRPr="00851F14">
        <w:rPr>
          <w:b/>
          <w:bCs/>
        </w:rPr>
        <w:t xml:space="preserve"> to </w:t>
      </w:r>
      <w:r w:rsidR="007D354B">
        <w:rPr>
          <w:b/>
          <w:bCs/>
        </w:rPr>
        <w:t>22</w:t>
      </w:r>
      <w:r w:rsidR="00AB02C4">
        <w:rPr>
          <w:b/>
          <w:bCs/>
        </w:rPr>
        <w:t>2</w:t>
      </w:r>
      <w:r>
        <w:t>) provides for functions and powers of QCAT and the IRC.</w:t>
      </w:r>
    </w:p>
    <w:p w14:paraId="4EFCDD60" w14:textId="77777777" w:rsidR="004B692B" w:rsidRPr="002C4161" w:rsidRDefault="004B692B" w:rsidP="00793AEF">
      <w:pPr>
        <w:jc w:val="both"/>
      </w:pPr>
      <w:r w:rsidRPr="002C4161">
        <w:t>Specific features of part 14 of the draft Bill include:</w:t>
      </w:r>
    </w:p>
    <w:p w14:paraId="55C58903" w14:textId="1C1CB98A" w:rsidR="004B692B" w:rsidRPr="002C4161" w:rsidRDefault="004B692B" w:rsidP="00721411">
      <w:pPr>
        <w:pStyle w:val="ListParagraph"/>
        <w:numPr>
          <w:ilvl w:val="0"/>
          <w:numId w:val="15"/>
        </w:numPr>
        <w:spacing w:before="60" w:line="280" w:lineRule="exact"/>
        <w:jc w:val="both"/>
      </w:pPr>
      <w:r w:rsidRPr="002C4161">
        <w:t xml:space="preserve">a power for </w:t>
      </w:r>
      <w:r w:rsidR="007D354B">
        <w:t>Q</w:t>
      </w:r>
      <w:r w:rsidRPr="002C4161">
        <w:t>CAT or the IRC to review decisions of the Commissioner not to deal with, or continue to deal with complaints</w:t>
      </w:r>
      <w:r w:rsidR="007D354B">
        <w:t xml:space="preserve"> in certain circumstances</w:t>
      </w:r>
      <w:r w:rsidRPr="002C4161">
        <w:t>. These are limited to decisions by the Commissioner on stated grounds, and to where leave is given (</w:t>
      </w:r>
      <w:r w:rsidRPr="002C4161">
        <w:rPr>
          <w:b/>
          <w:bCs/>
        </w:rPr>
        <w:t>clause 2</w:t>
      </w:r>
      <w:r w:rsidR="00AB02C4">
        <w:rPr>
          <w:b/>
          <w:bCs/>
        </w:rPr>
        <w:t>18</w:t>
      </w:r>
      <w:r w:rsidRPr="002C4161">
        <w:rPr>
          <w:b/>
          <w:bCs/>
        </w:rPr>
        <w:t xml:space="preserve"> to </w:t>
      </w:r>
      <w:r w:rsidR="007D354B">
        <w:rPr>
          <w:b/>
          <w:bCs/>
        </w:rPr>
        <w:t>22</w:t>
      </w:r>
      <w:r w:rsidR="00AB02C4">
        <w:rPr>
          <w:b/>
          <w:bCs/>
        </w:rPr>
        <w:t>2</w:t>
      </w:r>
      <w:r w:rsidRPr="002C4161">
        <w:t>)</w:t>
      </w:r>
      <w:r w:rsidR="00AB02C4">
        <w:t>;</w:t>
      </w:r>
    </w:p>
    <w:p w14:paraId="16260977" w14:textId="587166B5" w:rsidR="004B692B" w:rsidRPr="00FF02BC" w:rsidRDefault="004B692B" w:rsidP="00721411">
      <w:pPr>
        <w:pStyle w:val="ListParagraph"/>
        <w:numPr>
          <w:ilvl w:val="0"/>
          <w:numId w:val="15"/>
        </w:numPr>
        <w:spacing w:before="60" w:line="280" w:lineRule="exact"/>
        <w:jc w:val="both"/>
      </w:pPr>
      <w:r w:rsidRPr="00FF02BC">
        <w:t>specific provisions related to representative complaints to ensure that the</w:t>
      </w:r>
      <w:r w:rsidR="0079700B">
        <w:t xml:space="preserve"> approach is </w:t>
      </w:r>
      <w:r w:rsidRPr="00FF02BC">
        <w:t>similar to representative complaints made to the Commissioner</w:t>
      </w:r>
      <w:r w:rsidR="0079700B">
        <w:t xml:space="preserve">, </w:t>
      </w:r>
      <w:r w:rsidRPr="00FF02BC">
        <w:t>but also ha</w:t>
      </w:r>
      <w:r w:rsidR="0079700B">
        <w:t>s</w:t>
      </w:r>
      <w:r w:rsidRPr="00FF02BC">
        <w:t xml:space="preserve"> particular features appropriate to their consideration by the IRC or QCAT (</w:t>
      </w:r>
      <w:r w:rsidRPr="00FF02BC">
        <w:rPr>
          <w:b/>
          <w:bCs/>
        </w:rPr>
        <w:t>clauses 2</w:t>
      </w:r>
      <w:r w:rsidR="0079700B">
        <w:rPr>
          <w:b/>
          <w:bCs/>
        </w:rPr>
        <w:t>0</w:t>
      </w:r>
      <w:r w:rsidR="00AB02C4">
        <w:rPr>
          <w:b/>
          <w:bCs/>
        </w:rPr>
        <w:t>2</w:t>
      </w:r>
      <w:r w:rsidR="0079700B">
        <w:rPr>
          <w:b/>
          <w:bCs/>
        </w:rPr>
        <w:t xml:space="preserve"> </w:t>
      </w:r>
      <w:r w:rsidRPr="00FF02BC">
        <w:rPr>
          <w:b/>
          <w:bCs/>
        </w:rPr>
        <w:t xml:space="preserve">to </w:t>
      </w:r>
      <w:r w:rsidR="00AB02C4">
        <w:rPr>
          <w:b/>
          <w:bCs/>
        </w:rPr>
        <w:t>214</w:t>
      </w:r>
      <w:r w:rsidRPr="00FF02BC">
        <w:t>);</w:t>
      </w:r>
    </w:p>
    <w:p w14:paraId="4C45D7BF" w14:textId="1B5A956E" w:rsidR="004B692B" w:rsidRPr="002426AD" w:rsidRDefault="004B692B" w:rsidP="00721411">
      <w:pPr>
        <w:pStyle w:val="ListParagraph"/>
        <w:numPr>
          <w:ilvl w:val="0"/>
          <w:numId w:val="15"/>
        </w:numPr>
        <w:spacing w:before="60" w:line="280" w:lineRule="exact"/>
        <w:jc w:val="both"/>
      </w:pPr>
      <w:r w:rsidRPr="00FF02BC">
        <w:t>a shared burden of proof in a complaint proceeding (</w:t>
      </w:r>
      <w:r w:rsidRPr="0079700B">
        <w:rPr>
          <w:b/>
          <w:bCs/>
        </w:rPr>
        <w:t>clause 2</w:t>
      </w:r>
      <w:r w:rsidR="0079700B">
        <w:rPr>
          <w:b/>
          <w:bCs/>
        </w:rPr>
        <w:t>1</w:t>
      </w:r>
      <w:r w:rsidR="002426AD">
        <w:rPr>
          <w:b/>
          <w:bCs/>
        </w:rPr>
        <w:t>2</w:t>
      </w:r>
      <w:r w:rsidRPr="002426AD">
        <w:t xml:space="preserve">). </w:t>
      </w:r>
    </w:p>
    <w:p w14:paraId="4E0B5348" w14:textId="77777777" w:rsidR="00D464B7" w:rsidRDefault="00D464B7" w:rsidP="00D464B7">
      <w:pPr>
        <w:pStyle w:val="ListParagraph"/>
        <w:spacing w:before="60" w:line="280" w:lineRule="exact"/>
        <w:ind w:left="1440"/>
        <w:jc w:val="both"/>
      </w:pPr>
    </w:p>
    <w:p w14:paraId="07768FAC" w14:textId="19C0AB7C" w:rsidR="00D464B7" w:rsidRDefault="00D464B7" w:rsidP="00D464B7">
      <w:pPr>
        <w:spacing w:before="60" w:line="280" w:lineRule="exact"/>
        <w:jc w:val="both"/>
      </w:pPr>
    </w:p>
    <w:p w14:paraId="0F7F8127" w14:textId="26C50588" w:rsidR="00D464B7" w:rsidRDefault="00D464B7" w:rsidP="00D464B7">
      <w:pPr>
        <w:pStyle w:val="Heading4"/>
      </w:pPr>
      <w:bookmarkStart w:id="153" w:name="_Toc159520349"/>
      <w:r>
        <w:lastRenderedPageBreak/>
        <w:t>The shared burden of proof</w:t>
      </w:r>
      <w:bookmarkEnd w:id="153"/>
    </w:p>
    <w:p w14:paraId="6F71F876" w14:textId="416F3BF7" w:rsidR="00D464B7" w:rsidRPr="00D464B7" w:rsidRDefault="00D464B7" w:rsidP="00D464B7">
      <w:r>
        <w:t>Clause 212 of the draft Bill provides</w:t>
      </w:r>
      <w:r w:rsidR="0074083B">
        <w:t xml:space="preserve"> the general principles</w:t>
      </w:r>
      <w:r>
        <w:t xml:space="preserve"> for the burden of proof for contraventions of the Act. This clause: </w:t>
      </w:r>
    </w:p>
    <w:p w14:paraId="2E729919" w14:textId="28888E85" w:rsidR="004B692B" w:rsidRPr="00FF02BC" w:rsidRDefault="004B692B" w:rsidP="00721411">
      <w:pPr>
        <w:pStyle w:val="ListParagraph"/>
        <w:numPr>
          <w:ilvl w:val="1"/>
          <w:numId w:val="15"/>
        </w:numPr>
        <w:spacing w:before="60" w:line="280" w:lineRule="exact"/>
        <w:jc w:val="both"/>
      </w:pPr>
      <w:r w:rsidRPr="00FF02BC">
        <w:t>require</w:t>
      </w:r>
      <w:r w:rsidR="00D464B7">
        <w:t>s</w:t>
      </w:r>
      <w:r w:rsidRPr="00FF02BC">
        <w:t xml:space="preserve"> the complainant to prove, on the balance of probabilities, that in the absence of any other explanation, the respondent contravened the provision of the Act the subject of the alleged contravention;</w:t>
      </w:r>
    </w:p>
    <w:p w14:paraId="7D681E55" w14:textId="633D8FAF" w:rsidR="004B692B" w:rsidRPr="00FF02BC" w:rsidRDefault="004B692B" w:rsidP="00721411">
      <w:pPr>
        <w:pStyle w:val="ListParagraph"/>
        <w:numPr>
          <w:ilvl w:val="1"/>
          <w:numId w:val="15"/>
        </w:numPr>
        <w:spacing w:before="60" w:line="280" w:lineRule="exact"/>
        <w:jc w:val="both"/>
      </w:pPr>
      <w:r w:rsidRPr="00FF02BC">
        <w:t>allow</w:t>
      </w:r>
      <w:r w:rsidR="00D464B7">
        <w:t>s</w:t>
      </w:r>
      <w:r w:rsidRPr="00FF02BC">
        <w:t xml:space="preserve"> the tribunal to decide the respondent contravened the provision of the Act the subject of the alleged contravention, unless the respondent proves, on the balance of probabilities, that they did not</w:t>
      </w:r>
      <w:r w:rsidR="0074083B">
        <w:t>.</w:t>
      </w:r>
    </w:p>
    <w:p w14:paraId="77CA749B" w14:textId="56CC025D" w:rsidR="0074083B" w:rsidRPr="00FF02BC" w:rsidRDefault="0074083B" w:rsidP="00823298">
      <w:pPr>
        <w:spacing w:before="60" w:line="280" w:lineRule="exact"/>
        <w:jc w:val="both"/>
      </w:pPr>
      <w:r>
        <w:t>This general principle may not apply where specific provisions specify who has the onus of proving a particular matter (for example: proving whether a term is reasonable at clause 15(4) or where relying on an exception or exemption at clause 21(4)).</w:t>
      </w:r>
    </w:p>
    <w:p w14:paraId="16D58154" w14:textId="77777777" w:rsidR="009D1152" w:rsidRDefault="009D1152" w:rsidP="005524C3">
      <w:pPr>
        <w:pStyle w:val="Heading2"/>
      </w:pPr>
    </w:p>
    <w:p w14:paraId="7C65CE0F" w14:textId="2289AD99" w:rsidR="004B692B" w:rsidRDefault="004B692B" w:rsidP="005524C3">
      <w:pPr>
        <w:pStyle w:val="Heading2"/>
      </w:pPr>
      <w:bookmarkStart w:id="154" w:name="_Toc159520350"/>
      <w:r w:rsidRPr="000B2FBE">
        <w:t>Part 1</w:t>
      </w:r>
      <w:r w:rsidR="00826060">
        <w:t>5</w:t>
      </w:r>
      <w:r w:rsidRPr="000B2FBE">
        <w:t xml:space="preserve"> – Miscellaneous provisions</w:t>
      </w:r>
      <w:bookmarkEnd w:id="154"/>
    </w:p>
    <w:p w14:paraId="7462B17D" w14:textId="77777777" w:rsidR="0035374B" w:rsidRDefault="004B692B" w:rsidP="00793AEF">
      <w:pPr>
        <w:jc w:val="both"/>
      </w:pPr>
      <w:r>
        <w:t>Part 1</w:t>
      </w:r>
      <w:r w:rsidR="0079700B">
        <w:t>5</w:t>
      </w:r>
      <w:r>
        <w:t xml:space="preserve"> of the draft Bill contains a number of provisions which are comparable to existing provisions of the current AD concerning</w:t>
      </w:r>
      <w:r w:rsidR="0035374B">
        <w:t>:</w:t>
      </w:r>
    </w:p>
    <w:p w14:paraId="72DC5133" w14:textId="47EFE243" w:rsidR="0035374B" w:rsidRDefault="0035374B" w:rsidP="00721411">
      <w:pPr>
        <w:pStyle w:val="ListParagraph"/>
        <w:numPr>
          <w:ilvl w:val="0"/>
          <w:numId w:val="17"/>
        </w:numPr>
        <w:jc w:val="both"/>
      </w:pPr>
      <w:r>
        <w:t>directions by the Commissioner and orders by the Tribunal preserving anonymity person, with offence</w:t>
      </w:r>
      <w:r w:rsidR="002426AD">
        <w:t>s</w:t>
      </w:r>
      <w:r>
        <w:t xml:space="preserve"> for non-compliance (</w:t>
      </w:r>
      <w:r w:rsidRPr="0035374B">
        <w:rPr>
          <w:b/>
          <w:bCs/>
        </w:rPr>
        <w:t>clauses 2</w:t>
      </w:r>
      <w:r w:rsidR="002426AD">
        <w:rPr>
          <w:b/>
          <w:bCs/>
        </w:rPr>
        <w:t>23</w:t>
      </w:r>
      <w:r w:rsidRPr="0035374B">
        <w:rPr>
          <w:b/>
          <w:bCs/>
        </w:rPr>
        <w:t xml:space="preserve"> to 2</w:t>
      </w:r>
      <w:r w:rsidR="002426AD">
        <w:rPr>
          <w:b/>
          <w:bCs/>
        </w:rPr>
        <w:t>25</w:t>
      </w:r>
      <w:r>
        <w:t>);</w:t>
      </w:r>
    </w:p>
    <w:p w14:paraId="2AC8A00A" w14:textId="58C8031F" w:rsidR="0035374B" w:rsidRDefault="0035374B" w:rsidP="00721411">
      <w:pPr>
        <w:pStyle w:val="ListParagraph"/>
        <w:numPr>
          <w:ilvl w:val="0"/>
          <w:numId w:val="17"/>
        </w:numPr>
        <w:jc w:val="both"/>
      </w:pPr>
      <w:r>
        <w:t>prohibiting disclosure or use of personal information obtained by an officials or former officials (</w:t>
      </w:r>
      <w:r w:rsidRPr="0035374B">
        <w:rPr>
          <w:b/>
          <w:bCs/>
        </w:rPr>
        <w:t>clause 2</w:t>
      </w:r>
      <w:r w:rsidR="002426AD">
        <w:rPr>
          <w:b/>
          <w:bCs/>
        </w:rPr>
        <w:t>26</w:t>
      </w:r>
      <w:r>
        <w:t>), with an offence for non-compliance;</w:t>
      </w:r>
    </w:p>
    <w:p w14:paraId="12F87417" w14:textId="29FC61C7" w:rsidR="0035374B" w:rsidRDefault="0035374B" w:rsidP="00721411">
      <w:pPr>
        <w:pStyle w:val="ListParagraph"/>
        <w:numPr>
          <w:ilvl w:val="0"/>
          <w:numId w:val="17"/>
        </w:numPr>
        <w:jc w:val="both"/>
      </w:pPr>
      <w:r>
        <w:t>offences for conduct relating to the commission and officials, including providing false or misleading information, obstructing officials, and contempt of the QHRC (</w:t>
      </w:r>
      <w:r w:rsidRPr="007721DF">
        <w:rPr>
          <w:b/>
          <w:bCs/>
        </w:rPr>
        <w:t xml:space="preserve">clauses </w:t>
      </w:r>
      <w:r w:rsidR="002426AD">
        <w:rPr>
          <w:b/>
          <w:bCs/>
        </w:rPr>
        <w:t>227</w:t>
      </w:r>
      <w:r w:rsidRPr="007721DF">
        <w:rPr>
          <w:b/>
          <w:bCs/>
        </w:rPr>
        <w:t xml:space="preserve"> to </w:t>
      </w:r>
      <w:r w:rsidR="002426AD">
        <w:rPr>
          <w:b/>
          <w:bCs/>
        </w:rPr>
        <w:t>229</w:t>
      </w:r>
      <w:r>
        <w:t>);</w:t>
      </w:r>
    </w:p>
    <w:p w14:paraId="33997A5D" w14:textId="523FCFE1" w:rsidR="0035374B" w:rsidRDefault="0035374B" w:rsidP="00721411">
      <w:pPr>
        <w:pStyle w:val="ListParagraph"/>
        <w:numPr>
          <w:ilvl w:val="0"/>
          <w:numId w:val="17"/>
        </w:numPr>
        <w:jc w:val="both"/>
      </w:pPr>
      <w:r>
        <w:t>how proceedings for an offence against the Act or the Human Rights Act, and a proceedings under the Act involving an unincorporated body are dealt with (</w:t>
      </w:r>
      <w:r w:rsidR="007721DF" w:rsidRPr="007721DF">
        <w:rPr>
          <w:b/>
          <w:bCs/>
        </w:rPr>
        <w:t>clause</w:t>
      </w:r>
      <w:r w:rsidR="002426AD">
        <w:rPr>
          <w:b/>
          <w:bCs/>
        </w:rPr>
        <w:t>s 230 to 231</w:t>
      </w:r>
      <w:r>
        <w:t>);</w:t>
      </w:r>
    </w:p>
    <w:p w14:paraId="091C4E50" w14:textId="7516DA9A" w:rsidR="0035374B" w:rsidRDefault="0035374B" w:rsidP="00721411">
      <w:pPr>
        <w:pStyle w:val="ListParagraph"/>
        <w:numPr>
          <w:ilvl w:val="0"/>
          <w:numId w:val="17"/>
        </w:numPr>
        <w:jc w:val="both"/>
      </w:pPr>
      <w:r>
        <w:t>allowing the QHRC to intervene in stated proceedings (</w:t>
      </w:r>
      <w:r w:rsidRPr="007721DF">
        <w:rPr>
          <w:b/>
          <w:bCs/>
        </w:rPr>
        <w:t xml:space="preserve">clause </w:t>
      </w:r>
      <w:r w:rsidR="002426AD">
        <w:rPr>
          <w:b/>
          <w:bCs/>
        </w:rPr>
        <w:t>232</w:t>
      </w:r>
      <w:r>
        <w:t>)</w:t>
      </w:r>
      <w:r w:rsidR="007721DF">
        <w:t>;</w:t>
      </w:r>
    </w:p>
    <w:p w14:paraId="718AF1A1" w14:textId="471FC4EF" w:rsidR="007721DF" w:rsidRDefault="007721DF" w:rsidP="00721411">
      <w:pPr>
        <w:pStyle w:val="ListParagraph"/>
        <w:numPr>
          <w:ilvl w:val="0"/>
          <w:numId w:val="17"/>
        </w:numPr>
        <w:jc w:val="both"/>
      </w:pPr>
      <w:r>
        <w:t>how service of documents is to be dealt with (</w:t>
      </w:r>
      <w:r w:rsidRPr="007721DF">
        <w:rPr>
          <w:b/>
          <w:bCs/>
        </w:rPr>
        <w:t>clauses 2</w:t>
      </w:r>
      <w:r w:rsidR="002426AD">
        <w:rPr>
          <w:b/>
          <w:bCs/>
        </w:rPr>
        <w:t>33</w:t>
      </w:r>
      <w:r w:rsidRPr="007721DF">
        <w:rPr>
          <w:b/>
          <w:bCs/>
        </w:rPr>
        <w:t xml:space="preserve"> to 2</w:t>
      </w:r>
      <w:r w:rsidR="002426AD">
        <w:rPr>
          <w:b/>
          <w:bCs/>
        </w:rPr>
        <w:t>36</w:t>
      </w:r>
      <w:r>
        <w:t xml:space="preserve">); </w:t>
      </w:r>
    </w:p>
    <w:p w14:paraId="7B63A55C" w14:textId="7A64AE23" w:rsidR="007721DF" w:rsidRDefault="007721DF" w:rsidP="00721411">
      <w:pPr>
        <w:pStyle w:val="ListParagraph"/>
        <w:numPr>
          <w:ilvl w:val="0"/>
          <w:numId w:val="17"/>
        </w:numPr>
        <w:jc w:val="both"/>
      </w:pPr>
      <w:r>
        <w:t>protecting officials or former officials from civil liability, with liability attaching to the State (</w:t>
      </w:r>
      <w:r w:rsidRPr="007721DF">
        <w:rPr>
          <w:b/>
          <w:bCs/>
        </w:rPr>
        <w:t>clause 250</w:t>
      </w:r>
      <w:r>
        <w:t>)</w:t>
      </w:r>
    </w:p>
    <w:p w14:paraId="63AB0FBD" w14:textId="28D2CE1B" w:rsidR="007721DF" w:rsidRDefault="007721DF" w:rsidP="00721411">
      <w:pPr>
        <w:pStyle w:val="ListParagraph"/>
        <w:numPr>
          <w:ilvl w:val="0"/>
          <w:numId w:val="17"/>
        </w:numPr>
        <w:jc w:val="both"/>
      </w:pPr>
      <w:r>
        <w:t>protecting persons who, acting honestly, give information to the Commissioner or another entity in relation to a compliant from liability (</w:t>
      </w:r>
      <w:r w:rsidRPr="007721DF">
        <w:rPr>
          <w:b/>
          <w:bCs/>
        </w:rPr>
        <w:t>clause 2</w:t>
      </w:r>
      <w:r w:rsidR="002426AD">
        <w:rPr>
          <w:b/>
          <w:bCs/>
        </w:rPr>
        <w:t>43</w:t>
      </w:r>
      <w:r>
        <w:t>);</w:t>
      </w:r>
    </w:p>
    <w:p w14:paraId="59A5666B" w14:textId="3A39AE03" w:rsidR="007721DF" w:rsidRDefault="007721DF" w:rsidP="00721411">
      <w:pPr>
        <w:pStyle w:val="ListParagraph"/>
        <w:numPr>
          <w:ilvl w:val="0"/>
          <w:numId w:val="17"/>
        </w:numPr>
        <w:jc w:val="both"/>
      </w:pPr>
      <w:r>
        <w:t>a regulation-making power (</w:t>
      </w:r>
      <w:r w:rsidRPr="007721DF">
        <w:rPr>
          <w:b/>
          <w:bCs/>
        </w:rPr>
        <w:t>clause 2</w:t>
      </w:r>
      <w:r w:rsidR="002426AD">
        <w:rPr>
          <w:b/>
          <w:bCs/>
        </w:rPr>
        <w:t>45</w:t>
      </w:r>
      <w:r>
        <w:t>).</w:t>
      </w:r>
    </w:p>
    <w:p w14:paraId="58F526E9" w14:textId="51D57883" w:rsidR="007721DF" w:rsidRDefault="004B692B" w:rsidP="00793AEF">
      <w:pPr>
        <w:jc w:val="both"/>
      </w:pPr>
      <w:r w:rsidRPr="00C64763">
        <w:rPr>
          <w:b/>
          <w:bCs/>
        </w:rPr>
        <w:t>Clause 2</w:t>
      </w:r>
      <w:r w:rsidR="002426AD">
        <w:rPr>
          <w:b/>
          <w:bCs/>
        </w:rPr>
        <w:t>37</w:t>
      </w:r>
      <w:r>
        <w:t xml:space="preserve"> requires the </w:t>
      </w:r>
      <w:r w:rsidR="00BB2BFE">
        <w:t xml:space="preserve">QHRC </w:t>
      </w:r>
      <w:r>
        <w:t xml:space="preserve">to prepare a report about of the operation of the Act during a financial year, as soon as practicable after the end of that financial year. The report must include stated information. </w:t>
      </w:r>
    </w:p>
    <w:p w14:paraId="3A39978D" w14:textId="2D7890F1" w:rsidR="004B692B" w:rsidRDefault="004B692B" w:rsidP="00793AEF">
      <w:pPr>
        <w:jc w:val="both"/>
      </w:pPr>
      <w:r w:rsidRPr="001A48E1">
        <w:rPr>
          <w:b/>
          <w:bCs/>
        </w:rPr>
        <w:t>Clause</w:t>
      </w:r>
      <w:r>
        <w:rPr>
          <w:b/>
          <w:bCs/>
        </w:rPr>
        <w:t xml:space="preserve">s </w:t>
      </w:r>
      <w:r w:rsidRPr="001A48E1">
        <w:rPr>
          <w:b/>
          <w:bCs/>
        </w:rPr>
        <w:t>2</w:t>
      </w:r>
      <w:r w:rsidR="002426AD">
        <w:rPr>
          <w:b/>
          <w:bCs/>
        </w:rPr>
        <w:t>38</w:t>
      </w:r>
      <w:r w:rsidRPr="001A48E1">
        <w:rPr>
          <w:b/>
          <w:bCs/>
        </w:rPr>
        <w:t xml:space="preserve"> and 2</w:t>
      </w:r>
      <w:r w:rsidR="002426AD">
        <w:rPr>
          <w:b/>
          <w:bCs/>
        </w:rPr>
        <w:t>39</w:t>
      </w:r>
      <w:r>
        <w:t xml:space="preserve"> require the report that the President of QCAT prepares under section 232 of the QCAT Act and that the President of the IRC prepares under section 594 of the Industrial Relations Act 2016 respectively, to included stated information. </w:t>
      </w:r>
    </w:p>
    <w:p w14:paraId="4E77CC18" w14:textId="62BD04B6" w:rsidR="004B692B" w:rsidRDefault="004B692B" w:rsidP="00793AEF">
      <w:pPr>
        <w:jc w:val="both"/>
      </w:pPr>
      <w:r w:rsidRPr="00117B9A">
        <w:t>The draft Bill provides for a</w:t>
      </w:r>
      <w:r>
        <w:t>n</w:t>
      </w:r>
      <w:r w:rsidRPr="00117B9A">
        <w:t xml:space="preserve"> independent review of the Act within five years of commencement, with a fu</w:t>
      </w:r>
      <w:r>
        <w:t>r</w:t>
      </w:r>
      <w:r w:rsidRPr="00117B9A">
        <w:t>ther review if recommended by the first review</w:t>
      </w:r>
      <w:r>
        <w:t xml:space="preserve"> (</w:t>
      </w:r>
      <w:r w:rsidRPr="00117B9A">
        <w:rPr>
          <w:b/>
          <w:bCs/>
        </w:rPr>
        <w:t>clauses 2</w:t>
      </w:r>
      <w:r w:rsidR="007721DF">
        <w:rPr>
          <w:b/>
          <w:bCs/>
        </w:rPr>
        <w:t>4</w:t>
      </w:r>
      <w:r w:rsidR="002426AD">
        <w:rPr>
          <w:b/>
          <w:bCs/>
        </w:rPr>
        <w:t>0</w:t>
      </w:r>
      <w:r w:rsidRPr="00117B9A">
        <w:rPr>
          <w:b/>
          <w:bCs/>
        </w:rPr>
        <w:t xml:space="preserve"> and 2</w:t>
      </w:r>
      <w:r w:rsidR="007721DF">
        <w:rPr>
          <w:b/>
          <w:bCs/>
        </w:rPr>
        <w:t>4</w:t>
      </w:r>
      <w:r w:rsidR="002426AD">
        <w:rPr>
          <w:b/>
          <w:bCs/>
        </w:rPr>
        <w:t>1</w:t>
      </w:r>
      <w:r>
        <w:t>).</w:t>
      </w:r>
    </w:p>
    <w:p w14:paraId="17143E8C" w14:textId="086A9F59" w:rsidR="007721DF" w:rsidRDefault="007721DF" w:rsidP="00793AEF">
      <w:pPr>
        <w:jc w:val="both"/>
      </w:pPr>
      <w:r>
        <w:t>The Commissioner may direct a person to give stated information about actuarial or statistical data or other relevant factors if a person discriminate against another person in relation to superannuation or insurance, by relying on it (</w:t>
      </w:r>
      <w:r w:rsidRPr="007721DF">
        <w:rPr>
          <w:b/>
          <w:bCs/>
        </w:rPr>
        <w:t>clause 24</w:t>
      </w:r>
      <w:r w:rsidR="002426AD">
        <w:rPr>
          <w:b/>
          <w:bCs/>
        </w:rPr>
        <w:t>2</w:t>
      </w:r>
      <w:r>
        <w:t>).</w:t>
      </w:r>
    </w:p>
    <w:p w14:paraId="7E6E2B33" w14:textId="77777777" w:rsidR="009D1152" w:rsidRDefault="009D1152" w:rsidP="005524C3">
      <w:pPr>
        <w:pStyle w:val="Heading2"/>
      </w:pPr>
    </w:p>
    <w:p w14:paraId="64DDA6AF" w14:textId="40CC7340" w:rsidR="004B692B" w:rsidRDefault="004B692B" w:rsidP="005524C3">
      <w:pPr>
        <w:pStyle w:val="Heading2"/>
      </w:pPr>
      <w:bookmarkStart w:id="155" w:name="_Toc159520351"/>
      <w:r w:rsidRPr="000B2FBE">
        <w:t>Part 1</w:t>
      </w:r>
      <w:r w:rsidR="00826060">
        <w:t>6</w:t>
      </w:r>
      <w:r w:rsidRPr="000B2FBE">
        <w:t xml:space="preserve"> – </w:t>
      </w:r>
      <w:r>
        <w:t>Repeal provision</w:t>
      </w:r>
      <w:bookmarkEnd w:id="155"/>
    </w:p>
    <w:p w14:paraId="26506BFB" w14:textId="0D36450D" w:rsidR="004B692B" w:rsidRDefault="004B692B" w:rsidP="00793AEF">
      <w:pPr>
        <w:jc w:val="both"/>
      </w:pPr>
      <w:r>
        <w:t xml:space="preserve">The draft Bill, </w:t>
      </w:r>
      <w:r w:rsidR="00BD3B0C">
        <w:t xml:space="preserve">when </w:t>
      </w:r>
      <w:r>
        <w:t>enacted, would repeal the current AD Act (</w:t>
      </w:r>
      <w:r w:rsidRPr="00117B9A">
        <w:rPr>
          <w:b/>
          <w:bCs/>
        </w:rPr>
        <w:t>clause 2</w:t>
      </w:r>
      <w:r w:rsidR="002426AD">
        <w:rPr>
          <w:b/>
          <w:bCs/>
        </w:rPr>
        <w:t>46</w:t>
      </w:r>
      <w:r>
        <w:t>).</w:t>
      </w:r>
    </w:p>
    <w:p w14:paraId="1DB46B1C" w14:textId="77777777" w:rsidR="009D1152" w:rsidRDefault="009D1152" w:rsidP="005524C3">
      <w:pPr>
        <w:pStyle w:val="Heading2"/>
      </w:pPr>
    </w:p>
    <w:p w14:paraId="764B3EF1" w14:textId="70F5B883" w:rsidR="004B692B" w:rsidRDefault="004B692B" w:rsidP="005524C3">
      <w:pPr>
        <w:pStyle w:val="Heading2"/>
      </w:pPr>
      <w:bookmarkStart w:id="156" w:name="_Toc159520352"/>
      <w:r w:rsidRPr="000B2FBE">
        <w:t>Part 1</w:t>
      </w:r>
      <w:r w:rsidR="00826060">
        <w:t>7</w:t>
      </w:r>
      <w:r w:rsidRPr="000B2FBE">
        <w:t xml:space="preserve"> –</w:t>
      </w:r>
      <w:r>
        <w:t>Transitional provisions</w:t>
      </w:r>
      <w:bookmarkEnd w:id="156"/>
    </w:p>
    <w:p w14:paraId="6B429D28" w14:textId="7F84B49B" w:rsidR="001338C7" w:rsidRDefault="00BD3B0C" w:rsidP="00793AEF">
      <w:pPr>
        <w:jc w:val="both"/>
      </w:pPr>
      <w:r>
        <w:t xml:space="preserve">Part 17 </w:t>
      </w:r>
      <w:r w:rsidR="004B692B">
        <w:t>draft Bill contains transitional provisions</w:t>
      </w:r>
      <w:r w:rsidR="001338C7">
        <w:t>:</w:t>
      </w:r>
    </w:p>
    <w:p w14:paraId="778A3B50" w14:textId="3E57ACDA" w:rsidR="001338C7" w:rsidRDefault="001338C7" w:rsidP="00721411">
      <w:pPr>
        <w:pStyle w:val="ListParagraph"/>
        <w:numPr>
          <w:ilvl w:val="0"/>
          <w:numId w:val="17"/>
        </w:numPr>
        <w:jc w:val="both"/>
      </w:pPr>
      <w:r>
        <w:t>providing that a person does not discriminate against a member on the basis of age or disability by retaining a superannuation fund condition that applied immediately for commencement and was permitted under section 60 of the current AD Act (</w:t>
      </w:r>
      <w:r w:rsidRPr="001338C7">
        <w:rPr>
          <w:b/>
          <w:bCs/>
        </w:rPr>
        <w:t>clause 2</w:t>
      </w:r>
      <w:r w:rsidR="002426AD">
        <w:rPr>
          <w:b/>
          <w:bCs/>
        </w:rPr>
        <w:t>48</w:t>
      </w:r>
      <w:r>
        <w:t>);</w:t>
      </w:r>
    </w:p>
    <w:p w14:paraId="40AA62E2" w14:textId="448EF8CB" w:rsidR="001338C7" w:rsidRDefault="001338C7" w:rsidP="00721411">
      <w:pPr>
        <w:pStyle w:val="ListParagraph"/>
        <w:numPr>
          <w:ilvl w:val="0"/>
          <w:numId w:val="17"/>
        </w:numPr>
        <w:jc w:val="both"/>
      </w:pPr>
      <w:r>
        <w:t xml:space="preserve">providing that the </w:t>
      </w:r>
      <w:r w:rsidR="004B692B">
        <w:t>Act has no effect on the imposition of compulsory retirement ages under stated instruments as in force on or before 30 June 1994 (</w:t>
      </w:r>
      <w:r w:rsidR="004B692B" w:rsidRPr="001338C7">
        <w:rPr>
          <w:b/>
          <w:bCs/>
        </w:rPr>
        <w:t>clause 2</w:t>
      </w:r>
      <w:r w:rsidR="002426AD">
        <w:rPr>
          <w:b/>
          <w:bCs/>
        </w:rPr>
        <w:t>49</w:t>
      </w:r>
      <w:r w:rsidR="004B692B">
        <w:t>)</w:t>
      </w:r>
      <w:r>
        <w:t>;</w:t>
      </w:r>
    </w:p>
    <w:p w14:paraId="0B43F6EB" w14:textId="4167D279" w:rsidR="001338C7" w:rsidRDefault="001338C7" w:rsidP="00721411">
      <w:pPr>
        <w:pStyle w:val="ListParagraph"/>
        <w:numPr>
          <w:ilvl w:val="0"/>
          <w:numId w:val="17"/>
        </w:numPr>
        <w:jc w:val="both"/>
      </w:pPr>
      <w:r>
        <w:t>continuing the effect of exemptions granted by the IRC or QCAT, applications for exemption and the hearing and deciding of appeals that were not finally dealt with immediately before the commencement</w:t>
      </w:r>
      <w:r w:rsidR="008459FF">
        <w:t xml:space="preserve">, and certain orders made by the IRC or QCAT </w:t>
      </w:r>
      <w:r>
        <w:t>(</w:t>
      </w:r>
      <w:r w:rsidRPr="008459FF">
        <w:rPr>
          <w:b/>
          <w:bCs/>
        </w:rPr>
        <w:t xml:space="preserve">clauses </w:t>
      </w:r>
      <w:r w:rsidR="002426AD">
        <w:rPr>
          <w:b/>
          <w:bCs/>
        </w:rPr>
        <w:t>250</w:t>
      </w:r>
      <w:r w:rsidRPr="008459FF">
        <w:rPr>
          <w:b/>
          <w:bCs/>
        </w:rPr>
        <w:t xml:space="preserve"> to 25</w:t>
      </w:r>
      <w:r w:rsidR="002426AD">
        <w:rPr>
          <w:b/>
          <w:bCs/>
        </w:rPr>
        <w:t>2</w:t>
      </w:r>
      <w:r w:rsidR="008459FF">
        <w:rPr>
          <w:b/>
          <w:bCs/>
        </w:rPr>
        <w:t xml:space="preserve"> and clause 2</w:t>
      </w:r>
      <w:r w:rsidR="002426AD">
        <w:rPr>
          <w:b/>
          <w:bCs/>
        </w:rPr>
        <w:t>59</w:t>
      </w:r>
      <w:r>
        <w:t>);</w:t>
      </w:r>
    </w:p>
    <w:p w14:paraId="5B0EC9FA" w14:textId="4FC0BC9A" w:rsidR="001338C7" w:rsidRDefault="008459FF" w:rsidP="00721411">
      <w:pPr>
        <w:pStyle w:val="ListParagraph"/>
        <w:numPr>
          <w:ilvl w:val="0"/>
          <w:numId w:val="17"/>
        </w:numPr>
        <w:jc w:val="both"/>
      </w:pPr>
      <w:r>
        <w:t>providing how existing complaints made to the Commissioner or referred to the Tribunal, and new complaints about pre-commencement conduct, and reviews of Commssioner’s decisions are to be dealt with (</w:t>
      </w:r>
      <w:r w:rsidRPr="008459FF">
        <w:rPr>
          <w:b/>
          <w:bCs/>
        </w:rPr>
        <w:t xml:space="preserve">clauses </w:t>
      </w:r>
      <w:r w:rsidR="002426AD">
        <w:rPr>
          <w:b/>
          <w:bCs/>
        </w:rPr>
        <w:t>253</w:t>
      </w:r>
      <w:r w:rsidRPr="008459FF">
        <w:rPr>
          <w:b/>
          <w:bCs/>
        </w:rPr>
        <w:t xml:space="preserve"> to</w:t>
      </w:r>
      <w:r>
        <w:rPr>
          <w:b/>
          <w:bCs/>
        </w:rPr>
        <w:t xml:space="preserve"> </w:t>
      </w:r>
      <w:r w:rsidRPr="008459FF">
        <w:rPr>
          <w:b/>
          <w:bCs/>
        </w:rPr>
        <w:t>2</w:t>
      </w:r>
      <w:r w:rsidR="002426AD">
        <w:rPr>
          <w:b/>
          <w:bCs/>
        </w:rPr>
        <w:t>58</w:t>
      </w:r>
      <w:r>
        <w:t>)</w:t>
      </w:r>
      <w:r w:rsidR="002426AD">
        <w:t>.</w:t>
      </w:r>
    </w:p>
    <w:p w14:paraId="27139354" w14:textId="30104553" w:rsidR="008459FF" w:rsidRDefault="008459FF" w:rsidP="00793AEF">
      <w:pPr>
        <w:jc w:val="both"/>
      </w:pPr>
      <w:r>
        <w:t xml:space="preserve">Part 12 </w:t>
      </w:r>
      <w:r w:rsidR="002358DA">
        <w:t xml:space="preserve">(Investigations) </w:t>
      </w:r>
      <w:r>
        <w:t>does not apply in relation to a contravention of the positive duty under clause 19 that happens before or within one year of commencement of section 19 (</w:t>
      </w:r>
      <w:r w:rsidRPr="00BD3B0C">
        <w:rPr>
          <w:b/>
          <w:bCs/>
        </w:rPr>
        <w:t>clause 2</w:t>
      </w:r>
      <w:r w:rsidR="00BD3B0C" w:rsidRPr="00BD3B0C">
        <w:rPr>
          <w:b/>
          <w:bCs/>
        </w:rPr>
        <w:t>6</w:t>
      </w:r>
      <w:r w:rsidR="002426AD">
        <w:rPr>
          <w:b/>
          <w:bCs/>
        </w:rPr>
        <w:t>0</w:t>
      </w:r>
      <w:r w:rsidR="00BD3B0C">
        <w:t>).</w:t>
      </w:r>
    </w:p>
    <w:p w14:paraId="75401F68" w14:textId="7B4051C6" w:rsidR="004B692B" w:rsidRDefault="00BD3B0C" w:rsidP="00793AEF">
      <w:pPr>
        <w:jc w:val="both"/>
      </w:pPr>
      <w:r w:rsidRPr="00FD3FF8">
        <w:t>E</w:t>
      </w:r>
      <w:r w:rsidR="004B692B" w:rsidRPr="00FD3FF8">
        <w:t>nforceable undertakings and</w:t>
      </w:r>
      <w:r w:rsidRPr="00FD3FF8">
        <w:t xml:space="preserve"> enforcement of </w:t>
      </w:r>
      <w:r w:rsidR="004B692B" w:rsidRPr="00FD3FF8">
        <w:t>compliance notices will not take effect</w:t>
      </w:r>
      <w:r w:rsidR="004B692B">
        <w:t xml:space="preserve"> until two years after the commencement (</w:t>
      </w:r>
      <w:r w:rsidR="004B692B" w:rsidRPr="00BD3B0C">
        <w:rPr>
          <w:b/>
          <w:bCs/>
        </w:rPr>
        <w:t>clause 2</w:t>
      </w:r>
      <w:r w:rsidRPr="00BD3B0C">
        <w:rPr>
          <w:b/>
          <w:bCs/>
        </w:rPr>
        <w:t>6</w:t>
      </w:r>
      <w:r w:rsidR="002426AD">
        <w:rPr>
          <w:b/>
          <w:bCs/>
        </w:rPr>
        <w:t>1</w:t>
      </w:r>
      <w:r w:rsidR="004B692B">
        <w:t xml:space="preserve">). </w:t>
      </w:r>
    </w:p>
    <w:p w14:paraId="7017AD62" w14:textId="77777777" w:rsidR="009D1152" w:rsidRDefault="009D1152" w:rsidP="005524C3">
      <w:pPr>
        <w:pStyle w:val="Heading2"/>
      </w:pPr>
    </w:p>
    <w:p w14:paraId="3801DB02" w14:textId="793E8F98" w:rsidR="004B692B" w:rsidRDefault="004B692B" w:rsidP="005524C3">
      <w:pPr>
        <w:pStyle w:val="Heading2"/>
      </w:pPr>
      <w:bookmarkStart w:id="157" w:name="_Toc159520353"/>
      <w:r>
        <w:t>Part 1</w:t>
      </w:r>
      <w:r w:rsidR="00826060">
        <w:t>8</w:t>
      </w:r>
      <w:r>
        <w:t xml:space="preserve"> – Amendment of legislation</w:t>
      </w:r>
      <w:bookmarkEnd w:id="157"/>
    </w:p>
    <w:p w14:paraId="1C78A1D0" w14:textId="21F07313" w:rsidR="00CD3A14" w:rsidRDefault="004B692B" w:rsidP="00793AEF">
      <w:pPr>
        <w:jc w:val="both"/>
      </w:pPr>
      <w:bookmarkStart w:id="158" w:name="_Hlk159492969"/>
      <w:r w:rsidRPr="002358DA">
        <w:t>Part 1</w:t>
      </w:r>
      <w:r w:rsidR="00BD3B0C" w:rsidRPr="002358DA">
        <w:t>8</w:t>
      </w:r>
      <w:r w:rsidRPr="002358DA">
        <w:t xml:space="preserve"> of the draft Bill</w:t>
      </w:r>
      <w:r w:rsidR="00BD3B0C" w:rsidRPr="002358DA">
        <w:t xml:space="preserve"> contains </w:t>
      </w:r>
      <w:r w:rsidRPr="002358DA">
        <w:t>amendments to</w:t>
      </w:r>
      <w:r w:rsidR="002358DA" w:rsidRPr="002358DA">
        <w:t xml:space="preserve"> the </w:t>
      </w:r>
      <w:r w:rsidRPr="002358DA">
        <w:rPr>
          <w:i/>
          <w:iCs/>
        </w:rPr>
        <w:t>Corrective Service Act 2006</w:t>
      </w:r>
      <w:r w:rsidR="00CD3A14">
        <w:rPr>
          <w:i/>
          <w:iCs/>
        </w:rPr>
        <w:t xml:space="preserve"> </w:t>
      </w:r>
      <w:r w:rsidR="00CD3A14">
        <w:t>(CSA)</w:t>
      </w:r>
      <w:r w:rsidR="007A56B3">
        <w:t>.</w:t>
      </w:r>
      <w:r w:rsidR="00CD3A14">
        <w:t xml:space="preserve"> The CSA currently </w:t>
      </w:r>
      <w:r w:rsidR="002358DA">
        <w:t xml:space="preserve">contains a modified framework for discrimination complaints made by offenders </w:t>
      </w:r>
      <w:r w:rsidR="00CD3A14">
        <w:t>(a prisoner or person who is subject to a community-based order). The current CSA framework:</w:t>
      </w:r>
    </w:p>
    <w:p w14:paraId="7D5DA3F4" w14:textId="57E3BC23" w:rsidR="00CD3A14" w:rsidRPr="00CD3A14" w:rsidRDefault="00CD3A14" w:rsidP="00721411">
      <w:pPr>
        <w:pStyle w:val="ListParagraph"/>
        <w:numPr>
          <w:ilvl w:val="0"/>
          <w:numId w:val="19"/>
        </w:numPr>
        <w:jc w:val="both"/>
      </w:pPr>
      <w:r w:rsidRPr="00CD3A14">
        <w:t xml:space="preserve">modifies </w:t>
      </w:r>
      <w:r>
        <w:t>t</w:t>
      </w:r>
      <w:r w:rsidRPr="00CD3A14">
        <w:t>he complaints process for prisoner</w:t>
      </w:r>
      <w:r>
        <w:t>s, m</w:t>
      </w:r>
      <w:r w:rsidRPr="00CD3A14">
        <w:t xml:space="preserve">aking it mandatory for an offender to first wait four months after a written complaint to the chief executive has been made about any alleged contravention of the </w:t>
      </w:r>
      <w:r>
        <w:t xml:space="preserve">current </w:t>
      </w:r>
      <w:r w:rsidRPr="00CD3A14">
        <w:t>AD Act before making a complaint to the QHRC (section 319E CSA);</w:t>
      </w:r>
    </w:p>
    <w:p w14:paraId="0C67D482" w14:textId="37A71DC4" w:rsidR="00CD3A14" w:rsidRPr="00CD3A14" w:rsidRDefault="00CD3A14" w:rsidP="00721411">
      <w:pPr>
        <w:pStyle w:val="ListParagraph"/>
        <w:numPr>
          <w:ilvl w:val="0"/>
          <w:numId w:val="19"/>
        </w:numPr>
        <w:jc w:val="both"/>
      </w:pPr>
      <w:r w:rsidRPr="00CD3A14">
        <w:t>modif</w:t>
      </w:r>
      <w:r>
        <w:t xml:space="preserve">ies </w:t>
      </w:r>
      <w:r w:rsidRPr="00CD3A14">
        <w:t>the current tests of direct and indirect discrimination for prisoners</w:t>
      </w:r>
      <w:r>
        <w:t xml:space="preserve">, </w:t>
      </w:r>
      <w:r w:rsidRPr="00CD3A14">
        <w:t>to add a reasonableness test, so that direct and indirect discrimination is not unlawful if it is reasonable. A number of factors are included for determining whether discrimination is reasonable including (but not limited to) for example the security and good order of the facility; the costs of providing the alternative treatment; and the administrative and operational burden (section 319G CSA; section 319H CSA); and</w:t>
      </w:r>
    </w:p>
    <w:p w14:paraId="411BAF1F" w14:textId="2A67191E" w:rsidR="00CD3A14" w:rsidRDefault="00CD3A14" w:rsidP="00721411">
      <w:pPr>
        <w:pStyle w:val="ListParagraph"/>
        <w:numPr>
          <w:ilvl w:val="0"/>
          <w:numId w:val="19"/>
        </w:numPr>
        <w:jc w:val="both"/>
      </w:pPr>
      <w:r>
        <w:t xml:space="preserve">modifies </w:t>
      </w:r>
      <w:r w:rsidRPr="00CD3A14">
        <w:t>the threshold for when compensation is payable to prisoners</w:t>
      </w:r>
      <w:r>
        <w:t xml:space="preserve">, </w:t>
      </w:r>
      <w:r w:rsidRPr="00CD3A14">
        <w:t>so that compensation may only be awarded by the tribunal where the defendant has acted in bad faith and where no other available remedy would be effective.</w:t>
      </w:r>
      <w:r w:rsidRPr="005D7E6F">
        <w:t xml:space="preserve"> </w:t>
      </w:r>
      <w:r w:rsidRPr="00CD3A14">
        <w:t>If compensation is awarded, the payment of money cannot be directed to the prisoner, but must be paid into a victim trust fund established under Part 12B of Chapter 6 of the CSA (section 319I CSA).</w:t>
      </w:r>
    </w:p>
    <w:p w14:paraId="1145ED7D" w14:textId="4934DE53" w:rsidR="002358DA" w:rsidRDefault="007A56B3" w:rsidP="00793AEF">
      <w:pPr>
        <w:jc w:val="both"/>
      </w:pPr>
      <w:r>
        <w:t>Amendments in the draft Bill to the CSA (</w:t>
      </w:r>
      <w:r w:rsidRPr="007A56B3">
        <w:rPr>
          <w:b/>
          <w:bCs/>
        </w:rPr>
        <w:t>clauses 277 to 283</w:t>
      </w:r>
      <w:r w:rsidR="00F769F8">
        <w:rPr>
          <w:b/>
          <w:bCs/>
        </w:rPr>
        <w:t xml:space="preserve"> and Schedule 2</w:t>
      </w:r>
      <w:r>
        <w:t xml:space="preserve">) </w:t>
      </w:r>
      <w:r w:rsidR="002018CE">
        <w:t>respond to</w:t>
      </w:r>
      <w:r w:rsidR="00CD3A14">
        <w:t xml:space="preserve"> </w:t>
      </w:r>
      <w:r w:rsidR="004B692B" w:rsidRPr="002358DA">
        <w:t xml:space="preserve">recommendations 12.1, 12.2 and 42.1 of the Building Belonging Report, to address some of the </w:t>
      </w:r>
      <w:r w:rsidR="004B692B" w:rsidRPr="002358DA">
        <w:lastRenderedPageBreak/>
        <w:t>underlying issues with the specific complaint process for prisoners</w:t>
      </w:r>
      <w:r w:rsidR="002018CE">
        <w:t xml:space="preserve"> and offenders</w:t>
      </w:r>
      <w:r w:rsidR="002358DA" w:rsidRPr="002358DA">
        <w:t>.</w:t>
      </w:r>
      <w:r w:rsidR="00CD3A14">
        <w:t xml:space="preserve"> In particular, amendments are made </w:t>
      </w:r>
      <w:r>
        <w:t xml:space="preserve">the CSA </w:t>
      </w:r>
      <w:r w:rsidR="00CD3A14">
        <w:t>to:</w:t>
      </w:r>
    </w:p>
    <w:p w14:paraId="73B6004A" w14:textId="5E632EA9" w:rsidR="00CD3A14" w:rsidRPr="007A56B3" w:rsidRDefault="00CD3A14" w:rsidP="00721411">
      <w:pPr>
        <w:pStyle w:val="ListParagraph"/>
        <w:numPr>
          <w:ilvl w:val="0"/>
          <w:numId w:val="18"/>
        </w:numPr>
        <w:jc w:val="both"/>
      </w:pPr>
      <w:r>
        <w:t xml:space="preserve">remove the application of the modified framework to a prisoner on parole or a person subject to a community based order under the </w:t>
      </w:r>
      <w:r w:rsidR="007A56B3" w:rsidRPr="001224FF">
        <w:rPr>
          <w:i/>
          <w:iCs/>
        </w:rPr>
        <w:t>Penalties and Sentences Act 1992</w:t>
      </w:r>
      <w:r w:rsidR="007A56B3">
        <w:rPr>
          <w:i/>
          <w:iCs/>
        </w:rPr>
        <w:t>;</w:t>
      </w:r>
    </w:p>
    <w:p w14:paraId="1E01DF6A" w14:textId="58A69C80" w:rsidR="007A56B3" w:rsidRDefault="00251BE6" w:rsidP="00721411">
      <w:pPr>
        <w:pStyle w:val="ListParagraph"/>
        <w:numPr>
          <w:ilvl w:val="0"/>
          <w:numId w:val="18"/>
        </w:numPr>
        <w:jc w:val="both"/>
      </w:pPr>
      <w:r>
        <w:t>modify the internal complaints process to be consistent with the internal compl</w:t>
      </w:r>
      <w:r w:rsidR="002018CE">
        <w:t>aint</w:t>
      </w:r>
      <w:r>
        <w:t xml:space="preserve"> process under the Human Rights Act;</w:t>
      </w:r>
    </w:p>
    <w:p w14:paraId="74675DD4" w14:textId="77777777" w:rsidR="00251BE6" w:rsidRDefault="00251BE6" w:rsidP="00721411">
      <w:pPr>
        <w:keepLines/>
        <w:numPr>
          <w:ilvl w:val="0"/>
          <w:numId w:val="18"/>
        </w:numPr>
        <w:spacing w:before="120" w:after="0"/>
        <w:ind w:right="-284"/>
        <w:jc w:val="both"/>
      </w:pPr>
      <w:bookmarkStart w:id="159" w:name="_Ref146111044"/>
      <w:r>
        <w:t xml:space="preserve">retain the </w:t>
      </w:r>
      <w:r w:rsidRPr="00D632C1">
        <w:t xml:space="preserve">modified tests for direct and indirect discrimination </w:t>
      </w:r>
      <w:r>
        <w:t>but:</w:t>
      </w:r>
    </w:p>
    <w:p w14:paraId="6AD1CA2C" w14:textId="77777777" w:rsidR="00251BE6" w:rsidRDefault="00251BE6" w:rsidP="00721411">
      <w:pPr>
        <w:keepLines/>
        <w:numPr>
          <w:ilvl w:val="1"/>
          <w:numId w:val="18"/>
        </w:numPr>
        <w:spacing w:before="120" w:after="0"/>
        <w:ind w:right="-284"/>
        <w:jc w:val="both"/>
      </w:pPr>
      <w:r>
        <w:t>update them to reflect the concepts of direct and indirect discrimination in the draft Bill, and</w:t>
      </w:r>
    </w:p>
    <w:p w14:paraId="661468AB" w14:textId="1599CFE6" w:rsidR="002F2178" w:rsidRDefault="00251BE6" w:rsidP="00721411">
      <w:pPr>
        <w:keepLines/>
        <w:numPr>
          <w:ilvl w:val="1"/>
          <w:numId w:val="18"/>
        </w:numPr>
        <w:spacing w:before="120" w:after="0"/>
        <w:ind w:right="-284"/>
        <w:jc w:val="both"/>
      </w:pPr>
      <w:r>
        <w:t xml:space="preserve">remove a factor </w:t>
      </w:r>
      <w:r w:rsidR="002F2178">
        <w:t xml:space="preserve">to be had regard to in providing that treatment is reasonable, namely, </w:t>
      </w:r>
      <w:bookmarkStart w:id="160" w:name="_Hlk159492989"/>
      <w:r w:rsidR="002F2178">
        <w:t>t</w:t>
      </w:r>
      <w:r w:rsidRPr="00D632C1">
        <w:t xml:space="preserve">he disruption to the </w:t>
      </w:r>
      <w:bookmarkEnd w:id="158"/>
      <w:r w:rsidRPr="00D632C1">
        <w:t>protected defendant that providing alternative treatment might cause</w:t>
      </w:r>
      <w:bookmarkEnd w:id="159"/>
      <w:r w:rsidR="002F2178">
        <w:t>.</w:t>
      </w:r>
    </w:p>
    <w:bookmarkEnd w:id="160"/>
    <w:p w14:paraId="1D3077A0" w14:textId="145C607E" w:rsidR="00BD3B0C" w:rsidRDefault="002F2178" w:rsidP="00793AEF">
      <w:pPr>
        <w:keepLines/>
        <w:spacing w:before="120" w:after="0"/>
        <w:ind w:right="-284"/>
        <w:jc w:val="both"/>
      </w:pPr>
      <w:r>
        <w:t xml:space="preserve">The draft Bill contains amendments to the </w:t>
      </w:r>
      <w:r w:rsidR="004B692B">
        <w:t xml:space="preserve">Criminal Code to better align the offence of serious vilification in section 52A </w:t>
      </w:r>
      <w:r w:rsidR="00BD3B0C">
        <w:t xml:space="preserve">with </w:t>
      </w:r>
      <w:r w:rsidR="004B692B">
        <w:t>the approach taken for vilification in the draft Bill</w:t>
      </w:r>
      <w:r>
        <w:t xml:space="preserve"> (</w:t>
      </w:r>
      <w:r w:rsidRPr="002F2178">
        <w:rPr>
          <w:b/>
          <w:bCs/>
        </w:rPr>
        <w:t>clauses 2</w:t>
      </w:r>
      <w:r w:rsidR="00F769F8">
        <w:rPr>
          <w:b/>
          <w:bCs/>
        </w:rPr>
        <w:t>77</w:t>
      </w:r>
      <w:r w:rsidRPr="002F2178">
        <w:rPr>
          <w:b/>
          <w:bCs/>
        </w:rPr>
        <w:t xml:space="preserve"> to 28</w:t>
      </w:r>
      <w:r w:rsidR="00F769F8">
        <w:rPr>
          <w:b/>
          <w:bCs/>
        </w:rPr>
        <w:t>0</w:t>
      </w:r>
      <w:r>
        <w:t>).</w:t>
      </w:r>
    </w:p>
    <w:p w14:paraId="6180A1D1" w14:textId="49BA048F" w:rsidR="00F769F8" w:rsidRDefault="00F769F8" w:rsidP="00793AEF">
      <w:pPr>
        <w:spacing w:before="60" w:line="280" w:lineRule="exact"/>
        <w:jc w:val="both"/>
      </w:pPr>
      <w:r>
        <w:t>Consequential amendments to a range of other Acts are included in schedule 2 of the draft Bill.</w:t>
      </w:r>
    </w:p>
    <w:p w14:paraId="5CCC4B54" w14:textId="749F0F39" w:rsidR="004B4197" w:rsidRPr="001D4C2E" w:rsidRDefault="004B4197" w:rsidP="00F769F8">
      <w:pPr>
        <w:spacing w:before="60" w:line="280" w:lineRule="exact"/>
        <w:jc w:val="both"/>
      </w:pPr>
    </w:p>
    <w:sectPr w:rsidR="004B4197" w:rsidRPr="001D4C2E" w:rsidSect="00DF24D6">
      <w:headerReference w:type="default" r:id="rId16"/>
      <w:footerReference w:type="even" r:id="rId17"/>
      <w:footerReference w:type="default" r:id="rId18"/>
      <w:headerReference w:type="first" r:id="rId19"/>
      <w:footerReference w:type="first" r:id="rId20"/>
      <w:pgSz w:w="11906" w:h="16838"/>
      <w:pgMar w:top="1418"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9F4C4" w14:textId="77777777" w:rsidR="00C34D16" w:rsidRDefault="00C34D16" w:rsidP="00980262">
      <w:pPr>
        <w:spacing w:after="0"/>
      </w:pPr>
      <w:r>
        <w:separator/>
      </w:r>
    </w:p>
  </w:endnote>
  <w:endnote w:type="continuationSeparator" w:id="0">
    <w:p w14:paraId="4A325A12" w14:textId="77777777" w:rsidR="00C34D16" w:rsidRDefault="00C34D16" w:rsidP="009802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0070672"/>
      <w:docPartObj>
        <w:docPartGallery w:val="Page Numbers (Bottom of Page)"/>
        <w:docPartUnique/>
      </w:docPartObj>
    </w:sdtPr>
    <w:sdtEndPr>
      <w:rPr>
        <w:rStyle w:val="PageNumber"/>
      </w:rPr>
    </w:sdtEndPr>
    <w:sdtContent>
      <w:p w14:paraId="3539006B" w14:textId="77777777" w:rsidR="00FD45FE" w:rsidRDefault="00FD45FE" w:rsidP="003B6F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D1D632" w14:textId="77777777" w:rsidR="00FD45FE" w:rsidRDefault="00FD45FE" w:rsidP="00FD45FE">
    <w:pPr>
      <w:pStyle w:val="Footer"/>
      <w:ind w:right="360"/>
    </w:pPr>
  </w:p>
  <w:p w14:paraId="143753CB" w14:textId="77777777" w:rsidR="00336461" w:rsidRDefault="00336461"/>
  <w:p w14:paraId="23CA2713" w14:textId="77777777" w:rsidR="00336461" w:rsidRDefault="00336461"/>
  <w:p w14:paraId="03475588" w14:textId="77777777" w:rsidR="00336461" w:rsidRDefault="003364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AD808" w14:textId="77777777" w:rsidR="00FD45FE" w:rsidRDefault="00841804" w:rsidP="00FD45FE">
    <w:pPr>
      <w:pStyle w:val="Footer"/>
      <w:ind w:right="360"/>
    </w:pPr>
    <w:r>
      <w:rPr>
        <w:noProof/>
      </w:rPr>
      <mc:AlternateContent>
        <mc:Choice Requires="wps">
          <w:drawing>
            <wp:anchor distT="0" distB="0" distL="114300" distR="114300" simplePos="0" relativeHeight="251662848" behindDoc="0" locked="0" layoutInCell="1" allowOverlap="1" wp14:anchorId="2BE130A8" wp14:editId="1725C465">
              <wp:simplePos x="0" y="0"/>
              <wp:positionH relativeFrom="column">
                <wp:posOffset>-635</wp:posOffset>
              </wp:positionH>
              <wp:positionV relativeFrom="paragraph">
                <wp:posOffset>153682</wp:posOffset>
              </wp:positionV>
              <wp:extent cx="6045693" cy="0"/>
              <wp:effectExtent l="0" t="0" r="12700" b="12700"/>
              <wp:wrapNone/>
              <wp:docPr id="816620151"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45693"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96D5C6" id="Straight Connector 6" o:spid="_x0000_s1026" alt="&quot;&quot;"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05pt,12.1pt" to="4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" strokecolor="#66c8cb [3205]" strokeweight="1pt">
              <v:stroke joinstyle="miter"/>
            </v:line>
          </w:pict>
        </mc:Fallback>
      </mc:AlternateContent>
    </w:r>
    <w:r>
      <w:rPr>
        <w:noProof/>
      </w:rPr>
      <mc:AlternateContent>
        <mc:Choice Requires="wps">
          <w:drawing>
            <wp:anchor distT="0" distB="0" distL="114300" distR="114300" simplePos="0" relativeHeight="251658752" behindDoc="0" locked="0" layoutInCell="1" allowOverlap="1" wp14:anchorId="1C3BD312" wp14:editId="3E1D2CC9">
              <wp:simplePos x="0" y="0"/>
              <wp:positionH relativeFrom="column">
                <wp:posOffset>3515983</wp:posOffset>
              </wp:positionH>
              <wp:positionV relativeFrom="paragraph">
                <wp:posOffset>260350</wp:posOffset>
              </wp:positionV>
              <wp:extent cx="2627791" cy="239395"/>
              <wp:effectExtent l="0" t="0" r="0" b="0"/>
              <wp:wrapNone/>
              <wp:docPr id="1497734670" name="Text Box 17"/>
              <wp:cNvGraphicFramePr/>
              <a:graphic xmlns:a="http://schemas.openxmlformats.org/drawingml/2006/main">
                <a:graphicData uri="http://schemas.microsoft.com/office/word/2010/wordprocessingShape">
                  <wps:wsp>
                    <wps:cNvSpPr txBox="1"/>
                    <wps:spPr>
                      <a:xfrm>
                        <a:off x="0" y="0"/>
                        <a:ext cx="2627791" cy="239395"/>
                      </a:xfrm>
                      <a:prstGeom prst="rect">
                        <a:avLst/>
                      </a:prstGeom>
                      <a:noFill/>
                      <a:ln w="6350">
                        <a:noFill/>
                      </a:ln>
                    </wps:spPr>
                    <wps:txbx>
                      <w:txbxContent>
                        <w:p w14:paraId="6761E3AC" w14:textId="77777777" w:rsidR="00841804" w:rsidRPr="00FD45FE" w:rsidRDefault="00D148F3" w:rsidP="00841804">
                          <w:pPr>
                            <w:pStyle w:val="Footer"/>
                            <w:jc w:val="right"/>
                            <w:rPr>
                              <w:rStyle w:val="PageNumber"/>
                              <w:sz w:val="18"/>
                              <w:szCs w:val="21"/>
                            </w:rPr>
                          </w:pPr>
                          <w:sdt>
                            <w:sdtPr>
                              <w:rPr>
                                <w:rStyle w:val="PageNumber"/>
                                <w:sz w:val="18"/>
                                <w:szCs w:val="21"/>
                              </w:rPr>
                              <w:id w:val="-188306031"/>
                              <w:docPartObj>
                                <w:docPartGallery w:val="Page Numbers (Bottom of Page)"/>
                                <w:docPartUnique/>
                              </w:docPartObj>
                            </w:sdtPr>
                            <w:sdtEndPr>
                              <w:rPr>
                                <w:rStyle w:val="PageNumber"/>
                              </w:rPr>
                            </w:sdtEndPr>
                            <w:sdtContent>
                              <w:r w:rsidR="00841804">
                                <w:rPr>
                                  <w:rStyle w:val="PageNumber"/>
                                  <w:sz w:val="18"/>
                                  <w:szCs w:val="21"/>
                                </w:rPr>
                                <w:t xml:space="preserve">Page </w:t>
                              </w:r>
                              <w:r w:rsidR="00841804" w:rsidRPr="00FD45FE">
                                <w:rPr>
                                  <w:rStyle w:val="PageNumber"/>
                                  <w:sz w:val="18"/>
                                  <w:szCs w:val="21"/>
                                </w:rPr>
                                <w:fldChar w:fldCharType="begin"/>
                              </w:r>
                              <w:r w:rsidR="00841804" w:rsidRPr="00FD45FE">
                                <w:rPr>
                                  <w:rStyle w:val="PageNumber"/>
                                  <w:sz w:val="18"/>
                                  <w:szCs w:val="21"/>
                                </w:rPr>
                                <w:instrText xml:space="preserve"> PAGE </w:instrText>
                              </w:r>
                              <w:r w:rsidR="00841804" w:rsidRPr="00FD45FE">
                                <w:rPr>
                                  <w:rStyle w:val="PageNumber"/>
                                  <w:sz w:val="18"/>
                                  <w:szCs w:val="21"/>
                                </w:rPr>
                                <w:fldChar w:fldCharType="separate"/>
                              </w:r>
                              <w:r w:rsidR="00841804" w:rsidRPr="00FD45FE">
                                <w:rPr>
                                  <w:rStyle w:val="PageNumber"/>
                                  <w:sz w:val="18"/>
                                  <w:szCs w:val="21"/>
                                </w:rPr>
                                <w:t>3</w:t>
                              </w:r>
                              <w:r w:rsidR="00841804" w:rsidRPr="00FD45FE">
                                <w:rPr>
                                  <w:rStyle w:val="PageNumber"/>
                                  <w:sz w:val="18"/>
                                  <w:szCs w:val="21"/>
                                </w:rPr>
                                <w:fldChar w:fldCharType="end"/>
                              </w:r>
                            </w:sdtContent>
                          </w:sdt>
                        </w:p>
                        <w:p w14:paraId="316823FD" w14:textId="77777777" w:rsidR="00841804" w:rsidRPr="00FD45FE" w:rsidRDefault="00841804" w:rsidP="00841804">
                          <w:pPr>
                            <w:jc w:val="right"/>
                            <w:rPr>
                              <w:sz w:val="15"/>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BD312" id="_x0000_t202" coordsize="21600,21600" o:spt="202" path="m,l,21600r21600,l21600,xe">
              <v:stroke joinstyle="miter"/>
              <v:path gradientshapeok="t" o:connecttype="rect"/>
            </v:shapetype>
            <v:shape id="Text Box 17" o:spid="_x0000_s1026" type="#_x0000_t202" style="position:absolute;margin-left:276.85pt;margin-top:20.5pt;width:206.9pt;height:1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" filled="f" stroked="f" strokeweight=".5pt">
              <v:textbox>
                <w:txbxContent>
                  <w:p w14:paraId="6761E3AC" w14:textId="77777777" w:rsidR="00841804" w:rsidRPr="00FD45FE" w:rsidRDefault="00DA24B1" w:rsidP="00841804">
                    <w:pPr>
                      <w:pStyle w:val="Footer"/>
                      <w:jc w:val="right"/>
                      <w:rPr>
                        <w:rStyle w:val="PageNumber"/>
                        <w:sz w:val="18"/>
                        <w:szCs w:val="21"/>
                      </w:rPr>
                    </w:pPr>
                    <w:sdt>
                      <w:sdtPr>
                        <w:rPr>
                          <w:rStyle w:val="PageNumber"/>
                          <w:sz w:val="18"/>
                          <w:szCs w:val="21"/>
                        </w:rPr>
                        <w:id w:val="-188306031"/>
                        <w:docPartObj>
                          <w:docPartGallery w:val="Page Numbers (Bottom of Page)"/>
                          <w:docPartUnique/>
                        </w:docPartObj>
                      </w:sdtPr>
                      <w:sdtEndPr>
                        <w:rPr>
                          <w:rStyle w:val="PageNumber"/>
                        </w:rPr>
                      </w:sdtEndPr>
                      <w:sdtContent>
                        <w:r w:rsidR="00841804">
                          <w:rPr>
                            <w:rStyle w:val="PageNumber"/>
                            <w:sz w:val="18"/>
                            <w:szCs w:val="21"/>
                          </w:rPr>
                          <w:t xml:space="preserve">Page </w:t>
                        </w:r>
                        <w:r w:rsidR="00841804" w:rsidRPr="00FD45FE">
                          <w:rPr>
                            <w:rStyle w:val="PageNumber"/>
                            <w:sz w:val="18"/>
                            <w:szCs w:val="21"/>
                          </w:rPr>
                          <w:fldChar w:fldCharType="begin"/>
                        </w:r>
                        <w:r w:rsidR="00841804" w:rsidRPr="00FD45FE">
                          <w:rPr>
                            <w:rStyle w:val="PageNumber"/>
                            <w:sz w:val="18"/>
                            <w:szCs w:val="21"/>
                          </w:rPr>
                          <w:instrText xml:space="preserve"> PAGE </w:instrText>
                        </w:r>
                        <w:r w:rsidR="00841804" w:rsidRPr="00FD45FE">
                          <w:rPr>
                            <w:rStyle w:val="PageNumber"/>
                            <w:sz w:val="18"/>
                            <w:szCs w:val="21"/>
                          </w:rPr>
                          <w:fldChar w:fldCharType="separate"/>
                        </w:r>
                        <w:r w:rsidR="00841804" w:rsidRPr="00FD45FE">
                          <w:rPr>
                            <w:rStyle w:val="PageNumber"/>
                            <w:sz w:val="18"/>
                            <w:szCs w:val="21"/>
                          </w:rPr>
                          <w:t>3</w:t>
                        </w:r>
                        <w:r w:rsidR="00841804" w:rsidRPr="00FD45FE">
                          <w:rPr>
                            <w:rStyle w:val="PageNumber"/>
                            <w:sz w:val="18"/>
                            <w:szCs w:val="21"/>
                          </w:rPr>
                          <w:fldChar w:fldCharType="end"/>
                        </w:r>
                      </w:sdtContent>
                    </w:sdt>
                  </w:p>
                  <w:p w14:paraId="316823FD" w14:textId="77777777" w:rsidR="00841804" w:rsidRPr="00FD45FE" w:rsidRDefault="00841804" w:rsidP="00841804">
                    <w:pPr>
                      <w:jc w:val="right"/>
                      <w:rPr>
                        <w:sz w:val="15"/>
                        <w:szCs w:val="18"/>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004BED4C" wp14:editId="7BDB1AA7">
              <wp:simplePos x="0" y="0"/>
              <wp:positionH relativeFrom="column">
                <wp:posOffset>-105410</wp:posOffset>
              </wp:positionH>
              <wp:positionV relativeFrom="paragraph">
                <wp:posOffset>265430</wp:posOffset>
              </wp:positionV>
              <wp:extent cx="4752975" cy="282575"/>
              <wp:effectExtent l="0" t="0" r="0" b="0"/>
              <wp:wrapNone/>
              <wp:docPr id="542523679" name="Text Box 17"/>
              <wp:cNvGraphicFramePr/>
              <a:graphic xmlns:a="http://schemas.openxmlformats.org/drawingml/2006/main">
                <a:graphicData uri="http://schemas.microsoft.com/office/word/2010/wordprocessingShape">
                  <wps:wsp>
                    <wps:cNvSpPr txBox="1"/>
                    <wps:spPr>
                      <a:xfrm>
                        <a:off x="0" y="0"/>
                        <a:ext cx="4752975" cy="282575"/>
                      </a:xfrm>
                      <a:prstGeom prst="rect">
                        <a:avLst/>
                      </a:prstGeom>
                      <a:noFill/>
                      <a:ln w="6350">
                        <a:noFill/>
                      </a:ln>
                    </wps:spPr>
                    <wps:txbx>
                      <w:txbxContent>
                        <w:p w14:paraId="4C300B90" w14:textId="5CB40AEB" w:rsidR="00841804" w:rsidRPr="00FD45FE" w:rsidRDefault="00F72D10" w:rsidP="00841804">
                          <w:pPr>
                            <w:rPr>
                              <w:sz w:val="18"/>
                              <w:szCs w:val="21"/>
                            </w:rPr>
                          </w:pPr>
                          <w:r>
                            <w:rPr>
                              <w:sz w:val="18"/>
                              <w:szCs w:val="21"/>
                            </w:rPr>
                            <w:t xml:space="preserve">Anti-Discrimination </w:t>
                          </w:r>
                          <w:r w:rsidR="001E238F">
                            <w:rPr>
                              <w:sz w:val="18"/>
                              <w:szCs w:val="21"/>
                            </w:rPr>
                            <w:t xml:space="preserve">Bill </w:t>
                          </w:r>
                          <w:r>
                            <w:rPr>
                              <w:sz w:val="18"/>
                              <w:szCs w:val="21"/>
                            </w:rPr>
                            <w:t>2024</w:t>
                          </w:r>
                          <w:r w:rsidR="001E238F">
                            <w:rPr>
                              <w:sz w:val="18"/>
                              <w:szCs w:val="21"/>
                            </w:rPr>
                            <w:t xml:space="preserve"> (Exposure Draft) </w:t>
                          </w:r>
                          <w:r w:rsidR="00841804" w:rsidRPr="00FD45FE">
                            <w:rPr>
                              <w:sz w:val="18"/>
                              <w:szCs w:val="21"/>
                            </w:rPr>
                            <w:t xml:space="preserve">| </w:t>
                          </w:r>
                          <w:r>
                            <w:rPr>
                              <w:sz w:val="18"/>
                              <w:szCs w:val="21"/>
                            </w:rPr>
                            <w:t>Consultation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BED4C" id="_x0000_s1027" type="#_x0000_t202" style="position:absolute;margin-left:-8.3pt;margin-top:20.9pt;width:374.25pt;height:2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" filled="f" stroked="f" strokeweight=".5pt">
              <v:textbox>
                <w:txbxContent>
                  <w:p w14:paraId="4C300B90" w14:textId="5CB40AEB" w:rsidR="00841804" w:rsidRPr="00FD45FE" w:rsidRDefault="00F72D10" w:rsidP="00841804">
                    <w:pPr>
                      <w:rPr>
                        <w:sz w:val="18"/>
                        <w:szCs w:val="21"/>
                      </w:rPr>
                    </w:pPr>
                    <w:r>
                      <w:rPr>
                        <w:sz w:val="18"/>
                        <w:szCs w:val="21"/>
                      </w:rPr>
                      <w:t xml:space="preserve">Anti-Discrimination </w:t>
                    </w:r>
                    <w:r w:rsidR="001E238F">
                      <w:rPr>
                        <w:sz w:val="18"/>
                        <w:szCs w:val="21"/>
                      </w:rPr>
                      <w:t xml:space="preserve">Bill </w:t>
                    </w:r>
                    <w:r>
                      <w:rPr>
                        <w:sz w:val="18"/>
                        <w:szCs w:val="21"/>
                      </w:rPr>
                      <w:t>2024</w:t>
                    </w:r>
                    <w:r w:rsidR="001E238F">
                      <w:rPr>
                        <w:sz w:val="18"/>
                        <w:szCs w:val="21"/>
                      </w:rPr>
                      <w:t xml:space="preserve"> (Exposure Draft) </w:t>
                    </w:r>
                    <w:r w:rsidR="00841804" w:rsidRPr="00FD45FE">
                      <w:rPr>
                        <w:sz w:val="18"/>
                        <w:szCs w:val="21"/>
                      </w:rPr>
                      <w:t xml:space="preserve">| </w:t>
                    </w:r>
                    <w:r>
                      <w:rPr>
                        <w:sz w:val="18"/>
                        <w:szCs w:val="21"/>
                      </w:rPr>
                      <w:t>Consultation guide</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B24D" w14:textId="77777777" w:rsidR="00694FEB" w:rsidRDefault="00B3477E">
    <w:pPr>
      <w:pStyle w:val="Footer"/>
    </w:pPr>
    <w:r>
      <w:rPr>
        <w:noProof/>
      </w:rPr>
      <w:drawing>
        <wp:anchor distT="0" distB="0" distL="114300" distR="114300" simplePos="0" relativeHeight="251665920" behindDoc="0" locked="0" layoutInCell="1" allowOverlap="1" wp14:anchorId="5A892010" wp14:editId="1EEC2598">
          <wp:simplePos x="0" y="0"/>
          <wp:positionH relativeFrom="column">
            <wp:posOffset>-718185</wp:posOffset>
          </wp:positionH>
          <wp:positionV relativeFrom="paragraph">
            <wp:posOffset>-46152</wp:posOffset>
          </wp:positionV>
          <wp:extent cx="7560000" cy="711230"/>
          <wp:effectExtent l="0" t="0" r="0" b="0"/>
          <wp:wrapNone/>
          <wp:docPr id="8491216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12165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7112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AB1AE" w14:textId="77777777" w:rsidR="00C34D16" w:rsidRDefault="00C34D16" w:rsidP="00980262">
      <w:pPr>
        <w:spacing w:after="0"/>
      </w:pPr>
      <w:r>
        <w:separator/>
      </w:r>
    </w:p>
  </w:footnote>
  <w:footnote w:type="continuationSeparator" w:id="0">
    <w:p w14:paraId="4E181FE8" w14:textId="77777777" w:rsidR="00C34D16" w:rsidRDefault="00C34D16" w:rsidP="00980262">
      <w:pPr>
        <w:spacing w:after="0"/>
      </w:pPr>
      <w:r>
        <w:continuationSeparator/>
      </w:r>
    </w:p>
  </w:footnote>
  <w:footnote w:id="1">
    <w:p w14:paraId="7F93DEA3" w14:textId="2E29C344" w:rsidR="00974880" w:rsidRPr="00687C9E" w:rsidRDefault="00974880" w:rsidP="00974880">
      <w:pPr>
        <w:pStyle w:val="FootnoteText"/>
        <w:rPr>
          <w:rFonts w:cstheme="minorHAnsi"/>
          <w:szCs w:val="22"/>
        </w:rPr>
      </w:pPr>
      <w:r w:rsidRPr="00687C9E">
        <w:rPr>
          <w:rStyle w:val="FootnoteReference"/>
          <w:rFonts w:cstheme="minorHAnsi"/>
          <w:szCs w:val="22"/>
        </w:rPr>
        <w:footnoteRef/>
      </w:r>
      <w:r w:rsidRPr="00687C9E">
        <w:rPr>
          <w:rFonts w:cstheme="minorHAnsi"/>
          <w:szCs w:val="22"/>
        </w:rPr>
        <w:t xml:space="preserve"> See </w:t>
      </w:r>
      <w:r w:rsidRPr="00687C9E">
        <w:rPr>
          <w:rFonts w:cstheme="minorHAnsi"/>
          <w:i/>
          <w:iCs/>
          <w:szCs w:val="22"/>
        </w:rPr>
        <w:t xml:space="preserve">Anti-Discrimination </w:t>
      </w:r>
      <w:r w:rsidR="00865487" w:rsidRPr="00687C9E">
        <w:rPr>
          <w:rFonts w:cstheme="minorHAnsi"/>
          <w:i/>
          <w:iCs/>
          <w:szCs w:val="22"/>
        </w:rPr>
        <w:t xml:space="preserve">Amendment </w:t>
      </w:r>
      <w:r w:rsidRPr="00687C9E">
        <w:rPr>
          <w:rFonts w:cstheme="minorHAnsi"/>
          <w:i/>
          <w:iCs/>
          <w:szCs w:val="22"/>
        </w:rPr>
        <w:t>Act 2001</w:t>
      </w:r>
      <w:r w:rsidR="00865487" w:rsidRPr="00687C9E">
        <w:rPr>
          <w:rFonts w:cstheme="minorHAnsi"/>
          <w:szCs w:val="22"/>
        </w:rPr>
        <w:t xml:space="preserve"> (Qld)</w:t>
      </w:r>
      <w:r w:rsidRPr="00687C9E">
        <w:rPr>
          <w:rFonts w:cstheme="minorHAnsi"/>
          <w:szCs w:val="22"/>
        </w:rPr>
        <w:t xml:space="preserve"> s 3.</w:t>
      </w:r>
    </w:p>
  </w:footnote>
  <w:footnote w:id="2">
    <w:p w14:paraId="66D1028E" w14:textId="77777777" w:rsidR="00974880" w:rsidRPr="00687C9E" w:rsidRDefault="00974880" w:rsidP="00974880">
      <w:pPr>
        <w:pStyle w:val="FootnoteText"/>
        <w:rPr>
          <w:rFonts w:cstheme="minorHAnsi"/>
          <w:szCs w:val="22"/>
        </w:rPr>
      </w:pPr>
      <w:r w:rsidRPr="00687C9E">
        <w:rPr>
          <w:rStyle w:val="FootnoteReference"/>
          <w:rFonts w:cstheme="minorHAnsi"/>
          <w:szCs w:val="22"/>
        </w:rPr>
        <w:footnoteRef/>
      </w:r>
      <w:r w:rsidRPr="00687C9E">
        <w:rPr>
          <w:rFonts w:cstheme="minorHAnsi"/>
          <w:szCs w:val="22"/>
        </w:rPr>
        <w:t xml:space="preserve"> [1998] QADT 17.</w:t>
      </w:r>
    </w:p>
  </w:footnote>
  <w:footnote w:id="3">
    <w:p w14:paraId="6A34029E" w14:textId="77777777" w:rsidR="00974880" w:rsidRPr="00687C9E" w:rsidRDefault="00974880" w:rsidP="00974880">
      <w:pPr>
        <w:pStyle w:val="FootnoteText"/>
        <w:rPr>
          <w:rFonts w:cstheme="minorHAnsi"/>
          <w:szCs w:val="22"/>
        </w:rPr>
      </w:pPr>
      <w:r w:rsidRPr="00687C9E">
        <w:rPr>
          <w:rStyle w:val="FootnoteReference"/>
          <w:rFonts w:cstheme="minorHAnsi"/>
          <w:szCs w:val="22"/>
        </w:rPr>
        <w:footnoteRef/>
      </w:r>
      <w:r w:rsidRPr="00687C9E">
        <w:rPr>
          <w:rFonts w:cstheme="minorHAnsi"/>
          <w:szCs w:val="22"/>
        </w:rPr>
        <w:t xml:space="preserve"> AB v Western Australia [2011] HCA 42, [24].</w:t>
      </w:r>
    </w:p>
  </w:footnote>
  <w:footnote w:id="4">
    <w:p w14:paraId="1A7C7D0D" w14:textId="77777777" w:rsidR="00BB72F4" w:rsidRPr="00C56FE9" w:rsidRDefault="00BB72F4" w:rsidP="00BB72F4">
      <w:pPr>
        <w:pStyle w:val="FootnoteText"/>
        <w:contextualSpacing/>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w:t>
      </w:r>
      <w:bookmarkStart w:id="49" w:name="_Hlk134480021"/>
      <w:r>
        <w:rPr>
          <w:rFonts w:ascii="Arial" w:hAnsi="Arial"/>
          <w:color w:val="484948"/>
          <w:sz w:val="20"/>
        </w:rPr>
        <w:t>CPRD Committee</w:t>
      </w:r>
      <w:r w:rsidRPr="009C69C5">
        <w:rPr>
          <w:rFonts w:ascii="Arial" w:hAnsi="Arial"/>
          <w:color w:val="484948"/>
          <w:sz w:val="20"/>
        </w:rPr>
        <w:t xml:space="preserve">, </w:t>
      </w:r>
      <w:r w:rsidRPr="009C69C5">
        <w:rPr>
          <w:rFonts w:ascii="Arial" w:hAnsi="Arial"/>
          <w:i/>
          <w:iCs/>
          <w:color w:val="484948"/>
          <w:sz w:val="20"/>
        </w:rPr>
        <w:t>General Comment No. 6: Equality and Non-</w:t>
      </w:r>
      <w:r>
        <w:rPr>
          <w:rFonts w:ascii="Arial" w:hAnsi="Arial"/>
          <w:i/>
          <w:iCs/>
          <w:color w:val="484948"/>
          <w:sz w:val="20"/>
        </w:rPr>
        <w:t>D</w:t>
      </w:r>
      <w:r w:rsidRPr="009C69C5">
        <w:rPr>
          <w:rFonts w:ascii="Arial" w:hAnsi="Arial"/>
          <w:i/>
          <w:iCs/>
          <w:color w:val="484948"/>
          <w:sz w:val="20"/>
        </w:rPr>
        <w:t>iscrimination</w:t>
      </w:r>
      <w:r w:rsidRPr="009C69C5">
        <w:rPr>
          <w:rFonts w:ascii="Arial" w:hAnsi="Arial"/>
          <w:color w:val="484948"/>
          <w:sz w:val="20"/>
        </w:rPr>
        <w:t xml:space="preserve"> </w:t>
      </w:r>
      <w:r>
        <w:rPr>
          <w:rFonts w:ascii="Arial" w:hAnsi="Arial"/>
          <w:color w:val="484948"/>
          <w:sz w:val="20"/>
        </w:rPr>
        <w:t xml:space="preserve"> (n 1) 6</w:t>
      </w:r>
      <w:r w:rsidRPr="009C69C5">
        <w:rPr>
          <w:rFonts w:ascii="Arial" w:hAnsi="Arial"/>
          <w:color w:val="484948"/>
          <w:sz w:val="20"/>
        </w:rPr>
        <w:t>.</w:t>
      </w:r>
      <w:bookmarkEnd w:id="49"/>
    </w:p>
  </w:footnote>
  <w:footnote w:id="5">
    <w:p w14:paraId="13A181FA" w14:textId="77777777" w:rsidR="00D84C1E" w:rsidRPr="00E769B3" w:rsidRDefault="00D84C1E" w:rsidP="00D84C1E">
      <w:pPr>
        <w:pStyle w:val="FootnoteText"/>
        <w:contextualSpacing/>
        <w:rPr>
          <w:rFonts w:cstheme="minorHAnsi"/>
          <w:szCs w:val="22"/>
        </w:rPr>
      </w:pPr>
      <w:r w:rsidRPr="00E769B3">
        <w:rPr>
          <w:rStyle w:val="FootnoteReference"/>
          <w:rFonts w:asciiTheme="majorHAnsi" w:hAnsiTheme="majorHAnsi" w:cstheme="majorHAnsi"/>
          <w:szCs w:val="22"/>
        </w:rPr>
        <w:footnoteRef/>
      </w:r>
      <w:r w:rsidRPr="00E769B3">
        <w:rPr>
          <w:rStyle w:val="FootnoteReference"/>
          <w:rFonts w:asciiTheme="majorHAnsi" w:hAnsiTheme="majorHAnsi" w:cstheme="majorHAnsi"/>
          <w:szCs w:val="22"/>
        </w:rPr>
        <w:t xml:space="preserve"> </w:t>
      </w:r>
      <w:r w:rsidRPr="00E769B3">
        <w:rPr>
          <w:rFonts w:cstheme="minorHAnsi"/>
          <w:szCs w:val="22"/>
        </w:rPr>
        <w:t xml:space="preserve">See section 113 of the </w:t>
      </w:r>
      <w:r w:rsidRPr="00E769B3">
        <w:rPr>
          <w:rFonts w:cstheme="minorHAnsi"/>
          <w:i/>
          <w:iCs/>
          <w:szCs w:val="22"/>
        </w:rPr>
        <w:t xml:space="preserve">Anti-Discrimination Act 1991 </w:t>
      </w:r>
      <w:r w:rsidRPr="00E769B3">
        <w:rPr>
          <w:rFonts w:cstheme="minorHAnsi"/>
          <w:szCs w:val="22"/>
        </w:rPr>
        <w:t>(Qld) (AD Act) which provides for an application to be made to the tribunal for an exemption from the operation of a specified provision of the AD Act.</w:t>
      </w:r>
    </w:p>
  </w:footnote>
  <w:footnote w:id="6">
    <w:p w14:paraId="360413E3" w14:textId="77777777" w:rsidR="00D84C1E" w:rsidRPr="00E769B3" w:rsidRDefault="00D84C1E" w:rsidP="00D84C1E">
      <w:pPr>
        <w:pStyle w:val="FootnoteText"/>
        <w:contextualSpacing/>
        <w:rPr>
          <w:rFonts w:cstheme="minorHAnsi"/>
          <w:sz w:val="20"/>
        </w:rPr>
      </w:pPr>
      <w:r w:rsidRPr="00E769B3">
        <w:rPr>
          <w:rStyle w:val="FootnoteReference"/>
          <w:rFonts w:cstheme="minorHAnsi"/>
          <w:szCs w:val="22"/>
        </w:rPr>
        <w:footnoteRef/>
      </w:r>
      <w:r w:rsidRPr="00E769B3">
        <w:rPr>
          <w:rFonts w:cstheme="minorHAnsi"/>
          <w:szCs w:val="22"/>
        </w:rPr>
        <w:t xml:space="preserve"> UN General Assembly, International Convention on the Elimination of All Forms of Racial Discrimination (ICERD), opened for signature 21 December 1965, A/RES/2106</w:t>
      </w:r>
    </w:p>
  </w:footnote>
  <w:footnote w:id="7">
    <w:p w14:paraId="557BAA8E" w14:textId="77777777" w:rsidR="00D84C1E" w:rsidRPr="00EF353F" w:rsidRDefault="00D84C1E" w:rsidP="00D84C1E">
      <w:pPr>
        <w:pStyle w:val="FootnoteText"/>
        <w:contextualSpacing/>
        <w:rPr>
          <w:rFonts w:cstheme="minorHAnsi"/>
          <w:szCs w:val="22"/>
          <w:highlight w:val="yellow"/>
        </w:rPr>
      </w:pPr>
      <w:r w:rsidRPr="00EF353F">
        <w:rPr>
          <w:rStyle w:val="FootnoteReference"/>
          <w:rFonts w:cstheme="minorHAnsi"/>
          <w:szCs w:val="22"/>
        </w:rPr>
        <w:footnoteRef/>
      </w:r>
      <w:r w:rsidRPr="00EF353F">
        <w:rPr>
          <w:rFonts w:cstheme="minorHAnsi"/>
          <w:szCs w:val="22"/>
        </w:rPr>
        <w:t xml:space="preserve"> UN General Assembly, United Nations Declaration on the Rights of Indigenous Peoples (UNDRIP), opened forsignature 2 October 2007, A/RES/61/295.</w:t>
      </w:r>
    </w:p>
  </w:footnote>
  <w:footnote w:id="8">
    <w:p w14:paraId="044AE12E" w14:textId="77777777" w:rsidR="00D84C1E" w:rsidRPr="00EF353F" w:rsidRDefault="00D84C1E" w:rsidP="00D84C1E">
      <w:pPr>
        <w:pStyle w:val="FootnoteText"/>
        <w:contextualSpacing/>
        <w:rPr>
          <w:rFonts w:cstheme="minorHAnsi"/>
          <w:szCs w:val="22"/>
        </w:rPr>
      </w:pPr>
      <w:r w:rsidRPr="00EF353F">
        <w:rPr>
          <w:rStyle w:val="FootnoteReference"/>
          <w:rFonts w:cstheme="minorHAnsi"/>
          <w:szCs w:val="22"/>
        </w:rPr>
        <w:footnoteRef/>
      </w:r>
      <w:r w:rsidRPr="00EF353F">
        <w:rPr>
          <w:rFonts w:cstheme="minorHAnsi"/>
          <w:szCs w:val="22"/>
        </w:rPr>
        <w:t xml:space="preserve"> In </w:t>
      </w:r>
      <w:r w:rsidRPr="00EF353F">
        <w:rPr>
          <w:rFonts w:cstheme="minorHAnsi"/>
          <w:i/>
          <w:iCs/>
          <w:szCs w:val="22"/>
        </w:rPr>
        <w:t>Gerhardy v Brown,</w:t>
      </w:r>
      <w:r w:rsidRPr="00EF353F">
        <w:rPr>
          <w:rFonts w:cstheme="minorHAnsi"/>
          <w:szCs w:val="22"/>
        </w:rPr>
        <w:t xml:space="preserve"> Brennan J identified that the wishes of the beneficiaries ‘are of great importance (perhaps essential) in determining whether a measure is taken for the purpose of securing their advancement. However, in </w:t>
      </w:r>
      <w:r w:rsidRPr="00EF353F">
        <w:rPr>
          <w:rFonts w:cstheme="minorHAnsi"/>
          <w:i/>
          <w:iCs/>
          <w:szCs w:val="22"/>
        </w:rPr>
        <w:t>Bropho v Western Australia</w:t>
      </w:r>
      <w:r w:rsidRPr="00EF353F">
        <w:rPr>
          <w:rFonts w:cstheme="minorHAnsi"/>
          <w:szCs w:val="22"/>
        </w:rPr>
        <w:t xml:space="preserve"> [2007] FCA 519, Nicholson J while noting the </w:t>
      </w:r>
      <w:r w:rsidRPr="00EF353F">
        <w:rPr>
          <w:rFonts w:cstheme="minorHAnsi"/>
          <w:i/>
          <w:iCs/>
          <w:szCs w:val="22"/>
        </w:rPr>
        <w:t>obiter dicta</w:t>
      </w:r>
      <w:r w:rsidRPr="00EF353F">
        <w:rPr>
          <w:rFonts w:cstheme="minorHAnsi"/>
          <w:szCs w:val="22"/>
        </w:rPr>
        <w:t xml:space="preserve"> of Brennan J in </w:t>
      </w:r>
      <w:r w:rsidRPr="00EF353F">
        <w:rPr>
          <w:rFonts w:cstheme="minorHAnsi"/>
          <w:i/>
          <w:iCs/>
          <w:szCs w:val="22"/>
        </w:rPr>
        <w:t>Gerhardy v Brown</w:t>
      </w:r>
      <w:r w:rsidRPr="00EF353F">
        <w:rPr>
          <w:rFonts w:cstheme="minorHAnsi"/>
          <w:szCs w:val="22"/>
        </w:rPr>
        <w:t xml:space="preserve">, including that the wishes of the beneficiaries of the measure are also of great importance in satisfying the element of advancement, held that “that dicta was not supported by the other justices and is not consistent with the general principles in the case.” Similarly, in </w:t>
      </w:r>
      <w:r w:rsidRPr="00EF353F">
        <w:rPr>
          <w:rFonts w:cstheme="minorHAnsi"/>
          <w:i/>
          <w:iCs/>
          <w:szCs w:val="22"/>
        </w:rPr>
        <w:t>Maloney v the Queen</w:t>
      </w:r>
      <w:r w:rsidRPr="00EF353F">
        <w:rPr>
          <w:rFonts w:cstheme="minorHAnsi"/>
          <w:szCs w:val="22"/>
        </w:rPr>
        <w:t xml:space="preserve"> [2013] HCA 28, the High Court held that laws and regulations restricting the possession of alcohol on Palm Island were for the benefit of Aboriginal peoples. The Court found that special measures do not require either consultation with or the informed consent of an affected community.</w:t>
      </w:r>
    </w:p>
  </w:footnote>
  <w:footnote w:id="9">
    <w:p w14:paraId="1CCC6FB6" w14:textId="52C052B1" w:rsidR="000C7864" w:rsidRPr="00687C9E" w:rsidRDefault="000C7864">
      <w:pPr>
        <w:pStyle w:val="FootnoteText"/>
        <w:rPr>
          <w:szCs w:val="22"/>
        </w:rPr>
      </w:pPr>
      <w:r w:rsidRPr="00687C9E">
        <w:rPr>
          <w:rStyle w:val="FootnoteReference"/>
          <w:szCs w:val="22"/>
        </w:rPr>
        <w:footnoteRef/>
      </w:r>
      <w:r w:rsidRPr="00687C9E">
        <w:rPr>
          <w:szCs w:val="22"/>
        </w:rPr>
        <w:t xml:space="preserve"> </w:t>
      </w:r>
      <w:r w:rsidRPr="00687C9E">
        <w:rPr>
          <w:i/>
          <w:iCs/>
          <w:szCs w:val="22"/>
        </w:rPr>
        <w:t>Anti-Discrimination Act 1991</w:t>
      </w:r>
      <w:r w:rsidRPr="00687C9E">
        <w:rPr>
          <w:szCs w:val="22"/>
        </w:rPr>
        <w:t xml:space="preserve"> (Qld)</w:t>
      </w:r>
      <w:r w:rsidR="00E769B3" w:rsidRPr="00E769B3">
        <w:rPr>
          <w:szCs w:val="22"/>
        </w:rPr>
        <w:t>,</w:t>
      </w:r>
      <w:r w:rsidRPr="00687C9E">
        <w:rPr>
          <w:szCs w:val="22"/>
        </w:rPr>
        <w:t xml:space="preserve"> Schedule 1</w:t>
      </w:r>
    </w:p>
  </w:footnote>
  <w:footnote w:id="10">
    <w:p w14:paraId="0CA223B1" w14:textId="0EE01559" w:rsidR="00AE77AB" w:rsidRPr="00EF353F" w:rsidRDefault="00AE77AB">
      <w:pPr>
        <w:pStyle w:val="FootnoteText"/>
        <w:rPr>
          <w:rFonts w:cstheme="minorHAnsi"/>
          <w:szCs w:val="22"/>
        </w:rPr>
      </w:pPr>
      <w:r w:rsidRPr="00687C9E">
        <w:rPr>
          <w:rStyle w:val="FootnoteReference"/>
          <w:szCs w:val="22"/>
        </w:rPr>
        <w:footnoteRef/>
      </w:r>
      <w:r w:rsidRPr="00687C9E">
        <w:rPr>
          <w:szCs w:val="22"/>
        </w:rPr>
        <w:t xml:space="preserve"> </w:t>
      </w:r>
      <w:r w:rsidRPr="0095714C">
        <w:rPr>
          <w:rFonts w:cstheme="minorHAnsi"/>
          <w:i/>
          <w:iCs/>
          <w:szCs w:val="22"/>
        </w:rPr>
        <w:t xml:space="preserve">Age Discrimination Act 2004 </w:t>
      </w:r>
      <w:r w:rsidRPr="0006076F">
        <w:rPr>
          <w:rFonts w:cstheme="minorHAnsi"/>
          <w:szCs w:val="22"/>
        </w:rPr>
        <w:t>(Cth) s 3</w:t>
      </w:r>
      <w:r w:rsidR="008478C6" w:rsidRPr="00EF353F">
        <w:rPr>
          <w:rFonts w:cstheme="minorHAnsi"/>
          <w:szCs w:val="22"/>
        </w:rPr>
        <w:t xml:space="preserve">7; </w:t>
      </w:r>
      <w:r w:rsidR="008478C6" w:rsidRPr="00EF353F">
        <w:rPr>
          <w:rFonts w:cstheme="minorHAnsi"/>
          <w:i/>
          <w:iCs/>
          <w:szCs w:val="22"/>
        </w:rPr>
        <w:t xml:space="preserve">Disability Discrimination Act 1992 </w:t>
      </w:r>
      <w:r w:rsidR="008478C6" w:rsidRPr="00EF353F">
        <w:rPr>
          <w:rFonts w:cstheme="minorHAnsi"/>
          <w:szCs w:val="22"/>
        </w:rPr>
        <w:t xml:space="preserve">(Cth) s 46. </w:t>
      </w:r>
    </w:p>
  </w:footnote>
  <w:footnote w:id="11">
    <w:p w14:paraId="7097BDA5" w14:textId="6BE903C1" w:rsidR="0082012F" w:rsidRPr="00E769B3" w:rsidRDefault="0082012F" w:rsidP="0082012F">
      <w:pPr>
        <w:pStyle w:val="FootnoteText"/>
        <w:contextualSpacing/>
        <w:rPr>
          <w:rFonts w:cstheme="minorHAnsi"/>
          <w:color w:val="484948"/>
          <w:szCs w:val="22"/>
        </w:rPr>
      </w:pPr>
      <w:r w:rsidRPr="00E769B3">
        <w:rPr>
          <w:rStyle w:val="FootnoteReference"/>
          <w:rFonts w:cstheme="minorHAnsi"/>
          <w:color w:val="484948"/>
          <w:szCs w:val="22"/>
        </w:rPr>
        <w:footnoteRef/>
      </w:r>
      <w:r w:rsidRPr="00E769B3">
        <w:rPr>
          <w:rFonts w:cstheme="minorHAnsi"/>
          <w:color w:val="484948"/>
          <w:szCs w:val="22"/>
        </w:rPr>
        <w:t xml:space="preserve"> </w:t>
      </w:r>
      <w:r w:rsidR="008478C6" w:rsidRPr="00E769B3">
        <w:rPr>
          <w:rFonts w:cstheme="minorHAnsi"/>
          <w:i/>
          <w:iCs/>
          <w:color w:val="484948"/>
          <w:szCs w:val="22"/>
        </w:rPr>
        <w:t xml:space="preserve">Anti-Discrimination Act 1991 </w:t>
      </w:r>
      <w:r w:rsidR="008478C6" w:rsidRPr="00E769B3">
        <w:rPr>
          <w:rFonts w:cstheme="minorHAnsi"/>
          <w:color w:val="484948"/>
          <w:szCs w:val="22"/>
        </w:rPr>
        <w:t>(Qld)</w:t>
      </w:r>
      <w:r w:rsidR="008478C6" w:rsidRPr="00E769B3">
        <w:rPr>
          <w:rFonts w:cstheme="minorHAnsi"/>
          <w:i/>
          <w:iCs/>
          <w:color w:val="484948"/>
          <w:szCs w:val="22"/>
        </w:rPr>
        <w:t xml:space="preserve"> </w:t>
      </w:r>
      <w:r w:rsidRPr="00E769B3">
        <w:rPr>
          <w:rFonts w:cstheme="minorHAnsi"/>
          <w:color w:val="484948"/>
          <w:szCs w:val="22"/>
        </w:rPr>
        <w:t>ss 35, 44, 51, 92, 100.</w:t>
      </w:r>
    </w:p>
  </w:footnote>
  <w:footnote w:id="12">
    <w:p w14:paraId="08535D4E" w14:textId="77777777" w:rsidR="0082012F" w:rsidRPr="00E769B3" w:rsidRDefault="0082012F" w:rsidP="0082012F">
      <w:pPr>
        <w:pStyle w:val="FootnoteText"/>
        <w:contextualSpacing/>
        <w:rPr>
          <w:rFonts w:cstheme="minorHAnsi"/>
          <w:color w:val="484948"/>
          <w:szCs w:val="22"/>
        </w:rPr>
      </w:pPr>
      <w:r w:rsidRPr="00E769B3">
        <w:rPr>
          <w:rStyle w:val="FootnoteReference"/>
          <w:rFonts w:cstheme="minorHAnsi"/>
          <w:color w:val="484948"/>
          <w:szCs w:val="22"/>
        </w:rPr>
        <w:footnoteRef/>
      </w:r>
      <w:r w:rsidRPr="00E769B3">
        <w:rPr>
          <w:rFonts w:cstheme="minorHAnsi"/>
          <w:color w:val="484948"/>
          <w:szCs w:val="22"/>
        </w:rPr>
        <w:t xml:space="preserve"> Ibid</w:t>
      </w:r>
      <w:r w:rsidRPr="00E769B3">
        <w:rPr>
          <w:rFonts w:cstheme="minorHAnsi"/>
          <w:i/>
          <w:iCs/>
          <w:color w:val="484948"/>
          <w:szCs w:val="22"/>
        </w:rPr>
        <w:t xml:space="preserve"> </w:t>
      </w:r>
      <w:r w:rsidRPr="00E769B3">
        <w:rPr>
          <w:rFonts w:cstheme="minorHAnsi"/>
          <w:color w:val="484948"/>
          <w:szCs w:val="22"/>
        </w:rPr>
        <w:t>s 36.</w:t>
      </w:r>
    </w:p>
  </w:footnote>
  <w:footnote w:id="13">
    <w:p w14:paraId="012F1E48" w14:textId="77777777" w:rsidR="0082012F" w:rsidRPr="00687C9E" w:rsidRDefault="0082012F" w:rsidP="0082012F">
      <w:pPr>
        <w:pStyle w:val="FootnoteText"/>
        <w:contextualSpacing/>
        <w:rPr>
          <w:rFonts w:cstheme="minorHAnsi"/>
          <w:szCs w:val="22"/>
        </w:rPr>
      </w:pPr>
      <w:r w:rsidRPr="00E769B3">
        <w:rPr>
          <w:rStyle w:val="FootnoteReference"/>
          <w:rFonts w:cstheme="minorHAnsi"/>
          <w:color w:val="484948"/>
          <w:szCs w:val="22"/>
        </w:rPr>
        <w:footnoteRef/>
      </w:r>
      <w:r w:rsidRPr="00E769B3">
        <w:rPr>
          <w:rFonts w:cstheme="minorHAnsi"/>
          <w:color w:val="484948"/>
          <w:szCs w:val="22"/>
        </w:rPr>
        <w:t xml:space="preserve"> Ibid</w:t>
      </w:r>
      <w:r w:rsidRPr="00E769B3">
        <w:rPr>
          <w:rFonts w:cstheme="minorHAnsi"/>
          <w:i/>
          <w:iCs/>
          <w:color w:val="484948"/>
          <w:szCs w:val="22"/>
        </w:rPr>
        <w:t xml:space="preserve"> </w:t>
      </w:r>
      <w:r w:rsidRPr="00E769B3">
        <w:rPr>
          <w:rFonts w:cstheme="minorHAnsi"/>
          <w:color w:val="484948"/>
          <w:szCs w:val="22"/>
        </w:rPr>
        <w:t>s 37.</w:t>
      </w:r>
    </w:p>
  </w:footnote>
  <w:footnote w:id="14">
    <w:p w14:paraId="4BFCE3E5" w14:textId="65420590" w:rsidR="000C7864" w:rsidRPr="00687C9E" w:rsidRDefault="000C7864">
      <w:pPr>
        <w:pStyle w:val="FootnoteText"/>
        <w:rPr>
          <w:szCs w:val="22"/>
        </w:rPr>
      </w:pPr>
      <w:r w:rsidRPr="00687C9E">
        <w:rPr>
          <w:rStyle w:val="FootnoteReference"/>
          <w:szCs w:val="22"/>
        </w:rPr>
        <w:footnoteRef/>
      </w:r>
      <w:r w:rsidRPr="00687C9E">
        <w:rPr>
          <w:szCs w:val="22"/>
        </w:rPr>
        <w:t xml:space="preserve"> Anti</w:t>
      </w:r>
      <w:r w:rsidRPr="00687C9E">
        <w:rPr>
          <w:i/>
          <w:iCs/>
          <w:szCs w:val="22"/>
        </w:rPr>
        <w:t>-Discrimination Act 1991</w:t>
      </w:r>
      <w:r w:rsidRPr="00687C9E">
        <w:rPr>
          <w:szCs w:val="22"/>
        </w:rPr>
        <w:t xml:space="preserve"> (Qld) section 25(2)-(8)</w:t>
      </w:r>
    </w:p>
  </w:footnote>
  <w:footnote w:id="15">
    <w:p w14:paraId="6661151E" w14:textId="77777777" w:rsidR="0048147B" w:rsidRPr="00EF353F" w:rsidRDefault="0048147B" w:rsidP="0048147B">
      <w:pPr>
        <w:pStyle w:val="FootnoteText"/>
        <w:rPr>
          <w:rFonts w:ascii="Arial" w:hAnsi="Arial"/>
          <w:szCs w:val="22"/>
        </w:rPr>
      </w:pPr>
      <w:r w:rsidRPr="00687C9E">
        <w:rPr>
          <w:rStyle w:val="FootnoteReference"/>
          <w:rFonts w:ascii="Arial" w:hAnsi="Arial"/>
          <w:szCs w:val="22"/>
        </w:rPr>
        <w:footnoteRef/>
      </w:r>
      <w:r w:rsidRPr="00687C9E">
        <w:rPr>
          <w:rFonts w:ascii="Arial" w:hAnsi="Arial"/>
          <w:szCs w:val="22"/>
        </w:rPr>
        <w:t xml:space="preserve"> </w:t>
      </w:r>
      <w:r w:rsidRPr="00687C9E">
        <w:rPr>
          <w:rFonts w:ascii="Arial" w:hAnsi="Arial"/>
          <w:i/>
          <w:iCs/>
          <w:szCs w:val="22"/>
        </w:rPr>
        <w:t xml:space="preserve">Discrimination Act 1991 </w:t>
      </w:r>
      <w:r w:rsidRPr="00687C9E">
        <w:rPr>
          <w:rFonts w:ascii="Arial" w:hAnsi="Arial"/>
          <w:szCs w:val="22"/>
        </w:rPr>
        <w:t xml:space="preserve">(ACT) ss 32(1)(e) (as amended by </w:t>
      </w:r>
      <w:r w:rsidRPr="00687C9E">
        <w:rPr>
          <w:rFonts w:ascii="Arial" w:hAnsi="Arial"/>
          <w:i/>
          <w:iCs/>
          <w:szCs w:val="22"/>
        </w:rPr>
        <w:t xml:space="preserve">Discrimination Amendment Act 2023 </w:t>
      </w:r>
      <w:r w:rsidRPr="0095714C">
        <w:rPr>
          <w:rFonts w:ascii="Arial" w:hAnsi="Arial"/>
          <w:szCs w:val="22"/>
        </w:rPr>
        <w:t>(ACT), 44, 46. Sections 44 and 46 provide separate exceptions in relation to work or employment in educational institutions, hospitals, or other places in which health services are provided</w:t>
      </w:r>
      <w:r w:rsidRPr="0006076F">
        <w:rPr>
          <w:rFonts w:ascii="Arial" w:hAnsi="Arial"/>
          <w:szCs w:val="22"/>
        </w:rPr>
        <w:t xml:space="preserve">. </w:t>
      </w:r>
    </w:p>
  </w:footnote>
  <w:footnote w:id="16">
    <w:p w14:paraId="35741696" w14:textId="77777777" w:rsidR="0048147B" w:rsidRPr="00687C9E" w:rsidRDefault="0048147B" w:rsidP="0048147B">
      <w:pPr>
        <w:pStyle w:val="FootnoteText"/>
        <w:rPr>
          <w:rFonts w:ascii="Arial" w:hAnsi="Arial"/>
          <w:szCs w:val="22"/>
        </w:rPr>
      </w:pPr>
      <w:r w:rsidRPr="00687C9E">
        <w:rPr>
          <w:rStyle w:val="FootnoteReference"/>
          <w:rFonts w:ascii="Arial" w:hAnsi="Arial"/>
          <w:szCs w:val="22"/>
        </w:rPr>
        <w:footnoteRef/>
      </w:r>
      <w:r w:rsidRPr="00687C9E">
        <w:rPr>
          <w:rFonts w:ascii="Arial" w:hAnsi="Arial"/>
          <w:szCs w:val="22"/>
        </w:rPr>
        <w:t xml:space="preserve"> </w:t>
      </w:r>
      <w:r w:rsidRPr="00687C9E">
        <w:rPr>
          <w:rFonts w:ascii="Arial" w:hAnsi="Arial"/>
          <w:i/>
          <w:iCs/>
          <w:szCs w:val="22"/>
        </w:rPr>
        <w:t xml:space="preserve">Anti-Discrimination Act 1998 </w:t>
      </w:r>
      <w:r w:rsidRPr="00687C9E">
        <w:rPr>
          <w:rFonts w:ascii="Arial" w:hAnsi="Arial"/>
          <w:szCs w:val="22"/>
        </w:rPr>
        <w:t>(Tas) ss 51, 52(d).</w:t>
      </w:r>
    </w:p>
  </w:footnote>
  <w:footnote w:id="17">
    <w:p w14:paraId="4193478B" w14:textId="77777777" w:rsidR="0048147B" w:rsidRPr="00687C9E" w:rsidRDefault="0048147B" w:rsidP="0048147B">
      <w:pPr>
        <w:pStyle w:val="FootnoteText"/>
        <w:rPr>
          <w:rFonts w:ascii="Arial" w:hAnsi="Arial"/>
          <w:szCs w:val="22"/>
        </w:rPr>
      </w:pPr>
      <w:r w:rsidRPr="00687C9E">
        <w:rPr>
          <w:rStyle w:val="FootnoteReference"/>
          <w:rFonts w:ascii="Arial" w:hAnsi="Arial"/>
          <w:szCs w:val="22"/>
        </w:rPr>
        <w:footnoteRef/>
      </w:r>
      <w:r w:rsidRPr="00687C9E">
        <w:rPr>
          <w:rFonts w:ascii="Arial" w:hAnsi="Arial"/>
          <w:szCs w:val="22"/>
        </w:rPr>
        <w:t xml:space="preserve"> </w:t>
      </w:r>
      <w:r w:rsidRPr="00687C9E">
        <w:rPr>
          <w:rFonts w:ascii="Arial" w:hAnsi="Arial"/>
          <w:i/>
          <w:iCs/>
          <w:szCs w:val="22"/>
        </w:rPr>
        <w:t xml:space="preserve">Equal Opportunity Act 2010 </w:t>
      </w:r>
      <w:r w:rsidRPr="00687C9E">
        <w:rPr>
          <w:rFonts w:ascii="Arial" w:hAnsi="Arial"/>
          <w:szCs w:val="22"/>
        </w:rPr>
        <w:t>(Vic) ss 82A, 83A.</w:t>
      </w:r>
    </w:p>
  </w:footnote>
  <w:footnote w:id="18">
    <w:p w14:paraId="4A2C6B2C" w14:textId="77777777" w:rsidR="0048147B" w:rsidRPr="0095714C" w:rsidRDefault="0048147B" w:rsidP="0048147B">
      <w:pPr>
        <w:spacing w:after="0"/>
        <w:jc w:val="both"/>
        <w:rPr>
          <w:rFonts w:ascii="Arial" w:hAnsi="Arial" w:cs="Arial"/>
          <w:color w:val="auto"/>
          <w:szCs w:val="22"/>
        </w:rPr>
      </w:pPr>
      <w:r w:rsidRPr="00687C9E">
        <w:rPr>
          <w:rStyle w:val="FootnoteReference"/>
          <w:rFonts w:cs="Arial"/>
          <w:color w:val="auto"/>
          <w:szCs w:val="22"/>
        </w:rPr>
        <w:footnoteRef/>
      </w:r>
      <w:r w:rsidRPr="00687C9E">
        <w:rPr>
          <w:rFonts w:cs="Arial"/>
          <w:color w:val="auto"/>
          <w:szCs w:val="22"/>
        </w:rPr>
        <w:t xml:space="preserve"> Australian Law Reform Commission, </w:t>
      </w:r>
      <w:r w:rsidRPr="00687C9E">
        <w:rPr>
          <w:rFonts w:cs="Arial"/>
          <w:i/>
          <w:iCs/>
          <w:color w:val="auto"/>
          <w:szCs w:val="22"/>
        </w:rPr>
        <w:t xml:space="preserve">Consultation Paper: Religious Educational Institutions and </w:t>
      </w:r>
      <w:r w:rsidRPr="0095714C">
        <w:rPr>
          <w:rFonts w:cs="Arial"/>
          <w:i/>
          <w:iCs/>
          <w:color w:val="auto"/>
          <w:szCs w:val="22"/>
        </w:rPr>
        <w:t>Anti-Discrimination Laws</w:t>
      </w:r>
      <w:r w:rsidRPr="0095714C">
        <w:rPr>
          <w:rFonts w:cs="Arial"/>
          <w:color w:val="auto"/>
          <w:szCs w:val="22"/>
        </w:rPr>
        <w:t xml:space="preserve"> (January 2023) Technical Consultation Proposals 8 and 9. </w:t>
      </w:r>
    </w:p>
  </w:footnote>
  <w:footnote w:id="19">
    <w:p w14:paraId="2518625C" w14:textId="77777777" w:rsidR="0048147B" w:rsidRPr="00E769B3" w:rsidRDefault="0048147B" w:rsidP="0048147B">
      <w:pPr>
        <w:pStyle w:val="FootnoteText"/>
        <w:rPr>
          <w:rFonts w:ascii="Arial" w:hAnsi="Arial" w:cs="Arial"/>
          <w:sz w:val="20"/>
        </w:rPr>
      </w:pPr>
      <w:r w:rsidRPr="00687C9E">
        <w:rPr>
          <w:rStyle w:val="FootnoteReference"/>
          <w:rFonts w:ascii="Arial" w:hAnsi="Arial"/>
          <w:szCs w:val="22"/>
        </w:rPr>
        <w:footnoteRef/>
      </w:r>
      <w:r w:rsidRPr="00687C9E">
        <w:rPr>
          <w:rFonts w:ascii="Arial" w:hAnsi="Arial"/>
          <w:szCs w:val="22"/>
        </w:rPr>
        <w:t xml:space="preserve"> </w:t>
      </w:r>
      <w:r w:rsidRPr="00687C9E">
        <w:rPr>
          <w:rFonts w:ascii="Arial" w:hAnsi="Arial"/>
          <w:i/>
          <w:iCs/>
          <w:szCs w:val="22"/>
        </w:rPr>
        <w:t xml:space="preserve">Anti-Discrimination Amendment Act 2022 </w:t>
      </w:r>
      <w:r w:rsidRPr="00687C9E">
        <w:rPr>
          <w:rFonts w:ascii="Arial" w:hAnsi="Arial"/>
          <w:szCs w:val="22"/>
        </w:rPr>
        <w:t xml:space="preserve">(NT) s 17. The </w:t>
      </w:r>
      <w:r w:rsidRPr="00687C9E">
        <w:rPr>
          <w:rFonts w:ascii="Arial" w:hAnsi="Arial"/>
          <w:i/>
          <w:iCs/>
          <w:szCs w:val="22"/>
        </w:rPr>
        <w:t xml:space="preserve">Anti-Discrimination Act 1992 </w:t>
      </w:r>
      <w:r w:rsidRPr="00687C9E">
        <w:rPr>
          <w:rFonts w:ascii="Arial" w:hAnsi="Arial"/>
          <w:szCs w:val="22"/>
        </w:rPr>
        <w:t>(NT) now only provides for a general genuine occupational qualification test (s 35), whi</w:t>
      </w:r>
      <w:r w:rsidRPr="0095714C">
        <w:rPr>
          <w:rFonts w:ascii="Arial" w:hAnsi="Arial"/>
          <w:szCs w:val="22"/>
        </w:rPr>
        <w:t>ch permits discriminatio</w:t>
      </w:r>
      <w:r w:rsidRPr="0006076F">
        <w:rPr>
          <w:rFonts w:ascii="Arial" w:hAnsi="Arial"/>
          <w:szCs w:val="22"/>
        </w:rPr>
        <w:t>n based on a genuine occupational qualif</w:t>
      </w:r>
      <w:r w:rsidRPr="00EF353F">
        <w:rPr>
          <w:rFonts w:ascii="Arial" w:hAnsi="Arial"/>
          <w:szCs w:val="22"/>
        </w:rPr>
        <w:t>ication which the other person is required to</w:t>
      </w:r>
      <w:r w:rsidRPr="00E769B3">
        <w:rPr>
          <w:rFonts w:ascii="Arial" w:hAnsi="Arial"/>
          <w:szCs w:val="22"/>
        </w:rPr>
        <w:t xml:space="preserve"> fill.</w:t>
      </w:r>
      <w:r w:rsidRPr="00E769B3">
        <w:rPr>
          <w:rFonts w:ascii="Arial" w:hAnsi="Arial"/>
          <w:sz w:val="20"/>
        </w:rPr>
        <w:t xml:space="preserve"> </w:t>
      </w:r>
    </w:p>
  </w:footnote>
  <w:footnote w:id="20">
    <w:p w14:paraId="468867E6" w14:textId="77777777" w:rsidR="001273ED" w:rsidRPr="00E769B3" w:rsidRDefault="001273ED" w:rsidP="001273ED">
      <w:pPr>
        <w:pStyle w:val="FootnoteText"/>
        <w:rPr>
          <w:rFonts w:ascii="Arial" w:hAnsi="Arial"/>
          <w:szCs w:val="22"/>
        </w:rPr>
      </w:pPr>
      <w:r w:rsidRPr="00E769B3">
        <w:rPr>
          <w:rStyle w:val="FootnoteReference"/>
          <w:rFonts w:ascii="Arial" w:hAnsi="Arial"/>
          <w:szCs w:val="22"/>
        </w:rPr>
        <w:footnoteRef/>
      </w:r>
      <w:r w:rsidRPr="00E769B3">
        <w:rPr>
          <w:rFonts w:ascii="Arial" w:hAnsi="Arial"/>
          <w:szCs w:val="22"/>
        </w:rPr>
        <w:t xml:space="preserve"> </w:t>
      </w:r>
      <w:r w:rsidRPr="00E769B3">
        <w:rPr>
          <w:rFonts w:ascii="Arial" w:hAnsi="Arial"/>
          <w:i/>
          <w:iCs/>
          <w:szCs w:val="22"/>
        </w:rPr>
        <w:t xml:space="preserve">Births, Deaths and Marriages Registration Act 2023 </w:t>
      </w:r>
      <w:r w:rsidRPr="00E769B3">
        <w:rPr>
          <w:rFonts w:ascii="Arial" w:hAnsi="Arial"/>
          <w:szCs w:val="22"/>
        </w:rPr>
        <w:t xml:space="preserve">(Qld) s. 47. </w:t>
      </w:r>
    </w:p>
  </w:footnote>
  <w:footnote w:id="21">
    <w:p w14:paraId="4E1B34EB" w14:textId="572C1C26" w:rsidR="00CC6067" w:rsidRPr="00E769B3" w:rsidRDefault="00CC6067">
      <w:pPr>
        <w:pStyle w:val="FootnoteText"/>
        <w:rPr>
          <w:szCs w:val="22"/>
        </w:rPr>
      </w:pPr>
      <w:r w:rsidRPr="00E769B3">
        <w:rPr>
          <w:rStyle w:val="FootnoteReference"/>
          <w:szCs w:val="22"/>
        </w:rPr>
        <w:footnoteRef/>
      </w:r>
      <w:r w:rsidRPr="00E769B3">
        <w:rPr>
          <w:szCs w:val="22"/>
        </w:rPr>
        <w:t xml:space="preserve"> </w:t>
      </w:r>
      <w:r w:rsidRPr="00E769B3">
        <w:rPr>
          <w:i/>
          <w:iCs/>
          <w:szCs w:val="22"/>
        </w:rPr>
        <w:t xml:space="preserve">Discrimination Amendment Act 2023 </w:t>
      </w:r>
      <w:r w:rsidRPr="00E769B3">
        <w:rPr>
          <w:szCs w:val="22"/>
        </w:rPr>
        <w:t xml:space="preserve">(ACT) s 9, inserting new s 31 of the </w:t>
      </w:r>
      <w:r w:rsidRPr="00E769B3">
        <w:rPr>
          <w:i/>
          <w:iCs/>
          <w:szCs w:val="22"/>
        </w:rPr>
        <w:t xml:space="preserve">Discrimination Act 1991 </w:t>
      </w:r>
      <w:r w:rsidRPr="00E769B3">
        <w:rPr>
          <w:szCs w:val="22"/>
        </w:rPr>
        <w:t xml:space="preserve">(ACT). </w:t>
      </w:r>
    </w:p>
  </w:footnote>
  <w:footnote w:id="22">
    <w:p w14:paraId="1B25E450" w14:textId="1888DB7B" w:rsidR="00753E0E" w:rsidRPr="00753E0E" w:rsidRDefault="00753E0E">
      <w:pPr>
        <w:pStyle w:val="FootnoteText"/>
      </w:pPr>
      <w:r w:rsidRPr="00E769B3">
        <w:rPr>
          <w:rStyle w:val="FootnoteReference"/>
          <w:szCs w:val="22"/>
        </w:rPr>
        <w:footnoteRef/>
      </w:r>
      <w:r w:rsidRPr="00E769B3">
        <w:rPr>
          <w:szCs w:val="22"/>
        </w:rPr>
        <w:t xml:space="preserve"> Ibid s 14, repealing s 40 of the </w:t>
      </w:r>
      <w:r w:rsidRPr="00E769B3">
        <w:rPr>
          <w:i/>
          <w:iCs/>
          <w:szCs w:val="22"/>
        </w:rPr>
        <w:t xml:space="preserve">Discrimination Act 1991 </w:t>
      </w:r>
      <w:r w:rsidRPr="00E769B3">
        <w:rPr>
          <w:szCs w:val="22"/>
        </w:rPr>
        <w:t>(ACT).</w:t>
      </w:r>
      <w:r>
        <w:t xml:space="preserve"> </w:t>
      </w:r>
    </w:p>
  </w:footnote>
  <w:footnote w:id="23">
    <w:p w14:paraId="4EE93DBC" w14:textId="332E527F" w:rsidR="00795B2F" w:rsidRPr="00E769B3" w:rsidRDefault="00795B2F">
      <w:pPr>
        <w:pStyle w:val="FootnoteText"/>
        <w:rPr>
          <w:szCs w:val="22"/>
        </w:rPr>
      </w:pPr>
      <w:r w:rsidRPr="00E769B3">
        <w:rPr>
          <w:rStyle w:val="FootnoteReference"/>
          <w:szCs w:val="22"/>
        </w:rPr>
        <w:footnoteRef/>
      </w:r>
      <w:r w:rsidRPr="00E769B3">
        <w:rPr>
          <w:szCs w:val="22"/>
        </w:rPr>
        <w:t xml:space="preserve"> See </w:t>
      </w:r>
      <w:r w:rsidRPr="00E769B3">
        <w:rPr>
          <w:i/>
          <w:iCs/>
          <w:szCs w:val="22"/>
        </w:rPr>
        <w:t xml:space="preserve">Anti-Discrimination Act 1991 </w:t>
      </w:r>
      <w:r w:rsidRPr="00E769B3">
        <w:rPr>
          <w:szCs w:val="22"/>
        </w:rPr>
        <w:t xml:space="preserve">(Qld) ss 60-63, 74-75; </w:t>
      </w:r>
      <w:r w:rsidRPr="00E769B3">
        <w:rPr>
          <w:i/>
          <w:iCs/>
          <w:szCs w:val="22"/>
        </w:rPr>
        <w:t xml:space="preserve">Age Discrimination Act 2004 </w:t>
      </w:r>
      <w:r w:rsidRPr="00E769B3">
        <w:rPr>
          <w:szCs w:val="22"/>
        </w:rPr>
        <w:t xml:space="preserve">(Cth) s 37; </w:t>
      </w:r>
      <w:r w:rsidRPr="00E769B3">
        <w:rPr>
          <w:i/>
          <w:iCs/>
          <w:szCs w:val="22"/>
        </w:rPr>
        <w:t xml:space="preserve">Disability Discrimination Act 1992 </w:t>
      </w:r>
      <w:r w:rsidRPr="00E769B3">
        <w:rPr>
          <w:szCs w:val="22"/>
        </w:rPr>
        <w:t xml:space="preserve">(Cth) s 46. </w:t>
      </w:r>
    </w:p>
  </w:footnote>
  <w:footnote w:id="24">
    <w:p w14:paraId="1F2AC826" w14:textId="4DE550A3" w:rsidR="00743B6F" w:rsidRPr="00E769B3" w:rsidRDefault="00743B6F" w:rsidP="00743B6F">
      <w:pPr>
        <w:pStyle w:val="FootnoteText"/>
        <w:rPr>
          <w:sz w:val="20"/>
        </w:rPr>
      </w:pPr>
      <w:r w:rsidRPr="00E769B3">
        <w:rPr>
          <w:rStyle w:val="FootnoteReference"/>
          <w:szCs w:val="22"/>
        </w:rPr>
        <w:footnoteRef/>
      </w:r>
      <w:r w:rsidRPr="00E769B3">
        <w:rPr>
          <w:szCs w:val="22"/>
        </w:rPr>
        <w:t xml:space="preserve"> </w:t>
      </w:r>
      <w:r w:rsidRPr="00E769B3">
        <w:rPr>
          <w:i/>
          <w:iCs/>
          <w:szCs w:val="22"/>
        </w:rPr>
        <w:t xml:space="preserve">Discrimination Amendment </w:t>
      </w:r>
      <w:r w:rsidR="00795B2F" w:rsidRPr="00E769B3">
        <w:rPr>
          <w:i/>
          <w:iCs/>
          <w:szCs w:val="22"/>
        </w:rPr>
        <w:t xml:space="preserve">Act 2023 </w:t>
      </w:r>
      <w:r w:rsidR="00795B2F" w:rsidRPr="00E769B3">
        <w:rPr>
          <w:szCs w:val="22"/>
        </w:rPr>
        <w:t xml:space="preserve">(ACT) s 8, substituting new section 28(3) of the </w:t>
      </w:r>
      <w:r w:rsidR="00795B2F" w:rsidRPr="00E769B3">
        <w:rPr>
          <w:i/>
          <w:iCs/>
          <w:szCs w:val="22"/>
        </w:rPr>
        <w:t xml:space="preserve">Discrimination Act 1991 </w:t>
      </w:r>
      <w:r w:rsidR="00795B2F" w:rsidRPr="00E769B3">
        <w:rPr>
          <w:szCs w:val="22"/>
        </w:rPr>
        <w:t>(ACT).</w:t>
      </w:r>
      <w:r w:rsidR="00795B2F" w:rsidRPr="00E769B3">
        <w:rPr>
          <w:sz w:val="20"/>
        </w:rPr>
        <w:t xml:space="preserve"> </w:t>
      </w:r>
    </w:p>
  </w:footnote>
  <w:footnote w:id="25">
    <w:p w14:paraId="2C57B4ED" w14:textId="66F871A8" w:rsidR="008C2C99" w:rsidRPr="00E769B3" w:rsidRDefault="008C2C99">
      <w:pPr>
        <w:pStyle w:val="FootnoteText"/>
        <w:rPr>
          <w:szCs w:val="22"/>
        </w:rPr>
      </w:pPr>
      <w:r w:rsidRPr="00E769B3">
        <w:rPr>
          <w:rStyle w:val="FootnoteReference"/>
          <w:szCs w:val="22"/>
        </w:rPr>
        <w:footnoteRef/>
      </w:r>
      <w:r w:rsidRPr="00E769B3">
        <w:rPr>
          <w:szCs w:val="22"/>
        </w:rPr>
        <w:t xml:space="preserve"> </w:t>
      </w:r>
      <w:r w:rsidRPr="00E769B3">
        <w:rPr>
          <w:i/>
          <w:iCs/>
          <w:szCs w:val="22"/>
        </w:rPr>
        <w:t xml:space="preserve">Sex Discrimination Act 1984 </w:t>
      </w:r>
      <w:r w:rsidRPr="00E769B3">
        <w:rPr>
          <w:szCs w:val="22"/>
        </w:rPr>
        <w:t>(Cth) s 42.</w:t>
      </w:r>
    </w:p>
  </w:footnote>
  <w:footnote w:id="26">
    <w:p w14:paraId="60F4FD45" w14:textId="1D0AB8EA" w:rsidR="008C2C99" w:rsidRPr="00E769B3" w:rsidRDefault="008C2C99">
      <w:pPr>
        <w:pStyle w:val="FootnoteText"/>
        <w:rPr>
          <w:szCs w:val="22"/>
        </w:rPr>
      </w:pPr>
      <w:r w:rsidRPr="00E769B3">
        <w:rPr>
          <w:rStyle w:val="FootnoteReference"/>
          <w:szCs w:val="22"/>
        </w:rPr>
        <w:footnoteRef/>
      </w:r>
      <w:r w:rsidRPr="00E769B3">
        <w:rPr>
          <w:szCs w:val="22"/>
        </w:rPr>
        <w:t xml:space="preserve"> </w:t>
      </w:r>
      <w:r w:rsidR="00C06352" w:rsidRPr="00E769B3">
        <w:rPr>
          <w:szCs w:val="22"/>
        </w:rPr>
        <w:t xml:space="preserve">Law Reform Commission of Western Australia, </w:t>
      </w:r>
      <w:r w:rsidR="00C06352" w:rsidRPr="00E769B3">
        <w:rPr>
          <w:i/>
          <w:iCs/>
          <w:szCs w:val="22"/>
        </w:rPr>
        <w:t xml:space="preserve">Review of the Equal Opportunity Act 1984 </w:t>
      </w:r>
      <w:r w:rsidR="00C06352" w:rsidRPr="00E769B3">
        <w:rPr>
          <w:szCs w:val="22"/>
        </w:rPr>
        <w:t>(WA) (Project 111 Final Report, May 2022) Recommendation 95.</w:t>
      </w:r>
    </w:p>
  </w:footnote>
  <w:footnote w:id="27">
    <w:p w14:paraId="478DBF22" w14:textId="5D8B16B9" w:rsidR="00721411" w:rsidRPr="0002048F" w:rsidRDefault="00721411">
      <w:pPr>
        <w:pStyle w:val="FootnoteText"/>
        <w:rPr>
          <w:szCs w:val="22"/>
        </w:rPr>
      </w:pPr>
      <w:r w:rsidRPr="0002048F">
        <w:rPr>
          <w:rStyle w:val="FootnoteReference"/>
          <w:szCs w:val="22"/>
        </w:rPr>
        <w:footnoteRef/>
      </w:r>
      <w:r w:rsidRPr="0002048F">
        <w:rPr>
          <w:szCs w:val="22"/>
        </w:rPr>
        <w:t xml:space="preserve"> </w:t>
      </w:r>
      <w:r w:rsidR="00E50E36" w:rsidRPr="0002048F">
        <w:rPr>
          <w:szCs w:val="22"/>
        </w:rPr>
        <w:t xml:space="preserve">Parliament of Victoria, Legislative Assembly, Legal and Social Issues Committee, </w:t>
      </w:r>
      <w:r w:rsidR="00E50E36" w:rsidRPr="0002048F">
        <w:rPr>
          <w:i/>
          <w:iCs/>
          <w:szCs w:val="22"/>
        </w:rPr>
        <w:t>Inquiry into anti-vilification protections</w:t>
      </w:r>
      <w:r w:rsidR="00E50E36" w:rsidRPr="0002048F">
        <w:rPr>
          <w:szCs w:val="22"/>
        </w:rPr>
        <w:t>, March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0BF6D" w14:textId="3791CFF8" w:rsidR="00336461" w:rsidRDefault="00694FEB" w:rsidP="00DF24D6">
    <w:pPr>
      <w:pStyle w:val="Header"/>
    </w:pPr>
    <w:r>
      <w:rPr>
        <w:noProof/>
      </w:rPr>
      <w:drawing>
        <wp:anchor distT="0" distB="0" distL="114300" distR="114300" simplePos="0" relativeHeight="251653632" behindDoc="0" locked="0" layoutInCell="1" allowOverlap="1" wp14:anchorId="6C72045A" wp14:editId="62133D5B">
          <wp:simplePos x="0" y="0"/>
          <wp:positionH relativeFrom="column">
            <wp:posOffset>-719455</wp:posOffset>
          </wp:positionH>
          <wp:positionV relativeFrom="paragraph">
            <wp:posOffset>-445973</wp:posOffset>
          </wp:positionV>
          <wp:extent cx="7560000" cy="660461"/>
          <wp:effectExtent l="0" t="0" r="0" b="0"/>
          <wp:wrapNone/>
          <wp:docPr id="162387824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878242"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660461"/>
                  </a:xfrm>
                  <a:prstGeom prst="rect">
                    <a:avLst/>
                  </a:prstGeom>
                </pic:spPr>
              </pic:pic>
            </a:graphicData>
          </a:graphic>
          <wp14:sizeRelH relativeFrom="page">
            <wp14:pctWidth>0</wp14:pctWidth>
          </wp14:sizeRelH>
          <wp14:sizeRelV relativeFrom="page">
            <wp14:pctHeight>0</wp14:pctHeight>
          </wp14:sizeRelV>
        </wp:anchor>
      </w:drawing>
    </w:r>
  </w:p>
  <w:p w14:paraId="50AEBD1C" w14:textId="77777777" w:rsidR="00336461" w:rsidRDefault="003364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20A9" w14:textId="77777777" w:rsidR="00980262" w:rsidRDefault="00694FEB">
    <w:pPr>
      <w:pStyle w:val="Header"/>
    </w:pPr>
    <w:r>
      <w:rPr>
        <w:noProof/>
      </w:rPr>
      <w:drawing>
        <wp:anchor distT="0" distB="0" distL="114300" distR="114300" simplePos="0" relativeHeight="251647488" behindDoc="1" locked="0" layoutInCell="1" allowOverlap="1" wp14:anchorId="1F9A72A8" wp14:editId="1B066B9F">
          <wp:simplePos x="0" y="0"/>
          <wp:positionH relativeFrom="column">
            <wp:posOffset>-720090</wp:posOffset>
          </wp:positionH>
          <wp:positionV relativeFrom="paragraph">
            <wp:posOffset>-445982</wp:posOffset>
          </wp:positionV>
          <wp:extent cx="7560000" cy="1727999"/>
          <wp:effectExtent l="0" t="0" r="0" b="0"/>
          <wp:wrapNone/>
          <wp:docPr id="186450615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506157"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727999"/>
                  </a:xfrm>
                  <a:prstGeom prst="rect">
                    <a:avLst/>
                  </a:prstGeom>
                </pic:spPr>
              </pic:pic>
            </a:graphicData>
          </a:graphic>
          <wp14:sizeRelH relativeFrom="page">
            <wp14:pctWidth>0</wp14:pctWidth>
          </wp14:sizeRelH>
          <wp14:sizeRelV relativeFrom="page">
            <wp14:pctHeight>0</wp14:pctHeight>
          </wp14:sizeRelV>
        </wp:anchor>
      </w:drawing>
    </w:r>
    <w:r w:rsidR="00980262">
      <w:rPr>
        <w:noProof/>
      </w:rPr>
      <w:drawing>
        <wp:anchor distT="0" distB="0" distL="114300" distR="114300" simplePos="0" relativeHeight="251650560" behindDoc="0" locked="0" layoutInCell="1" allowOverlap="1" wp14:anchorId="7C0EA934" wp14:editId="2093D305">
          <wp:simplePos x="0" y="0"/>
          <wp:positionH relativeFrom="column">
            <wp:posOffset>4280535</wp:posOffset>
          </wp:positionH>
          <wp:positionV relativeFrom="paragraph">
            <wp:posOffset>-216610</wp:posOffset>
          </wp:positionV>
          <wp:extent cx="1917700" cy="482600"/>
          <wp:effectExtent l="0" t="0" r="0" b="0"/>
          <wp:wrapNone/>
          <wp:docPr id="745900646" name="Picture 7459006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900646" name="Picture 745900646">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917700" cy="482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63C8"/>
    <w:multiLevelType w:val="hybridMultilevel"/>
    <w:tmpl w:val="5A0A98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1B4E91"/>
    <w:multiLevelType w:val="hybridMultilevel"/>
    <w:tmpl w:val="BD18D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1F1D05"/>
    <w:multiLevelType w:val="hybridMultilevel"/>
    <w:tmpl w:val="DB04A03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0A968A3"/>
    <w:multiLevelType w:val="hybridMultilevel"/>
    <w:tmpl w:val="8744D3F0"/>
    <w:lvl w:ilvl="0" w:tplc="2EDE71CE">
      <w:numFmt w:val="bullet"/>
      <w:pStyle w:val="Bulletpointbody"/>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66A8B"/>
    <w:multiLevelType w:val="hybridMultilevel"/>
    <w:tmpl w:val="71FE9BA2"/>
    <w:lvl w:ilvl="0" w:tplc="0C090017">
      <w:start w:val="1"/>
      <w:numFmt w:val="lowerLetter"/>
      <w:lvlText w:val="%1)"/>
      <w:lvlJc w:val="left"/>
      <w:pPr>
        <w:ind w:left="720" w:hanging="360"/>
      </w:pPr>
      <w:rPr>
        <w:rFonts w:hint="default"/>
        <w:b w:val="0"/>
        <w:i w:val="0"/>
        <w:iCs w:val="0"/>
      </w:rPr>
    </w:lvl>
    <w:lvl w:ilvl="1" w:tplc="FFFFFFFF">
      <w:start w:val="1"/>
      <w:numFmt w:val="bullet"/>
      <w:lvlText w:val=""/>
      <w:lvlJc w:val="left"/>
      <w:pPr>
        <w:ind w:left="-829" w:hanging="360"/>
      </w:pPr>
      <w:rPr>
        <w:rFonts w:ascii="Symbol" w:hAnsi="Symbol" w:hint="default"/>
      </w:rPr>
    </w:lvl>
    <w:lvl w:ilvl="2" w:tplc="FFFFFFFF">
      <w:start w:val="1"/>
      <w:numFmt w:val="lowerRoman"/>
      <w:lvlText w:val="%3."/>
      <w:lvlJc w:val="right"/>
      <w:pPr>
        <w:ind w:left="-109" w:hanging="180"/>
      </w:pPr>
      <w:rPr>
        <w:b w:val="0"/>
        <w:bCs w:val="0"/>
      </w:rPr>
    </w:lvl>
    <w:lvl w:ilvl="3" w:tplc="FFFFFFFF">
      <w:start w:val="1"/>
      <w:numFmt w:val="decimal"/>
      <w:lvlText w:val="%4."/>
      <w:lvlJc w:val="left"/>
      <w:pPr>
        <w:ind w:left="611" w:hanging="360"/>
      </w:pPr>
    </w:lvl>
    <w:lvl w:ilvl="4" w:tplc="FFFFFFFF" w:tentative="1">
      <w:start w:val="1"/>
      <w:numFmt w:val="lowerLetter"/>
      <w:lvlText w:val="%5."/>
      <w:lvlJc w:val="left"/>
      <w:pPr>
        <w:ind w:left="1331" w:hanging="360"/>
      </w:pPr>
    </w:lvl>
    <w:lvl w:ilvl="5" w:tplc="FFFFFFFF" w:tentative="1">
      <w:start w:val="1"/>
      <w:numFmt w:val="lowerRoman"/>
      <w:lvlText w:val="%6."/>
      <w:lvlJc w:val="right"/>
      <w:pPr>
        <w:ind w:left="2051" w:hanging="180"/>
      </w:pPr>
    </w:lvl>
    <w:lvl w:ilvl="6" w:tplc="FFFFFFFF" w:tentative="1">
      <w:start w:val="1"/>
      <w:numFmt w:val="decimal"/>
      <w:lvlText w:val="%7."/>
      <w:lvlJc w:val="left"/>
      <w:pPr>
        <w:ind w:left="2771" w:hanging="360"/>
      </w:pPr>
    </w:lvl>
    <w:lvl w:ilvl="7" w:tplc="FFFFFFFF" w:tentative="1">
      <w:start w:val="1"/>
      <w:numFmt w:val="lowerLetter"/>
      <w:lvlText w:val="%8."/>
      <w:lvlJc w:val="left"/>
      <w:pPr>
        <w:ind w:left="3491" w:hanging="360"/>
      </w:pPr>
    </w:lvl>
    <w:lvl w:ilvl="8" w:tplc="FFFFFFFF" w:tentative="1">
      <w:start w:val="1"/>
      <w:numFmt w:val="lowerRoman"/>
      <w:lvlText w:val="%9."/>
      <w:lvlJc w:val="right"/>
      <w:pPr>
        <w:ind w:left="4211" w:hanging="180"/>
      </w:pPr>
    </w:lvl>
  </w:abstractNum>
  <w:abstractNum w:abstractNumId="5" w15:restartNumberingAfterBreak="0">
    <w:nsid w:val="13B965C7"/>
    <w:multiLevelType w:val="hybridMultilevel"/>
    <w:tmpl w:val="79C29FC4"/>
    <w:lvl w:ilvl="0" w:tplc="A2E6FFDE">
      <w:start w:val="1"/>
      <w:numFmt w:val="lowerLetter"/>
      <w:lvlText w:val="%1)"/>
      <w:lvlJc w:val="left"/>
      <w:pPr>
        <w:ind w:left="7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4E675DD"/>
    <w:multiLevelType w:val="hybridMultilevel"/>
    <w:tmpl w:val="CA9EC34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7" w15:restartNumberingAfterBreak="0">
    <w:nsid w:val="15E402DC"/>
    <w:multiLevelType w:val="hybridMultilevel"/>
    <w:tmpl w:val="DA2C55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0E533C"/>
    <w:multiLevelType w:val="hybridMultilevel"/>
    <w:tmpl w:val="B3C074D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1DBC5FEE"/>
    <w:multiLevelType w:val="hybridMultilevel"/>
    <w:tmpl w:val="E0940CF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1EC94A8A"/>
    <w:multiLevelType w:val="hybridMultilevel"/>
    <w:tmpl w:val="88B4C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FB5872"/>
    <w:multiLevelType w:val="hybridMultilevel"/>
    <w:tmpl w:val="C77A0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2135AC"/>
    <w:multiLevelType w:val="hybridMultilevel"/>
    <w:tmpl w:val="860AAB92"/>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3" w15:restartNumberingAfterBreak="0">
    <w:nsid w:val="2838144F"/>
    <w:multiLevelType w:val="hybridMultilevel"/>
    <w:tmpl w:val="94063B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EA47C5"/>
    <w:multiLevelType w:val="hybridMultilevel"/>
    <w:tmpl w:val="09B22F4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2EA061CC"/>
    <w:multiLevelType w:val="hybridMultilevel"/>
    <w:tmpl w:val="15BC2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285BFB"/>
    <w:multiLevelType w:val="hybridMultilevel"/>
    <w:tmpl w:val="F5EABC40"/>
    <w:lvl w:ilvl="0" w:tplc="F6CCAB66">
      <w:start w:val="1"/>
      <w:numFmt w:val="lowerLetter"/>
      <w:lvlText w:val="%1)"/>
      <w:lvlJc w:val="left"/>
      <w:pPr>
        <w:ind w:left="7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3672E49"/>
    <w:multiLevelType w:val="hybridMultilevel"/>
    <w:tmpl w:val="B358A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4416C2"/>
    <w:multiLevelType w:val="hybridMultilevel"/>
    <w:tmpl w:val="666EF878"/>
    <w:lvl w:ilvl="0" w:tplc="0C090001">
      <w:start w:val="1"/>
      <w:numFmt w:val="bullet"/>
      <w:lvlText w:val=""/>
      <w:lvlJc w:val="left"/>
      <w:pPr>
        <w:ind w:left="3196"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8C655B"/>
    <w:multiLevelType w:val="hybridMultilevel"/>
    <w:tmpl w:val="8BFE2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A445A9"/>
    <w:multiLevelType w:val="hybridMultilevel"/>
    <w:tmpl w:val="B9546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065EDB"/>
    <w:multiLevelType w:val="hybridMultilevel"/>
    <w:tmpl w:val="4062681E"/>
    <w:lvl w:ilvl="0" w:tplc="4D1219FC">
      <w:start w:val="2"/>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117902"/>
    <w:multiLevelType w:val="hybridMultilevel"/>
    <w:tmpl w:val="1FD69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1353AD"/>
    <w:multiLevelType w:val="hybridMultilevel"/>
    <w:tmpl w:val="55D67956"/>
    <w:lvl w:ilvl="0" w:tplc="0C090001">
      <w:start w:val="1"/>
      <w:numFmt w:val="bullet"/>
      <w:lvlText w:val=""/>
      <w:lvlJc w:val="left"/>
      <w:pPr>
        <w:ind w:left="360" w:hanging="360"/>
      </w:pPr>
      <w:rPr>
        <w:rFonts w:ascii="Symbol" w:hAnsi="Symbol" w:hint="default"/>
        <w:b w:val="0"/>
        <w:i w:val="0"/>
        <w:iCs w:val="0"/>
      </w:rPr>
    </w:lvl>
    <w:lvl w:ilvl="1" w:tplc="FFFFFFFF">
      <w:start w:val="1"/>
      <w:numFmt w:val="bullet"/>
      <w:lvlText w:val=""/>
      <w:lvlJc w:val="left"/>
      <w:pPr>
        <w:ind w:left="-1189" w:hanging="360"/>
      </w:pPr>
      <w:rPr>
        <w:rFonts w:ascii="Symbol" w:hAnsi="Symbol" w:hint="default"/>
      </w:rPr>
    </w:lvl>
    <w:lvl w:ilvl="2" w:tplc="FFFFFFFF">
      <w:start w:val="1"/>
      <w:numFmt w:val="lowerRoman"/>
      <w:lvlText w:val="%3."/>
      <w:lvlJc w:val="right"/>
      <w:pPr>
        <w:ind w:left="-469" w:hanging="180"/>
      </w:pPr>
      <w:rPr>
        <w:b w:val="0"/>
        <w:bCs w:val="0"/>
      </w:rPr>
    </w:lvl>
    <w:lvl w:ilvl="3" w:tplc="FFFFFFFF">
      <w:start w:val="1"/>
      <w:numFmt w:val="decimal"/>
      <w:lvlText w:val="%4."/>
      <w:lvlJc w:val="left"/>
      <w:pPr>
        <w:ind w:left="251" w:hanging="360"/>
      </w:pPr>
    </w:lvl>
    <w:lvl w:ilvl="4" w:tplc="FFFFFFFF" w:tentative="1">
      <w:start w:val="1"/>
      <w:numFmt w:val="lowerLetter"/>
      <w:lvlText w:val="%5."/>
      <w:lvlJc w:val="left"/>
      <w:pPr>
        <w:ind w:left="971" w:hanging="360"/>
      </w:pPr>
    </w:lvl>
    <w:lvl w:ilvl="5" w:tplc="FFFFFFFF" w:tentative="1">
      <w:start w:val="1"/>
      <w:numFmt w:val="lowerRoman"/>
      <w:lvlText w:val="%6."/>
      <w:lvlJc w:val="right"/>
      <w:pPr>
        <w:ind w:left="1691" w:hanging="180"/>
      </w:pPr>
    </w:lvl>
    <w:lvl w:ilvl="6" w:tplc="FFFFFFFF" w:tentative="1">
      <w:start w:val="1"/>
      <w:numFmt w:val="decimal"/>
      <w:lvlText w:val="%7."/>
      <w:lvlJc w:val="left"/>
      <w:pPr>
        <w:ind w:left="2411" w:hanging="360"/>
      </w:pPr>
    </w:lvl>
    <w:lvl w:ilvl="7" w:tplc="FFFFFFFF" w:tentative="1">
      <w:start w:val="1"/>
      <w:numFmt w:val="lowerLetter"/>
      <w:lvlText w:val="%8."/>
      <w:lvlJc w:val="left"/>
      <w:pPr>
        <w:ind w:left="3131" w:hanging="360"/>
      </w:pPr>
    </w:lvl>
    <w:lvl w:ilvl="8" w:tplc="FFFFFFFF" w:tentative="1">
      <w:start w:val="1"/>
      <w:numFmt w:val="lowerRoman"/>
      <w:lvlText w:val="%9."/>
      <w:lvlJc w:val="right"/>
      <w:pPr>
        <w:ind w:left="3851" w:hanging="180"/>
      </w:pPr>
    </w:lvl>
  </w:abstractNum>
  <w:abstractNum w:abstractNumId="24" w15:restartNumberingAfterBreak="0">
    <w:nsid w:val="45FB71D4"/>
    <w:multiLevelType w:val="hybridMultilevel"/>
    <w:tmpl w:val="93882FCA"/>
    <w:lvl w:ilvl="0" w:tplc="D5EC7582">
      <w:start w:val="1"/>
      <w:numFmt w:val="decimal"/>
      <w:pStyle w:val="Numberlist"/>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5" w15:restartNumberingAfterBreak="0">
    <w:nsid w:val="485811F0"/>
    <w:multiLevelType w:val="hybridMultilevel"/>
    <w:tmpl w:val="A1023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2F1FEC"/>
    <w:multiLevelType w:val="hybridMultilevel"/>
    <w:tmpl w:val="5AA4C844"/>
    <w:lvl w:ilvl="0" w:tplc="0C090017">
      <w:start w:val="1"/>
      <w:numFmt w:val="lowerLetter"/>
      <w:lvlText w:val="%1)"/>
      <w:lvlJc w:val="left"/>
      <w:pPr>
        <w:ind w:left="720" w:hanging="360"/>
      </w:pPr>
      <w:rPr>
        <w:rFonts w:hint="default"/>
        <w:b w:val="0"/>
        <w:i w:val="0"/>
        <w:iCs w:val="0"/>
      </w:rPr>
    </w:lvl>
    <w:lvl w:ilvl="1" w:tplc="FFFFFFFF">
      <w:start w:val="1"/>
      <w:numFmt w:val="lowerLetter"/>
      <w:lvlText w:val="%2)"/>
      <w:lvlJc w:val="left"/>
      <w:pPr>
        <w:ind w:left="-829" w:hanging="360"/>
      </w:pPr>
      <w:rPr>
        <w:rFonts w:hint="default"/>
      </w:rPr>
    </w:lvl>
    <w:lvl w:ilvl="2" w:tplc="FFFFFFFF">
      <w:start w:val="1"/>
      <w:numFmt w:val="lowerRoman"/>
      <w:lvlText w:val="%3."/>
      <w:lvlJc w:val="right"/>
      <w:pPr>
        <w:ind w:left="-109" w:hanging="180"/>
      </w:pPr>
      <w:rPr>
        <w:b w:val="0"/>
        <w:bCs w:val="0"/>
      </w:rPr>
    </w:lvl>
    <w:lvl w:ilvl="3" w:tplc="FFFFFFFF">
      <w:start w:val="1"/>
      <w:numFmt w:val="decimal"/>
      <w:lvlText w:val="%4."/>
      <w:lvlJc w:val="left"/>
      <w:pPr>
        <w:ind w:left="611" w:hanging="360"/>
      </w:pPr>
    </w:lvl>
    <w:lvl w:ilvl="4" w:tplc="FFFFFFFF" w:tentative="1">
      <w:start w:val="1"/>
      <w:numFmt w:val="lowerLetter"/>
      <w:lvlText w:val="%5."/>
      <w:lvlJc w:val="left"/>
      <w:pPr>
        <w:ind w:left="1331" w:hanging="360"/>
      </w:pPr>
    </w:lvl>
    <w:lvl w:ilvl="5" w:tplc="FFFFFFFF" w:tentative="1">
      <w:start w:val="1"/>
      <w:numFmt w:val="lowerRoman"/>
      <w:lvlText w:val="%6."/>
      <w:lvlJc w:val="right"/>
      <w:pPr>
        <w:ind w:left="2051" w:hanging="180"/>
      </w:pPr>
    </w:lvl>
    <w:lvl w:ilvl="6" w:tplc="FFFFFFFF" w:tentative="1">
      <w:start w:val="1"/>
      <w:numFmt w:val="decimal"/>
      <w:lvlText w:val="%7."/>
      <w:lvlJc w:val="left"/>
      <w:pPr>
        <w:ind w:left="2771" w:hanging="360"/>
      </w:pPr>
    </w:lvl>
    <w:lvl w:ilvl="7" w:tplc="FFFFFFFF" w:tentative="1">
      <w:start w:val="1"/>
      <w:numFmt w:val="lowerLetter"/>
      <w:lvlText w:val="%8."/>
      <w:lvlJc w:val="left"/>
      <w:pPr>
        <w:ind w:left="3491" w:hanging="360"/>
      </w:pPr>
    </w:lvl>
    <w:lvl w:ilvl="8" w:tplc="FFFFFFFF" w:tentative="1">
      <w:start w:val="1"/>
      <w:numFmt w:val="lowerRoman"/>
      <w:lvlText w:val="%9."/>
      <w:lvlJc w:val="right"/>
      <w:pPr>
        <w:ind w:left="4211" w:hanging="180"/>
      </w:pPr>
    </w:lvl>
  </w:abstractNum>
  <w:abstractNum w:abstractNumId="27" w15:restartNumberingAfterBreak="0">
    <w:nsid w:val="5B54695A"/>
    <w:multiLevelType w:val="hybridMultilevel"/>
    <w:tmpl w:val="E5BCF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7F1980"/>
    <w:multiLevelType w:val="hybridMultilevel"/>
    <w:tmpl w:val="EC040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887C06"/>
    <w:multiLevelType w:val="hybridMultilevel"/>
    <w:tmpl w:val="895AE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22557E"/>
    <w:multiLevelType w:val="hybridMultilevel"/>
    <w:tmpl w:val="0890F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853437"/>
    <w:multiLevelType w:val="hybridMultilevel"/>
    <w:tmpl w:val="CDE2F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F26F4D"/>
    <w:multiLevelType w:val="hybridMultilevel"/>
    <w:tmpl w:val="4A3C78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011424"/>
    <w:multiLevelType w:val="hybridMultilevel"/>
    <w:tmpl w:val="986A93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65028F"/>
    <w:multiLevelType w:val="hybridMultilevel"/>
    <w:tmpl w:val="37FAC78A"/>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0147A60"/>
    <w:multiLevelType w:val="hybridMultilevel"/>
    <w:tmpl w:val="EE46972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15:restartNumberingAfterBreak="0">
    <w:nsid w:val="716A2D73"/>
    <w:multiLevelType w:val="hybridMultilevel"/>
    <w:tmpl w:val="7C064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1C486D"/>
    <w:multiLevelType w:val="hybridMultilevel"/>
    <w:tmpl w:val="7A6C0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41587C"/>
    <w:multiLevelType w:val="hybridMultilevel"/>
    <w:tmpl w:val="E9284512"/>
    <w:lvl w:ilvl="0" w:tplc="0C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4E411A4"/>
    <w:multiLevelType w:val="hybridMultilevel"/>
    <w:tmpl w:val="CD62CE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FD65F3"/>
    <w:multiLevelType w:val="hybridMultilevel"/>
    <w:tmpl w:val="7A70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5BE4382"/>
    <w:multiLevelType w:val="hybridMultilevel"/>
    <w:tmpl w:val="31EC9092"/>
    <w:lvl w:ilvl="0" w:tplc="B46E9330">
      <w:start w:val="1"/>
      <w:numFmt w:val="decimal"/>
      <w:lvlText w:val="%1."/>
      <w:lvlJc w:val="left"/>
      <w:pPr>
        <w:tabs>
          <w:tab w:val="num" w:pos="360"/>
        </w:tabs>
        <w:ind w:left="360" w:hanging="360"/>
      </w:pPr>
      <w:rPr>
        <w:b w:val="0"/>
        <w:bCs w:val="0"/>
        <w:i w:val="0"/>
        <w:iCs w:val="0"/>
      </w:rPr>
    </w:lvl>
    <w:lvl w:ilvl="1" w:tplc="B7A0238C">
      <w:start w:val="1"/>
      <w:numFmt w:val="bullet"/>
      <w:lvlText w:val=""/>
      <w:lvlJc w:val="left"/>
      <w:pPr>
        <w:tabs>
          <w:tab w:val="num" w:pos="1174"/>
        </w:tabs>
        <w:ind w:left="1174" w:hanging="454"/>
      </w:pPr>
      <w:rPr>
        <w:rFonts w:ascii="Symbol" w:hAnsi="Symbol" w:hint="default"/>
        <w:color w:val="auto"/>
        <w:sz w:val="23"/>
      </w:r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42" w15:restartNumberingAfterBreak="0">
    <w:nsid w:val="76130F10"/>
    <w:multiLevelType w:val="hybridMultilevel"/>
    <w:tmpl w:val="0E6A43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7B955161"/>
    <w:multiLevelType w:val="hybridMultilevel"/>
    <w:tmpl w:val="F48E738C"/>
    <w:lvl w:ilvl="0" w:tplc="0C090017">
      <w:start w:val="1"/>
      <w:numFmt w:val="lowerLetter"/>
      <w:lvlText w:val="%1)"/>
      <w:lvlJc w:val="left"/>
      <w:pPr>
        <w:ind w:left="720" w:hanging="360"/>
      </w:pPr>
    </w:lvl>
    <w:lvl w:ilvl="1" w:tplc="FE00FB1A">
      <w:start w:val="1"/>
      <w:numFmt w:val="lowerRoman"/>
      <w:lvlText w:val="%2."/>
      <w:lvlJc w:val="right"/>
      <w:pPr>
        <w:ind w:left="1440" w:hanging="360"/>
      </w:pPr>
      <w:rPr>
        <w:b w:val="0"/>
        <w:bCs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23993243">
    <w:abstractNumId w:val="3"/>
  </w:num>
  <w:num w:numId="2" w16cid:durableId="431440708">
    <w:abstractNumId w:val="24"/>
  </w:num>
  <w:num w:numId="3" w16cid:durableId="399595515">
    <w:abstractNumId w:val="21"/>
  </w:num>
  <w:num w:numId="4" w16cid:durableId="1547377395">
    <w:abstractNumId w:val="18"/>
  </w:num>
  <w:num w:numId="5" w16cid:durableId="266499042">
    <w:abstractNumId w:val="34"/>
  </w:num>
  <w:num w:numId="6" w16cid:durableId="1821800363">
    <w:abstractNumId w:val="32"/>
  </w:num>
  <w:num w:numId="7" w16cid:durableId="447167069">
    <w:abstractNumId w:val="39"/>
  </w:num>
  <w:num w:numId="8" w16cid:durableId="1162163176">
    <w:abstractNumId w:val="40"/>
  </w:num>
  <w:num w:numId="9" w16cid:durableId="750196840">
    <w:abstractNumId w:val="20"/>
  </w:num>
  <w:num w:numId="10" w16cid:durableId="2012366982">
    <w:abstractNumId w:val="37"/>
  </w:num>
  <w:num w:numId="11" w16cid:durableId="490026068">
    <w:abstractNumId w:val="19"/>
  </w:num>
  <w:num w:numId="12" w16cid:durableId="711030635">
    <w:abstractNumId w:val="17"/>
  </w:num>
  <w:num w:numId="13" w16cid:durableId="403338829">
    <w:abstractNumId w:val="1"/>
  </w:num>
  <w:num w:numId="14" w16cid:durableId="698824358">
    <w:abstractNumId w:val="36"/>
  </w:num>
  <w:num w:numId="15" w16cid:durableId="565726367">
    <w:abstractNumId w:val="0"/>
  </w:num>
  <w:num w:numId="16" w16cid:durableId="429593690">
    <w:abstractNumId w:val="29"/>
  </w:num>
  <w:num w:numId="17" w16cid:durableId="573514975">
    <w:abstractNumId w:val="14"/>
  </w:num>
  <w:num w:numId="18" w16cid:durableId="1375933233">
    <w:abstractNumId w:val="33"/>
  </w:num>
  <w:num w:numId="19" w16cid:durableId="1458642606">
    <w:abstractNumId w:val="15"/>
  </w:num>
  <w:num w:numId="20" w16cid:durableId="1810049974">
    <w:abstractNumId w:val="23"/>
  </w:num>
  <w:num w:numId="21" w16cid:durableId="747776025">
    <w:abstractNumId w:val="35"/>
  </w:num>
  <w:num w:numId="22" w16cid:durableId="1209806793">
    <w:abstractNumId w:val="30"/>
  </w:num>
  <w:num w:numId="23" w16cid:durableId="1750928374">
    <w:abstractNumId w:val="2"/>
  </w:num>
  <w:num w:numId="24" w16cid:durableId="1440950616">
    <w:abstractNumId w:val="16"/>
  </w:num>
  <w:num w:numId="25" w16cid:durableId="1016348121">
    <w:abstractNumId w:val="5"/>
  </w:num>
  <w:num w:numId="26" w16cid:durableId="1773160483">
    <w:abstractNumId w:val="26"/>
  </w:num>
  <w:num w:numId="27" w16cid:durableId="796605108">
    <w:abstractNumId w:val="4"/>
  </w:num>
  <w:num w:numId="28" w16cid:durableId="1145975391">
    <w:abstractNumId w:val="10"/>
  </w:num>
  <w:num w:numId="29" w16cid:durableId="894390491">
    <w:abstractNumId w:val="7"/>
  </w:num>
  <w:num w:numId="30" w16cid:durableId="1413742988">
    <w:abstractNumId w:val="38"/>
  </w:num>
  <w:num w:numId="31" w16cid:durableId="1778481274">
    <w:abstractNumId w:val="31"/>
  </w:num>
  <w:num w:numId="32" w16cid:durableId="900484733">
    <w:abstractNumId w:val="22"/>
  </w:num>
  <w:num w:numId="33" w16cid:durableId="449278575">
    <w:abstractNumId w:val="28"/>
  </w:num>
  <w:num w:numId="34" w16cid:durableId="1585604078">
    <w:abstractNumId w:val="41"/>
  </w:num>
  <w:num w:numId="35" w16cid:durableId="1368918529">
    <w:abstractNumId w:val="43"/>
  </w:num>
  <w:num w:numId="36" w16cid:durableId="2042825201">
    <w:abstractNumId w:val="6"/>
  </w:num>
  <w:num w:numId="37" w16cid:durableId="708379231">
    <w:abstractNumId w:val="11"/>
  </w:num>
  <w:num w:numId="38" w16cid:durableId="317197473">
    <w:abstractNumId w:val="42"/>
  </w:num>
  <w:num w:numId="39" w16cid:durableId="1278372601">
    <w:abstractNumId w:val="8"/>
  </w:num>
  <w:num w:numId="40" w16cid:durableId="894925117">
    <w:abstractNumId w:val="27"/>
  </w:num>
  <w:num w:numId="41" w16cid:durableId="1643072821">
    <w:abstractNumId w:val="9"/>
  </w:num>
  <w:num w:numId="42" w16cid:durableId="751006555">
    <w:abstractNumId w:val="12"/>
  </w:num>
  <w:num w:numId="43" w16cid:durableId="2073385864">
    <w:abstractNumId w:val="13"/>
  </w:num>
  <w:num w:numId="44" w16cid:durableId="869799068">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removePersonalInformation/>
  <w:removeDateAndTime/>
  <w:proofState w:spelling="clean" w:grammar="clean"/>
  <w:documentProtection w:edit="readOnly" w:enforcement="1" w:cryptProviderType="rsaAES" w:cryptAlgorithmClass="hash" w:cryptAlgorithmType="typeAny" w:cryptAlgorithmSid="14" w:cryptSpinCount="100000" w:hash="tdieApGd0cuixTcnrg0BxzAwypPAGGQewoYgvIpxvjX6l0NQj0WsE+sHF0mP0gLBnuwxrDtBUyVHpvPhq8oCFg==" w:salt="k62sslLC7izMy9GIo7v0S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D16"/>
    <w:rsid w:val="00005F13"/>
    <w:rsid w:val="000144E6"/>
    <w:rsid w:val="0002048F"/>
    <w:rsid w:val="00051634"/>
    <w:rsid w:val="00054A4F"/>
    <w:rsid w:val="0006076F"/>
    <w:rsid w:val="00090A92"/>
    <w:rsid w:val="00092E86"/>
    <w:rsid w:val="000A5516"/>
    <w:rsid w:val="000B16A5"/>
    <w:rsid w:val="000C3CD5"/>
    <w:rsid w:val="000C59C2"/>
    <w:rsid w:val="000C7864"/>
    <w:rsid w:val="000E36F6"/>
    <w:rsid w:val="000F060E"/>
    <w:rsid w:val="000F179C"/>
    <w:rsid w:val="000F490C"/>
    <w:rsid w:val="000F7B2E"/>
    <w:rsid w:val="00112A79"/>
    <w:rsid w:val="001211E6"/>
    <w:rsid w:val="001273ED"/>
    <w:rsid w:val="001338C7"/>
    <w:rsid w:val="00135243"/>
    <w:rsid w:val="00184A9A"/>
    <w:rsid w:val="00197DB9"/>
    <w:rsid w:val="001B178A"/>
    <w:rsid w:val="001C6674"/>
    <w:rsid w:val="001C7DF8"/>
    <w:rsid w:val="001D001C"/>
    <w:rsid w:val="001D4C2E"/>
    <w:rsid w:val="001E238F"/>
    <w:rsid w:val="001E29F2"/>
    <w:rsid w:val="00200316"/>
    <w:rsid w:val="002018CE"/>
    <w:rsid w:val="00204E58"/>
    <w:rsid w:val="0022227E"/>
    <w:rsid w:val="00230FCB"/>
    <w:rsid w:val="002358DA"/>
    <w:rsid w:val="002426AD"/>
    <w:rsid w:val="00245208"/>
    <w:rsid w:val="00246BBF"/>
    <w:rsid w:val="00247D9F"/>
    <w:rsid w:val="00251BE6"/>
    <w:rsid w:val="00256CE3"/>
    <w:rsid w:val="00261ACC"/>
    <w:rsid w:val="00273748"/>
    <w:rsid w:val="00274197"/>
    <w:rsid w:val="00277400"/>
    <w:rsid w:val="0028192F"/>
    <w:rsid w:val="002912DB"/>
    <w:rsid w:val="002A48E0"/>
    <w:rsid w:val="002A7D60"/>
    <w:rsid w:val="002D0AC9"/>
    <w:rsid w:val="002D2B26"/>
    <w:rsid w:val="002D2C2B"/>
    <w:rsid w:val="002E0781"/>
    <w:rsid w:val="002E7F89"/>
    <w:rsid w:val="002F1822"/>
    <w:rsid w:val="002F2178"/>
    <w:rsid w:val="00302797"/>
    <w:rsid w:val="003115D0"/>
    <w:rsid w:val="00324F04"/>
    <w:rsid w:val="00332E53"/>
    <w:rsid w:val="00336461"/>
    <w:rsid w:val="00350C87"/>
    <w:rsid w:val="0035374B"/>
    <w:rsid w:val="003708B2"/>
    <w:rsid w:val="00372B08"/>
    <w:rsid w:val="00373C71"/>
    <w:rsid w:val="00381C27"/>
    <w:rsid w:val="00383EF8"/>
    <w:rsid w:val="0038476F"/>
    <w:rsid w:val="003A1523"/>
    <w:rsid w:val="003C1037"/>
    <w:rsid w:val="003C28C5"/>
    <w:rsid w:val="003D1E18"/>
    <w:rsid w:val="003D71BF"/>
    <w:rsid w:val="003F042A"/>
    <w:rsid w:val="003F505B"/>
    <w:rsid w:val="00407840"/>
    <w:rsid w:val="004147BE"/>
    <w:rsid w:val="0044570D"/>
    <w:rsid w:val="00445B3E"/>
    <w:rsid w:val="00446718"/>
    <w:rsid w:val="00474FAB"/>
    <w:rsid w:val="00476396"/>
    <w:rsid w:val="0048147B"/>
    <w:rsid w:val="00486778"/>
    <w:rsid w:val="00496826"/>
    <w:rsid w:val="004A4661"/>
    <w:rsid w:val="004B4197"/>
    <w:rsid w:val="004B4B1D"/>
    <w:rsid w:val="004B692B"/>
    <w:rsid w:val="004C3B23"/>
    <w:rsid w:val="004D24BB"/>
    <w:rsid w:val="004D2BE2"/>
    <w:rsid w:val="004D5740"/>
    <w:rsid w:val="004E49AC"/>
    <w:rsid w:val="00505303"/>
    <w:rsid w:val="00524B24"/>
    <w:rsid w:val="00540BF4"/>
    <w:rsid w:val="00543A67"/>
    <w:rsid w:val="005448E8"/>
    <w:rsid w:val="005457C6"/>
    <w:rsid w:val="005524C3"/>
    <w:rsid w:val="005678C9"/>
    <w:rsid w:val="00572789"/>
    <w:rsid w:val="005823E7"/>
    <w:rsid w:val="00585034"/>
    <w:rsid w:val="005855AD"/>
    <w:rsid w:val="00587233"/>
    <w:rsid w:val="00590EE9"/>
    <w:rsid w:val="005A2B11"/>
    <w:rsid w:val="005A4E13"/>
    <w:rsid w:val="005A5E6C"/>
    <w:rsid w:val="005B3965"/>
    <w:rsid w:val="005B6FB5"/>
    <w:rsid w:val="005C311B"/>
    <w:rsid w:val="005D6641"/>
    <w:rsid w:val="005F0B87"/>
    <w:rsid w:val="005F36E9"/>
    <w:rsid w:val="005F510A"/>
    <w:rsid w:val="00604709"/>
    <w:rsid w:val="00604A2C"/>
    <w:rsid w:val="00612433"/>
    <w:rsid w:val="00624DBB"/>
    <w:rsid w:val="00631196"/>
    <w:rsid w:val="00663E0A"/>
    <w:rsid w:val="00687C9E"/>
    <w:rsid w:val="0069399C"/>
    <w:rsid w:val="00694FEB"/>
    <w:rsid w:val="006977B7"/>
    <w:rsid w:val="006B1BEA"/>
    <w:rsid w:val="006C2141"/>
    <w:rsid w:val="006C7BF1"/>
    <w:rsid w:val="006D1657"/>
    <w:rsid w:val="006D462A"/>
    <w:rsid w:val="006D4A58"/>
    <w:rsid w:val="006F2334"/>
    <w:rsid w:val="0070392C"/>
    <w:rsid w:val="00704209"/>
    <w:rsid w:val="00705B57"/>
    <w:rsid w:val="00721411"/>
    <w:rsid w:val="00721554"/>
    <w:rsid w:val="007264A7"/>
    <w:rsid w:val="00730FF8"/>
    <w:rsid w:val="00736079"/>
    <w:rsid w:val="0074083B"/>
    <w:rsid w:val="00743B6F"/>
    <w:rsid w:val="00744B6B"/>
    <w:rsid w:val="00753E0E"/>
    <w:rsid w:val="00756315"/>
    <w:rsid w:val="00765503"/>
    <w:rsid w:val="007714F9"/>
    <w:rsid w:val="007721DF"/>
    <w:rsid w:val="00782C11"/>
    <w:rsid w:val="007832D7"/>
    <w:rsid w:val="00793AEF"/>
    <w:rsid w:val="00795B2F"/>
    <w:rsid w:val="0079700B"/>
    <w:rsid w:val="007A56B3"/>
    <w:rsid w:val="007B0889"/>
    <w:rsid w:val="007C00E9"/>
    <w:rsid w:val="007C14FA"/>
    <w:rsid w:val="007C7EAB"/>
    <w:rsid w:val="007D354B"/>
    <w:rsid w:val="007E75EE"/>
    <w:rsid w:val="007F0485"/>
    <w:rsid w:val="007F574D"/>
    <w:rsid w:val="00817565"/>
    <w:rsid w:val="0082012F"/>
    <w:rsid w:val="00823298"/>
    <w:rsid w:val="00826060"/>
    <w:rsid w:val="00830349"/>
    <w:rsid w:val="0083182F"/>
    <w:rsid w:val="00841804"/>
    <w:rsid w:val="00842840"/>
    <w:rsid w:val="008455A5"/>
    <w:rsid w:val="008459FF"/>
    <w:rsid w:val="008478C6"/>
    <w:rsid w:val="00851670"/>
    <w:rsid w:val="00865487"/>
    <w:rsid w:val="008659FD"/>
    <w:rsid w:val="00882B97"/>
    <w:rsid w:val="00893152"/>
    <w:rsid w:val="008A0B0A"/>
    <w:rsid w:val="008A11A9"/>
    <w:rsid w:val="008A521A"/>
    <w:rsid w:val="008B5151"/>
    <w:rsid w:val="008C1514"/>
    <w:rsid w:val="008C2C99"/>
    <w:rsid w:val="008D4265"/>
    <w:rsid w:val="008D4919"/>
    <w:rsid w:val="008F1446"/>
    <w:rsid w:val="008F2571"/>
    <w:rsid w:val="00912372"/>
    <w:rsid w:val="00913BD3"/>
    <w:rsid w:val="009216D2"/>
    <w:rsid w:val="00926832"/>
    <w:rsid w:val="00930F88"/>
    <w:rsid w:val="00944EA0"/>
    <w:rsid w:val="00945FA7"/>
    <w:rsid w:val="00953AF9"/>
    <w:rsid w:val="0095714C"/>
    <w:rsid w:val="0096298A"/>
    <w:rsid w:val="00965EF2"/>
    <w:rsid w:val="00972CF0"/>
    <w:rsid w:val="009731FE"/>
    <w:rsid w:val="00973C87"/>
    <w:rsid w:val="00974880"/>
    <w:rsid w:val="00980262"/>
    <w:rsid w:val="00990557"/>
    <w:rsid w:val="009928E6"/>
    <w:rsid w:val="00995210"/>
    <w:rsid w:val="00997F73"/>
    <w:rsid w:val="009C24FA"/>
    <w:rsid w:val="009C47BE"/>
    <w:rsid w:val="009C7A19"/>
    <w:rsid w:val="009D1152"/>
    <w:rsid w:val="009F7F58"/>
    <w:rsid w:val="00A012A0"/>
    <w:rsid w:val="00A07D14"/>
    <w:rsid w:val="00A168B6"/>
    <w:rsid w:val="00A3181C"/>
    <w:rsid w:val="00A35D26"/>
    <w:rsid w:val="00A55134"/>
    <w:rsid w:val="00A631D9"/>
    <w:rsid w:val="00A72C6A"/>
    <w:rsid w:val="00A9338E"/>
    <w:rsid w:val="00AA4351"/>
    <w:rsid w:val="00AA740F"/>
    <w:rsid w:val="00AB02C4"/>
    <w:rsid w:val="00AB230E"/>
    <w:rsid w:val="00AB35DB"/>
    <w:rsid w:val="00AB47ED"/>
    <w:rsid w:val="00AB55E7"/>
    <w:rsid w:val="00AC5F21"/>
    <w:rsid w:val="00AC7F17"/>
    <w:rsid w:val="00AD04A3"/>
    <w:rsid w:val="00AD7B5F"/>
    <w:rsid w:val="00AE77AB"/>
    <w:rsid w:val="00AE7B9E"/>
    <w:rsid w:val="00AF353F"/>
    <w:rsid w:val="00B00D96"/>
    <w:rsid w:val="00B03F4C"/>
    <w:rsid w:val="00B2227A"/>
    <w:rsid w:val="00B23DC5"/>
    <w:rsid w:val="00B23E7C"/>
    <w:rsid w:val="00B262FE"/>
    <w:rsid w:val="00B33C02"/>
    <w:rsid w:val="00B3477E"/>
    <w:rsid w:val="00B3480E"/>
    <w:rsid w:val="00B42F3D"/>
    <w:rsid w:val="00B432EB"/>
    <w:rsid w:val="00B46C75"/>
    <w:rsid w:val="00B47568"/>
    <w:rsid w:val="00B552B9"/>
    <w:rsid w:val="00B86F40"/>
    <w:rsid w:val="00B90D15"/>
    <w:rsid w:val="00B97702"/>
    <w:rsid w:val="00BB2BFE"/>
    <w:rsid w:val="00BB698C"/>
    <w:rsid w:val="00BB72F4"/>
    <w:rsid w:val="00BC5816"/>
    <w:rsid w:val="00BD3B0C"/>
    <w:rsid w:val="00C02302"/>
    <w:rsid w:val="00C045AA"/>
    <w:rsid w:val="00C05838"/>
    <w:rsid w:val="00C06352"/>
    <w:rsid w:val="00C07FAB"/>
    <w:rsid w:val="00C204EF"/>
    <w:rsid w:val="00C2412E"/>
    <w:rsid w:val="00C30AD9"/>
    <w:rsid w:val="00C34D16"/>
    <w:rsid w:val="00C361A7"/>
    <w:rsid w:val="00C57D17"/>
    <w:rsid w:val="00C602B7"/>
    <w:rsid w:val="00C62D20"/>
    <w:rsid w:val="00C70074"/>
    <w:rsid w:val="00C73C4A"/>
    <w:rsid w:val="00C83849"/>
    <w:rsid w:val="00C86F7E"/>
    <w:rsid w:val="00C956BA"/>
    <w:rsid w:val="00C96408"/>
    <w:rsid w:val="00CA4FC7"/>
    <w:rsid w:val="00CB1D11"/>
    <w:rsid w:val="00CB693B"/>
    <w:rsid w:val="00CC5496"/>
    <w:rsid w:val="00CC6067"/>
    <w:rsid w:val="00CD3A14"/>
    <w:rsid w:val="00D013D2"/>
    <w:rsid w:val="00D10B53"/>
    <w:rsid w:val="00D1177F"/>
    <w:rsid w:val="00D124AF"/>
    <w:rsid w:val="00D148F3"/>
    <w:rsid w:val="00D148FB"/>
    <w:rsid w:val="00D16D68"/>
    <w:rsid w:val="00D201CB"/>
    <w:rsid w:val="00D22582"/>
    <w:rsid w:val="00D340C2"/>
    <w:rsid w:val="00D35A1B"/>
    <w:rsid w:val="00D36941"/>
    <w:rsid w:val="00D41FE3"/>
    <w:rsid w:val="00D4482C"/>
    <w:rsid w:val="00D4488B"/>
    <w:rsid w:val="00D464B7"/>
    <w:rsid w:val="00D56B17"/>
    <w:rsid w:val="00D6758D"/>
    <w:rsid w:val="00D67A71"/>
    <w:rsid w:val="00D80A9C"/>
    <w:rsid w:val="00D83698"/>
    <w:rsid w:val="00D84C1E"/>
    <w:rsid w:val="00D85741"/>
    <w:rsid w:val="00D86093"/>
    <w:rsid w:val="00D94846"/>
    <w:rsid w:val="00DA24B1"/>
    <w:rsid w:val="00DA5808"/>
    <w:rsid w:val="00DB093A"/>
    <w:rsid w:val="00DC6D60"/>
    <w:rsid w:val="00DD2ACE"/>
    <w:rsid w:val="00DE4758"/>
    <w:rsid w:val="00DF24D6"/>
    <w:rsid w:val="00E0168F"/>
    <w:rsid w:val="00E06B0C"/>
    <w:rsid w:val="00E1346F"/>
    <w:rsid w:val="00E1400B"/>
    <w:rsid w:val="00E1417E"/>
    <w:rsid w:val="00E1613C"/>
    <w:rsid w:val="00E30F7F"/>
    <w:rsid w:val="00E357FE"/>
    <w:rsid w:val="00E50E36"/>
    <w:rsid w:val="00E52C3C"/>
    <w:rsid w:val="00E543F1"/>
    <w:rsid w:val="00E720DF"/>
    <w:rsid w:val="00E73EC9"/>
    <w:rsid w:val="00E73F09"/>
    <w:rsid w:val="00E769B3"/>
    <w:rsid w:val="00EA3B77"/>
    <w:rsid w:val="00EB4FAD"/>
    <w:rsid w:val="00ED22E0"/>
    <w:rsid w:val="00EF353F"/>
    <w:rsid w:val="00EF60E6"/>
    <w:rsid w:val="00F06F17"/>
    <w:rsid w:val="00F11C40"/>
    <w:rsid w:val="00F617E2"/>
    <w:rsid w:val="00F67173"/>
    <w:rsid w:val="00F72D10"/>
    <w:rsid w:val="00F769F8"/>
    <w:rsid w:val="00F8452B"/>
    <w:rsid w:val="00F96A88"/>
    <w:rsid w:val="00F97930"/>
    <w:rsid w:val="00FB2E7A"/>
    <w:rsid w:val="00FB4057"/>
    <w:rsid w:val="00FB4A1C"/>
    <w:rsid w:val="00FB57F0"/>
    <w:rsid w:val="00FC2CC5"/>
    <w:rsid w:val="00FD3FF8"/>
    <w:rsid w:val="00FD45FE"/>
    <w:rsid w:val="00FD4B9A"/>
    <w:rsid w:val="00FE18D7"/>
    <w:rsid w:val="00FE2E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395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E2E28"/>
    <w:pPr>
      <w:spacing w:after="120"/>
    </w:pPr>
    <w:rPr>
      <w:color w:val="484948" w:themeColor="text1"/>
      <w:sz w:val="22"/>
    </w:rPr>
  </w:style>
  <w:style w:type="paragraph" w:styleId="Heading1">
    <w:name w:val="heading 1"/>
    <w:basedOn w:val="Normal"/>
    <w:next w:val="Normal"/>
    <w:link w:val="Heading1Char"/>
    <w:uiPriority w:val="9"/>
    <w:qFormat/>
    <w:rsid w:val="006D4A58"/>
    <w:pPr>
      <w:keepNext/>
      <w:keepLines/>
      <w:spacing w:before="240"/>
      <w:outlineLvl w:val="0"/>
    </w:pPr>
    <w:rPr>
      <w:rFonts w:asciiTheme="majorHAnsi" w:eastAsiaTheme="majorEastAsia" w:hAnsiTheme="majorHAnsi" w:cstheme="majorBidi"/>
      <w:b/>
      <w:color w:val="0F8187"/>
      <w:sz w:val="60"/>
      <w:szCs w:val="32"/>
    </w:rPr>
  </w:style>
  <w:style w:type="paragraph" w:styleId="Heading2">
    <w:name w:val="heading 2"/>
    <w:basedOn w:val="Normal"/>
    <w:next w:val="Normal"/>
    <w:link w:val="Heading2Char"/>
    <w:uiPriority w:val="9"/>
    <w:unhideWhenUsed/>
    <w:qFormat/>
    <w:rsid w:val="00F617E2"/>
    <w:pPr>
      <w:keepNext/>
      <w:keepLines/>
      <w:spacing w:before="40"/>
      <w:outlineLvl w:val="1"/>
    </w:pPr>
    <w:rPr>
      <w:rFonts w:asciiTheme="majorHAnsi" w:eastAsiaTheme="majorEastAsia" w:hAnsiTheme="majorHAnsi" w:cstheme="majorBidi"/>
      <w:b/>
      <w:color w:val="033651" w:themeColor="accent1"/>
      <w:sz w:val="40"/>
      <w:szCs w:val="26"/>
    </w:rPr>
  </w:style>
  <w:style w:type="paragraph" w:styleId="Heading3">
    <w:name w:val="heading 3"/>
    <w:basedOn w:val="Normal"/>
    <w:next w:val="Normal"/>
    <w:link w:val="Heading3Char"/>
    <w:uiPriority w:val="9"/>
    <w:unhideWhenUsed/>
    <w:qFormat/>
    <w:rsid w:val="00D36941"/>
    <w:pPr>
      <w:keepNext/>
      <w:keepLines/>
      <w:spacing w:before="360" w:after="240"/>
      <w:outlineLvl w:val="2"/>
    </w:pPr>
    <w:rPr>
      <w:rFonts w:asciiTheme="majorHAnsi" w:eastAsiaTheme="majorEastAsia" w:hAnsiTheme="majorHAnsi" w:cstheme="majorBidi"/>
      <w:b/>
      <w:color w:val="0F8187" w:themeColor="accent3"/>
      <w:sz w:val="28"/>
    </w:rPr>
  </w:style>
  <w:style w:type="paragraph" w:styleId="Heading4">
    <w:name w:val="heading 4"/>
    <w:basedOn w:val="Normal"/>
    <w:next w:val="Normal"/>
    <w:link w:val="Heading4Char"/>
    <w:uiPriority w:val="9"/>
    <w:unhideWhenUsed/>
    <w:qFormat/>
    <w:rsid w:val="00D36941"/>
    <w:pPr>
      <w:keepNext/>
      <w:keepLines/>
      <w:spacing w:before="240"/>
      <w:outlineLvl w:val="3"/>
    </w:pPr>
    <w:rPr>
      <w:rFonts w:asciiTheme="majorHAnsi" w:eastAsiaTheme="majorEastAsia" w:hAnsiTheme="majorHAnsi" w:cstheme="majorBidi"/>
      <w:iCs/>
      <w:color w:val="0F8187" w:themeColor="accent3"/>
    </w:rPr>
  </w:style>
  <w:style w:type="paragraph" w:styleId="Heading5">
    <w:name w:val="heading 5"/>
    <w:next w:val="Normal"/>
    <w:link w:val="Heading5Char"/>
    <w:uiPriority w:val="9"/>
    <w:unhideWhenUsed/>
    <w:qFormat/>
    <w:rsid w:val="004B692B"/>
    <w:pPr>
      <w:spacing w:after="160" w:line="259" w:lineRule="auto"/>
      <w:outlineLvl w:val="4"/>
    </w:pPr>
    <w:rPr>
      <w:rFonts w:ascii="Arial" w:eastAsia="Calibri" w:hAnsi="Arial" w:cs="Arial"/>
      <w:i/>
      <w:iCs/>
      <w:color w:val="B01D47"/>
      <w:kern w:val="0"/>
      <w:lang w:val="en-US"/>
      <w14:ligatures w14:val="none"/>
    </w:rPr>
  </w:style>
  <w:style w:type="paragraph" w:styleId="Heading6">
    <w:name w:val="heading 6"/>
    <w:basedOn w:val="Normal"/>
    <w:next w:val="Normal"/>
    <w:link w:val="Heading6Char"/>
    <w:uiPriority w:val="9"/>
    <w:unhideWhenUsed/>
    <w:qFormat/>
    <w:rsid w:val="004B692B"/>
    <w:pPr>
      <w:keepNext/>
      <w:keepLines/>
      <w:spacing w:before="40" w:after="0" w:line="280" w:lineRule="exact"/>
      <w:jc w:val="both"/>
      <w:outlineLvl w:val="5"/>
    </w:pPr>
    <w:rPr>
      <w:rFonts w:asciiTheme="majorHAnsi" w:eastAsiaTheme="majorEastAsia" w:hAnsiTheme="majorHAnsi" w:cstheme="majorBidi"/>
      <w:color w:val="B01D47"/>
      <w:kern w:val="0"/>
      <w:sz w:val="24"/>
      <w14:ligatures w14:val="none"/>
    </w:rPr>
  </w:style>
  <w:style w:type="paragraph" w:styleId="Heading7">
    <w:name w:val="heading 7"/>
    <w:basedOn w:val="Normal"/>
    <w:next w:val="Normal"/>
    <w:link w:val="Heading7Char"/>
    <w:uiPriority w:val="9"/>
    <w:unhideWhenUsed/>
    <w:qFormat/>
    <w:rsid w:val="00350C87"/>
    <w:pPr>
      <w:keepNext/>
      <w:keepLines/>
      <w:spacing w:before="40" w:after="0"/>
      <w:outlineLvl w:val="6"/>
    </w:pPr>
    <w:rPr>
      <w:rFonts w:asciiTheme="majorHAnsi" w:eastAsiaTheme="majorEastAsia" w:hAnsiTheme="majorHAnsi" w:cstheme="majorBidi"/>
      <w:i/>
      <w:iCs/>
      <w:color w:val="011A2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262"/>
    <w:pPr>
      <w:tabs>
        <w:tab w:val="center" w:pos="4513"/>
        <w:tab w:val="right" w:pos="9026"/>
      </w:tabs>
    </w:pPr>
  </w:style>
  <w:style w:type="character" w:customStyle="1" w:styleId="HeaderChar">
    <w:name w:val="Header Char"/>
    <w:basedOn w:val="DefaultParagraphFont"/>
    <w:link w:val="Header"/>
    <w:uiPriority w:val="99"/>
    <w:rsid w:val="00980262"/>
  </w:style>
  <w:style w:type="paragraph" w:styleId="Footer">
    <w:name w:val="footer"/>
    <w:basedOn w:val="Normal"/>
    <w:link w:val="FooterChar"/>
    <w:uiPriority w:val="99"/>
    <w:unhideWhenUsed/>
    <w:rsid w:val="00980262"/>
    <w:pPr>
      <w:tabs>
        <w:tab w:val="center" w:pos="4513"/>
        <w:tab w:val="right" w:pos="9026"/>
      </w:tabs>
    </w:pPr>
  </w:style>
  <w:style w:type="character" w:customStyle="1" w:styleId="FooterChar">
    <w:name w:val="Footer Char"/>
    <w:basedOn w:val="DefaultParagraphFont"/>
    <w:link w:val="Footer"/>
    <w:uiPriority w:val="99"/>
    <w:rsid w:val="00980262"/>
  </w:style>
  <w:style w:type="character" w:styleId="SubtleEmphasis">
    <w:name w:val="Subtle Emphasis"/>
    <w:basedOn w:val="DefaultParagraphFont"/>
    <w:uiPriority w:val="19"/>
    <w:qFormat/>
    <w:rsid w:val="000A5516"/>
    <w:rPr>
      <w:i/>
      <w:iCs/>
      <w:color w:val="757675" w:themeColor="text1" w:themeTint="BF"/>
    </w:rPr>
  </w:style>
  <w:style w:type="paragraph" w:styleId="NoSpacing">
    <w:name w:val="No Spacing"/>
    <w:uiPriority w:val="1"/>
    <w:qFormat/>
    <w:rsid w:val="00A9338E"/>
    <w:rPr>
      <w:color w:val="484948" w:themeColor="text1"/>
      <w:sz w:val="20"/>
    </w:rPr>
  </w:style>
  <w:style w:type="character" w:customStyle="1" w:styleId="Heading1Char">
    <w:name w:val="Heading 1 Char"/>
    <w:basedOn w:val="DefaultParagraphFont"/>
    <w:link w:val="Heading1"/>
    <w:uiPriority w:val="9"/>
    <w:rsid w:val="006D4A58"/>
    <w:rPr>
      <w:rFonts w:asciiTheme="majorHAnsi" w:eastAsiaTheme="majorEastAsia" w:hAnsiTheme="majorHAnsi" w:cstheme="majorBidi"/>
      <w:b/>
      <w:color w:val="0F8187"/>
      <w:sz w:val="60"/>
      <w:szCs w:val="32"/>
    </w:rPr>
  </w:style>
  <w:style w:type="character" w:customStyle="1" w:styleId="Heading2Char">
    <w:name w:val="Heading 2 Char"/>
    <w:basedOn w:val="DefaultParagraphFont"/>
    <w:link w:val="Heading2"/>
    <w:uiPriority w:val="9"/>
    <w:rsid w:val="00F617E2"/>
    <w:rPr>
      <w:rFonts w:asciiTheme="majorHAnsi" w:eastAsiaTheme="majorEastAsia" w:hAnsiTheme="majorHAnsi" w:cstheme="majorBidi"/>
      <w:b/>
      <w:color w:val="033651" w:themeColor="accent1"/>
      <w:sz w:val="40"/>
      <w:szCs w:val="26"/>
    </w:rPr>
  </w:style>
  <w:style w:type="character" w:customStyle="1" w:styleId="Heading3Char">
    <w:name w:val="Heading 3 Char"/>
    <w:basedOn w:val="DefaultParagraphFont"/>
    <w:link w:val="Heading3"/>
    <w:uiPriority w:val="9"/>
    <w:rsid w:val="00D36941"/>
    <w:rPr>
      <w:rFonts w:asciiTheme="majorHAnsi" w:eastAsiaTheme="majorEastAsia" w:hAnsiTheme="majorHAnsi" w:cstheme="majorBidi"/>
      <w:b/>
      <w:color w:val="0F8187" w:themeColor="accent3"/>
      <w:sz w:val="28"/>
    </w:rPr>
  </w:style>
  <w:style w:type="character" w:customStyle="1" w:styleId="Heading4Char">
    <w:name w:val="Heading 4 Char"/>
    <w:basedOn w:val="DefaultParagraphFont"/>
    <w:link w:val="Heading4"/>
    <w:uiPriority w:val="9"/>
    <w:rsid w:val="00D36941"/>
    <w:rPr>
      <w:rFonts w:asciiTheme="majorHAnsi" w:eastAsiaTheme="majorEastAsia" w:hAnsiTheme="majorHAnsi" w:cstheme="majorBidi"/>
      <w:iCs/>
      <w:color w:val="0F8187" w:themeColor="accent3"/>
      <w:sz w:val="22"/>
    </w:rPr>
  </w:style>
  <w:style w:type="table" w:styleId="TableGrid">
    <w:name w:val="Table Grid"/>
    <w:basedOn w:val="TableNormal"/>
    <w:uiPriority w:val="39"/>
    <w:rsid w:val="0066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AQ Bullets,Bullet,List Paragraph11,bullet point list,Bullet point,Bulleted Para,NFP GP Bulleted List,FooterText,numbered,Paragraphe de liste1,Bulletr List Paragraph,列出段落,列出段落1,List Paragraph2,List Paragraph21,Listeafsnit1,リスト段落1,L"/>
    <w:basedOn w:val="Normal"/>
    <w:link w:val="ListParagraphChar"/>
    <w:uiPriority w:val="34"/>
    <w:qFormat/>
    <w:rsid w:val="00E0168F"/>
    <w:pPr>
      <w:ind w:left="720"/>
      <w:contextualSpacing/>
    </w:pPr>
  </w:style>
  <w:style w:type="paragraph" w:customStyle="1" w:styleId="Bulletpointbody">
    <w:name w:val="Bullet point body"/>
    <w:basedOn w:val="ListParagraph"/>
    <w:qFormat/>
    <w:rsid w:val="00C62D20"/>
    <w:pPr>
      <w:numPr>
        <w:numId w:val="1"/>
      </w:numPr>
      <w:ind w:left="426" w:hanging="284"/>
    </w:pPr>
  </w:style>
  <w:style w:type="character" w:styleId="PageNumber">
    <w:name w:val="page number"/>
    <w:basedOn w:val="DefaultParagraphFont"/>
    <w:uiPriority w:val="99"/>
    <w:semiHidden/>
    <w:unhideWhenUsed/>
    <w:rsid w:val="00FD45FE"/>
  </w:style>
  <w:style w:type="paragraph" w:customStyle="1" w:styleId="Numberlist">
    <w:name w:val="Number list"/>
    <w:basedOn w:val="Bulletpointbody"/>
    <w:qFormat/>
    <w:rsid w:val="00F617E2"/>
    <w:pPr>
      <w:numPr>
        <w:numId w:val="2"/>
      </w:numPr>
    </w:pPr>
  </w:style>
  <w:style w:type="character" w:styleId="Hyperlink">
    <w:name w:val="Hyperlink"/>
    <w:basedOn w:val="DefaultParagraphFont"/>
    <w:uiPriority w:val="99"/>
    <w:unhideWhenUsed/>
    <w:rsid w:val="00DF24D6"/>
    <w:rPr>
      <w:color w:val="0563C1" w:themeColor="hyperlink"/>
      <w:u w:val="single"/>
    </w:rPr>
  </w:style>
  <w:style w:type="character" w:customStyle="1" w:styleId="Heading5Char">
    <w:name w:val="Heading 5 Char"/>
    <w:basedOn w:val="DefaultParagraphFont"/>
    <w:link w:val="Heading5"/>
    <w:uiPriority w:val="9"/>
    <w:rsid w:val="004B692B"/>
    <w:rPr>
      <w:rFonts w:ascii="Arial" w:eastAsia="Calibri" w:hAnsi="Arial" w:cs="Arial"/>
      <w:i/>
      <w:iCs/>
      <w:color w:val="B01D47"/>
      <w:kern w:val="0"/>
      <w:lang w:val="en-US"/>
      <w14:ligatures w14:val="none"/>
    </w:rPr>
  </w:style>
  <w:style w:type="character" w:customStyle="1" w:styleId="Heading6Char">
    <w:name w:val="Heading 6 Char"/>
    <w:basedOn w:val="DefaultParagraphFont"/>
    <w:link w:val="Heading6"/>
    <w:uiPriority w:val="9"/>
    <w:rsid w:val="004B692B"/>
    <w:rPr>
      <w:rFonts w:asciiTheme="majorHAnsi" w:eastAsiaTheme="majorEastAsia" w:hAnsiTheme="majorHAnsi" w:cstheme="majorBidi"/>
      <w:color w:val="B01D47"/>
      <w:kern w:val="0"/>
      <w14:ligatures w14:val="none"/>
    </w:rPr>
  </w:style>
  <w:style w:type="character" w:styleId="UnresolvedMention">
    <w:name w:val="Unresolved Mention"/>
    <w:basedOn w:val="DefaultParagraphFont"/>
    <w:uiPriority w:val="99"/>
    <w:semiHidden/>
    <w:unhideWhenUsed/>
    <w:rsid w:val="004B692B"/>
    <w:rPr>
      <w:color w:val="605E5C"/>
      <w:shd w:val="clear" w:color="auto" w:fill="E1DFDD"/>
    </w:rPr>
  </w:style>
  <w:style w:type="paragraph" w:styleId="Title">
    <w:name w:val="Title"/>
    <w:basedOn w:val="Normal"/>
    <w:next w:val="Normal"/>
    <w:link w:val="TitleChar"/>
    <w:uiPriority w:val="10"/>
    <w:qFormat/>
    <w:rsid w:val="004B692B"/>
    <w:pPr>
      <w:spacing w:after="0" w:line="600" w:lineRule="exact"/>
      <w:ind w:right="-65"/>
    </w:pPr>
    <w:rPr>
      <w:rFonts w:ascii="Arial" w:eastAsia="Times New Roman" w:hAnsi="Arial" w:cs="Times New Roman"/>
      <w:b/>
      <w:color w:val="AF4C64"/>
      <w:spacing w:val="-10"/>
      <w:kern w:val="28"/>
      <w:sz w:val="56"/>
      <w:szCs w:val="56"/>
      <w14:ligatures w14:val="none"/>
    </w:rPr>
  </w:style>
  <w:style w:type="character" w:customStyle="1" w:styleId="TitleChar">
    <w:name w:val="Title Char"/>
    <w:basedOn w:val="DefaultParagraphFont"/>
    <w:link w:val="Title"/>
    <w:uiPriority w:val="10"/>
    <w:rsid w:val="004B692B"/>
    <w:rPr>
      <w:rFonts w:ascii="Arial" w:eastAsia="Times New Roman" w:hAnsi="Arial" w:cs="Times New Roman"/>
      <w:b/>
      <w:color w:val="AF4C64"/>
      <w:spacing w:val="-10"/>
      <w:kern w:val="28"/>
      <w:sz w:val="56"/>
      <w:szCs w:val="56"/>
      <w14:ligatures w14:val="none"/>
    </w:rPr>
  </w:style>
  <w:style w:type="paragraph" w:styleId="Subtitle">
    <w:name w:val="Subtitle"/>
    <w:basedOn w:val="Title"/>
    <w:next w:val="Normal"/>
    <w:link w:val="SubtitleChar"/>
    <w:uiPriority w:val="11"/>
    <w:qFormat/>
    <w:rsid w:val="004B692B"/>
    <w:rPr>
      <w:sz w:val="40"/>
      <w:szCs w:val="40"/>
    </w:rPr>
  </w:style>
  <w:style w:type="character" w:customStyle="1" w:styleId="SubtitleChar">
    <w:name w:val="Subtitle Char"/>
    <w:basedOn w:val="DefaultParagraphFont"/>
    <w:link w:val="Subtitle"/>
    <w:uiPriority w:val="11"/>
    <w:rsid w:val="004B692B"/>
    <w:rPr>
      <w:rFonts w:ascii="Arial" w:eastAsia="Times New Roman" w:hAnsi="Arial" w:cs="Times New Roman"/>
      <w:b/>
      <w:color w:val="AF4C64"/>
      <w:spacing w:val="-10"/>
      <w:kern w:val="28"/>
      <w:sz w:val="40"/>
      <w:szCs w:val="40"/>
      <w14:ligatures w14:val="none"/>
    </w:rPr>
  </w:style>
  <w:style w:type="character" w:styleId="FollowedHyperlink">
    <w:name w:val="FollowedHyperlink"/>
    <w:basedOn w:val="DefaultParagraphFont"/>
    <w:uiPriority w:val="99"/>
    <w:semiHidden/>
    <w:unhideWhenUsed/>
    <w:rsid w:val="004B692B"/>
    <w:rPr>
      <w:color w:val="954F72" w:themeColor="followedHyperlink"/>
      <w:u w:val="single"/>
    </w:rPr>
  </w:style>
  <w:style w:type="paragraph" w:styleId="TOCHeading">
    <w:name w:val="TOC Heading"/>
    <w:basedOn w:val="Heading1"/>
    <w:next w:val="Normal"/>
    <w:uiPriority w:val="39"/>
    <w:unhideWhenUsed/>
    <w:qFormat/>
    <w:rsid w:val="004B692B"/>
    <w:pPr>
      <w:keepNext w:val="0"/>
      <w:keepLines w:val="0"/>
      <w:shd w:val="clear" w:color="auto" w:fill="B01D47"/>
      <w:spacing w:after="360" w:line="259" w:lineRule="auto"/>
      <w:jc w:val="both"/>
      <w:outlineLvl w:val="9"/>
    </w:pPr>
    <w:rPr>
      <w:rFonts w:ascii="Arial" w:eastAsia="Calibri" w:hAnsi="Arial" w:cs="Arial"/>
      <w:bCs/>
      <w:color w:val="FFFFFF" w:themeColor="background1"/>
      <w:kern w:val="0"/>
      <w:sz w:val="40"/>
      <w:szCs w:val="40"/>
      <w14:ligatures w14:val="none"/>
    </w:rPr>
  </w:style>
  <w:style w:type="paragraph" w:styleId="TOC1">
    <w:name w:val="toc 1"/>
    <w:basedOn w:val="Normal"/>
    <w:next w:val="Normal"/>
    <w:autoRedefine/>
    <w:uiPriority w:val="39"/>
    <w:unhideWhenUsed/>
    <w:rsid w:val="004B692B"/>
    <w:pPr>
      <w:tabs>
        <w:tab w:val="right" w:leader="dot" w:pos="9848"/>
      </w:tabs>
      <w:spacing w:before="60" w:after="100" w:line="280" w:lineRule="exact"/>
      <w:jc w:val="both"/>
    </w:pPr>
    <w:rPr>
      <w:rFonts w:ascii="Arial" w:eastAsia="Calibri" w:hAnsi="Arial" w:cs="Arial"/>
      <w:b/>
      <w:noProof/>
      <w:color w:val="auto"/>
      <w:kern w:val="0"/>
      <w:sz w:val="24"/>
      <w14:ligatures w14:val="none"/>
    </w:rPr>
  </w:style>
  <w:style w:type="paragraph" w:styleId="TOC2">
    <w:name w:val="toc 2"/>
    <w:basedOn w:val="Normal"/>
    <w:next w:val="Normal"/>
    <w:autoRedefine/>
    <w:uiPriority w:val="39"/>
    <w:unhideWhenUsed/>
    <w:rsid w:val="004B692B"/>
    <w:pPr>
      <w:tabs>
        <w:tab w:val="right" w:leader="dot" w:pos="9848"/>
      </w:tabs>
      <w:spacing w:before="60" w:after="100" w:line="280" w:lineRule="exact"/>
      <w:ind w:left="240"/>
      <w:jc w:val="both"/>
    </w:pPr>
    <w:rPr>
      <w:rFonts w:ascii="Arial" w:eastAsia="Calibri" w:hAnsi="Arial" w:cs="Arial"/>
      <w:noProof/>
      <w:color w:val="auto"/>
      <w:kern w:val="0"/>
      <w:szCs w:val="22"/>
      <w14:ligatures w14:val="none"/>
    </w:rPr>
  </w:style>
  <w:style w:type="paragraph" w:styleId="TOC3">
    <w:name w:val="toc 3"/>
    <w:basedOn w:val="Normal"/>
    <w:next w:val="Normal"/>
    <w:autoRedefine/>
    <w:uiPriority w:val="39"/>
    <w:unhideWhenUsed/>
    <w:rsid w:val="004B692B"/>
    <w:pPr>
      <w:tabs>
        <w:tab w:val="right" w:leader="dot" w:pos="9848"/>
      </w:tabs>
      <w:spacing w:before="60" w:after="100" w:line="280" w:lineRule="exact"/>
      <w:ind w:left="480"/>
      <w:jc w:val="both"/>
    </w:pPr>
    <w:rPr>
      <w:rFonts w:ascii="Arial" w:eastAsia="Calibri" w:hAnsi="Arial" w:cs="Arial"/>
      <w:noProof/>
      <w:color w:val="auto"/>
      <w:kern w:val="0"/>
      <w14:ligatures w14:val="none"/>
    </w:rPr>
  </w:style>
  <w:style w:type="paragraph" w:customStyle="1" w:styleId="Default">
    <w:name w:val="Default"/>
    <w:rsid w:val="004B692B"/>
    <w:pPr>
      <w:autoSpaceDE w:val="0"/>
      <w:autoSpaceDN w:val="0"/>
      <w:adjustRightInd w:val="0"/>
    </w:pPr>
    <w:rPr>
      <w:rFonts w:ascii="Arial" w:hAnsi="Arial" w:cs="Arial"/>
      <w:color w:val="000000"/>
      <w:kern w:val="0"/>
      <w14:ligatures w14:val="none"/>
    </w:rPr>
  </w:style>
  <w:style w:type="paragraph" w:styleId="TOC4">
    <w:name w:val="toc 4"/>
    <w:basedOn w:val="Normal"/>
    <w:next w:val="Normal"/>
    <w:autoRedefine/>
    <w:uiPriority w:val="39"/>
    <w:unhideWhenUsed/>
    <w:rsid w:val="004B692B"/>
    <w:pPr>
      <w:tabs>
        <w:tab w:val="right" w:leader="dot" w:pos="9848"/>
      </w:tabs>
      <w:spacing w:before="60" w:after="100" w:line="280" w:lineRule="exact"/>
      <w:ind w:left="720"/>
      <w:jc w:val="both"/>
    </w:pPr>
    <w:rPr>
      <w:rFonts w:ascii="Arial" w:eastAsia="Calibri" w:hAnsi="Arial" w:cs="Arial"/>
      <w:color w:val="auto"/>
      <w:kern w:val="0"/>
      <w14:ligatures w14:val="none"/>
    </w:rPr>
  </w:style>
  <w:style w:type="paragraph" w:styleId="TOC5">
    <w:name w:val="toc 5"/>
    <w:basedOn w:val="Normal"/>
    <w:next w:val="Normal"/>
    <w:autoRedefine/>
    <w:uiPriority w:val="39"/>
    <w:unhideWhenUsed/>
    <w:rsid w:val="004B692B"/>
    <w:pPr>
      <w:tabs>
        <w:tab w:val="right" w:leader="dot" w:pos="9848"/>
      </w:tabs>
      <w:spacing w:before="60" w:after="100" w:line="280" w:lineRule="exact"/>
      <w:ind w:left="960"/>
      <w:jc w:val="both"/>
    </w:pPr>
    <w:rPr>
      <w:rFonts w:ascii="Arial" w:eastAsia="Calibri" w:hAnsi="Arial" w:cs="Arial"/>
      <w:i/>
      <w:color w:val="auto"/>
      <w:kern w:val="0"/>
      <w14:ligatures w14:val="none"/>
    </w:rPr>
  </w:style>
  <w:style w:type="character" w:styleId="CommentReference">
    <w:name w:val="annotation reference"/>
    <w:basedOn w:val="DefaultParagraphFont"/>
    <w:uiPriority w:val="99"/>
    <w:semiHidden/>
    <w:unhideWhenUsed/>
    <w:rsid w:val="004B692B"/>
    <w:rPr>
      <w:sz w:val="16"/>
      <w:szCs w:val="16"/>
    </w:rPr>
  </w:style>
  <w:style w:type="paragraph" w:styleId="CommentText">
    <w:name w:val="annotation text"/>
    <w:basedOn w:val="Normal"/>
    <w:link w:val="CommentTextChar"/>
    <w:uiPriority w:val="99"/>
    <w:unhideWhenUsed/>
    <w:rsid w:val="004B692B"/>
    <w:pPr>
      <w:spacing w:before="60"/>
      <w:jc w:val="both"/>
    </w:pPr>
    <w:rPr>
      <w:rFonts w:ascii="Arial" w:eastAsia="Calibri" w:hAnsi="Arial" w:cs="Arial"/>
      <w:color w:val="auto"/>
      <w:kern w:val="0"/>
      <w:szCs w:val="20"/>
      <w14:ligatures w14:val="none"/>
    </w:rPr>
  </w:style>
  <w:style w:type="character" w:customStyle="1" w:styleId="CommentTextChar">
    <w:name w:val="Comment Text Char"/>
    <w:basedOn w:val="DefaultParagraphFont"/>
    <w:link w:val="CommentText"/>
    <w:uiPriority w:val="99"/>
    <w:rsid w:val="004B692B"/>
    <w:rPr>
      <w:rFonts w:ascii="Arial" w:eastAsia="Calibri"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B692B"/>
    <w:rPr>
      <w:b/>
      <w:bCs/>
    </w:rPr>
  </w:style>
  <w:style w:type="character" w:customStyle="1" w:styleId="CommentSubjectChar">
    <w:name w:val="Comment Subject Char"/>
    <w:basedOn w:val="CommentTextChar"/>
    <w:link w:val="CommentSubject"/>
    <w:uiPriority w:val="99"/>
    <w:semiHidden/>
    <w:rsid w:val="004B692B"/>
    <w:rPr>
      <w:rFonts w:ascii="Arial" w:eastAsia="Calibri" w:hAnsi="Arial" w:cs="Arial"/>
      <w:b/>
      <w:bCs/>
      <w:kern w:val="0"/>
      <w:sz w:val="20"/>
      <w:szCs w:val="20"/>
      <w14:ligatures w14:val="none"/>
    </w:rPr>
  </w:style>
  <w:style w:type="paragraph" w:styleId="Revision">
    <w:name w:val="Revision"/>
    <w:hidden/>
    <w:uiPriority w:val="99"/>
    <w:semiHidden/>
    <w:rsid w:val="004B692B"/>
    <w:rPr>
      <w:rFonts w:ascii="Arial" w:eastAsia="Calibri" w:hAnsi="Arial" w:cs="Arial"/>
      <w:kern w:val="0"/>
      <w:lang w:val="en-US"/>
      <w14:ligatures w14:val="none"/>
    </w:rPr>
  </w:style>
  <w:style w:type="numbering" w:customStyle="1" w:styleId="NoList1">
    <w:name w:val="No List1"/>
    <w:next w:val="NoList"/>
    <w:uiPriority w:val="99"/>
    <w:semiHidden/>
    <w:unhideWhenUsed/>
    <w:rsid w:val="004B692B"/>
  </w:style>
  <w:style w:type="paragraph" w:styleId="TOC6">
    <w:name w:val="toc 6"/>
    <w:basedOn w:val="Normal"/>
    <w:next w:val="Normal"/>
    <w:autoRedefine/>
    <w:uiPriority w:val="39"/>
    <w:unhideWhenUsed/>
    <w:rsid w:val="004B692B"/>
    <w:pPr>
      <w:spacing w:after="100" w:line="259" w:lineRule="auto"/>
      <w:ind w:left="1100"/>
    </w:pPr>
    <w:rPr>
      <w:rFonts w:eastAsiaTheme="minorEastAsia"/>
      <w:color w:val="auto"/>
      <w:kern w:val="0"/>
      <w:szCs w:val="22"/>
      <w:lang w:eastAsia="en-AU"/>
      <w14:ligatures w14:val="none"/>
    </w:rPr>
  </w:style>
  <w:style w:type="paragraph" w:styleId="TOC7">
    <w:name w:val="toc 7"/>
    <w:basedOn w:val="Normal"/>
    <w:next w:val="Normal"/>
    <w:autoRedefine/>
    <w:uiPriority w:val="39"/>
    <w:unhideWhenUsed/>
    <w:rsid w:val="004B692B"/>
    <w:pPr>
      <w:spacing w:after="100" w:line="259" w:lineRule="auto"/>
      <w:ind w:left="1320"/>
    </w:pPr>
    <w:rPr>
      <w:rFonts w:eastAsiaTheme="minorEastAsia"/>
      <w:color w:val="auto"/>
      <w:kern w:val="0"/>
      <w:szCs w:val="22"/>
      <w:lang w:eastAsia="en-AU"/>
      <w14:ligatures w14:val="none"/>
    </w:rPr>
  </w:style>
  <w:style w:type="paragraph" w:styleId="TOC8">
    <w:name w:val="toc 8"/>
    <w:basedOn w:val="Normal"/>
    <w:next w:val="Normal"/>
    <w:autoRedefine/>
    <w:uiPriority w:val="39"/>
    <w:unhideWhenUsed/>
    <w:rsid w:val="004B692B"/>
    <w:pPr>
      <w:spacing w:after="100" w:line="259" w:lineRule="auto"/>
      <w:ind w:left="1540"/>
    </w:pPr>
    <w:rPr>
      <w:rFonts w:eastAsiaTheme="minorEastAsia"/>
      <w:color w:val="auto"/>
      <w:kern w:val="0"/>
      <w:szCs w:val="22"/>
      <w:lang w:eastAsia="en-AU"/>
      <w14:ligatures w14:val="none"/>
    </w:rPr>
  </w:style>
  <w:style w:type="paragraph" w:styleId="TOC9">
    <w:name w:val="toc 9"/>
    <w:basedOn w:val="Normal"/>
    <w:next w:val="Normal"/>
    <w:autoRedefine/>
    <w:uiPriority w:val="39"/>
    <w:unhideWhenUsed/>
    <w:rsid w:val="004B692B"/>
    <w:pPr>
      <w:spacing w:after="100" w:line="259" w:lineRule="auto"/>
      <w:ind w:left="1760"/>
    </w:pPr>
    <w:rPr>
      <w:rFonts w:eastAsiaTheme="minorEastAsia"/>
      <w:color w:val="auto"/>
      <w:kern w:val="0"/>
      <w:szCs w:val="22"/>
      <w:lang w:eastAsia="en-AU"/>
      <w14:ligatures w14:val="none"/>
    </w:rPr>
  </w:style>
  <w:style w:type="character" w:customStyle="1" w:styleId="ListParagraphChar">
    <w:name w:val="List Paragraph Char"/>
    <w:aliases w:val="LAQ Bullets Char,Bullet Char,List Paragraph11 Char,bullet point list Char,Bullet point Char,Bulleted Para Char,NFP GP Bulleted List Char,FooterText Char,numbered Char,Paragraphe de liste1 Char,Bulletr List Paragraph Char,列出段落 Char"/>
    <w:basedOn w:val="DefaultParagraphFont"/>
    <w:link w:val="ListParagraph"/>
    <w:uiPriority w:val="34"/>
    <w:qFormat/>
    <w:locked/>
    <w:rsid w:val="004B692B"/>
    <w:rPr>
      <w:color w:val="484948" w:themeColor="text1"/>
      <w:sz w:val="20"/>
    </w:rPr>
  </w:style>
  <w:style w:type="paragraph" w:customStyle="1" w:styleId="Pa3">
    <w:name w:val="Pa3"/>
    <w:basedOn w:val="Default"/>
    <w:next w:val="Default"/>
    <w:uiPriority w:val="99"/>
    <w:rsid w:val="004B692B"/>
    <w:pPr>
      <w:spacing w:line="201" w:lineRule="atLeast"/>
    </w:pPr>
    <w:rPr>
      <w:color w:val="auto"/>
    </w:rPr>
  </w:style>
  <w:style w:type="paragraph" w:customStyle="1" w:styleId="Pa19">
    <w:name w:val="Pa19"/>
    <w:basedOn w:val="Default"/>
    <w:next w:val="Default"/>
    <w:uiPriority w:val="99"/>
    <w:rsid w:val="004B692B"/>
    <w:pPr>
      <w:spacing w:line="201" w:lineRule="atLeast"/>
    </w:pPr>
    <w:rPr>
      <w:color w:val="auto"/>
    </w:rPr>
  </w:style>
  <w:style w:type="paragraph" w:customStyle="1" w:styleId="Pa20">
    <w:name w:val="Pa20"/>
    <w:basedOn w:val="Default"/>
    <w:next w:val="Default"/>
    <w:uiPriority w:val="99"/>
    <w:rsid w:val="004B692B"/>
    <w:pPr>
      <w:spacing w:line="201" w:lineRule="atLeast"/>
    </w:pPr>
    <w:rPr>
      <w:color w:val="auto"/>
    </w:rPr>
  </w:style>
  <w:style w:type="character" w:customStyle="1" w:styleId="A7">
    <w:name w:val="A7"/>
    <w:uiPriority w:val="99"/>
    <w:rsid w:val="004B692B"/>
    <w:rPr>
      <w:b/>
      <w:bCs/>
      <w:color w:val="000000"/>
      <w:sz w:val="20"/>
      <w:szCs w:val="20"/>
    </w:rPr>
  </w:style>
  <w:style w:type="character" w:customStyle="1" w:styleId="A9">
    <w:name w:val="A9"/>
    <w:uiPriority w:val="99"/>
    <w:rsid w:val="004B692B"/>
    <w:rPr>
      <w:color w:val="000000"/>
      <w:sz w:val="11"/>
      <w:szCs w:val="11"/>
    </w:rPr>
  </w:style>
  <w:style w:type="paragraph" w:styleId="FootnoteText">
    <w:name w:val="footnote text"/>
    <w:basedOn w:val="Normal"/>
    <w:link w:val="FootnoteTextChar"/>
    <w:unhideWhenUsed/>
    <w:rsid w:val="004B692B"/>
    <w:pPr>
      <w:spacing w:after="0"/>
    </w:pPr>
    <w:rPr>
      <w:color w:val="auto"/>
      <w:kern w:val="0"/>
      <w:szCs w:val="20"/>
      <w14:ligatures w14:val="none"/>
    </w:rPr>
  </w:style>
  <w:style w:type="character" w:customStyle="1" w:styleId="FootnoteTextChar">
    <w:name w:val="Footnote Text Char"/>
    <w:basedOn w:val="DefaultParagraphFont"/>
    <w:link w:val="FootnoteText"/>
    <w:rsid w:val="004B692B"/>
    <w:rPr>
      <w:kern w:val="0"/>
      <w:sz w:val="20"/>
      <w:szCs w:val="20"/>
      <w14:ligatures w14:val="none"/>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basedOn w:val="DefaultParagraphFont"/>
    <w:uiPriority w:val="99"/>
    <w:unhideWhenUsed/>
    <w:qFormat/>
    <w:rsid w:val="004B692B"/>
    <w:rPr>
      <w:vertAlign w:val="superscript"/>
    </w:rPr>
  </w:style>
  <w:style w:type="character" w:customStyle="1" w:styleId="Heading7Char">
    <w:name w:val="Heading 7 Char"/>
    <w:basedOn w:val="DefaultParagraphFont"/>
    <w:link w:val="Heading7"/>
    <w:uiPriority w:val="9"/>
    <w:rsid w:val="00350C87"/>
    <w:rPr>
      <w:rFonts w:asciiTheme="majorHAnsi" w:eastAsiaTheme="majorEastAsia" w:hAnsiTheme="majorHAnsi" w:cstheme="majorBidi"/>
      <w:i/>
      <w:iCs/>
      <w:color w:val="011A28" w:themeColor="accent1" w:themeShade="7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10918">
      <w:bodyDiv w:val="1"/>
      <w:marLeft w:val="0"/>
      <w:marRight w:val="0"/>
      <w:marTop w:val="0"/>
      <w:marBottom w:val="0"/>
      <w:divBdr>
        <w:top w:val="none" w:sz="0" w:space="0" w:color="auto"/>
        <w:left w:val="none" w:sz="0" w:space="0" w:color="auto"/>
        <w:bottom w:val="none" w:sz="0" w:space="0" w:color="auto"/>
        <w:right w:val="none" w:sz="0" w:space="0" w:color="auto"/>
      </w:divBdr>
    </w:div>
    <w:div w:id="852763148">
      <w:bodyDiv w:val="1"/>
      <w:marLeft w:val="0"/>
      <w:marRight w:val="0"/>
      <w:marTop w:val="0"/>
      <w:marBottom w:val="0"/>
      <w:divBdr>
        <w:top w:val="none" w:sz="0" w:space="0" w:color="auto"/>
        <w:left w:val="none" w:sz="0" w:space="0" w:color="auto"/>
        <w:bottom w:val="none" w:sz="0" w:space="0" w:color="auto"/>
        <w:right w:val="none" w:sz="0" w:space="0" w:color="auto"/>
      </w:divBdr>
    </w:div>
    <w:div w:id="957949815">
      <w:bodyDiv w:val="1"/>
      <w:marLeft w:val="0"/>
      <w:marRight w:val="0"/>
      <w:marTop w:val="0"/>
      <w:marBottom w:val="0"/>
      <w:divBdr>
        <w:top w:val="none" w:sz="0" w:space="0" w:color="auto"/>
        <w:left w:val="none" w:sz="0" w:space="0" w:color="auto"/>
        <w:bottom w:val="none" w:sz="0" w:space="0" w:color="auto"/>
        <w:right w:val="none" w:sz="0" w:space="0" w:color="auto"/>
      </w:divBdr>
    </w:div>
    <w:div w:id="1034580210">
      <w:bodyDiv w:val="1"/>
      <w:marLeft w:val="0"/>
      <w:marRight w:val="0"/>
      <w:marTop w:val="0"/>
      <w:marBottom w:val="0"/>
      <w:divBdr>
        <w:top w:val="none" w:sz="0" w:space="0" w:color="auto"/>
        <w:left w:val="none" w:sz="0" w:space="0" w:color="auto"/>
        <w:bottom w:val="none" w:sz="0" w:space="0" w:color="auto"/>
        <w:right w:val="none" w:sz="0" w:space="0" w:color="auto"/>
      </w:divBdr>
    </w:div>
    <w:div w:id="1105422706">
      <w:bodyDiv w:val="1"/>
      <w:marLeft w:val="0"/>
      <w:marRight w:val="0"/>
      <w:marTop w:val="0"/>
      <w:marBottom w:val="0"/>
      <w:divBdr>
        <w:top w:val="none" w:sz="0" w:space="0" w:color="auto"/>
        <w:left w:val="none" w:sz="0" w:space="0" w:color="auto"/>
        <w:bottom w:val="none" w:sz="0" w:space="0" w:color="auto"/>
        <w:right w:val="none" w:sz="0" w:space="0" w:color="auto"/>
      </w:divBdr>
    </w:div>
    <w:div w:id="1799764219">
      <w:bodyDiv w:val="1"/>
      <w:marLeft w:val="0"/>
      <w:marRight w:val="0"/>
      <w:marTop w:val="0"/>
      <w:marBottom w:val="0"/>
      <w:divBdr>
        <w:top w:val="none" w:sz="0" w:space="0" w:color="auto"/>
        <w:left w:val="none" w:sz="0" w:space="0" w:color="auto"/>
        <w:bottom w:val="none" w:sz="0" w:space="0" w:color="auto"/>
        <w:right w:val="none" w:sz="0" w:space="0" w:color="auto"/>
      </w:divBdr>
    </w:div>
    <w:div w:id="1833909964">
      <w:bodyDiv w:val="1"/>
      <w:marLeft w:val="0"/>
      <w:marRight w:val="0"/>
      <w:marTop w:val="0"/>
      <w:marBottom w:val="0"/>
      <w:divBdr>
        <w:top w:val="none" w:sz="0" w:space="0" w:color="auto"/>
        <w:left w:val="none" w:sz="0" w:space="0" w:color="auto"/>
        <w:bottom w:val="none" w:sz="0" w:space="0" w:color="auto"/>
        <w:right w:val="none" w:sz="0" w:space="0" w:color="auto"/>
      </w:divBdr>
    </w:div>
    <w:div w:id="1923679768">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2005745259">
      <w:bodyDiv w:val="1"/>
      <w:marLeft w:val="0"/>
      <w:marRight w:val="0"/>
      <w:marTop w:val="0"/>
      <w:marBottom w:val="0"/>
      <w:divBdr>
        <w:top w:val="none" w:sz="0" w:space="0" w:color="auto"/>
        <w:left w:val="none" w:sz="0" w:space="0" w:color="auto"/>
        <w:bottom w:val="none" w:sz="0" w:space="0" w:color="auto"/>
        <w:right w:val="none" w:sz="0" w:space="0" w:color="auto"/>
      </w:divBdr>
    </w:div>
    <w:div w:id="208352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ctreview@justice.qld.gov.au" TargetMode="External"/><Relationship Id="rId13" Type="http://schemas.openxmlformats.org/officeDocument/2006/relationships/hyperlink" Target="https://www.qhrc.qld.gov.au/about-us/reviews/ad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qhrc.qld.gov.au/about-us/reviews/ada/discussion-pape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tinvolved.qld.gov.au/"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justice.qld.gov.au/community-engagement/community-consultation/curren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justice.qld.gov.au/community-engagement/community-consultation" TargetMode="External"/><Relationship Id="rId14" Type="http://schemas.openxmlformats.org/officeDocument/2006/relationships/hyperlink" Target="https://www.publications.qld.gov.au/dataset/qld-govt-response-qhrc-anti-discrimination-act-review/resource/c0fd9b56-1086-4a1e-87e1-81b4a9aae7aa"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epartment of Justice and Attorney-General">
      <a:dk1>
        <a:srgbClr val="484948"/>
      </a:dk1>
      <a:lt1>
        <a:srgbClr val="FFFFFF"/>
      </a:lt1>
      <a:dk2>
        <a:srgbClr val="063651"/>
      </a:dk2>
      <a:lt2>
        <a:srgbClr val="FFFFFF"/>
      </a:lt2>
      <a:accent1>
        <a:srgbClr val="033651"/>
      </a:accent1>
      <a:accent2>
        <a:srgbClr val="66C8CB"/>
      </a:accent2>
      <a:accent3>
        <a:srgbClr val="0F8187"/>
      </a:accent3>
      <a:accent4>
        <a:srgbClr val="F89F34"/>
      </a:accent4>
      <a:accent5>
        <a:srgbClr val="E5E8E8"/>
      </a:accent5>
      <a:accent6>
        <a:srgbClr val="E5E8E8"/>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9DBAE-CBC3-6748-9F50-525F1BFD9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19042</Words>
  <Characters>108540</Characters>
  <Application>Microsoft Office Word</Application>
  <DocSecurity>8</DocSecurity>
  <Lines>904</Lines>
  <Paragraphs>254</Paragraphs>
  <ScaleCrop>false</ScaleCrop>
  <HeadingPairs>
    <vt:vector size="2" baseType="variant">
      <vt:variant>
        <vt:lpstr>Title</vt:lpstr>
      </vt:variant>
      <vt:variant>
        <vt:i4>1</vt:i4>
      </vt:variant>
    </vt:vector>
  </HeadingPairs>
  <TitlesOfParts>
    <vt:vector size="1" baseType="lpstr">
      <vt:lpstr>Anti-Discrimination Bill 2024 consultation - Consultation guide</vt:lpstr>
    </vt:vector>
  </TitlesOfParts>
  <Manager/>
  <Company/>
  <LinksUpToDate>false</LinksUpToDate>
  <CharactersWithSpaces>127328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Anti-Discrimination Bill 2024 consultation - Consultation guide</dc:title>
  <dc:subject>Anti-Discrimination Bill 2024 consultation - Consultation guide</dc:subject>
  <dc:creator/>
  <cp:keywords>Anti-Discrimination Bill 2024 consultation - Consultation guide</cp:keywords>
  <dc:description/>
  <cp:lastModifiedBy/>
  <cp:revision>1</cp:revision>
  <dcterms:created xsi:type="dcterms:W3CDTF">2024-02-28T02:20:00Z</dcterms:created>
  <dcterms:modified xsi:type="dcterms:W3CDTF">2024-02-28T05:49:00Z</dcterms:modified>
</cp:coreProperties>
</file>