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5E73C22E" w:rsidR="00D136D0" w:rsidRPr="00D136D0" w:rsidRDefault="00A1263B" w:rsidP="009F58F2">
      <w:pPr>
        <w:pStyle w:val="Heading1"/>
      </w:pPr>
      <w:r>
        <w:t xml:space="preserve">Multi-agency collaborative panels (MACPs) </w:t>
      </w:r>
      <w:r>
        <w:t>–</w:t>
      </w:r>
      <w:r>
        <w:t xml:space="preserve"> information for legal stakeholders</w:t>
      </w:r>
    </w:p>
    <w:p w14:paraId="3AA696E4" w14:textId="77777777" w:rsidR="00D136D0" w:rsidRDefault="00D136D0" w:rsidP="00A1263B">
      <w:pPr>
        <w:pStyle w:val="Heading2"/>
        <w:spacing w:after="0"/>
        <w:sectPr w:rsidR="00D136D0" w:rsidSect="00A126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701" w:left="1134" w:header="709" w:footer="1474" w:gutter="0"/>
          <w:cols w:space="709"/>
          <w:docGrid w:linePitch="360"/>
        </w:sectPr>
      </w:pPr>
    </w:p>
    <w:p w14:paraId="5D05F019" w14:textId="77777777" w:rsidR="00A1263B" w:rsidRPr="00D136D0" w:rsidRDefault="00A1263B" w:rsidP="00A1263B">
      <w:pPr>
        <w:pStyle w:val="Heading2"/>
        <w:spacing w:before="0"/>
      </w:pPr>
      <w:r>
        <w:t>Background</w:t>
      </w:r>
    </w:p>
    <w:p w14:paraId="47D8CE8A" w14:textId="77777777" w:rsidR="00A1263B" w:rsidRDefault="00A1263B" w:rsidP="00A1263B">
      <w:pPr>
        <w:spacing w:after="120"/>
      </w:pPr>
      <w:r w:rsidRPr="00E6239B">
        <w:t xml:space="preserve">The </w:t>
      </w:r>
      <w:r w:rsidRPr="00456617">
        <w:rPr>
          <w:i/>
          <w:iCs/>
        </w:rPr>
        <w:t>Strengthening Communities Safety Act 2023</w:t>
      </w:r>
      <w:r w:rsidRPr="00E6239B">
        <w:t xml:space="preserve"> was passed by the Queensland Parliament </w:t>
      </w:r>
      <w:r w:rsidRPr="008F6EB7">
        <w:t xml:space="preserve">on 16 March 2023 and commenced on </w:t>
      </w:r>
      <w:r>
        <w:t>22</w:t>
      </w:r>
      <w:r w:rsidRPr="00E6239B">
        <w:t xml:space="preserve"> March 2023, </w:t>
      </w:r>
      <w:r>
        <w:t>making</w:t>
      </w:r>
      <w:r w:rsidRPr="00E6239B">
        <w:t xml:space="preserve"> changes to the </w:t>
      </w:r>
      <w:r w:rsidRPr="00456617">
        <w:rPr>
          <w:i/>
          <w:iCs/>
        </w:rPr>
        <w:t>Youth Justice Act 1992</w:t>
      </w:r>
      <w:r w:rsidRPr="00E6239B">
        <w:t xml:space="preserve">, the </w:t>
      </w:r>
      <w:r w:rsidRPr="00456617">
        <w:rPr>
          <w:i/>
          <w:iCs/>
        </w:rPr>
        <w:t>Bail Act 1980</w:t>
      </w:r>
      <w:r w:rsidRPr="00E6239B">
        <w:t xml:space="preserve">, the </w:t>
      </w:r>
      <w:r w:rsidRPr="00456617">
        <w:rPr>
          <w:i/>
          <w:iCs/>
        </w:rPr>
        <w:t>Police Powers and Responsibilities Act 2000</w:t>
      </w:r>
      <w:r w:rsidRPr="00E6239B">
        <w:t xml:space="preserve"> and the Criminal Code.</w:t>
      </w:r>
    </w:p>
    <w:p w14:paraId="63786DB4" w14:textId="77777777" w:rsidR="00A1263B" w:rsidRPr="00EE577B" w:rsidRDefault="00A1263B" w:rsidP="00A1263B">
      <w:r>
        <w:t xml:space="preserve">The amendments establish MACPs in the </w:t>
      </w:r>
      <w:r>
        <w:rPr>
          <w:i/>
          <w:iCs/>
        </w:rPr>
        <w:t xml:space="preserve">Youth Justice Act 1992 </w:t>
      </w:r>
      <w:r>
        <w:t xml:space="preserve">(the Act).  </w:t>
      </w:r>
    </w:p>
    <w:p w14:paraId="1E158FF9" w14:textId="77777777" w:rsidR="00A1263B" w:rsidRPr="00D136D0" w:rsidRDefault="00A1263B" w:rsidP="00A1263B">
      <w:pPr>
        <w:pStyle w:val="Heading2"/>
        <w:spacing w:before="120"/>
      </w:pPr>
      <w:r>
        <w:t>About MACPs</w:t>
      </w:r>
    </w:p>
    <w:p w14:paraId="3C41076B" w14:textId="77777777" w:rsidR="00A1263B" w:rsidRDefault="00A1263B" w:rsidP="00A1263B">
      <w:pPr>
        <w:pStyle w:val="Heading3"/>
        <w:spacing w:after="0"/>
        <w:rPr>
          <w:rFonts w:cs="Times New Roman"/>
          <w:b w:val="0"/>
          <w:bCs w:val="0"/>
          <w:color w:val="auto"/>
          <w:sz w:val="22"/>
          <w:szCs w:val="24"/>
        </w:rPr>
      </w:pPr>
      <w:r w:rsidRPr="001F1D5D">
        <w:rPr>
          <w:rFonts w:cs="Times New Roman"/>
          <w:b w:val="0"/>
          <w:bCs w:val="0"/>
          <w:color w:val="auto"/>
          <w:sz w:val="22"/>
          <w:szCs w:val="24"/>
        </w:rPr>
        <w:t xml:space="preserve">MACPs have existed </w:t>
      </w:r>
      <w:r>
        <w:rPr>
          <w:rFonts w:cs="Times New Roman"/>
          <w:b w:val="0"/>
          <w:bCs w:val="0"/>
          <w:color w:val="auto"/>
          <w:sz w:val="22"/>
          <w:szCs w:val="24"/>
        </w:rPr>
        <w:t xml:space="preserve">administratively </w:t>
      </w:r>
      <w:r w:rsidRPr="001F1D5D">
        <w:rPr>
          <w:rFonts w:cs="Times New Roman"/>
          <w:b w:val="0"/>
          <w:bCs w:val="0"/>
          <w:color w:val="auto"/>
          <w:sz w:val="22"/>
          <w:szCs w:val="24"/>
        </w:rPr>
        <w:t xml:space="preserve">since </w:t>
      </w:r>
      <w:proofErr w:type="gramStart"/>
      <w:r w:rsidRPr="001F1D5D">
        <w:rPr>
          <w:rFonts w:cs="Times New Roman"/>
          <w:b w:val="0"/>
          <w:bCs w:val="0"/>
          <w:color w:val="auto"/>
          <w:sz w:val="22"/>
          <w:szCs w:val="24"/>
        </w:rPr>
        <w:t>2021, and</w:t>
      </w:r>
      <w:proofErr w:type="gramEnd"/>
      <w:r w:rsidRPr="001F1D5D">
        <w:rPr>
          <w:rFonts w:cs="Times New Roman"/>
          <w:b w:val="0"/>
          <w:bCs w:val="0"/>
          <w:color w:val="auto"/>
          <w:sz w:val="22"/>
          <w:szCs w:val="24"/>
        </w:rPr>
        <w:t xml:space="preserve"> have proved effective in bringing together relevant agencies and non-government service providers to ensure timely and coordinated assessments of the needs of </w:t>
      </w:r>
      <w:r>
        <w:rPr>
          <w:rFonts w:cs="Times New Roman"/>
          <w:b w:val="0"/>
          <w:bCs w:val="0"/>
          <w:color w:val="auto"/>
          <w:sz w:val="22"/>
          <w:szCs w:val="24"/>
        </w:rPr>
        <w:t>the ‘</w:t>
      </w:r>
      <w:r w:rsidRPr="00D9745E">
        <w:rPr>
          <w:rFonts w:cs="Times New Roman"/>
          <w:b w:val="0"/>
          <w:bCs w:val="0"/>
          <w:color w:val="auto"/>
          <w:sz w:val="22"/>
          <w:szCs w:val="24"/>
        </w:rPr>
        <w:t>collaborative response cohort</w:t>
      </w:r>
      <w:r>
        <w:rPr>
          <w:rFonts w:cs="Times New Roman"/>
          <w:b w:val="0"/>
          <w:bCs w:val="0"/>
          <w:color w:val="auto"/>
          <w:sz w:val="22"/>
          <w:szCs w:val="24"/>
        </w:rPr>
        <w:t xml:space="preserve">’ (previously </w:t>
      </w:r>
      <w:r w:rsidRPr="00D9745E">
        <w:rPr>
          <w:rFonts w:cs="Times New Roman"/>
          <w:b w:val="0"/>
          <w:bCs w:val="0"/>
          <w:color w:val="auto"/>
          <w:sz w:val="22"/>
          <w:szCs w:val="24"/>
        </w:rPr>
        <w:t xml:space="preserve">known as the </w:t>
      </w:r>
      <w:r>
        <w:rPr>
          <w:rFonts w:cs="Times New Roman"/>
          <w:b w:val="0"/>
          <w:bCs w:val="0"/>
          <w:color w:val="auto"/>
          <w:sz w:val="22"/>
          <w:szCs w:val="24"/>
        </w:rPr>
        <w:t>serious repeat offender</w:t>
      </w:r>
      <w:r w:rsidRPr="00D9745E">
        <w:rPr>
          <w:rFonts w:cs="Times New Roman"/>
          <w:b w:val="0"/>
          <w:bCs w:val="0"/>
          <w:color w:val="auto"/>
          <w:sz w:val="22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 w:val="22"/>
          <w:szCs w:val="24"/>
        </w:rPr>
        <w:t xml:space="preserve">cohort) </w:t>
      </w:r>
      <w:r w:rsidRPr="001F1D5D">
        <w:rPr>
          <w:rFonts w:cs="Times New Roman"/>
          <w:b w:val="0"/>
          <w:bCs w:val="0"/>
          <w:color w:val="auto"/>
          <w:sz w:val="22"/>
          <w:szCs w:val="24"/>
        </w:rPr>
        <w:t xml:space="preserve">and respond to those </w:t>
      </w:r>
      <w:r>
        <w:rPr>
          <w:rFonts w:cs="Times New Roman"/>
          <w:b w:val="0"/>
          <w:bCs w:val="0"/>
          <w:color w:val="auto"/>
          <w:sz w:val="22"/>
          <w:szCs w:val="24"/>
        </w:rPr>
        <w:t>n</w:t>
      </w:r>
      <w:r w:rsidRPr="001F1D5D">
        <w:rPr>
          <w:rFonts w:cs="Times New Roman"/>
          <w:b w:val="0"/>
          <w:bCs w:val="0"/>
          <w:color w:val="auto"/>
          <w:sz w:val="22"/>
          <w:szCs w:val="24"/>
        </w:rPr>
        <w:t>eeds</w:t>
      </w:r>
      <w:r>
        <w:rPr>
          <w:rFonts w:cs="Times New Roman"/>
          <w:b w:val="0"/>
          <w:bCs w:val="0"/>
          <w:color w:val="auto"/>
          <w:sz w:val="22"/>
          <w:szCs w:val="24"/>
        </w:rPr>
        <w:t>.</w:t>
      </w:r>
    </w:p>
    <w:p w14:paraId="25C6640C" w14:textId="77777777" w:rsidR="00A1263B" w:rsidRDefault="00A1263B" w:rsidP="00A1263B">
      <w:pPr>
        <w:spacing w:after="0"/>
      </w:pPr>
    </w:p>
    <w:p w14:paraId="46F8E179" w14:textId="77777777" w:rsidR="00A1263B" w:rsidRDefault="00A1263B" w:rsidP="00A1263B">
      <w:pPr>
        <w:spacing w:after="0"/>
      </w:pPr>
      <w:r w:rsidRPr="007D3E76">
        <w:t>Part 8A of the Act establishes in legislation the MACP system, its purpose, membership (including the participation of non-core members as appropriate), and the responsibilities of core members.</w:t>
      </w:r>
    </w:p>
    <w:p w14:paraId="54EEB2E0" w14:textId="77777777" w:rsidR="00A1263B" w:rsidRPr="00D07842" w:rsidRDefault="00A1263B" w:rsidP="00A1263B">
      <w:pPr>
        <w:pStyle w:val="Heading3"/>
      </w:pPr>
      <w:r>
        <w:t>Establishment of system</w:t>
      </w:r>
    </w:p>
    <w:p w14:paraId="645125FF" w14:textId="77777777" w:rsidR="00A1263B" w:rsidRPr="00D07842" w:rsidRDefault="00A1263B" w:rsidP="00A1263B">
      <w:pPr>
        <w:spacing w:after="0"/>
      </w:pPr>
      <w:r>
        <w:t>Section 282I provides that the chief executive (‘Youth Justice’)</w:t>
      </w:r>
      <w:r w:rsidRPr="001F1D5D">
        <w:t xml:space="preserve"> must establish a MACP system.</w:t>
      </w:r>
      <w:r>
        <w:t xml:space="preserve"> It is intended that the existing administrative MACPs will become the statutory MACPs.</w:t>
      </w:r>
    </w:p>
    <w:p w14:paraId="182B93B0" w14:textId="77777777" w:rsidR="00A1263B" w:rsidRDefault="00A1263B" w:rsidP="00A1263B">
      <w:pPr>
        <w:pStyle w:val="Heading3"/>
      </w:pPr>
      <w:r>
        <w:t>Purpose</w:t>
      </w:r>
    </w:p>
    <w:p w14:paraId="5ACD7791" w14:textId="77777777" w:rsidR="00A1263B" w:rsidRDefault="00A1263B" w:rsidP="00A1263B">
      <w:r>
        <w:t>Section 282J provides for the</w:t>
      </w:r>
      <w:r w:rsidRPr="001F1D5D">
        <w:t xml:space="preserve"> purpose of the MACP system</w:t>
      </w:r>
      <w:r>
        <w:t>. This legislative purpose aligns with the pre-existing objectives of MACPs, namely, to</w:t>
      </w:r>
      <w:r w:rsidRPr="001F1D5D">
        <w:t xml:space="preserve"> coordinate the provision of services, including assessments and </w:t>
      </w:r>
      <w:r w:rsidRPr="001F1D5D">
        <w:t xml:space="preserve">referrals, to meet the needs of </w:t>
      </w:r>
      <w:proofErr w:type="gramStart"/>
      <w:r w:rsidRPr="001F1D5D">
        <w:t>particular children</w:t>
      </w:r>
      <w:proofErr w:type="gramEnd"/>
      <w:r w:rsidRPr="001F1D5D">
        <w:t xml:space="preserve"> charged with offences or at risk of being charged with offences.</w:t>
      </w:r>
    </w:p>
    <w:p w14:paraId="1770CB19" w14:textId="77777777" w:rsidR="00A1263B" w:rsidRDefault="00A1263B" w:rsidP="00A1263B">
      <w:r>
        <w:t xml:space="preserve">The inclusion of young people ‘at risk of being charged with offences’ ensures MACPs can continue working with young people after any proceedings have concluded, if there is a risk they will reoffend. </w:t>
      </w:r>
    </w:p>
    <w:p w14:paraId="5D2C3441" w14:textId="77777777" w:rsidR="00A1263B" w:rsidRDefault="00A1263B" w:rsidP="00A1263B">
      <w:pPr>
        <w:pStyle w:val="Heading3"/>
      </w:pPr>
      <w:r>
        <w:t>Referral of young people to MACP system</w:t>
      </w:r>
    </w:p>
    <w:p w14:paraId="03DD87F8" w14:textId="77777777" w:rsidR="00A1263B" w:rsidRDefault="00A1263B" w:rsidP="00A1263B">
      <w:r>
        <w:t xml:space="preserve">Section 282L provides guidance in relation to the referral of young people to a MACP.  Youth Justice must decide, in consultation with the core members, the categories of children (each an ‘eligible category’) who may be referred to the MACP system. </w:t>
      </w:r>
    </w:p>
    <w:p w14:paraId="64B5ED37" w14:textId="77777777" w:rsidR="00A1263B" w:rsidRPr="001A676F" w:rsidRDefault="00A1263B" w:rsidP="00A1263B">
      <w:r>
        <w:t xml:space="preserve">There is no intention to alter the existing MACPs’ focus on the collaborative response cohort, or certain other young people on a case-by-case basis who may benefit from a collaborate response. </w:t>
      </w:r>
    </w:p>
    <w:p w14:paraId="325A32B2" w14:textId="77777777" w:rsidR="00A1263B" w:rsidRDefault="00A1263B" w:rsidP="00A1263B">
      <w:pPr>
        <w:spacing w:after="120"/>
      </w:pPr>
      <w:r>
        <w:t xml:space="preserve">Any member of the MACP system may refer a child who is in an eligible category to the system (s.282L(3)). The members of the MACP system must collectively decide </w:t>
      </w:r>
      <w:proofErr w:type="gramStart"/>
      <w:r>
        <w:t>whether or not</w:t>
      </w:r>
      <w:proofErr w:type="gramEnd"/>
      <w:r>
        <w:t xml:space="preserve"> to accept the referral of the child to the system.</w:t>
      </w:r>
    </w:p>
    <w:p w14:paraId="495796BA" w14:textId="77777777" w:rsidR="00A1263B" w:rsidRDefault="00A1263B" w:rsidP="00A1263B">
      <w:pPr>
        <w:pStyle w:val="Heading3"/>
      </w:pPr>
      <w:r>
        <w:t>Members</w:t>
      </w:r>
    </w:p>
    <w:p w14:paraId="403E4306" w14:textId="77777777" w:rsidR="00A1263B" w:rsidRDefault="00A1263B" w:rsidP="00A1263B">
      <w:pPr>
        <w:spacing w:after="80"/>
      </w:pPr>
      <w:r>
        <w:t xml:space="preserve">Section 282K sets legislative expectations about core and non-core membership of MACP systems. Each MACP is to have </w:t>
      </w:r>
      <w:r w:rsidRPr="00A46F1C">
        <w:rPr>
          <w:b/>
          <w:bCs/>
        </w:rPr>
        <w:t>core membership</w:t>
      </w:r>
      <w:r>
        <w:t xml:space="preserve"> from the government agencies that are mainly responsible for any of the following matters: </w:t>
      </w:r>
    </w:p>
    <w:p w14:paraId="2F9E14C6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Aboriginal and Torres Strait Islander services</w:t>
      </w:r>
    </w:p>
    <w:p w14:paraId="5E8FB05E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child protection services</w:t>
      </w:r>
    </w:p>
    <w:p w14:paraId="74A18B98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lastRenderedPageBreak/>
        <w:t>community services</w:t>
      </w:r>
    </w:p>
    <w:p w14:paraId="747534E3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corrective services</w:t>
      </w:r>
    </w:p>
    <w:p w14:paraId="4F7ACD3E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court services</w:t>
      </w:r>
    </w:p>
    <w:p w14:paraId="3520A934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disability services</w:t>
      </w:r>
    </w:p>
    <w:p w14:paraId="4107F606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education</w:t>
      </w:r>
    </w:p>
    <w:p w14:paraId="69761E9E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housing services</w:t>
      </w:r>
    </w:p>
    <w:p w14:paraId="73817673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public health services</w:t>
      </w:r>
    </w:p>
    <w:p w14:paraId="48AA1EED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>youth justice services</w:t>
      </w:r>
    </w:p>
    <w:p w14:paraId="41713B65" w14:textId="77777777" w:rsidR="00A1263B" w:rsidRDefault="00A1263B" w:rsidP="00A1263B">
      <w:pPr>
        <w:pStyle w:val="ListParagraph"/>
        <w:numPr>
          <w:ilvl w:val="0"/>
          <w:numId w:val="11"/>
        </w:numPr>
      </w:pPr>
      <w:r>
        <w:t xml:space="preserve">police services </w:t>
      </w:r>
    </w:p>
    <w:p w14:paraId="30006E9B" w14:textId="77777777" w:rsidR="00A1263B" w:rsidRDefault="00A1263B" w:rsidP="00A1263B">
      <w:r>
        <w:t xml:space="preserve">In addition, </w:t>
      </w:r>
      <w:r w:rsidRPr="00456617">
        <w:t>core members</w:t>
      </w:r>
      <w:r w:rsidRPr="00C13C76">
        <w:t xml:space="preserve"> m</w:t>
      </w:r>
      <w:r>
        <w:t>ay</w:t>
      </w:r>
      <w:r>
        <w:rPr>
          <w:b/>
          <w:bCs/>
        </w:rPr>
        <w:t xml:space="preserve"> </w:t>
      </w:r>
      <w:r w:rsidRPr="00EF5583">
        <w:t>from time to time</w:t>
      </w:r>
      <w:r>
        <w:t xml:space="preserve"> invite relevant </w:t>
      </w:r>
      <w:r w:rsidRPr="00EF5583">
        <w:t>prescribed entities or service providers</w:t>
      </w:r>
      <w:r>
        <w:t xml:space="preserve"> (</w:t>
      </w:r>
      <w:r w:rsidRPr="00EF5583">
        <w:rPr>
          <w:b/>
          <w:bCs/>
        </w:rPr>
        <w:t>non-core members</w:t>
      </w:r>
      <w:r>
        <w:t>) (s.282K(1)(c))</w:t>
      </w:r>
      <w:r w:rsidRPr="00EF5583">
        <w:t>.</w:t>
      </w:r>
    </w:p>
    <w:p w14:paraId="1B9FECC7" w14:textId="77777777" w:rsidR="00A1263B" w:rsidRDefault="00A1263B" w:rsidP="00A1263B">
      <w:pPr>
        <w:pStyle w:val="Heading3"/>
      </w:pPr>
      <w:r>
        <w:t>Prescribed Entities and Service Providers</w:t>
      </w:r>
    </w:p>
    <w:p w14:paraId="614B582C" w14:textId="77777777" w:rsidR="00A1263B" w:rsidRDefault="00A1263B" w:rsidP="00A1263B">
      <w:r>
        <w:t>Prescribed entities and service providers are defined under section 282</w:t>
      </w:r>
      <w:proofErr w:type="gramStart"/>
      <w:r>
        <w:t>K(</w:t>
      </w:r>
      <w:proofErr w:type="gramEnd"/>
      <w:r>
        <w:t xml:space="preserve">2).  </w:t>
      </w:r>
    </w:p>
    <w:p w14:paraId="22826D92" w14:textId="77777777" w:rsidR="00A1263B" w:rsidRDefault="00A1263B" w:rsidP="00A1263B">
      <w:r>
        <w:t xml:space="preserve">Prescribed entities include other government agencies providing services to children; the Mater Hospital; </w:t>
      </w:r>
      <w:r w:rsidRPr="00E3083B">
        <w:t>Hospital and Health Boards</w:t>
      </w:r>
      <w:r>
        <w:t>; the National Disability Insurance Agency; non-state schools; the Public Guardian; and any another entity prescribed by regulation.</w:t>
      </w:r>
    </w:p>
    <w:p w14:paraId="00B24EDD" w14:textId="77777777" w:rsidR="00A1263B" w:rsidRDefault="00A1263B" w:rsidP="00A1263B">
      <w:r>
        <w:t>Service providers include Legal Aid Queensland, and any non-government entity that provides a service to children (such as counselling, disability, education/training, health, housing/</w:t>
      </w:r>
      <w:proofErr w:type="gramStart"/>
      <w:r>
        <w:t>homelessness</w:t>
      </w:r>
      <w:proofErr w:type="gramEnd"/>
      <w:r>
        <w:t xml:space="preserve"> or legal services).</w:t>
      </w:r>
    </w:p>
    <w:p w14:paraId="53881913" w14:textId="77777777" w:rsidR="00A1263B" w:rsidRDefault="00A1263B" w:rsidP="00A1263B">
      <w:r>
        <w:t xml:space="preserve">Should service providers wish to participate in  information sharing under the </w:t>
      </w:r>
      <w:hyperlink r:id="rId17" w:history="1">
        <w:r w:rsidRPr="001A173C">
          <w:rPr>
            <w:rStyle w:val="Hyperlink"/>
          </w:rPr>
          <w:t>cross-agency memorandum of understanding and arrangement</w:t>
        </w:r>
      </w:hyperlink>
      <w:r>
        <w:t xml:space="preserve">, they will need to complete an </w:t>
      </w:r>
      <w:hyperlink r:id="rId18" w:history="1">
        <w:r w:rsidRPr="001A173C">
          <w:rPr>
            <w:rStyle w:val="Hyperlink"/>
          </w:rPr>
          <w:t>online form</w:t>
        </w:r>
      </w:hyperlink>
      <w:r>
        <w:t xml:space="preserve">. </w:t>
      </w:r>
    </w:p>
    <w:p w14:paraId="2736CEDD" w14:textId="77777777" w:rsidR="00A1263B" w:rsidRDefault="00A1263B" w:rsidP="00A1263B">
      <w:r>
        <w:t xml:space="preserve">A regularly updated </w:t>
      </w:r>
      <w:hyperlink r:id="rId19" w:history="1">
        <w:r w:rsidRPr="001A173C">
          <w:rPr>
            <w:rStyle w:val="Hyperlink"/>
          </w:rPr>
          <w:t>service provider list</w:t>
        </w:r>
      </w:hyperlink>
      <w:r>
        <w:t xml:space="preserve"> can be accessed on the department’s website. </w:t>
      </w:r>
    </w:p>
    <w:p w14:paraId="7CAAB4DF" w14:textId="77777777" w:rsidR="00A1263B" w:rsidRDefault="00A1263B" w:rsidP="00A1263B">
      <w:pPr>
        <w:pStyle w:val="Heading3"/>
      </w:pPr>
      <w:r>
        <w:t>Responsibilities of core members</w:t>
      </w:r>
    </w:p>
    <w:p w14:paraId="3BE9BEE1" w14:textId="77777777" w:rsidR="00A1263B" w:rsidRPr="001F1D5D" w:rsidRDefault="00A1263B" w:rsidP="00A1263B">
      <w:pPr>
        <w:pStyle w:val="Heading2"/>
        <w:spacing w:before="0" w:after="80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Section 282M provides the key responsibilities of core members: </w:t>
      </w:r>
    </w:p>
    <w:p w14:paraId="114C9EEC" w14:textId="77777777" w:rsidR="00A1263B" w:rsidRPr="00E36FD2" w:rsidRDefault="00A1263B" w:rsidP="00A1263B">
      <w:pPr>
        <w:pStyle w:val="Heading2"/>
        <w:spacing w:before="0" w:after="80"/>
        <w:ind w:left="454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1F1D5D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to </w:t>
      </w:r>
      <w:r w:rsidRPr="00CC4E1A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contribute to the operation</w:t>
      </w:r>
      <w:r w:rsidRPr="001F1D5D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of the MACP system through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representatives who have appropriate knowledge and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experience and decision-making </w:t>
      </w:r>
      <w:proofErr w:type="gramStart"/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authority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;</w:t>
      </w:r>
      <w:proofErr w:type="gramEnd"/>
    </w:p>
    <w:p w14:paraId="43798DC3" w14:textId="77777777" w:rsidR="00A1263B" w:rsidRPr="00E36FD2" w:rsidRDefault="00A1263B" w:rsidP="00A1263B">
      <w:pPr>
        <w:pStyle w:val="Heading2"/>
        <w:numPr>
          <w:ilvl w:val="0"/>
          <w:numId w:val="12"/>
        </w:numPr>
        <w:tabs>
          <w:tab w:val="num" w:pos="360"/>
        </w:tabs>
        <w:spacing w:before="0" w:after="80"/>
        <w:ind w:left="454" w:hanging="357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210D56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to use their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best endeavours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to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agree on recommendations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to give to Youth Justice, and to each other, about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assessing and responding to the needs and offending behaviour of children referred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to and accepted by the members and, for that purpose, to—</w:t>
      </w:r>
    </w:p>
    <w:p w14:paraId="29405D5D" w14:textId="77777777" w:rsidR="00A1263B" w:rsidRPr="00E36FD2" w:rsidRDefault="00A1263B" w:rsidP="00A1263B">
      <w:pPr>
        <w:pStyle w:val="Heading2"/>
        <w:numPr>
          <w:ilvl w:val="1"/>
          <w:numId w:val="12"/>
        </w:numPr>
        <w:tabs>
          <w:tab w:val="num" w:pos="360"/>
        </w:tabs>
        <w:spacing w:before="0" w:after="80"/>
        <w:ind w:left="964" w:hanging="357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share information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about the children, under the </w:t>
      </w:r>
      <w:hyperlink r:id="rId20" w:history="1">
        <w:r w:rsidRPr="00E36FD2">
          <w:rPr>
            <w:rStyle w:val="Hyperlink"/>
            <w:rFonts w:ascii="Arial" w:hAnsi="Arial" w:cs="Times New Roman"/>
            <w:b w:val="0"/>
            <w:bCs w:val="0"/>
            <w:iCs w:val="0"/>
            <w:sz w:val="22"/>
            <w:szCs w:val="24"/>
          </w:rPr>
          <w:t>cross-agency memorandum of understanding and arrangement</w:t>
        </w:r>
      </w:hyperlink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; and</w:t>
      </w:r>
    </w:p>
    <w:p w14:paraId="254A855D" w14:textId="77777777" w:rsidR="00A1263B" w:rsidRPr="00E36FD2" w:rsidRDefault="00A1263B" w:rsidP="00A1263B">
      <w:pPr>
        <w:pStyle w:val="Heading2"/>
        <w:numPr>
          <w:ilvl w:val="1"/>
          <w:numId w:val="12"/>
        </w:numPr>
        <w:tabs>
          <w:tab w:val="num" w:pos="360"/>
        </w:tabs>
        <w:spacing w:before="0" w:after="80"/>
        <w:ind w:left="964" w:firstLine="0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identify relevant resources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of members or other entities; and</w:t>
      </w:r>
    </w:p>
    <w:p w14:paraId="36EB0CB0" w14:textId="77777777" w:rsidR="00A1263B" w:rsidRPr="00E36FD2" w:rsidRDefault="00A1263B" w:rsidP="00A1263B">
      <w:pPr>
        <w:pStyle w:val="Heading2"/>
        <w:numPr>
          <w:ilvl w:val="1"/>
          <w:numId w:val="12"/>
        </w:numPr>
        <w:tabs>
          <w:tab w:val="num" w:pos="360"/>
        </w:tabs>
        <w:spacing w:before="0" w:after="80"/>
        <w:ind w:left="964" w:firstLine="0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take the action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required under the recommendations; and</w:t>
      </w:r>
    </w:p>
    <w:p w14:paraId="725295D9" w14:textId="77777777" w:rsidR="00A1263B" w:rsidRPr="00E36FD2" w:rsidRDefault="00A1263B" w:rsidP="00A1263B">
      <w:pPr>
        <w:pStyle w:val="Heading2"/>
        <w:numPr>
          <w:ilvl w:val="1"/>
          <w:numId w:val="12"/>
        </w:numPr>
        <w:tabs>
          <w:tab w:val="num" w:pos="360"/>
        </w:tabs>
        <w:spacing w:before="0" w:after="80"/>
        <w:ind w:left="964" w:firstLine="0"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monitor the implementation of the recommendations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and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review their effectiveness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; and</w:t>
      </w:r>
    </w:p>
    <w:p w14:paraId="654BA4D5" w14:textId="77777777" w:rsidR="00A1263B" w:rsidRPr="00456617" w:rsidRDefault="00A1263B" w:rsidP="00A1263B">
      <w:pPr>
        <w:pStyle w:val="Heading2"/>
        <w:numPr>
          <w:ilvl w:val="1"/>
          <w:numId w:val="12"/>
        </w:numPr>
        <w:tabs>
          <w:tab w:val="num" w:pos="360"/>
        </w:tabs>
        <w:spacing w:after="0"/>
        <w:ind w:left="964" w:firstLine="0"/>
        <w:contextualSpacing/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</w:pP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invite and facilitate contributions</w:t>
      </w:r>
      <w:r w:rsidRPr="00E36FD2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 xml:space="preserve"> from prescribed entities or service providers with knowledge, experience or resources </w:t>
      </w:r>
      <w:r w:rsidRPr="00456617">
        <w:rPr>
          <w:rFonts w:ascii="Arial" w:hAnsi="Arial" w:cs="Times New Roman"/>
          <w:b w:val="0"/>
          <w:bCs w:val="0"/>
          <w:iCs w:val="0"/>
          <w:color w:val="auto"/>
          <w:sz w:val="22"/>
          <w:szCs w:val="24"/>
        </w:rPr>
        <w:t>that would help achieve the purpose of the MACP system.</w:t>
      </w:r>
    </w:p>
    <w:p w14:paraId="21FF7B16" w14:textId="77777777" w:rsidR="00A1263B" w:rsidRPr="00D136D0" w:rsidRDefault="00A1263B" w:rsidP="00A1263B">
      <w:pPr>
        <w:pStyle w:val="Heading2"/>
      </w:pPr>
      <w:r>
        <w:t>Further information</w:t>
      </w:r>
    </w:p>
    <w:p w14:paraId="6121D08F" w14:textId="77777777" w:rsidR="00A1263B" w:rsidRDefault="00A1263B" w:rsidP="00A1263B">
      <w:pPr>
        <w:spacing w:after="0"/>
        <w:jc w:val="both"/>
      </w:pPr>
      <w:r>
        <w:t xml:space="preserve">For further information about the </w:t>
      </w:r>
      <w:r w:rsidRPr="00F2045A">
        <w:rPr>
          <w:i/>
          <w:iCs/>
        </w:rPr>
        <w:t>Strengthening Communities Safety Act 2023</w:t>
      </w:r>
      <w:r>
        <w:t xml:space="preserve"> please email Youth Justice Policy, Strategy and Legislation (YJPSL) at</w:t>
      </w:r>
    </w:p>
    <w:p w14:paraId="694AE86C" w14:textId="77777777" w:rsidR="00A1263B" w:rsidRDefault="00A1263B" w:rsidP="00A1263B">
      <w:pPr>
        <w:jc w:val="both"/>
      </w:pPr>
      <w:hyperlink r:id="rId21" w:history="1">
        <w:r w:rsidRPr="00D92284">
          <w:rPr>
            <w:rStyle w:val="Hyperlink"/>
          </w:rPr>
          <w:t>OSED_YJPSL@cyjma.qld.gov.au</w:t>
        </w:r>
      </w:hyperlink>
      <w:r>
        <w:t xml:space="preserve">. </w:t>
      </w:r>
    </w:p>
    <w:p w14:paraId="79C35557" w14:textId="77777777" w:rsidR="00A1263B" w:rsidRDefault="00A1263B" w:rsidP="00A1263B">
      <w:pPr>
        <w:jc w:val="both"/>
      </w:pPr>
      <w:r>
        <w:t>YJPSL cannot give legal advice but may be able to assist with other questions.</w:t>
      </w:r>
      <w:r w:rsidDel="002070F1">
        <w:t xml:space="preserve"> </w:t>
      </w:r>
    </w:p>
    <w:p w14:paraId="790D8B0A" w14:textId="717C3C6E" w:rsidR="006E017E" w:rsidRDefault="006E017E" w:rsidP="006E017E"/>
    <w:sectPr w:rsidR="006E017E" w:rsidSect="00F77B8F">
      <w:headerReference w:type="default" r:id="rId22"/>
      <w:footerReference w:type="default" r:id="rId23"/>
      <w:type w:val="continuous"/>
      <w:pgSz w:w="11906" w:h="16838"/>
      <w:pgMar w:top="2495" w:right="1134" w:bottom="1418" w:left="1134" w:header="709" w:footer="706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EAA" w14:textId="77777777" w:rsidR="003F48B6" w:rsidRDefault="003F48B6">
      <w:r>
        <w:separator/>
      </w:r>
    </w:p>
  </w:endnote>
  <w:endnote w:type="continuationSeparator" w:id="0">
    <w:p w14:paraId="0A398B2C" w14:textId="77777777" w:rsidR="003F48B6" w:rsidRDefault="003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C" w14:textId="77777777" w:rsidR="003F48B6" w:rsidRDefault="003F48B6">
      <w:r>
        <w:separator/>
      </w:r>
    </w:p>
  </w:footnote>
  <w:footnote w:type="continuationSeparator" w:id="0">
    <w:p w14:paraId="692607BE" w14:textId="77777777" w:rsidR="003F48B6" w:rsidRDefault="003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D27B7"/>
    <w:multiLevelType w:val="hybridMultilevel"/>
    <w:tmpl w:val="1A9AC61C"/>
    <w:lvl w:ilvl="0" w:tplc="1F52F9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B68FF8C">
      <w:start w:val="1"/>
      <w:numFmt w:val="lowerRoman"/>
      <w:lvlText w:val="(%2)"/>
      <w:lvlJc w:val="left"/>
      <w:pPr>
        <w:ind w:left="1080" w:hanging="360"/>
      </w:pPr>
      <w:rPr>
        <w:rFonts w:hint="default"/>
        <w:b w:val="0"/>
        <w:bCs w:val="0"/>
      </w:rPr>
    </w:lvl>
    <w:lvl w:ilvl="2" w:tplc="0C09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04978"/>
    <w:multiLevelType w:val="hybridMultilevel"/>
    <w:tmpl w:val="79CE5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1378623113">
    <w:abstractNumId w:val="11"/>
  </w:num>
  <w:num w:numId="12" w16cid:durableId="1359969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1263B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A1263B"/>
    <w:pPr>
      <w:ind w:left="720"/>
      <w:contextualSpacing/>
    </w:pPr>
  </w:style>
  <w:style w:type="character" w:styleId="Hyperlink">
    <w:name w:val="Hyperlink"/>
    <w:basedOn w:val="DefaultParagraphFont"/>
    <w:rsid w:val="00A12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yjma.qld.gov.au/youth-justice/reform/youth-justice-taskforce/service-provider-sign-for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SED_YJPSL@cyjma.qld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yjma.qld.gov.au/resources/dcsyw/youth-justice/resources/information-sharing-services-coordination-mou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cyjma.qld.gov.au/resources/dcsyw/youth-justice/resources/information-sharing-services-coordination-mou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cyjma.qld.gov.au/youth-justice/reform/youth-justice-taskforce/service-provider-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NER3HZ3QZUNC-1648413401-223055</_dlc_DocId>
    <_dlc_DocIdUrl xmlns="dbefc7fa-1a1d-4432-8b48-0661d01a2bf9">
      <Url>https://dsitiaqld.sharepoint.com/sites/DESBT/engagement/customer-experience/communications/_layouts/15/DocIdRedir.aspx?ID=NER3HZ3QZUNC-1648413401-223055</Url>
      <Description>NER3HZ3QZUNC-1648413401-223055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fbbf639-a96b-4cb5-b890-7fc984a8433e"/>
    <ds:schemaRef ds:uri="c5cd0b95-ad48-469c-b60b-2c41487abb3e"/>
    <ds:schemaRef ds:uri="dbefc7fa-1a1d-4432-8b48-0661d01a2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EA086-3FCE-4EAD-9735-FC8E479D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36337-0DA6-4EF4-9CA3-00B265EEFF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5714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Katharine Tilston</cp:lastModifiedBy>
  <cp:revision>2</cp:revision>
  <dcterms:created xsi:type="dcterms:W3CDTF">2024-05-22T02:12:00Z</dcterms:created>
  <dcterms:modified xsi:type="dcterms:W3CDTF">2024-05-22T02:12:00Z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9eb9effc-f46e-4fe2-8104-a777d4df34d6</vt:lpwstr>
  </property>
</Properties>
</file>