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BAA7BDD" w:rsidR="006170E4" w:rsidRDefault="006170E4" w:rsidP="00C37B4B">
            <w:pPr>
              <w:pStyle w:val="DocTitle"/>
            </w:pPr>
            <w:r>
              <w:fldChar w:fldCharType="begin"/>
            </w:r>
            <w:r>
              <w:instrText xml:space="preserve">  IF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instrText>"</w:instrText>
            </w:r>
            <w:r>
              <w:fldChar w:fldCharType="separate"/>
            </w:r>
            <w:r w:rsidR="00B967B9">
              <w:rPr>
                <w:noProof/>
              </w:rPr>
              <w:instrText>Queensland Recreational Boating Facilities Demand Forecasting Study 2022</w:instrText>
            </w:r>
            <w:r>
              <w:fldChar w:fldCharType="end"/>
            </w:r>
            <w:r>
              <w:instrText>"</w:instrText>
            </w:r>
            <w:r>
              <w:fldChar w:fldCharType="separate"/>
            </w:r>
            <w:r w:rsidR="00B967B9">
              <w:rPr>
                <w:noProof/>
              </w:rPr>
              <w:t>Queensland Recreational Boating Facilities Demand Forecasting Study 2022</w:t>
            </w:r>
            <w:r>
              <w:fldChar w:fldCharType="end"/>
            </w:r>
          </w:p>
          <w:p w14:paraId="1F1C9A3E" w14:textId="73849F52"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B967B9">
              <w:instrText>Flinders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B967B9">
              <w:instrText>Flinders Shire Assessment</w:instrText>
            </w:r>
            <w:r>
              <w:fldChar w:fldCharType="end"/>
            </w:r>
            <w:r>
              <w:instrText xml:space="preserve"> = "" "" "</w:instrText>
            </w:r>
            <w:r>
              <w:fldChar w:fldCharType="begin"/>
            </w:r>
            <w:r>
              <w:instrText>DOCPROPERTY IFS_DOCUMENT_SUBTITLE</w:instrText>
            </w:r>
            <w:r>
              <w:fldChar w:fldCharType="separate"/>
            </w:r>
            <w:r w:rsidR="00B967B9">
              <w:instrText>Flinders Shire Assessment</w:instrText>
            </w:r>
            <w:r>
              <w:fldChar w:fldCharType="end"/>
            </w:r>
            <w:r>
              <w:instrText>"</w:instrText>
            </w:r>
            <w:r>
              <w:fldChar w:fldCharType="separate"/>
            </w:r>
            <w:r w:rsidR="00B967B9">
              <w:rPr>
                <w:noProof/>
              </w:rPr>
              <w:instrText>Flinders Shire Assessment</w:instrText>
            </w:r>
            <w:r>
              <w:fldChar w:fldCharType="end"/>
            </w:r>
            <w:r>
              <w:instrText>"</w:instrText>
            </w:r>
            <w:r>
              <w:fldChar w:fldCharType="separate"/>
            </w:r>
            <w:r w:rsidR="00B967B9">
              <w:rPr>
                <w:noProof/>
              </w:rPr>
              <w:t>Flinders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C37B4B">
            <w:pPr>
              <w:pStyle w:val="TitlePageFields"/>
            </w:pPr>
            <w:r>
              <w:t>Customer</w:t>
            </w:r>
          </w:p>
        </w:tc>
        <w:tc>
          <w:tcPr>
            <w:tcW w:w="110" w:type="dxa"/>
          </w:tcPr>
          <w:p w14:paraId="70EB8585" w14:textId="77777777" w:rsidR="00EA606F" w:rsidRDefault="00EA606F" w:rsidP="00C37B4B">
            <w:pPr>
              <w:pStyle w:val="TitlePageFields"/>
            </w:pPr>
          </w:p>
        </w:tc>
        <w:tc>
          <w:tcPr>
            <w:tcW w:w="3767" w:type="dxa"/>
          </w:tcPr>
          <w:p w14:paraId="166E3721" w14:textId="559A8715" w:rsidR="00EA606F" w:rsidRDefault="00EA606F" w:rsidP="00C37B4B">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B967B9">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B967B9">
              <w:instrText>Maritime Safety Queensland</w:instrText>
            </w:r>
            <w:r>
              <w:fldChar w:fldCharType="end"/>
            </w:r>
            <w:r>
              <w:instrText xml:space="preserve"> = "" "" "</w:instrText>
            </w:r>
            <w:r>
              <w:fldChar w:fldCharType="begin"/>
            </w:r>
            <w:r>
              <w:instrText>DOCPROPERTY IFS_Project.1.COMPANY</w:instrText>
            </w:r>
            <w:r>
              <w:fldChar w:fldCharType="separate"/>
            </w:r>
            <w:r w:rsidR="00B967B9">
              <w:instrText>Maritime Safety Queensland</w:instrText>
            </w:r>
            <w:r>
              <w:fldChar w:fldCharType="end"/>
            </w:r>
            <w:r>
              <w:instrText>"</w:instrText>
            </w:r>
            <w:r>
              <w:fldChar w:fldCharType="separate"/>
            </w:r>
            <w:r w:rsidR="00B967B9">
              <w:rPr>
                <w:noProof/>
              </w:rPr>
              <w:instrText>Maritime Safety Queensland</w:instrText>
            </w:r>
            <w:r>
              <w:fldChar w:fldCharType="end"/>
            </w:r>
            <w:r>
              <w:instrText>"</w:instrText>
            </w:r>
            <w:r>
              <w:fldChar w:fldCharType="separate"/>
            </w:r>
            <w:r w:rsidR="00B967B9">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C37B4B">
            <w:pPr>
              <w:pStyle w:val="TitlePageFields"/>
            </w:pPr>
            <w:r>
              <w:t xml:space="preserve">Project </w:t>
            </w:r>
          </w:p>
        </w:tc>
        <w:tc>
          <w:tcPr>
            <w:tcW w:w="110" w:type="dxa"/>
          </w:tcPr>
          <w:p w14:paraId="7B76B460" w14:textId="77777777" w:rsidR="00EA606F" w:rsidRDefault="00EA606F" w:rsidP="00C37B4B">
            <w:pPr>
              <w:pStyle w:val="TitlePageFields"/>
            </w:pPr>
          </w:p>
        </w:tc>
        <w:tc>
          <w:tcPr>
            <w:tcW w:w="3767" w:type="dxa"/>
          </w:tcPr>
          <w:p w14:paraId="13F2C428" w14:textId="0B00429D" w:rsidR="00EA606F" w:rsidRDefault="00EA606F" w:rsidP="00C37B4B">
            <w:pPr>
              <w:pStyle w:val="TitlePageFields"/>
            </w:pPr>
            <w:r>
              <w:fldChar w:fldCharType="begin"/>
            </w:r>
            <w:r>
              <w:instrText xml:space="preserve">  IF </w:instrText>
            </w:r>
            <w:r>
              <w:fldChar w:fldCharType="begin"/>
            </w:r>
            <w:r>
              <w:instrText>DOCPROPERTY BMT_ProjectNumber</w:instrText>
            </w:r>
            <w:r>
              <w:fldChar w:fldCharType="separate"/>
            </w:r>
            <w:r w:rsidR="00B967B9">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B967B9">
              <w:instrText>A12068</w:instrText>
            </w:r>
            <w:r>
              <w:fldChar w:fldCharType="end"/>
            </w:r>
            <w:r>
              <w:instrText xml:space="preserve"> = "" "" "</w:instrText>
            </w:r>
            <w:r>
              <w:fldChar w:fldCharType="begin"/>
            </w:r>
            <w:r>
              <w:instrText>DOCPROPERTY BMT_ProjectNumber</w:instrText>
            </w:r>
            <w:r>
              <w:fldChar w:fldCharType="separate"/>
            </w:r>
            <w:r w:rsidR="00B967B9">
              <w:instrText>A12068</w:instrText>
            </w:r>
            <w:r>
              <w:fldChar w:fldCharType="end"/>
            </w:r>
            <w:r>
              <w:instrText>"</w:instrText>
            </w:r>
            <w:r>
              <w:fldChar w:fldCharType="separate"/>
            </w:r>
            <w:r w:rsidR="00B967B9">
              <w:rPr>
                <w:noProof/>
              </w:rPr>
              <w:instrText>A12068</w:instrText>
            </w:r>
            <w:r>
              <w:fldChar w:fldCharType="end"/>
            </w:r>
            <w:r>
              <w:instrText>"</w:instrText>
            </w:r>
            <w:r>
              <w:fldChar w:fldCharType="separate"/>
            </w:r>
            <w:r w:rsidR="00B967B9">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C37B4B">
            <w:pPr>
              <w:pStyle w:val="TitlePageFields"/>
            </w:pPr>
            <w:r>
              <w:t xml:space="preserve">Deliverable </w:t>
            </w:r>
          </w:p>
        </w:tc>
        <w:tc>
          <w:tcPr>
            <w:tcW w:w="110" w:type="dxa"/>
          </w:tcPr>
          <w:p w14:paraId="6A4E8715" w14:textId="77777777" w:rsidR="00EA606F" w:rsidRDefault="00EA606F" w:rsidP="00C37B4B">
            <w:pPr>
              <w:pStyle w:val="TitlePageFields"/>
            </w:pPr>
          </w:p>
        </w:tc>
        <w:tc>
          <w:tcPr>
            <w:tcW w:w="3767" w:type="dxa"/>
          </w:tcPr>
          <w:p w14:paraId="61A112A2" w14:textId="4D16D321" w:rsidR="00EA606F" w:rsidRDefault="00EA606F" w:rsidP="00C37B4B">
            <w:pPr>
              <w:pStyle w:val="TitlePageFields"/>
            </w:pPr>
            <w:r>
              <w:fldChar w:fldCharType="begin"/>
            </w:r>
            <w:r>
              <w:instrText xml:space="preserve">  IF </w:instrText>
            </w:r>
            <w:r>
              <w:fldChar w:fldCharType="begin"/>
            </w:r>
            <w:r>
              <w:instrText>DOCPROPERTY BMT_DeliverableNumber</w:instrText>
            </w:r>
            <w:r>
              <w:fldChar w:fldCharType="separate"/>
            </w:r>
            <w:r w:rsidR="00B967B9">
              <w:instrText>057</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B967B9">
              <w:instrText>057</w:instrText>
            </w:r>
            <w:r>
              <w:fldChar w:fldCharType="end"/>
            </w:r>
            <w:r>
              <w:instrText xml:space="preserve"> = "" "" "</w:instrText>
            </w:r>
            <w:r>
              <w:fldChar w:fldCharType="begin"/>
            </w:r>
            <w:r>
              <w:instrText>DOCPROPERTY BMT_DeliverableNumber</w:instrText>
            </w:r>
            <w:r>
              <w:fldChar w:fldCharType="separate"/>
            </w:r>
            <w:r w:rsidR="00B967B9">
              <w:instrText>057</w:instrText>
            </w:r>
            <w:r>
              <w:fldChar w:fldCharType="end"/>
            </w:r>
            <w:r>
              <w:instrText>"</w:instrText>
            </w:r>
            <w:r>
              <w:fldChar w:fldCharType="separate"/>
            </w:r>
            <w:r w:rsidR="00B967B9">
              <w:rPr>
                <w:noProof/>
              </w:rPr>
              <w:instrText>057</w:instrText>
            </w:r>
            <w:r>
              <w:fldChar w:fldCharType="end"/>
            </w:r>
            <w:r>
              <w:instrText>"</w:instrText>
            </w:r>
            <w:r>
              <w:fldChar w:fldCharType="separate"/>
            </w:r>
            <w:r w:rsidR="00B967B9">
              <w:rPr>
                <w:noProof/>
              </w:rPr>
              <w:t>057</w:t>
            </w:r>
            <w:r>
              <w:fldChar w:fldCharType="end"/>
            </w:r>
          </w:p>
        </w:tc>
      </w:tr>
      <w:tr w:rsidR="00EA606F" w14:paraId="48CCF68D" w14:textId="77777777" w:rsidTr="003659B0">
        <w:trPr>
          <w:jc w:val="right"/>
        </w:trPr>
        <w:tc>
          <w:tcPr>
            <w:tcW w:w="1425" w:type="dxa"/>
          </w:tcPr>
          <w:p w14:paraId="7D83732C" w14:textId="77777777" w:rsidR="00EA606F" w:rsidRDefault="00EA606F" w:rsidP="00C37B4B">
            <w:pPr>
              <w:pStyle w:val="TitlePageFields"/>
            </w:pPr>
            <w:r>
              <w:t xml:space="preserve">Version </w:t>
            </w:r>
          </w:p>
        </w:tc>
        <w:tc>
          <w:tcPr>
            <w:tcW w:w="110" w:type="dxa"/>
          </w:tcPr>
          <w:p w14:paraId="36E65632" w14:textId="77777777" w:rsidR="00EA606F" w:rsidRDefault="00EA606F" w:rsidP="00C37B4B">
            <w:pPr>
              <w:pStyle w:val="TitlePageFields"/>
            </w:pPr>
          </w:p>
        </w:tc>
        <w:tc>
          <w:tcPr>
            <w:tcW w:w="3767" w:type="dxa"/>
          </w:tcPr>
          <w:p w14:paraId="3D8595B4" w14:textId="6E52E36E" w:rsidR="00EA606F" w:rsidRDefault="00EA606F" w:rsidP="00C37B4B">
            <w:pPr>
              <w:pStyle w:val="TitlePageFields"/>
            </w:pPr>
            <w:r>
              <w:fldChar w:fldCharType="begin"/>
            </w:r>
            <w:r>
              <w:instrText xml:space="preserve">  IF </w:instrText>
            </w:r>
            <w:r>
              <w:fldChar w:fldCharType="begin"/>
            </w:r>
            <w:r>
              <w:instrText>DOCPROPERTY BMT_VersionNumber</w:instrText>
            </w:r>
            <w:r>
              <w:fldChar w:fldCharType="separate"/>
            </w:r>
            <w:r w:rsidR="00B967B9">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B967B9">
              <w:instrText>01</w:instrText>
            </w:r>
            <w:r>
              <w:fldChar w:fldCharType="end"/>
            </w:r>
            <w:r>
              <w:instrText xml:space="preserve"> = "" "" "</w:instrText>
            </w:r>
            <w:r>
              <w:fldChar w:fldCharType="begin"/>
            </w:r>
            <w:r>
              <w:instrText>DOCPROPERTY BMT_VersionNumber</w:instrText>
            </w:r>
            <w:r>
              <w:fldChar w:fldCharType="separate"/>
            </w:r>
            <w:r w:rsidR="00B967B9">
              <w:instrText>01</w:instrText>
            </w:r>
            <w:r>
              <w:fldChar w:fldCharType="end"/>
            </w:r>
            <w:r>
              <w:instrText>"</w:instrText>
            </w:r>
            <w:r>
              <w:fldChar w:fldCharType="separate"/>
            </w:r>
            <w:r w:rsidR="00B967B9">
              <w:rPr>
                <w:noProof/>
              </w:rPr>
              <w:instrText>01</w:instrText>
            </w:r>
            <w:r>
              <w:fldChar w:fldCharType="end"/>
            </w:r>
            <w:r>
              <w:instrText>"</w:instrText>
            </w:r>
            <w:r>
              <w:fldChar w:fldCharType="separate"/>
            </w:r>
            <w:r w:rsidR="00B967B9">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C37B4B">
            <w:pPr>
              <w:pStyle w:val="TitlePageFields"/>
            </w:pPr>
          </w:p>
        </w:tc>
        <w:tc>
          <w:tcPr>
            <w:tcW w:w="110" w:type="dxa"/>
          </w:tcPr>
          <w:p w14:paraId="089BB0D0" w14:textId="77777777" w:rsidR="00EA606F" w:rsidRDefault="00EA606F" w:rsidP="00C37B4B">
            <w:pPr>
              <w:pStyle w:val="TitlePageFields"/>
            </w:pPr>
          </w:p>
        </w:tc>
        <w:tc>
          <w:tcPr>
            <w:tcW w:w="3767" w:type="dxa"/>
          </w:tcPr>
          <w:p w14:paraId="57DACF0A" w14:textId="6A5BF777" w:rsidR="00EA606F" w:rsidRDefault="00EA606F" w:rsidP="00C37B4B">
            <w:pPr>
              <w:pStyle w:val="TitlePageFields"/>
            </w:pPr>
            <w:r>
              <w:fldChar w:fldCharType="begin"/>
            </w:r>
            <w:r>
              <w:instrText xml:space="preserve">  IF </w:instrText>
            </w:r>
            <w:r>
              <w:fldChar w:fldCharType="begin"/>
            </w:r>
            <w:r>
              <w:instrText>DOCPROPERTY IFS_DOCUMENT_TITLE_DATE_CREATED</w:instrText>
            </w:r>
            <w:r>
              <w:fldChar w:fldCharType="separate"/>
            </w:r>
            <w:r w:rsidR="00B967B9">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B967B9">
              <w:instrText>21 April 2023</w:instrText>
            </w:r>
            <w:r>
              <w:fldChar w:fldCharType="end"/>
            </w:r>
            <w:r>
              <w:instrText xml:space="preserve"> = "" "" "</w:instrText>
            </w:r>
            <w:r>
              <w:fldChar w:fldCharType="begin"/>
            </w:r>
            <w:r>
              <w:instrText>DOCPROPERTY IFS_DOCUMENT_TITLE_DATE_CREATED</w:instrText>
            </w:r>
            <w:r>
              <w:fldChar w:fldCharType="separate"/>
            </w:r>
            <w:r w:rsidR="00B967B9">
              <w:instrText>21 April 2023</w:instrText>
            </w:r>
            <w:r>
              <w:fldChar w:fldCharType="end"/>
            </w:r>
            <w:r>
              <w:instrText>"</w:instrText>
            </w:r>
            <w:r>
              <w:fldChar w:fldCharType="separate"/>
            </w:r>
            <w:r w:rsidR="00B967B9">
              <w:rPr>
                <w:noProof/>
              </w:rPr>
              <w:instrText>21 April 2023</w:instrText>
            </w:r>
            <w:r>
              <w:fldChar w:fldCharType="end"/>
            </w:r>
            <w:r>
              <w:instrText>"</w:instrText>
            </w:r>
            <w:r>
              <w:fldChar w:fldCharType="separate"/>
            </w:r>
            <w:r w:rsidR="00B967B9">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C37B4B">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51810FC5"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instrText>"</w:instrText>
            </w:r>
            <w:r>
              <w:fldChar w:fldCharType="separate"/>
            </w:r>
            <w:r w:rsidR="00B967B9">
              <w:rPr>
                <w:noProof/>
              </w:rPr>
              <w:instrText>Queensland Recreational Boating Facilities Demand Forecasting Study 2022</w:instrText>
            </w:r>
            <w:r>
              <w:fldChar w:fldCharType="end"/>
            </w:r>
            <w:r>
              <w:instrText>"</w:instrText>
            </w:r>
            <w:r>
              <w:fldChar w:fldCharType="separate"/>
            </w:r>
            <w:r w:rsidR="00B967B9">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19B831CB"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B967B9">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B967B9">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B967B9">
              <w:instrText>A12068</w:instrText>
            </w:r>
            <w:r>
              <w:fldChar w:fldCharType="end"/>
            </w:r>
            <w:r>
              <w:instrText>"</w:instrText>
            </w:r>
            <w:r>
              <w:fldChar w:fldCharType="separate"/>
            </w:r>
            <w:r w:rsidR="00B967B9">
              <w:rPr>
                <w:noProof/>
              </w:rPr>
              <w:instrText>A12068</w:instrText>
            </w:r>
            <w:r>
              <w:fldChar w:fldCharType="end"/>
            </w:r>
            <w:r>
              <w:instrText>"</w:instrText>
            </w:r>
            <w:r>
              <w:fldChar w:fldCharType="separate"/>
            </w:r>
            <w:r w:rsidR="00B967B9">
              <w:rPr>
                <w:noProof/>
              </w:rPr>
              <w:t>A12068</w:t>
            </w:r>
            <w:r>
              <w:fldChar w:fldCharType="end"/>
            </w:r>
          </w:p>
        </w:tc>
      </w:tr>
      <w:tr w:rsidR="0029620A" w14:paraId="3930E1F6" w14:textId="77777777" w:rsidTr="0035599A">
        <w:tc>
          <w:tcPr>
            <w:tcW w:w="2268" w:type="dxa"/>
            <w:shd w:val="clear" w:color="auto" w:fill="005581" w:themeFill="text2"/>
          </w:tcPr>
          <w:p w14:paraId="03ECFFA0" w14:textId="77777777" w:rsidR="0029620A" w:rsidRDefault="0029620A" w:rsidP="009B3F3A">
            <w:pPr>
              <w:pStyle w:val="TableHeading"/>
            </w:pPr>
            <w:r>
              <w:t>Deliverable No</w:t>
            </w:r>
          </w:p>
        </w:tc>
        <w:tc>
          <w:tcPr>
            <w:tcW w:w="7371" w:type="dxa"/>
            <w:shd w:val="clear" w:color="auto" w:fill="DCE2DF"/>
          </w:tcPr>
          <w:p w14:paraId="36175BFE" w14:textId="2602C1B5" w:rsidR="0029620A" w:rsidRPr="00426C75" w:rsidRDefault="0029620A" w:rsidP="0029620A">
            <w:pPr>
              <w:pStyle w:val="TableText"/>
            </w:pPr>
            <w:r w:rsidRPr="00426C75">
              <w:fldChar w:fldCharType="begin"/>
            </w:r>
            <w:r w:rsidRPr="00426C75">
              <w:instrText xml:space="preserve">  IF </w:instrText>
            </w:r>
            <w:fldSimple w:instr="  DOCPROPERTY BMT_DeliverableNumber  ">
              <w:r w:rsidR="00B967B9">
                <w:instrText>057</w:instrText>
              </w:r>
            </w:fldSimple>
            <w:r w:rsidRPr="00426C75">
              <w:instrText xml:space="preserve">  = "Error! Unknown document property name." "" "</w:instrText>
            </w:r>
            <w:r w:rsidRPr="00426C75">
              <w:fldChar w:fldCharType="begin"/>
            </w:r>
            <w:r w:rsidRPr="00426C75">
              <w:instrText xml:space="preserve">  IF </w:instrText>
            </w:r>
            <w:fldSimple w:instr="  DOCPROPERTY BMT_DeliverableNumber  ">
              <w:r w:rsidR="00B967B9">
                <w:instrText>057</w:instrText>
              </w:r>
            </w:fldSimple>
            <w:r w:rsidRPr="00426C75">
              <w:instrText xml:space="preserve"> = "" "" "</w:instrText>
            </w:r>
            <w:fldSimple w:instr="  DOCPROPERTY BMT_DeliverableNumber  ">
              <w:r w:rsidR="00B967B9">
                <w:instrText>057</w:instrText>
              </w:r>
            </w:fldSimple>
            <w:r w:rsidRPr="00426C75">
              <w:instrText>"</w:instrText>
            </w:r>
            <w:r w:rsidRPr="00426C75">
              <w:fldChar w:fldCharType="separate"/>
            </w:r>
            <w:r w:rsidR="00B967B9">
              <w:rPr>
                <w:noProof/>
              </w:rPr>
              <w:instrText>057</w:instrText>
            </w:r>
            <w:r w:rsidRPr="00426C75">
              <w:fldChar w:fldCharType="end"/>
            </w:r>
            <w:r w:rsidRPr="00426C75">
              <w:instrText>"</w:instrText>
            </w:r>
            <w:r w:rsidRPr="00426C75">
              <w:fldChar w:fldCharType="separate"/>
            </w:r>
            <w:r w:rsidR="00B967B9">
              <w:rPr>
                <w:noProof/>
              </w:rPr>
              <w:t>057</w:t>
            </w:r>
            <w:r w:rsidRPr="00426C75">
              <w:fldChar w:fldCharType="end"/>
            </w:r>
          </w:p>
        </w:tc>
      </w:tr>
      <w:tr w:rsidR="0029620A" w14:paraId="6A8AF282" w14:textId="77777777" w:rsidTr="0035599A">
        <w:tc>
          <w:tcPr>
            <w:tcW w:w="2268" w:type="dxa"/>
            <w:shd w:val="clear" w:color="auto" w:fill="005581" w:themeFill="text2"/>
          </w:tcPr>
          <w:p w14:paraId="2359672C" w14:textId="77777777" w:rsidR="0029620A" w:rsidRDefault="0029620A" w:rsidP="009B3F3A">
            <w:pPr>
              <w:pStyle w:val="TableHeading"/>
            </w:pPr>
            <w:r>
              <w:t>Version No</w:t>
            </w:r>
          </w:p>
        </w:tc>
        <w:tc>
          <w:tcPr>
            <w:tcW w:w="7371" w:type="dxa"/>
            <w:shd w:val="clear" w:color="auto" w:fill="DCE2DF"/>
          </w:tcPr>
          <w:p w14:paraId="37D7BD6E" w14:textId="27742838" w:rsidR="0029620A" w:rsidRPr="00426C75" w:rsidRDefault="0029620A" w:rsidP="0029620A">
            <w:pPr>
              <w:pStyle w:val="TableText"/>
            </w:pPr>
            <w:r w:rsidRPr="00426C75">
              <w:fldChar w:fldCharType="begin"/>
            </w:r>
            <w:r w:rsidRPr="00426C75">
              <w:instrText xml:space="preserve">  IF </w:instrText>
            </w:r>
            <w:fldSimple w:instr="  DOCPROPERTY BMT_VersionNumber  ">
              <w:r w:rsidR="00B967B9">
                <w:instrText>01</w:instrText>
              </w:r>
            </w:fldSimple>
            <w:r w:rsidRPr="00426C75">
              <w:instrText xml:space="preserve">  = "Error! Unknown document property name." "" "</w:instrText>
            </w:r>
            <w:r w:rsidRPr="00426C75">
              <w:fldChar w:fldCharType="begin"/>
            </w:r>
            <w:r w:rsidRPr="00426C75">
              <w:instrText xml:space="preserve">  IF </w:instrText>
            </w:r>
            <w:fldSimple w:instr="  DOCPROPERTY BMT_VersionNumber  ">
              <w:r w:rsidR="00B967B9">
                <w:instrText>01</w:instrText>
              </w:r>
            </w:fldSimple>
            <w:r w:rsidRPr="00426C75">
              <w:instrText xml:space="preserve"> = "" "" "</w:instrText>
            </w:r>
            <w:fldSimple w:instr="  DOCPROPERTY BMT_VersionNumber  ">
              <w:r w:rsidR="00B967B9">
                <w:instrText>01</w:instrText>
              </w:r>
            </w:fldSimple>
            <w:r w:rsidRPr="00426C75">
              <w:instrText>"</w:instrText>
            </w:r>
            <w:r w:rsidRPr="00426C75">
              <w:fldChar w:fldCharType="separate"/>
            </w:r>
            <w:r w:rsidR="00B967B9">
              <w:rPr>
                <w:noProof/>
              </w:rPr>
              <w:instrText>01</w:instrText>
            </w:r>
            <w:r w:rsidRPr="00426C75">
              <w:fldChar w:fldCharType="end"/>
            </w:r>
            <w:r w:rsidRPr="00426C75">
              <w:instrText>"</w:instrText>
            </w:r>
            <w:r w:rsidRPr="00426C75">
              <w:fldChar w:fldCharType="separate"/>
            </w:r>
            <w:r w:rsidR="00B967B9">
              <w:rPr>
                <w:noProof/>
              </w:rPr>
              <w:t>01</w:t>
            </w:r>
            <w:r w:rsidRPr="00426C75">
              <w:fldChar w:fldCharType="end"/>
            </w:r>
          </w:p>
        </w:tc>
      </w:tr>
      <w:tr w:rsidR="00724E03" w14:paraId="0407FC6E" w14:textId="77777777" w:rsidTr="0035599A">
        <w:tc>
          <w:tcPr>
            <w:tcW w:w="2268" w:type="dxa"/>
            <w:shd w:val="clear" w:color="auto" w:fill="005581" w:themeFill="text2"/>
          </w:tcPr>
          <w:p w14:paraId="6F86655A" w14:textId="77777777" w:rsidR="00724E03" w:rsidRDefault="00724E03" w:rsidP="009B3F3A">
            <w:pPr>
              <w:pStyle w:val="TableHeading"/>
            </w:pPr>
            <w:r>
              <w:t>Version Date</w:t>
            </w:r>
          </w:p>
        </w:tc>
        <w:sdt>
          <w:sdtPr>
            <w:alias w:val="Date"/>
            <w:tag w:val="Date"/>
            <w:id w:val="-792437220"/>
            <w:placeholder>
              <w:docPart w:val="B6747A2F811C4967BC896F53C9C3D187"/>
            </w:placeholder>
            <w:date w:fullDate="2023-04-21T00:00:00Z">
              <w:dateFormat w:val="dd MMMM yyyy"/>
              <w:lid w:val="en-GB"/>
              <w:storeMappedDataAs w:val="dateTime"/>
              <w:calendar w:val="gregorian"/>
            </w:date>
          </w:sdtPr>
          <w:sdtEndPr/>
          <w:sdtContent>
            <w:tc>
              <w:tcPr>
                <w:tcW w:w="7371" w:type="dxa"/>
                <w:shd w:val="clear" w:color="auto" w:fill="DCE2DF"/>
              </w:tcPr>
              <w:p w14:paraId="11EB1EC4" w14:textId="3D4CB2A5" w:rsidR="00724E03" w:rsidRPr="00426C75" w:rsidRDefault="00C37B4B" w:rsidP="0035599A">
                <w:pPr>
                  <w:pStyle w:val="TableText"/>
                </w:pPr>
                <w:r>
                  <w:t>21 April 2023</w:t>
                </w:r>
              </w:p>
            </w:tc>
          </w:sdtContent>
        </w:sdt>
      </w:tr>
      <w:tr w:rsidR="00724E03" w14:paraId="68EEB122" w14:textId="77777777" w:rsidTr="0035599A">
        <w:tc>
          <w:tcPr>
            <w:tcW w:w="2268" w:type="dxa"/>
            <w:shd w:val="clear" w:color="auto" w:fill="005581" w:themeFill="text2"/>
          </w:tcPr>
          <w:p w14:paraId="416BB66B" w14:textId="77777777" w:rsidR="00724E03" w:rsidRDefault="00724E03" w:rsidP="009B3F3A">
            <w:pPr>
              <w:pStyle w:val="TableHeading"/>
            </w:pPr>
            <w:r>
              <w:t>Customer</w:t>
            </w:r>
          </w:p>
        </w:tc>
        <w:tc>
          <w:tcPr>
            <w:tcW w:w="7371" w:type="dxa"/>
            <w:shd w:val="clear" w:color="auto" w:fill="DCE2DF"/>
          </w:tcPr>
          <w:p w14:paraId="5C41F206" w14:textId="219D84C7" w:rsidR="00724E03" w:rsidRPr="00426C75" w:rsidRDefault="00561B63" w:rsidP="003659B0">
            <w:pPr>
              <w:pStyle w:val="TableText"/>
              <w:ind w:left="0"/>
            </w:pPr>
            <w:r w:rsidRPr="00426C75">
              <w:fldChar w:fldCharType="begin"/>
            </w:r>
            <w:r w:rsidRPr="00426C75">
              <w:instrText xml:space="preserve">  IF </w:instrText>
            </w:r>
            <w:r>
              <w:fldChar w:fldCharType="begin"/>
            </w:r>
            <w:r>
              <w:instrText>DOCPROPERTY IFS_Project.1.COMPANY</w:instrText>
            </w:r>
            <w:r>
              <w:fldChar w:fldCharType="separate"/>
            </w:r>
            <w:r w:rsidR="00B967B9">
              <w:instrText>Maritime Safety Queensland</w:instrText>
            </w:r>
            <w:r>
              <w:fldChar w:fldCharType="end"/>
            </w:r>
            <w:r w:rsidRPr="00426C75">
              <w:instrText xml:space="preserve">  = "Error! Unknown document property name." "" "</w:instrText>
            </w:r>
            <w:r w:rsidRPr="00426C75">
              <w:fldChar w:fldCharType="begin"/>
            </w:r>
            <w:r w:rsidRPr="00426C75">
              <w:instrText xml:space="preserve">  IF </w:instrText>
            </w:r>
            <w:r>
              <w:fldChar w:fldCharType="begin"/>
            </w:r>
            <w:r>
              <w:instrText>DOCPROPERTY IFS_Project.1.COMPANY</w:instrText>
            </w:r>
            <w:r>
              <w:fldChar w:fldCharType="separate"/>
            </w:r>
            <w:r w:rsidR="00B967B9">
              <w:instrText>Maritime Safety Queensland</w:instrText>
            </w:r>
            <w:r>
              <w:fldChar w:fldCharType="end"/>
            </w:r>
            <w:r w:rsidRPr="00426C75">
              <w:instrText xml:space="preserve"> = "" "" "</w:instrText>
            </w:r>
            <w:r>
              <w:fldChar w:fldCharType="begin"/>
            </w:r>
            <w:r>
              <w:instrText>DOCPROPERTY IFS_Project.1.COMPANY</w:instrText>
            </w:r>
            <w:r>
              <w:fldChar w:fldCharType="separate"/>
            </w:r>
            <w:r w:rsidR="00B967B9">
              <w:instrText>Maritime Safety Queensland</w:instrText>
            </w:r>
            <w:r>
              <w:fldChar w:fldCharType="end"/>
            </w:r>
            <w:r w:rsidRPr="00426C75">
              <w:instrText>"</w:instrText>
            </w:r>
            <w:r w:rsidRPr="00426C75">
              <w:fldChar w:fldCharType="separate"/>
            </w:r>
            <w:r w:rsidR="00B967B9">
              <w:rPr>
                <w:noProof/>
              </w:rPr>
              <w:instrText>Maritime Safety Queensland</w:instrText>
            </w:r>
            <w:r w:rsidRPr="00426C75">
              <w:fldChar w:fldCharType="end"/>
            </w:r>
            <w:r w:rsidRPr="00426C75">
              <w:instrText>"</w:instrText>
            </w:r>
            <w:r w:rsidRPr="00426C75">
              <w:fldChar w:fldCharType="separate"/>
            </w:r>
            <w:r w:rsidR="00B967B9">
              <w:rPr>
                <w:noProof/>
              </w:rPr>
              <w:t>Maritime Safety Queensland</w:t>
            </w:r>
            <w:r w:rsidRPr="00426C75">
              <w:fldChar w:fldCharType="end"/>
            </w:r>
            <w:r w:rsidR="00C37B4B">
              <w:t>, a branch of the Department of Transport and Main Roads</w:t>
            </w:r>
          </w:p>
        </w:tc>
      </w:tr>
      <w:tr w:rsidR="0079406D" w14:paraId="6F1B38F5" w14:textId="77777777" w:rsidTr="0035599A">
        <w:tc>
          <w:tcPr>
            <w:tcW w:w="2268" w:type="dxa"/>
            <w:shd w:val="clear" w:color="auto" w:fill="005581" w:themeFill="text2"/>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Pr="00426C75" w:rsidRDefault="00F402BB" w:rsidP="00D77372">
            <w:pPr>
              <w:pStyle w:val="TableText"/>
              <w:ind w:left="0"/>
            </w:pPr>
            <w:r w:rsidRPr="00426C75">
              <w:t xml:space="preserve"> boatinginfrastructure@msq.qld.gov.au</w:t>
            </w:r>
          </w:p>
        </w:tc>
      </w:tr>
      <w:tr w:rsidR="00724E03" w14:paraId="5297C126" w14:textId="77777777" w:rsidTr="0035599A">
        <w:tc>
          <w:tcPr>
            <w:tcW w:w="2268" w:type="dxa"/>
            <w:shd w:val="clear" w:color="auto" w:fill="005581" w:themeFill="text2"/>
          </w:tcPr>
          <w:p w14:paraId="02650BD7" w14:textId="77777777" w:rsidR="00724E03" w:rsidRDefault="00724E03" w:rsidP="009B3F3A">
            <w:pPr>
              <w:pStyle w:val="TableHeading"/>
            </w:pPr>
            <w:r>
              <w:t>Classification</w:t>
            </w:r>
          </w:p>
        </w:tc>
        <w:tc>
          <w:tcPr>
            <w:tcW w:w="7371" w:type="dxa"/>
            <w:shd w:val="clear" w:color="auto" w:fill="DCE2DF"/>
          </w:tcPr>
          <w:p w14:paraId="7983DBE4" w14:textId="53EF4531" w:rsidR="00724E03" w:rsidRPr="00426C75" w:rsidRDefault="00561B63" w:rsidP="0035599A">
            <w:pPr>
              <w:pStyle w:val="TableText"/>
            </w:pPr>
            <w:r w:rsidRPr="00426C75">
              <w:fldChar w:fldCharType="begin"/>
            </w:r>
            <w:r w:rsidRPr="00426C75">
              <w:instrText xml:space="preserve">  IF </w:instrText>
            </w:r>
            <w:r>
              <w:fldChar w:fldCharType="begin"/>
            </w:r>
            <w:r>
              <w:instrText>DOCPROPERTY  BMTProtectiveMarking_CLASSIFICATION</w:instrText>
            </w:r>
            <w:r>
              <w:fldChar w:fldCharType="separate"/>
            </w:r>
            <w:r w:rsidR="00B967B9">
              <w:instrText>{None}</w:instrText>
            </w:r>
            <w:r>
              <w:fldChar w:fldCharType="end"/>
            </w:r>
            <w:r w:rsidRPr="00426C75">
              <w:instrText xml:space="preserve">  = "Error! Unknown document property name." "" "</w:instrText>
            </w:r>
            <w:r w:rsidRPr="00426C75">
              <w:fldChar w:fldCharType="begin"/>
            </w:r>
            <w:r w:rsidRPr="00426C75">
              <w:instrText xml:space="preserve">  IF</w:instrText>
            </w:r>
            <w:r>
              <w:fldChar w:fldCharType="begin"/>
            </w:r>
            <w:r>
              <w:instrText>DOCPROPERTY  BMTProtectiveMarking_CLASSIFICATION</w:instrText>
            </w:r>
            <w:r>
              <w:fldChar w:fldCharType="separate"/>
            </w:r>
            <w:r w:rsidR="00B967B9">
              <w:instrText>{None}</w:instrText>
            </w:r>
            <w:r>
              <w:fldChar w:fldCharType="end"/>
            </w:r>
            <w:r w:rsidRPr="00426C75">
              <w:instrText xml:space="preserve"> = "" "" "</w:instrText>
            </w:r>
            <w:r w:rsidRPr="00426C75">
              <w:fldChar w:fldCharType="begin"/>
            </w:r>
            <w:r w:rsidRPr="00426C75">
              <w:instrText xml:space="preserve"> IF "</w:instrText>
            </w:r>
            <w:r w:rsidRPr="00426C75">
              <w:fldChar w:fldCharType="begin"/>
            </w:r>
            <w:r w:rsidRPr="00426C75">
              <w:instrText xml:space="preserve"> DOCPROPERTY  BMTProtectiveMarking_CAVEAT </w:instrText>
            </w:r>
            <w:r w:rsidRPr="00426C75">
              <w:fldChar w:fldCharType="separate"/>
            </w:r>
            <w:r w:rsidR="00B967B9">
              <w:rPr>
                <w:b/>
                <w:bCs/>
                <w:lang w:val="en-US"/>
              </w:rPr>
              <w:instrText>Error! Unknown document property name.</w:instrText>
            </w:r>
            <w:r w:rsidRPr="00426C75">
              <w:fldChar w:fldCharType="end"/>
            </w:r>
            <w:r w:rsidRPr="00426C75">
              <w:instrText>" = "Error! Unknown document property name." "</w:instrText>
            </w:r>
            <w:r>
              <w:fldChar w:fldCharType="begin"/>
            </w:r>
            <w:r>
              <w:instrText>DOCPROPERTY  BMTProtectiveMarking_CLASSIFICATION</w:instrText>
            </w:r>
            <w:r>
              <w:fldChar w:fldCharType="separate"/>
            </w:r>
            <w:r w:rsidR="00B967B9">
              <w:instrText>{None}</w:instrText>
            </w:r>
            <w:r>
              <w:fldChar w:fldCharType="end"/>
            </w:r>
            <w:r w:rsidRPr="00426C75">
              <w:instrText>" "</w:instrText>
            </w:r>
            <w:r>
              <w:fldChar w:fldCharType="begin"/>
            </w:r>
            <w:r>
              <w:instrText>DOCPROPERTY  BMTProtectiveMarking_CLASSIFICATION</w:instrText>
            </w:r>
            <w:r>
              <w:fldChar w:fldCharType="separate"/>
            </w:r>
            <w:r w:rsidRPr="00426C75">
              <w:instrText>COVERING CONFIDENTIAL</w:instrText>
            </w:r>
            <w:r>
              <w:fldChar w:fldCharType="end"/>
            </w:r>
            <w:r w:rsidRPr="00426C75">
              <w:instrText xml:space="preserve"> - </w:instrText>
            </w:r>
            <w:r>
              <w:fldChar w:fldCharType="begin"/>
            </w:r>
            <w:r>
              <w:instrText>DOCPROPERTY  BMTProtectiveMarking_CAVEAT</w:instrText>
            </w:r>
            <w:r>
              <w:fldChar w:fldCharType="separate"/>
            </w:r>
            <w:r w:rsidRPr="00426C75">
              <w:instrText>Caveat</w:instrText>
            </w:r>
            <w:r>
              <w:fldChar w:fldCharType="end"/>
            </w:r>
            <w:r w:rsidRPr="00426C75">
              <w:instrText>"</w:instrText>
            </w:r>
            <w:r w:rsidRPr="00426C75">
              <w:fldChar w:fldCharType="separate"/>
            </w:r>
            <w:r w:rsidR="00B967B9">
              <w:rPr>
                <w:noProof/>
              </w:rPr>
              <w:instrText>{None}</w:instrText>
            </w:r>
            <w:r w:rsidRPr="00426C75">
              <w:fldChar w:fldCharType="end"/>
            </w:r>
            <w:r w:rsidRPr="00426C75">
              <w:instrText>"</w:instrText>
            </w:r>
            <w:r w:rsidRPr="00426C75">
              <w:fldChar w:fldCharType="separate"/>
            </w:r>
            <w:r w:rsidR="00B967B9">
              <w:rPr>
                <w:noProof/>
              </w:rPr>
              <w:instrText>{None}</w:instrText>
            </w:r>
            <w:r w:rsidRPr="00426C75">
              <w:fldChar w:fldCharType="end"/>
            </w:r>
            <w:r w:rsidRPr="00426C75">
              <w:instrText>"</w:instrText>
            </w:r>
            <w:r w:rsidRPr="00426C75">
              <w:fldChar w:fldCharType="separate"/>
            </w:r>
            <w:r w:rsidR="00B967B9">
              <w:rPr>
                <w:noProof/>
              </w:rPr>
              <w:t>{None}</w:t>
            </w:r>
            <w:r w:rsidRPr="00426C75">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6A916313"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B967B9">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43A97451" w:rsidR="00724E03" w:rsidRPr="00426C75" w:rsidRDefault="00E93E7B" w:rsidP="0035599A">
            <w:pPr>
              <w:pStyle w:val="TableText"/>
            </w:pPr>
            <w:r w:rsidRPr="00426C75">
              <w:t>Katrina O’Malley-Jones</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Pr="00426C75" w:rsidRDefault="00E93E7B" w:rsidP="0035599A">
            <w:pPr>
              <w:pStyle w:val="TableText"/>
            </w:pPr>
            <w:r w:rsidRPr="00426C75">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11429FE7" w:rsidR="00724E03" w:rsidRPr="00426C75" w:rsidRDefault="003659B0" w:rsidP="0035599A">
                        <w:pPr>
                          <w:pStyle w:val="TableText"/>
                        </w:pPr>
                        <w:r w:rsidRPr="00426C75">
                          <w:t>0</w:t>
                        </w:r>
                        <w:r w:rsidR="00E04EC4" w:rsidRPr="00426C75">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D56D6AF" w:rsidR="00724E03" w:rsidRPr="00426C75" w:rsidRDefault="00A72BF4" w:rsidP="0035599A">
                        <w:pPr>
                          <w:pStyle w:val="TableText"/>
                        </w:pPr>
                        <w:r>
                          <w:t>13 March 2023</w:t>
                        </w:r>
                      </w:p>
                    </w:tc>
                  </w:sdtContent>
                </w:sdt>
                <w:tc>
                  <w:tcPr>
                    <w:tcW w:w="2818" w:type="dxa"/>
                    <w:tcBorders>
                      <w:top w:val="single" w:sz="12" w:space="0" w:color="FFFFFF"/>
                    </w:tcBorders>
                    <w:shd w:val="clear" w:color="000000" w:fill="DCE2DF"/>
                  </w:tcPr>
                  <w:sdt>
                    <w:sdtPr>
                      <w:id w:val="1057282104"/>
                      <w:placeholder>
                        <w:docPart w:val="B8A5F52F8BD047C3ADCB06386A6F0ECB"/>
                      </w:placeholder>
                    </w:sdtPr>
                    <w:sdtEndPr/>
                    <w:sdtContent>
                      <w:p w14:paraId="766F9C6F" w14:textId="4FC00CD9" w:rsidR="00724E03" w:rsidRDefault="003659B0" w:rsidP="0035599A">
                        <w:pPr>
                          <w:pStyle w:val="TableText"/>
                        </w:pPr>
                        <w:r w:rsidRPr="00426C75">
                          <w:fldChar w:fldCharType="begin"/>
                        </w:r>
                        <w:r w:rsidRPr="00426C75">
                          <w:instrText xml:space="preserve">  IF </w:instrText>
                        </w:r>
                        <w:r>
                          <w:fldChar w:fldCharType="begin"/>
                        </w:r>
                        <w:r>
                          <w:instrText>DOCPROPERTY IFS_Project.1.COMPANY</w:instrText>
                        </w:r>
                        <w:r>
                          <w:fldChar w:fldCharType="separate"/>
                        </w:r>
                        <w:r w:rsidR="00B967B9">
                          <w:instrText>Maritime Safety Queensland</w:instrText>
                        </w:r>
                        <w:r>
                          <w:fldChar w:fldCharType="end"/>
                        </w:r>
                        <w:r w:rsidRPr="00426C75">
                          <w:instrText xml:space="preserve">  = "Error! Unknown document property name." "" "</w:instrText>
                        </w:r>
                        <w:r w:rsidRPr="00426C75">
                          <w:fldChar w:fldCharType="begin"/>
                        </w:r>
                        <w:r w:rsidRPr="00426C75">
                          <w:instrText xml:space="preserve">  IF </w:instrText>
                        </w:r>
                        <w:r>
                          <w:fldChar w:fldCharType="begin"/>
                        </w:r>
                        <w:r>
                          <w:instrText>DOCPROPERTY IFS_Project.1.COMPANY</w:instrText>
                        </w:r>
                        <w:r>
                          <w:fldChar w:fldCharType="separate"/>
                        </w:r>
                        <w:r w:rsidR="00B967B9">
                          <w:instrText>Maritime Safety Queensland</w:instrText>
                        </w:r>
                        <w:r>
                          <w:fldChar w:fldCharType="end"/>
                        </w:r>
                        <w:r w:rsidRPr="00426C75">
                          <w:instrText xml:space="preserve"> = "" "" "</w:instrText>
                        </w:r>
                        <w:r>
                          <w:fldChar w:fldCharType="begin"/>
                        </w:r>
                        <w:r>
                          <w:instrText>DOCPROPERTY IFS_Project.1.COMPANY</w:instrText>
                        </w:r>
                        <w:r>
                          <w:fldChar w:fldCharType="separate"/>
                        </w:r>
                        <w:r w:rsidR="00B967B9">
                          <w:instrText>Maritime Safety Queensland</w:instrText>
                        </w:r>
                        <w:r>
                          <w:fldChar w:fldCharType="end"/>
                        </w:r>
                        <w:r w:rsidRPr="00426C75">
                          <w:instrText>"</w:instrText>
                        </w:r>
                        <w:r w:rsidRPr="00426C75">
                          <w:fldChar w:fldCharType="separate"/>
                        </w:r>
                        <w:r w:rsidR="00B967B9">
                          <w:rPr>
                            <w:noProof/>
                          </w:rPr>
                          <w:instrText>Maritime Safety Queensland</w:instrText>
                        </w:r>
                        <w:r w:rsidRPr="00426C75">
                          <w:fldChar w:fldCharType="end"/>
                        </w:r>
                        <w:r w:rsidRPr="00426C75">
                          <w:instrText>"</w:instrText>
                        </w:r>
                        <w:r w:rsidRPr="00426C75">
                          <w:fldChar w:fldCharType="separate"/>
                        </w:r>
                        <w:r w:rsidR="00B967B9">
                          <w:rPr>
                            <w:noProof/>
                          </w:rPr>
                          <w:t>Maritime Safety Queensland</w:t>
                        </w:r>
                        <w:r w:rsidRPr="00426C75">
                          <w:fldChar w:fldCharType="end"/>
                        </w:r>
                      </w:p>
                    </w:sdtContent>
                  </w:sdt>
                  <w:p w14:paraId="77941505" w14:textId="0953C22C" w:rsidR="00C37B4B" w:rsidRPr="00426C75" w:rsidRDefault="00C37B4B" w:rsidP="0035599A">
                    <w:pPr>
                      <w:pStyle w:val="TableText"/>
                    </w:pPr>
                    <w:r>
                      <w:t xml:space="preserve">Flinders Shire Council </w:t>
                    </w:r>
                  </w:p>
                </w:tc>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1AC03987" w:rsidR="00724E03" w:rsidRDefault="00C37B4B" w:rsidP="0035599A">
                        <w:pPr>
                          <w:pStyle w:val="TableText"/>
                        </w:pPr>
                        <w:r>
                          <w:t>Draft</w:t>
                        </w:r>
                      </w:p>
                    </w:tc>
                  </w:sdtContent>
                </w:sdt>
              </w:tr>
            </w:sdtContent>
          </w:sdt>
          <w:sdt>
            <w:sdtPr>
              <w:id w:val="-207185412"/>
              <w:placeholder>
                <w:docPart w:val="4F2693E967B440669BE0FD3EF11DCE74"/>
              </w:placeholder>
              <w15:repeatingSectionItem/>
            </w:sdtPr>
            <w:sdtEndPr/>
            <w:sdtContent>
              <w:tr w:rsidR="00C37B4B" w14:paraId="74550737" w14:textId="77777777" w:rsidTr="00C532DC">
                <w:sdt>
                  <w:sdtPr>
                    <w:alias w:val="Number"/>
                    <w:tag w:val="Number"/>
                    <w:id w:val="-1290049142"/>
                    <w:placeholder>
                      <w:docPart w:val="96B0AC1212CB4EE1B69A45FEEDF4C311"/>
                    </w:placeholder>
                  </w:sdtPr>
                  <w:sdtEndPr/>
                  <w:sdtContent>
                    <w:tc>
                      <w:tcPr>
                        <w:tcW w:w="993" w:type="dxa"/>
                        <w:tcBorders>
                          <w:top w:val="single" w:sz="12" w:space="0" w:color="FFFFFF"/>
                        </w:tcBorders>
                        <w:shd w:val="clear" w:color="000000" w:fill="DCE2DF"/>
                      </w:tcPr>
                      <w:p w14:paraId="1C8C949B" w14:textId="79E35F37" w:rsidR="00C37B4B" w:rsidRPr="00426C75" w:rsidRDefault="00C37B4B" w:rsidP="00CC70FE">
                        <w:pPr>
                          <w:pStyle w:val="TableText"/>
                        </w:pPr>
                        <w:r>
                          <w:t>01</w:t>
                        </w:r>
                      </w:p>
                    </w:tc>
                  </w:sdtContent>
                </w:sdt>
                <w:sdt>
                  <w:sdtPr>
                    <w:alias w:val="Date"/>
                    <w:tag w:val="Date"/>
                    <w:id w:val="826472398"/>
                    <w:placeholder>
                      <w:docPart w:val="415177CC9A564871BBD7A23DABF8C50D"/>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582DCD5B" w14:textId="2A67F017" w:rsidR="00C37B4B" w:rsidRPr="00426C75" w:rsidRDefault="00C37B4B" w:rsidP="00CC70FE">
                        <w:pPr>
                          <w:pStyle w:val="TableText"/>
                        </w:pPr>
                        <w:r>
                          <w:t>21 April 2023</w:t>
                        </w:r>
                      </w:p>
                    </w:tc>
                  </w:sdtContent>
                </w:sdt>
                <w:sdt>
                  <w:sdtPr>
                    <w:id w:val="110794470"/>
                    <w:placeholder>
                      <w:docPart w:val="4A2D86F7965D47559955C26EA99BF1E0"/>
                    </w:placeholder>
                  </w:sdtPr>
                  <w:sdtEndPr/>
                  <w:sdtContent>
                    <w:tc>
                      <w:tcPr>
                        <w:tcW w:w="2818" w:type="dxa"/>
                        <w:tcBorders>
                          <w:top w:val="single" w:sz="12" w:space="0" w:color="FFFFFF"/>
                        </w:tcBorders>
                        <w:shd w:val="clear" w:color="000000" w:fill="DCE2DF"/>
                      </w:tcPr>
                      <w:p w14:paraId="702C0E19" w14:textId="6F95F3A4" w:rsidR="00C37B4B" w:rsidRPr="00426C75" w:rsidRDefault="00C37B4B" w:rsidP="00CC70FE">
                        <w:pPr>
                          <w:pStyle w:val="TableText"/>
                        </w:pPr>
                        <w:r>
                          <w:t>Maritime Safety Queensland</w:t>
                        </w:r>
                      </w:p>
                    </w:tc>
                  </w:sdtContent>
                </w:sdt>
                <w:sdt>
                  <w:sdtPr>
                    <w:id w:val="1543169965"/>
                    <w:placeholder>
                      <w:docPart w:val="C2F26519F0D5435D877EE936E4024F35"/>
                    </w:placeholder>
                  </w:sdtPr>
                  <w:sdtEndPr/>
                  <w:sdtContent>
                    <w:tc>
                      <w:tcPr>
                        <w:tcW w:w="3945" w:type="dxa"/>
                        <w:tcBorders>
                          <w:top w:val="single" w:sz="12" w:space="0" w:color="FFFFFF"/>
                        </w:tcBorders>
                        <w:shd w:val="clear" w:color="000000" w:fill="DCE2DF"/>
                      </w:tcPr>
                      <w:p w14:paraId="6525C074" w14:textId="3C405ADB" w:rsidR="00C37B4B" w:rsidRDefault="00C37B4B" w:rsidP="00CC70FE">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C37B4B">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21BC3898" w:rsidR="00A26579" w:rsidRDefault="00A26579" w:rsidP="00A26579">
      <w:r w:rsidRPr="00426C75">
        <w:t xml:space="preserve">This report, part of the </w:t>
      </w:r>
      <w:r w:rsidRPr="00426C75">
        <w:fldChar w:fldCharType="begin"/>
      </w:r>
      <w:r w:rsidRPr="00426C75">
        <w:instrText xml:space="preserve">  IF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rsidRPr="00426C75">
        <w:instrText xml:space="preserve">  = "Error! Unknown document property name." "" "</w:instrText>
      </w:r>
      <w:r w:rsidRPr="00426C75">
        <w:fldChar w:fldCharType="begin"/>
      </w:r>
      <w:r w:rsidRPr="00426C75">
        <w:instrText xml:space="preserve">  IF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rsidRPr="00426C75">
        <w:instrText xml:space="preserve"> = "" "" "</w:instrText>
      </w:r>
      <w:r>
        <w:fldChar w:fldCharType="begin"/>
      </w:r>
      <w:r>
        <w:instrText>DOCPROPERTY IFS_DOCUMENT_TITLE</w:instrText>
      </w:r>
      <w:r>
        <w:fldChar w:fldCharType="separate"/>
      </w:r>
      <w:r w:rsidR="00B967B9">
        <w:instrText>Queensland Recreational Boating Facilities Demand Forecasting Study 2022</w:instrText>
      </w:r>
      <w:r>
        <w:fldChar w:fldCharType="end"/>
      </w:r>
      <w:r w:rsidRPr="00426C75">
        <w:instrText>"</w:instrText>
      </w:r>
      <w:r w:rsidRPr="00426C75">
        <w:fldChar w:fldCharType="separate"/>
      </w:r>
      <w:r w:rsidR="00B967B9">
        <w:rPr>
          <w:noProof/>
        </w:rPr>
        <w:instrText>Queensland Recreational Boating Facilities Demand Forecasting Study 2022</w:instrText>
      </w:r>
      <w:r w:rsidRPr="00426C75">
        <w:fldChar w:fldCharType="end"/>
      </w:r>
      <w:r w:rsidRPr="00426C75">
        <w:instrText>"</w:instrText>
      </w:r>
      <w:r w:rsidRPr="00426C75">
        <w:fldChar w:fldCharType="separate"/>
      </w:r>
      <w:r w:rsidR="00B967B9">
        <w:rPr>
          <w:noProof/>
        </w:rPr>
        <w:t>Queensland Recreational Boating Facilities Demand Forecasting Study 2022</w:t>
      </w:r>
      <w:r w:rsidRPr="00426C75">
        <w:fldChar w:fldCharType="end"/>
      </w:r>
      <w:r w:rsidRPr="00426C75">
        <w:t xml:space="preserve"> (‘the Study’), provides a summary of current and forecast demand on recreational boating facilities in </w:t>
      </w:r>
      <w:r w:rsidR="00426C75" w:rsidRPr="00426C75">
        <w:t>Flinders Shire</w:t>
      </w:r>
      <w:r w:rsidRPr="00426C75">
        <w:t xml:space="preserve"> and the capacity of existing facilities to meet this demand. Where </w:t>
      </w:r>
      <w:r w:rsidR="00AF25E8" w:rsidRPr="00426C75">
        <w:t xml:space="preserve">existing </w:t>
      </w:r>
      <w:r w:rsidRPr="00426C75">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426C75">
        <w:t xml:space="preserve">over the next 20 years </w:t>
      </w:r>
      <w:r w:rsidRPr="00426C75">
        <w:t xml:space="preserve">on development priorities for recreational boating facilities within the </w:t>
      </w:r>
      <w:r w:rsidR="00426C75" w:rsidRPr="00426C75">
        <w:t>Flinders Shire</w:t>
      </w:r>
      <w:r w:rsidRPr="00426C75">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1A6891A6" w14:textId="57878DE0" w:rsidR="00C37B4B" w:rsidRDefault="009B3942" w:rsidP="00A26579">
      <w:r>
        <w:t>Wit</w:t>
      </w:r>
      <w:r w:rsidRPr="003223B1">
        <w:t>hin</w:t>
      </w:r>
      <w:r w:rsidR="00A26579" w:rsidRPr="003223B1">
        <w:t xml:space="preserve"> </w:t>
      </w:r>
      <w:r w:rsidR="00426C75" w:rsidRPr="003223B1">
        <w:t>Flinders Shire</w:t>
      </w:r>
      <w:r w:rsidR="00A26579">
        <w:t xml:space="preserve"> </w:t>
      </w:r>
      <w:r>
        <w:t xml:space="preserve">there </w:t>
      </w:r>
      <w:r w:rsidR="00C37B4B">
        <w:t xml:space="preserve">is only one formal boat launching facility at </w:t>
      </w:r>
      <w:r w:rsidR="00A64323">
        <w:t xml:space="preserve">the </w:t>
      </w:r>
      <w:r w:rsidR="00C37B4B">
        <w:t xml:space="preserve">Hughenden </w:t>
      </w:r>
      <w:r w:rsidR="00A64323">
        <w:t xml:space="preserve">Recreational Lake. Recreational boat users are sufficiently catered for with this facility and by travelling to </w:t>
      </w:r>
      <w:r w:rsidR="009E4E0E">
        <w:t>Townsville, Carpentaria, Whitsunday, Mackay, and Hinchinbrook</w:t>
      </w:r>
      <w:r w:rsidR="003D13BA">
        <w:t xml:space="preserve"> LGAs to launch vessels or access berthed deep-draught vessels. </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516254C3" w:rsidR="00A26579" w:rsidRDefault="00A26579" w:rsidP="00A26579">
      <w:r>
        <w:t xml:space="preserve">The assessment of recreational boating demand is centred on a statistical demand model that considers vessel registration data, population statistics, assumptions around local usage and the movement of </w:t>
      </w:r>
      <w:r w:rsidRPr="00426C75">
        <w:t xml:space="preserve">vessels into and out of the LGA. Key parameters from this assessment for the </w:t>
      </w:r>
      <w:r w:rsidR="00426C75" w:rsidRPr="00426C75">
        <w:t>Flinders Shire</w:t>
      </w:r>
      <w:r w:rsidRPr="00426C75">
        <w:t xml:space="preserve"> are:</w:t>
      </w:r>
    </w:p>
    <w:p w14:paraId="79400C75" w14:textId="68291A31" w:rsidR="00A26579" w:rsidRDefault="00A26579" w:rsidP="00A26579">
      <w:pPr>
        <w:pStyle w:val="Bullet1"/>
        <w:numPr>
          <w:ilvl w:val="0"/>
          <w:numId w:val="1"/>
        </w:numPr>
        <w:jc w:val="both"/>
      </w:pPr>
      <w:r>
        <w:t xml:space="preserve">The population is </w:t>
      </w:r>
      <w:r w:rsidR="007E093C">
        <w:t>1,400</w:t>
      </w:r>
      <w:r>
        <w:t xml:space="preserve"> as at the 2021 census and is projected to be </w:t>
      </w:r>
      <w:r w:rsidR="007E093C">
        <w:t>1,149</w:t>
      </w:r>
      <w:r>
        <w:t xml:space="preserve"> by 2041.</w:t>
      </w:r>
    </w:p>
    <w:p w14:paraId="292ACE01" w14:textId="3EB9013E" w:rsidR="00A26579" w:rsidRDefault="00A26579" w:rsidP="00A26579">
      <w:pPr>
        <w:pStyle w:val="Bullet1"/>
        <w:numPr>
          <w:ilvl w:val="0"/>
          <w:numId w:val="1"/>
        </w:numPr>
        <w:jc w:val="both"/>
      </w:pPr>
      <w:r>
        <w:t xml:space="preserve">As of July 2022, there </w:t>
      </w:r>
      <w:r w:rsidR="6E517A62">
        <w:t>is</w:t>
      </w:r>
      <w:r>
        <w:t xml:space="preserve"> a total of </w:t>
      </w:r>
      <w:r w:rsidR="007E093C">
        <w:t>139</w:t>
      </w:r>
      <w:r>
        <w:t xml:space="preserve"> vessels with a home registration within the LGA</w:t>
      </w:r>
      <w:r w:rsidR="009B3942">
        <w:t>.</w:t>
      </w:r>
    </w:p>
    <w:p w14:paraId="5A718B8D" w14:textId="1E49B90A" w:rsidR="00EA660D" w:rsidRDefault="00EA660D" w:rsidP="00A26579">
      <w:pPr>
        <w:pStyle w:val="Bullet1"/>
        <w:numPr>
          <w:ilvl w:val="0"/>
          <w:numId w:val="1"/>
        </w:numPr>
        <w:jc w:val="both"/>
      </w:pPr>
      <w:r>
        <w:t xml:space="preserve">Flinders Shire LGA is deemed to be Very Remote with an assumed vessel activation rate of 12% on a ‘good boating day’. </w:t>
      </w:r>
    </w:p>
    <w:p w14:paraId="39FD5391" w14:textId="76A90E05" w:rsidR="00063D2C" w:rsidRDefault="00063D2C" w:rsidP="00063D2C">
      <w:pPr>
        <w:pStyle w:val="Bullet1"/>
        <w:numPr>
          <w:ilvl w:val="0"/>
          <w:numId w:val="1"/>
        </w:numPr>
        <w:jc w:val="both"/>
      </w:pPr>
      <w:r>
        <w:t xml:space="preserve">There </w:t>
      </w:r>
      <w:r w:rsidR="007B5E80">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4E8BDAF7" w14:textId="58EDA766" w:rsidR="00EA660D" w:rsidRDefault="00B82DC8" w:rsidP="00063D2C">
      <w:pPr>
        <w:pStyle w:val="Bullet1"/>
        <w:numPr>
          <w:ilvl w:val="0"/>
          <w:numId w:val="1"/>
        </w:numPr>
        <w:jc w:val="both"/>
      </w:pPr>
      <w:r>
        <w:t xml:space="preserve">The existing demand for boat launching facilities is less than one for the Study forecast timeframes, indicating that there is no statistical demand for additional boat launching lanes.  </w:t>
      </w:r>
    </w:p>
    <w:p w14:paraId="79DE2340" w14:textId="79ECFACF" w:rsidR="00EA660D" w:rsidRDefault="00EA660D" w:rsidP="00EA660D">
      <w:pPr>
        <w:pStyle w:val="Heading2NoTOC"/>
      </w:pPr>
      <w:r>
        <w:t>Priority recommendations</w:t>
      </w:r>
    </w:p>
    <w:p w14:paraId="085EB656" w14:textId="6D77E703" w:rsidR="00B82DC8" w:rsidRPr="0081012B" w:rsidRDefault="00EA660D" w:rsidP="00B82DC8">
      <w:r>
        <w:t>The capacity of boat launching facilities within the Barcaldine LGA is adequate for the period of this Study and no recommendations for new or upgraded facilities are required.</w:t>
      </w:r>
    </w:p>
    <w:p w14:paraId="63CF7EE2" w14:textId="7EDA8860" w:rsidR="0081012B" w:rsidRPr="0081012B" w:rsidRDefault="0081012B" w:rsidP="00C00437">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066B20EA" w14:textId="4D6A25DD" w:rsidR="00B967B9" w:rsidRDefault="00C37B4B">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B967B9">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B967B9">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641745" w:history="1">
        <w:r w:rsidR="00B967B9" w:rsidRPr="007108B6">
          <w:rPr>
            <w:rStyle w:val="Hyperlink"/>
            <w:noProof/>
          </w:rPr>
          <w:t>Definitions</w:t>
        </w:r>
        <w:r w:rsidR="00B967B9">
          <w:rPr>
            <w:noProof/>
            <w:webHidden/>
          </w:rPr>
          <w:tab/>
        </w:r>
        <w:r w:rsidR="00B967B9">
          <w:rPr>
            <w:noProof/>
            <w:webHidden/>
          </w:rPr>
          <w:fldChar w:fldCharType="begin"/>
        </w:r>
        <w:r w:rsidR="00B967B9">
          <w:rPr>
            <w:noProof/>
            <w:webHidden/>
          </w:rPr>
          <w:instrText xml:space="preserve"> PAGEREF _Toc132641745 \h </w:instrText>
        </w:r>
        <w:r w:rsidR="00B967B9">
          <w:rPr>
            <w:noProof/>
            <w:webHidden/>
          </w:rPr>
        </w:r>
        <w:r w:rsidR="00B967B9">
          <w:rPr>
            <w:noProof/>
            <w:webHidden/>
          </w:rPr>
          <w:fldChar w:fldCharType="separate"/>
        </w:r>
        <w:r w:rsidR="00B967B9">
          <w:rPr>
            <w:noProof/>
            <w:webHidden/>
          </w:rPr>
          <w:t>5</w:t>
        </w:r>
        <w:r w:rsidR="00B967B9">
          <w:rPr>
            <w:noProof/>
            <w:webHidden/>
          </w:rPr>
          <w:fldChar w:fldCharType="end"/>
        </w:r>
      </w:hyperlink>
    </w:p>
    <w:p w14:paraId="56DA7770" w14:textId="131B49A7" w:rsidR="00B967B9" w:rsidRDefault="007F59C4">
      <w:pPr>
        <w:pStyle w:val="TOC1"/>
        <w:rPr>
          <w:rFonts w:asciiTheme="minorHAnsi" w:eastAsiaTheme="minorEastAsia" w:hAnsiTheme="minorHAnsi"/>
          <w:noProof/>
          <w:color w:val="auto"/>
          <w:sz w:val="22"/>
          <w:szCs w:val="22"/>
          <w:lang w:val="en-AU" w:eastAsia="en-AU"/>
        </w:rPr>
      </w:pPr>
      <w:hyperlink w:anchor="_Toc132641746" w:history="1">
        <w:r w:rsidR="00B967B9" w:rsidRPr="007108B6">
          <w:rPr>
            <w:rStyle w:val="Hyperlink"/>
            <w:noProof/>
          </w:rPr>
          <w:t>1 Introduction</w:t>
        </w:r>
        <w:r w:rsidR="00B967B9">
          <w:rPr>
            <w:noProof/>
            <w:webHidden/>
          </w:rPr>
          <w:tab/>
        </w:r>
        <w:r w:rsidR="00B967B9">
          <w:rPr>
            <w:noProof/>
            <w:webHidden/>
          </w:rPr>
          <w:fldChar w:fldCharType="begin"/>
        </w:r>
        <w:r w:rsidR="00B967B9">
          <w:rPr>
            <w:noProof/>
            <w:webHidden/>
          </w:rPr>
          <w:instrText xml:space="preserve"> PAGEREF _Toc132641746 \h </w:instrText>
        </w:r>
        <w:r w:rsidR="00B967B9">
          <w:rPr>
            <w:noProof/>
            <w:webHidden/>
          </w:rPr>
        </w:r>
        <w:r w:rsidR="00B967B9">
          <w:rPr>
            <w:noProof/>
            <w:webHidden/>
          </w:rPr>
          <w:fldChar w:fldCharType="separate"/>
        </w:r>
        <w:r w:rsidR="00B967B9">
          <w:rPr>
            <w:noProof/>
            <w:webHidden/>
          </w:rPr>
          <w:t>8</w:t>
        </w:r>
        <w:r w:rsidR="00B967B9">
          <w:rPr>
            <w:noProof/>
            <w:webHidden/>
          </w:rPr>
          <w:fldChar w:fldCharType="end"/>
        </w:r>
      </w:hyperlink>
    </w:p>
    <w:p w14:paraId="1624FA01" w14:textId="2FC8C22B" w:rsidR="00B967B9" w:rsidRDefault="007F59C4">
      <w:pPr>
        <w:pStyle w:val="TOC1"/>
        <w:rPr>
          <w:rFonts w:asciiTheme="minorHAnsi" w:eastAsiaTheme="minorEastAsia" w:hAnsiTheme="minorHAnsi"/>
          <w:noProof/>
          <w:color w:val="auto"/>
          <w:sz w:val="22"/>
          <w:szCs w:val="22"/>
          <w:lang w:val="en-AU" w:eastAsia="en-AU"/>
        </w:rPr>
      </w:pPr>
      <w:hyperlink w:anchor="_Toc132641747" w:history="1">
        <w:r w:rsidR="00B967B9" w:rsidRPr="007108B6">
          <w:rPr>
            <w:rStyle w:val="Hyperlink"/>
            <w:noProof/>
          </w:rPr>
          <w:t>2 Flinders Shire LGA Overview</w:t>
        </w:r>
        <w:r w:rsidR="00B967B9">
          <w:rPr>
            <w:noProof/>
            <w:webHidden/>
          </w:rPr>
          <w:tab/>
        </w:r>
        <w:r w:rsidR="00B967B9">
          <w:rPr>
            <w:noProof/>
            <w:webHidden/>
          </w:rPr>
          <w:fldChar w:fldCharType="begin"/>
        </w:r>
        <w:r w:rsidR="00B967B9">
          <w:rPr>
            <w:noProof/>
            <w:webHidden/>
          </w:rPr>
          <w:instrText xml:space="preserve"> PAGEREF _Toc132641747 \h </w:instrText>
        </w:r>
        <w:r w:rsidR="00B967B9">
          <w:rPr>
            <w:noProof/>
            <w:webHidden/>
          </w:rPr>
        </w:r>
        <w:r w:rsidR="00B967B9">
          <w:rPr>
            <w:noProof/>
            <w:webHidden/>
          </w:rPr>
          <w:fldChar w:fldCharType="separate"/>
        </w:r>
        <w:r w:rsidR="00B967B9">
          <w:rPr>
            <w:noProof/>
            <w:webHidden/>
          </w:rPr>
          <w:t>9</w:t>
        </w:r>
        <w:r w:rsidR="00B967B9">
          <w:rPr>
            <w:noProof/>
            <w:webHidden/>
          </w:rPr>
          <w:fldChar w:fldCharType="end"/>
        </w:r>
      </w:hyperlink>
    </w:p>
    <w:p w14:paraId="2397A493" w14:textId="5B9A98A4" w:rsidR="00B967B9" w:rsidRDefault="007F59C4">
      <w:pPr>
        <w:pStyle w:val="TOC2"/>
        <w:rPr>
          <w:rFonts w:asciiTheme="minorHAnsi" w:eastAsiaTheme="minorEastAsia" w:hAnsiTheme="minorHAnsi"/>
          <w:noProof/>
          <w:color w:val="auto"/>
          <w:sz w:val="22"/>
          <w:szCs w:val="22"/>
          <w:lang w:val="en-AU" w:eastAsia="en-AU"/>
        </w:rPr>
      </w:pPr>
      <w:hyperlink w:anchor="_Toc132641748" w:history="1">
        <w:r w:rsidR="00B967B9" w:rsidRPr="007108B6">
          <w:rPr>
            <w:rStyle w:val="Hyperlink"/>
            <w:noProof/>
          </w:rPr>
          <w:t>2.1 Key influences on recreational boating</w:t>
        </w:r>
        <w:r w:rsidR="00B967B9">
          <w:rPr>
            <w:noProof/>
            <w:webHidden/>
          </w:rPr>
          <w:tab/>
        </w:r>
        <w:r w:rsidR="00B967B9">
          <w:rPr>
            <w:noProof/>
            <w:webHidden/>
          </w:rPr>
          <w:fldChar w:fldCharType="begin"/>
        </w:r>
        <w:r w:rsidR="00B967B9">
          <w:rPr>
            <w:noProof/>
            <w:webHidden/>
          </w:rPr>
          <w:instrText xml:space="preserve"> PAGEREF _Toc132641748 \h </w:instrText>
        </w:r>
        <w:r w:rsidR="00B967B9">
          <w:rPr>
            <w:noProof/>
            <w:webHidden/>
          </w:rPr>
        </w:r>
        <w:r w:rsidR="00B967B9">
          <w:rPr>
            <w:noProof/>
            <w:webHidden/>
          </w:rPr>
          <w:fldChar w:fldCharType="separate"/>
        </w:r>
        <w:r w:rsidR="00B967B9">
          <w:rPr>
            <w:noProof/>
            <w:webHidden/>
          </w:rPr>
          <w:t>9</w:t>
        </w:r>
        <w:r w:rsidR="00B967B9">
          <w:rPr>
            <w:noProof/>
            <w:webHidden/>
          </w:rPr>
          <w:fldChar w:fldCharType="end"/>
        </w:r>
      </w:hyperlink>
    </w:p>
    <w:p w14:paraId="0B915553" w14:textId="62925476" w:rsidR="00B967B9" w:rsidRDefault="007F59C4">
      <w:pPr>
        <w:pStyle w:val="TOC2"/>
        <w:rPr>
          <w:rFonts w:asciiTheme="minorHAnsi" w:eastAsiaTheme="minorEastAsia" w:hAnsiTheme="minorHAnsi"/>
          <w:noProof/>
          <w:color w:val="auto"/>
          <w:sz w:val="22"/>
          <w:szCs w:val="22"/>
          <w:lang w:val="en-AU" w:eastAsia="en-AU"/>
        </w:rPr>
      </w:pPr>
      <w:hyperlink w:anchor="_Toc132641749" w:history="1">
        <w:r w:rsidR="00B967B9" w:rsidRPr="007108B6">
          <w:rPr>
            <w:rStyle w:val="Hyperlink"/>
            <w:noProof/>
          </w:rPr>
          <w:t>2.2 Capacity of existing recreational boating infrastructure</w:t>
        </w:r>
        <w:r w:rsidR="00B967B9">
          <w:rPr>
            <w:noProof/>
            <w:webHidden/>
          </w:rPr>
          <w:tab/>
        </w:r>
        <w:r w:rsidR="00B967B9">
          <w:rPr>
            <w:noProof/>
            <w:webHidden/>
          </w:rPr>
          <w:fldChar w:fldCharType="begin"/>
        </w:r>
        <w:r w:rsidR="00B967B9">
          <w:rPr>
            <w:noProof/>
            <w:webHidden/>
          </w:rPr>
          <w:instrText xml:space="preserve"> PAGEREF _Toc132641749 \h </w:instrText>
        </w:r>
        <w:r w:rsidR="00B967B9">
          <w:rPr>
            <w:noProof/>
            <w:webHidden/>
          </w:rPr>
        </w:r>
        <w:r w:rsidR="00B967B9">
          <w:rPr>
            <w:noProof/>
            <w:webHidden/>
          </w:rPr>
          <w:fldChar w:fldCharType="separate"/>
        </w:r>
        <w:r w:rsidR="00B967B9">
          <w:rPr>
            <w:noProof/>
            <w:webHidden/>
          </w:rPr>
          <w:t>9</w:t>
        </w:r>
        <w:r w:rsidR="00B967B9">
          <w:rPr>
            <w:noProof/>
            <w:webHidden/>
          </w:rPr>
          <w:fldChar w:fldCharType="end"/>
        </w:r>
      </w:hyperlink>
    </w:p>
    <w:p w14:paraId="61831449" w14:textId="7ADD2C9D" w:rsidR="00B967B9" w:rsidRDefault="007F59C4">
      <w:pPr>
        <w:pStyle w:val="TOC1"/>
        <w:rPr>
          <w:rFonts w:asciiTheme="minorHAnsi" w:eastAsiaTheme="minorEastAsia" w:hAnsiTheme="minorHAnsi"/>
          <w:noProof/>
          <w:color w:val="auto"/>
          <w:sz w:val="22"/>
          <w:szCs w:val="22"/>
          <w:lang w:val="en-AU" w:eastAsia="en-AU"/>
        </w:rPr>
      </w:pPr>
      <w:hyperlink w:anchor="_Toc132641750" w:history="1">
        <w:r w:rsidR="00B967B9" w:rsidRPr="007108B6">
          <w:rPr>
            <w:rStyle w:val="Hyperlink"/>
            <w:noProof/>
          </w:rPr>
          <w:t>3 Demand Assessment</w:t>
        </w:r>
        <w:r w:rsidR="00B967B9">
          <w:rPr>
            <w:noProof/>
            <w:webHidden/>
          </w:rPr>
          <w:tab/>
        </w:r>
        <w:r w:rsidR="00B967B9">
          <w:rPr>
            <w:noProof/>
            <w:webHidden/>
          </w:rPr>
          <w:fldChar w:fldCharType="begin"/>
        </w:r>
        <w:r w:rsidR="00B967B9">
          <w:rPr>
            <w:noProof/>
            <w:webHidden/>
          </w:rPr>
          <w:instrText xml:space="preserve"> PAGEREF _Toc132641750 \h </w:instrText>
        </w:r>
        <w:r w:rsidR="00B967B9">
          <w:rPr>
            <w:noProof/>
            <w:webHidden/>
          </w:rPr>
        </w:r>
        <w:r w:rsidR="00B967B9">
          <w:rPr>
            <w:noProof/>
            <w:webHidden/>
          </w:rPr>
          <w:fldChar w:fldCharType="separate"/>
        </w:r>
        <w:r w:rsidR="00B967B9">
          <w:rPr>
            <w:noProof/>
            <w:webHidden/>
          </w:rPr>
          <w:t>11</w:t>
        </w:r>
        <w:r w:rsidR="00B967B9">
          <w:rPr>
            <w:noProof/>
            <w:webHidden/>
          </w:rPr>
          <w:fldChar w:fldCharType="end"/>
        </w:r>
      </w:hyperlink>
    </w:p>
    <w:p w14:paraId="7CAE2B21" w14:textId="5720D2D7" w:rsidR="00B967B9" w:rsidRDefault="007F59C4">
      <w:pPr>
        <w:pStyle w:val="TOC2"/>
        <w:rPr>
          <w:rFonts w:asciiTheme="minorHAnsi" w:eastAsiaTheme="minorEastAsia" w:hAnsiTheme="minorHAnsi"/>
          <w:noProof/>
          <w:color w:val="auto"/>
          <w:sz w:val="22"/>
          <w:szCs w:val="22"/>
          <w:lang w:val="en-AU" w:eastAsia="en-AU"/>
        </w:rPr>
      </w:pPr>
      <w:hyperlink w:anchor="_Toc132641751" w:history="1">
        <w:r w:rsidR="00B967B9" w:rsidRPr="007108B6">
          <w:rPr>
            <w:rStyle w:val="Hyperlink"/>
            <w:noProof/>
          </w:rPr>
          <w:t>3.1 Activation rate</w:t>
        </w:r>
        <w:r w:rsidR="00B967B9">
          <w:rPr>
            <w:noProof/>
            <w:webHidden/>
          </w:rPr>
          <w:tab/>
        </w:r>
        <w:r w:rsidR="00B967B9">
          <w:rPr>
            <w:noProof/>
            <w:webHidden/>
          </w:rPr>
          <w:fldChar w:fldCharType="begin"/>
        </w:r>
        <w:r w:rsidR="00B967B9">
          <w:rPr>
            <w:noProof/>
            <w:webHidden/>
          </w:rPr>
          <w:instrText xml:space="preserve"> PAGEREF _Toc132641751 \h </w:instrText>
        </w:r>
        <w:r w:rsidR="00B967B9">
          <w:rPr>
            <w:noProof/>
            <w:webHidden/>
          </w:rPr>
        </w:r>
        <w:r w:rsidR="00B967B9">
          <w:rPr>
            <w:noProof/>
            <w:webHidden/>
          </w:rPr>
          <w:fldChar w:fldCharType="separate"/>
        </w:r>
        <w:r w:rsidR="00B967B9">
          <w:rPr>
            <w:noProof/>
            <w:webHidden/>
          </w:rPr>
          <w:t>11</w:t>
        </w:r>
        <w:r w:rsidR="00B967B9">
          <w:rPr>
            <w:noProof/>
            <w:webHidden/>
          </w:rPr>
          <w:fldChar w:fldCharType="end"/>
        </w:r>
      </w:hyperlink>
    </w:p>
    <w:p w14:paraId="40B97F6F" w14:textId="1321A904" w:rsidR="00B967B9" w:rsidRDefault="007F59C4">
      <w:pPr>
        <w:pStyle w:val="TOC2"/>
        <w:rPr>
          <w:rFonts w:asciiTheme="minorHAnsi" w:eastAsiaTheme="minorEastAsia" w:hAnsiTheme="minorHAnsi"/>
          <w:noProof/>
          <w:color w:val="auto"/>
          <w:sz w:val="22"/>
          <w:szCs w:val="22"/>
          <w:lang w:val="en-AU" w:eastAsia="en-AU"/>
        </w:rPr>
      </w:pPr>
      <w:hyperlink w:anchor="_Toc132641752" w:history="1">
        <w:r w:rsidR="00B967B9" w:rsidRPr="007108B6">
          <w:rPr>
            <w:rStyle w:val="Hyperlink"/>
            <w:noProof/>
          </w:rPr>
          <w:t>3.2 Fleet size</w:t>
        </w:r>
        <w:r w:rsidR="00B967B9">
          <w:rPr>
            <w:noProof/>
            <w:webHidden/>
          </w:rPr>
          <w:tab/>
        </w:r>
        <w:r w:rsidR="00B967B9">
          <w:rPr>
            <w:noProof/>
            <w:webHidden/>
          </w:rPr>
          <w:fldChar w:fldCharType="begin"/>
        </w:r>
        <w:r w:rsidR="00B967B9">
          <w:rPr>
            <w:noProof/>
            <w:webHidden/>
          </w:rPr>
          <w:instrText xml:space="preserve"> PAGEREF _Toc132641752 \h </w:instrText>
        </w:r>
        <w:r w:rsidR="00B967B9">
          <w:rPr>
            <w:noProof/>
            <w:webHidden/>
          </w:rPr>
        </w:r>
        <w:r w:rsidR="00B967B9">
          <w:rPr>
            <w:noProof/>
            <w:webHidden/>
          </w:rPr>
          <w:fldChar w:fldCharType="separate"/>
        </w:r>
        <w:r w:rsidR="00B967B9">
          <w:rPr>
            <w:noProof/>
            <w:webHidden/>
          </w:rPr>
          <w:t>12</w:t>
        </w:r>
        <w:r w:rsidR="00B967B9">
          <w:rPr>
            <w:noProof/>
            <w:webHidden/>
          </w:rPr>
          <w:fldChar w:fldCharType="end"/>
        </w:r>
      </w:hyperlink>
    </w:p>
    <w:p w14:paraId="275A9546" w14:textId="6F2DC135" w:rsidR="00B967B9" w:rsidRDefault="007F59C4">
      <w:pPr>
        <w:pStyle w:val="TOC2"/>
        <w:rPr>
          <w:rFonts w:asciiTheme="minorHAnsi" w:eastAsiaTheme="minorEastAsia" w:hAnsiTheme="minorHAnsi"/>
          <w:noProof/>
          <w:color w:val="auto"/>
          <w:sz w:val="22"/>
          <w:szCs w:val="22"/>
          <w:lang w:val="en-AU" w:eastAsia="en-AU"/>
        </w:rPr>
      </w:pPr>
      <w:hyperlink w:anchor="_Toc132641753" w:history="1">
        <w:r w:rsidR="00B967B9" w:rsidRPr="007108B6">
          <w:rPr>
            <w:rStyle w:val="Hyperlink"/>
            <w:noProof/>
          </w:rPr>
          <w:t>3.3 Boat ramp lane demand</w:t>
        </w:r>
        <w:r w:rsidR="00B967B9">
          <w:rPr>
            <w:noProof/>
            <w:webHidden/>
          </w:rPr>
          <w:tab/>
        </w:r>
        <w:r w:rsidR="00B967B9">
          <w:rPr>
            <w:noProof/>
            <w:webHidden/>
          </w:rPr>
          <w:fldChar w:fldCharType="begin"/>
        </w:r>
        <w:r w:rsidR="00B967B9">
          <w:rPr>
            <w:noProof/>
            <w:webHidden/>
          </w:rPr>
          <w:instrText xml:space="preserve"> PAGEREF _Toc132641753 \h </w:instrText>
        </w:r>
        <w:r w:rsidR="00B967B9">
          <w:rPr>
            <w:noProof/>
            <w:webHidden/>
          </w:rPr>
        </w:r>
        <w:r w:rsidR="00B967B9">
          <w:rPr>
            <w:noProof/>
            <w:webHidden/>
          </w:rPr>
          <w:fldChar w:fldCharType="separate"/>
        </w:r>
        <w:r w:rsidR="00B967B9">
          <w:rPr>
            <w:noProof/>
            <w:webHidden/>
          </w:rPr>
          <w:t>12</w:t>
        </w:r>
        <w:r w:rsidR="00B967B9">
          <w:rPr>
            <w:noProof/>
            <w:webHidden/>
          </w:rPr>
          <w:fldChar w:fldCharType="end"/>
        </w:r>
      </w:hyperlink>
    </w:p>
    <w:p w14:paraId="591D7100" w14:textId="5F25DEC5" w:rsidR="00B967B9" w:rsidRDefault="007F59C4">
      <w:pPr>
        <w:pStyle w:val="TOC1"/>
        <w:rPr>
          <w:rFonts w:asciiTheme="minorHAnsi" w:eastAsiaTheme="minorEastAsia" w:hAnsiTheme="minorHAnsi"/>
          <w:noProof/>
          <w:color w:val="auto"/>
          <w:sz w:val="22"/>
          <w:szCs w:val="22"/>
          <w:lang w:val="en-AU" w:eastAsia="en-AU"/>
        </w:rPr>
      </w:pPr>
      <w:hyperlink w:anchor="_Toc132641754" w:history="1">
        <w:r w:rsidR="00B967B9" w:rsidRPr="007108B6">
          <w:rPr>
            <w:rStyle w:val="Hyperlink"/>
            <w:noProof/>
          </w:rPr>
          <w:t>4 Development Recommendations</w:t>
        </w:r>
        <w:r w:rsidR="00B967B9">
          <w:rPr>
            <w:noProof/>
            <w:webHidden/>
          </w:rPr>
          <w:tab/>
        </w:r>
        <w:r w:rsidR="00B967B9">
          <w:rPr>
            <w:noProof/>
            <w:webHidden/>
          </w:rPr>
          <w:fldChar w:fldCharType="begin"/>
        </w:r>
        <w:r w:rsidR="00B967B9">
          <w:rPr>
            <w:noProof/>
            <w:webHidden/>
          </w:rPr>
          <w:instrText xml:space="preserve"> PAGEREF _Toc132641754 \h </w:instrText>
        </w:r>
        <w:r w:rsidR="00B967B9">
          <w:rPr>
            <w:noProof/>
            <w:webHidden/>
          </w:rPr>
        </w:r>
        <w:r w:rsidR="00B967B9">
          <w:rPr>
            <w:noProof/>
            <w:webHidden/>
          </w:rPr>
          <w:fldChar w:fldCharType="separate"/>
        </w:r>
        <w:r w:rsidR="00B967B9">
          <w:rPr>
            <w:noProof/>
            <w:webHidden/>
          </w:rPr>
          <w:t>13</w:t>
        </w:r>
        <w:r w:rsidR="00B967B9">
          <w:rPr>
            <w:noProof/>
            <w:webHidden/>
          </w:rPr>
          <w:fldChar w:fldCharType="end"/>
        </w:r>
      </w:hyperlink>
    </w:p>
    <w:p w14:paraId="5984ED48" w14:textId="742CBB02" w:rsidR="00B967B9" w:rsidRDefault="007F59C4">
      <w:pPr>
        <w:pStyle w:val="TOC2"/>
        <w:rPr>
          <w:rFonts w:asciiTheme="minorHAnsi" w:eastAsiaTheme="minorEastAsia" w:hAnsiTheme="minorHAnsi"/>
          <w:noProof/>
          <w:color w:val="auto"/>
          <w:sz w:val="22"/>
          <w:szCs w:val="22"/>
          <w:lang w:val="en-AU" w:eastAsia="en-AU"/>
        </w:rPr>
      </w:pPr>
      <w:hyperlink w:anchor="_Toc132641755" w:history="1">
        <w:r w:rsidR="00B967B9" w:rsidRPr="007108B6">
          <w:rPr>
            <w:rStyle w:val="Hyperlink"/>
            <w:noProof/>
          </w:rPr>
          <w:t>4.1 Priority recommendations</w:t>
        </w:r>
        <w:r w:rsidR="00B967B9">
          <w:rPr>
            <w:noProof/>
            <w:webHidden/>
          </w:rPr>
          <w:tab/>
        </w:r>
        <w:r w:rsidR="00B967B9">
          <w:rPr>
            <w:noProof/>
            <w:webHidden/>
          </w:rPr>
          <w:fldChar w:fldCharType="begin"/>
        </w:r>
        <w:r w:rsidR="00B967B9">
          <w:rPr>
            <w:noProof/>
            <w:webHidden/>
          </w:rPr>
          <w:instrText xml:space="preserve"> PAGEREF _Toc132641755 \h </w:instrText>
        </w:r>
        <w:r w:rsidR="00B967B9">
          <w:rPr>
            <w:noProof/>
            <w:webHidden/>
          </w:rPr>
        </w:r>
        <w:r w:rsidR="00B967B9">
          <w:rPr>
            <w:noProof/>
            <w:webHidden/>
          </w:rPr>
          <w:fldChar w:fldCharType="separate"/>
        </w:r>
        <w:r w:rsidR="00B967B9">
          <w:rPr>
            <w:noProof/>
            <w:webHidden/>
          </w:rPr>
          <w:t>13</w:t>
        </w:r>
        <w:r w:rsidR="00B967B9">
          <w:rPr>
            <w:noProof/>
            <w:webHidden/>
          </w:rPr>
          <w:fldChar w:fldCharType="end"/>
        </w:r>
      </w:hyperlink>
    </w:p>
    <w:p w14:paraId="5B8FCCA7" w14:textId="3CDA60DB" w:rsidR="00B967B9" w:rsidRDefault="007F59C4">
      <w:pPr>
        <w:pStyle w:val="TOC1"/>
        <w:rPr>
          <w:rFonts w:asciiTheme="minorHAnsi" w:eastAsiaTheme="minorEastAsia" w:hAnsiTheme="minorHAnsi"/>
          <w:noProof/>
          <w:color w:val="auto"/>
          <w:sz w:val="22"/>
          <w:szCs w:val="22"/>
          <w:lang w:val="en-AU" w:eastAsia="en-AU"/>
        </w:rPr>
      </w:pPr>
      <w:hyperlink w:anchor="_Toc132641756" w:history="1">
        <w:r w:rsidR="00B967B9" w:rsidRPr="007108B6">
          <w:rPr>
            <w:rStyle w:val="Hyperlink"/>
            <w:noProof/>
          </w:rPr>
          <w:t>5 References</w:t>
        </w:r>
        <w:r w:rsidR="00B967B9">
          <w:rPr>
            <w:noProof/>
            <w:webHidden/>
          </w:rPr>
          <w:tab/>
        </w:r>
        <w:r w:rsidR="00B967B9">
          <w:rPr>
            <w:noProof/>
            <w:webHidden/>
          </w:rPr>
          <w:fldChar w:fldCharType="begin"/>
        </w:r>
        <w:r w:rsidR="00B967B9">
          <w:rPr>
            <w:noProof/>
            <w:webHidden/>
          </w:rPr>
          <w:instrText xml:space="preserve"> PAGEREF _Toc132641756 \h </w:instrText>
        </w:r>
        <w:r w:rsidR="00B967B9">
          <w:rPr>
            <w:noProof/>
            <w:webHidden/>
          </w:rPr>
        </w:r>
        <w:r w:rsidR="00B967B9">
          <w:rPr>
            <w:noProof/>
            <w:webHidden/>
          </w:rPr>
          <w:fldChar w:fldCharType="separate"/>
        </w:r>
        <w:r w:rsidR="00B967B9">
          <w:rPr>
            <w:noProof/>
            <w:webHidden/>
          </w:rPr>
          <w:t>14</w:t>
        </w:r>
        <w:r w:rsidR="00B967B9">
          <w:rPr>
            <w:noProof/>
            <w:webHidden/>
          </w:rPr>
          <w:fldChar w:fldCharType="end"/>
        </w:r>
      </w:hyperlink>
    </w:p>
    <w:p w14:paraId="36AB1948" w14:textId="5C67BA3F" w:rsidR="00B967B9" w:rsidRDefault="007F59C4">
      <w:pPr>
        <w:pStyle w:val="TOC1"/>
        <w:tabs>
          <w:tab w:val="left" w:pos="1320"/>
        </w:tabs>
        <w:rPr>
          <w:rFonts w:asciiTheme="minorHAnsi" w:eastAsiaTheme="minorEastAsia" w:hAnsiTheme="minorHAnsi"/>
          <w:noProof/>
          <w:color w:val="auto"/>
          <w:sz w:val="22"/>
          <w:szCs w:val="22"/>
          <w:lang w:val="en-AU" w:eastAsia="en-AU"/>
        </w:rPr>
      </w:pPr>
      <w:hyperlink w:anchor="_Toc132641757" w:history="1">
        <w:r w:rsidR="00B967B9" w:rsidRPr="007108B6">
          <w:rPr>
            <w:rStyle w:val="Hyperlink"/>
            <w:noProof/>
          </w:rPr>
          <w:t>Annex A</w:t>
        </w:r>
        <w:r w:rsidR="00B967B9">
          <w:rPr>
            <w:rFonts w:asciiTheme="minorHAnsi" w:eastAsiaTheme="minorEastAsia" w:hAnsiTheme="minorHAnsi"/>
            <w:noProof/>
            <w:color w:val="auto"/>
            <w:sz w:val="22"/>
            <w:szCs w:val="22"/>
            <w:lang w:val="en-AU" w:eastAsia="en-AU"/>
          </w:rPr>
          <w:tab/>
        </w:r>
        <w:r w:rsidR="00B967B9" w:rsidRPr="007108B6">
          <w:rPr>
            <w:rStyle w:val="Hyperlink"/>
            <w:noProof/>
          </w:rPr>
          <w:t>Capacity Assessment Methodology</w:t>
        </w:r>
        <w:r w:rsidR="00B967B9">
          <w:rPr>
            <w:noProof/>
            <w:webHidden/>
          </w:rPr>
          <w:tab/>
        </w:r>
        <w:r w:rsidR="00B967B9">
          <w:rPr>
            <w:noProof/>
            <w:webHidden/>
          </w:rPr>
          <w:fldChar w:fldCharType="begin"/>
        </w:r>
        <w:r w:rsidR="00B967B9">
          <w:rPr>
            <w:noProof/>
            <w:webHidden/>
          </w:rPr>
          <w:instrText xml:space="preserve"> PAGEREF _Toc132641757 \h </w:instrText>
        </w:r>
        <w:r w:rsidR="00B967B9">
          <w:rPr>
            <w:noProof/>
            <w:webHidden/>
          </w:rPr>
        </w:r>
        <w:r w:rsidR="00B967B9">
          <w:rPr>
            <w:noProof/>
            <w:webHidden/>
          </w:rPr>
          <w:fldChar w:fldCharType="separate"/>
        </w:r>
        <w:r w:rsidR="00B967B9">
          <w:rPr>
            <w:noProof/>
            <w:webHidden/>
          </w:rPr>
          <w:t>A-1</w:t>
        </w:r>
        <w:r w:rsidR="00B967B9">
          <w:rPr>
            <w:noProof/>
            <w:webHidden/>
          </w:rPr>
          <w:fldChar w:fldCharType="end"/>
        </w:r>
      </w:hyperlink>
    </w:p>
    <w:p w14:paraId="5CF5A73C" w14:textId="5E838559" w:rsidR="00B967B9" w:rsidRDefault="007F59C4">
      <w:pPr>
        <w:pStyle w:val="TOC1"/>
        <w:tabs>
          <w:tab w:val="left" w:pos="1320"/>
        </w:tabs>
        <w:rPr>
          <w:rFonts w:asciiTheme="minorHAnsi" w:eastAsiaTheme="minorEastAsia" w:hAnsiTheme="minorHAnsi"/>
          <w:noProof/>
          <w:color w:val="auto"/>
          <w:sz w:val="22"/>
          <w:szCs w:val="22"/>
          <w:lang w:val="en-AU" w:eastAsia="en-AU"/>
        </w:rPr>
      </w:pPr>
      <w:hyperlink w:anchor="_Toc132641758" w:history="1">
        <w:r w:rsidR="00B967B9" w:rsidRPr="007108B6">
          <w:rPr>
            <w:rStyle w:val="Hyperlink"/>
            <w:noProof/>
          </w:rPr>
          <w:t>Annex B</w:t>
        </w:r>
        <w:r w:rsidR="00B967B9">
          <w:rPr>
            <w:rFonts w:asciiTheme="minorHAnsi" w:eastAsiaTheme="minorEastAsia" w:hAnsiTheme="minorHAnsi"/>
            <w:noProof/>
            <w:color w:val="auto"/>
            <w:sz w:val="22"/>
            <w:szCs w:val="22"/>
            <w:lang w:val="en-AU" w:eastAsia="en-AU"/>
          </w:rPr>
          <w:tab/>
        </w:r>
        <w:r w:rsidR="00B967B9" w:rsidRPr="007108B6">
          <w:rPr>
            <w:rStyle w:val="Hyperlink"/>
            <w:noProof/>
          </w:rPr>
          <w:t>Demand Study</w:t>
        </w:r>
        <w:r w:rsidR="00B967B9">
          <w:rPr>
            <w:noProof/>
            <w:webHidden/>
          </w:rPr>
          <w:tab/>
        </w:r>
        <w:r w:rsidR="00B967B9">
          <w:rPr>
            <w:noProof/>
            <w:webHidden/>
          </w:rPr>
          <w:fldChar w:fldCharType="begin"/>
        </w:r>
        <w:r w:rsidR="00B967B9">
          <w:rPr>
            <w:noProof/>
            <w:webHidden/>
          </w:rPr>
          <w:instrText xml:space="preserve"> PAGEREF _Toc132641758 \h </w:instrText>
        </w:r>
        <w:r w:rsidR="00B967B9">
          <w:rPr>
            <w:noProof/>
            <w:webHidden/>
          </w:rPr>
        </w:r>
        <w:r w:rsidR="00B967B9">
          <w:rPr>
            <w:noProof/>
            <w:webHidden/>
          </w:rPr>
          <w:fldChar w:fldCharType="separate"/>
        </w:r>
        <w:r w:rsidR="00B967B9">
          <w:rPr>
            <w:noProof/>
            <w:webHidden/>
          </w:rPr>
          <w:t>B-1</w:t>
        </w:r>
        <w:r w:rsidR="00B967B9">
          <w:rPr>
            <w:noProof/>
            <w:webHidden/>
          </w:rPr>
          <w:fldChar w:fldCharType="end"/>
        </w:r>
      </w:hyperlink>
    </w:p>
    <w:p w14:paraId="108E998D" w14:textId="77777777" w:rsidR="00ED1CD0" w:rsidRDefault="00C37B4B" w:rsidP="00ED1CD0">
      <w:pPr>
        <w:pStyle w:val="Heading2NoTOC"/>
      </w:pPr>
      <w:r>
        <w:fldChar w:fldCharType="end"/>
      </w:r>
    </w:p>
    <w:p w14:paraId="1D35C56B" w14:textId="05EB766B" w:rsidR="00ED1CD0" w:rsidRDefault="00ED1CD0" w:rsidP="00ED1CD0">
      <w:pPr>
        <w:pStyle w:val="Heading2NoTOC"/>
      </w:pPr>
      <w:r>
        <w:t>Figures</w:t>
      </w:r>
    </w:p>
    <w:p w14:paraId="2344192F" w14:textId="31EC7A5B" w:rsidR="00ED1CD0" w:rsidRDefault="00ED1CD0">
      <w:pPr>
        <w:pStyle w:val="TableofFigures"/>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"Figure Title" \c </w:instrText>
      </w:r>
      <w:r>
        <w:fldChar w:fldCharType="separate"/>
      </w:r>
      <w:hyperlink w:anchor="_Toc132642194" w:history="1">
        <w:r w:rsidRPr="00380B72">
          <w:rPr>
            <w:rStyle w:val="Hyperlink"/>
            <w:noProof/>
          </w:rPr>
          <w:t>Figure 2.1 Public boat launching facilities within the Flinders Shire LGA</w:t>
        </w:r>
        <w:r>
          <w:rPr>
            <w:noProof/>
            <w:webHidden/>
          </w:rPr>
          <w:tab/>
        </w:r>
        <w:r>
          <w:rPr>
            <w:noProof/>
            <w:webHidden/>
          </w:rPr>
          <w:fldChar w:fldCharType="begin"/>
        </w:r>
        <w:r>
          <w:rPr>
            <w:noProof/>
            <w:webHidden/>
          </w:rPr>
          <w:instrText xml:space="preserve"> PAGEREF _Toc132642194 \h </w:instrText>
        </w:r>
        <w:r>
          <w:rPr>
            <w:noProof/>
            <w:webHidden/>
          </w:rPr>
        </w:r>
        <w:r>
          <w:rPr>
            <w:noProof/>
            <w:webHidden/>
          </w:rPr>
          <w:fldChar w:fldCharType="separate"/>
        </w:r>
        <w:r>
          <w:rPr>
            <w:noProof/>
            <w:webHidden/>
          </w:rPr>
          <w:t>10</w:t>
        </w:r>
        <w:r>
          <w:rPr>
            <w:noProof/>
            <w:webHidden/>
          </w:rPr>
          <w:fldChar w:fldCharType="end"/>
        </w:r>
      </w:hyperlink>
    </w:p>
    <w:p w14:paraId="124062B0" w14:textId="0686EA42" w:rsidR="00B967B9" w:rsidRDefault="00ED1CD0" w:rsidP="00C37B4B">
      <w:r>
        <w:fldChar w:fldCharType="end"/>
      </w:r>
    </w:p>
    <w:p w14:paraId="1236146C" w14:textId="77777777" w:rsidR="00C37B4B" w:rsidRDefault="00C37B4B" w:rsidP="00C37B4B">
      <w:pPr>
        <w:pStyle w:val="Heading2NoTOC"/>
      </w:pPr>
      <w:r>
        <w:t>Tables</w:t>
      </w:r>
    </w:p>
    <w:p w14:paraId="48BDEBEE" w14:textId="10ED2D9A" w:rsidR="00B967B9" w:rsidRDefault="00C37B4B">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B967B9">
        <w:rPr>
          <w:b/>
          <w:noProof/>
        </w:rPr>
        <w:instrText>!Syntax Error, ;</w:instrText>
      </w:r>
      <w:r>
        <w:fldChar w:fldCharType="end"/>
      </w:r>
      <w:r>
        <w:instrText xml:space="preserve">="1"  " Table Title;8;Annex Table Title;9"  " Table Title,8,Annex Table Title,9" </w:instrText>
      </w:r>
      <w:r>
        <w:fldChar w:fldCharType="separate"/>
      </w:r>
      <w:r w:rsidR="00B967B9">
        <w:rPr>
          <w:noProof/>
        </w:rPr>
        <w:instrText xml:space="preserve"> Table Title,8,Annex Table Title,9</w:instrText>
      </w:r>
      <w:r>
        <w:fldChar w:fldCharType="end"/>
      </w:r>
      <w:r>
        <w:instrText xml:space="preserve"> </w:instrText>
      </w:r>
      <w:r>
        <w:fldChar w:fldCharType="separate"/>
      </w:r>
      <w:hyperlink w:anchor="_Toc132641759" w:history="1">
        <w:r w:rsidR="00B967B9" w:rsidRPr="00EB6702">
          <w:rPr>
            <w:rStyle w:val="Hyperlink"/>
            <w:noProof/>
          </w:rPr>
          <w:t>Table A.1. Queuing facility efficiency modifiers</w:t>
        </w:r>
        <w:r w:rsidR="00B967B9">
          <w:rPr>
            <w:noProof/>
            <w:webHidden/>
          </w:rPr>
          <w:tab/>
        </w:r>
        <w:r w:rsidR="00B967B9">
          <w:rPr>
            <w:noProof/>
            <w:webHidden/>
          </w:rPr>
          <w:fldChar w:fldCharType="begin"/>
        </w:r>
        <w:r w:rsidR="00B967B9">
          <w:rPr>
            <w:noProof/>
            <w:webHidden/>
          </w:rPr>
          <w:instrText xml:space="preserve"> PAGEREF _Toc132641759 \h </w:instrText>
        </w:r>
        <w:r w:rsidR="00B967B9">
          <w:rPr>
            <w:noProof/>
            <w:webHidden/>
          </w:rPr>
        </w:r>
        <w:r w:rsidR="00B967B9">
          <w:rPr>
            <w:noProof/>
            <w:webHidden/>
          </w:rPr>
          <w:fldChar w:fldCharType="separate"/>
        </w:r>
        <w:r w:rsidR="00B967B9">
          <w:rPr>
            <w:noProof/>
            <w:webHidden/>
          </w:rPr>
          <w:t>A-4</w:t>
        </w:r>
        <w:r w:rsidR="00B967B9">
          <w:rPr>
            <w:noProof/>
            <w:webHidden/>
          </w:rPr>
          <w:fldChar w:fldCharType="end"/>
        </w:r>
      </w:hyperlink>
    </w:p>
    <w:p w14:paraId="1CFD04D8" w14:textId="3910D91C" w:rsidR="00D266E5" w:rsidRDefault="00C37B4B" w:rsidP="00C37B4B">
      <w:r>
        <w:fldChar w:fldCharType="end"/>
      </w:r>
    </w:p>
    <w:p w14:paraId="6887269F" w14:textId="48B7D5FA" w:rsidR="00867122" w:rsidRDefault="00867122" w:rsidP="00E04EC4">
      <w:pPr>
        <w:sectPr w:rsidR="00867122" w:rsidSect="00C37B4B">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7" w:name="_Toc119418137"/>
      <w:bookmarkStart w:id="8" w:name="_Toc120779094"/>
      <w:bookmarkStart w:id="9" w:name="_Toc120779200"/>
      <w:bookmarkStart w:id="10" w:name="_Toc120779272"/>
      <w:bookmarkStart w:id="11" w:name="_Toc120798487"/>
      <w:bookmarkStart w:id="12" w:name="_Toc120809605"/>
      <w:bookmarkStart w:id="13" w:name="_Toc120821594"/>
      <w:bookmarkStart w:id="14" w:name="_Toc121137788"/>
      <w:bookmarkStart w:id="15" w:name="_Toc121235185"/>
      <w:bookmarkStart w:id="16" w:name="_Toc125530253"/>
      <w:bookmarkStart w:id="17" w:name="_Toc126245449"/>
      <w:bookmarkStart w:id="18" w:name="_Toc126246464"/>
      <w:bookmarkStart w:id="19" w:name="_Toc126662906"/>
      <w:bookmarkStart w:id="20" w:name="_Toc126917753"/>
      <w:bookmarkStart w:id="21" w:name="_Toc129599747"/>
      <w:bookmarkStart w:id="22" w:name="_Toc129616595"/>
      <w:bookmarkStart w:id="23" w:name="_Toc132641745"/>
      <w:bookmarkEnd w:id="1"/>
      <w:bookmarkEnd w:id="2"/>
      <w:r>
        <w:lastRenderedPageBreak/>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4" w:name="_Toc119418138"/>
      <w:bookmarkStart w:id="25" w:name="_Toc120779095"/>
      <w:bookmarkStart w:id="26" w:name="_Toc120779201"/>
      <w:bookmarkStart w:id="27" w:name="_Toc120779273"/>
      <w:bookmarkStart w:id="28" w:name="_Toc120798488"/>
      <w:bookmarkStart w:id="29" w:name="_Toc120809606"/>
      <w:bookmarkStart w:id="30" w:name="_Toc120821595"/>
      <w:bookmarkStart w:id="31" w:name="_Toc121137789"/>
      <w:bookmarkStart w:id="32" w:name="_Toc121235186"/>
      <w:bookmarkStart w:id="33" w:name="_Toc125530254"/>
      <w:bookmarkStart w:id="34" w:name="_Toc126245450"/>
      <w:bookmarkStart w:id="35" w:name="_Toc126246465"/>
      <w:bookmarkStart w:id="36" w:name="_Toc126662907"/>
      <w:bookmarkStart w:id="37" w:name="_Toc126917754"/>
      <w:bookmarkStart w:id="38" w:name="_Toc129599748"/>
      <w:bookmarkStart w:id="39" w:name="_Toc129616596"/>
      <w:bookmarkStart w:id="40" w:name="_Toc132641746"/>
      <w:r>
        <w:lastRenderedPageBreak/>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65187DB2"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10FC125A">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779B02AF"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5FDE0325">
        <w:t>-</w:t>
      </w:r>
      <w:r>
        <w:t>up paddle boards, and fishing platforms.</w:t>
      </w:r>
    </w:p>
    <w:p w14:paraId="022AFC9B" w14:textId="77777777" w:rsidR="00812E11" w:rsidRDefault="00812E11" w:rsidP="00812E11">
      <w:pPr>
        <w:pStyle w:val="Bullet2"/>
        <w:numPr>
          <w:ilvl w:val="0"/>
          <w:numId w:val="0"/>
        </w:numPr>
        <w:ind w:left="340"/>
      </w:pPr>
    </w:p>
    <w:p w14:paraId="6B5F3D7C" w14:textId="4EEFEB08" w:rsidR="000C308F" w:rsidRPr="00426C75" w:rsidRDefault="00426C75" w:rsidP="000C308F">
      <w:pPr>
        <w:pStyle w:val="Heading1"/>
      </w:pPr>
      <w:bookmarkStart w:id="41" w:name="_Toc119418139"/>
      <w:bookmarkStart w:id="42" w:name="_Toc120779096"/>
      <w:bookmarkStart w:id="43" w:name="_Toc120779202"/>
      <w:bookmarkStart w:id="44" w:name="_Toc120779274"/>
      <w:bookmarkStart w:id="45" w:name="_Toc120798489"/>
      <w:bookmarkStart w:id="46" w:name="_Toc120809607"/>
      <w:bookmarkStart w:id="47" w:name="_Toc120821596"/>
      <w:bookmarkStart w:id="48" w:name="_Toc121137790"/>
      <w:bookmarkStart w:id="49" w:name="_Toc121235187"/>
      <w:bookmarkStart w:id="50" w:name="_Toc125530255"/>
      <w:bookmarkStart w:id="51" w:name="_Toc126245451"/>
      <w:bookmarkStart w:id="52" w:name="_Toc126246466"/>
      <w:bookmarkStart w:id="53" w:name="_Toc126662908"/>
      <w:bookmarkStart w:id="54" w:name="_Toc126917755"/>
      <w:bookmarkStart w:id="55" w:name="_Toc129599749"/>
      <w:bookmarkStart w:id="56" w:name="_Toc129616597"/>
      <w:bookmarkStart w:id="57" w:name="_Toc132641747"/>
      <w:r w:rsidRPr="00426C75">
        <w:lastRenderedPageBreak/>
        <w:t>Flinders Shire</w:t>
      </w:r>
      <w:r w:rsidR="00B82DC8">
        <w:t xml:space="preserve"> LGA</w:t>
      </w:r>
      <w:r w:rsidR="00892682" w:rsidRPr="00426C75">
        <w:t xml:space="preserve"> </w:t>
      </w:r>
      <w:r w:rsidR="000C308F" w:rsidRPr="00426C75">
        <w:t>Overview</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256296C" w14:textId="77777777" w:rsidR="000C308F" w:rsidRDefault="000C308F" w:rsidP="000C308F">
      <w:pPr>
        <w:pStyle w:val="Heading1ExtraLine"/>
      </w:pPr>
    </w:p>
    <w:p w14:paraId="7A652541" w14:textId="251712C0" w:rsidR="000C308F" w:rsidRDefault="000C308F" w:rsidP="000C308F">
      <w:pPr>
        <w:pStyle w:val="Heading2"/>
      </w:pPr>
      <w:bookmarkStart w:id="58" w:name="_Toc119418140"/>
      <w:bookmarkStart w:id="59" w:name="_Toc120779097"/>
      <w:bookmarkStart w:id="60" w:name="_Toc120779203"/>
      <w:bookmarkStart w:id="61" w:name="_Toc120779275"/>
      <w:bookmarkStart w:id="62" w:name="_Toc120798490"/>
      <w:bookmarkStart w:id="63" w:name="_Toc120809608"/>
      <w:bookmarkStart w:id="64" w:name="_Toc120821597"/>
      <w:bookmarkStart w:id="65" w:name="_Toc121137791"/>
      <w:bookmarkStart w:id="66" w:name="_Toc121235188"/>
      <w:bookmarkStart w:id="67" w:name="_Toc125530256"/>
      <w:bookmarkStart w:id="68" w:name="_Toc126245452"/>
      <w:bookmarkStart w:id="69" w:name="_Toc126246467"/>
      <w:bookmarkStart w:id="70" w:name="_Toc126662909"/>
      <w:bookmarkStart w:id="71" w:name="_Toc126917756"/>
      <w:bookmarkStart w:id="72" w:name="_Toc129599750"/>
      <w:bookmarkStart w:id="73" w:name="_Toc129616598"/>
      <w:bookmarkStart w:id="74" w:name="_Toc132641748"/>
      <w:r>
        <w:t xml:space="preserve">Key </w:t>
      </w:r>
      <w:r w:rsidR="00ED23EF">
        <w:t>influences on recreational boating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EBA3584" w14:textId="79AE5830" w:rsidR="000C308F" w:rsidRPr="003223B1" w:rsidRDefault="003E0996" w:rsidP="000C308F">
      <w:r>
        <w:t xml:space="preserve">Within </w:t>
      </w:r>
      <w:r w:rsidR="00426C75" w:rsidRPr="00426C75">
        <w:t>Flinders Shire</w:t>
      </w:r>
      <w:r w:rsidRPr="00426C75">
        <w:t xml:space="preserve">, the principal attributes and influences that affect demand on recreational boating </w:t>
      </w:r>
      <w:r w:rsidRPr="003223B1">
        <w:t>infrastructure include:</w:t>
      </w:r>
    </w:p>
    <w:p w14:paraId="75048B78" w14:textId="65854AEA" w:rsidR="003E0996" w:rsidRPr="003223B1" w:rsidRDefault="00063D2C" w:rsidP="003E0996">
      <w:pPr>
        <w:pStyle w:val="Bullet1"/>
      </w:pPr>
      <w:r w:rsidRPr="003223B1">
        <w:t xml:space="preserve">The area is a </w:t>
      </w:r>
      <w:r w:rsidR="003223B1" w:rsidRPr="003223B1">
        <w:t>V</w:t>
      </w:r>
      <w:r w:rsidRPr="003223B1">
        <w:t xml:space="preserve">ery </w:t>
      </w:r>
      <w:r w:rsidR="003223B1" w:rsidRPr="003223B1">
        <w:t>R</w:t>
      </w:r>
      <w:r w:rsidRPr="003223B1">
        <w:t>emote region under the remoteness measures used by the Australian Bureau of Statistics.</w:t>
      </w:r>
    </w:p>
    <w:p w14:paraId="0909F966" w14:textId="77777777" w:rsidR="00B82DC8" w:rsidRDefault="00B82DC8" w:rsidP="00B82DC8">
      <w:pPr>
        <w:pStyle w:val="Bullet1"/>
      </w:pPr>
      <w:r>
        <w:t xml:space="preserve">The existing facility at Hughenden Recreational Lake is sufficient for existing and projected demand. </w:t>
      </w:r>
    </w:p>
    <w:p w14:paraId="32F7E572" w14:textId="763DA73E" w:rsidR="00063D2C" w:rsidRPr="003223B1" w:rsidRDefault="00063D2C" w:rsidP="00B82DC8">
      <w:pPr>
        <w:pStyle w:val="Bullet1"/>
      </w:pPr>
      <w:r w:rsidRPr="003223B1">
        <w:t>The</w:t>
      </w:r>
      <w:r w:rsidR="003223B1" w:rsidRPr="003223B1">
        <w:t xml:space="preserve"> main</w:t>
      </w:r>
      <w:r w:rsidRPr="003223B1">
        <w:t xml:space="preserve"> water bod</w:t>
      </w:r>
      <w:r w:rsidR="003223B1" w:rsidRPr="003223B1">
        <w:t xml:space="preserve">y </w:t>
      </w:r>
      <w:r w:rsidRPr="003223B1">
        <w:t xml:space="preserve">within </w:t>
      </w:r>
      <w:r w:rsidR="00426C75" w:rsidRPr="003223B1">
        <w:t>Flinders Shire</w:t>
      </w:r>
      <w:r w:rsidRPr="003223B1">
        <w:t xml:space="preserve"> is</w:t>
      </w:r>
      <w:r w:rsidR="003223B1" w:rsidRPr="003223B1">
        <w:t xml:space="preserve"> the Flinders River, which is ephemeral and</w:t>
      </w:r>
      <w:r w:rsidRPr="003223B1">
        <w:t xml:space="preserve"> has limited opportunit</w:t>
      </w:r>
      <w:r w:rsidR="003223B1" w:rsidRPr="003223B1">
        <w:t>ies</w:t>
      </w:r>
      <w:r w:rsidRPr="003223B1">
        <w:t xml:space="preserve"> for recreational facilities.</w:t>
      </w:r>
      <w:r w:rsidR="00040B44" w:rsidRPr="003223B1">
        <w:t xml:space="preserve"> </w:t>
      </w:r>
    </w:p>
    <w:p w14:paraId="01A6C0B1" w14:textId="09D93C5B" w:rsidR="003E0996" w:rsidRDefault="337BCC67"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1ABA4BA0" w14:textId="49AA30E6" w:rsidR="00B82DC8" w:rsidRDefault="00B82DC8" w:rsidP="006F128B">
      <w:pPr>
        <w:pStyle w:val="Heading2"/>
      </w:pPr>
      <w:bookmarkStart w:id="75" w:name="_Toc132641749"/>
      <w:bookmarkStart w:id="76" w:name="_Toc125530257"/>
      <w:bookmarkStart w:id="77" w:name="_Toc126245453"/>
      <w:bookmarkStart w:id="78" w:name="_Toc126246468"/>
      <w:bookmarkStart w:id="79" w:name="_Toc126662910"/>
      <w:bookmarkStart w:id="80" w:name="_Toc126917757"/>
      <w:bookmarkStart w:id="81" w:name="_Toc129599751"/>
      <w:bookmarkStart w:id="82" w:name="_Toc129616599"/>
      <w:r>
        <w:t>Capacity of existing recreational boating infrastructure</w:t>
      </w:r>
      <w:bookmarkEnd w:id="75"/>
    </w:p>
    <w:p w14:paraId="401C750B" w14:textId="3E1A80C7" w:rsidR="006F128B" w:rsidRDefault="00B82DC8" w:rsidP="003B44D5">
      <w:r>
        <w:t xml:space="preserve">The recreational boating facilities within the Flinders Shire LGA are shown in </w:t>
      </w:r>
      <w:r>
        <w:fldChar w:fldCharType="begin"/>
      </w:r>
      <w:r>
        <w:instrText xml:space="preserve"> REF _Ref132640293 \r \h </w:instrText>
      </w:r>
      <w:r>
        <w:fldChar w:fldCharType="separate"/>
      </w:r>
      <w:r w:rsidR="00B967B9">
        <w:t>Figure 2.1</w:t>
      </w:r>
      <w:r>
        <w:fldChar w:fldCharType="end"/>
      </w:r>
      <w:r w:rsidR="003B44D5">
        <w:t xml:space="preserve">. The facility at Hughenden provides access to the artificial recreational lake for trailable boats, which has been in operation since 2020. This is supported by a pontoon adjacent to the ramp, as well as a jetty on the other side of the </w:t>
      </w:r>
      <w:proofErr w:type="gramStart"/>
      <w:r w:rsidR="003B44D5">
        <w:t>lake, and</w:t>
      </w:r>
      <w:proofErr w:type="gramEnd"/>
      <w:r w:rsidR="003B44D5">
        <w:t xml:space="preserve"> has an effective capacity of 1.2 lanes. The facility is owned and managed by Flinders Shire Council.</w:t>
      </w:r>
      <w:bookmarkEnd w:id="76"/>
      <w:bookmarkEnd w:id="77"/>
      <w:bookmarkEnd w:id="78"/>
      <w:bookmarkEnd w:id="79"/>
      <w:bookmarkEnd w:id="80"/>
      <w:bookmarkEnd w:id="81"/>
      <w:bookmarkEnd w:id="82"/>
    </w:p>
    <w:p w14:paraId="2D1B47E3" w14:textId="21BC6DC9" w:rsidR="003B44D5" w:rsidRPr="0010222E" w:rsidRDefault="003B44D5" w:rsidP="003B44D5">
      <w:r>
        <w:t xml:space="preserve">For reference, the methodology for assessing boat ramp capacity is provided in </w:t>
      </w:r>
      <w:r>
        <w:fldChar w:fldCharType="begin"/>
      </w:r>
      <w:r>
        <w:instrText xml:space="preserve"> REF _Ref132640845 \r \h </w:instrText>
      </w:r>
      <w:r>
        <w:fldChar w:fldCharType="separate"/>
      </w:r>
      <w:r w:rsidR="00B967B9">
        <w:t>Annex A</w:t>
      </w:r>
      <w:r>
        <w:fldChar w:fldCharType="end"/>
      </w:r>
      <w:r>
        <w:t xml:space="preserve">. </w:t>
      </w:r>
    </w:p>
    <w:p w14:paraId="6F09CDE1" w14:textId="77777777" w:rsidR="00B82DC8" w:rsidRDefault="00B82DC8" w:rsidP="006F128B">
      <w:pPr>
        <w:pStyle w:val="Bullet1"/>
        <w:numPr>
          <w:ilvl w:val="0"/>
          <w:numId w:val="0"/>
        </w:numPr>
        <w:ind w:left="340"/>
        <w:rPr>
          <w:highlight w:val="yellow"/>
        </w:rPr>
        <w:sectPr w:rsidR="00B82DC8" w:rsidSect="00C37B4B">
          <w:footerReference w:type="default" r:id="rId16"/>
          <w:headerReference w:type="first" r:id="rId17"/>
          <w:footerReference w:type="first" r:id="rId18"/>
          <w:pgSz w:w="11907" w:h="16839" w:code="9"/>
          <w:pgMar w:top="1814" w:right="1134" w:bottom="794" w:left="1134" w:header="454" w:footer="454" w:gutter="0"/>
          <w:cols w:space="708"/>
          <w:docGrid w:linePitch="360"/>
        </w:sectPr>
      </w:pPr>
    </w:p>
    <w:p w14:paraId="12B56957" w14:textId="26A43C42" w:rsidR="006F128B" w:rsidRDefault="006F128B" w:rsidP="006F128B">
      <w:pPr>
        <w:pStyle w:val="Bullet1"/>
        <w:numPr>
          <w:ilvl w:val="0"/>
          <w:numId w:val="0"/>
        </w:numPr>
        <w:ind w:left="340"/>
        <w:rPr>
          <w:highlight w:val="yellow"/>
        </w:rPr>
      </w:pPr>
    </w:p>
    <w:p w14:paraId="05A87EBB" w14:textId="32CFDF14" w:rsidR="00B82DC8" w:rsidRDefault="00B82DC8" w:rsidP="006F128B">
      <w:pPr>
        <w:pStyle w:val="Bullet1"/>
        <w:numPr>
          <w:ilvl w:val="0"/>
          <w:numId w:val="0"/>
        </w:numPr>
        <w:ind w:left="340"/>
        <w:rPr>
          <w:highlight w:val="yellow"/>
        </w:rPr>
      </w:pPr>
      <w:r>
        <w:rPr>
          <w:noProof/>
        </w:rPr>
        <w:drawing>
          <wp:inline distT="0" distB="0" distL="0" distR="0" wp14:anchorId="1D4A807A" wp14:editId="0FF354F3">
            <wp:extent cx="4835212" cy="6837218"/>
            <wp:effectExtent l="0" t="0" r="3810" b="1905"/>
            <wp:docPr id="1383129454"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29454" name="Picture 2" descr="Map&#10;&#10;Description automatically generated"/>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836853" cy="6839539"/>
                    </a:xfrm>
                    <a:prstGeom prst="rect">
                      <a:avLst/>
                    </a:prstGeom>
                    <a:noFill/>
                    <a:ln>
                      <a:noFill/>
                    </a:ln>
                  </pic:spPr>
                </pic:pic>
              </a:graphicData>
            </a:graphic>
          </wp:inline>
        </w:drawing>
      </w:r>
    </w:p>
    <w:p w14:paraId="27B42397" w14:textId="6243F1A2" w:rsidR="00B82DC8" w:rsidRDefault="00B82DC8" w:rsidP="00B82DC8">
      <w:pPr>
        <w:pStyle w:val="FigureTitle"/>
      </w:pPr>
      <w:bookmarkStart w:id="83" w:name="_Ref132640293"/>
      <w:bookmarkStart w:id="84" w:name="_Toc132642194"/>
      <w:r w:rsidRPr="00B82DC8">
        <w:t>Public boat launching facilities within the Flinders Shire LGA</w:t>
      </w:r>
      <w:bookmarkEnd w:id="83"/>
      <w:bookmarkEnd w:id="84"/>
      <w:r w:rsidRPr="00B82DC8">
        <w:t xml:space="preserve"> </w:t>
      </w:r>
    </w:p>
    <w:p w14:paraId="5FBE2852" w14:textId="77777777" w:rsidR="003B44D5" w:rsidRDefault="00B82DC8" w:rsidP="00B82DC8">
      <w:pPr>
        <w:sectPr w:rsidR="003B44D5" w:rsidSect="00C37B4B">
          <w:pgSz w:w="11907" w:h="16839" w:code="9"/>
          <w:pgMar w:top="1814" w:right="1134" w:bottom="794" w:left="1134" w:header="454" w:footer="454" w:gutter="0"/>
          <w:cols w:space="708"/>
          <w:docGrid w:linePitch="360"/>
        </w:sectPr>
      </w:pPr>
      <w:r w:rsidRPr="00B82DC8">
        <w:t>"I:\A12068_TMR_Rec.Boating.Demand.Forecast.Study\QGIS\ReportFigures\Flinders\A12068_002_GIS_FlindersBoatLaunchingFacilities.jpg"</w:t>
      </w:r>
    </w:p>
    <w:p w14:paraId="62238FCA" w14:textId="77777777" w:rsidR="00425182" w:rsidRDefault="00425182" w:rsidP="00425182">
      <w:pPr>
        <w:pStyle w:val="Heading1"/>
      </w:pPr>
      <w:bookmarkStart w:id="85" w:name="_Toc120778750"/>
      <w:bookmarkStart w:id="86" w:name="_Toc120778952"/>
      <w:bookmarkStart w:id="87" w:name="_Toc120779004"/>
      <w:bookmarkStart w:id="88" w:name="_Toc120779205"/>
      <w:bookmarkStart w:id="89" w:name="_Toc120779277"/>
      <w:bookmarkStart w:id="90" w:name="_Toc119418149"/>
      <w:bookmarkStart w:id="91" w:name="_Toc120779106"/>
      <w:bookmarkStart w:id="92" w:name="_Toc120779213"/>
      <w:bookmarkStart w:id="93" w:name="_Toc120779285"/>
      <w:bookmarkStart w:id="94" w:name="_Toc120798499"/>
      <w:bookmarkStart w:id="95" w:name="_Toc120809617"/>
      <w:bookmarkStart w:id="96" w:name="_Toc120821606"/>
      <w:bookmarkStart w:id="97" w:name="_Toc121137800"/>
      <w:bookmarkStart w:id="98" w:name="_Toc121235197"/>
      <w:bookmarkStart w:id="99" w:name="_Toc125530260"/>
      <w:bookmarkStart w:id="100" w:name="_Toc126245456"/>
      <w:bookmarkStart w:id="101" w:name="_Toc126246471"/>
      <w:bookmarkStart w:id="102" w:name="_Toc126662913"/>
      <w:bookmarkStart w:id="103" w:name="_Toc126917760"/>
      <w:bookmarkStart w:id="104" w:name="_Toc129599754"/>
      <w:bookmarkStart w:id="105" w:name="_Toc129616602"/>
      <w:bookmarkStart w:id="106" w:name="_Toc132641750"/>
      <w:bookmarkEnd w:id="85"/>
      <w:bookmarkEnd w:id="86"/>
      <w:bookmarkEnd w:id="87"/>
      <w:bookmarkEnd w:id="88"/>
      <w:bookmarkEnd w:id="89"/>
      <w:r>
        <w:lastRenderedPageBreak/>
        <w:t>Demand Assessment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9502ABA" w14:textId="77777777" w:rsidR="00425182" w:rsidRDefault="00425182" w:rsidP="00425182">
      <w:pPr>
        <w:pStyle w:val="Heading1ExtraLine"/>
      </w:pPr>
    </w:p>
    <w:p w14:paraId="6383DC16" w14:textId="5737F3F5"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4FA0F78B">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64E3C514">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0171874C" w:rsidR="00F84CEC" w:rsidRDefault="009570D2" w:rsidP="00425182">
      <w:r>
        <w:t xml:space="preserve">The demand model created for this Study is intended to provide information on demand pressures on ‘good boating days’ for all facilities as per the intentions of the </w:t>
      </w:r>
      <w:r w:rsidR="6B17C09A">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07" w:name="_Toc120779107"/>
      <w:bookmarkStart w:id="108" w:name="_Toc120779214"/>
      <w:bookmarkStart w:id="109" w:name="_Toc120779286"/>
      <w:bookmarkStart w:id="110" w:name="_Toc120798500"/>
      <w:bookmarkStart w:id="111" w:name="_Toc120809618"/>
      <w:bookmarkStart w:id="112" w:name="_Toc120821607"/>
      <w:bookmarkStart w:id="113" w:name="_Toc121137801"/>
      <w:bookmarkStart w:id="114" w:name="_Toc121235198"/>
      <w:bookmarkStart w:id="115" w:name="_Toc125530261"/>
      <w:bookmarkStart w:id="116" w:name="_Toc126245457"/>
      <w:bookmarkStart w:id="117" w:name="_Toc126246472"/>
      <w:bookmarkStart w:id="118" w:name="_Toc126662914"/>
      <w:bookmarkStart w:id="119" w:name="_Toc126917761"/>
      <w:bookmarkStart w:id="120" w:name="_Toc129599755"/>
      <w:bookmarkStart w:id="121" w:name="_Toc129616603"/>
      <w:bookmarkStart w:id="122" w:name="_Toc132641751"/>
      <w:bookmarkStart w:id="123" w:name="_Toc119418150"/>
      <w:r>
        <w:t xml:space="preserve">Activation </w:t>
      </w:r>
      <w:r w:rsidR="00867122">
        <w:t>r</w:t>
      </w:r>
      <w:r>
        <w:t>ate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 xml:space="preserve"> </w:t>
      </w:r>
      <w:bookmarkEnd w:id="123"/>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53D12A7E" w:rsidR="00425182" w:rsidRDefault="00B66197" w:rsidP="00425182">
      <w:pPr>
        <w:pStyle w:val="Bullet1"/>
      </w:pPr>
      <w:r>
        <w:t>w</w:t>
      </w:r>
      <w:r w:rsidR="00425182">
        <w:t>hether the LGA is coastal</w:t>
      </w:r>
      <w:r w:rsidR="1AAA2756">
        <w:t>.</w:t>
      </w:r>
      <w:r w:rsidR="00425182">
        <w:t xml:space="preserve"> </w:t>
      </w:r>
    </w:p>
    <w:p w14:paraId="3F143FA5" w14:textId="43C2DC19" w:rsidR="00A72BF4" w:rsidRDefault="00425182" w:rsidP="00425182">
      <w:pPr>
        <w:pStyle w:val="Bullet1"/>
        <w:numPr>
          <w:ilvl w:val="0"/>
          <w:numId w:val="0"/>
        </w:numPr>
      </w:pPr>
      <w:r>
        <w:t xml:space="preserve">Further information about the </w:t>
      </w:r>
      <w:r w:rsidRPr="00426C75">
        <w:t xml:space="preserve">derivation of this rate can be found in </w:t>
      </w:r>
      <w:r w:rsidR="00777372" w:rsidRPr="00426C75">
        <w:fldChar w:fldCharType="begin"/>
      </w:r>
      <w:r w:rsidR="00777372" w:rsidRPr="00426C75">
        <w:instrText xml:space="preserve"> REF _BrCrWholePara_44957_5005787037 \n \h </w:instrText>
      </w:r>
      <w:r w:rsidR="00426C75">
        <w:instrText xml:space="preserve"> \* MERGEFORMAT </w:instrText>
      </w:r>
      <w:r w:rsidR="00777372" w:rsidRPr="00426C75">
        <w:fldChar w:fldCharType="separate"/>
      </w:r>
      <w:r w:rsidR="00B967B9">
        <w:t>Annex B</w:t>
      </w:r>
      <w:r w:rsidR="00777372" w:rsidRPr="00426C75">
        <w:fldChar w:fldCharType="end"/>
      </w:r>
      <w:r w:rsidRPr="00426C75">
        <w:t xml:space="preserve">. For </w:t>
      </w:r>
      <w:r w:rsidR="00426C75" w:rsidRPr="00426C75">
        <w:t>Flinders Shire</w:t>
      </w:r>
      <w:r w:rsidR="0012161B" w:rsidRPr="00426C75">
        <w:t xml:space="preserve"> the</w:t>
      </w:r>
      <w:r w:rsidR="00763A4D" w:rsidRPr="00426C75">
        <w:t xml:space="preserve"> activation rate is assumed to be </w:t>
      </w:r>
      <w:r w:rsidR="00B66197" w:rsidRPr="00426C75">
        <w:t>12%</w:t>
      </w:r>
      <w:r w:rsidR="00763A4D" w:rsidRPr="00426C75">
        <w:t xml:space="preserve">, </w:t>
      </w:r>
      <w:r w:rsidR="00932B01" w:rsidRPr="00426C75">
        <w:t>due to</w:t>
      </w:r>
      <w:r w:rsidR="00932B01">
        <w:t xml:space="preserve"> its classification </w:t>
      </w:r>
      <w:r w:rsidR="00932B01" w:rsidRPr="003223B1">
        <w:t>as a Very Remote region</w:t>
      </w:r>
      <w:r w:rsidR="003223B1" w:rsidRPr="003223B1">
        <w:t>.</w:t>
      </w:r>
    </w:p>
    <w:p w14:paraId="2C161582" w14:textId="77777777" w:rsidR="00A72BF4" w:rsidRDefault="00A72BF4">
      <w:pPr>
        <w:spacing w:after="200" w:line="276" w:lineRule="auto"/>
      </w:pPr>
      <w:r>
        <w:br w:type="page"/>
      </w:r>
    </w:p>
    <w:p w14:paraId="7B43A7F4" w14:textId="2DD4F166" w:rsidR="00CB4A50" w:rsidRDefault="00CB4A50" w:rsidP="00477A04">
      <w:pPr>
        <w:pStyle w:val="Heading2"/>
      </w:pPr>
      <w:bookmarkStart w:id="124" w:name="_Toc125530262"/>
      <w:bookmarkStart w:id="125" w:name="_Toc126245458"/>
      <w:bookmarkStart w:id="126" w:name="_Toc126246473"/>
      <w:bookmarkStart w:id="127" w:name="_Toc126662915"/>
      <w:bookmarkStart w:id="128" w:name="_Toc126917762"/>
      <w:bookmarkStart w:id="129" w:name="_Toc129599756"/>
      <w:bookmarkStart w:id="130" w:name="_Toc129616604"/>
      <w:bookmarkStart w:id="131" w:name="_Toc132641752"/>
      <w:bookmarkStart w:id="132" w:name="_Toc120779108"/>
      <w:bookmarkStart w:id="133" w:name="_Toc120779215"/>
      <w:bookmarkStart w:id="134" w:name="_Toc120779287"/>
      <w:bookmarkStart w:id="135" w:name="_Toc120798501"/>
      <w:bookmarkStart w:id="136" w:name="_Toc120809619"/>
      <w:bookmarkStart w:id="137" w:name="_Toc120821608"/>
      <w:bookmarkStart w:id="138" w:name="_Toc121137802"/>
      <w:bookmarkStart w:id="139" w:name="_Toc121235199"/>
      <w:r>
        <w:lastRenderedPageBreak/>
        <w:t>Fleet size</w:t>
      </w:r>
      <w:bookmarkEnd w:id="124"/>
      <w:bookmarkEnd w:id="125"/>
      <w:bookmarkEnd w:id="126"/>
      <w:bookmarkEnd w:id="127"/>
      <w:bookmarkEnd w:id="128"/>
      <w:bookmarkEnd w:id="129"/>
      <w:bookmarkEnd w:id="130"/>
      <w:bookmarkEnd w:id="131"/>
    </w:p>
    <w:p w14:paraId="5D3D9285" w14:textId="71CE7E01" w:rsidR="00CB4A50" w:rsidRDefault="00CB4A50" w:rsidP="00CB4A50">
      <w:r>
        <w:t xml:space="preserve">The fleet size is separated into trailable vessels, </w:t>
      </w:r>
      <w:r w:rsidR="00777372">
        <w:t xml:space="preserve">which </w:t>
      </w:r>
      <w:r w:rsidR="2EF36A24">
        <w:t>are</w:t>
      </w:r>
      <w:r w:rsidR="00777372">
        <w:t xml:space="preserve"> defined as vessels less than 8m (</w:t>
      </w:r>
      <w:r w:rsidR="2766A60C">
        <w:t>that is</w:t>
      </w:r>
      <w:r w:rsidR="006E07E8">
        <w:t>,</w:t>
      </w:r>
      <w:r>
        <w:t xml:space="preserve"> those that are small enough to be launched </w:t>
      </w:r>
      <w:r w:rsidR="00777372">
        <w:t xml:space="preserve">from a trailer </w:t>
      </w:r>
      <w:r>
        <w:t xml:space="preserve">by a </w:t>
      </w:r>
      <w:r w:rsidR="00777372">
        <w:t xml:space="preserve">conventional </w:t>
      </w:r>
      <w:r>
        <w:t>car</w:t>
      </w:r>
      <w:r w:rsidR="46E5BAB4">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426C75">
        <w:t>Flinders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0E3DB1FD" w:rsidR="00CB4A50" w:rsidRDefault="007E093C" w:rsidP="00CB4A50">
      <w:pPr>
        <w:pStyle w:val="Bullet1"/>
      </w:pPr>
      <w:r>
        <w:t>86</w:t>
      </w:r>
      <w:r w:rsidR="00CB4A50">
        <w:t xml:space="preserve"> vessels up to 4.5m in length</w:t>
      </w:r>
    </w:p>
    <w:p w14:paraId="773F4BD0" w14:textId="4669FDD1" w:rsidR="00CB4A50" w:rsidRDefault="007E093C" w:rsidP="00CB4A50">
      <w:pPr>
        <w:pStyle w:val="Bullet1"/>
      </w:pPr>
      <w:r>
        <w:t>47</w:t>
      </w:r>
      <w:r w:rsidR="00CB4A50">
        <w:t xml:space="preserve"> vessels between 4.5m and 8m in length</w:t>
      </w:r>
    </w:p>
    <w:p w14:paraId="3F18DCE3" w14:textId="77287682" w:rsidR="00CB4A50" w:rsidRDefault="007E093C" w:rsidP="00CB4A50">
      <w:pPr>
        <w:pStyle w:val="Bullet1"/>
      </w:pPr>
      <w:r>
        <w:t>6</w:t>
      </w:r>
      <w:r w:rsidR="00CB4A50">
        <w:t xml:space="preserve"> vessels greater than 8m in length, and therefore not trailable.</w:t>
      </w:r>
    </w:p>
    <w:p w14:paraId="0C49578F" w14:textId="44104198" w:rsidR="00CB4A50" w:rsidRDefault="00CB4A50" w:rsidP="00CB4A50">
      <w:pPr>
        <w:pStyle w:val="Heading2"/>
      </w:pPr>
      <w:bookmarkStart w:id="140" w:name="_Toc120779110"/>
      <w:bookmarkStart w:id="141" w:name="_Toc120779217"/>
      <w:bookmarkStart w:id="142" w:name="_Toc120779289"/>
      <w:bookmarkStart w:id="143" w:name="_Toc120798503"/>
      <w:bookmarkStart w:id="144" w:name="_Toc120809621"/>
      <w:bookmarkStart w:id="145" w:name="_Toc120821610"/>
      <w:bookmarkStart w:id="146" w:name="_Toc121137804"/>
      <w:bookmarkStart w:id="147" w:name="_Toc121235201"/>
      <w:bookmarkStart w:id="148" w:name="_Toc125530263"/>
      <w:bookmarkStart w:id="149" w:name="_Toc126245459"/>
      <w:bookmarkStart w:id="150" w:name="_Toc126246474"/>
      <w:bookmarkStart w:id="151" w:name="_Toc126662916"/>
      <w:bookmarkStart w:id="152" w:name="_Toc126917763"/>
      <w:bookmarkStart w:id="153" w:name="_Toc129599757"/>
      <w:bookmarkStart w:id="154" w:name="_Toc129616605"/>
      <w:bookmarkStart w:id="155" w:name="_Toc119418151"/>
      <w:bookmarkStart w:id="156" w:name="_Toc132641753"/>
      <w:r>
        <w:t>Boat ramp lane demand</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CA44048" w14:textId="51AB1714"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51A6FAA1">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74B0AF3C" w14:textId="0571B6B3" w:rsidR="00CB4A50" w:rsidRDefault="000540F5" w:rsidP="00CB4A50">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r w:rsidR="003223B1">
        <w:t>day and</w:t>
      </w:r>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r w:rsidR="00932B01">
        <w:t xml:space="preserve">for </w:t>
      </w:r>
      <w:r w:rsidR="71417FBE">
        <w:t>Flinders</w:t>
      </w:r>
      <w:r w:rsidR="00932B01">
        <w:t xml:space="preserve"> is less than one effective lane, indicating that there is no statistical basis for the construction of </w:t>
      </w:r>
      <w:r w:rsidR="00A64323">
        <w:t xml:space="preserve">another </w:t>
      </w:r>
      <w:r w:rsidR="00932B01">
        <w:t xml:space="preserve">formal recreational boating </w:t>
      </w:r>
      <w:r w:rsidR="003223B1">
        <w:t>facilities.</w:t>
      </w:r>
    </w:p>
    <w:p w14:paraId="2216FC39" w14:textId="77777777" w:rsidR="00CB4A50" w:rsidRDefault="00CB4A50" w:rsidP="00CB4A50"/>
    <w:bookmarkEnd w:id="132"/>
    <w:bookmarkEnd w:id="133"/>
    <w:bookmarkEnd w:id="134"/>
    <w:bookmarkEnd w:id="135"/>
    <w:bookmarkEnd w:id="136"/>
    <w:bookmarkEnd w:id="137"/>
    <w:bookmarkEnd w:id="138"/>
    <w:bookmarkEnd w:id="139"/>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157" w:name="_Toc125530265"/>
      <w:bookmarkStart w:id="158" w:name="_Toc126245461"/>
      <w:bookmarkStart w:id="159" w:name="_Toc126246475"/>
      <w:bookmarkStart w:id="160" w:name="_Toc126662917"/>
      <w:bookmarkStart w:id="161" w:name="_Toc126917764"/>
      <w:bookmarkStart w:id="162" w:name="_Toc129599758"/>
      <w:bookmarkStart w:id="163" w:name="_Toc129616606"/>
      <w:bookmarkStart w:id="164" w:name="_Toc132641754"/>
      <w:r>
        <w:lastRenderedPageBreak/>
        <w:t>Development Recommendations</w:t>
      </w:r>
      <w:bookmarkEnd w:id="157"/>
      <w:bookmarkEnd w:id="158"/>
      <w:bookmarkEnd w:id="159"/>
      <w:bookmarkEnd w:id="160"/>
      <w:bookmarkEnd w:id="161"/>
      <w:bookmarkEnd w:id="162"/>
      <w:bookmarkEnd w:id="163"/>
      <w:bookmarkEnd w:id="164"/>
    </w:p>
    <w:p w14:paraId="23030D03" w14:textId="77777777" w:rsidR="002F3C58" w:rsidRDefault="002F3C58" w:rsidP="002F3C58">
      <w:pPr>
        <w:pStyle w:val="Heading1ExtraLine"/>
      </w:pPr>
    </w:p>
    <w:p w14:paraId="19DE593E" w14:textId="27189440" w:rsidR="003437D9" w:rsidRDefault="003437D9" w:rsidP="003437D9">
      <w:pPr>
        <w:pStyle w:val="Heading2"/>
      </w:pPr>
      <w:bookmarkStart w:id="165" w:name="_Toc125530266"/>
      <w:bookmarkStart w:id="166" w:name="_Toc126245462"/>
      <w:bookmarkStart w:id="167" w:name="_Toc126246476"/>
      <w:bookmarkStart w:id="168" w:name="_Toc126662918"/>
      <w:bookmarkStart w:id="169" w:name="_Toc126917765"/>
      <w:bookmarkStart w:id="170" w:name="_Toc129599759"/>
      <w:bookmarkStart w:id="171" w:name="_Toc129616607"/>
      <w:bookmarkStart w:id="172" w:name="_Toc132641755"/>
      <w:r>
        <w:t xml:space="preserve">Priority </w:t>
      </w:r>
      <w:r w:rsidR="6F4DEDD4">
        <w:t>r</w:t>
      </w:r>
      <w:r>
        <w:t>ecommendations</w:t>
      </w:r>
      <w:bookmarkEnd w:id="165"/>
      <w:bookmarkEnd w:id="166"/>
      <w:bookmarkEnd w:id="167"/>
      <w:bookmarkEnd w:id="168"/>
      <w:bookmarkEnd w:id="169"/>
      <w:bookmarkEnd w:id="170"/>
      <w:bookmarkEnd w:id="171"/>
      <w:bookmarkEnd w:id="172"/>
    </w:p>
    <w:p w14:paraId="05232B8F" w14:textId="3FCB2E13" w:rsidR="000540F5" w:rsidRDefault="000540F5" w:rsidP="002F3C58">
      <w:r>
        <w:t xml:space="preserve">A review of the </w:t>
      </w:r>
      <w:r w:rsidR="00932B01">
        <w:t xml:space="preserve">recreational boating needs of </w:t>
      </w:r>
      <w:r w:rsidR="00426C75">
        <w:t>Flinders Shire</w:t>
      </w:r>
      <w:r>
        <w:t xml:space="preserve"> indicates that there is currently no statistical basis to justify the </w:t>
      </w:r>
      <w:r w:rsidR="00293AB8">
        <w:t xml:space="preserve">further recommendations for upgrading existing facilities or construction of any new recreational boating facilities. The current fleet of vessels </w:t>
      </w:r>
      <w:r>
        <w:t xml:space="preserve">registered in </w:t>
      </w:r>
      <w:r w:rsidR="00426C75">
        <w:t>Flinders Shire</w:t>
      </w:r>
      <w:r>
        <w:t xml:space="preserve"> is catered for </w:t>
      </w:r>
      <w:r w:rsidR="00426C75">
        <w:t xml:space="preserve">by </w:t>
      </w:r>
      <w:r w:rsidR="00293AB8">
        <w:t xml:space="preserve">the existing facility and within other </w:t>
      </w:r>
      <w:r w:rsidR="00932B01">
        <w:t xml:space="preserve">LGAs such as </w:t>
      </w:r>
      <w:r w:rsidR="00B323ED">
        <w:t>Townsville, Carpentaria,</w:t>
      </w:r>
      <w:r w:rsidR="009E4E0E">
        <w:t xml:space="preserve"> Whitsunday,</w:t>
      </w:r>
      <w:r w:rsidR="00B323ED">
        <w:t xml:space="preserve"> Mackay, </w:t>
      </w:r>
      <w:r w:rsidR="52CD2630">
        <w:t xml:space="preserve">and </w:t>
      </w:r>
      <w:r w:rsidR="00B323ED">
        <w:t>Hinchinbrook</w:t>
      </w:r>
      <w:r w:rsidR="003223B1">
        <w:t>.</w:t>
      </w:r>
    </w:p>
    <w:p w14:paraId="166C4F10" w14:textId="15FB9B27" w:rsidR="00BB1890" w:rsidRDefault="00BB1890" w:rsidP="00F36C75">
      <w:pPr>
        <w:rPr>
          <w:color w:val="1ABDC9" w:themeColor="accent3"/>
          <w:sz w:val="22"/>
        </w:rPr>
      </w:pPr>
      <w:bookmarkStart w:id="173" w:name="_Hlk116558383"/>
      <w:r>
        <w:br w:type="page"/>
      </w:r>
    </w:p>
    <w:p w14:paraId="2864514F" w14:textId="77777777" w:rsidR="00975E40" w:rsidRDefault="00B125E5" w:rsidP="00B125E5">
      <w:pPr>
        <w:pStyle w:val="Heading1"/>
      </w:pPr>
      <w:bookmarkStart w:id="174" w:name="_Toc119418165"/>
      <w:bookmarkStart w:id="175" w:name="_Toc120779122"/>
      <w:bookmarkStart w:id="176" w:name="_Toc120779229"/>
      <w:bookmarkStart w:id="177" w:name="_Toc120779301"/>
      <w:bookmarkStart w:id="178" w:name="_Toc120798515"/>
      <w:bookmarkStart w:id="179" w:name="_Toc120809633"/>
      <w:bookmarkStart w:id="180" w:name="_Toc120821622"/>
      <w:bookmarkStart w:id="181" w:name="_Toc121137816"/>
      <w:bookmarkStart w:id="182" w:name="_Toc121235213"/>
      <w:bookmarkStart w:id="183" w:name="_Toc125530267"/>
      <w:bookmarkStart w:id="184" w:name="_Toc126245463"/>
      <w:bookmarkStart w:id="185" w:name="_Toc126246477"/>
      <w:bookmarkStart w:id="186" w:name="_Toc126662919"/>
      <w:bookmarkStart w:id="187" w:name="_Toc126917766"/>
      <w:bookmarkStart w:id="188" w:name="_Toc129599760"/>
      <w:bookmarkStart w:id="189" w:name="_Toc129616608"/>
      <w:bookmarkStart w:id="190" w:name="_Toc132641756"/>
      <w:bookmarkEnd w:id="173"/>
      <w:r>
        <w:lastRenderedPageBreak/>
        <w:t>References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6AFB2B5" w14:textId="77777777" w:rsidR="00B125E5" w:rsidRDefault="00B125E5" w:rsidP="00B125E5">
      <w:pPr>
        <w:pStyle w:val="Heading1ExtraLine"/>
      </w:pPr>
    </w:p>
    <w:p w14:paraId="671635AA" w14:textId="09028098" w:rsidR="00B125E5" w:rsidRDefault="00B125E5" w:rsidP="00B125E5">
      <w:r>
        <w:t xml:space="preserve">Australian Bureau of Statistics (ABS), 2021, </w:t>
      </w:r>
      <w:r w:rsidR="00526B34">
        <w:rPr>
          <w:i/>
          <w:iCs/>
        </w:rPr>
        <w:t xml:space="preserve">2021 Census, </w:t>
      </w:r>
      <w:hyperlink r:id="rId20"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29800F1A" w:rsidR="00CE6564" w:rsidRDefault="00CE6564" w:rsidP="00CE6564">
      <w:r>
        <w:t xml:space="preserve">Maritime Safety Queensland (MSQ), 2022, </w:t>
      </w:r>
      <w:r w:rsidRPr="00526B34">
        <w:rPr>
          <w:i/>
          <w:iCs/>
        </w:rPr>
        <w:t>Recreational Boating Facilities</w:t>
      </w:r>
      <w:r>
        <w:rPr>
          <w:i/>
          <w:iCs/>
        </w:rPr>
        <w:t xml:space="preserve">, </w:t>
      </w:r>
      <w:hyperlink r:id="rId21"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C37B4B">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191" w:name="_Toc125530268"/>
      <w:bookmarkStart w:id="192" w:name="_BrCrWholePara_44957_4973263889"/>
      <w:bookmarkStart w:id="193" w:name="_Toc126245464"/>
      <w:bookmarkStart w:id="194" w:name="_Toc126246478"/>
      <w:bookmarkStart w:id="195" w:name="_Toc126662920"/>
      <w:bookmarkStart w:id="196" w:name="_Toc126917767"/>
      <w:bookmarkStart w:id="197" w:name="_Toc129599761"/>
      <w:bookmarkStart w:id="198" w:name="_Toc129616609"/>
      <w:bookmarkStart w:id="199" w:name="_Ref132640845"/>
      <w:bookmarkStart w:id="200" w:name="_Toc132641757"/>
      <w:bookmarkStart w:id="201" w:name="_Ref115421311"/>
      <w:bookmarkStart w:id="202" w:name="_Toc119418166"/>
      <w:bookmarkStart w:id="203" w:name="_Toc120779123"/>
      <w:bookmarkStart w:id="204" w:name="_Toc120779230"/>
      <w:bookmarkStart w:id="205" w:name="_Toc120779302"/>
      <w:bookmarkStart w:id="206" w:name="_Toc120798516"/>
      <w:bookmarkStart w:id="207" w:name="_Toc120809634"/>
      <w:bookmarkStart w:id="208" w:name="_Toc120821623"/>
      <w:bookmarkStart w:id="209" w:name="_Toc121137817"/>
      <w:bookmarkStart w:id="210" w:name="_Toc121235214"/>
      <w:r>
        <w:lastRenderedPageBreak/>
        <w:t>Capacity Assessment Methodology</w:t>
      </w:r>
      <w:bookmarkEnd w:id="191"/>
      <w:bookmarkEnd w:id="192"/>
      <w:bookmarkEnd w:id="193"/>
      <w:bookmarkEnd w:id="194"/>
      <w:bookmarkEnd w:id="195"/>
      <w:bookmarkEnd w:id="196"/>
      <w:bookmarkEnd w:id="197"/>
      <w:bookmarkEnd w:id="198"/>
      <w:bookmarkEnd w:id="199"/>
      <w:bookmarkEnd w:id="200"/>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11A9C673" w:rsidR="00A86F15" w:rsidRDefault="002F5B24" w:rsidP="002F5B24">
      <w:pPr>
        <w:pStyle w:val="Level3Paragraph"/>
        <w:numPr>
          <w:ilvl w:val="2"/>
          <w:numId w:val="0"/>
        </w:numPr>
        <w:rPr>
          <w:color w:val="4F5650" w:themeColor="text1"/>
        </w:rPr>
      </w:pPr>
      <w:bookmarkStart w:id="211" w:name="_Ref116463894"/>
      <w:r w:rsidRPr="3288251F">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3288251F">
        <w:rPr>
          <w:color w:val="4F5650" w:themeColor="text1"/>
        </w:rPr>
        <w:t>their use is</w:t>
      </w:r>
      <w:r w:rsidRPr="3288251F">
        <w:rPr>
          <w:color w:val="4F5650" w:themeColor="text1"/>
        </w:rPr>
        <w:t xml:space="preserve"> often supported by landside and waterside infrastructure to improve efficiency. In some instances, the usability of a facility </w:t>
      </w:r>
      <w:r w:rsidR="00B86421" w:rsidRPr="3288251F">
        <w:rPr>
          <w:color w:val="4F5650" w:themeColor="text1"/>
        </w:rPr>
        <w:t>can be</w:t>
      </w:r>
      <w:r w:rsidRPr="3288251F">
        <w:rPr>
          <w:color w:val="4F5650" w:themeColor="text1"/>
        </w:rPr>
        <w:t xml:space="preserve"> adversely affected by environmental constraints such as </w:t>
      </w:r>
      <w:r w:rsidR="00B86421" w:rsidRPr="3288251F">
        <w:rPr>
          <w:color w:val="4F5650" w:themeColor="text1"/>
        </w:rPr>
        <w:t>low water</w:t>
      </w:r>
      <w:r w:rsidRPr="3288251F">
        <w:rPr>
          <w:color w:val="4F5650" w:themeColor="text1"/>
        </w:rPr>
        <w:t xml:space="preserve"> levels, currents, or wave exposure, reducing the overall availability of the facility. Together, consideration of the number of boat </w:t>
      </w:r>
      <w:r w:rsidR="198903AD" w:rsidRPr="3288251F">
        <w:rPr>
          <w:color w:val="4F5650" w:themeColor="text1"/>
        </w:rPr>
        <w:t xml:space="preserve">ramp </w:t>
      </w:r>
      <w:r w:rsidRPr="3288251F">
        <w:rPr>
          <w:color w:val="4F5650" w:themeColor="text1"/>
        </w:rPr>
        <w:t xml:space="preserve">lanes, the supporting infrastructure, and environmental constraints result in the facility having a capacity described in terms of ‘effective lanes’ that may or may not be equal to the number of actual boat ramp lanes. </w:t>
      </w:r>
    </w:p>
    <w:p w14:paraId="4A5B1E36" w14:textId="55FEF761" w:rsidR="002F5B24" w:rsidRPr="00A26579" w:rsidRDefault="00A86F15" w:rsidP="002F5B24">
      <w:pPr>
        <w:pStyle w:val="Level3Paragraph"/>
        <w:numPr>
          <w:ilvl w:val="2"/>
          <w:numId w:val="0"/>
        </w:numPr>
      </w:pPr>
      <w:r w:rsidRPr="3288251F">
        <w:rPr>
          <w:color w:val="4F5650" w:themeColor="text1"/>
        </w:rPr>
        <w:t>To maximise usage of each facility, t</w:t>
      </w:r>
      <w:r w:rsidR="002F5B24" w:rsidRPr="3288251F">
        <w:rPr>
          <w:color w:val="4F5650" w:themeColor="text1"/>
        </w:rPr>
        <w:t xml:space="preserve">he landside and waterside capacity </w:t>
      </w:r>
      <w:r w:rsidRPr="3288251F">
        <w:rPr>
          <w:color w:val="4F5650" w:themeColor="text1"/>
        </w:rPr>
        <w:t>should</w:t>
      </w:r>
      <w:r w:rsidR="002F5B24" w:rsidRPr="3288251F">
        <w:rPr>
          <w:color w:val="4F5650" w:themeColor="text1"/>
        </w:rPr>
        <w:t xml:space="preserve"> be balanced. Each facility will have a calculated ‘effective’ capacity for both the landside and waterside elements, with the limiting element dictating the facility's overall effective capacity. </w:t>
      </w:r>
      <w:r w:rsidRPr="3288251F">
        <w:rPr>
          <w:color w:val="4F5650" w:themeColor="text1"/>
        </w:rPr>
        <w:t>R</w:t>
      </w:r>
      <w:r w:rsidR="002F5B24" w:rsidRPr="3288251F">
        <w:rPr>
          <w:color w:val="4F5650" w:themeColor="text1"/>
        </w:rPr>
        <w:t xml:space="preserve">ecommendations </w:t>
      </w:r>
      <w:r w:rsidRPr="3288251F">
        <w:rPr>
          <w:color w:val="4F5650" w:themeColor="text1"/>
        </w:rPr>
        <w:t xml:space="preserve">for works or infrastructure </w:t>
      </w:r>
      <w:r w:rsidR="002F5B24" w:rsidRPr="3288251F">
        <w:rPr>
          <w:color w:val="4F5650" w:themeColor="text1"/>
        </w:rPr>
        <w:t>promote balancing the</w:t>
      </w:r>
      <w:r w:rsidRPr="3288251F">
        <w:rPr>
          <w:color w:val="4F5650" w:themeColor="text1"/>
        </w:rPr>
        <w:t>se</w:t>
      </w:r>
      <w:r w:rsidR="002F5B24" w:rsidRPr="3288251F">
        <w:rPr>
          <w:color w:val="4F5650" w:themeColor="text1"/>
        </w:rPr>
        <w:t xml:space="preserve"> two </w:t>
      </w:r>
      <w:r w:rsidRPr="3288251F">
        <w:rPr>
          <w:color w:val="4F5650" w:themeColor="text1"/>
        </w:rPr>
        <w:t xml:space="preserve">capacity </w:t>
      </w:r>
      <w:r w:rsidR="002F5B24" w:rsidRPr="3288251F">
        <w:rPr>
          <w:color w:val="4F5650" w:themeColor="text1"/>
        </w:rPr>
        <w:t xml:space="preserve">elements </w:t>
      </w:r>
      <w:r w:rsidR="0294496F" w:rsidRPr="3288251F">
        <w:rPr>
          <w:color w:val="4F5650" w:themeColor="text1"/>
        </w:rPr>
        <w:t xml:space="preserve">either </w:t>
      </w:r>
      <w:r w:rsidR="002F5B24" w:rsidRPr="3288251F">
        <w:rPr>
          <w:color w:val="4F5650" w:themeColor="text1"/>
        </w:rPr>
        <w:t>by</w:t>
      </w:r>
      <w:r w:rsidRPr="3288251F">
        <w:rPr>
          <w:color w:val="4F5650" w:themeColor="text1"/>
        </w:rPr>
        <w:t xml:space="preserve"> </w:t>
      </w:r>
      <w:r w:rsidR="002F5B24" w:rsidRPr="3288251F">
        <w:rPr>
          <w:color w:val="4F5650" w:themeColor="text1"/>
        </w:rPr>
        <w:t xml:space="preserve">improving the limiting element for increased facility effectiveness or </w:t>
      </w:r>
      <w:r w:rsidRPr="3288251F">
        <w:rPr>
          <w:color w:val="4F5650" w:themeColor="text1"/>
        </w:rPr>
        <w:t xml:space="preserve">by </w:t>
      </w:r>
      <w:r w:rsidR="002F5B24" w:rsidRPr="3288251F">
        <w:rPr>
          <w:color w:val="4F5650" w:themeColor="text1"/>
        </w:rPr>
        <w:t xml:space="preserve">increasing the </w:t>
      </w:r>
      <w:r w:rsidRPr="3288251F">
        <w:rPr>
          <w:color w:val="4F5650" w:themeColor="text1"/>
        </w:rPr>
        <w:t xml:space="preserve">overall </w:t>
      </w:r>
      <w:r w:rsidR="002F5B24" w:rsidRPr="3288251F">
        <w:rPr>
          <w:color w:val="4F5650" w:themeColor="text1"/>
        </w:rPr>
        <w:t>'effective capacity' through changes to both elements.</w:t>
      </w:r>
    </w:p>
    <w:p w14:paraId="24A2CE78" w14:textId="77777777" w:rsidR="002F5B24" w:rsidRDefault="002F5B24" w:rsidP="00B226E3">
      <w:pPr>
        <w:pStyle w:val="AnnexH2"/>
      </w:pPr>
      <w:r>
        <w:t>Boat ramp capacity</w:t>
      </w:r>
      <w:bookmarkEnd w:id="211"/>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1B8408AB" w:rsidR="002F5B24" w:rsidRDefault="002F5B24" w:rsidP="002F5B24">
      <w:r>
        <w:t xml:space="preserve">Landside capacity is governed by the availability of </w:t>
      </w:r>
      <w:r w:rsidR="00051EEB">
        <w:t xml:space="preserve">nearby </w:t>
      </w:r>
      <w:r w:rsidR="239D6A4A">
        <w:t>car-trailer unit (</w:t>
      </w:r>
      <w:r>
        <w:t>CTU</w:t>
      </w:r>
      <w:r w:rsidR="1EBE180D">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1C011A19"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B967B9">
        <w:t>A.3</w:t>
      </w:r>
      <w:r>
        <w:fldChar w:fldCharType="end"/>
      </w:r>
      <w:r>
        <w:t>)</w:t>
      </w:r>
    </w:p>
    <w:p w14:paraId="13B153F1" w14:textId="158CC2D0"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6D0207">
        <w:fldChar w:fldCharType="begin"/>
      </w:r>
      <w:r w:rsidR="006D0207">
        <w:instrText xml:space="preserve"> REF _Ref129599765 \r \h </w:instrText>
      </w:r>
      <w:r w:rsidR="006D0207">
        <w:fldChar w:fldCharType="separate"/>
      </w:r>
      <w:r w:rsidR="00B967B9">
        <w:t>A.4</w:t>
      </w:r>
      <w:r w:rsidR="006D0207">
        <w:fldChar w:fldCharType="end"/>
      </w:r>
      <w:r>
        <w:t>)</w:t>
      </w:r>
    </w:p>
    <w:p w14:paraId="14EDFB8D" w14:textId="11F924C2" w:rsidR="002F5B24" w:rsidRDefault="002F5B24" w:rsidP="002F5B24">
      <w:pPr>
        <w:pStyle w:val="Bullet1"/>
      </w:pPr>
      <w:r>
        <w:t xml:space="preserve">supported by queuing facilities that assist in the efficient use of the boat ramp (see section </w:t>
      </w:r>
      <w:r w:rsidR="006D0207">
        <w:fldChar w:fldCharType="begin"/>
      </w:r>
      <w:r w:rsidR="006D0207">
        <w:instrText xml:space="preserve"> REF _Ref129599765 \r \h </w:instrText>
      </w:r>
      <w:r w:rsidR="006D0207">
        <w:fldChar w:fldCharType="separate"/>
      </w:r>
      <w:r w:rsidR="00B967B9">
        <w:t>A.4</w:t>
      </w:r>
      <w:r w:rsidR="006D0207">
        <w:fldChar w:fldCharType="end"/>
      </w:r>
      <w:r>
        <w:t>)</w:t>
      </w:r>
      <w:r w:rsidR="3165E763">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31652725"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2E630B93">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12" w:name="_Ref119586585"/>
      <w:r>
        <w:t xml:space="preserve">Boat ramp capacity </w:t>
      </w:r>
      <w:r w:rsidR="007A4905">
        <w:t xml:space="preserve">calculation </w:t>
      </w:r>
      <w:r>
        <w:t>basis</w:t>
      </w:r>
      <w:bookmarkEnd w:id="212"/>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3CE6A619"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1DBB0608">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109B874B" w:rsidR="002F5B24" w:rsidRDefault="74245D52" w:rsidP="002F5B24">
      <w:pPr>
        <w:pStyle w:val="Bullet1"/>
      </w:pPr>
      <w:r>
        <w:t>M</w:t>
      </w:r>
      <w:r w:rsidR="002F5B24">
        <w:t>ost observed launches were of ‘multi-person’ boats, which made launching and retrieving boats more efficient</w:t>
      </w:r>
      <w:r w:rsidR="092146F6">
        <w:t>.</w:t>
      </w:r>
      <w:r w:rsidR="002F5B24">
        <w:t xml:space="preserve"> </w:t>
      </w:r>
    </w:p>
    <w:p w14:paraId="4F83C639" w14:textId="39A1FB59" w:rsidR="002F5B24" w:rsidRDefault="493C7D1C" w:rsidP="002F5B24">
      <w:pPr>
        <w:pStyle w:val="Bullet1"/>
      </w:pPr>
      <w:r>
        <w:t>A</w:t>
      </w:r>
      <w:r w:rsidR="002F5B24">
        <w:t>lmost all users were able to launch and/or retrieve their boat within the 9-minute target time, when adjusted for queuing facility efficiency</w:t>
      </w:r>
      <w:r w:rsidR="6E8B4A21">
        <w:t>.</w:t>
      </w:r>
    </w:p>
    <w:p w14:paraId="0D5857F2" w14:textId="16345A87" w:rsidR="002F5B24" w:rsidRDefault="795971B2"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37F2E4EA">
        <w:t>.</w:t>
      </w:r>
    </w:p>
    <w:p w14:paraId="11328D39" w14:textId="53E6566F" w:rsidR="002F5B24" w:rsidRPr="002C75E0" w:rsidRDefault="002F5B24" w:rsidP="002F5B24">
      <w:pPr>
        <w:pStyle w:val="Level3Paragraph"/>
        <w:numPr>
          <w:ilvl w:val="0"/>
          <w:numId w:val="0"/>
        </w:numPr>
      </w:pPr>
      <w:bookmarkStart w:id="213"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14" w:name="_Ref129599765"/>
      <w:r>
        <w:t>Boat ramp efficiency modifications</w:t>
      </w:r>
      <w:bookmarkEnd w:id="213"/>
      <w:bookmarkEnd w:id="214"/>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7F7545">
      <w:pPr>
        <w:pStyle w:val="NumbList1"/>
        <w:spacing w:after="120"/>
      </w:pPr>
      <w:r>
        <w:t>manoeuvring for launching, including for CTU entering the queuing area for the boat ramp and reversing into position for launch</w:t>
      </w:r>
    </w:p>
    <w:p w14:paraId="59096FEA" w14:textId="0BF39B9A" w:rsidR="002F5B24" w:rsidRDefault="002F5B24" w:rsidP="007F7545">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7F7545">
      <w:pPr>
        <w:pStyle w:val="NumbList1"/>
        <w:spacing w:after="120"/>
      </w:pPr>
      <w:r>
        <w:t>moving the launch vehicle from the boat ramp to the parking area</w:t>
      </w:r>
    </w:p>
    <w:p w14:paraId="49C929B4" w14:textId="34D0B834" w:rsidR="002F5B24" w:rsidRDefault="002F5B24" w:rsidP="007F7545">
      <w:pPr>
        <w:pStyle w:val="NumbList1"/>
        <w:spacing w:after="120"/>
      </w:pPr>
      <w:r>
        <w:t>removing the vessel from the waterside queuing facility</w:t>
      </w:r>
      <w:r w:rsidR="1BDB85B5">
        <w:t>.</w:t>
      </w:r>
    </w:p>
    <w:p w14:paraId="6BC1F958" w14:textId="7181B4AC" w:rsidR="002F5B24" w:rsidRDefault="002F5B24" w:rsidP="00E034DE">
      <w:pPr>
        <w:spacing w:after="200" w:line="276" w:lineRule="auto"/>
      </w:pPr>
      <w:r>
        <w:lastRenderedPageBreak/>
        <w:t xml:space="preserve">A range of waterside queuing facilities </w:t>
      </w:r>
      <w:r w:rsidR="67A25A0D">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17FD1D34"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6647FFF0">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2326966F" w:rsidR="002F5B24" w:rsidRDefault="002F5B24" w:rsidP="002F5B24">
      <w:pPr>
        <w:pStyle w:val="Bullet1"/>
      </w:pPr>
      <w:r>
        <w:t>Queuing beaches: These provide a place to secure the vessel close to the boat ramp, although the</w:t>
      </w:r>
      <w:r w:rsidR="5016F093">
        <w:t>y</w:t>
      </w:r>
      <w:r>
        <w:t xml:space="preserve"> are generally not as fast to use as pontoons</w:t>
      </w:r>
      <w:r w:rsidR="2394878B">
        <w:t xml:space="preserve"> or floating walkways</w:t>
      </w:r>
      <w:r>
        <w:t xml:space="preserve">. </w:t>
      </w:r>
      <w:bookmarkStart w:id="215" w:name="_Ref115353181"/>
      <w:bookmarkStart w:id="216" w:name="_Toc120798920"/>
      <w:bookmarkStart w:id="217" w:name="_Toc120798521"/>
      <w:bookmarkStart w:id="218" w:name="_Toc120809639"/>
      <w:bookmarkStart w:id="219" w:name="_Toc120821628"/>
      <w:bookmarkStart w:id="220" w:name="_Toc121137822"/>
      <w:bookmarkStart w:id="221" w:name="_Toc121235219"/>
    </w:p>
    <w:p w14:paraId="704BDE00" w14:textId="13128B3B"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B967B9">
        <w:t xml:space="preserve">Table A.1. </w:t>
      </w:r>
      <w:r>
        <w:fldChar w:fldCharType="end"/>
      </w:r>
    </w:p>
    <w:p w14:paraId="29908862" w14:textId="77777777" w:rsidR="002F5B24" w:rsidRDefault="002F5B24" w:rsidP="00B226E3">
      <w:pPr>
        <w:pStyle w:val="AnnexTableTitle"/>
      </w:pPr>
      <w:bookmarkStart w:id="222" w:name="_Ref124335259"/>
      <w:bookmarkStart w:id="223" w:name="_Toc125529965"/>
      <w:bookmarkStart w:id="224" w:name="_Toc126245467"/>
      <w:bookmarkStart w:id="225" w:name="_Toc126246480"/>
      <w:bookmarkStart w:id="226" w:name="_Toc126662922"/>
      <w:bookmarkStart w:id="227" w:name="_Toc126917769"/>
      <w:bookmarkStart w:id="228" w:name="_Toc129599763"/>
      <w:bookmarkStart w:id="229" w:name="_Toc129616611"/>
      <w:bookmarkStart w:id="230" w:name="_Toc132641759"/>
      <w:r>
        <w:t>Queuing facility efficiency modifiers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3288251F">
        <w:trPr>
          <w:tblHeader/>
        </w:trPr>
        <w:tc>
          <w:tcPr>
            <w:tcW w:w="5245" w:type="dxa"/>
            <w:tcBorders>
              <w:top w:val="nil"/>
              <w:bottom w:val="single" w:sz="12" w:space="0" w:color="FFFFFF" w:themeColor="background1"/>
            </w:tcBorders>
            <w:shd w:val="clear" w:color="auto" w:fill="005581" w:themeFill="accent1"/>
          </w:tcPr>
          <w:p w14:paraId="28CCDE1C" w14:textId="1A65DA2C" w:rsidR="002F5B24" w:rsidRPr="000011F7" w:rsidRDefault="002F5B24" w:rsidP="00D805B7">
            <w:pPr>
              <w:pStyle w:val="TableHeading"/>
            </w:pPr>
            <w:bookmarkStart w:id="231" w:name="_Hlk120619724"/>
            <w:r>
              <w:t xml:space="preserve">Queuing </w:t>
            </w:r>
            <w:r w:rsidR="71CC31D5">
              <w:t>f</w:t>
            </w:r>
            <w:r>
              <w:t>acility</w:t>
            </w:r>
          </w:p>
        </w:tc>
        <w:tc>
          <w:tcPr>
            <w:tcW w:w="2268" w:type="dxa"/>
            <w:tcBorders>
              <w:top w:val="nil"/>
              <w:bottom w:val="single" w:sz="12" w:space="0" w:color="FFFFFF" w:themeColor="background1"/>
            </w:tcBorders>
            <w:shd w:val="clear" w:color="auto" w:fill="005581" w:themeFill="accent1"/>
          </w:tcPr>
          <w:p w14:paraId="5671AF16" w14:textId="506F8627" w:rsidR="002F5B24" w:rsidRPr="000011F7" w:rsidRDefault="002F5B24" w:rsidP="00D805B7">
            <w:pPr>
              <w:pStyle w:val="TableHeading"/>
            </w:pPr>
            <w:r>
              <w:t xml:space="preserve">Modification </w:t>
            </w:r>
            <w:r w:rsidR="2F69632C">
              <w:t>f</w:t>
            </w:r>
            <w:r>
              <w:t>actor</w:t>
            </w:r>
          </w:p>
        </w:tc>
        <w:tc>
          <w:tcPr>
            <w:tcW w:w="2129" w:type="dxa"/>
            <w:tcBorders>
              <w:top w:val="nil"/>
              <w:bottom w:val="single" w:sz="12" w:space="0" w:color="FFFFFF" w:themeColor="background1"/>
            </w:tcBorders>
            <w:shd w:val="clear" w:color="auto" w:fill="005581" w:themeFill="accent1"/>
          </w:tcPr>
          <w:p w14:paraId="6256D3CE" w14:textId="617A5A89" w:rsidR="002F5B24" w:rsidRPr="000011F7" w:rsidRDefault="002F5B24" w:rsidP="00D805B7">
            <w:pPr>
              <w:pStyle w:val="TableHeading"/>
            </w:pPr>
            <w:r>
              <w:t xml:space="preserve">Supported </w:t>
            </w:r>
            <w:r w:rsidR="66176882">
              <w:t>l</w:t>
            </w:r>
            <w:r>
              <w:t>anes</w:t>
            </w:r>
          </w:p>
        </w:tc>
      </w:tr>
      <w:tr w:rsidR="002F5B24" w:rsidRPr="000011F7" w14:paraId="1CF59498" w14:textId="77777777" w:rsidTr="3288251F">
        <w:tc>
          <w:tcPr>
            <w:tcW w:w="5245" w:type="dxa"/>
            <w:tcBorders>
              <w:top w:val="single" w:sz="12" w:space="0" w:color="FFFFFF" w:themeColor="background1"/>
            </w:tcBorders>
            <w:shd w:val="clear" w:color="auto" w:fill="DCE2DF"/>
          </w:tcPr>
          <w:p w14:paraId="3550D5C0" w14:textId="2DF027D7" w:rsidR="002F5B24" w:rsidRPr="000011F7" w:rsidRDefault="002F5B24" w:rsidP="00D805B7">
            <w:pPr>
              <w:pStyle w:val="TableText"/>
            </w:pPr>
            <w:r>
              <w:t xml:space="preserve">Floating </w:t>
            </w:r>
            <w:r w:rsidR="4D9A2BEF">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3288251F">
        <w:tc>
          <w:tcPr>
            <w:tcW w:w="5245" w:type="dxa"/>
            <w:tcBorders>
              <w:top w:val="single" w:sz="12" w:space="0" w:color="FFFFFF" w:themeColor="background1"/>
            </w:tcBorders>
            <w:shd w:val="clear" w:color="auto" w:fill="DCE2DF"/>
          </w:tcPr>
          <w:p w14:paraId="14523C86" w14:textId="7135366C" w:rsidR="002F5B24" w:rsidRDefault="002F5B24" w:rsidP="00D805B7">
            <w:pPr>
              <w:pStyle w:val="TableText"/>
            </w:pPr>
            <w:r>
              <w:t xml:space="preserve">Floating </w:t>
            </w:r>
            <w:r w:rsidR="6EB42373">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3288251F">
        <w:tc>
          <w:tcPr>
            <w:tcW w:w="5245" w:type="dxa"/>
            <w:shd w:val="clear" w:color="auto" w:fill="DCE2DF"/>
          </w:tcPr>
          <w:p w14:paraId="6DBAB651" w14:textId="3F401478" w:rsidR="002F5B24" w:rsidRPr="000011F7" w:rsidRDefault="002F5B24" w:rsidP="00D805B7">
            <w:pPr>
              <w:pStyle w:val="TableText"/>
            </w:pPr>
            <w:r>
              <w:t xml:space="preserve">Fixed </w:t>
            </w:r>
            <w:r w:rsidR="308D6B39">
              <w:t>s</w:t>
            </w:r>
            <w:r>
              <w:t xml:space="preserve">loping </w:t>
            </w:r>
            <w:r w:rsidR="3F93D7B1">
              <w:t>w</w:t>
            </w:r>
            <w:r>
              <w:t>alkway</w:t>
            </w:r>
          </w:p>
        </w:tc>
        <w:tc>
          <w:tcPr>
            <w:tcW w:w="2268" w:type="dxa"/>
            <w:shd w:val="clear" w:color="auto" w:fill="DCE2DF"/>
          </w:tcPr>
          <w:p w14:paraId="2EF12382" w14:textId="078A929D" w:rsidR="002F5B24" w:rsidRPr="000011F7" w:rsidRDefault="002F5B24" w:rsidP="00D805B7">
            <w:pPr>
              <w:pStyle w:val="TableText"/>
            </w:pPr>
            <w:r>
              <w:t>1.</w:t>
            </w:r>
            <w:r w:rsidR="00932B01">
              <w:t>7</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3288251F">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3288251F">
        <w:tc>
          <w:tcPr>
            <w:tcW w:w="5245" w:type="dxa"/>
            <w:shd w:val="clear" w:color="auto" w:fill="DCE2DF"/>
          </w:tcPr>
          <w:p w14:paraId="5CF273AE" w14:textId="185E1A8F" w:rsidR="002F5B24" w:rsidRPr="000011F7" w:rsidRDefault="002F5B24" w:rsidP="00D805B7">
            <w:pPr>
              <w:pStyle w:val="TableText"/>
            </w:pPr>
            <w:r>
              <w:t xml:space="preserve">Queuing </w:t>
            </w:r>
            <w:r w:rsidR="52140560">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231"/>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6D2DA70E"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2FD825D0" w:rsidR="002F5B24" w:rsidRDefault="5925837A"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3D96F05D" w:rsidR="002F5B24" w:rsidRDefault="02D380DE"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628FF667" w:rsidR="002F5B24" w:rsidRDefault="318D5B17"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47ECA65C"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5DF7BA43">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77777777" w:rsidR="002F5B24" w:rsidRDefault="002F5B24" w:rsidP="002F5B24">
      <w:pPr>
        <w:pStyle w:val="Bullet1"/>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D5E0A03" w14:textId="7254E07E" w:rsidR="002F5B24" w:rsidRDefault="002F5B24" w:rsidP="002F5B24">
      <w:pPr>
        <w:pStyle w:val="Bullet1"/>
      </w:pPr>
      <w:r>
        <w:t>Freshwater: There is no access to open water</w:t>
      </w:r>
      <w:r w:rsidR="127EC7D4">
        <w:t xml:space="preserve"> in most cases</w:t>
      </w:r>
      <w:r>
        <w:t>.</w:t>
      </w:r>
    </w:p>
    <w:p w14:paraId="1AB6C41E" w14:textId="77777777" w:rsidR="00A72BF4" w:rsidRDefault="002F5B24" w:rsidP="002F5B24">
      <w:pPr>
        <w:pStyle w:val="Bullet1"/>
        <w:numPr>
          <w:ilvl w:val="0"/>
          <w:numId w:val="0"/>
        </w:numPr>
        <w:sectPr w:rsidR="00A72BF4" w:rsidSect="000540F5">
          <w:headerReference w:type="even" r:id="rId22"/>
          <w:headerReference w:type="default" r:id="rId23"/>
          <w:footerReference w:type="even" r:id="rId24"/>
          <w:footerReference w:type="default" r:id="rId25"/>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4D5CC8CE"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232" w:name="_Toc125530269"/>
      <w:bookmarkStart w:id="233" w:name="_BrCrWholePara_44957_5005787037"/>
      <w:bookmarkStart w:id="234" w:name="_Toc126245465"/>
      <w:bookmarkStart w:id="235" w:name="_Toc126246479"/>
      <w:bookmarkStart w:id="236" w:name="_Toc126662921"/>
      <w:bookmarkStart w:id="237" w:name="_Toc126917768"/>
      <w:bookmarkStart w:id="238" w:name="_Toc129599762"/>
      <w:bookmarkStart w:id="239" w:name="_Toc129616610"/>
      <w:bookmarkStart w:id="240" w:name="_Toc132641758"/>
      <w:r>
        <w:lastRenderedPageBreak/>
        <w:t>Demand Study</w:t>
      </w:r>
      <w:bookmarkEnd w:id="201"/>
      <w:bookmarkEnd w:id="202"/>
      <w:bookmarkEnd w:id="203"/>
      <w:bookmarkEnd w:id="204"/>
      <w:bookmarkEnd w:id="205"/>
      <w:bookmarkEnd w:id="206"/>
      <w:bookmarkEnd w:id="207"/>
      <w:bookmarkEnd w:id="208"/>
      <w:bookmarkEnd w:id="209"/>
      <w:bookmarkEnd w:id="210"/>
      <w:bookmarkEnd w:id="232"/>
      <w:bookmarkEnd w:id="233"/>
      <w:bookmarkEnd w:id="234"/>
      <w:bookmarkEnd w:id="235"/>
      <w:bookmarkEnd w:id="236"/>
      <w:bookmarkEnd w:id="237"/>
      <w:bookmarkEnd w:id="238"/>
      <w:bookmarkEnd w:id="239"/>
      <w:bookmarkEnd w:id="240"/>
    </w:p>
    <w:p w14:paraId="62FB7D54" w14:textId="77777777" w:rsidR="00975E40" w:rsidRDefault="00975E40" w:rsidP="00975E40">
      <w:pPr>
        <w:pStyle w:val="AnnexExtraLine"/>
      </w:pPr>
    </w:p>
    <w:p w14:paraId="20156DC9" w14:textId="105E8B22" w:rsidR="006D0207" w:rsidRDefault="006D0207" w:rsidP="006D0207">
      <w:pPr>
        <w:tabs>
          <w:tab w:val="left" w:pos="1110"/>
        </w:tabs>
        <w:rPr>
          <w:b/>
        </w:rPr>
      </w:pPr>
      <w:r>
        <w:rPr>
          <w:rFonts w:ascii="Calibri" w:hAnsi="Calibri" w:cs="Calibri"/>
          <w:sz w:val="22"/>
          <w:szCs w:val="22"/>
        </w:rPr>
        <w:t>"G:\Admin\A12068.g.mpb.TMRBoatingDemand\06_Reports\09_Demand Study\2022_2119 (016) Final Demand Report (March 2023).pdf"</w:t>
      </w:r>
    </w:p>
    <w:p w14:paraId="746D3ED6" w14:textId="33859551" w:rsidR="006D0207" w:rsidRPr="006D0207" w:rsidRDefault="006D0207" w:rsidP="006D0207">
      <w:pPr>
        <w:tabs>
          <w:tab w:val="left" w:pos="1110"/>
        </w:tabs>
        <w:sectPr w:rsidR="006D0207" w:rsidRPr="006D0207" w:rsidSect="000540F5">
          <w:pgSz w:w="11906" w:h="16838" w:code="9"/>
          <w:pgMar w:top="794" w:right="1134" w:bottom="1814" w:left="1134" w:header="454" w:footer="454" w:gutter="0"/>
          <w:pgNumType w:start="1" w:chapStyle="6"/>
          <w:cols w:space="708"/>
          <w:docGrid w:linePitch="360"/>
        </w:sectPr>
      </w:pPr>
      <w:r>
        <w:tab/>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6" cstate="screen">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F28EB29" w:rsidR="00A1643C" w:rsidRDefault="00C37B4B" w:rsidP="00C37B4B">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303E5669"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B967B9">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B967B9">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B967B9">
              <w:instrText>enquiries@bmtglobal.com</w:instrText>
            </w:r>
            <w:r>
              <w:fldChar w:fldCharType="end"/>
            </w:r>
            <w:r>
              <w:instrText>"</w:instrText>
            </w:r>
            <w:r>
              <w:fldChar w:fldCharType="separate"/>
            </w:r>
            <w:r w:rsidR="00B967B9">
              <w:rPr>
                <w:noProof/>
              </w:rPr>
              <w:instrText>enquiries@bmtglobal.com</w:instrText>
            </w:r>
            <w:r>
              <w:fldChar w:fldCharType="end"/>
            </w:r>
            <w:r>
              <w:instrText>"</w:instrText>
            </w:r>
            <w:r>
              <w:fldChar w:fldCharType="separate"/>
            </w:r>
            <w:r w:rsidR="00B967B9">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490C3E3">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27" cstate="screen">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0C46CA8B">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8" cstate="screen">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5DCFAEC4">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9"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240EEBB4">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0"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07C015A1" w14:textId="77777777" w:rsidR="00C37B4B" w:rsidRDefault="00C37B4B" w:rsidP="00C37B4B">
            <w:pPr>
              <w:pStyle w:val="BkPageAddress"/>
            </w:pPr>
            <w:r>
              <w:t>Level 5</w:t>
            </w:r>
          </w:p>
          <w:p w14:paraId="49446593" w14:textId="77777777" w:rsidR="00C37B4B" w:rsidRDefault="00C37B4B" w:rsidP="00C37B4B">
            <w:pPr>
              <w:pStyle w:val="BkPageAddress"/>
            </w:pPr>
            <w:r>
              <w:t>348 Edward Street</w:t>
            </w:r>
          </w:p>
          <w:p w14:paraId="6D68382D" w14:textId="77777777" w:rsidR="00C37B4B" w:rsidRDefault="00C37B4B" w:rsidP="00C37B4B">
            <w:pPr>
              <w:pStyle w:val="BkPageAddress"/>
            </w:pPr>
            <w:r>
              <w:t>Brisbane</w:t>
            </w:r>
          </w:p>
          <w:p w14:paraId="595B9AA6" w14:textId="77777777" w:rsidR="00C37B4B" w:rsidRDefault="00C37B4B" w:rsidP="00C37B4B">
            <w:pPr>
              <w:pStyle w:val="BkPageAddress"/>
            </w:pPr>
            <w:r>
              <w:t>QLD 4000</w:t>
            </w:r>
          </w:p>
          <w:p w14:paraId="4AC9560D" w14:textId="77777777" w:rsidR="00C37B4B" w:rsidRDefault="00C37B4B" w:rsidP="00C37B4B">
            <w:pPr>
              <w:pStyle w:val="BkPageAddress"/>
            </w:pPr>
            <w:r>
              <w:t>Australia</w:t>
            </w:r>
          </w:p>
          <w:p w14:paraId="0A669683" w14:textId="77777777" w:rsidR="00C37B4B" w:rsidRDefault="00C37B4B" w:rsidP="00C37B4B">
            <w:pPr>
              <w:pStyle w:val="BkPageAddress"/>
            </w:pPr>
            <w:r>
              <w:t>+61 7 3831 6744</w:t>
            </w:r>
          </w:p>
          <w:p w14:paraId="0067A121" w14:textId="271276DC" w:rsidR="00233C44" w:rsidRDefault="00233C44" w:rsidP="00C37B4B">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6FFEC55F" w14:textId="77777777" w:rsidR="00C37B4B" w:rsidRDefault="00C37B4B" w:rsidP="00C37B4B">
            <w:pPr>
              <w:pStyle w:val="BkPageAddress"/>
            </w:pPr>
            <w:r>
              <w:t>Registered in Australia</w:t>
            </w:r>
          </w:p>
          <w:p w14:paraId="42CA12C6" w14:textId="77777777" w:rsidR="00C37B4B" w:rsidRDefault="00C37B4B" w:rsidP="00C37B4B">
            <w:pPr>
              <w:pStyle w:val="BkPageAddress"/>
            </w:pPr>
            <w:r>
              <w:t>Registered no. 010 830 421</w:t>
            </w:r>
          </w:p>
          <w:p w14:paraId="65A7AEBA" w14:textId="77777777" w:rsidR="00C37B4B" w:rsidRDefault="00C37B4B" w:rsidP="00C37B4B">
            <w:pPr>
              <w:pStyle w:val="BkPageAddress"/>
            </w:pPr>
            <w:r>
              <w:t>Registered office</w:t>
            </w:r>
          </w:p>
          <w:p w14:paraId="4888D24B" w14:textId="77777777" w:rsidR="00C37B4B" w:rsidRDefault="00C37B4B" w:rsidP="00C37B4B">
            <w:pPr>
              <w:pStyle w:val="BkPageAddress"/>
            </w:pPr>
            <w:r>
              <w:t>Level 5, 348 Edward Street,</w:t>
            </w:r>
          </w:p>
          <w:p w14:paraId="63235445" w14:textId="77777777" w:rsidR="00C37B4B" w:rsidRDefault="00C37B4B" w:rsidP="00C37B4B">
            <w:pPr>
              <w:pStyle w:val="BkPageAddress"/>
            </w:pPr>
            <w:r>
              <w:t>Brisbane QLD 4000 Australia</w:t>
            </w:r>
          </w:p>
          <w:p w14:paraId="5E02BD0C" w14:textId="2AC859A2" w:rsidR="00233C44" w:rsidRDefault="00233C44" w:rsidP="00C37B4B">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C37B4B">
      <w:headerReference w:type="even" r:id="rId31"/>
      <w:headerReference w:type="default" r:id="rId32"/>
      <w:footerReference w:type="even" r:id="rId33"/>
      <w:footerReference w:type="default" r:id="rId34"/>
      <w:headerReference w:type="first" r:id="rId35"/>
      <w:footerReference w:type="first" r:id="rId36"/>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2C32222A"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385250D"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36C5" w14:textId="082FD0A1" w:rsidR="00C37B4B"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C37B4B">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E7CA643" w14:textId="77777777" w:rsidR="00C37B4B" w:rsidRDefault="00C37B4B"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8C77B3A" w14:textId="77777777" w:rsidR="00C37B4B" w:rsidRDefault="00C37B4B"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38BB5B6" w:rsidR="00750C33" w:rsidRDefault="00C37B4B"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6B18A45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w:instrText>
    </w:r>
    <w:r>
      <w:fldChar w:fldCharType="separate"/>
    </w:r>
    <w:r w:rsidR="00C37B4B">
      <w:rPr>
        <w:noProof/>
      </w:rPr>
      <w:instrText>© BMT 2023</w:instrText>
    </w:r>
    <w:r>
      <w:fldChar w:fldCharType="end"/>
    </w:r>
    <w:r>
      <w:instrText>"</w:instrText>
    </w:r>
    <w:r>
      <w:fldChar w:fldCharType="separate"/>
    </w:r>
    <w:r w:rsidR="007F59C4">
      <w:rPr>
        <w:noProof/>
      </w:rPr>
      <w:t>© BMT 2023</w:t>
    </w:r>
    <w:r>
      <w:fldChar w:fldCharType="end"/>
    </w:r>
  </w:p>
  <w:p w14:paraId="2AF9B87D" w14:textId="2C3CE9CA"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C37B4B">
      <w:instrText>A12068 | 057 | 01</w:instrText>
    </w:r>
    <w:r>
      <w:fldChar w:fldCharType="end"/>
    </w:r>
    <w:r>
      <w:instrText xml:space="preserve">  = "Error! Unknown document property name." "" "</w:instrText>
    </w:r>
    <w:r>
      <w:fldChar w:fldCharType="begin"/>
    </w:r>
    <w:r>
      <w:instrText>DOCPROPERTY BMT_FOOTER_TEXT</w:instrText>
    </w:r>
    <w:r>
      <w:fldChar w:fldCharType="separate"/>
    </w:r>
    <w:r w:rsidR="00C37B4B">
      <w:instrText>A12068 | 057 | 01</w:instrText>
    </w:r>
    <w:r>
      <w:fldChar w:fldCharType="end"/>
    </w:r>
    <w:r>
      <w:instrText>"</w:instrText>
    </w:r>
    <w:r>
      <w:fldChar w:fldCharType="separate"/>
    </w:r>
    <w:r w:rsidR="00C37B4B">
      <w:rPr>
        <w:noProof/>
      </w:rPr>
      <w:t>A12068 | 057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w:instrText>
    </w:r>
    <w:r>
      <w:fldChar w:fldCharType="separate"/>
    </w:r>
    <w:r w:rsidR="00C37B4B">
      <w:rPr>
        <w:noProof/>
      </w:rPr>
      <w:instrText>21 April 2023</w:instrText>
    </w:r>
    <w:r>
      <w:fldChar w:fldCharType="end"/>
    </w:r>
    <w:r>
      <w:instrText>"</w:instrText>
    </w:r>
    <w:r>
      <w:fldChar w:fldCharType="separate"/>
    </w:r>
    <w:r w:rsidR="007F59C4">
      <w:rPr>
        <w:noProof/>
      </w:rPr>
      <w:t>21 April 2023</w:t>
    </w:r>
    <w:r>
      <w:fldChar w:fldCharType="end"/>
    </w:r>
  </w:p>
  <w:p w14:paraId="492757E5" w14:textId="158A5921"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67D6B825"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w:instrText>
    </w:r>
    <w:r>
      <w:fldChar w:fldCharType="separate"/>
    </w:r>
    <w:r w:rsidR="00C37B4B">
      <w:rPr>
        <w:noProof/>
      </w:rPr>
      <w:instrText>© BMT 2023</w:instrText>
    </w:r>
    <w:r>
      <w:fldChar w:fldCharType="end"/>
    </w:r>
    <w:r>
      <w:instrText>"</w:instrText>
    </w:r>
    <w:r>
      <w:fldChar w:fldCharType="separate"/>
    </w:r>
    <w:r w:rsidR="00B53C61">
      <w:rPr>
        <w:noProof/>
      </w:rPr>
      <w:t>© BMT 2023</w:t>
    </w:r>
    <w:r>
      <w:fldChar w:fldCharType="end"/>
    </w:r>
  </w:p>
  <w:p w14:paraId="2F188BF4" w14:textId="710C473D"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C37B4B">
      <w:instrText>A12068 | 057 | 01</w:instrText>
    </w:r>
    <w:r>
      <w:fldChar w:fldCharType="end"/>
    </w:r>
    <w:r>
      <w:instrText xml:space="preserve">  = "Error! Unknown document property name." "" "</w:instrText>
    </w:r>
    <w:r>
      <w:fldChar w:fldCharType="begin"/>
    </w:r>
    <w:r>
      <w:instrText>DOCPROPERTY BMT_FOOTER_TEXT</w:instrText>
    </w:r>
    <w:r>
      <w:fldChar w:fldCharType="separate"/>
    </w:r>
    <w:r w:rsidR="00C37B4B">
      <w:instrText>A12068 | 057 | 01</w:instrText>
    </w:r>
    <w:r>
      <w:fldChar w:fldCharType="end"/>
    </w:r>
    <w:r>
      <w:instrText>"</w:instrText>
    </w:r>
    <w:r>
      <w:fldChar w:fldCharType="separate"/>
    </w:r>
    <w:r w:rsidR="00C37B4B">
      <w:rPr>
        <w:noProof/>
      </w:rPr>
      <w:t>A12068 | 057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w:instrText>
    </w:r>
    <w:r>
      <w:fldChar w:fldCharType="separate"/>
    </w:r>
    <w:r w:rsidR="00C37B4B">
      <w:rPr>
        <w:noProof/>
      </w:rPr>
      <w:instrText>21 April 2023</w:instrText>
    </w:r>
    <w:r>
      <w:fldChar w:fldCharType="end"/>
    </w:r>
    <w:r>
      <w:instrText>"</w:instrText>
    </w:r>
    <w:r>
      <w:fldChar w:fldCharType="separate"/>
    </w:r>
    <w:r w:rsidR="00B53C61">
      <w:rPr>
        <w:noProof/>
      </w:rPr>
      <w:t>21 April 2023</w:t>
    </w:r>
    <w:r>
      <w:fldChar w:fldCharType="end"/>
    </w:r>
  </w:p>
  <w:p w14:paraId="5BBDE98E" w14:textId="0FCDD442"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921FD2F"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w:instrText>
    </w:r>
    <w:r>
      <w:fldChar w:fldCharType="separate"/>
    </w:r>
    <w:r w:rsidR="00C37B4B">
      <w:rPr>
        <w:noProof/>
      </w:rPr>
      <w:instrText>© BMT 2023</w:instrText>
    </w:r>
    <w:r>
      <w:fldChar w:fldCharType="end"/>
    </w:r>
    <w:r>
      <w:instrText>"</w:instrText>
    </w:r>
    <w:r>
      <w:fldChar w:fldCharType="separate"/>
    </w:r>
    <w:r w:rsidR="00B53C61">
      <w:rPr>
        <w:noProof/>
      </w:rPr>
      <w:t>© BMT 2023</w:t>
    </w:r>
    <w:r>
      <w:fldChar w:fldCharType="end"/>
    </w:r>
  </w:p>
  <w:p w14:paraId="719422BB" w14:textId="26867A80"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C37B4B">
      <w:instrText>A12068 | 057 | 01</w:instrText>
    </w:r>
    <w:r>
      <w:fldChar w:fldCharType="end"/>
    </w:r>
    <w:r>
      <w:instrText xml:space="preserve">  = "Error! Unknown document property name." "" "</w:instrText>
    </w:r>
    <w:r>
      <w:fldChar w:fldCharType="begin"/>
    </w:r>
    <w:r>
      <w:instrText>DOCPROPERTY BMT_FOOTER_TEXT</w:instrText>
    </w:r>
    <w:r>
      <w:fldChar w:fldCharType="separate"/>
    </w:r>
    <w:r w:rsidR="00C37B4B">
      <w:instrText>A12068 | 057 | 01</w:instrText>
    </w:r>
    <w:r>
      <w:fldChar w:fldCharType="end"/>
    </w:r>
    <w:r>
      <w:instrText>"</w:instrText>
    </w:r>
    <w:r>
      <w:fldChar w:fldCharType="separate"/>
    </w:r>
    <w:r w:rsidR="00C37B4B">
      <w:rPr>
        <w:noProof/>
      </w:rPr>
      <w:t>A12068 | 057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w:instrText>
    </w:r>
    <w:r>
      <w:fldChar w:fldCharType="separate"/>
    </w:r>
    <w:r w:rsidR="00C37B4B">
      <w:rPr>
        <w:noProof/>
      </w:rPr>
      <w:instrText>21 April 2023</w:instrText>
    </w:r>
    <w:r>
      <w:fldChar w:fldCharType="end"/>
    </w:r>
    <w:r>
      <w:instrText>"</w:instrText>
    </w:r>
    <w:r>
      <w:fldChar w:fldCharType="separate"/>
    </w:r>
    <w:r w:rsidR="00B53C61">
      <w:rPr>
        <w:noProof/>
      </w:rPr>
      <w:t>21 April 2023</w:t>
    </w:r>
    <w:r>
      <w:fldChar w:fldCharType="end"/>
    </w:r>
  </w:p>
  <w:p w14:paraId="5B0564A1" w14:textId="57789EFB"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8C55" w14:textId="78CA3DF3" w:rsidR="00BB1890" w:rsidRDefault="00BB1890"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w:instrText>
    </w:r>
    <w:r>
      <w:fldChar w:fldCharType="separate"/>
    </w:r>
    <w:r w:rsidR="00C37B4B">
      <w:rPr>
        <w:noProof/>
      </w:rPr>
      <w:instrText>© BMT 2023</w:instrText>
    </w:r>
    <w:r>
      <w:fldChar w:fldCharType="end"/>
    </w:r>
    <w:r>
      <w:instrText>"</w:instrText>
    </w:r>
    <w:r>
      <w:fldChar w:fldCharType="separate"/>
    </w:r>
    <w:r w:rsidR="007F59C4">
      <w:rPr>
        <w:noProof/>
      </w:rPr>
      <w:t>© BMT 2023</w:t>
    </w:r>
    <w:r>
      <w:fldChar w:fldCharType="end"/>
    </w:r>
  </w:p>
  <w:p w14:paraId="3BF3750B" w14:textId="632B31BF" w:rsidR="00BB1890" w:rsidRDefault="00BB1890" w:rsidP="00D71A42">
    <w:pPr>
      <w:pStyle w:val="Footer"/>
    </w:pPr>
    <w:r>
      <w:fldChar w:fldCharType="begin"/>
    </w:r>
    <w:r>
      <w:instrText xml:space="preserve">  IF </w:instrText>
    </w:r>
    <w:r>
      <w:fldChar w:fldCharType="begin"/>
    </w:r>
    <w:r>
      <w:instrText>DOCPROPERTY BMT_FOOTER_TEXT</w:instrText>
    </w:r>
    <w:r>
      <w:fldChar w:fldCharType="separate"/>
    </w:r>
    <w:r w:rsidR="00C37B4B">
      <w:instrText>A12068 | 057 | 01</w:instrText>
    </w:r>
    <w:r>
      <w:fldChar w:fldCharType="end"/>
    </w:r>
    <w:r>
      <w:instrText xml:space="preserve">  = "Error! Unknown document property name." "" "</w:instrText>
    </w:r>
    <w:r>
      <w:fldChar w:fldCharType="begin"/>
    </w:r>
    <w:r>
      <w:instrText>DOCPROPERTY BMT_FOOTER_TEXT</w:instrText>
    </w:r>
    <w:r>
      <w:fldChar w:fldCharType="separate"/>
    </w:r>
    <w:r w:rsidR="00C37B4B">
      <w:instrText>A12068 | 057 | 01</w:instrText>
    </w:r>
    <w:r>
      <w:fldChar w:fldCharType="end"/>
    </w:r>
    <w:r>
      <w:instrText>"</w:instrText>
    </w:r>
    <w:r>
      <w:fldChar w:fldCharType="separate"/>
    </w:r>
    <w:r w:rsidR="00C37B4B">
      <w:rPr>
        <w:noProof/>
      </w:rPr>
      <w:t>A12068 | 057 | 01</w:t>
    </w:r>
    <w:r>
      <w:fldChar w:fldCharType="end"/>
    </w:r>
    <w:r>
      <w:tab/>
    </w:r>
    <w:r>
      <w:fldChar w:fldCharType="begin"/>
    </w:r>
    <w:r>
      <w:instrText xml:space="preserve"> PAGE   \* MERGEFORMAT </w:instrText>
    </w:r>
    <w:r>
      <w:fldChar w:fldCharType="separate"/>
    </w:r>
    <w:r>
      <w:t>5</w:t>
    </w:r>
    <w:r>
      <w:fldChar w:fldCharType="end"/>
    </w:r>
    <w:r>
      <w:tab/>
    </w:r>
  </w:p>
  <w:p w14:paraId="05DDEA83" w14:textId="1341A73C" w:rsidR="00BB1890" w:rsidRPr="00D71A42" w:rsidRDefault="00BB1890"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18EC2667"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72BF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72BF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72BF4">
      <w:instrText>© BMT 2023</w:instrText>
    </w:r>
    <w:r>
      <w:fldChar w:fldCharType="end"/>
    </w:r>
    <w:r>
      <w:instrText>"</w:instrText>
    </w:r>
    <w:r>
      <w:fldChar w:fldCharType="separate"/>
    </w:r>
    <w:r w:rsidR="00A72BF4">
      <w:rPr>
        <w:noProof/>
      </w:rPr>
      <w:instrText>© BMT 2023</w:instrText>
    </w:r>
    <w:r>
      <w:fldChar w:fldCharType="end"/>
    </w:r>
    <w:r>
      <w:instrText>"</w:instrText>
    </w:r>
    <w:r>
      <w:fldChar w:fldCharType="separate"/>
    </w:r>
    <w:r w:rsidR="00A72BF4">
      <w:rPr>
        <w:noProof/>
      </w:rPr>
      <w:t>© BMT 2023</w:t>
    </w:r>
    <w:r>
      <w:fldChar w:fldCharType="end"/>
    </w:r>
  </w:p>
  <w:p w14:paraId="00292D10" w14:textId="5D4F7A17"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A72BF4">
      <w:instrText>A12068 | 057 | 00</w:instrText>
    </w:r>
    <w:r>
      <w:fldChar w:fldCharType="end"/>
    </w:r>
    <w:r>
      <w:instrText xml:space="preserve">  = "Error! Unknown document property name." "" "</w:instrText>
    </w:r>
    <w:r>
      <w:fldChar w:fldCharType="begin"/>
    </w:r>
    <w:r>
      <w:instrText>DOCPROPERTY BMT_FOOTER_TEXT</w:instrText>
    </w:r>
    <w:r>
      <w:fldChar w:fldCharType="separate"/>
    </w:r>
    <w:r w:rsidR="00A72BF4">
      <w:instrText>A12068 | 057 | 00</w:instrText>
    </w:r>
    <w:r>
      <w:fldChar w:fldCharType="end"/>
    </w:r>
    <w:r>
      <w:instrText>"</w:instrText>
    </w:r>
    <w:r>
      <w:fldChar w:fldCharType="separate"/>
    </w:r>
    <w:r w:rsidR="00A72BF4">
      <w:rPr>
        <w:noProof/>
      </w:rPr>
      <w:t>A12068 | 057 | 00</w:t>
    </w:r>
    <w:r>
      <w:fldChar w:fldCharType="end"/>
    </w:r>
    <w:r>
      <w:tab/>
    </w:r>
    <w:r>
      <w:fldChar w:fldCharType="begin"/>
    </w:r>
    <w:r>
      <w:instrText xml:space="preserve"> PAGE   \* MERGEFORMAT </w:instrText>
    </w:r>
    <w:r>
      <w:fldChar w:fldCharType="separate"/>
    </w:r>
    <w:r>
      <w:t>1</w:t>
    </w:r>
    <w:r>
      <w:fldChar w:fldCharType="end"/>
    </w:r>
    <w:r>
      <w:tab/>
    </w:r>
  </w:p>
  <w:p w14:paraId="46B2737D" w14:textId="18CF3B2A"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72BF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20E662FF"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37B4B">
      <w:instrText>© BMT 2023</w:instrText>
    </w:r>
    <w:r>
      <w:fldChar w:fldCharType="end"/>
    </w:r>
    <w:r>
      <w:instrText>"</w:instrText>
    </w:r>
    <w:r>
      <w:fldChar w:fldCharType="separate"/>
    </w:r>
    <w:r w:rsidR="00C37B4B">
      <w:rPr>
        <w:noProof/>
      </w:rPr>
      <w:instrText>© BMT 2023</w:instrText>
    </w:r>
    <w:r>
      <w:fldChar w:fldCharType="end"/>
    </w:r>
    <w:r>
      <w:instrText>"</w:instrText>
    </w:r>
    <w:r>
      <w:fldChar w:fldCharType="separate"/>
    </w:r>
    <w:r w:rsidR="007F59C4">
      <w:rPr>
        <w:noProof/>
      </w:rPr>
      <w:t>© BMT 2023</w:t>
    </w:r>
    <w:r>
      <w:fldChar w:fldCharType="end"/>
    </w:r>
  </w:p>
  <w:p w14:paraId="1EA0E4B6" w14:textId="08D1F955"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C37B4B">
      <w:instrText>A12068 | 057 | 01</w:instrText>
    </w:r>
    <w:r>
      <w:fldChar w:fldCharType="end"/>
    </w:r>
    <w:r>
      <w:instrText xml:space="preserve">  = "Error! Unknown document property name." "" "</w:instrText>
    </w:r>
    <w:r>
      <w:fldChar w:fldCharType="begin"/>
    </w:r>
    <w:r>
      <w:instrText>DOCPROPERTY BMT_FOOTER_TEXT</w:instrText>
    </w:r>
    <w:r>
      <w:fldChar w:fldCharType="separate"/>
    </w:r>
    <w:r w:rsidR="00C37B4B">
      <w:instrText>A12068 | 057 | 01</w:instrText>
    </w:r>
    <w:r>
      <w:fldChar w:fldCharType="end"/>
    </w:r>
    <w:r>
      <w:instrText>"</w:instrText>
    </w:r>
    <w:r>
      <w:fldChar w:fldCharType="separate"/>
    </w:r>
    <w:r w:rsidR="00C37B4B">
      <w:rPr>
        <w:noProof/>
      </w:rPr>
      <w:t>A12068 | 057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C37B4B">
      <w:instrText>False</w:instrText>
    </w:r>
    <w:r>
      <w:fldChar w:fldCharType="end"/>
    </w:r>
    <w:r w:rsidRPr="00CA7019">
      <w:instrText xml:space="preserve"> = "</w:instrText>
    </w:r>
    <w:r>
      <w:instrText>False</w:instrText>
    </w:r>
    <w:r w:rsidRPr="00CA7019">
      <w:instrText>"</w:instrText>
    </w:r>
    <w:r w:rsidRPr="00CA7019">
      <w:fldChar w:fldCharType="separate"/>
    </w:r>
    <w:r w:rsidR="00C37B4B">
      <w:rPr>
        <w:noProof/>
      </w:rPr>
      <w:instrText>1</w:instrText>
    </w:r>
    <w:r w:rsidRPr="00CA7019">
      <w:fldChar w:fldCharType="end"/>
    </w:r>
    <w:r>
      <w:instrText xml:space="preserve"> = 1 "</w:instrText>
    </w:r>
    <w:r>
      <w:fldChar w:fldCharType="begin"/>
    </w:r>
    <w:r>
      <w:instrText xml:space="preserve"> PAGE </w:instrText>
    </w:r>
    <w:r>
      <w:fldChar w:fldCharType="separate"/>
    </w:r>
    <w:r w:rsidR="007F59C4">
      <w:rPr>
        <w:noProof/>
      </w:rPr>
      <w:instrText>B-1</w:instrText>
    </w:r>
    <w:r>
      <w:fldChar w:fldCharType="end"/>
    </w:r>
    <w:r>
      <w:instrText>" " "</w:instrText>
    </w:r>
    <w:r w:rsidRPr="00CA7019">
      <w:fldChar w:fldCharType="separate"/>
    </w:r>
    <w:r w:rsidR="007F59C4">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C37B4B">
      <w:instrText>21 April 2023</w:instrText>
    </w:r>
    <w:r>
      <w:fldChar w:fldCharType="end"/>
    </w:r>
    <w:r>
      <w:instrText>"</w:instrText>
    </w:r>
    <w:r>
      <w:fldChar w:fldCharType="separate"/>
    </w:r>
    <w:r w:rsidR="00C37B4B">
      <w:rPr>
        <w:noProof/>
      </w:rPr>
      <w:instrText>21 April 2023</w:instrText>
    </w:r>
    <w:r>
      <w:fldChar w:fldCharType="end"/>
    </w:r>
    <w:r>
      <w:instrText>"</w:instrText>
    </w:r>
    <w:r>
      <w:fldChar w:fldCharType="separate"/>
    </w:r>
    <w:r w:rsidR="007F59C4">
      <w:rPr>
        <w:noProof/>
      </w:rPr>
      <w:t>21 April 2023</w:t>
    </w:r>
    <w:r>
      <w:fldChar w:fldCharType="end"/>
    </w:r>
  </w:p>
  <w:p w14:paraId="1D72DD08" w14:textId="0507679B"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37B4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394AC54C">
                <wp:extent cx="981165" cy="460800"/>
                <wp:effectExtent l="0" t="0" r="0" b="0"/>
                <wp:docPr id="562964420" name="Picture 56296442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64420" name="Picture 56296442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5B09EE57"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266E5">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9406A0E" w:rsidR="00750C33" w:rsidRDefault="00C37B4B">
    <w:pPr>
      <w:pStyle w:val="Header"/>
    </w:pPr>
    <w:r>
      <w:rPr>
        <w:noProof/>
      </w:rPr>
      <w:drawing>
        <wp:anchor distT="0" distB="0" distL="114300" distR="114300" simplePos="0" relativeHeight="251658240" behindDoc="1" locked="0" layoutInCell="1" allowOverlap="1" wp14:anchorId="57316377" wp14:editId="55A07624">
          <wp:simplePos x="0" y="0"/>
          <wp:positionH relativeFrom="page">
            <wp:posOffset>0</wp:posOffset>
          </wp:positionH>
          <wp:positionV relativeFrom="page">
            <wp:posOffset>0</wp:posOffset>
          </wp:positionV>
          <wp:extent cx="7562015" cy="10692765"/>
          <wp:effectExtent l="0" t="0" r="1270" b="0"/>
          <wp:wrapNone/>
          <wp:docPr id="514162885" name="Picture 5141628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62885" name="Picture 51416288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1A69436">
                <wp:extent cx="981165" cy="460800"/>
                <wp:effectExtent l="0" t="0" r="0" b="0"/>
                <wp:docPr id="219726511" name="Picture 21972651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26511" name="Picture 21972651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5FAFFD48"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w:instrText>
          </w:r>
          <w:r>
            <w:fldChar w:fldCharType="separate"/>
          </w:r>
          <w:r w:rsidR="00C37B4B">
            <w:rPr>
              <w:noProof/>
            </w:rPr>
            <w:instrText>Queensland Recreational Boating Facilities Demand Forecasting Study 2022</w:instrText>
          </w:r>
          <w:r>
            <w:fldChar w:fldCharType="end"/>
          </w:r>
          <w:r>
            <w:instrText>"</w:instrText>
          </w:r>
          <w:r>
            <w:fldChar w:fldCharType="separate"/>
          </w:r>
          <w:r w:rsidR="007F59C4">
            <w:rPr>
              <w:noProof/>
            </w:rPr>
            <w:t>Queensland Recreational Boating Facilities Demand Forecasting Study 2022</w:t>
          </w:r>
          <w:r>
            <w:fldChar w:fldCharType="end"/>
          </w:r>
        </w:p>
        <w:p w14:paraId="4A528FE8" w14:textId="6388462C"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266E5">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92A2384">
                <wp:extent cx="981165" cy="460800"/>
                <wp:effectExtent l="0" t="0" r="0" b="0"/>
                <wp:docPr id="585210245" name="Picture 58521024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10245" name="Picture 58521024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79F6D03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w:instrText>
          </w:r>
          <w:r>
            <w:fldChar w:fldCharType="separate"/>
          </w:r>
          <w:r w:rsidR="00C37B4B">
            <w:rPr>
              <w:noProof/>
            </w:rPr>
            <w:instrText>Queensland Recreational Boating Facilities Demand Forecasting Study 2022</w:instrText>
          </w:r>
          <w:r>
            <w:fldChar w:fldCharType="end"/>
          </w:r>
          <w:r>
            <w:instrText>"</w:instrText>
          </w:r>
          <w:r>
            <w:fldChar w:fldCharType="separate"/>
          </w:r>
          <w:r w:rsidR="00B53C61">
            <w:rPr>
              <w:noProof/>
            </w:rPr>
            <w:t>Queensland Recreational Boating Facilities Demand Forecasting Study 2022</w:t>
          </w:r>
          <w:r>
            <w:fldChar w:fldCharType="end"/>
          </w:r>
        </w:p>
        <w:p w14:paraId="1D697BC9" w14:textId="133BDDA4"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266E5">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ABA7429">
                <wp:extent cx="981165" cy="460800"/>
                <wp:effectExtent l="0" t="0" r="0" b="0"/>
                <wp:docPr id="630525819" name="Picture 63052581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25819" name="Picture 63052581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03E39DD"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w:instrText>
          </w:r>
          <w:r>
            <w:fldChar w:fldCharType="separate"/>
          </w:r>
          <w:r w:rsidR="00C37B4B">
            <w:rPr>
              <w:noProof/>
            </w:rPr>
            <w:instrText>Queensland Recreational Boating Facilities Demand Forecasting Study 2022</w:instrText>
          </w:r>
          <w:r>
            <w:fldChar w:fldCharType="end"/>
          </w:r>
          <w:r>
            <w:instrText>"</w:instrText>
          </w:r>
          <w:r>
            <w:fldChar w:fldCharType="separate"/>
          </w:r>
          <w:r w:rsidR="007F59C4">
            <w:rPr>
              <w:noProof/>
            </w:rPr>
            <w:t>Queensland Recreational Boating Facilities Demand Forecasting Study 2022</w:t>
          </w:r>
          <w:r>
            <w:fldChar w:fldCharType="end"/>
          </w:r>
        </w:p>
        <w:p w14:paraId="067418B8" w14:textId="2EC6BE69"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266E5">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338CA93C">
                <wp:extent cx="981165" cy="460800"/>
                <wp:effectExtent l="0" t="0" r="0" b="0"/>
                <wp:docPr id="125124144" name="Picture 125124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4144" name="Picture 1251241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627915F"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3B408E67">
                <wp:extent cx="981165" cy="460800"/>
                <wp:effectExtent l="0" t="0" r="0" b="0"/>
                <wp:docPr id="1276657216" name="Picture 127665721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57216" name="Picture 1276657216"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60D389B5"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w:instrText>
          </w:r>
          <w:r>
            <w:fldChar w:fldCharType="separate"/>
          </w:r>
          <w:r w:rsidR="00C37B4B">
            <w:rPr>
              <w:noProof/>
            </w:rPr>
            <w:instrText>Queensland Recreational Boating Facilities Demand Forecasting Study 2022</w:instrText>
          </w:r>
          <w:r>
            <w:fldChar w:fldCharType="end"/>
          </w:r>
          <w:r>
            <w:instrText>"</w:instrText>
          </w:r>
          <w:r>
            <w:fldChar w:fldCharType="separate"/>
          </w:r>
          <w:r w:rsidR="007F59C4">
            <w:rPr>
              <w:noProof/>
            </w:rPr>
            <w:t>Queensland Recreational Boating Facilities Demand Forecasting Study 2022</w:t>
          </w:r>
          <w:r>
            <w:fldChar w:fldCharType="end"/>
          </w:r>
        </w:p>
        <w:p w14:paraId="418F8354" w14:textId="340E0771"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266E5">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26B23F4A">
                <wp:extent cx="981165" cy="460800"/>
                <wp:effectExtent l="0" t="0" r="0" b="0"/>
                <wp:docPr id="1641348932" name="Picture 164134893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48932" name="Picture 164134893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44E7A43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C37B4B">
            <w:instrText>Queensland Recreational Boating Facilities Demand Forecasting Study 2022</w:instrText>
          </w:r>
          <w:r>
            <w:fldChar w:fldCharType="end"/>
          </w:r>
          <w:r>
            <w:instrText>"</w:instrText>
          </w:r>
          <w:r>
            <w:fldChar w:fldCharType="separate"/>
          </w:r>
          <w:r w:rsidR="00C37B4B">
            <w:rPr>
              <w:noProof/>
            </w:rPr>
            <w:instrText>Queensland Recreational Boating Facilities Demand Forecasting Study 2022</w:instrText>
          </w:r>
          <w:r>
            <w:fldChar w:fldCharType="end"/>
          </w:r>
          <w:r>
            <w:instrText>"</w:instrText>
          </w:r>
          <w:r>
            <w:fldChar w:fldCharType="separate"/>
          </w:r>
          <w:r w:rsidR="007F59C4">
            <w:rPr>
              <w:noProof/>
            </w:rPr>
            <w:t>Queensland Recreational Boating Facilities Demand Forecasting Study 2022</w:t>
          </w:r>
          <w:r>
            <w:fldChar w:fldCharType="end"/>
          </w:r>
        </w:p>
        <w:p w14:paraId="5B1888C1" w14:textId="40FE784E"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266E5">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0B44"/>
    <w:rsid w:val="00041520"/>
    <w:rsid w:val="000417B6"/>
    <w:rsid w:val="00043F81"/>
    <w:rsid w:val="000469C7"/>
    <w:rsid w:val="00047DA9"/>
    <w:rsid w:val="0005037B"/>
    <w:rsid w:val="00050773"/>
    <w:rsid w:val="00051C17"/>
    <w:rsid w:val="00051EEB"/>
    <w:rsid w:val="00052E1F"/>
    <w:rsid w:val="0005314D"/>
    <w:rsid w:val="000540F5"/>
    <w:rsid w:val="0005529E"/>
    <w:rsid w:val="000566F6"/>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222E"/>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0D31"/>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3AB8"/>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302"/>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3B1"/>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4D5"/>
    <w:rsid w:val="003B4D57"/>
    <w:rsid w:val="003B606F"/>
    <w:rsid w:val="003B7145"/>
    <w:rsid w:val="003C0772"/>
    <w:rsid w:val="003C13F7"/>
    <w:rsid w:val="003C5808"/>
    <w:rsid w:val="003C6355"/>
    <w:rsid w:val="003C7B6A"/>
    <w:rsid w:val="003D0CE0"/>
    <w:rsid w:val="003D13BA"/>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26C75"/>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1D02"/>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207"/>
    <w:rsid w:val="006D0BB0"/>
    <w:rsid w:val="006D1116"/>
    <w:rsid w:val="006D1169"/>
    <w:rsid w:val="006D1483"/>
    <w:rsid w:val="006D23C3"/>
    <w:rsid w:val="006D3F47"/>
    <w:rsid w:val="006D4078"/>
    <w:rsid w:val="006D40A7"/>
    <w:rsid w:val="006D590E"/>
    <w:rsid w:val="006D6F97"/>
    <w:rsid w:val="006E07E8"/>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5E80"/>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093C"/>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9C4"/>
    <w:rsid w:val="007F5C3F"/>
    <w:rsid w:val="007F733B"/>
    <w:rsid w:val="007F7545"/>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0D9E"/>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3EC3"/>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2B01"/>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4E0E"/>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323"/>
    <w:rsid w:val="00A648E0"/>
    <w:rsid w:val="00A64F90"/>
    <w:rsid w:val="00A67B46"/>
    <w:rsid w:val="00A71987"/>
    <w:rsid w:val="00A7226F"/>
    <w:rsid w:val="00A72BF4"/>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23ED"/>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3C61"/>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2DC8"/>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7B9"/>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37B4B"/>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6E5"/>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85FB3"/>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04A"/>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60D"/>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CD0"/>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11DE"/>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463"/>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294496F"/>
    <w:rsid w:val="02D380DE"/>
    <w:rsid w:val="042ED243"/>
    <w:rsid w:val="067A9D98"/>
    <w:rsid w:val="092146F6"/>
    <w:rsid w:val="0A9E13C7"/>
    <w:rsid w:val="0CE9DF1C"/>
    <w:rsid w:val="0F7D7FCF"/>
    <w:rsid w:val="10FC125A"/>
    <w:rsid w:val="127EC7D4"/>
    <w:rsid w:val="135920A0"/>
    <w:rsid w:val="135C6108"/>
    <w:rsid w:val="14F4F101"/>
    <w:rsid w:val="198903AD"/>
    <w:rsid w:val="1AAA2756"/>
    <w:rsid w:val="1BDB85B5"/>
    <w:rsid w:val="1DBB0608"/>
    <w:rsid w:val="1EBE180D"/>
    <w:rsid w:val="2394878B"/>
    <w:rsid w:val="239D6A4A"/>
    <w:rsid w:val="2463075D"/>
    <w:rsid w:val="2766A60C"/>
    <w:rsid w:val="291D5023"/>
    <w:rsid w:val="2E630B93"/>
    <w:rsid w:val="2EF36A24"/>
    <w:rsid w:val="2F69632C"/>
    <w:rsid w:val="308D6B39"/>
    <w:rsid w:val="3165E763"/>
    <w:rsid w:val="318D5B17"/>
    <w:rsid w:val="3288251F"/>
    <w:rsid w:val="337BCC67"/>
    <w:rsid w:val="37F2E4EA"/>
    <w:rsid w:val="3DF5AA39"/>
    <w:rsid w:val="3F93D7B1"/>
    <w:rsid w:val="412D4AFB"/>
    <w:rsid w:val="42C91B5C"/>
    <w:rsid w:val="46E5BAB4"/>
    <w:rsid w:val="4886519B"/>
    <w:rsid w:val="493C7D1C"/>
    <w:rsid w:val="4A3B950D"/>
    <w:rsid w:val="4D5CC8CE"/>
    <w:rsid w:val="4D9A2BEF"/>
    <w:rsid w:val="4FA0F78B"/>
    <w:rsid w:val="5016F093"/>
    <w:rsid w:val="51A6FAA1"/>
    <w:rsid w:val="52140560"/>
    <w:rsid w:val="52CD2630"/>
    <w:rsid w:val="55835BCD"/>
    <w:rsid w:val="5925837A"/>
    <w:rsid w:val="5DF7BA43"/>
    <w:rsid w:val="5FDE0325"/>
    <w:rsid w:val="64E3C514"/>
    <w:rsid w:val="66176882"/>
    <w:rsid w:val="6647FFF0"/>
    <w:rsid w:val="67A25A0D"/>
    <w:rsid w:val="6B17C09A"/>
    <w:rsid w:val="6E517A62"/>
    <w:rsid w:val="6E6AA2BF"/>
    <w:rsid w:val="6E8B4A21"/>
    <w:rsid w:val="6EB42373"/>
    <w:rsid w:val="6F4DEDD4"/>
    <w:rsid w:val="71417FBE"/>
    <w:rsid w:val="71CC31D5"/>
    <w:rsid w:val="74245D52"/>
    <w:rsid w:val="795971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ind w:left="284"/>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 w:type="paragraph" w:styleId="TableofFigures">
    <w:name w:val="table of figures"/>
    <w:basedOn w:val="Normal"/>
    <w:next w:val="Normal"/>
    <w:uiPriority w:val="99"/>
    <w:unhideWhenUsed/>
    <w:rsid w:val="00ED1CD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4.jpeg"/><Relationship Id="rId39" Type="http://schemas.openxmlformats.org/officeDocument/2006/relationships/theme" Target="theme/theme1.xml"/><Relationship Id="rId21" Type="http://schemas.openxmlformats.org/officeDocument/2006/relationships/hyperlink" Target="https://www.getinvolved.qld.gov.au/gi/consultation/8850/view.html"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9.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abs.gov.au/censu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image" Target="media/image6.png"/><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B6747A2F811C4967BC896F53C9C3D187"/>
        <w:category>
          <w:name w:val="General"/>
          <w:gallery w:val="placeholder"/>
        </w:category>
        <w:types>
          <w:type w:val="bbPlcHdr"/>
        </w:types>
        <w:behaviors>
          <w:behavior w:val="content"/>
        </w:behaviors>
        <w:guid w:val="{D0E6E5EE-FF5D-411C-B700-8DFF822E31C8}"/>
      </w:docPartPr>
      <w:docPartBody>
        <w:p w:rsidR="008945A5" w:rsidRDefault="004D6AF4" w:rsidP="004D6AF4">
          <w:pPr>
            <w:pStyle w:val="B6747A2F811C4967BC896F53C9C3D187"/>
          </w:pPr>
          <w:r w:rsidRPr="006B77C0">
            <w:rPr>
              <w:rStyle w:val="PlaceholderText"/>
            </w:rPr>
            <w:t>Click to enter date.</w:t>
          </w:r>
        </w:p>
      </w:docPartBody>
    </w:docPart>
    <w:docPart>
      <w:docPartPr>
        <w:name w:val="4F2693E967B440669BE0FD3EF11DCE74"/>
        <w:category>
          <w:name w:val="General"/>
          <w:gallery w:val="placeholder"/>
        </w:category>
        <w:types>
          <w:type w:val="bbPlcHdr"/>
        </w:types>
        <w:behaviors>
          <w:behavior w:val="content"/>
        </w:behaviors>
        <w:guid w:val="{68CACECC-5900-48E4-8173-38EC436C1DC2}"/>
      </w:docPartPr>
      <w:docPartBody>
        <w:p w:rsidR="00F7688C" w:rsidRDefault="008945A5" w:rsidP="008945A5">
          <w:pPr>
            <w:pStyle w:val="4F2693E967B440669BE0FD3EF11DCE74"/>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96B0AC1212CB4EE1B69A45FEEDF4C311"/>
        <w:category>
          <w:name w:val="General"/>
          <w:gallery w:val="placeholder"/>
        </w:category>
        <w:types>
          <w:type w:val="bbPlcHdr"/>
        </w:types>
        <w:behaviors>
          <w:behavior w:val="content"/>
        </w:behaviors>
        <w:guid w:val="{A5C13C09-574E-4C98-92CB-E4378D090E2D}"/>
      </w:docPartPr>
      <w:docPartBody>
        <w:p w:rsidR="00F7688C" w:rsidRDefault="008945A5" w:rsidP="008945A5">
          <w:pPr>
            <w:pStyle w:val="96B0AC1212CB4EE1B69A45FEEDF4C311"/>
          </w:pPr>
          <w:r>
            <w:rPr>
              <w:rStyle w:val="PlaceholderText"/>
            </w:rPr>
            <w:t>#</w:t>
          </w:r>
        </w:p>
      </w:docPartBody>
    </w:docPart>
    <w:docPart>
      <w:docPartPr>
        <w:name w:val="415177CC9A564871BBD7A23DABF8C50D"/>
        <w:category>
          <w:name w:val="General"/>
          <w:gallery w:val="placeholder"/>
        </w:category>
        <w:types>
          <w:type w:val="bbPlcHdr"/>
        </w:types>
        <w:behaviors>
          <w:behavior w:val="content"/>
        </w:behaviors>
        <w:guid w:val="{B83EAB0D-10BF-433D-8FDA-5A0507A92B57}"/>
      </w:docPartPr>
      <w:docPartBody>
        <w:p w:rsidR="00F7688C" w:rsidRDefault="008945A5" w:rsidP="008945A5">
          <w:pPr>
            <w:pStyle w:val="415177CC9A564871BBD7A23DABF8C50D"/>
          </w:pPr>
          <w:r w:rsidRPr="006B77C0">
            <w:rPr>
              <w:rStyle w:val="PlaceholderText"/>
            </w:rPr>
            <w:t>Click to enter date.</w:t>
          </w:r>
        </w:p>
      </w:docPartBody>
    </w:docPart>
    <w:docPart>
      <w:docPartPr>
        <w:name w:val="4A2D86F7965D47559955C26EA99BF1E0"/>
        <w:category>
          <w:name w:val="General"/>
          <w:gallery w:val="placeholder"/>
        </w:category>
        <w:types>
          <w:type w:val="bbPlcHdr"/>
        </w:types>
        <w:behaviors>
          <w:behavior w:val="content"/>
        </w:behaviors>
        <w:guid w:val="{EB39D1EE-FF39-49D9-89F3-F4652D04891C}"/>
      </w:docPartPr>
      <w:docPartBody>
        <w:p w:rsidR="00F7688C" w:rsidRDefault="008945A5" w:rsidP="008945A5">
          <w:pPr>
            <w:pStyle w:val="4A2D86F7965D47559955C26EA99BF1E0"/>
          </w:pPr>
          <w:r w:rsidRPr="006B77C0">
            <w:rPr>
              <w:rStyle w:val="PlaceholderText"/>
            </w:rPr>
            <w:t>Click to enter text.</w:t>
          </w:r>
        </w:p>
      </w:docPartBody>
    </w:docPart>
    <w:docPart>
      <w:docPartPr>
        <w:name w:val="C2F26519F0D5435D877EE936E4024F35"/>
        <w:category>
          <w:name w:val="General"/>
          <w:gallery w:val="placeholder"/>
        </w:category>
        <w:types>
          <w:type w:val="bbPlcHdr"/>
        </w:types>
        <w:behaviors>
          <w:behavior w:val="content"/>
        </w:behaviors>
        <w:guid w:val="{4FE9B8D1-7609-4801-B2A6-39B7C263DD53}"/>
      </w:docPartPr>
      <w:docPartBody>
        <w:p w:rsidR="00F7688C" w:rsidRDefault="008945A5" w:rsidP="008945A5">
          <w:pPr>
            <w:pStyle w:val="C2F26519F0D5435D877EE936E4024F35"/>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42F81"/>
    <w:rsid w:val="00393361"/>
    <w:rsid w:val="003A4C48"/>
    <w:rsid w:val="003C7797"/>
    <w:rsid w:val="0048343C"/>
    <w:rsid w:val="004D09D4"/>
    <w:rsid w:val="004D6AF4"/>
    <w:rsid w:val="004F4950"/>
    <w:rsid w:val="00542A51"/>
    <w:rsid w:val="00575A47"/>
    <w:rsid w:val="005D1307"/>
    <w:rsid w:val="005E2D1C"/>
    <w:rsid w:val="00675512"/>
    <w:rsid w:val="006B00DB"/>
    <w:rsid w:val="006D3BAC"/>
    <w:rsid w:val="00802B4E"/>
    <w:rsid w:val="00876102"/>
    <w:rsid w:val="008945A5"/>
    <w:rsid w:val="008E61A6"/>
    <w:rsid w:val="00924454"/>
    <w:rsid w:val="009F6956"/>
    <w:rsid w:val="00B37D47"/>
    <w:rsid w:val="00B93830"/>
    <w:rsid w:val="00BD4DE5"/>
    <w:rsid w:val="00D11DE2"/>
    <w:rsid w:val="00DE5B4D"/>
    <w:rsid w:val="00E05547"/>
    <w:rsid w:val="00EF4E4D"/>
    <w:rsid w:val="00EF60D6"/>
    <w:rsid w:val="00F7688C"/>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5A5"/>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B6747A2F811C4967BC896F53C9C3D187">
    <w:name w:val="B6747A2F811C4967BC896F53C9C3D187"/>
    <w:rsid w:val="004D6AF4"/>
  </w:style>
  <w:style w:type="paragraph" w:customStyle="1" w:styleId="4F2693E967B440669BE0FD3EF11DCE74">
    <w:name w:val="4F2693E967B440669BE0FD3EF11DCE74"/>
    <w:rsid w:val="008945A5"/>
  </w:style>
  <w:style w:type="paragraph" w:customStyle="1" w:styleId="96B0AC1212CB4EE1B69A45FEEDF4C311">
    <w:name w:val="96B0AC1212CB4EE1B69A45FEEDF4C311"/>
    <w:rsid w:val="008945A5"/>
  </w:style>
  <w:style w:type="paragraph" w:customStyle="1" w:styleId="415177CC9A564871BBD7A23DABF8C50D">
    <w:name w:val="415177CC9A564871BBD7A23DABF8C50D"/>
    <w:rsid w:val="008945A5"/>
  </w:style>
  <w:style w:type="paragraph" w:customStyle="1" w:styleId="4A2D86F7965D47559955C26EA99BF1E0">
    <w:name w:val="4A2D86F7965D47559955C26EA99BF1E0"/>
    <w:rsid w:val="008945A5"/>
  </w:style>
  <w:style w:type="paragraph" w:customStyle="1" w:styleId="C2F26519F0D5435D877EE936E4024F35">
    <w:name w:val="C2F26519F0D5435D877EE936E4024F35"/>
    <w:rsid w:val="00894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6683</Words>
  <Characters>38094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2023-07-14T06:45:00Z</dcterms:created>
  <dcterms:modified xsi:type="dcterms:W3CDTF">2023-07-14T07:02:00Z</dcterms:modified>
</cp:coreProperties>
</file>