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52347C" w14:textId="77777777" w:rsidR="00456A95" w:rsidRDefault="00456A95" w:rsidP="005256CD">
      <w:pPr>
        <w:rPr>
          <w:rFonts w:ascii="Arial" w:hAnsi="Arial"/>
          <w:sz w:val="22"/>
          <w:szCs w:val="22"/>
        </w:rPr>
      </w:pPr>
      <w:r w:rsidRPr="00456A95">
        <w:rPr>
          <w:noProof/>
          <w:sz w:val="22"/>
          <w:szCs w:val="22"/>
          <w:lang w:val="en-AU" w:eastAsia="en-AU"/>
        </w:rPr>
        <mc:AlternateContent>
          <mc:Choice Requires="wps">
            <w:drawing>
              <wp:anchor distT="0" distB="0" distL="114300" distR="114300" simplePos="0" relativeHeight="251659264" behindDoc="0" locked="0" layoutInCell="1" allowOverlap="1" wp14:anchorId="2D7B0075" wp14:editId="62CD5288">
                <wp:simplePos x="0" y="0"/>
                <wp:positionH relativeFrom="column">
                  <wp:posOffset>1647190</wp:posOffset>
                </wp:positionH>
                <wp:positionV relativeFrom="topMargin">
                  <wp:posOffset>897661</wp:posOffset>
                </wp:positionV>
                <wp:extent cx="4711700" cy="3213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711700" cy="32131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B5E407" w14:textId="447252EE" w:rsidR="00B05A53" w:rsidRPr="00144906" w:rsidRDefault="00B05A53" w:rsidP="00456A95">
                            <w:pPr>
                              <w:rPr>
                                <w:rFonts w:ascii="Arial" w:hAnsi="Arial"/>
                                <w:b/>
                              </w:rPr>
                            </w:pPr>
                            <w:r>
                              <w:rPr>
                                <w:rFonts w:ascii="Arial" w:hAnsi="Arial"/>
                                <w:b/>
                              </w:rPr>
                              <w:t>GENDER EQUALITY –</w:t>
                            </w:r>
                            <w:r w:rsidRPr="00144906">
                              <w:rPr>
                                <w:rFonts w:ascii="Arial" w:hAnsi="Arial"/>
                                <w:b/>
                              </w:rPr>
                              <w:t xml:space="preserve"> HOW QUEENSLAND IS FARING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B0075" id="_x0000_t202" coordsize="21600,21600" o:spt="202" path="m,l,21600r21600,l21600,xe">
                <v:stroke joinstyle="miter"/>
                <v:path gradientshapeok="t" o:connecttype="rect"/>
              </v:shapetype>
              <v:shape id="Text Box 2" o:spid="_x0000_s1026" type="#_x0000_t202" style="position:absolute;margin-left:129.7pt;margin-top:70.7pt;width:371pt;height:25.3pt;z-index:251659264;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vRqwIAAKMFAAAOAAAAZHJzL2Uyb0RvYy54bWysVN1P2zAQf5+0/8Hye8kHgUJFikJRp0kI&#10;0GDi2XVsGi3xebbbpEP733d2ktKxvTDtJTnf/Xy++93HxWXX1GQrjK1A5TQ5iikRikNZqeecfn1c&#10;Ts4o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dk0SaYxmjja&#10;jtPkOAnkR6+3tbHuk4CGeCGnBmsXKGXbG+swEoSOEP+YgmVV16F+tfpNgcBeI0ID9LfZDCNB0SN9&#10;TKE4L4uTaVpMT84np8VJMsmS+GxSFHE6uV4WcRFny8V5dvXTp4s+x/uRp6RPPUhuVwvvtVZfhEQq&#10;AwNeEZpYLGpDtgzbj3EulAvkhQgR7VESs3jPxQEf8gj5vedyz8j4Mii3v9xUCkzg+03Y5bcxZNnj&#10;kYyDvL3oulU3tMoKyh12ioF+0qzmywrLecOsu2cGRws7ANeFu8OPrKHNKQwSJWswP/6m93jseLRS&#10;0uKo5tR+3zAjKKk/K5yF8yTL/GyHQ4YVxYM5tKwOLWrTLADLkeBi0jyIHu/qUZQGmifcKoV/FU1M&#10;cXw7p24UF65fILiVuCiKAMJp1szdqAfNvWtfHd+sj90TM3roaIcddAvjULPZm8busf6mgmLjQFah&#10;6z3BPasD8bgJQj8OW8uvmsNzQL3u1vkvAAAA//8DAFBLAwQUAAYACAAAACEAid4+Qt0AAAAMAQAA&#10;DwAAAGRycy9kb3ducmV2LnhtbEyPwU7DMBBE70j9B2uRuFG7UYqaEKeqQFxBtAWJmxtvk4h4HcVu&#10;E/6ezQlus5qn2ZliO7lOXHEIrScNq6UCgVR521Kt4Xh4ud+ACNGQNZ0n1PCDAbbl4qYwufUjveN1&#10;H2vBIRRyo6GJsc+lDFWDzoSl75HYO/vBmcjnUEs7mJHDXScTpR6kMy3xh8b0+NRg9b2/OA0fr+ev&#10;z1S91c9u3Y9+UpJcJrW+u512jyAiTvEPhrk+V4eSO538hWwQnYZknaWMspGuWMyEUrM6scoSBbIs&#10;5P8R5S8AAAD//wMAUEsBAi0AFAAGAAgAAAAhALaDOJL+AAAA4QEAABMAAAAAAAAAAAAAAAAAAAAA&#10;AFtDb250ZW50X1R5cGVzXS54bWxQSwECLQAUAAYACAAAACEAOP0h/9YAAACUAQAACwAAAAAAAAAA&#10;AAAAAAAvAQAAX3JlbHMvLnJlbHNQSwECLQAUAAYACAAAACEAZ7Nb0asCAACjBQAADgAAAAAAAAAA&#10;AAAAAAAuAgAAZHJzL2Uyb0RvYy54bWxQSwECLQAUAAYACAAAACEAid4+Qt0AAAAMAQAADwAAAAAA&#10;AAAAAAAAAAAFBQAAZHJzL2Rvd25yZXYueG1sUEsFBgAAAAAEAAQA8wAAAA8GAAAAAA==&#10;" filled="f" stroked="f">
                <v:textbox>
                  <w:txbxContent>
                    <w:p w14:paraId="73B5E407" w14:textId="447252EE" w:rsidR="00B05A53" w:rsidRPr="00144906" w:rsidRDefault="00B05A53" w:rsidP="00456A95">
                      <w:pPr>
                        <w:rPr>
                          <w:rFonts w:ascii="Arial" w:hAnsi="Arial"/>
                          <w:b/>
                        </w:rPr>
                      </w:pPr>
                      <w:r>
                        <w:rPr>
                          <w:rFonts w:ascii="Arial" w:hAnsi="Arial"/>
                          <w:b/>
                        </w:rPr>
                        <w:t>GENDER EQUALITY –</w:t>
                      </w:r>
                      <w:r w:rsidRPr="00144906">
                        <w:rPr>
                          <w:rFonts w:ascii="Arial" w:hAnsi="Arial"/>
                          <w:b/>
                        </w:rPr>
                        <w:t xml:space="preserve"> HOW QUEENSLAND IS FARING</w:t>
                      </w:r>
                    </w:p>
                  </w:txbxContent>
                </v:textbox>
                <w10:wrap anchory="margin"/>
              </v:shape>
            </w:pict>
          </mc:Fallback>
        </mc:AlternateContent>
      </w:r>
    </w:p>
    <w:p w14:paraId="44B44F37" w14:textId="77777777" w:rsidR="00456A95" w:rsidRDefault="00456A95" w:rsidP="005256CD">
      <w:pPr>
        <w:rPr>
          <w:rFonts w:ascii="Arial" w:hAnsi="Arial"/>
          <w:sz w:val="22"/>
          <w:szCs w:val="22"/>
        </w:rPr>
      </w:pPr>
    </w:p>
    <w:p w14:paraId="544FC679" w14:textId="77777777" w:rsidR="00456A95" w:rsidRDefault="00456A95" w:rsidP="005256CD">
      <w:pPr>
        <w:rPr>
          <w:rFonts w:ascii="Arial" w:hAnsi="Arial"/>
          <w:sz w:val="22"/>
          <w:szCs w:val="22"/>
        </w:rPr>
      </w:pPr>
    </w:p>
    <w:p w14:paraId="137DF377" w14:textId="77777777" w:rsidR="00456A95" w:rsidRDefault="00456A95" w:rsidP="005256CD">
      <w:pPr>
        <w:rPr>
          <w:rFonts w:ascii="Arial" w:hAnsi="Arial"/>
          <w:sz w:val="22"/>
          <w:szCs w:val="22"/>
        </w:rPr>
      </w:pPr>
    </w:p>
    <w:p w14:paraId="61F1D819" w14:textId="77777777" w:rsidR="00456A95" w:rsidRDefault="00456A95" w:rsidP="005256CD">
      <w:pPr>
        <w:rPr>
          <w:rFonts w:ascii="Arial" w:hAnsi="Arial"/>
          <w:sz w:val="22"/>
          <w:szCs w:val="22"/>
        </w:rPr>
      </w:pPr>
    </w:p>
    <w:p w14:paraId="15FC15F2" w14:textId="54EA4A4E" w:rsidR="00456A95" w:rsidRDefault="00456A95" w:rsidP="005256CD">
      <w:pPr>
        <w:rPr>
          <w:rFonts w:ascii="Arial" w:hAnsi="Arial"/>
          <w:sz w:val="22"/>
          <w:szCs w:val="22"/>
        </w:rPr>
      </w:pPr>
    </w:p>
    <w:p w14:paraId="3B31813B" w14:textId="77777777" w:rsidR="004171E3" w:rsidRDefault="004171E3" w:rsidP="005256CD">
      <w:pPr>
        <w:rPr>
          <w:rFonts w:ascii="Arial" w:hAnsi="Arial"/>
          <w:sz w:val="22"/>
          <w:szCs w:val="22"/>
        </w:rPr>
      </w:pPr>
    </w:p>
    <w:p w14:paraId="36C2EA85" w14:textId="7F97ADFA" w:rsidR="0020125E" w:rsidRDefault="0020125E" w:rsidP="005256CD">
      <w:pPr>
        <w:rPr>
          <w:rFonts w:ascii="Arial" w:hAnsi="Arial"/>
          <w:b/>
          <w:sz w:val="22"/>
          <w:szCs w:val="22"/>
          <w:lang w:val="en-AU"/>
        </w:rPr>
        <w:sectPr w:rsidR="0020125E" w:rsidSect="00456A95">
          <w:headerReference w:type="default" r:id="rId12"/>
          <w:footerReference w:type="default" r:id="rId13"/>
          <w:headerReference w:type="first" r:id="rId14"/>
          <w:footerReference w:type="first" r:id="rId15"/>
          <w:endnotePr>
            <w:numFmt w:val="decimal"/>
          </w:endnotePr>
          <w:pgSz w:w="11900" w:h="16840"/>
          <w:pgMar w:top="1843" w:right="1127" w:bottom="1440" w:left="1276" w:header="708" w:footer="708" w:gutter="0"/>
          <w:cols w:space="708"/>
          <w:titlePg/>
          <w:docGrid w:linePitch="360"/>
        </w:sectPr>
      </w:pPr>
    </w:p>
    <w:p w14:paraId="260B0EB2" w14:textId="77777777" w:rsidR="00C85F86" w:rsidRPr="00FE79D0" w:rsidRDefault="00C85F86" w:rsidP="00C85F86">
      <w:pPr>
        <w:spacing w:before="240"/>
        <w:rPr>
          <w:rFonts w:ascii="Arial" w:hAnsi="Arial"/>
          <w:b/>
          <w:sz w:val="22"/>
          <w:szCs w:val="22"/>
          <w:lang w:val="en-AU"/>
        </w:rPr>
      </w:pPr>
      <w:r w:rsidRPr="00FE79D0">
        <w:rPr>
          <w:rFonts w:ascii="Arial" w:hAnsi="Arial"/>
          <w:b/>
          <w:sz w:val="22"/>
          <w:szCs w:val="22"/>
          <w:lang w:val="en-AU"/>
        </w:rPr>
        <w:t>Leadership</w:t>
      </w:r>
    </w:p>
    <w:p w14:paraId="113F7BD6" w14:textId="77777777" w:rsidR="00C85F86" w:rsidRPr="00FE79D0" w:rsidRDefault="00C85F86" w:rsidP="00C85F86">
      <w:pPr>
        <w:rPr>
          <w:rFonts w:ascii="Arial" w:hAnsi="Arial"/>
          <w:sz w:val="22"/>
          <w:szCs w:val="22"/>
          <w:lang w:val="en-AU"/>
        </w:rPr>
      </w:pPr>
      <w:r w:rsidRPr="00FE79D0">
        <w:rPr>
          <w:rFonts w:ascii="Arial" w:hAnsi="Arial"/>
          <w:sz w:val="22"/>
          <w:szCs w:val="22"/>
          <w:lang w:val="en-AU"/>
        </w:rPr>
        <w:t xml:space="preserve">Females comprised </w:t>
      </w:r>
    </w:p>
    <w:p w14:paraId="4B7E8AEC" w14:textId="63BDFA04" w:rsidR="00C85F86" w:rsidRPr="00550B28" w:rsidRDefault="00C85F86" w:rsidP="00C85F86">
      <w:pPr>
        <w:pStyle w:val="ListParagraph"/>
        <w:numPr>
          <w:ilvl w:val="0"/>
          <w:numId w:val="7"/>
        </w:numPr>
        <w:ind w:left="357" w:hanging="357"/>
        <w:contextualSpacing w:val="0"/>
        <w:rPr>
          <w:rFonts w:ascii="Arial" w:hAnsi="Arial"/>
          <w:sz w:val="22"/>
          <w:szCs w:val="22"/>
          <w:lang w:val="en-AU"/>
        </w:rPr>
      </w:pPr>
      <w:r>
        <w:rPr>
          <w:rFonts w:ascii="Arial" w:hAnsi="Arial"/>
          <w:sz w:val="22"/>
          <w:szCs w:val="22"/>
          <w:lang w:val="en-AU"/>
        </w:rPr>
        <w:t>50% of the Queensland Cabinet (</w:t>
      </w:r>
      <w:r w:rsidRPr="00FE79D0">
        <w:rPr>
          <w:rFonts w:ascii="Arial" w:hAnsi="Arial"/>
          <w:sz w:val="22"/>
          <w:szCs w:val="22"/>
          <w:lang w:val="en-AU"/>
        </w:rPr>
        <w:t>nine of the 18 cabinet ministers</w:t>
      </w:r>
      <w:r>
        <w:rPr>
          <w:rFonts w:ascii="Arial" w:hAnsi="Arial"/>
          <w:sz w:val="22"/>
          <w:szCs w:val="22"/>
          <w:lang w:val="en-AU"/>
        </w:rPr>
        <w:t xml:space="preserve">) including the Premier and Deputy Premier, and </w:t>
      </w:r>
      <w:r w:rsidRPr="00FE79D0">
        <w:rPr>
          <w:rFonts w:ascii="Arial" w:hAnsi="Arial"/>
          <w:sz w:val="22"/>
          <w:szCs w:val="22"/>
          <w:lang w:val="en-AU"/>
        </w:rPr>
        <w:t>32.3% (30 of 93 seats) of Queensland Parliament members, as at April 2018</w:t>
      </w:r>
      <w:r>
        <w:rPr>
          <w:rFonts w:ascii="Arial" w:hAnsi="Arial"/>
          <w:sz w:val="22"/>
          <w:szCs w:val="22"/>
          <w:lang w:val="en-AU"/>
        </w:rPr>
        <w:t>.</w:t>
      </w:r>
      <w:r w:rsidRPr="00550B28">
        <w:rPr>
          <w:rFonts w:ascii="Arial" w:hAnsi="Arial"/>
          <w:sz w:val="22"/>
          <w:szCs w:val="22"/>
          <w:vertAlign w:val="superscript"/>
          <w:lang w:val="en-AU"/>
        </w:rPr>
        <w:endnoteReference w:id="1"/>
      </w:r>
    </w:p>
    <w:p w14:paraId="50A452D4" w14:textId="77777777" w:rsidR="00C85F86" w:rsidRPr="00550B28" w:rsidRDefault="00C85F86" w:rsidP="00C85F86">
      <w:pPr>
        <w:pStyle w:val="ListParagraph"/>
        <w:numPr>
          <w:ilvl w:val="0"/>
          <w:numId w:val="7"/>
        </w:numPr>
        <w:ind w:left="357" w:hanging="357"/>
        <w:contextualSpacing w:val="0"/>
        <w:rPr>
          <w:rFonts w:ascii="Arial" w:hAnsi="Arial"/>
          <w:sz w:val="22"/>
          <w:szCs w:val="22"/>
          <w:lang w:val="en-AU"/>
        </w:rPr>
      </w:pPr>
      <w:r w:rsidRPr="00FE79D0">
        <w:rPr>
          <w:rFonts w:ascii="Arial" w:hAnsi="Arial"/>
          <w:sz w:val="22"/>
          <w:szCs w:val="22"/>
          <w:lang w:val="en-AU"/>
        </w:rPr>
        <w:t>34.9% (or 59) of all 169 serving judges and magistrates, including the Chief Justice of Queensland as at March 2018</w:t>
      </w:r>
      <w:r>
        <w:rPr>
          <w:rFonts w:ascii="Arial" w:hAnsi="Arial"/>
          <w:sz w:val="22"/>
          <w:szCs w:val="22"/>
          <w:lang w:val="en-AU"/>
        </w:rPr>
        <w:t xml:space="preserve"> </w:t>
      </w:r>
      <w:r w:rsidRPr="00FE79D0">
        <w:rPr>
          <w:rFonts w:ascii="Arial" w:hAnsi="Arial"/>
          <w:sz w:val="22"/>
          <w:szCs w:val="22"/>
          <w:lang w:val="en-AU"/>
        </w:rPr>
        <w:t>– nationally 36.6% of judges and magistrates</w:t>
      </w:r>
      <w:r>
        <w:rPr>
          <w:rFonts w:ascii="Arial" w:hAnsi="Arial"/>
          <w:sz w:val="22"/>
          <w:szCs w:val="22"/>
          <w:lang w:val="en-AU"/>
        </w:rPr>
        <w:t>.</w:t>
      </w:r>
      <w:r w:rsidRPr="00550B28">
        <w:rPr>
          <w:rFonts w:ascii="Arial" w:hAnsi="Arial"/>
          <w:sz w:val="22"/>
          <w:szCs w:val="22"/>
          <w:vertAlign w:val="superscript"/>
          <w:lang w:val="en-AU"/>
        </w:rPr>
        <w:endnoteReference w:id="2"/>
      </w:r>
      <w:r w:rsidRPr="00550B28">
        <w:rPr>
          <w:rFonts w:ascii="Arial" w:hAnsi="Arial"/>
          <w:sz w:val="22"/>
          <w:szCs w:val="22"/>
          <w:lang w:val="en-AU"/>
        </w:rPr>
        <w:t xml:space="preserve"> </w:t>
      </w:r>
    </w:p>
    <w:p w14:paraId="4B0A79B7" w14:textId="77777777" w:rsidR="00C85F86" w:rsidRPr="007B07F9" w:rsidRDefault="00C85F86" w:rsidP="00C85F86">
      <w:pPr>
        <w:pStyle w:val="ListParagraph"/>
        <w:numPr>
          <w:ilvl w:val="0"/>
          <w:numId w:val="7"/>
        </w:numPr>
        <w:ind w:left="357" w:hanging="357"/>
        <w:contextualSpacing w:val="0"/>
        <w:rPr>
          <w:rFonts w:ascii="Arial" w:hAnsi="Arial"/>
          <w:sz w:val="22"/>
          <w:szCs w:val="22"/>
          <w:lang w:val="en-AU"/>
        </w:rPr>
      </w:pPr>
      <w:r>
        <w:rPr>
          <w:rFonts w:ascii="Arial" w:hAnsi="Arial"/>
          <w:sz w:val="22"/>
          <w:szCs w:val="22"/>
          <w:lang w:val="en-AU"/>
        </w:rPr>
        <w:t>47</w:t>
      </w:r>
      <w:r w:rsidRPr="007B07F9">
        <w:rPr>
          <w:rFonts w:ascii="Arial" w:hAnsi="Arial"/>
          <w:sz w:val="22"/>
          <w:szCs w:val="22"/>
          <w:lang w:val="en-AU"/>
        </w:rPr>
        <w:t xml:space="preserve">% of all members on Queensland Government bodies as at 30 </w:t>
      </w:r>
      <w:r>
        <w:rPr>
          <w:rFonts w:ascii="Arial" w:hAnsi="Arial"/>
          <w:sz w:val="22"/>
          <w:szCs w:val="22"/>
          <w:lang w:val="en-AU"/>
        </w:rPr>
        <w:t>September</w:t>
      </w:r>
      <w:r w:rsidRPr="007B07F9">
        <w:rPr>
          <w:rFonts w:ascii="Arial" w:hAnsi="Arial"/>
          <w:sz w:val="22"/>
          <w:szCs w:val="22"/>
          <w:lang w:val="en-AU"/>
        </w:rPr>
        <w:t xml:space="preserve"> 2018.</w:t>
      </w:r>
      <w:r w:rsidRPr="007B07F9">
        <w:rPr>
          <w:rFonts w:ascii="Arial" w:hAnsi="Arial"/>
          <w:sz w:val="22"/>
          <w:szCs w:val="22"/>
          <w:vertAlign w:val="superscript"/>
          <w:lang w:val="en-AU"/>
        </w:rPr>
        <w:endnoteReference w:id="3"/>
      </w:r>
    </w:p>
    <w:p w14:paraId="6BEC2E21" w14:textId="578F5C8C" w:rsidR="00C85F86" w:rsidRPr="007D677A" w:rsidRDefault="00C85F86" w:rsidP="00C85F86">
      <w:pPr>
        <w:pStyle w:val="ListParagraph"/>
        <w:numPr>
          <w:ilvl w:val="0"/>
          <w:numId w:val="7"/>
        </w:numPr>
        <w:ind w:left="357" w:hanging="357"/>
        <w:contextualSpacing w:val="0"/>
        <w:rPr>
          <w:rFonts w:ascii="Arial" w:hAnsi="Arial"/>
          <w:sz w:val="22"/>
          <w:szCs w:val="22"/>
          <w:lang w:val="en-AU"/>
        </w:rPr>
      </w:pPr>
      <w:r>
        <w:rPr>
          <w:rFonts w:ascii="Arial" w:hAnsi="Arial"/>
          <w:sz w:val="22"/>
          <w:szCs w:val="22"/>
        </w:rPr>
        <w:t>36.9</w:t>
      </w:r>
      <w:r w:rsidRPr="000B273E">
        <w:rPr>
          <w:rFonts w:ascii="Arial" w:hAnsi="Arial"/>
          <w:sz w:val="22"/>
          <w:szCs w:val="22"/>
        </w:rPr>
        <w:t>% of Senior Executive Service officers and above</w:t>
      </w:r>
      <w:r>
        <w:rPr>
          <w:rFonts w:ascii="Arial" w:hAnsi="Arial"/>
          <w:sz w:val="22"/>
          <w:szCs w:val="22"/>
        </w:rPr>
        <w:t xml:space="preserve"> and </w:t>
      </w:r>
      <w:r w:rsidRPr="000B273E">
        <w:rPr>
          <w:rFonts w:ascii="Arial" w:hAnsi="Arial"/>
          <w:sz w:val="22"/>
          <w:szCs w:val="22"/>
        </w:rPr>
        <w:t>half (52.7%) of Senior Officers,</w:t>
      </w:r>
      <w:r>
        <w:rPr>
          <w:rFonts w:ascii="Arial" w:hAnsi="Arial"/>
          <w:sz w:val="22"/>
          <w:szCs w:val="22"/>
        </w:rPr>
        <w:t xml:space="preserve"> as well as</w:t>
      </w:r>
      <w:r w:rsidRPr="000B273E">
        <w:rPr>
          <w:rFonts w:ascii="Arial" w:hAnsi="Arial"/>
          <w:sz w:val="22"/>
          <w:szCs w:val="22"/>
        </w:rPr>
        <w:t xml:space="preserve"> two-thirds (</w:t>
      </w:r>
      <w:r>
        <w:rPr>
          <w:rFonts w:ascii="Arial" w:hAnsi="Arial"/>
          <w:sz w:val="22"/>
          <w:szCs w:val="22"/>
        </w:rPr>
        <w:t>67.1</w:t>
      </w:r>
      <w:r w:rsidRPr="000B273E">
        <w:rPr>
          <w:rFonts w:ascii="Arial" w:hAnsi="Arial"/>
          <w:sz w:val="22"/>
          <w:szCs w:val="22"/>
        </w:rPr>
        <w:t xml:space="preserve">%) of the total full-time equivalent </w:t>
      </w:r>
      <w:r w:rsidRPr="007D677A">
        <w:rPr>
          <w:rFonts w:ascii="Arial" w:hAnsi="Arial"/>
          <w:sz w:val="22"/>
          <w:szCs w:val="22"/>
        </w:rPr>
        <w:t>employmen</w:t>
      </w:r>
      <w:r>
        <w:rPr>
          <w:rFonts w:ascii="Arial" w:hAnsi="Arial"/>
          <w:sz w:val="22"/>
          <w:szCs w:val="22"/>
        </w:rPr>
        <w:t>t</w:t>
      </w:r>
      <w:r w:rsidRPr="00C85F86">
        <w:rPr>
          <w:rFonts w:ascii="Arial" w:hAnsi="Arial"/>
          <w:sz w:val="22"/>
          <w:szCs w:val="22"/>
        </w:rPr>
        <w:t xml:space="preserve"> </w:t>
      </w:r>
      <w:r>
        <w:rPr>
          <w:rFonts w:ascii="Arial" w:hAnsi="Arial"/>
          <w:sz w:val="22"/>
          <w:szCs w:val="22"/>
        </w:rPr>
        <w:t>in the Queensland Public Sector in June quarter 2018.</w:t>
      </w:r>
      <w:r w:rsidRPr="007D677A">
        <w:rPr>
          <w:rFonts w:ascii="Arial" w:hAnsi="Arial"/>
          <w:sz w:val="22"/>
          <w:szCs w:val="22"/>
          <w:vertAlign w:val="superscript"/>
          <w:lang w:val="en-AU"/>
        </w:rPr>
        <w:endnoteReference w:id="4"/>
      </w:r>
    </w:p>
    <w:p w14:paraId="517EAD79" w14:textId="5EB2A139" w:rsidR="00C85F86" w:rsidRPr="00C85F86" w:rsidRDefault="00C85F86" w:rsidP="00C85F86">
      <w:pPr>
        <w:pStyle w:val="ListParagraph"/>
        <w:numPr>
          <w:ilvl w:val="0"/>
          <w:numId w:val="7"/>
        </w:numPr>
        <w:rPr>
          <w:rFonts w:ascii="Arial" w:hAnsi="Arial"/>
          <w:sz w:val="22"/>
          <w:szCs w:val="22"/>
          <w:lang w:val="en-AU"/>
        </w:rPr>
      </w:pPr>
      <w:r w:rsidRPr="00C85F86">
        <w:rPr>
          <w:rFonts w:ascii="Arial" w:hAnsi="Arial"/>
          <w:sz w:val="22"/>
          <w:szCs w:val="22"/>
          <w:lang w:val="en-AU"/>
        </w:rPr>
        <w:t>1,845 females were employed as chief executives and managing directors, accounting for 22.8% of the total 8,084 chief executives and managing directors in Queensland during 2017-18</w:t>
      </w:r>
      <w:r w:rsidRPr="007D677A">
        <w:rPr>
          <w:vertAlign w:val="superscript"/>
          <w:lang w:val="en-AU"/>
        </w:rPr>
        <w:endnoteReference w:id="5"/>
      </w:r>
      <w:r w:rsidRPr="00C85F86">
        <w:rPr>
          <w:rFonts w:ascii="Arial" w:hAnsi="Arial"/>
          <w:sz w:val="22"/>
          <w:szCs w:val="22"/>
          <w:lang w:val="en-AU"/>
        </w:rPr>
        <w:t xml:space="preserve"> </w:t>
      </w:r>
      <w:r w:rsidRPr="007D677A">
        <w:rPr>
          <w:vertAlign w:val="superscript"/>
          <w:lang w:val="en-AU"/>
        </w:rPr>
        <w:endnoteReference w:id="6"/>
      </w:r>
      <w:r w:rsidRPr="00C85F86">
        <w:rPr>
          <w:rFonts w:ascii="Arial" w:hAnsi="Arial"/>
          <w:sz w:val="22"/>
          <w:szCs w:val="22"/>
          <w:lang w:val="en-AU"/>
        </w:rPr>
        <w:t xml:space="preserve"> – nationally 25.9% (or 13,869).</w:t>
      </w:r>
      <w:r w:rsidRPr="007D677A">
        <w:rPr>
          <w:vertAlign w:val="superscript"/>
          <w:lang w:val="en-AU"/>
        </w:rPr>
        <w:endnoteReference w:id="7"/>
      </w:r>
      <w:r w:rsidRPr="00C85F86">
        <w:rPr>
          <w:rFonts w:ascii="Arial" w:hAnsi="Arial"/>
          <w:sz w:val="22"/>
          <w:szCs w:val="22"/>
          <w:lang w:val="en-AU"/>
        </w:rPr>
        <w:t xml:space="preserve"> </w:t>
      </w:r>
      <w:r w:rsidRPr="007D677A">
        <w:rPr>
          <w:vertAlign w:val="superscript"/>
          <w:lang w:val="en-AU"/>
        </w:rPr>
        <w:endnoteReference w:id="8"/>
      </w:r>
    </w:p>
    <w:p w14:paraId="0C94EE93" w14:textId="56B83F78" w:rsidR="00C85F86" w:rsidRDefault="00C85F86" w:rsidP="00C85F86">
      <w:pPr>
        <w:spacing w:before="240"/>
        <w:rPr>
          <w:rFonts w:ascii="Arial" w:hAnsi="Arial"/>
          <w:sz w:val="22"/>
          <w:szCs w:val="22"/>
          <w:lang w:val="en-AU"/>
        </w:rPr>
      </w:pPr>
      <w:r w:rsidRPr="00FE79D0">
        <w:rPr>
          <w:rFonts w:ascii="Arial" w:hAnsi="Arial"/>
          <w:b/>
          <w:sz w:val="22"/>
          <w:szCs w:val="22"/>
          <w:lang w:val="en-AU"/>
        </w:rPr>
        <w:t>Social and community participation</w:t>
      </w:r>
    </w:p>
    <w:p w14:paraId="21BD3C76" w14:textId="77777777" w:rsidR="00C85F86" w:rsidRPr="00550B28" w:rsidRDefault="00C85F86" w:rsidP="00C85F86">
      <w:pPr>
        <w:rPr>
          <w:rFonts w:ascii="Arial" w:hAnsi="Arial"/>
          <w:sz w:val="22"/>
          <w:szCs w:val="22"/>
          <w:lang w:val="en-AU"/>
        </w:rPr>
      </w:pPr>
      <w:r w:rsidRPr="00FE79D0">
        <w:rPr>
          <w:rFonts w:ascii="Arial" w:hAnsi="Arial"/>
          <w:sz w:val="22"/>
          <w:szCs w:val="22"/>
          <w:lang w:val="en-AU"/>
        </w:rPr>
        <w:t xml:space="preserve">Females accounted for 56.3% of Queenslanders who did voluntary work in 2014, with 29.9% of </w:t>
      </w:r>
      <w:r>
        <w:rPr>
          <w:rFonts w:ascii="Arial" w:hAnsi="Arial"/>
          <w:sz w:val="22"/>
          <w:szCs w:val="22"/>
          <w:lang w:val="en-AU"/>
        </w:rPr>
        <w:t>females</w:t>
      </w:r>
      <w:r w:rsidRPr="00FE79D0">
        <w:rPr>
          <w:rFonts w:ascii="Arial" w:hAnsi="Arial"/>
          <w:sz w:val="22"/>
          <w:szCs w:val="22"/>
          <w:lang w:val="en-AU"/>
        </w:rPr>
        <w:t xml:space="preserve"> reporting engaging in voluntary work for an organisation or group in the previous 12 months, compared with 23.8% of </w:t>
      </w:r>
      <w:r>
        <w:rPr>
          <w:rFonts w:ascii="Arial" w:hAnsi="Arial"/>
          <w:sz w:val="22"/>
          <w:szCs w:val="22"/>
          <w:lang w:val="en-AU"/>
        </w:rPr>
        <w:t>males</w:t>
      </w:r>
      <w:r w:rsidRPr="00FE79D0">
        <w:rPr>
          <w:rFonts w:ascii="Arial" w:hAnsi="Arial"/>
          <w:sz w:val="22"/>
          <w:szCs w:val="22"/>
          <w:lang w:val="en-AU"/>
        </w:rPr>
        <w:t>.</w:t>
      </w:r>
      <w:r w:rsidRPr="00FA3E41">
        <w:rPr>
          <w:rFonts w:ascii="Arial" w:hAnsi="Arial" w:cs="Arial"/>
          <w:sz w:val="22"/>
          <w:vertAlign w:val="superscript"/>
          <w:lang w:val="en-AU"/>
        </w:rPr>
        <w:endnoteReference w:id="9"/>
      </w:r>
    </w:p>
    <w:p w14:paraId="049CDE75" w14:textId="73C551C8" w:rsidR="00C85F86" w:rsidRPr="00C85F86" w:rsidRDefault="00C85F86" w:rsidP="00C85F86">
      <w:pPr>
        <w:rPr>
          <w:rFonts w:ascii="Arial" w:hAnsi="Arial"/>
          <w:sz w:val="22"/>
          <w:szCs w:val="22"/>
          <w:lang w:val="en-AU"/>
        </w:rPr>
      </w:pPr>
      <w:r w:rsidRPr="00FE79D0">
        <w:rPr>
          <w:rFonts w:ascii="Arial" w:hAnsi="Arial"/>
          <w:sz w:val="22"/>
          <w:szCs w:val="22"/>
          <w:lang w:val="en-AU"/>
        </w:rPr>
        <w:t xml:space="preserve">33.7% of females, compared with 27.4% of males, were involved in community support groups such as service clubs, welfare </w:t>
      </w:r>
      <w:r w:rsidRPr="00FE79D0">
        <w:rPr>
          <w:rFonts w:ascii="Arial" w:hAnsi="Arial"/>
          <w:sz w:val="22"/>
          <w:szCs w:val="22"/>
          <w:lang w:val="en-AU"/>
        </w:rPr>
        <w:t>organisations, parenting/children/youth, and emergency services.</w:t>
      </w:r>
      <w:r w:rsidRPr="00FA3E41">
        <w:rPr>
          <w:rFonts w:ascii="Arial" w:hAnsi="Arial" w:cs="Arial"/>
          <w:sz w:val="22"/>
          <w:vertAlign w:val="superscript"/>
          <w:lang w:val="en-AU"/>
        </w:rPr>
        <w:endnoteReference w:id="10"/>
      </w:r>
    </w:p>
    <w:p w14:paraId="6EABB612" w14:textId="0A7F68F6" w:rsidR="00457AE0" w:rsidRPr="00FE79D0" w:rsidRDefault="00144906" w:rsidP="005256CD">
      <w:pPr>
        <w:rPr>
          <w:rFonts w:ascii="Arial" w:hAnsi="Arial"/>
          <w:b/>
          <w:sz w:val="22"/>
          <w:szCs w:val="22"/>
          <w:lang w:val="en-AU"/>
        </w:rPr>
      </w:pPr>
      <w:r w:rsidRPr="00FE79D0">
        <w:rPr>
          <w:rFonts w:ascii="Arial" w:hAnsi="Arial"/>
          <w:b/>
          <w:sz w:val="22"/>
          <w:szCs w:val="22"/>
          <w:lang w:val="en-AU"/>
        </w:rPr>
        <w:t>Workforce participation</w:t>
      </w:r>
    </w:p>
    <w:p w14:paraId="4C74D4DD" w14:textId="5E29BB00" w:rsidR="00144906" w:rsidRPr="00550B28" w:rsidRDefault="007A5EEB" w:rsidP="005256CD">
      <w:pPr>
        <w:rPr>
          <w:rFonts w:ascii="Arial" w:hAnsi="Arial"/>
          <w:sz w:val="22"/>
          <w:szCs w:val="22"/>
          <w:lang w:val="en-AU"/>
        </w:rPr>
      </w:pPr>
      <w:r w:rsidRPr="00FE79D0">
        <w:rPr>
          <w:rFonts w:ascii="Arial" w:hAnsi="Arial"/>
          <w:sz w:val="22"/>
          <w:szCs w:val="22"/>
          <w:lang w:val="en-AU"/>
        </w:rPr>
        <w:t xml:space="preserve">More than </w:t>
      </w:r>
      <w:r w:rsidR="00C85F86">
        <w:rPr>
          <w:rFonts w:ascii="Arial" w:hAnsi="Arial"/>
          <w:sz w:val="22"/>
          <w:szCs w:val="22"/>
          <w:lang w:val="en-AU"/>
        </w:rPr>
        <w:t>half (</w:t>
      </w:r>
      <w:r w:rsidRPr="00FE79D0">
        <w:rPr>
          <w:rFonts w:ascii="Arial" w:hAnsi="Arial"/>
          <w:sz w:val="22"/>
          <w:szCs w:val="22"/>
          <w:lang w:val="en-AU"/>
        </w:rPr>
        <w:t>t</w:t>
      </w:r>
      <w:r w:rsidR="00227000" w:rsidRPr="00FE79D0">
        <w:rPr>
          <w:rFonts w:ascii="Arial" w:hAnsi="Arial"/>
          <w:sz w:val="22"/>
          <w:szCs w:val="22"/>
          <w:lang w:val="en-AU"/>
        </w:rPr>
        <w:t>hree in five</w:t>
      </w:r>
      <w:r w:rsidR="00C85F86">
        <w:rPr>
          <w:rFonts w:ascii="Arial" w:hAnsi="Arial"/>
          <w:sz w:val="22"/>
          <w:szCs w:val="22"/>
          <w:lang w:val="en-AU"/>
        </w:rPr>
        <w:t>)</w:t>
      </w:r>
      <w:r w:rsidR="00227000" w:rsidRPr="00FE79D0">
        <w:rPr>
          <w:rFonts w:ascii="Arial" w:hAnsi="Arial"/>
          <w:sz w:val="22"/>
          <w:szCs w:val="22"/>
          <w:lang w:val="en-AU"/>
        </w:rPr>
        <w:t xml:space="preserve"> </w:t>
      </w:r>
      <w:r w:rsidRPr="00FE79D0">
        <w:rPr>
          <w:rFonts w:ascii="Arial" w:hAnsi="Arial"/>
          <w:sz w:val="22"/>
          <w:szCs w:val="22"/>
          <w:lang w:val="en-AU"/>
        </w:rPr>
        <w:t xml:space="preserve">females were either employed or looking for work in </w:t>
      </w:r>
      <w:r w:rsidR="00D20A66">
        <w:rPr>
          <w:rFonts w:ascii="Arial" w:hAnsi="Arial"/>
          <w:sz w:val="22"/>
          <w:szCs w:val="22"/>
          <w:lang w:val="en-AU"/>
        </w:rPr>
        <w:t>October</w:t>
      </w:r>
      <w:r w:rsidR="00D20A66" w:rsidRPr="00FE79D0">
        <w:rPr>
          <w:rFonts w:ascii="Arial" w:hAnsi="Arial"/>
          <w:sz w:val="22"/>
          <w:szCs w:val="22"/>
          <w:lang w:val="en-AU"/>
        </w:rPr>
        <w:t xml:space="preserve"> </w:t>
      </w:r>
      <w:r w:rsidRPr="00FE79D0">
        <w:rPr>
          <w:rFonts w:ascii="Arial" w:hAnsi="Arial"/>
          <w:sz w:val="22"/>
          <w:szCs w:val="22"/>
          <w:lang w:val="en-AU"/>
        </w:rPr>
        <w:t>2018</w:t>
      </w:r>
      <w:r w:rsidR="00144906" w:rsidRPr="00FE79D0">
        <w:rPr>
          <w:rFonts w:ascii="Arial" w:hAnsi="Arial"/>
          <w:sz w:val="22"/>
          <w:szCs w:val="22"/>
          <w:lang w:val="en-AU"/>
        </w:rPr>
        <w:t xml:space="preserve">, </w:t>
      </w:r>
      <w:r w:rsidR="00F44965">
        <w:rPr>
          <w:rFonts w:ascii="Arial" w:hAnsi="Arial"/>
          <w:sz w:val="22"/>
          <w:szCs w:val="22"/>
          <w:lang w:val="en-AU"/>
        </w:rPr>
        <w:t>with a</w:t>
      </w:r>
      <w:r w:rsidR="00144906" w:rsidRPr="00FE79D0">
        <w:rPr>
          <w:rFonts w:ascii="Arial" w:hAnsi="Arial"/>
          <w:sz w:val="22"/>
          <w:szCs w:val="22"/>
          <w:lang w:val="en-AU"/>
        </w:rPr>
        <w:t xml:space="preserve"> trend labour force participation rate</w:t>
      </w:r>
      <w:r w:rsidR="00144906" w:rsidRPr="00550B28">
        <w:rPr>
          <w:rFonts w:ascii="Arial" w:hAnsi="Arial"/>
          <w:sz w:val="22"/>
          <w:szCs w:val="22"/>
          <w:vertAlign w:val="superscript"/>
          <w:lang w:val="en-AU"/>
        </w:rPr>
        <w:endnoteReference w:id="11"/>
      </w:r>
      <w:r w:rsidR="00144906" w:rsidRPr="00550B28">
        <w:rPr>
          <w:rFonts w:ascii="Arial" w:hAnsi="Arial"/>
          <w:sz w:val="22"/>
          <w:szCs w:val="22"/>
          <w:lang w:val="en-AU"/>
        </w:rPr>
        <w:t xml:space="preserve"> of</w:t>
      </w:r>
      <w:r w:rsidR="0040737F" w:rsidRPr="00550B28">
        <w:rPr>
          <w:rFonts w:ascii="Arial" w:hAnsi="Arial"/>
          <w:sz w:val="22"/>
          <w:szCs w:val="22"/>
          <w:lang w:val="en-AU"/>
        </w:rPr>
        <w:t xml:space="preserve"> </w:t>
      </w:r>
      <w:r w:rsidR="00D20A66">
        <w:rPr>
          <w:rFonts w:ascii="Arial" w:hAnsi="Arial"/>
          <w:sz w:val="22"/>
          <w:szCs w:val="22"/>
          <w:lang w:val="en-AU"/>
        </w:rPr>
        <w:t>61.0</w:t>
      </w:r>
      <w:r w:rsidRPr="00550B28">
        <w:rPr>
          <w:rFonts w:ascii="Arial" w:hAnsi="Arial"/>
          <w:sz w:val="22"/>
          <w:szCs w:val="22"/>
          <w:lang w:val="en-AU"/>
        </w:rPr>
        <w:t xml:space="preserve">% for females, compared with </w:t>
      </w:r>
      <w:r w:rsidR="00D20A66">
        <w:rPr>
          <w:rFonts w:ascii="Arial" w:hAnsi="Arial"/>
          <w:sz w:val="22"/>
          <w:szCs w:val="22"/>
          <w:lang w:val="en-AU"/>
        </w:rPr>
        <w:t>70.5</w:t>
      </w:r>
      <w:r w:rsidRPr="00550B28">
        <w:rPr>
          <w:rFonts w:ascii="Arial" w:hAnsi="Arial"/>
          <w:sz w:val="22"/>
          <w:szCs w:val="22"/>
          <w:lang w:val="en-AU"/>
        </w:rPr>
        <w:t>%</w:t>
      </w:r>
      <w:r w:rsidR="00227000" w:rsidRPr="00FE79D0">
        <w:rPr>
          <w:rFonts w:ascii="Arial" w:hAnsi="Arial"/>
          <w:sz w:val="22"/>
          <w:szCs w:val="22"/>
          <w:lang w:val="en-AU"/>
        </w:rPr>
        <w:t xml:space="preserve"> for male</w:t>
      </w:r>
      <w:r w:rsidR="00144906" w:rsidRPr="00FE79D0">
        <w:rPr>
          <w:rFonts w:ascii="Arial" w:hAnsi="Arial"/>
          <w:sz w:val="22"/>
          <w:szCs w:val="22"/>
          <w:lang w:val="en-AU"/>
        </w:rPr>
        <w:t>s</w:t>
      </w:r>
      <w:r w:rsidR="00144906" w:rsidRPr="00550B28">
        <w:rPr>
          <w:rFonts w:ascii="Arial" w:hAnsi="Arial"/>
          <w:sz w:val="22"/>
          <w:szCs w:val="22"/>
          <w:vertAlign w:val="superscript"/>
          <w:lang w:val="en-AU"/>
        </w:rPr>
        <w:endnoteReference w:id="12"/>
      </w:r>
      <w:r w:rsidR="00144906" w:rsidRPr="00550B28">
        <w:rPr>
          <w:rFonts w:ascii="Arial" w:hAnsi="Arial"/>
          <w:sz w:val="22"/>
          <w:szCs w:val="22"/>
          <w:lang w:val="en-AU"/>
        </w:rPr>
        <w:t xml:space="preserve"> </w:t>
      </w:r>
      <w:r w:rsidR="00036F45">
        <w:rPr>
          <w:rFonts w:ascii="Arial" w:hAnsi="Arial"/>
          <w:sz w:val="22"/>
          <w:szCs w:val="22"/>
          <w:lang w:val="en-AU"/>
        </w:rPr>
        <w:t>–</w:t>
      </w:r>
      <w:r w:rsidR="00144906" w:rsidRPr="00550B28">
        <w:rPr>
          <w:rFonts w:ascii="Arial" w:hAnsi="Arial"/>
          <w:sz w:val="22"/>
          <w:szCs w:val="22"/>
          <w:lang w:val="en-AU"/>
        </w:rPr>
        <w:t xml:space="preserve"> nationally </w:t>
      </w:r>
      <w:r w:rsidR="00D20A66">
        <w:rPr>
          <w:rFonts w:ascii="Arial" w:hAnsi="Arial"/>
          <w:sz w:val="22"/>
          <w:szCs w:val="22"/>
          <w:lang w:val="en-AU"/>
        </w:rPr>
        <w:t>60.4</w:t>
      </w:r>
      <w:r w:rsidRPr="00550B28">
        <w:rPr>
          <w:rFonts w:ascii="Arial" w:hAnsi="Arial"/>
          <w:sz w:val="22"/>
          <w:szCs w:val="22"/>
          <w:lang w:val="en-AU"/>
        </w:rPr>
        <w:t xml:space="preserve">% for females and </w:t>
      </w:r>
      <w:r w:rsidR="00D20A66">
        <w:rPr>
          <w:rFonts w:ascii="Arial" w:hAnsi="Arial"/>
          <w:sz w:val="22"/>
          <w:szCs w:val="22"/>
          <w:lang w:val="en-AU"/>
        </w:rPr>
        <w:t>71.0</w:t>
      </w:r>
      <w:r w:rsidRPr="00550B28">
        <w:rPr>
          <w:rFonts w:ascii="Arial" w:hAnsi="Arial"/>
          <w:sz w:val="22"/>
          <w:szCs w:val="22"/>
          <w:lang w:val="en-AU"/>
        </w:rPr>
        <w:t>%</w:t>
      </w:r>
      <w:r w:rsidR="00144906" w:rsidRPr="00550B28">
        <w:rPr>
          <w:rFonts w:ascii="Arial" w:hAnsi="Arial"/>
          <w:sz w:val="22"/>
          <w:szCs w:val="22"/>
          <w:lang w:val="en-AU"/>
        </w:rPr>
        <w:t xml:space="preserve"> for males.</w:t>
      </w:r>
      <w:r w:rsidR="00F44965" w:rsidRPr="00550B28">
        <w:rPr>
          <w:rFonts w:ascii="Arial" w:hAnsi="Arial"/>
          <w:sz w:val="22"/>
          <w:szCs w:val="22"/>
          <w:vertAlign w:val="superscript"/>
          <w:lang w:val="en-AU"/>
        </w:rPr>
        <w:endnoteReference w:id="13"/>
      </w:r>
      <w:r w:rsidR="00144906" w:rsidRPr="00550B28">
        <w:rPr>
          <w:rFonts w:ascii="Arial" w:hAnsi="Arial"/>
          <w:sz w:val="22"/>
          <w:szCs w:val="22"/>
          <w:lang w:val="en-AU"/>
        </w:rPr>
        <w:t xml:space="preserve"> </w:t>
      </w:r>
    </w:p>
    <w:p w14:paraId="71D27397" w14:textId="479A0C28" w:rsidR="00864E54" w:rsidRDefault="00E43A74" w:rsidP="008E08E2">
      <w:pPr>
        <w:spacing w:after="240"/>
        <w:rPr>
          <w:rFonts w:ascii="Arial" w:hAnsi="Arial"/>
          <w:sz w:val="22"/>
          <w:szCs w:val="22"/>
          <w:lang w:val="en-AU"/>
        </w:rPr>
      </w:pPr>
      <w:r w:rsidRPr="00550B28">
        <w:rPr>
          <w:rFonts w:ascii="Arial" w:hAnsi="Arial"/>
          <w:sz w:val="22"/>
          <w:szCs w:val="22"/>
          <w:lang w:val="en-AU"/>
        </w:rPr>
        <w:t xml:space="preserve">Females constituted </w:t>
      </w:r>
      <w:r w:rsidR="00E7236B">
        <w:rPr>
          <w:rFonts w:ascii="Arial" w:hAnsi="Arial"/>
          <w:sz w:val="22"/>
          <w:szCs w:val="22"/>
          <w:lang w:val="en-AU"/>
        </w:rPr>
        <w:t>47.5</w:t>
      </w:r>
      <w:r w:rsidR="007A5EEB" w:rsidRPr="00FE79D0">
        <w:rPr>
          <w:rFonts w:ascii="Arial" w:hAnsi="Arial"/>
          <w:sz w:val="22"/>
          <w:szCs w:val="22"/>
          <w:lang w:val="en-AU"/>
        </w:rPr>
        <w:t xml:space="preserve">% of </w:t>
      </w:r>
      <w:r w:rsidR="006D05D3">
        <w:rPr>
          <w:rFonts w:ascii="Arial" w:hAnsi="Arial"/>
          <w:sz w:val="22"/>
          <w:szCs w:val="22"/>
          <w:lang w:val="en-AU"/>
        </w:rPr>
        <w:t>total employed persons</w:t>
      </w:r>
      <w:r w:rsidR="007A5EEB" w:rsidRPr="00FE79D0">
        <w:rPr>
          <w:rFonts w:ascii="Arial" w:hAnsi="Arial"/>
          <w:sz w:val="22"/>
          <w:szCs w:val="22"/>
          <w:lang w:val="en-AU"/>
        </w:rPr>
        <w:t xml:space="preserve"> in </w:t>
      </w:r>
      <w:r w:rsidR="00E7236B">
        <w:rPr>
          <w:rFonts w:ascii="Arial" w:hAnsi="Arial"/>
          <w:sz w:val="22"/>
          <w:szCs w:val="22"/>
          <w:lang w:val="en-AU"/>
        </w:rPr>
        <w:t>October</w:t>
      </w:r>
      <w:r w:rsidR="00E7236B" w:rsidRPr="00FE79D0">
        <w:rPr>
          <w:rFonts w:ascii="Arial" w:hAnsi="Arial"/>
          <w:sz w:val="22"/>
          <w:szCs w:val="22"/>
          <w:lang w:val="en-AU"/>
        </w:rPr>
        <w:t xml:space="preserve"> </w:t>
      </w:r>
      <w:r w:rsidR="007A5EEB" w:rsidRPr="00FE79D0">
        <w:rPr>
          <w:rFonts w:ascii="Arial" w:hAnsi="Arial"/>
          <w:sz w:val="22"/>
          <w:szCs w:val="22"/>
          <w:lang w:val="en-AU"/>
        </w:rPr>
        <w:t>2018. As a p</w:t>
      </w:r>
      <w:r w:rsidR="006D05D3">
        <w:rPr>
          <w:rFonts w:ascii="Arial" w:hAnsi="Arial"/>
          <w:sz w:val="22"/>
          <w:szCs w:val="22"/>
          <w:lang w:val="en-AU"/>
        </w:rPr>
        <w:t xml:space="preserve">roportion of all employed persons, </w:t>
      </w:r>
      <w:r w:rsidR="00E7236B">
        <w:rPr>
          <w:rFonts w:ascii="Arial" w:hAnsi="Arial"/>
          <w:sz w:val="22"/>
          <w:szCs w:val="22"/>
          <w:lang w:val="en-AU"/>
        </w:rPr>
        <w:t>26.1</w:t>
      </w:r>
      <w:r w:rsidR="007A5EEB" w:rsidRPr="00FE79D0">
        <w:rPr>
          <w:rFonts w:ascii="Arial" w:hAnsi="Arial"/>
          <w:sz w:val="22"/>
          <w:szCs w:val="22"/>
          <w:lang w:val="en-AU"/>
        </w:rPr>
        <w:t xml:space="preserve">% were </w:t>
      </w:r>
      <w:r w:rsidR="008578FD">
        <w:rPr>
          <w:rFonts w:ascii="Arial" w:hAnsi="Arial"/>
          <w:sz w:val="22"/>
          <w:szCs w:val="22"/>
          <w:lang w:val="en-AU"/>
        </w:rPr>
        <w:t>females</w:t>
      </w:r>
      <w:r w:rsidR="007A5EEB" w:rsidRPr="00864E54">
        <w:rPr>
          <w:rFonts w:ascii="Arial" w:hAnsi="Arial"/>
          <w:sz w:val="22"/>
          <w:szCs w:val="22"/>
          <w:lang w:val="en-AU"/>
        </w:rPr>
        <w:t xml:space="preserve"> working full-time and </w:t>
      </w:r>
      <w:r w:rsidR="00E7236B">
        <w:rPr>
          <w:rFonts w:ascii="Arial" w:hAnsi="Arial"/>
          <w:sz w:val="22"/>
          <w:szCs w:val="22"/>
          <w:lang w:val="en-AU"/>
        </w:rPr>
        <w:t>21.4</w:t>
      </w:r>
      <w:r w:rsidR="007A5EEB" w:rsidRPr="00864E54">
        <w:rPr>
          <w:rFonts w:ascii="Arial" w:hAnsi="Arial"/>
          <w:sz w:val="22"/>
          <w:szCs w:val="22"/>
          <w:lang w:val="en-AU"/>
        </w:rPr>
        <w:t>%</w:t>
      </w:r>
      <w:r w:rsidR="00227000" w:rsidRPr="00550B28">
        <w:rPr>
          <w:rFonts w:ascii="Arial" w:hAnsi="Arial"/>
          <w:sz w:val="22"/>
          <w:szCs w:val="22"/>
          <w:lang w:val="en-AU"/>
        </w:rPr>
        <w:t xml:space="preserve"> were </w:t>
      </w:r>
      <w:r w:rsidR="008578FD">
        <w:rPr>
          <w:rFonts w:ascii="Arial" w:hAnsi="Arial"/>
          <w:sz w:val="22"/>
          <w:szCs w:val="22"/>
          <w:lang w:val="en-AU"/>
        </w:rPr>
        <w:t>females</w:t>
      </w:r>
      <w:r w:rsidR="00227000" w:rsidRPr="00550B28">
        <w:rPr>
          <w:rFonts w:ascii="Arial" w:hAnsi="Arial"/>
          <w:sz w:val="22"/>
          <w:szCs w:val="22"/>
          <w:lang w:val="en-AU"/>
        </w:rPr>
        <w:t xml:space="preserve"> working part-time</w:t>
      </w:r>
      <w:r w:rsidR="00144906" w:rsidRPr="00550B28">
        <w:rPr>
          <w:rFonts w:ascii="Arial" w:hAnsi="Arial"/>
          <w:sz w:val="22"/>
          <w:szCs w:val="22"/>
          <w:lang w:val="en-AU"/>
        </w:rPr>
        <w:t>.</w:t>
      </w:r>
      <w:r w:rsidR="00C52ED0" w:rsidRPr="00550B28">
        <w:rPr>
          <w:rFonts w:ascii="Arial" w:hAnsi="Arial"/>
          <w:sz w:val="22"/>
          <w:szCs w:val="22"/>
          <w:vertAlign w:val="superscript"/>
          <w:lang w:val="en-AU"/>
        </w:rPr>
        <w:endnoteReference w:id="14"/>
      </w:r>
      <w:r w:rsidR="00C52ED0" w:rsidRPr="00550B28">
        <w:rPr>
          <w:rFonts w:ascii="Arial" w:hAnsi="Arial"/>
          <w:sz w:val="22"/>
          <w:szCs w:val="22"/>
          <w:vertAlign w:val="superscript"/>
          <w:lang w:val="en-AU"/>
        </w:rPr>
        <w:t xml:space="preserve"> </w:t>
      </w:r>
      <w:r w:rsidR="00144906" w:rsidRPr="00550B28">
        <w:rPr>
          <w:rFonts w:ascii="Arial" w:hAnsi="Arial"/>
          <w:sz w:val="22"/>
          <w:szCs w:val="22"/>
          <w:vertAlign w:val="superscript"/>
          <w:lang w:val="en-AU"/>
        </w:rPr>
        <w:endnoteReference w:id="15"/>
      </w:r>
      <w:r w:rsidR="00144906" w:rsidRPr="00550B28">
        <w:rPr>
          <w:rFonts w:ascii="Arial" w:hAnsi="Arial"/>
          <w:sz w:val="22"/>
          <w:szCs w:val="22"/>
          <w:lang w:val="en-AU"/>
        </w:rPr>
        <w:t xml:space="preserve"> </w:t>
      </w:r>
    </w:p>
    <w:p w14:paraId="2149571B" w14:textId="77777777" w:rsidR="00C85F86" w:rsidRPr="00D60F52" w:rsidRDefault="00C85F86" w:rsidP="00C85F86">
      <w:pPr>
        <w:rPr>
          <w:rFonts w:ascii="Arial" w:hAnsi="Arial"/>
          <w:sz w:val="22"/>
          <w:szCs w:val="22"/>
          <w:lang w:val="en-AU"/>
        </w:rPr>
      </w:pPr>
      <w:r w:rsidRPr="00D60F52">
        <w:rPr>
          <w:rFonts w:ascii="Arial" w:hAnsi="Arial"/>
          <w:sz w:val="22"/>
          <w:szCs w:val="22"/>
          <w:lang w:val="en-AU"/>
        </w:rPr>
        <w:t>Aboriginal and Torres Strait Islander females were less likely than their male counterparts to be unemployed with an unemployment rate of 19.0%, compared with 21.1% in 2016</w:t>
      </w:r>
      <w:r w:rsidRPr="00D60F52">
        <w:rPr>
          <w:rFonts w:ascii="Arial" w:hAnsi="Arial"/>
          <w:sz w:val="22"/>
          <w:szCs w:val="22"/>
          <w:vertAlign w:val="superscript"/>
          <w:lang w:val="en-AU"/>
        </w:rPr>
        <w:endnoteReference w:id="16"/>
      </w:r>
      <w:r w:rsidRPr="00D60F52">
        <w:rPr>
          <w:rFonts w:ascii="Arial" w:hAnsi="Arial"/>
          <w:sz w:val="22"/>
          <w:szCs w:val="22"/>
          <w:lang w:val="en-AU"/>
        </w:rPr>
        <w:t xml:space="preserve"> – nationally 16.9% and 19.4%.</w:t>
      </w:r>
      <w:r w:rsidRPr="00D60F52">
        <w:rPr>
          <w:rFonts w:ascii="Arial" w:hAnsi="Arial"/>
          <w:sz w:val="22"/>
          <w:szCs w:val="22"/>
          <w:vertAlign w:val="superscript"/>
          <w:lang w:val="en-AU"/>
        </w:rPr>
        <w:endnoteReference w:id="17"/>
      </w:r>
      <w:r w:rsidRPr="00D60F52">
        <w:rPr>
          <w:rFonts w:ascii="Arial" w:hAnsi="Arial"/>
          <w:sz w:val="22"/>
          <w:szCs w:val="22"/>
          <w:lang w:val="en-AU"/>
        </w:rPr>
        <w:t xml:space="preserve"> </w:t>
      </w:r>
    </w:p>
    <w:p w14:paraId="159F732A" w14:textId="77777777" w:rsidR="00C85F86" w:rsidRDefault="00C85F86" w:rsidP="00C85F86">
      <w:pPr>
        <w:rPr>
          <w:rFonts w:ascii="Arial" w:hAnsi="Arial"/>
          <w:sz w:val="22"/>
          <w:szCs w:val="22"/>
        </w:rPr>
      </w:pPr>
      <w:r w:rsidRPr="00D60F52">
        <w:rPr>
          <w:rFonts w:ascii="Arial" w:hAnsi="Arial"/>
          <w:sz w:val="22"/>
          <w:szCs w:val="22"/>
        </w:rPr>
        <w:t>Females with a disability had a slightly lower unemployment rate (11.6%) than males with a disability (12.3%) in 2015.</w:t>
      </w:r>
      <w:r w:rsidRPr="00D60F52">
        <w:rPr>
          <w:rFonts w:ascii="Arial" w:hAnsi="Arial"/>
          <w:sz w:val="22"/>
          <w:szCs w:val="22"/>
          <w:vertAlign w:val="superscript"/>
        </w:rPr>
        <w:endnoteReference w:id="18"/>
      </w:r>
    </w:p>
    <w:p w14:paraId="75ABA424" w14:textId="77777777" w:rsidR="00296A7B" w:rsidRDefault="00296A7B" w:rsidP="00557913">
      <w:pPr>
        <w:spacing w:after="0"/>
        <w:rPr>
          <w:rFonts w:ascii="Arial" w:hAnsi="Arial"/>
          <w:sz w:val="22"/>
          <w:szCs w:val="22"/>
        </w:rPr>
      </w:pPr>
    </w:p>
    <w:p w14:paraId="409137C8" w14:textId="18F0C92B" w:rsidR="00F30B85" w:rsidRPr="00550B28" w:rsidRDefault="008963DB" w:rsidP="00557913">
      <w:pPr>
        <w:rPr>
          <w:rFonts w:ascii="Arial" w:hAnsi="Arial" w:cs="Arial"/>
          <w:color w:val="9B7DB4"/>
        </w:rPr>
      </w:pPr>
      <w:r w:rsidRPr="008B648E">
        <w:rPr>
          <w:noProof/>
          <w:lang w:val="en-AU" w:eastAsia="en-AU"/>
        </w:rPr>
        <w:drawing>
          <wp:inline distT="0" distB="0" distL="0" distR="0" wp14:anchorId="131DE057" wp14:editId="012DAF3F">
            <wp:extent cx="2599161" cy="11267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4654" cy="1137823"/>
                    </a:xfrm>
                    <a:prstGeom prst="rect">
                      <a:avLst/>
                    </a:prstGeom>
                    <a:noFill/>
                    <a:ln>
                      <a:noFill/>
                    </a:ln>
                  </pic:spPr>
                </pic:pic>
              </a:graphicData>
            </a:graphic>
          </wp:inline>
        </w:drawing>
      </w:r>
    </w:p>
    <w:p w14:paraId="1E15CE3F" w14:textId="0C008612" w:rsidR="00E25C47" w:rsidRPr="00550B28" w:rsidRDefault="00227000" w:rsidP="005256CD">
      <w:pPr>
        <w:spacing w:before="240" w:after="240"/>
        <w:rPr>
          <w:rFonts w:ascii="Arial" w:hAnsi="Arial"/>
          <w:sz w:val="22"/>
          <w:szCs w:val="22"/>
          <w:lang w:val="en-AU"/>
        </w:rPr>
      </w:pPr>
      <w:r w:rsidRPr="00FE79D0">
        <w:rPr>
          <w:rFonts w:ascii="Arial" w:hAnsi="Arial" w:cs="Arial"/>
          <w:color w:val="9B7DB4"/>
        </w:rPr>
        <w:t xml:space="preserve">Females were </w:t>
      </w:r>
      <w:r w:rsidR="00791D83">
        <w:rPr>
          <w:rFonts w:ascii="Arial" w:hAnsi="Arial" w:cs="Arial"/>
          <w:color w:val="9B7DB4"/>
        </w:rPr>
        <w:t>2.3</w:t>
      </w:r>
      <w:r w:rsidRPr="00FE79D0">
        <w:rPr>
          <w:rFonts w:ascii="Arial" w:hAnsi="Arial" w:cs="Arial"/>
          <w:color w:val="9B7DB4"/>
        </w:rPr>
        <w:t xml:space="preserve"> times as likely as </w:t>
      </w:r>
      <w:r w:rsidR="008578FD">
        <w:rPr>
          <w:rFonts w:ascii="Arial" w:hAnsi="Arial" w:cs="Arial"/>
          <w:color w:val="9B7DB4"/>
        </w:rPr>
        <w:t>males</w:t>
      </w:r>
      <w:r w:rsidRPr="00FE79D0">
        <w:rPr>
          <w:rFonts w:ascii="Arial" w:hAnsi="Arial" w:cs="Arial"/>
          <w:color w:val="9B7DB4"/>
        </w:rPr>
        <w:t xml:space="preserve"> to work part-time at </w:t>
      </w:r>
      <w:r w:rsidR="00E7236B">
        <w:rPr>
          <w:rFonts w:ascii="Arial" w:hAnsi="Arial" w:cs="Arial"/>
          <w:b/>
          <w:color w:val="7746A0"/>
          <w:sz w:val="32"/>
          <w:szCs w:val="32"/>
        </w:rPr>
        <w:t>45.0</w:t>
      </w:r>
      <w:r w:rsidRPr="00FE79D0">
        <w:rPr>
          <w:rFonts w:ascii="Arial" w:hAnsi="Arial" w:cs="Arial"/>
          <w:b/>
          <w:color w:val="7746A0"/>
          <w:sz w:val="32"/>
          <w:szCs w:val="32"/>
        </w:rPr>
        <w:t>%</w:t>
      </w:r>
      <w:r w:rsidRPr="00FE79D0">
        <w:rPr>
          <w:rFonts w:ascii="Arial" w:hAnsi="Arial" w:cs="Arial"/>
          <w:color w:val="9B7DB4"/>
        </w:rPr>
        <w:t xml:space="preserve"> of all female employees, compared with </w:t>
      </w:r>
      <w:r w:rsidR="00E7236B">
        <w:rPr>
          <w:rFonts w:ascii="Arial" w:hAnsi="Arial" w:cs="Arial"/>
          <w:b/>
          <w:color w:val="7746A0"/>
          <w:sz w:val="32"/>
          <w:szCs w:val="32"/>
        </w:rPr>
        <w:t>19.3</w:t>
      </w:r>
      <w:r w:rsidRPr="00FE79D0">
        <w:rPr>
          <w:rFonts w:ascii="Arial" w:hAnsi="Arial" w:cs="Arial"/>
          <w:b/>
          <w:color w:val="7746A0"/>
          <w:sz w:val="32"/>
          <w:szCs w:val="32"/>
        </w:rPr>
        <w:t>%</w:t>
      </w:r>
      <w:r w:rsidRPr="00FE79D0">
        <w:rPr>
          <w:rFonts w:ascii="Arial" w:hAnsi="Arial" w:cs="Arial"/>
          <w:color w:val="9B7DB4"/>
        </w:rPr>
        <w:t xml:space="preserve"> of all male employees in </w:t>
      </w:r>
      <w:r w:rsidR="00791D83">
        <w:rPr>
          <w:rFonts w:ascii="Arial" w:hAnsi="Arial" w:cs="Arial"/>
          <w:color w:val="9B7DB4"/>
        </w:rPr>
        <w:t>October</w:t>
      </w:r>
      <w:r w:rsidR="00791D83" w:rsidRPr="00FE79D0">
        <w:rPr>
          <w:rFonts w:ascii="Arial" w:hAnsi="Arial" w:cs="Arial"/>
          <w:color w:val="9B7DB4"/>
        </w:rPr>
        <w:t xml:space="preserve"> </w:t>
      </w:r>
      <w:r w:rsidRPr="00FE79D0">
        <w:rPr>
          <w:rFonts w:ascii="Arial" w:hAnsi="Arial" w:cs="Arial"/>
          <w:color w:val="9B7DB4"/>
        </w:rPr>
        <w:t>2018</w:t>
      </w:r>
      <w:r w:rsidR="00B1662E" w:rsidRPr="00FE79D0">
        <w:rPr>
          <w:rFonts w:ascii="Arial" w:hAnsi="Arial" w:cs="Arial"/>
          <w:color w:val="9B7DB4"/>
        </w:rPr>
        <w:t>.</w:t>
      </w:r>
      <w:r w:rsidR="00E25C47" w:rsidRPr="00550B28">
        <w:rPr>
          <w:rFonts w:ascii="Arial" w:hAnsi="Arial"/>
          <w:sz w:val="22"/>
          <w:szCs w:val="22"/>
          <w:vertAlign w:val="superscript"/>
          <w:lang w:val="en-AU"/>
        </w:rPr>
        <w:endnoteReference w:id="19"/>
      </w:r>
      <w:r w:rsidR="00E25C47" w:rsidRPr="00550B28">
        <w:rPr>
          <w:rFonts w:ascii="Arial" w:hAnsi="Arial"/>
          <w:sz w:val="22"/>
          <w:szCs w:val="22"/>
          <w:vertAlign w:val="superscript"/>
          <w:lang w:val="en-AU"/>
        </w:rPr>
        <w:t xml:space="preserve"> </w:t>
      </w:r>
      <w:r w:rsidR="00E25C47" w:rsidRPr="00550B28">
        <w:rPr>
          <w:rFonts w:ascii="Arial" w:hAnsi="Arial"/>
          <w:sz w:val="22"/>
          <w:szCs w:val="22"/>
          <w:vertAlign w:val="superscript"/>
          <w:lang w:val="en-AU"/>
        </w:rPr>
        <w:endnoteReference w:id="20"/>
      </w:r>
      <w:r w:rsidR="00E25C47" w:rsidRPr="00550B28">
        <w:rPr>
          <w:rFonts w:ascii="Arial" w:hAnsi="Arial"/>
          <w:sz w:val="22"/>
          <w:szCs w:val="22"/>
          <w:lang w:val="en-AU"/>
        </w:rPr>
        <w:t xml:space="preserve"> </w:t>
      </w:r>
    </w:p>
    <w:p w14:paraId="3F919391" w14:textId="77777777" w:rsidR="00C85F86" w:rsidRPr="00550B28" w:rsidRDefault="00C85F86" w:rsidP="00C85F86">
      <w:pPr>
        <w:rPr>
          <w:rFonts w:ascii="Arial" w:hAnsi="Arial"/>
          <w:sz w:val="22"/>
          <w:szCs w:val="22"/>
          <w:lang w:val="en-AU"/>
        </w:rPr>
      </w:pPr>
      <w:r w:rsidRPr="00FE79D0">
        <w:rPr>
          <w:rFonts w:ascii="Arial" w:hAnsi="Arial"/>
          <w:sz w:val="22"/>
          <w:szCs w:val="22"/>
          <w:lang w:val="en-AU"/>
        </w:rPr>
        <w:lastRenderedPageBreak/>
        <w:t xml:space="preserve">Females comprised 30.6% of </w:t>
      </w:r>
      <w:r>
        <w:rPr>
          <w:rFonts w:ascii="Arial" w:hAnsi="Arial"/>
          <w:sz w:val="22"/>
          <w:szCs w:val="22"/>
          <w:lang w:val="en-AU"/>
        </w:rPr>
        <w:t xml:space="preserve">the </w:t>
      </w:r>
      <w:r w:rsidRPr="00FE79D0">
        <w:rPr>
          <w:rFonts w:ascii="Arial" w:hAnsi="Arial"/>
          <w:sz w:val="22"/>
          <w:szCs w:val="22"/>
          <w:lang w:val="en-AU"/>
        </w:rPr>
        <w:t>total 196,100 independent contractors, and one-third (34.9%) of owner managers of enterprises (incorporated or unincorporated) in Queensland in August 2015.</w:t>
      </w:r>
      <w:r w:rsidRPr="00550B28">
        <w:rPr>
          <w:rFonts w:ascii="Arial" w:hAnsi="Arial"/>
          <w:sz w:val="22"/>
          <w:szCs w:val="22"/>
          <w:vertAlign w:val="superscript"/>
          <w:lang w:val="en-AU"/>
        </w:rPr>
        <w:endnoteReference w:id="21"/>
      </w:r>
      <w:r w:rsidRPr="00550B28">
        <w:rPr>
          <w:rFonts w:ascii="Arial" w:hAnsi="Arial"/>
          <w:sz w:val="22"/>
          <w:szCs w:val="22"/>
          <w:lang w:val="en-AU"/>
        </w:rPr>
        <w:t xml:space="preserve"> </w:t>
      </w:r>
    </w:p>
    <w:p w14:paraId="2DA68A6E" w14:textId="77777777" w:rsidR="00C85F86" w:rsidRPr="00550B28" w:rsidRDefault="00C85F86" w:rsidP="00C85F86">
      <w:pPr>
        <w:rPr>
          <w:rFonts w:ascii="Arial" w:hAnsi="Arial"/>
          <w:sz w:val="22"/>
          <w:szCs w:val="22"/>
          <w:lang w:val="en-AU"/>
        </w:rPr>
      </w:pPr>
      <w:r w:rsidRPr="00550B28">
        <w:rPr>
          <w:rFonts w:ascii="Arial" w:hAnsi="Arial"/>
          <w:sz w:val="22"/>
          <w:szCs w:val="22"/>
          <w:lang w:val="en-AU"/>
        </w:rPr>
        <w:t xml:space="preserve">Females were slightly more likely than males to experience labour underutilisation with </w:t>
      </w:r>
      <w:r w:rsidRPr="00FE79D0">
        <w:rPr>
          <w:rFonts w:ascii="Arial" w:hAnsi="Arial"/>
          <w:sz w:val="22"/>
          <w:szCs w:val="22"/>
          <w:lang w:val="en-AU"/>
        </w:rPr>
        <w:t xml:space="preserve">one in six </w:t>
      </w:r>
      <w:r>
        <w:rPr>
          <w:rFonts w:ascii="Arial" w:hAnsi="Arial"/>
          <w:sz w:val="22"/>
          <w:szCs w:val="22"/>
          <w:lang w:val="en-AU"/>
        </w:rPr>
        <w:t xml:space="preserve">females (17.3%) in the labour force </w:t>
      </w:r>
      <w:r w:rsidRPr="00FE79D0">
        <w:rPr>
          <w:rFonts w:ascii="Arial" w:hAnsi="Arial"/>
          <w:sz w:val="22"/>
          <w:szCs w:val="22"/>
          <w:lang w:val="en-AU"/>
        </w:rPr>
        <w:t xml:space="preserve">either (1) unemployed, or (2) underemployed (that is, preferred and are available to work more hours), compared with </w:t>
      </w:r>
      <w:r>
        <w:rPr>
          <w:rFonts w:ascii="Arial" w:hAnsi="Arial"/>
          <w:sz w:val="22"/>
          <w:szCs w:val="22"/>
          <w:lang w:val="en-AU"/>
        </w:rPr>
        <w:t>12.9</w:t>
      </w:r>
      <w:r w:rsidRPr="00FE79D0">
        <w:rPr>
          <w:rFonts w:ascii="Arial" w:hAnsi="Arial"/>
          <w:sz w:val="22"/>
          <w:szCs w:val="22"/>
          <w:lang w:val="en-AU"/>
        </w:rPr>
        <w:t xml:space="preserve">% of males in </w:t>
      </w:r>
      <w:r>
        <w:rPr>
          <w:rFonts w:ascii="Arial" w:hAnsi="Arial"/>
          <w:sz w:val="22"/>
          <w:szCs w:val="22"/>
          <w:lang w:val="en-AU"/>
        </w:rPr>
        <w:t>October</w:t>
      </w:r>
      <w:r w:rsidRPr="00FE79D0">
        <w:rPr>
          <w:rFonts w:ascii="Arial" w:hAnsi="Arial"/>
          <w:sz w:val="22"/>
          <w:szCs w:val="22"/>
          <w:lang w:val="en-AU"/>
        </w:rPr>
        <w:t xml:space="preserve"> 2018</w:t>
      </w:r>
      <w:r w:rsidRPr="00550B28">
        <w:rPr>
          <w:rFonts w:ascii="Arial" w:hAnsi="Arial"/>
          <w:sz w:val="22"/>
          <w:szCs w:val="22"/>
          <w:vertAlign w:val="superscript"/>
          <w:lang w:val="en-AU"/>
        </w:rPr>
        <w:endnoteReference w:id="22"/>
      </w:r>
      <w:r w:rsidRPr="00550B28">
        <w:rPr>
          <w:rFonts w:ascii="Arial" w:hAnsi="Arial"/>
          <w:sz w:val="22"/>
          <w:szCs w:val="22"/>
          <w:lang w:val="en-AU"/>
        </w:rPr>
        <w:t xml:space="preserve"> </w:t>
      </w:r>
      <w:r>
        <w:rPr>
          <w:rFonts w:ascii="Arial" w:hAnsi="Arial"/>
          <w:sz w:val="22"/>
          <w:szCs w:val="22"/>
          <w:lang w:val="en-AU"/>
        </w:rPr>
        <w:t>–</w:t>
      </w:r>
      <w:r w:rsidRPr="00550B28">
        <w:rPr>
          <w:rFonts w:ascii="Arial" w:hAnsi="Arial"/>
          <w:sz w:val="22"/>
          <w:szCs w:val="22"/>
          <w:lang w:val="en-AU"/>
        </w:rPr>
        <w:t xml:space="preserve"> nationally </w:t>
      </w:r>
      <w:r>
        <w:rPr>
          <w:rFonts w:ascii="Arial" w:hAnsi="Arial"/>
          <w:sz w:val="22"/>
          <w:szCs w:val="22"/>
          <w:lang w:val="en-AU"/>
        </w:rPr>
        <w:t>15.9</w:t>
      </w:r>
      <w:r w:rsidRPr="00550B28">
        <w:rPr>
          <w:rFonts w:ascii="Arial" w:hAnsi="Arial"/>
          <w:sz w:val="22"/>
          <w:szCs w:val="22"/>
          <w:lang w:val="en-AU"/>
        </w:rPr>
        <w:t xml:space="preserve">% of females and </w:t>
      </w:r>
      <w:r>
        <w:rPr>
          <w:rFonts w:ascii="Arial" w:hAnsi="Arial"/>
          <w:sz w:val="22"/>
          <w:szCs w:val="22"/>
          <w:lang w:val="en-AU"/>
        </w:rPr>
        <w:t>11.2</w:t>
      </w:r>
      <w:r w:rsidRPr="00550B28">
        <w:rPr>
          <w:rFonts w:ascii="Arial" w:hAnsi="Arial"/>
          <w:sz w:val="22"/>
          <w:szCs w:val="22"/>
          <w:lang w:val="en-AU"/>
        </w:rPr>
        <w:t>% of males</w:t>
      </w:r>
      <w:r w:rsidRPr="00550B28">
        <w:rPr>
          <w:rFonts w:ascii="Arial" w:hAnsi="Arial"/>
          <w:sz w:val="22"/>
          <w:szCs w:val="22"/>
          <w:vertAlign w:val="superscript"/>
          <w:lang w:val="en-AU"/>
        </w:rPr>
        <w:endnoteReference w:id="23"/>
      </w:r>
      <w:r w:rsidRPr="00550B28">
        <w:rPr>
          <w:rFonts w:ascii="Arial" w:hAnsi="Arial"/>
          <w:sz w:val="22"/>
          <w:szCs w:val="22"/>
          <w:lang w:val="en-AU"/>
        </w:rPr>
        <w:t xml:space="preserve">. </w:t>
      </w:r>
    </w:p>
    <w:p w14:paraId="45961184" w14:textId="00B4B1F0" w:rsidR="00144906" w:rsidRPr="00550B28" w:rsidRDefault="00144906" w:rsidP="005256CD">
      <w:pPr>
        <w:rPr>
          <w:rFonts w:ascii="Arial" w:hAnsi="Arial"/>
          <w:sz w:val="22"/>
          <w:szCs w:val="22"/>
          <w:lang w:val="en-AU"/>
        </w:rPr>
      </w:pPr>
      <w:r w:rsidRPr="00550B28">
        <w:rPr>
          <w:rFonts w:ascii="Arial" w:hAnsi="Arial"/>
          <w:sz w:val="22"/>
          <w:szCs w:val="22"/>
          <w:lang w:val="en-AU"/>
        </w:rPr>
        <w:t>Of non-managerial employees</w:t>
      </w:r>
      <w:r w:rsidR="00375F40" w:rsidRPr="00550B28">
        <w:rPr>
          <w:rFonts w:ascii="Arial" w:hAnsi="Arial"/>
          <w:sz w:val="22"/>
          <w:szCs w:val="22"/>
          <w:lang w:val="en-AU"/>
        </w:rPr>
        <w:t>:</w:t>
      </w:r>
      <w:r w:rsidR="00FA3E41" w:rsidRPr="00550B28">
        <w:rPr>
          <w:rFonts w:ascii="Arial" w:hAnsi="Arial"/>
          <w:sz w:val="22"/>
          <w:szCs w:val="22"/>
          <w:vertAlign w:val="superscript"/>
          <w:lang w:val="en-AU"/>
        </w:rPr>
        <w:endnoteReference w:id="24"/>
      </w:r>
      <w:r w:rsidRPr="00550B28">
        <w:rPr>
          <w:rFonts w:ascii="Arial" w:hAnsi="Arial"/>
          <w:sz w:val="22"/>
          <w:szCs w:val="22"/>
          <w:lang w:val="en-AU"/>
        </w:rPr>
        <w:t xml:space="preserve"> </w:t>
      </w:r>
    </w:p>
    <w:p w14:paraId="538329E5" w14:textId="77777777" w:rsidR="00296A7B" w:rsidRPr="00550B28" w:rsidRDefault="00296A7B" w:rsidP="00296A7B">
      <w:pPr>
        <w:numPr>
          <w:ilvl w:val="0"/>
          <w:numId w:val="1"/>
        </w:numPr>
        <w:ind w:left="357" w:hanging="357"/>
        <w:rPr>
          <w:rFonts w:ascii="Arial" w:hAnsi="Arial"/>
          <w:sz w:val="22"/>
          <w:szCs w:val="22"/>
          <w:lang w:val="en-AU"/>
        </w:rPr>
      </w:pPr>
      <w:r w:rsidRPr="00FE79D0">
        <w:rPr>
          <w:rFonts w:ascii="Arial" w:hAnsi="Arial"/>
          <w:sz w:val="22"/>
          <w:szCs w:val="22"/>
          <w:lang w:val="en-AU"/>
        </w:rPr>
        <w:t>Almost all (93.2%) female casual employees worked part-time, compared with two-thirds (67.0%) of male casual employees working part-time.</w:t>
      </w:r>
      <w:r w:rsidRPr="00550B28">
        <w:rPr>
          <w:rFonts w:ascii="Arial" w:hAnsi="Arial"/>
          <w:sz w:val="22"/>
          <w:szCs w:val="22"/>
          <w:vertAlign w:val="superscript"/>
          <w:lang w:val="en-AU"/>
        </w:rPr>
        <w:endnoteReference w:id="25"/>
      </w:r>
    </w:p>
    <w:p w14:paraId="292ACB7F" w14:textId="33DA1C84" w:rsidR="00144906" w:rsidRPr="00550B28" w:rsidRDefault="00144906" w:rsidP="005256CD">
      <w:pPr>
        <w:numPr>
          <w:ilvl w:val="0"/>
          <w:numId w:val="1"/>
        </w:numPr>
        <w:ind w:left="357" w:hanging="357"/>
        <w:rPr>
          <w:rFonts w:ascii="Arial" w:hAnsi="Arial"/>
          <w:sz w:val="22"/>
          <w:szCs w:val="22"/>
          <w:lang w:val="en-AU"/>
        </w:rPr>
      </w:pPr>
      <w:r w:rsidRPr="00FE79D0">
        <w:rPr>
          <w:rFonts w:ascii="Arial" w:hAnsi="Arial"/>
          <w:sz w:val="22"/>
          <w:szCs w:val="22"/>
          <w:lang w:val="en-AU"/>
        </w:rPr>
        <w:t>27.7</w:t>
      </w:r>
      <w:r w:rsidR="00A61F43">
        <w:rPr>
          <w:rFonts w:ascii="Arial" w:hAnsi="Arial"/>
          <w:sz w:val="22"/>
          <w:szCs w:val="22"/>
          <w:lang w:val="en-AU"/>
        </w:rPr>
        <w:t>%</w:t>
      </w:r>
      <w:r w:rsidRPr="00FE79D0">
        <w:rPr>
          <w:rFonts w:ascii="Arial" w:hAnsi="Arial"/>
          <w:sz w:val="22"/>
          <w:szCs w:val="22"/>
          <w:lang w:val="en-AU"/>
        </w:rPr>
        <w:t xml:space="preserve"> of female employees were employed without paid leave entitlements </w:t>
      </w:r>
      <w:r w:rsidR="00A61F43">
        <w:rPr>
          <w:rFonts w:ascii="Arial" w:hAnsi="Arial"/>
          <w:sz w:val="22"/>
          <w:szCs w:val="22"/>
          <w:lang w:val="en-AU"/>
        </w:rPr>
        <w:t>in May 2016, compared with 23.1%</w:t>
      </w:r>
      <w:r w:rsidRPr="00FE79D0">
        <w:rPr>
          <w:rFonts w:ascii="Arial" w:hAnsi="Arial"/>
          <w:sz w:val="22"/>
          <w:szCs w:val="22"/>
          <w:lang w:val="en-AU"/>
        </w:rPr>
        <w:t xml:space="preserve"> for males, and those </w:t>
      </w:r>
      <w:r w:rsidR="008578FD">
        <w:rPr>
          <w:rFonts w:ascii="Arial" w:hAnsi="Arial"/>
          <w:sz w:val="22"/>
          <w:szCs w:val="22"/>
          <w:lang w:val="en-AU"/>
        </w:rPr>
        <w:t>females</w:t>
      </w:r>
      <w:r w:rsidRPr="00FE79D0">
        <w:rPr>
          <w:rFonts w:ascii="Arial" w:hAnsi="Arial"/>
          <w:sz w:val="22"/>
          <w:szCs w:val="22"/>
          <w:lang w:val="en-AU"/>
        </w:rPr>
        <w:t xml:space="preserve"> accounted for three in five (59.</w:t>
      </w:r>
      <w:r w:rsidR="00A61F43">
        <w:rPr>
          <w:rFonts w:ascii="Arial" w:hAnsi="Arial"/>
          <w:sz w:val="22"/>
          <w:szCs w:val="22"/>
          <w:lang w:val="en-AU"/>
        </w:rPr>
        <w:t>3%</w:t>
      </w:r>
      <w:r w:rsidRPr="00FE79D0">
        <w:rPr>
          <w:rFonts w:ascii="Arial" w:hAnsi="Arial"/>
          <w:sz w:val="22"/>
          <w:szCs w:val="22"/>
          <w:lang w:val="en-AU"/>
        </w:rPr>
        <w:t>) employees without leave entitlements.</w:t>
      </w:r>
      <w:r w:rsidRPr="00550B28">
        <w:rPr>
          <w:rFonts w:ascii="Arial" w:hAnsi="Arial"/>
          <w:sz w:val="22"/>
          <w:szCs w:val="22"/>
          <w:vertAlign w:val="superscript"/>
          <w:lang w:val="en-AU"/>
        </w:rPr>
        <w:endnoteReference w:id="26"/>
      </w:r>
    </w:p>
    <w:p w14:paraId="1140FB22" w14:textId="0EFB6604" w:rsidR="00144906" w:rsidRDefault="00227000" w:rsidP="005256CD">
      <w:pPr>
        <w:spacing w:before="240"/>
        <w:rPr>
          <w:rFonts w:ascii="Arial" w:hAnsi="Arial"/>
          <w:sz w:val="22"/>
          <w:szCs w:val="22"/>
          <w:lang w:val="en-AU"/>
        </w:rPr>
      </w:pPr>
      <w:r w:rsidRPr="000B273E">
        <w:rPr>
          <w:rFonts w:ascii="Arial" w:hAnsi="Arial"/>
          <w:sz w:val="22"/>
          <w:szCs w:val="22"/>
          <w:lang w:val="en-AU"/>
        </w:rPr>
        <w:t xml:space="preserve">Females were highly concentrated in the health care and social assistance </w:t>
      </w:r>
      <w:r w:rsidR="004612F3" w:rsidRPr="000B273E">
        <w:rPr>
          <w:rFonts w:ascii="Arial" w:hAnsi="Arial"/>
          <w:sz w:val="22"/>
          <w:szCs w:val="22"/>
          <w:lang w:val="en-AU"/>
        </w:rPr>
        <w:t xml:space="preserve">industry </w:t>
      </w:r>
      <w:r w:rsidR="00756DE2" w:rsidRPr="000B273E">
        <w:rPr>
          <w:rFonts w:ascii="Arial" w:hAnsi="Arial"/>
          <w:sz w:val="22"/>
          <w:szCs w:val="22"/>
          <w:lang w:val="en-AU"/>
        </w:rPr>
        <w:t>(</w:t>
      </w:r>
      <w:r w:rsidR="00B720BB">
        <w:rPr>
          <w:rFonts w:ascii="Arial" w:hAnsi="Arial"/>
          <w:sz w:val="22"/>
          <w:szCs w:val="22"/>
          <w:lang w:val="en-AU"/>
        </w:rPr>
        <w:t>76.5</w:t>
      </w:r>
      <w:r w:rsidR="00756DE2" w:rsidRPr="000B273E">
        <w:rPr>
          <w:rFonts w:ascii="Arial" w:hAnsi="Arial"/>
          <w:sz w:val="22"/>
          <w:szCs w:val="22"/>
          <w:lang w:val="en-AU"/>
        </w:rPr>
        <w:t>%</w:t>
      </w:r>
      <w:r w:rsidR="000B273E">
        <w:rPr>
          <w:rFonts w:ascii="Arial" w:hAnsi="Arial"/>
          <w:sz w:val="22"/>
          <w:szCs w:val="22"/>
          <w:lang w:val="en-AU"/>
        </w:rPr>
        <w:t xml:space="preserve"> of all employed persons</w:t>
      </w:r>
      <w:r w:rsidR="00756DE2" w:rsidRPr="000B273E">
        <w:rPr>
          <w:rFonts w:ascii="Arial" w:hAnsi="Arial"/>
          <w:sz w:val="22"/>
          <w:szCs w:val="22"/>
          <w:lang w:val="en-AU"/>
        </w:rPr>
        <w:t xml:space="preserve">), but underrepresented in traditionally male-dominated industries, including the construction </w:t>
      </w:r>
      <w:r w:rsidR="004612F3" w:rsidRPr="000B273E">
        <w:rPr>
          <w:rFonts w:ascii="Arial" w:hAnsi="Arial"/>
          <w:sz w:val="22"/>
          <w:szCs w:val="22"/>
          <w:lang w:val="en-AU"/>
        </w:rPr>
        <w:t xml:space="preserve">industry </w:t>
      </w:r>
      <w:r w:rsidR="00756DE2" w:rsidRPr="000B273E">
        <w:rPr>
          <w:rFonts w:ascii="Arial" w:hAnsi="Arial"/>
          <w:sz w:val="22"/>
          <w:szCs w:val="22"/>
          <w:lang w:val="en-AU"/>
        </w:rPr>
        <w:t>(</w:t>
      </w:r>
      <w:r w:rsidR="00B720BB">
        <w:rPr>
          <w:rFonts w:ascii="Arial" w:hAnsi="Arial"/>
          <w:sz w:val="22"/>
          <w:szCs w:val="22"/>
          <w:lang w:val="en-AU"/>
        </w:rPr>
        <w:t>13.1</w:t>
      </w:r>
      <w:r w:rsidR="00756DE2" w:rsidRPr="000B273E">
        <w:rPr>
          <w:rFonts w:ascii="Arial" w:hAnsi="Arial"/>
          <w:sz w:val="22"/>
          <w:szCs w:val="22"/>
          <w:lang w:val="en-AU"/>
        </w:rPr>
        <w:t>%)</w:t>
      </w:r>
      <w:r w:rsidR="006D7584" w:rsidRPr="000B273E">
        <w:rPr>
          <w:rFonts w:ascii="Arial" w:hAnsi="Arial"/>
          <w:sz w:val="22"/>
          <w:szCs w:val="22"/>
          <w:lang w:val="en-AU"/>
        </w:rPr>
        <w:t xml:space="preserve"> </w:t>
      </w:r>
      <w:r w:rsidR="005C0459" w:rsidRPr="000B273E">
        <w:rPr>
          <w:rFonts w:ascii="Arial" w:hAnsi="Arial"/>
          <w:sz w:val="22"/>
          <w:szCs w:val="22"/>
          <w:lang w:val="en-AU"/>
        </w:rPr>
        <w:t xml:space="preserve">in </w:t>
      </w:r>
      <w:r w:rsidR="00B720BB">
        <w:rPr>
          <w:rFonts w:ascii="Arial" w:hAnsi="Arial"/>
          <w:sz w:val="22"/>
          <w:szCs w:val="22"/>
          <w:lang w:val="en-AU"/>
        </w:rPr>
        <w:t>August</w:t>
      </w:r>
      <w:r w:rsidR="00B720BB" w:rsidRPr="000B273E">
        <w:rPr>
          <w:rFonts w:ascii="Arial" w:hAnsi="Arial"/>
          <w:sz w:val="22"/>
          <w:szCs w:val="22"/>
          <w:lang w:val="en-AU"/>
        </w:rPr>
        <w:t xml:space="preserve"> </w:t>
      </w:r>
      <w:r w:rsidRPr="000B273E">
        <w:rPr>
          <w:rFonts w:ascii="Arial" w:hAnsi="Arial"/>
          <w:sz w:val="22"/>
          <w:szCs w:val="22"/>
          <w:lang w:val="en-AU"/>
        </w:rPr>
        <w:t>2018</w:t>
      </w:r>
      <w:r w:rsidR="00E20ED9" w:rsidRPr="000B273E">
        <w:rPr>
          <w:rFonts w:ascii="Arial" w:hAnsi="Arial"/>
          <w:sz w:val="22"/>
          <w:szCs w:val="22"/>
          <w:lang w:val="en-AU"/>
        </w:rPr>
        <w:t>.</w:t>
      </w:r>
      <w:r w:rsidR="006D7584" w:rsidRPr="000B273E">
        <w:rPr>
          <w:rStyle w:val="EndnoteReference"/>
          <w:rFonts w:ascii="Arial" w:hAnsi="Arial"/>
          <w:sz w:val="22"/>
          <w:szCs w:val="22"/>
          <w:lang w:val="en-AU"/>
        </w:rPr>
        <w:endnoteReference w:id="27"/>
      </w:r>
      <w:r w:rsidR="00E20ED9" w:rsidRPr="000B273E">
        <w:rPr>
          <w:rFonts w:ascii="Arial" w:hAnsi="Arial"/>
          <w:sz w:val="22"/>
          <w:szCs w:val="22"/>
          <w:lang w:val="en-AU"/>
        </w:rPr>
        <w:t xml:space="preserve"> </w:t>
      </w:r>
      <w:r w:rsidR="00144906" w:rsidRPr="000B273E">
        <w:rPr>
          <w:rFonts w:ascii="Arial" w:hAnsi="Arial"/>
          <w:sz w:val="22"/>
          <w:szCs w:val="22"/>
          <w:vertAlign w:val="superscript"/>
          <w:lang w:val="en-AU"/>
        </w:rPr>
        <w:endnoteReference w:id="28"/>
      </w:r>
    </w:p>
    <w:p w14:paraId="22B9936E" w14:textId="77777777" w:rsidR="00296A7B" w:rsidRPr="00550B28" w:rsidRDefault="00296A7B" w:rsidP="00557913">
      <w:pPr>
        <w:spacing w:after="0"/>
        <w:rPr>
          <w:rFonts w:ascii="Arial" w:hAnsi="Arial"/>
          <w:sz w:val="22"/>
          <w:szCs w:val="22"/>
          <w:lang w:val="en-AU"/>
        </w:rPr>
      </w:pPr>
    </w:p>
    <w:p w14:paraId="04EF0326" w14:textId="7B7DBE7A" w:rsidR="00B1662E" w:rsidRPr="00550B28" w:rsidRDefault="00756DE2" w:rsidP="00557913">
      <w:pPr>
        <w:spacing w:after="100"/>
        <w:rPr>
          <w:rFonts w:ascii="Arial" w:hAnsi="Arial"/>
          <w:sz w:val="22"/>
          <w:szCs w:val="22"/>
          <w:lang w:val="en-AU"/>
        </w:rPr>
      </w:pPr>
      <w:r w:rsidRPr="00550B28">
        <w:rPr>
          <w:noProof/>
          <w:lang w:val="en-AU" w:eastAsia="en-AU"/>
        </w:rPr>
        <w:drawing>
          <wp:inline distT="0" distB="0" distL="0" distR="0" wp14:anchorId="2F99FD53" wp14:editId="722C25F8">
            <wp:extent cx="2216634" cy="11376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223" cy="1166728"/>
                    </a:xfrm>
                    <a:prstGeom prst="rect">
                      <a:avLst/>
                    </a:prstGeom>
                    <a:noFill/>
                    <a:ln>
                      <a:noFill/>
                    </a:ln>
                  </pic:spPr>
                </pic:pic>
              </a:graphicData>
            </a:graphic>
          </wp:inline>
        </w:drawing>
      </w:r>
    </w:p>
    <w:p w14:paraId="60587A55" w14:textId="5D8565F2" w:rsidR="00144906" w:rsidRPr="00FE79D0" w:rsidRDefault="00227000" w:rsidP="005256CD">
      <w:pPr>
        <w:rPr>
          <w:rFonts w:ascii="Arial" w:hAnsi="Arial" w:cs="Arial"/>
          <w:b/>
          <w:color w:val="7746A0"/>
        </w:rPr>
      </w:pPr>
      <w:r w:rsidRPr="00FE79D0">
        <w:rPr>
          <w:rFonts w:ascii="Arial" w:hAnsi="Arial" w:cs="Arial"/>
          <w:color w:val="9B7DB4"/>
        </w:rPr>
        <w:t xml:space="preserve">The construction industry has the lowest proportion of female employees with females comprising about </w:t>
      </w:r>
      <w:r w:rsidR="006D7584" w:rsidRPr="00FE79D0">
        <w:rPr>
          <w:rFonts w:ascii="Arial" w:hAnsi="Arial" w:cs="Arial"/>
          <w:b/>
          <w:color w:val="7746A0"/>
          <w:sz w:val="32"/>
          <w:szCs w:val="32"/>
        </w:rPr>
        <w:t xml:space="preserve">1 in </w:t>
      </w:r>
      <w:r w:rsidR="00756DE2" w:rsidRPr="00FE79D0">
        <w:rPr>
          <w:rFonts w:ascii="Arial" w:hAnsi="Arial" w:cs="Arial"/>
          <w:b/>
          <w:color w:val="7746A0"/>
          <w:sz w:val="32"/>
          <w:szCs w:val="32"/>
        </w:rPr>
        <w:t>8</w:t>
      </w:r>
      <w:r w:rsidRPr="00FE79D0">
        <w:rPr>
          <w:rFonts w:ascii="Arial" w:hAnsi="Arial" w:cs="Arial"/>
          <w:color w:val="9B7DB4"/>
        </w:rPr>
        <w:t xml:space="preserve"> employees or </w:t>
      </w:r>
      <w:r w:rsidR="00B81C4E">
        <w:rPr>
          <w:rFonts w:ascii="Arial" w:hAnsi="Arial" w:cs="Arial"/>
          <w:b/>
          <w:color w:val="7746A0"/>
          <w:sz w:val="32"/>
          <w:szCs w:val="32"/>
        </w:rPr>
        <w:t>13.1</w:t>
      </w:r>
      <w:r w:rsidRPr="00FE79D0">
        <w:rPr>
          <w:rFonts w:ascii="Arial" w:hAnsi="Arial" w:cs="Arial"/>
          <w:b/>
          <w:color w:val="7746A0"/>
          <w:sz w:val="32"/>
          <w:szCs w:val="32"/>
        </w:rPr>
        <w:t>%</w:t>
      </w:r>
      <w:r w:rsidRPr="00FE79D0">
        <w:rPr>
          <w:rFonts w:ascii="Arial" w:hAnsi="Arial" w:cs="Arial"/>
          <w:color w:val="9B7DB4"/>
        </w:rPr>
        <w:t xml:space="preserve"> </w:t>
      </w:r>
      <w:r w:rsidR="00B1662E" w:rsidRPr="00FE79D0">
        <w:rPr>
          <w:rFonts w:ascii="Arial" w:hAnsi="Arial" w:cs="Arial"/>
          <w:color w:val="9B7DB4"/>
        </w:rPr>
        <w:t xml:space="preserve">of the </w:t>
      </w:r>
      <w:r w:rsidR="00275E32" w:rsidRPr="00FE79D0">
        <w:rPr>
          <w:rFonts w:ascii="Arial" w:hAnsi="Arial" w:cs="Arial"/>
          <w:color w:val="9B7DB4"/>
        </w:rPr>
        <w:t>total employees</w:t>
      </w:r>
      <w:r w:rsidR="00F87150" w:rsidRPr="00FE79D0">
        <w:rPr>
          <w:rFonts w:ascii="Arial" w:hAnsi="Arial" w:cs="Arial"/>
          <w:color w:val="9B7DB4"/>
        </w:rPr>
        <w:t>.</w:t>
      </w:r>
      <w:r w:rsidR="001A473D" w:rsidRPr="00FE79D0">
        <w:rPr>
          <w:rFonts w:ascii="Arial" w:hAnsi="Arial"/>
          <w:sz w:val="22"/>
          <w:szCs w:val="22"/>
          <w:vertAlign w:val="superscript"/>
          <w:lang w:val="en-AU"/>
        </w:rPr>
        <w:t xml:space="preserve"> </w:t>
      </w:r>
    </w:p>
    <w:p w14:paraId="0634C7EE" w14:textId="77777777" w:rsidR="00296A7B" w:rsidRDefault="00296A7B" w:rsidP="00E35036">
      <w:pPr>
        <w:spacing w:after="240"/>
        <w:rPr>
          <w:rFonts w:ascii="Arial" w:hAnsi="Arial"/>
          <w:sz w:val="22"/>
          <w:szCs w:val="22"/>
          <w:lang w:val="en-AU"/>
        </w:rPr>
      </w:pPr>
    </w:p>
    <w:p w14:paraId="3D59EB31" w14:textId="0969267F" w:rsidR="00144906" w:rsidRPr="00550B28" w:rsidRDefault="000B273E" w:rsidP="00E35036">
      <w:pPr>
        <w:spacing w:after="240"/>
        <w:rPr>
          <w:rFonts w:ascii="Arial" w:hAnsi="Arial"/>
          <w:sz w:val="22"/>
          <w:szCs w:val="22"/>
          <w:lang w:val="en-AU"/>
        </w:rPr>
      </w:pPr>
      <w:r>
        <w:rPr>
          <w:rFonts w:ascii="Arial" w:hAnsi="Arial"/>
          <w:sz w:val="22"/>
          <w:szCs w:val="22"/>
          <w:lang w:val="en-AU"/>
        </w:rPr>
        <w:t>F</w:t>
      </w:r>
      <w:r w:rsidR="001644A4" w:rsidRPr="000B273E">
        <w:rPr>
          <w:rFonts w:ascii="Arial" w:hAnsi="Arial"/>
          <w:sz w:val="22"/>
          <w:szCs w:val="22"/>
          <w:lang w:val="en-AU"/>
        </w:rPr>
        <w:t xml:space="preserve">emales represented a high proportion of clerical and administrative workers </w:t>
      </w:r>
      <w:r w:rsidR="008B7ED3" w:rsidRPr="000B273E">
        <w:rPr>
          <w:rFonts w:ascii="Arial" w:hAnsi="Arial"/>
          <w:sz w:val="22"/>
          <w:szCs w:val="22"/>
          <w:lang w:val="en-AU"/>
        </w:rPr>
        <w:t xml:space="preserve">occupation </w:t>
      </w:r>
      <w:r w:rsidR="001644A4" w:rsidRPr="000B273E">
        <w:rPr>
          <w:rFonts w:ascii="Arial" w:hAnsi="Arial"/>
          <w:sz w:val="22"/>
          <w:szCs w:val="22"/>
          <w:lang w:val="en-AU"/>
        </w:rPr>
        <w:t>(</w:t>
      </w:r>
      <w:r w:rsidR="00383EA2" w:rsidRPr="00383EA2">
        <w:rPr>
          <w:rFonts w:ascii="Arial" w:hAnsi="Arial"/>
          <w:sz w:val="22"/>
          <w:szCs w:val="22"/>
          <w:lang w:val="en-AU"/>
        </w:rPr>
        <w:t>74.5</w:t>
      </w:r>
      <w:r w:rsidR="001644A4" w:rsidRPr="000B273E">
        <w:rPr>
          <w:rFonts w:ascii="Arial" w:hAnsi="Arial"/>
          <w:sz w:val="22"/>
          <w:szCs w:val="22"/>
          <w:lang w:val="en-AU"/>
        </w:rPr>
        <w:t xml:space="preserve">%) in </w:t>
      </w:r>
      <w:r w:rsidR="00383EA2">
        <w:rPr>
          <w:rFonts w:ascii="Arial" w:hAnsi="Arial"/>
          <w:sz w:val="22"/>
          <w:szCs w:val="22"/>
          <w:lang w:val="en-AU"/>
        </w:rPr>
        <w:t>August</w:t>
      </w:r>
      <w:r w:rsidR="00383EA2" w:rsidRPr="000B273E">
        <w:rPr>
          <w:rFonts w:ascii="Arial" w:hAnsi="Arial"/>
          <w:sz w:val="22"/>
          <w:szCs w:val="22"/>
          <w:lang w:val="en-AU"/>
        </w:rPr>
        <w:t xml:space="preserve"> </w:t>
      </w:r>
      <w:r w:rsidR="001644A4" w:rsidRPr="000B273E">
        <w:rPr>
          <w:rFonts w:ascii="Arial" w:hAnsi="Arial"/>
          <w:sz w:val="22"/>
          <w:szCs w:val="22"/>
          <w:lang w:val="en-AU"/>
        </w:rPr>
        <w:t xml:space="preserve">2018, but a lower proportion of other occupation groups, including machinery operators and drivers </w:t>
      </w:r>
      <w:r w:rsidR="008B7ED3" w:rsidRPr="000B273E">
        <w:rPr>
          <w:rFonts w:ascii="Arial" w:hAnsi="Arial"/>
          <w:sz w:val="22"/>
          <w:szCs w:val="22"/>
          <w:lang w:val="en-AU"/>
        </w:rPr>
        <w:t xml:space="preserve">occupation </w:t>
      </w:r>
      <w:r w:rsidR="001644A4" w:rsidRPr="000B273E">
        <w:rPr>
          <w:rFonts w:ascii="Arial" w:hAnsi="Arial"/>
          <w:sz w:val="22"/>
          <w:szCs w:val="22"/>
          <w:lang w:val="en-AU"/>
        </w:rPr>
        <w:t>(</w:t>
      </w:r>
      <w:r w:rsidR="00383EA2" w:rsidRPr="00383EA2">
        <w:rPr>
          <w:rFonts w:ascii="Arial" w:hAnsi="Arial"/>
          <w:sz w:val="22"/>
          <w:szCs w:val="22"/>
          <w:lang w:val="en-AU"/>
        </w:rPr>
        <w:t>12.1</w:t>
      </w:r>
      <w:r w:rsidR="001644A4" w:rsidRPr="000B273E">
        <w:rPr>
          <w:rFonts w:ascii="Arial" w:hAnsi="Arial"/>
          <w:sz w:val="22"/>
          <w:szCs w:val="22"/>
          <w:lang w:val="en-AU"/>
        </w:rPr>
        <w:t>%), and technicians and trades workers</w:t>
      </w:r>
      <w:r w:rsidR="008B7ED3" w:rsidRPr="000B273E">
        <w:rPr>
          <w:rFonts w:ascii="Arial" w:hAnsi="Arial"/>
          <w:sz w:val="22"/>
          <w:szCs w:val="22"/>
          <w:lang w:val="en-AU"/>
        </w:rPr>
        <w:t xml:space="preserve"> occupation</w:t>
      </w:r>
      <w:r w:rsidR="001644A4" w:rsidRPr="000B273E">
        <w:rPr>
          <w:rFonts w:ascii="Arial" w:hAnsi="Arial"/>
          <w:sz w:val="22"/>
          <w:szCs w:val="22"/>
          <w:lang w:val="en-AU"/>
        </w:rPr>
        <w:t xml:space="preserve"> (</w:t>
      </w:r>
      <w:r w:rsidR="00383EA2" w:rsidRPr="00383EA2">
        <w:rPr>
          <w:rFonts w:ascii="Arial" w:hAnsi="Arial"/>
          <w:sz w:val="22"/>
          <w:szCs w:val="22"/>
          <w:lang w:val="en-AU"/>
        </w:rPr>
        <w:t>14.1</w:t>
      </w:r>
      <w:r w:rsidR="001644A4" w:rsidRPr="000B273E">
        <w:rPr>
          <w:rFonts w:ascii="Arial" w:hAnsi="Arial"/>
          <w:sz w:val="22"/>
          <w:szCs w:val="22"/>
          <w:lang w:val="en-AU"/>
        </w:rPr>
        <w:t>%)</w:t>
      </w:r>
      <w:r w:rsidR="00144906" w:rsidRPr="000B273E">
        <w:rPr>
          <w:rFonts w:ascii="Arial" w:hAnsi="Arial"/>
          <w:sz w:val="22"/>
          <w:szCs w:val="22"/>
          <w:lang w:val="en-AU"/>
        </w:rPr>
        <w:t>.</w:t>
      </w:r>
      <w:r w:rsidR="00E20ED9" w:rsidRPr="000B273E">
        <w:rPr>
          <w:rStyle w:val="EndnoteReference"/>
          <w:rFonts w:ascii="Arial" w:hAnsi="Arial"/>
          <w:sz w:val="22"/>
          <w:szCs w:val="22"/>
          <w:lang w:val="en-AU"/>
        </w:rPr>
        <w:endnoteReference w:id="29"/>
      </w:r>
      <w:r w:rsidR="00E20ED9" w:rsidRPr="000B273E">
        <w:rPr>
          <w:rFonts w:ascii="Arial" w:hAnsi="Arial"/>
          <w:sz w:val="22"/>
          <w:szCs w:val="22"/>
          <w:lang w:val="en-AU"/>
        </w:rPr>
        <w:t xml:space="preserve"> </w:t>
      </w:r>
      <w:r w:rsidR="00144906" w:rsidRPr="000B273E">
        <w:rPr>
          <w:rFonts w:ascii="Arial" w:hAnsi="Arial"/>
          <w:sz w:val="22"/>
          <w:szCs w:val="22"/>
          <w:vertAlign w:val="superscript"/>
          <w:lang w:val="en-AU"/>
        </w:rPr>
        <w:endnoteReference w:id="30"/>
      </w:r>
      <w:r w:rsidR="00144906" w:rsidRPr="00550B28">
        <w:rPr>
          <w:rFonts w:ascii="Arial" w:hAnsi="Arial"/>
          <w:sz w:val="22"/>
          <w:szCs w:val="22"/>
          <w:lang w:val="en-AU"/>
        </w:rPr>
        <w:t xml:space="preserve"> </w:t>
      </w:r>
    </w:p>
    <w:p w14:paraId="3DA08840" w14:textId="06D5F7A2" w:rsidR="00326BA2" w:rsidRPr="00550B28" w:rsidRDefault="00CB6415" w:rsidP="00557913">
      <w:pPr>
        <w:jc w:val="center"/>
        <w:rPr>
          <w:rFonts w:ascii="Arial" w:hAnsi="Arial"/>
          <w:sz w:val="22"/>
          <w:szCs w:val="22"/>
          <w:lang w:val="en-AU"/>
        </w:rPr>
      </w:pPr>
      <w:r>
        <w:rPr>
          <w:rFonts w:ascii="Arial" w:hAnsi="Arial"/>
          <w:noProof/>
          <w:sz w:val="22"/>
          <w:szCs w:val="22"/>
          <w:lang w:val="en-AU" w:eastAsia="en-AU"/>
        </w:rPr>
        <w:drawing>
          <wp:inline distT="0" distB="0" distL="0" distR="0" wp14:anchorId="34DA6C5C" wp14:editId="6A43C5B9">
            <wp:extent cx="2790190" cy="9480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1211Capture.JPG"/>
                    <pic:cNvPicPr/>
                  </pic:nvPicPr>
                  <pic:blipFill>
                    <a:blip r:embed="rId18">
                      <a:extLst>
                        <a:ext uri="{28A0092B-C50C-407E-A947-70E740481C1C}">
                          <a14:useLocalDpi xmlns:a14="http://schemas.microsoft.com/office/drawing/2010/main" val="0"/>
                        </a:ext>
                      </a:extLst>
                    </a:blip>
                    <a:stretch>
                      <a:fillRect/>
                    </a:stretch>
                  </pic:blipFill>
                  <pic:spPr>
                    <a:xfrm>
                      <a:off x="0" y="0"/>
                      <a:ext cx="2790190" cy="948055"/>
                    </a:xfrm>
                    <a:prstGeom prst="rect">
                      <a:avLst/>
                    </a:prstGeom>
                  </pic:spPr>
                </pic:pic>
              </a:graphicData>
            </a:graphic>
          </wp:inline>
        </w:drawing>
      </w:r>
    </w:p>
    <w:p w14:paraId="7754CF63" w14:textId="75D2D00A" w:rsidR="005C0459" w:rsidRPr="00FE79D0" w:rsidRDefault="00383EA2" w:rsidP="00E35036">
      <w:pPr>
        <w:spacing w:after="240"/>
        <w:rPr>
          <w:rFonts w:ascii="Arial" w:hAnsi="Arial" w:cs="Arial"/>
          <w:color w:val="9B7DB4"/>
        </w:rPr>
      </w:pPr>
      <w:r>
        <w:rPr>
          <w:rFonts w:ascii="Arial" w:hAnsi="Arial" w:cs="Arial"/>
          <w:color w:val="9B7DB4"/>
        </w:rPr>
        <w:t>About</w:t>
      </w:r>
      <w:r w:rsidR="005C0459" w:rsidRPr="00FE79D0">
        <w:rPr>
          <w:rFonts w:ascii="Arial" w:hAnsi="Arial" w:cs="Arial"/>
          <w:b/>
          <w:color w:val="7746A0"/>
          <w:sz w:val="32"/>
          <w:szCs w:val="32"/>
        </w:rPr>
        <w:t xml:space="preserve"> </w:t>
      </w:r>
      <w:r w:rsidR="00F87150" w:rsidRPr="00FE79D0">
        <w:rPr>
          <w:rFonts w:ascii="Arial" w:hAnsi="Arial" w:cs="Arial"/>
          <w:b/>
          <w:color w:val="7746A0"/>
          <w:sz w:val="32"/>
          <w:szCs w:val="32"/>
        </w:rPr>
        <w:t xml:space="preserve">1 in </w:t>
      </w:r>
      <w:r>
        <w:rPr>
          <w:rFonts w:ascii="Arial" w:hAnsi="Arial" w:cs="Arial"/>
          <w:b/>
          <w:color w:val="7746A0"/>
          <w:sz w:val="32"/>
          <w:szCs w:val="32"/>
        </w:rPr>
        <w:t>8</w:t>
      </w:r>
      <w:r w:rsidRPr="00FE79D0">
        <w:rPr>
          <w:rFonts w:ascii="Arial" w:hAnsi="Arial" w:cs="Arial"/>
          <w:b/>
          <w:color w:val="7746A0"/>
          <w:sz w:val="28"/>
          <w:szCs w:val="28"/>
        </w:rPr>
        <w:t xml:space="preserve"> </w:t>
      </w:r>
      <w:r w:rsidR="00B1662E" w:rsidRPr="00FE79D0">
        <w:rPr>
          <w:rFonts w:ascii="Arial" w:hAnsi="Arial" w:cs="Arial"/>
          <w:color w:val="9B7DB4"/>
        </w:rPr>
        <w:t>machinery operators and drivers are female</w:t>
      </w:r>
      <w:r w:rsidR="00326BA2" w:rsidRPr="00FE79D0">
        <w:rPr>
          <w:rFonts w:ascii="Arial" w:hAnsi="Arial" w:cs="Arial"/>
          <w:color w:val="9B7DB4"/>
        </w:rPr>
        <w:t>.</w:t>
      </w:r>
    </w:p>
    <w:p w14:paraId="1BF50764" w14:textId="77777777" w:rsidR="00457AE0" w:rsidRPr="00FE79D0" w:rsidRDefault="00144906" w:rsidP="005256CD">
      <w:pPr>
        <w:spacing w:before="240"/>
        <w:rPr>
          <w:rFonts w:ascii="Arial" w:hAnsi="Arial"/>
          <w:b/>
          <w:sz w:val="22"/>
          <w:szCs w:val="22"/>
          <w:lang w:val="en-AU"/>
        </w:rPr>
      </w:pPr>
      <w:r w:rsidRPr="00FE79D0">
        <w:rPr>
          <w:rFonts w:ascii="Arial" w:hAnsi="Arial"/>
          <w:b/>
          <w:sz w:val="22"/>
          <w:szCs w:val="22"/>
          <w:lang w:val="en-AU"/>
        </w:rPr>
        <w:t>Participation in unpaid work</w:t>
      </w:r>
    </w:p>
    <w:p w14:paraId="222936D6" w14:textId="77777777" w:rsidR="00B918BB" w:rsidRPr="00550B28" w:rsidRDefault="00144906" w:rsidP="005256CD">
      <w:pPr>
        <w:rPr>
          <w:rFonts w:ascii="Arial" w:hAnsi="Arial"/>
          <w:sz w:val="22"/>
          <w:szCs w:val="22"/>
          <w:lang w:val="en-AU"/>
        </w:rPr>
      </w:pPr>
      <w:r w:rsidRPr="00FE79D0">
        <w:rPr>
          <w:rFonts w:ascii="Arial" w:hAnsi="Arial"/>
          <w:sz w:val="22"/>
          <w:szCs w:val="22"/>
          <w:lang w:val="en-AU"/>
        </w:rPr>
        <w:t xml:space="preserve">Females aged 15 years and older </w:t>
      </w:r>
      <w:r w:rsidR="00AA26AA" w:rsidRPr="00FE79D0">
        <w:rPr>
          <w:rFonts w:ascii="Arial" w:hAnsi="Arial"/>
          <w:sz w:val="22"/>
          <w:szCs w:val="22"/>
          <w:lang w:val="en-AU"/>
        </w:rPr>
        <w:t>were</w:t>
      </w:r>
      <w:r w:rsidRPr="00FE79D0">
        <w:rPr>
          <w:rFonts w:ascii="Arial" w:hAnsi="Arial"/>
          <w:sz w:val="22"/>
          <w:szCs w:val="22"/>
          <w:lang w:val="en-AU"/>
        </w:rPr>
        <w:t xml:space="preserve"> 2.6 times more likely than males to spend 15 hours or more every week on unpaid domestic activities – 30.4%</w:t>
      </w:r>
      <w:r w:rsidR="005B670E" w:rsidRPr="00FE79D0">
        <w:rPr>
          <w:rFonts w:ascii="Arial" w:hAnsi="Arial"/>
          <w:sz w:val="22"/>
          <w:szCs w:val="22"/>
          <w:lang w:val="en-AU"/>
        </w:rPr>
        <w:t xml:space="preserve"> </w:t>
      </w:r>
      <w:r w:rsidRPr="00FE79D0">
        <w:rPr>
          <w:rFonts w:ascii="Arial" w:hAnsi="Arial"/>
          <w:sz w:val="22"/>
          <w:szCs w:val="22"/>
          <w:lang w:val="en-AU"/>
        </w:rPr>
        <w:t>of females compared with 11.5% of males in 2016.</w:t>
      </w:r>
      <w:r w:rsidRPr="00FA3E41">
        <w:rPr>
          <w:rFonts w:ascii="Arial" w:hAnsi="Arial" w:cs="Arial"/>
          <w:sz w:val="22"/>
          <w:vertAlign w:val="superscript"/>
          <w:lang w:val="en-AU"/>
        </w:rPr>
        <w:endnoteReference w:id="31"/>
      </w:r>
    </w:p>
    <w:p w14:paraId="2229695D" w14:textId="32514979" w:rsidR="00B918BB" w:rsidRPr="00550B28" w:rsidRDefault="00227000" w:rsidP="005256CD">
      <w:pPr>
        <w:rPr>
          <w:rFonts w:ascii="Arial" w:hAnsi="Arial"/>
          <w:sz w:val="22"/>
          <w:szCs w:val="22"/>
          <w:lang w:val="en-AU"/>
        </w:rPr>
      </w:pPr>
      <w:r w:rsidRPr="00FE79D0">
        <w:rPr>
          <w:rFonts w:ascii="Arial" w:hAnsi="Arial"/>
          <w:sz w:val="22"/>
          <w:szCs w:val="22"/>
          <w:lang w:val="en-AU"/>
        </w:rPr>
        <w:t>Females were more likely than males to provide unpaid child care, with th</w:t>
      </w:r>
      <w:r w:rsidR="00D56C20">
        <w:rPr>
          <w:rFonts w:ascii="Arial" w:hAnsi="Arial"/>
          <w:sz w:val="22"/>
          <w:szCs w:val="22"/>
          <w:lang w:val="en-AU"/>
        </w:rPr>
        <w:t>ose aged</w:t>
      </w:r>
      <w:r w:rsidR="0061096D">
        <w:rPr>
          <w:rFonts w:ascii="Arial" w:hAnsi="Arial"/>
          <w:sz w:val="22"/>
          <w:szCs w:val="22"/>
          <w:lang w:val="en-AU"/>
        </w:rPr>
        <w:t xml:space="preserve"> 20–</w:t>
      </w:r>
      <w:r w:rsidRPr="00FE79D0">
        <w:rPr>
          <w:rFonts w:ascii="Arial" w:hAnsi="Arial"/>
          <w:sz w:val="22"/>
          <w:szCs w:val="22"/>
          <w:lang w:val="en-AU"/>
        </w:rPr>
        <w:t xml:space="preserve">24 years showing the greatest gender gap, with </w:t>
      </w:r>
      <w:r w:rsidR="008578FD">
        <w:rPr>
          <w:rFonts w:ascii="Arial" w:hAnsi="Arial"/>
          <w:sz w:val="22"/>
          <w:szCs w:val="22"/>
          <w:lang w:val="en-AU"/>
        </w:rPr>
        <w:t>females</w:t>
      </w:r>
      <w:r w:rsidRPr="00FE79D0">
        <w:rPr>
          <w:rFonts w:ascii="Arial" w:hAnsi="Arial"/>
          <w:sz w:val="22"/>
          <w:szCs w:val="22"/>
          <w:lang w:val="en-AU"/>
        </w:rPr>
        <w:t xml:space="preserve"> accounting for 67.8% of all Queenslanders in this age group who provided unpaid child care in 2016</w:t>
      </w:r>
      <w:r w:rsidR="00144906" w:rsidRPr="00FE79D0">
        <w:rPr>
          <w:rFonts w:ascii="Arial" w:hAnsi="Arial"/>
          <w:sz w:val="22"/>
          <w:szCs w:val="22"/>
          <w:lang w:val="en-AU"/>
        </w:rPr>
        <w:t>.</w:t>
      </w:r>
      <w:r w:rsidR="00144906" w:rsidRPr="00FA3E41">
        <w:rPr>
          <w:rFonts w:ascii="Arial" w:hAnsi="Arial" w:cs="Arial"/>
          <w:sz w:val="22"/>
          <w:vertAlign w:val="superscript"/>
          <w:lang w:val="en-AU"/>
        </w:rPr>
        <w:endnoteReference w:id="32"/>
      </w:r>
    </w:p>
    <w:p w14:paraId="29BBE26A" w14:textId="57A20E40" w:rsidR="00144906" w:rsidRPr="00550B28" w:rsidRDefault="00144906" w:rsidP="005256CD">
      <w:pPr>
        <w:rPr>
          <w:rFonts w:ascii="Arial" w:hAnsi="Arial"/>
          <w:sz w:val="22"/>
          <w:szCs w:val="22"/>
          <w:lang w:val="en-AU"/>
        </w:rPr>
      </w:pPr>
      <w:r w:rsidRPr="00FE79D0">
        <w:rPr>
          <w:rFonts w:ascii="Arial" w:hAnsi="Arial"/>
          <w:sz w:val="22"/>
          <w:szCs w:val="22"/>
          <w:lang w:val="en-AU"/>
        </w:rPr>
        <w:t>Females comprise</w:t>
      </w:r>
      <w:r w:rsidR="00AA26AA" w:rsidRPr="00FE79D0">
        <w:rPr>
          <w:rFonts w:ascii="Arial" w:hAnsi="Arial"/>
          <w:sz w:val="22"/>
          <w:szCs w:val="22"/>
          <w:lang w:val="en-AU"/>
        </w:rPr>
        <w:t>d</w:t>
      </w:r>
      <w:r w:rsidRPr="00FE79D0">
        <w:rPr>
          <w:rFonts w:ascii="Arial" w:hAnsi="Arial"/>
          <w:sz w:val="22"/>
          <w:szCs w:val="22"/>
          <w:lang w:val="en-AU"/>
        </w:rPr>
        <w:t xml:space="preserve"> 70.1% of all primary carers, who provide ongoing assistance for at least six months with one of the core activities of communication, mobility or self-care,</w:t>
      </w:r>
      <w:r w:rsidR="00EA0E66" w:rsidRPr="00FE79D0">
        <w:rPr>
          <w:rFonts w:ascii="Arial" w:hAnsi="Arial"/>
          <w:sz w:val="22"/>
          <w:szCs w:val="22"/>
          <w:lang w:val="en-AU"/>
        </w:rPr>
        <w:t xml:space="preserve"> and 90.3</w:t>
      </w:r>
      <w:r w:rsidR="006449DC" w:rsidRPr="00FE79D0">
        <w:rPr>
          <w:rFonts w:ascii="Arial" w:hAnsi="Arial"/>
          <w:sz w:val="22"/>
          <w:szCs w:val="22"/>
          <w:lang w:val="en-AU"/>
        </w:rPr>
        <w:t xml:space="preserve">% </w:t>
      </w:r>
      <w:r w:rsidRPr="00FE79D0">
        <w:rPr>
          <w:rFonts w:ascii="Arial" w:hAnsi="Arial"/>
          <w:sz w:val="22"/>
          <w:szCs w:val="22"/>
          <w:lang w:val="en-AU"/>
        </w:rPr>
        <w:t>of all parents who were primary carers of people with a disability in 2015.</w:t>
      </w:r>
      <w:r w:rsidRPr="00FA3E41">
        <w:rPr>
          <w:rFonts w:ascii="Arial" w:hAnsi="Arial" w:cs="Arial"/>
          <w:sz w:val="22"/>
          <w:vertAlign w:val="superscript"/>
          <w:lang w:val="en-AU"/>
        </w:rPr>
        <w:endnoteReference w:id="33"/>
      </w:r>
    </w:p>
    <w:p w14:paraId="27E9B6E1" w14:textId="74139851" w:rsidR="00B918BB" w:rsidRPr="00550B28" w:rsidRDefault="00227000" w:rsidP="005256CD">
      <w:pPr>
        <w:rPr>
          <w:rFonts w:ascii="Arial" w:hAnsi="Arial"/>
          <w:sz w:val="22"/>
          <w:szCs w:val="22"/>
          <w:lang w:val="en-AU"/>
        </w:rPr>
      </w:pPr>
      <w:r w:rsidRPr="00FE79D0">
        <w:rPr>
          <w:rFonts w:ascii="Arial" w:hAnsi="Arial"/>
          <w:sz w:val="22"/>
          <w:szCs w:val="22"/>
          <w:lang w:val="en-AU"/>
        </w:rPr>
        <w:t>In families with</w:t>
      </w:r>
      <w:r w:rsidR="0061096D">
        <w:rPr>
          <w:rFonts w:ascii="Arial" w:hAnsi="Arial"/>
          <w:sz w:val="22"/>
          <w:szCs w:val="22"/>
          <w:lang w:val="en-AU"/>
        </w:rPr>
        <w:t xml:space="preserve"> children aged 0–</w:t>
      </w:r>
      <w:r w:rsidR="00801453" w:rsidRPr="00FE79D0">
        <w:rPr>
          <w:rFonts w:ascii="Arial" w:hAnsi="Arial"/>
          <w:sz w:val="22"/>
          <w:szCs w:val="22"/>
          <w:lang w:val="en-AU"/>
        </w:rPr>
        <w:t>12 years and</w:t>
      </w:r>
      <w:r w:rsidRPr="00FE79D0">
        <w:rPr>
          <w:rFonts w:ascii="Arial" w:hAnsi="Arial"/>
          <w:sz w:val="22"/>
          <w:szCs w:val="22"/>
          <w:lang w:val="en-AU"/>
        </w:rPr>
        <w:t xml:space="preserve"> at least one employed parent, 61.8% of working mothers used work arrangements to care for their children in 2017, compared with 32.4%</w:t>
      </w:r>
      <w:r w:rsidR="00144906" w:rsidRPr="00FE79D0">
        <w:rPr>
          <w:rFonts w:ascii="Arial" w:hAnsi="Arial"/>
          <w:sz w:val="22"/>
          <w:szCs w:val="22"/>
          <w:lang w:val="en-AU"/>
        </w:rPr>
        <w:t xml:space="preserve"> of working fathers.</w:t>
      </w:r>
      <w:r w:rsidR="00144906" w:rsidRPr="00FA3E41">
        <w:rPr>
          <w:rFonts w:ascii="Arial" w:hAnsi="Arial" w:cs="Arial"/>
          <w:sz w:val="22"/>
          <w:vertAlign w:val="superscript"/>
          <w:lang w:val="en-AU"/>
        </w:rPr>
        <w:endnoteReference w:id="34"/>
      </w:r>
      <w:r w:rsidR="00144906" w:rsidRPr="00FA3E41">
        <w:rPr>
          <w:rFonts w:ascii="Arial" w:hAnsi="Arial" w:cs="Arial"/>
          <w:sz w:val="20"/>
          <w:szCs w:val="22"/>
          <w:lang w:val="en-AU"/>
        </w:rPr>
        <w:t xml:space="preserve"> </w:t>
      </w:r>
    </w:p>
    <w:p w14:paraId="4C199C52" w14:textId="77777777" w:rsidR="00144906" w:rsidRPr="00550B28" w:rsidRDefault="009547F6" w:rsidP="005256CD">
      <w:pPr>
        <w:rPr>
          <w:rFonts w:ascii="Arial" w:hAnsi="Arial"/>
          <w:sz w:val="22"/>
          <w:szCs w:val="22"/>
          <w:lang w:val="en-AU"/>
        </w:rPr>
      </w:pPr>
      <w:r w:rsidRPr="00FE79D0">
        <w:rPr>
          <w:rFonts w:ascii="Arial" w:hAnsi="Arial"/>
          <w:sz w:val="22"/>
          <w:szCs w:val="22"/>
          <w:lang w:val="en-AU"/>
        </w:rPr>
        <w:t>30.8% of working mothers used part-time work to care for a child in 2017, compared with 3.8% of working fathers using this arrangement</w:t>
      </w:r>
      <w:r w:rsidR="00144906" w:rsidRPr="00FE79D0">
        <w:rPr>
          <w:rFonts w:ascii="Arial" w:hAnsi="Arial"/>
          <w:sz w:val="22"/>
          <w:szCs w:val="22"/>
          <w:lang w:val="en-AU"/>
        </w:rPr>
        <w:t>.</w:t>
      </w:r>
      <w:r w:rsidR="00144906" w:rsidRPr="00FA3E41">
        <w:rPr>
          <w:rFonts w:ascii="Arial" w:hAnsi="Arial" w:cs="Arial"/>
          <w:sz w:val="22"/>
          <w:vertAlign w:val="superscript"/>
          <w:lang w:val="en-AU"/>
        </w:rPr>
        <w:endnoteReference w:id="35"/>
      </w:r>
    </w:p>
    <w:p w14:paraId="0D8ED3AD" w14:textId="789AEE67" w:rsidR="00457AE0" w:rsidRPr="00FE79D0" w:rsidRDefault="00457AE0" w:rsidP="005256CD">
      <w:pPr>
        <w:spacing w:before="240"/>
        <w:rPr>
          <w:rFonts w:ascii="Arial" w:hAnsi="Arial"/>
          <w:b/>
          <w:sz w:val="22"/>
          <w:szCs w:val="22"/>
          <w:lang w:val="en-AU"/>
        </w:rPr>
      </w:pPr>
    </w:p>
    <w:p w14:paraId="2629700A" w14:textId="6E2D4E9B" w:rsidR="00457AE0" w:rsidRPr="007D677A" w:rsidRDefault="00C85F86" w:rsidP="00D33DC2">
      <w:pPr>
        <w:rPr>
          <w:rFonts w:ascii="Arial" w:hAnsi="Arial"/>
          <w:sz w:val="22"/>
          <w:szCs w:val="22"/>
          <w:lang w:val="en-AU"/>
        </w:rPr>
        <w:sectPr w:rsidR="00457AE0" w:rsidRPr="007D677A" w:rsidSect="0020125E">
          <w:endnotePr>
            <w:numFmt w:val="decimal"/>
          </w:endnotePr>
          <w:type w:val="continuous"/>
          <w:pgSz w:w="11900" w:h="16840"/>
          <w:pgMar w:top="1843" w:right="1127" w:bottom="1440" w:left="1276" w:header="708" w:footer="708" w:gutter="0"/>
          <w:cols w:num="2" w:space="708"/>
          <w:titlePg/>
          <w:docGrid w:linePitch="360"/>
        </w:sectPr>
      </w:pPr>
      <w:r>
        <w:rPr>
          <w:rFonts w:ascii="Arial" w:hAnsi="Arial"/>
          <w:sz w:val="22"/>
          <w:szCs w:val="22"/>
          <w:lang w:val="en-AU"/>
        </w:rPr>
        <w:t xml:space="preserve">  </w:t>
      </w:r>
    </w:p>
    <w:p w14:paraId="62E95BFE" w14:textId="77777777" w:rsidR="00456A95" w:rsidRPr="00457AE0" w:rsidRDefault="00456A95" w:rsidP="00612268">
      <w:pPr>
        <w:rPr>
          <w:rFonts w:ascii="Arial" w:hAnsi="Arial"/>
          <w:sz w:val="22"/>
          <w:szCs w:val="22"/>
        </w:rPr>
      </w:pPr>
    </w:p>
    <w:sectPr w:rsidR="00456A95" w:rsidRPr="00457AE0" w:rsidSect="00987FB2">
      <w:headerReference w:type="default" r:id="rId19"/>
      <w:headerReference w:type="first" r:id="rId20"/>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FDBF" w14:textId="77777777" w:rsidR="00B05A53" w:rsidRDefault="00B05A53" w:rsidP="00456A95">
      <w:r>
        <w:separator/>
      </w:r>
    </w:p>
  </w:endnote>
  <w:endnote w:type="continuationSeparator" w:id="0">
    <w:p w14:paraId="30AA73F4" w14:textId="77777777" w:rsidR="00B05A53" w:rsidRDefault="00B05A53" w:rsidP="00456A95">
      <w:r>
        <w:continuationSeparator/>
      </w:r>
    </w:p>
  </w:endnote>
  <w:endnote w:id="1">
    <w:p w14:paraId="05DFDDA7"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Parliament, </w:t>
      </w:r>
      <w:r w:rsidRPr="00D94D8C">
        <w:rPr>
          <w:rFonts w:ascii="Arial" w:hAnsi="Arial" w:cs="Arial"/>
          <w:i/>
          <w:sz w:val="18"/>
          <w:szCs w:val="18"/>
          <w:lang w:eastAsia="ko-KR"/>
        </w:rPr>
        <w:t>Members</w:t>
      </w:r>
      <w:r w:rsidRPr="00D94D8C">
        <w:rPr>
          <w:rFonts w:ascii="Arial" w:hAnsi="Arial" w:cs="Arial"/>
          <w:sz w:val="18"/>
          <w:szCs w:val="18"/>
          <w:lang w:eastAsia="ko-KR"/>
        </w:rPr>
        <w:t xml:space="preserve"> – current members including Ministers and shadow Ministers.</w:t>
      </w:r>
    </w:p>
  </w:endnote>
  <w:endnote w:id="2">
    <w:p w14:paraId="78471041"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The Australasian Institute of Judicial Administration (AIJA), 2018, </w:t>
      </w:r>
      <w:r w:rsidRPr="00D94D8C">
        <w:rPr>
          <w:rFonts w:ascii="Arial" w:hAnsi="Arial" w:cs="Arial"/>
          <w:i/>
          <w:sz w:val="18"/>
          <w:szCs w:val="18"/>
        </w:rPr>
        <w:t>AIJA Judicial gender statistics – judges and magistrates (% of women) March 2018</w:t>
      </w:r>
      <w:r w:rsidRPr="00D94D8C">
        <w:rPr>
          <w:rFonts w:ascii="Arial" w:hAnsi="Arial" w:cs="Arial"/>
          <w:sz w:val="18"/>
          <w:szCs w:val="18"/>
        </w:rPr>
        <w:t>.</w:t>
      </w:r>
    </w:p>
  </w:endnote>
  <w:endnote w:id="3">
    <w:p w14:paraId="59477D7B" w14:textId="77777777" w:rsidR="00B05A53" w:rsidRPr="00D94D8C" w:rsidRDefault="00B05A53" w:rsidP="00AF2AC6">
      <w:pPr>
        <w:pStyle w:val="EndnoteText"/>
        <w:spacing w:after="40"/>
        <w:ind w:left="284" w:hanging="397"/>
        <w:rPr>
          <w:rFonts w:ascii="Arial" w:hAnsi="Arial" w:cs="Arial"/>
          <w:sz w:val="18"/>
          <w:szCs w:val="18"/>
          <w:lang w:val="en-AU"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Government Department of Premier and Cabinet, 2018, </w:t>
      </w:r>
      <w:r w:rsidRPr="00D94D8C">
        <w:rPr>
          <w:rFonts w:ascii="Arial" w:hAnsi="Arial" w:cs="Arial"/>
          <w:i/>
          <w:sz w:val="18"/>
          <w:szCs w:val="18"/>
          <w:lang w:eastAsia="ko-KR"/>
        </w:rPr>
        <w:t>Register of Appointees to Queensland Government Boards</w:t>
      </w:r>
      <w:r w:rsidRPr="00D94D8C">
        <w:rPr>
          <w:rFonts w:ascii="Arial" w:hAnsi="Arial" w:cs="Arial"/>
          <w:sz w:val="18"/>
          <w:szCs w:val="18"/>
          <w:lang w:eastAsia="ko-KR"/>
        </w:rPr>
        <w:t xml:space="preserve">, unpublished data. </w:t>
      </w:r>
      <w:r w:rsidRPr="00D94D8C">
        <w:rPr>
          <w:rFonts w:ascii="Arial" w:hAnsi="Arial" w:cs="Arial"/>
          <w:sz w:val="18"/>
          <w:szCs w:val="18"/>
          <w:lang w:val="en-AU" w:eastAsia="ko-KR"/>
        </w:rPr>
        <w:t xml:space="preserve">The </w:t>
      </w:r>
      <w:r w:rsidRPr="00D94D8C">
        <w:rPr>
          <w:rFonts w:ascii="Arial" w:hAnsi="Arial" w:cs="Arial"/>
          <w:sz w:val="18"/>
          <w:szCs w:val="18"/>
          <w:lang w:eastAsia="ko-KR"/>
        </w:rPr>
        <w:t>figure applies to 261 boards designated by the Queensland Government as “in scope”, and does not apply to the following government bodies/ roles on the Queensland Register of Appointees: (i) courts and tribunals (as the target is directed at board or committee appointments); (ii) Government and Non-Government ex-officio positions (as these appointments are by position); full-time or part-time statutory office holders (as the target is directed at board or committee appointments); and bodies established to meet inter-jurisdictional agreements (as appointees are decided with the agreement of another State or the Commonwealth).</w:t>
      </w:r>
    </w:p>
  </w:endnote>
  <w:endnote w:id="4">
    <w:p w14:paraId="26A5B8DE"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Queensland Government Public Service Commission, 2018, </w:t>
      </w:r>
      <w:r w:rsidRPr="00E35036">
        <w:rPr>
          <w:rFonts w:ascii="Arial" w:hAnsi="Arial" w:cs="Arial"/>
          <w:i/>
          <w:sz w:val="18"/>
          <w:szCs w:val="18"/>
          <w:lang w:eastAsia="ko-KR"/>
        </w:rPr>
        <w:t>Queensland public sector quarterly workforce profile</w:t>
      </w:r>
      <w:r w:rsidRPr="00D94D8C">
        <w:rPr>
          <w:rFonts w:ascii="Arial" w:hAnsi="Arial" w:cs="Arial"/>
          <w:sz w:val="18"/>
          <w:szCs w:val="18"/>
          <w:lang w:eastAsia="ko-KR"/>
        </w:rPr>
        <w:t xml:space="preserve"> </w:t>
      </w:r>
      <w:r>
        <w:rPr>
          <w:rFonts w:ascii="Arial" w:hAnsi="Arial" w:cs="Arial"/>
          <w:sz w:val="18"/>
          <w:szCs w:val="18"/>
          <w:lang w:eastAsia="ko-KR"/>
        </w:rPr>
        <w:t>June 2018</w:t>
      </w:r>
      <w:r w:rsidRPr="00D94D8C">
        <w:rPr>
          <w:rFonts w:ascii="Arial" w:hAnsi="Arial" w:cs="Arial"/>
          <w:sz w:val="18"/>
          <w:szCs w:val="18"/>
          <w:lang w:eastAsia="ko-KR"/>
        </w:rPr>
        <w:t>’</w:t>
      </w:r>
      <w:r>
        <w:rPr>
          <w:rFonts w:ascii="Arial" w:hAnsi="Arial" w:cs="Arial"/>
          <w:sz w:val="18"/>
          <w:szCs w:val="18"/>
          <w:lang w:eastAsia="ko-KR"/>
        </w:rPr>
        <w:t>,</w:t>
      </w:r>
      <w:r w:rsidRPr="00D94D8C">
        <w:rPr>
          <w:rFonts w:ascii="Arial" w:hAnsi="Arial" w:cs="Arial"/>
          <w:sz w:val="18"/>
          <w:szCs w:val="18"/>
          <w:lang w:eastAsia="ko-KR"/>
        </w:rPr>
        <w:t>Table 4: Number and percentage of FTE by annual earnings and gender, based on AO equivalent (as if working full-time</w:t>
      </w:r>
      <w:r>
        <w:rPr>
          <w:rFonts w:ascii="Arial" w:hAnsi="Arial" w:cs="Arial"/>
          <w:sz w:val="18"/>
          <w:szCs w:val="18"/>
          <w:lang w:eastAsia="ko-KR"/>
        </w:rPr>
        <w:t>.</w:t>
      </w:r>
    </w:p>
  </w:endnote>
  <w:endnote w:id="5">
    <w:p w14:paraId="3EB1E6AE" w14:textId="47DA0DDA"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lang w:eastAsia="ko-KR"/>
        </w:rPr>
        <w:t xml:space="preserve"> Figures do not include employees under the classification of chief executives and</w:t>
      </w:r>
      <w:r w:rsidR="00AF2AC6">
        <w:rPr>
          <w:rFonts w:ascii="Arial" w:hAnsi="Arial" w:cs="Arial"/>
          <w:sz w:val="18"/>
          <w:szCs w:val="18"/>
          <w:lang w:eastAsia="ko-KR"/>
        </w:rPr>
        <w:t xml:space="preserve"> managing directors not further </w:t>
      </w:r>
      <w:r w:rsidRPr="00D94D8C">
        <w:rPr>
          <w:rFonts w:ascii="Arial" w:hAnsi="Arial" w:cs="Arial"/>
          <w:sz w:val="18"/>
          <w:szCs w:val="18"/>
          <w:lang w:eastAsia="ko-KR"/>
        </w:rPr>
        <w:t>defined.</w:t>
      </w:r>
    </w:p>
  </w:endnote>
  <w:endnote w:id="6">
    <w:p w14:paraId="49EB665F"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sz w:val="18"/>
          <w:szCs w:val="18"/>
          <w:lang w:eastAsia="ko-KR"/>
        </w:rPr>
        <w:t>Labour force, Australia, detailed, quarterly, May 2018</w:t>
      </w:r>
      <w:r w:rsidRPr="00D94D8C">
        <w:rPr>
          <w:rFonts w:ascii="Arial" w:hAnsi="Arial" w:cs="Arial"/>
          <w:sz w:val="18"/>
          <w:szCs w:val="18"/>
          <w:lang w:eastAsia="ko-KR"/>
        </w:rPr>
        <w:t>, ‘EQ08 - Employed persons by Occupation unit group of main job (ANZSCO), Sex, State and Territory, August 1986 onwards’, cat. no. 6291.0.55.003.</w:t>
      </w:r>
    </w:p>
  </w:endnote>
  <w:endnote w:id="7">
    <w:p w14:paraId="66C31716"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w:t>
      </w:r>
    </w:p>
  </w:endnote>
  <w:endnote w:id="8">
    <w:p w14:paraId="65599942"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lang w:eastAsia="ko-KR"/>
        </w:rPr>
        <w:t xml:space="preserve"> Figures do not include employees under the classification of chief executives and managing directors not further defined.</w:t>
      </w:r>
    </w:p>
  </w:endnote>
  <w:endnote w:id="9">
    <w:p w14:paraId="73DF5A77"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2015, </w:t>
      </w:r>
      <w:r w:rsidRPr="00D94D8C">
        <w:rPr>
          <w:rFonts w:ascii="Arial" w:hAnsi="Arial" w:cs="Arial"/>
          <w:i/>
          <w:sz w:val="18"/>
          <w:szCs w:val="18"/>
        </w:rPr>
        <w:t>General social survey: Summary results, Australia, 2014</w:t>
      </w:r>
      <w:r w:rsidRPr="00D94D8C">
        <w:rPr>
          <w:rFonts w:ascii="Arial" w:hAnsi="Arial" w:cs="Arial"/>
          <w:sz w:val="18"/>
          <w:szCs w:val="18"/>
        </w:rPr>
        <w:t xml:space="preserve">, ‘Table 22. Volunteers - characteristics - state and territory, Table 22.1 Persons who volunteered in the last 12 months, selected personal characteristics–by state/territory’, cat. no. 4159.0. The </w:t>
      </w:r>
      <w:r w:rsidRPr="00D94D8C">
        <w:rPr>
          <w:rFonts w:ascii="Arial" w:hAnsi="Arial" w:cs="Arial"/>
          <w:i/>
          <w:sz w:val="18"/>
          <w:szCs w:val="18"/>
        </w:rPr>
        <w:t>General social survey</w:t>
      </w:r>
      <w:r w:rsidRPr="00D94D8C">
        <w:rPr>
          <w:rFonts w:ascii="Arial" w:hAnsi="Arial" w:cs="Arial"/>
          <w:sz w:val="18"/>
          <w:szCs w:val="18"/>
        </w:rPr>
        <w:t xml:space="preserve"> is based on persons aged 15 years and over.</w:t>
      </w:r>
    </w:p>
  </w:endnote>
  <w:endnote w:id="10">
    <w:p w14:paraId="5A9E8E53"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2015, </w:t>
      </w:r>
      <w:r w:rsidRPr="00D94D8C">
        <w:rPr>
          <w:rFonts w:ascii="Arial" w:hAnsi="Arial" w:cs="Arial"/>
          <w:i/>
          <w:sz w:val="18"/>
          <w:szCs w:val="18"/>
        </w:rPr>
        <w:t>General social survey, summary results, Australia, 2014</w:t>
      </w:r>
      <w:r w:rsidRPr="00D94D8C">
        <w:rPr>
          <w:rFonts w:ascii="Arial" w:hAnsi="Arial" w:cs="Arial"/>
          <w:sz w:val="18"/>
          <w:szCs w:val="18"/>
        </w:rPr>
        <w:t xml:space="preserve">, ‘Table 03. State and Territory, Table 3.3 All persons, selected personal characteristics – by state and territory’, cat. no. 4159.0, customised data. </w:t>
      </w:r>
    </w:p>
  </w:endnote>
  <w:endnote w:id="11">
    <w:p w14:paraId="59F5903A"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Labour force includes people aged 15 years and over who are employed or unemployed. The labour force participation rate (also referred to as workforce participation rate) for any group is the labour force expressed as a percentage of the civilian population aged 15 years and over in the same group.</w:t>
      </w:r>
    </w:p>
  </w:endnote>
  <w:endnote w:id="12">
    <w:p w14:paraId="3CAAF7E8" w14:textId="609DAD3B"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sz w:val="18"/>
          <w:szCs w:val="18"/>
        </w:rPr>
        <w:t xml:space="preserve">Labour force, Australia, </w:t>
      </w:r>
      <w:r>
        <w:rPr>
          <w:rFonts w:ascii="Arial" w:hAnsi="Arial" w:cs="Arial"/>
          <w:i/>
          <w:sz w:val="18"/>
          <w:szCs w:val="18"/>
        </w:rPr>
        <w:t>October</w:t>
      </w:r>
      <w:r w:rsidRPr="00D94D8C">
        <w:rPr>
          <w:rFonts w:ascii="Arial" w:hAnsi="Arial" w:cs="Arial"/>
          <w:i/>
          <w:sz w:val="18"/>
          <w:szCs w:val="18"/>
        </w:rPr>
        <w:t xml:space="preserve"> 2018</w:t>
      </w:r>
      <w:r w:rsidRPr="00D94D8C">
        <w:rPr>
          <w:rFonts w:ascii="Arial" w:hAnsi="Arial" w:cs="Arial"/>
          <w:sz w:val="18"/>
          <w:szCs w:val="18"/>
        </w:rPr>
        <w:t>, ‘Table 6. Labour force status by Sex, Queensland - Trend, Seasonally adjusted and Original’, cat. no. 6202.0.</w:t>
      </w:r>
    </w:p>
  </w:endnote>
  <w:endnote w:id="13">
    <w:p w14:paraId="4A6CA187" w14:textId="1C0B92E4"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sz w:val="18"/>
          <w:szCs w:val="18"/>
        </w:rPr>
        <w:t xml:space="preserve">Labour force, Australia, </w:t>
      </w:r>
      <w:r>
        <w:rPr>
          <w:rFonts w:ascii="Arial" w:hAnsi="Arial" w:cs="Arial"/>
          <w:i/>
          <w:sz w:val="18"/>
          <w:szCs w:val="18"/>
        </w:rPr>
        <w:t>October</w:t>
      </w:r>
      <w:r w:rsidRPr="00D94D8C">
        <w:rPr>
          <w:rFonts w:ascii="Arial" w:hAnsi="Arial" w:cs="Arial"/>
          <w:i/>
          <w:sz w:val="18"/>
          <w:szCs w:val="18"/>
        </w:rPr>
        <w:t xml:space="preserve"> 2018</w:t>
      </w:r>
      <w:r w:rsidRPr="00D94D8C">
        <w:rPr>
          <w:rFonts w:ascii="Arial" w:hAnsi="Arial" w:cs="Arial"/>
          <w:sz w:val="18"/>
          <w:szCs w:val="18"/>
        </w:rPr>
        <w:t>, ‘Table 1. Labour force status by Sex, Australia - Trend, Seasonally adjusted and Original’, cat. no. 6202.0.</w:t>
      </w:r>
    </w:p>
  </w:endnote>
  <w:endnote w:id="14">
    <w:p w14:paraId="30E18681" w14:textId="13283F33"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Original data are used for both full-time and part-time employment as trend data are unavailable for part-time employment.</w:t>
      </w:r>
    </w:p>
  </w:endnote>
  <w:endnote w:id="15">
    <w:p w14:paraId="56F1C89F" w14:textId="030F023C"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sz w:val="18"/>
          <w:szCs w:val="18"/>
        </w:rPr>
        <w:t xml:space="preserve">Labour force, Australia, </w:t>
      </w:r>
      <w:r>
        <w:rPr>
          <w:rFonts w:ascii="Arial" w:hAnsi="Arial" w:cs="Arial"/>
          <w:i/>
          <w:sz w:val="18"/>
          <w:szCs w:val="18"/>
        </w:rPr>
        <w:t>October</w:t>
      </w:r>
      <w:r w:rsidRPr="00D94D8C">
        <w:rPr>
          <w:rFonts w:ascii="Arial" w:hAnsi="Arial" w:cs="Arial"/>
          <w:i/>
          <w:sz w:val="18"/>
          <w:szCs w:val="18"/>
        </w:rPr>
        <w:t xml:space="preserve"> 2018</w:t>
      </w:r>
      <w:r w:rsidRPr="00D94D8C">
        <w:rPr>
          <w:rFonts w:ascii="Arial" w:hAnsi="Arial" w:cs="Arial"/>
          <w:sz w:val="18"/>
          <w:szCs w:val="18"/>
        </w:rPr>
        <w:t>, ‘Table 6. Labour force status by Sex, Queensland - Trend, Seasonally adjusted and Original’, cat. no. 6202.0.</w:t>
      </w:r>
    </w:p>
  </w:endnote>
  <w:endnote w:id="16">
    <w:p w14:paraId="2111C942" w14:textId="77777777" w:rsidR="00B05A53" w:rsidRPr="00D60F52" w:rsidRDefault="00B05A53" w:rsidP="00AF2AC6">
      <w:pPr>
        <w:pStyle w:val="EndnoteText"/>
        <w:spacing w:after="40"/>
        <w:ind w:left="284" w:hanging="397"/>
        <w:rPr>
          <w:rFonts w:ascii="Arial" w:hAnsi="Arial" w:cs="Arial"/>
          <w:sz w:val="18"/>
          <w:szCs w:val="18"/>
          <w:lang w:eastAsia="ko-KR"/>
        </w:rPr>
      </w:pPr>
      <w:r w:rsidRPr="00D60F52">
        <w:rPr>
          <w:rStyle w:val="EndnoteReference"/>
          <w:rFonts w:ascii="Arial" w:hAnsi="Arial" w:cs="Arial"/>
          <w:sz w:val="18"/>
          <w:szCs w:val="18"/>
        </w:rPr>
        <w:endnoteRef/>
      </w:r>
      <w:r w:rsidRPr="00D60F52">
        <w:rPr>
          <w:rFonts w:ascii="Arial" w:hAnsi="Arial" w:cs="Arial"/>
          <w:sz w:val="18"/>
          <w:szCs w:val="18"/>
        </w:rPr>
        <w:t xml:space="preserve"> </w:t>
      </w:r>
      <w:r w:rsidRPr="00D60F52">
        <w:rPr>
          <w:rFonts w:ascii="Arial" w:hAnsi="Arial" w:cs="Arial"/>
          <w:sz w:val="18"/>
          <w:szCs w:val="18"/>
          <w:lang w:eastAsia="ko-KR"/>
        </w:rPr>
        <w:t xml:space="preserve">Australian Bureau of Statistics, 2017, </w:t>
      </w:r>
      <w:r w:rsidRPr="00D60F52">
        <w:rPr>
          <w:rFonts w:ascii="Arial" w:hAnsi="Arial" w:cs="Arial"/>
          <w:i/>
          <w:iCs/>
          <w:sz w:val="18"/>
          <w:szCs w:val="18"/>
          <w:lang w:eastAsia="ko-KR"/>
        </w:rPr>
        <w:t>2016 Census of Population and Housing</w:t>
      </w:r>
      <w:r w:rsidRPr="00D60F52">
        <w:rPr>
          <w:rFonts w:ascii="Arial" w:hAnsi="Arial" w:cs="Arial"/>
          <w:sz w:val="18"/>
          <w:szCs w:val="18"/>
          <w:lang w:eastAsia="ko-KR"/>
        </w:rPr>
        <w:t>, ‘Queensland (State/Territory), Aboriginal and Torres Strait Islander Peoples Profile, Table I14 Selected labour force, education and migration characteristics by Indigenous status by sex’, cat. no. 2002.0.</w:t>
      </w:r>
    </w:p>
  </w:endnote>
  <w:endnote w:id="17">
    <w:p w14:paraId="4262A8E4" w14:textId="77777777" w:rsidR="00B05A53" w:rsidRPr="00D60F52" w:rsidRDefault="00B05A53" w:rsidP="00AF2AC6">
      <w:pPr>
        <w:pStyle w:val="EndnoteText"/>
        <w:spacing w:after="40"/>
        <w:ind w:left="284" w:hanging="397"/>
        <w:rPr>
          <w:rFonts w:ascii="Arial" w:hAnsi="Arial" w:cs="Arial"/>
          <w:sz w:val="18"/>
          <w:szCs w:val="18"/>
          <w:lang w:eastAsia="ko-KR"/>
        </w:rPr>
      </w:pPr>
      <w:r w:rsidRPr="00D60F52">
        <w:rPr>
          <w:rStyle w:val="EndnoteReference"/>
          <w:rFonts w:ascii="Arial" w:hAnsi="Arial" w:cs="Arial"/>
          <w:sz w:val="18"/>
          <w:szCs w:val="18"/>
        </w:rPr>
        <w:endnoteRef/>
      </w:r>
      <w:r w:rsidRPr="00D60F52">
        <w:rPr>
          <w:rFonts w:ascii="Arial" w:hAnsi="Arial" w:cs="Arial"/>
          <w:sz w:val="18"/>
          <w:szCs w:val="18"/>
        </w:rPr>
        <w:t xml:space="preserve"> </w:t>
      </w:r>
      <w:r w:rsidRPr="00D60F52">
        <w:rPr>
          <w:rFonts w:ascii="Arial" w:hAnsi="Arial" w:cs="Arial"/>
          <w:i/>
          <w:sz w:val="18"/>
          <w:szCs w:val="18"/>
          <w:lang w:eastAsia="ko-KR"/>
        </w:rPr>
        <w:t>Ibid</w:t>
      </w:r>
      <w:r w:rsidRPr="00D60F52">
        <w:rPr>
          <w:rFonts w:ascii="Arial" w:hAnsi="Arial" w:cs="Arial"/>
          <w:sz w:val="18"/>
          <w:szCs w:val="18"/>
          <w:lang w:eastAsia="ko-KR"/>
        </w:rPr>
        <w:t xml:space="preserve">, ‘Aboriginal and Torres Strait Islander Peoples Profile, Table I15 I14 Selected labour force, education and migration characteristics by Indigenous status by sex’, cat. no. 2002.0.  </w:t>
      </w:r>
    </w:p>
  </w:endnote>
  <w:endnote w:id="18">
    <w:p w14:paraId="5DF60A58" w14:textId="77777777" w:rsidR="00B05A53" w:rsidRPr="00D94D8C" w:rsidRDefault="00B05A53" w:rsidP="00AF2AC6">
      <w:pPr>
        <w:pStyle w:val="EndnoteText"/>
        <w:spacing w:after="40"/>
        <w:ind w:left="284" w:hanging="397"/>
        <w:rPr>
          <w:rFonts w:ascii="Arial" w:hAnsi="Arial" w:cs="Arial"/>
          <w:sz w:val="18"/>
          <w:szCs w:val="18"/>
        </w:rPr>
      </w:pPr>
      <w:r w:rsidRPr="00D60F52">
        <w:rPr>
          <w:rStyle w:val="EndnoteReference"/>
          <w:rFonts w:ascii="Arial" w:hAnsi="Arial" w:cs="Arial"/>
          <w:sz w:val="18"/>
          <w:szCs w:val="18"/>
        </w:rPr>
        <w:endnoteRef/>
      </w:r>
      <w:r w:rsidRPr="00D60F52">
        <w:rPr>
          <w:rFonts w:ascii="Arial" w:hAnsi="Arial" w:cs="Arial"/>
          <w:sz w:val="18"/>
          <w:szCs w:val="18"/>
        </w:rPr>
        <w:t xml:space="preserve"> Australian Bureau of Statistics, 2016, </w:t>
      </w:r>
      <w:r w:rsidRPr="00D60F52">
        <w:rPr>
          <w:rFonts w:ascii="Arial" w:hAnsi="Arial" w:cs="Arial"/>
          <w:i/>
          <w:sz w:val="18"/>
          <w:szCs w:val="18"/>
        </w:rPr>
        <w:t>Disability, ageing and carers, Australia: Summary of findings, 2015</w:t>
      </w:r>
      <w:r w:rsidRPr="00D60F52">
        <w:rPr>
          <w:rFonts w:ascii="Arial" w:hAnsi="Arial" w:cs="Arial"/>
          <w:sz w:val="18"/>
          <w:szCs w:val="18"/>
        </w:rPr>
        <w:t>, ‘Queensland, Table 9.3 Persons aged 15–64 years, living in households, disability status, by sex and labour force</w:t>
      </w:r>
      <w:r w:rsidRPr="00D94D8C">
        <w:rPr>
          <w:rFonts w:ascii="Arial" w:hAnsi="Arial" w:cs="Arial"/>
          <w:sz w:val="18"/>
          <w:szCs w:val="18"/>
        </w:rPr>
        <w:t xml:space="preserve"> status–2012 and 2015, proportion of persons’, cat. no. 4430.0.</w:t>
      </w:r>
    </w:p>
  </w:endnote>
  <w:endnote w:id="19">
    <w:p w14:paraId="00AAC049" w14:textId="2F07EC64" w:rsidR="00AF2AC6" w:rsidRPr="00AF2AC6"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00AF2AC6" w:rsidRPr="00AF2AC6">
        <w:rPr>
          <w:rFonts w:ascii="Arial" w:hAnsi="Arial" w:cs="Arial"/>
          <w:sz w:val="18"/>
          <w:szCs w:val="18"/>
        </w:rPr>
        <w:t xml:space="preserve">Australian Bureau of Statistics, 2018, </w:t>
      </w:r>
      <w:r w:rsidR="00AF2AC6" w:rsidRPr="00AF2AC6">
        <w:rPr>
          <w:rFonts w:ascii="Arial" w:hAnsi="Arial" w:cs="Arial"/>
          <w:i/>
          <w:sz w:val="18"/>
          <w:szCs w:val="18"/>
        </w:rPr>
        <w:t>Labour force, Australia, October 2018</w:t>
      </w:r>
      <w:r w:rsidR="00AF2AC6" w:rsidRPr="00AF2AC6">
        <w:rPr>
          <w:rFonts w:ascii="Arial" w:hAnsi="Arial" w:cs="Arial"/>
          <w:sz w:val="18"/>
          <w:szCs w:val="18"/>
        </w:rPr>
        <w:t>, ‘Table 6. Labour force status by Sex, Queensland - Trend, Seasonally adjusted and Original’, cat. no. 6202.0.</w:t>
      </w:r>
    </w:p>
    <w:p w14:paraId="14AA59BA" w14:textId="5E047F5C" w:rsidR="00B05A53" w:rsidRPr="00D94D8C" w:rsidRDefault="00AF2AC6" w:rsidP="00AF2AC6">
      <w:pPr>
        <w:spacing w:after="40"/>
        <w:ind w:left="284" w:hanging="397"/>
        <w:rPr>
          <w:rFonts w:ascii="Arial" w:hAnsi="Arial" w:cs="Arial"/>
          <w:sz w:val="18"/>
          <w:szCs w:val="18"/>
        </w:rPr>
      </w:pPr>
      <w:r w:rsidRPr="00AF2AC6">
        <w:rPr>
          <w:rFonts w:ascii="Arial" w:hAnsi="Arial" w:cs="Arial"/>
          <w:sz w:val="18"/>
          <w:szCs w:val="18"/>
          <w:vertAlign w:val="superscript"/>
        </w:rPr>
        <w:endnoteRef/>
      </w:r>
      <w:r w:rsidRPr="00AF2AC6">
        <w:rPr>
          <w:rFonts w:ascii="Arial" w:hAnsi="Arial" w:cs="Arial"/>
          <w:sz w:val="18"/>
          <w:szCs w:val="18"/>
        </w:rPr>
        <w:t xml:space="preserve"> </w:t>
      </w:r>
      <w:r w:rsidRPr="00AF2AC6">
        <w:rPr>
          <w:rFonts w:ascii="Arial" w:hAnsi="Arial" w:cs="Arial"/>
          <w:i/>
          <w:sz w:val="18"/>
          <w:szCs w:val="18"/>
        </w:rPr>
        <w:t>ibid</w:t>
      </w:r>
      <w:r w:rsidRPr="00AF2AC6">
        <w:rPr>
          <w:rFonts w:ascii="Arial" w:hAnsi="Arial" w:cs="Arial"/>
          <w:sz w:val="18"/>
          <w:szCs w:val="18"/>
        </w:rPr>
        <w:t>.</w:t>
      </w:r>
    </w:p>
  </w:endnote>
  <w:endnote w:id="20">
    <w:p w14:paraId="6640DF81" w14:textId="52159FF2"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Original data are used for both full-time and part-time employment as trend data are unavailable for part-time employment.</w:t>
      </w:r>
    </w:p>
  </w:endnote>
  <w:endnote w:id="21">
    <w:p w14:paraId="4ED6E530" w14:textId="77777777" w:rsidR="00B05A53" w:rsidRPr="00D94D8C" w:rsidRDefault="00B05A53" w:rsidP="00AF2AC6">
      <w:pPr>
        <w:pStyle w:val="EndnoteText"/>
        <w:spacing w:after="40"/>
        <w:ind w:left="284" w:hanging="397"/>
        <w:rPr>
          <w:rFonts w:ascii="Arial" w:hAnsi="Arial" w:cs="Arial"/>
          <w:color w:val="FF0000"/>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2016, Characteristics of employment, Australia, August 2015, ‘Table 16 Populations: State or territory of usual residence – by sex’, cat no. 6333.0.</w:t>
      </w:r>
    </w:p>
  </w:endnote>
  <w:endnote w:id="22">
    <w:p w14:paraId="69195BD9"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sz w:val="18"/>
          <w:szCs w:val="18"/>
        </w:rPr>
        <w:t xml:space="preserve">Labour force, Australia, </w:t>
      </w:r>
      <w:r>
        <w:rPr>
          <w:rFonts w:ascii="Arial" w:hAnsi="Arial" w:cs="Arial"/>
          <w:i/>
          <w:sz w:val="18"/>
          <w:szCs w:val="18"/>
        </w:rPr>
        <w:t>October</w:t>
      </w:r>
      <w:r w:rsidRPr="00D94D8C">
        <w:rPr>
          <w:rFonts w:ascii="Arial" w:hAnsi="Arial" w:cs="Arial"/>
          <w:i/>
          <w:sz w:val="18"/>
          <w:szCs w:val="18"/>
        </w:rPr>
        <w:t xml:space="preserve"> 2018</w:t>
      </w:r>
      <w:r w:rsidRPr="00D94D8C">
        <w:rPr>
          <w:rFonts w:ascii="Arial" w:hAnsi="Arial" w:cs="Arial"/>
          <w:sz w:val="18"/>
          <w:szCs w:val="18"/>
        </w:rPr>
        <w:t>, ‘Table 23. Underutilised persons by State, Territory and Sex - Trend, Seasonally adjusted and Original’, cat. no. 6202.0 (trend).</w:t>
      </w:r>
    </w:p>
  </w:endnote>
  <w:endnote w:id="23">
    <w:p w14:paraId="0CE59563" w14:textId="77777777" w:rsidR="00B05A53" w:rsidRPr="00D60F52" w:rsidRDefault="00B05A53" w:rsidP="00AF2AC6">
      <w:pPr>
        <w:pStyle w:val="EndnoteText"/>
        <w:spacing w:after="40"/>
        <w:ind w:left="284" w:hanging="397"/>
        <w:rPr>
          <w:rFonts w:ascii="Arial" w:hAnsi="Arial" w:cs="Arial"/>
          <w:sz w:val="18"/>
          <w:szCs w:val="18"/>
        </w:rPr>
      </w:pPr>
      <w:r w:rsidRPr="00D60F52">
        <w:rPr>
          <w:rStyle w:val="EndnoteReference"/>
          <w:rFonts w:ascii="Arial" w:hAnsi="Arial" w:cs="Arial"/>
          <w:sz w:val="18"/>
          <w:szCs w:val="18"/>
        </w:rPr>
        <w:endnoteRef/>
      </w:r>
      <w:r w:rsidRPr="00D60F52">
        <w:rPr>
          <w:rFonts w:ascii="Arial" w:hAnsi="Arial" w:cs="Arial"/>
          <w:sz w:val="18"/>
          <w:szCs w:val="18"/>
        </w:rPr>
        <w:t xml:space="preserve"> </w:t>
      </w:r>
      <w:r w:rsidRPr="00D60F52">
        <w:rPr>
          <w:rFonts w:ascii="Arial" w:hAnsi="Arial" w:cs="Arial"/>
          <w:i/>
          <w:sz w:val="18"/>
          <w:szCs w:val="18"/>
        </w:rPr>
        <w:t>ibid</w:t>
      </w:r>
      <w:r w:rsidRPr="00D60F52">
        <w:rPr>
          <w:rFonts w:ascii="Arial" w:hAnsi="Arial" w:cs="Arial"/>
          <w:sz w:val="18"/>
          <w:szCs w:val="18"/>
        </w:rPr>
        <w:t>.</w:t>
      </w:r>
    </w:p>
  </w:endnote>
  <w:endnote w:id="24">
    <w:p w14:paraId="215A6D12"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Managerial employees are employees who have strategic responsibilities in the conduct or operations of the organisation and/or are in charge of a significant number of employees. These employees usually do not have an entitlement to paid overtime. Includes professionally qualified staff who primarily perform managerial tasks in conjunction with utilising their professional skills. Owner managers of incorporated enterprises are regarded as managerial employees. Non-managerial employees are employees who are not managerial employees, including non-managerial professionals and some employees with supervisory responsibilities.</w:t>
      </w:r>
    </w:p>
  </w:endnote>
  <w:endnote w:id="25">
    <w:p w14:paraId="69EB1353"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non-managerial employees paid at the adult rate, number of employees, average weekly total cash earnings, average hourly ordinary time cash earnings – type of employee, employment status by sex’, cat. no. 6306.0, customised data.</w:t>
      </w:r>
    </w:p>
  </w:endnote>
  <w:endnote w:id="26">
    <w:p w14:paraId="4BB472C2"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non-managerial employees paid at the adult rate, number of employees, average weekly total cash earnings, average hourly ordinary time cash earnings – type of employee, employment status by sex’, cat. no. 6306.0, customised data.</w:t>
      </w:r>
    </w:p>
  </w:endnote>
  <w:endnote w:id="27">
    <w:p w14:paraId="7F8D5F43" w14:textId="1E76365B" w:rsidR="00B05A53" w:rsidRPr="00D94D8C" w:rsidRDefault="00B05A53" w:rsidP="00AF2AC6">
      <w:pPr>
        <w:pStyle w:val="EndnoteText"/>
        <w:spacing w:after="40"/>
        <w:ind w:left="284" w:hanging="397"/>
        <w:rPr>
          <w:rFonts w:ascii="Arial" w:hAnsi="Arial" w:cs="Arial"/>
          <w:sz w:val="18"/>
          <w:szCs w:val="18"/>
          <w:lang w:val="en-AU"/>
        </w:rPr>
      </w:pPr>
      <w:r w:rsidRPr="00D94D8C">
        <w:rPr>
          <w:rStyle w:val="EndnoteReference"/>
          <w:rFonts w:ascii="Arial" w:hAnsi="Arial" w:cs="Arial"/>
          <w:sz w:val="18"/>
          <w:szCs w:val="18"/>
        </w:rPr>
        <w:endnoteRef/>
      </w:r>
      <w:r w:rsidRPr="00D94D8C">
        <w:rPr>
          <w:rFonts w:ascii="Arial" w:hAnsi="Arial" w:cs="Arial"/>
          <w:sz w:val="18"/>
          <w:szCs w:val="18"/>
        </w:rPr>
        <w:t xml:space="preserve"> Data are based on 4-quarter moving averages</w:t>
      </w:r>
    </w:p>
  </w:endnote>
  <w:endnote w:id="28">
    <w:p w14:paraId="5B39B456" w14:textId="188CE65A"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iCs/>
          <w:sz w:val="18"/>
          <w:szCs w:val="18"/>
          <w:lang w:eastAsia="ko-KR"/>
        </w:rPr>
        <w:t xml:space="preserve">Labour force, Australia, detailed, quarterly, </w:t>
      </w:r>
      <w:r>
        <w:rPr>
          <w:rFonts w:ascii="Arial" w:hAnsi="Arial" w:cs="Arial"/>
          <w:i/>
          <w:iCs/>
          <w:sz w:val="18"/>
          <w:szCs w:val="18"/>
          <w:lang w:eastAsia="ko-KR"/>
        </w:rPr>
        <w:t>August</w:t>
      </w:r>
      <w:r w:rsidRPr="00D94D8C">
        <w:rPr>
          <w:rFonts w:ascii="Arial" w:hAnsi="Arial" w:cs="Arial"/>
          <w:i/>
          <w:iCs/>
          <w:sz w:val="18"/>
          <w:szCs w:val="18"/>
          <w:lang w:eastAsia="ko-KR"/>
        </w:rPr>
        <w:t xml:space="preserve"> 2018</w:t>
      </w:r>
      <w:r w:rsidRPr="00D94D8C">
        <w:rPr>
          <w:rFonts w:ascii="Arial" w:hAnsi="Arial" w:cs="Arial"/>
          <w:sz w:val="18"/>
          <w:szCs w:val="18"/>
          <w:lang w:eastAsia="ko-KR"/>
        </w:rPr>
        <w:t xml:space="preserve">, ‘EQ06 - Employed persons by Industry group of main job (ANZSIC), Sex, State and Territory, November 1984 onwards’, cat. no. 6291.0.55.003.  </w:t>
      </w:r>
    </w:p>
  </w:endnote>
  <w:endnote w:id="29">
    <w:p w14:paraId="2E5885EF" w14:textId="2D629EB3"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Style w:val="EndnoteReference"/>
          <w:rFonts w:ascii="Arial" w:hAnsi="Arial" w:cs="Arial"/>
          <w:sz w:val="18"/>
          <w:szCs w:val="18"/>
        </w:rPr>
        <w:t xml:space="preserve"> </w:t>
      </w:r>
      <w:r w:rsidRPr="00D94D8C">
        <w:rPr>
          <w:rFonts w:ascii="Arial" w:hAnsi="Arial" w:cs="Arial"/>
          <w:sz w:val="18"/>
          <w:szCs w:val="18"/>
          <w:lang w:eastAsia="ko-KR"/>
        </w:rPr>
        <w:t>Data are based on 4-quarter moving averages</w:t>
      </w:r>
    </w:p>
  </w:endnote>
  <w:endnote w:id="30">
    <w:p w14:paraId="4FC8390F" w14:textId="706DB746"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iCs/>
          <w:sz w:val="18"/>
          <w:szCs w:val="18"/>
          <w:lang w:eastAsia="ko-KR"/>
        </w:rPr>
        <w:t xml:space="preserve">Labour force, Australia, detailed, quarterly, </w:t>
      </w:r>
      <w:r>
        <w:rPr>
          <w:rFonts w:ascii="Arial" w:hAnsi="Arial" w:cs="Arial"/>
          <w:i/>
          <w:iCs/>
          <w:sz w:val="18"/>
          <w:szCs w:val="18"/>
          <w:lang w:eastAsia="ko-KR"/>
        </w:rPr>
        <w:t>August</w:t>
      </w:r>
      <w:r w:rsidRPr="00D94D8C">
        <w:rPr>
          <w:rFonts w:ascii="Arial" w:hAnsi="Arial" w:cs="Arial"/>
          <w:i/>
          <w:iCs/>
          <w:sz w:val="18"/>
          <w:szCs w:val="18"/>
          <w:lang w:eastAsia="ko-KR"/>
        </w:rPr>
        <w:t xml:space="preserve"> 2018</w:t>
      </w:r>
      <w:r w:rsidRPr="00D94D8C">
        <w:rPr>
          <w:rFonts w:ascii="Arial" w:hAnsi="Arial" w:cs="Arial"/>
          <w:sz w:val="18"/>
          <w:szCs w:val="18"/>
          <w:lang w:eastAsia="ko-KR"/>
        </w:rPr>
        <w:t xml:space="preserve">, ‘EQ08 - Employed persons by Occupation unit group of main job (ANZSCO), Sex, State and Territory, August 1986 onwards’, cat. no. 6291.0.55.003.  </w:t>
      </w:r>
    </w:p>
  </w:endnote>
  <w:endnote w:id="31">
    <w:p w14:paraId="2A126460"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2017, </w:t>
      </w:r>
      <w:r w:rsidRPr="00D94D8C">
        <w:rPr>
          <w:rFonts w:ascii="Arial" w:hAnsi="Arial" w:cs="Arial"/>
          <w:i/>
          <w:iCs/>
          <w:sz w:val="18"/>
          <w:szCs w:val="18"/>
          <w:lang w:eastAsia="ko-KR"/>
        </w:rPr>
        <w:t>2016 Census of Population and Housing</w:t>
      </w:r>
      <w:r w:rsidRPr="00D94D8C">
        <w:rPr>
          <w:rFonts w:ascii="Arial" w:hAnsi="Arial" w:cs="Arial"/>
          <w:sz w:val="18"/>
          <w:szCs w:val="18"/>
          <w:lang w:eastAsia="ko-KR"/>
        </w:rPr>
        <w:t xml:space="preserve">, ‘Queensland (State/Territory), General Community Profile, Table G20 Unpaid domestic work: number of hours by age by sex’, cat. no. 2001.0.  </w:t>
      </w:r>
    </w:p>
  </w:endnote>
  <w:endnote w:id="32">
    <w:p w14:paraId="1EA189E6"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2017, </w:t>
      </w:r>
      <w:r w:rsidRPr="00D94D8C">
        <w:rPr>
          <w:rFonts w:ascii="Arial" w:hAnsi="Arial" w:cs="Arial"/>
          <w:i/>
          <w:iCs/>
          <w:sz w:val="18"/>
          <w:szCs w:val="18"/>
          <w:lang w:eastAsia="ko-KR"/>
        </w:rPr>
        <w:t>2016 Census of Population and Housing</w:t>
      </w:r>
      <w:r w:rsidRPr="00D94D8C">
        <w:rPr>
          <w:rFonts w:ascii="Arial" w:hAnsi="Arial" w:cs="Arial"/>
          <w:sz w:val="18"/>
          <w:szCs w:val="18"/>
          <w:lang w:eastAsia="ko-KR"/>
        </w:rPr>
        <w:t xml:space="preserve">, ‘Queensland (State/Territory), General Community Profile, Table G22 Unpaid child care by age by sex’, cat. no. 2001.0.  </w:t>
      </w:r>
    </w:p>
  </w:endnote>
  <w:endnote w:id="33">
    <w:p w14:paraId="3633F9EC" w14:textId="10BD2E44"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2016, </w:t>
      </w:r>
      <w:r w:rsidRPr="00D94D8C">
        <w:rPr>
          <w:rFonts w:ascii="Arial" w:hAnsi="Arial" w:cs="Arial"/>
          <w:i/>
          <w:sz w:val="18"/>
          <w:szCs w:val="18"/>
        </w:rPr>
        <w:t>Disability, ageing and carers, Australia: Summary of findings, 2015</w:t>
      </w:r>
      <w:r w:rsidRPr="00D94D8C">
        <w:rPr>
          <w:rFonts w:ascii="Arial" w:hAnsi="Arial" w:cs="Arial"/>
          <w:sz w:val="18"/>
          <w:szCs w:val="18"/>
        </w:rPr>
        <w:t>, ‘Queensland, Table 32.1 All persons, living in households, carer status, by age and sex–2015, estimate and Table 38.1 Primary carers, relationship of carer to main recipient of care, by age and sex of primary carers–2015, estimate’, cat. no. 4430.0.</w:t>
      </w:r>
    </w:p>
  </w:endnote>
  <w:endnote w:id="34">
    <w:p w14:paraId="0307A383" w14:textId="3A2882EB"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2018, </w:t>
      </w:r>
      <w:r w:rsidRPr="00D94D8C">
        <w:rPr>
          <w:rFonts w:ascii="Arial" w:hAnsi="Arial" w:cs="Arial"/>
          <w:i/>
          <w:iCs/>
          <w:sz w:val="18"/>
          <w:szCs w:val="18"/>
          <w:lang w:eastAsia="ko-KR"/>
        </w:rPr>
        <w:t>Childhood education and care, Australia, June 2017</w:t>
      </w:r>
      <w:r w:rsidRPr="00D94D8C">
        <w:rPr>
          <w:rFonts w:ascii="Arial" w:hAnsi="Arial" w:cs="Arial"/>
          <w:sz w:val="18"/>
          <w:szCs w:val="18"/>
          <w:lang w:eastAsia="ko-KR"/>
        </w:rPr>
        <w:t xml:space="preserve">, ‘Childhood Education and Care, Queensland, Table 10. Families with children aged 0–12 years with at least one parent employed: Work arrangements used by male and female parent to care for child – Queensland’, cat. no. 4402.0.  </w:t>
      </w:r>
    </w:p>
  </w:endnote>
  <w:endnote w:id="35">
    <w:p w14:paraId="571884B9"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893544122"/>
      <w:docPartObj>
        <w:docPartGallery w:val="Page Numbers (Bottom of Page)"/>
        <w:docPartUnique/>
      </w:docPartObj>
    </w:sdtPr>
    <w:sdtEndPr/>
    <w:sdtContent>
      <w:sdt>
        <w:sdtPr>
          <w:rPr>
            <w:sz w:val="22"/>
            <w:szCs w:val="22"/>
          </w:rPr>
          <w:id w:val="699662059"/>
          <w:docPartObj>
            <w:docPartGallery w:val="Page Numbers (Top of Page)"/>
            <w:docPartUnique/>
          </w:docPartObj>
        </w:sdtPr>
        <w:sdtEndPr/>
        <w:sdtContent>
          <w:p w14:paraId="3CC63702" w14:textId="422161B7" w:rsidR="00B05A53" w:rsidRPr="00D94D8C" w:rsidRDefault="00B05A53" w:rsidP="005D5004">
            <w:pPr>
              <w:pStyle w:val="Footer"/>
            </w:pPr>
            <w:r w:rsidRPr="00D94D8C">
              <w:rPr>
                <w:sz w:val="22"/>
                <w:szCs w:val="22"/>
              </w:rPr>
              <w:t xml:space="preserve">Page </w:t>
            </w:r>
            <w:r w:rsidRPr="00D94D8C">
              <w:rPr>
                <w:sz w:val="22"/>
                <w:szCs w:val="22"/>
              </w:rPr>
              <w:fldChar w:fldCharType="begin"/>
            </w:r>
            <w:r w:rsidRPr="00D94D8C">
              <w:rPr>
                <w:sz w:val="22"/>
                <w:szCs w:val="22"/>
              </w:rPr>
              <w:instrText xml:space="preserve"> PAGE </w:instrText>
            </w:r>
            <w:r w:rsidRPr="00D94D8C">
              <w:rPr>
                <w:sz w:val="22"/>
                <w:szCs w:val="22"/>
              </w:rPr>
              <w:fldChar w:fldCharType="separate"/>
            </w:r>
            <w:r w:rsidR="00B92792">
              <w:rPr>
                <w:noProof/>
                <w:sz w:val="22"/>
                <w:szCs w:val="22"/>
              </w:rPr>
              <w:t>4</w:t>
            </w:r>
            <w:r w:rsidRPr="00D94D8C">
              <w:rPr>
                <w:sz w:val="22"/>
                <w:szCs w:val="22"/>
              </w:rPr>
              <w:fldChar w:fldCharType="end"/>
            </w:r>
            <w:r w:rsidRPr="00D94D8C">
              <w:rPr>
                <w:sz w:val="22"/>
                <w:szCs w:val="22"/>
              </w:rPr>
              <w:t xml:space="preserve"> of </w:t>
            </w:r>
            <w:r w:rsidRPr="00D94D8C">
              <w:rPr>
                <w:sz w:val="22"/>
                <w:szCs w:val="22"/>
              </w:rPr>
              <w:fldChar w:fldCharType="begin"/>
            </w:r>
            <w:r w:rsidRPr="00D94D8C">
              <w:rPr>
                <w:sz w:val="22"/>
                <w:szCs w:val="22"/>
              </w:rPr>
              <w:instrText xml:space="preserve"> NUMPAGES  </w:instrText>
            </w:r>
            <w:r w:rsidRPr="00D94D8C">
              <w:rPr>
                <w:sz w:val="22"/>
                <w:szCs w:val="22"/>
              </w:rPr>
              <w:fldChar w:fldCharType="separate"/>
            </w:r>
            <w:r w:rsidR="00B92792">
              <w:rPr>
                <w:noProof/>
                <w:sz w:val="22"/>
                <w:szCs w:val="22"/>
              </w:rPr>
              <w:t>4</w:t>
            </w:r>
            <w:r w:rsidRPr="00D94D8C">
              <w:rPr>
                <w:sz w:val="22"/>
                <w:szCs w:val="22"/>
              </w:rPr>
              <w:fldChar w:fldCharType="end"/>
            </w:r>
            <w:r>
              <w:rPr>
                <w:sz w:val="22"/>
                <w:szCs w:val="22"/>
              </w:rPr>
              <w:tab/>
            </w:r>
            <w:r>
              <w:rPr>
                <w:sz w:val="22"/>
                <w:szCs w:val="22"/>
              </w:rPr>
              <w:tab/>
              <w:t>December 2018</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642468484"/>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476F2030" w14:textId="15AE73D0" w:rsidR="00B05A53" w:rsidRPr="00D94D8C" w:rsidRDefault="00B05A53" w:rsidP="008120C8">
            <w:pPr>
              <w:pStyle w:val="Footer"/>
              <w:rPr>
                <w:sz w:val="22"/>
                <w:szCs w:val="22"/>
              </w:rPr>
            </w:pPr>
            <w:r w:rsidRPr="008120C8">
              <w:rPr>
                <w:sz w:val="22"/>
                <w:szCs w:val="22"/>
              </w:rPr>
              <w:t xml:space="preserve">Page </w:t>
            </w:r>
            <w:r w:rsidRPr="00D94D8C">
              <w:rPr>
                <w:bCs/>
                <w:sz w:val="22"/>
                <w:szCs w:val="22"/>
              </w:rPr>
              <w:fldChar w:fldCharType="begin"/>
            </w:r>
            <w:r w:rsidRPr="00D94D8C">
              <w:rPr>
                <w:bCs/>
                <w:sz w:val="22"/>
                <w:szCs w:val="22"/>
              </w:rPr>
              <w:instrText xml:space="preserve"> PAGE </w:instrText>
            </w:r>
            <w:r w:rsidRPr="00D94D8C">
              <w:rPr>
                <w:bCs/>
                <w:sz w:val="22"/>
                <w:szCs w:val="22"/>
              </w:rPr>
              <w:fldChar w:fldCharType="separate"/>
            </w:r>
            <w:r w:rsidR="00B92792">
              <w:rPr>
                <w:bCs/>
                <w:noProof/>
                <w:sz w:val="22"/>
                <w:szCs w:val="22"/>
              </w:rPr>
              <w:t>1</w:t>
            </w:r>
            <w:r w:rsidRPr="00D94D8C">
              <w:rPr>
                <w:bCs/>
                <w:sz w:val="22"/>
                <w:szCs w:val="22"/>
              </w:rPr>
              <w:fldChar w:fldCharType="end"/>
            </w:r>
            <w:r w:rsidRPr="008120C8">
              <w:rPr>
                <w:sz w:val="22"/>
                <w:szCs w:val="22"/>
              </w:rPr>
              <w:t xml:space="preserve"> of </w:t>
            </w:r>
            <w:r w:rsidRPr="00D94D8C">
              <w:rPr>
                <w:bCs/>
                <w:sz w:val="22"/>
                <w:szCs w:val="22"/>
              </w:rPr>
              <w:fldChar w:fldCharType="begin"/>
            </w:r>
            <w:r w:rsidRPr="00D94D8C">
              <w:rPr>
                <w:bCs/>
                <w:sz w:val="22"/>
                <w:szCs w:val="22"/>
              </w:rPr>
              <w:instrText xml:space="preserve"> NUMPAGES  </w:instrText>
            </w:r>
            <w:r w:rsidRPr="00D94D8C">
              <w:rPr>
                <w:bCs/>
                <w:sz w:val="22"/>
                <w:szCs w:val="22"/>
              </w:rPr>
              <w:fldChar w:fldCharType="separate"/>
            </w:r>
            <w:r w:rsidR="00B92792">
              <w:rPr>
                <w:bCs/>
                <w:noProof/>
                <w:sz w:val="22"/>
                <w:szCs w:val="22"/>
              </w:rPr>
              <w:t>4</w:t>
            </w:r>
            <w:r w:rsidRPr="00D94D8C">
              <w:rPr>
                <w:bCs/>
                <w:sz w:val="22"/>
                <w:szCs w:val="22"/>
              </w:rPr>
              <w:fldChar w:fldCharType="end"/>
            </w:r>
            <w:r>
              <w:rPr>
                <w:bCs/>
                <w:sz w:val="22"/>
                <w:szCs w:val="22"/>
              </w:rPr>
              <w:tab/>
            </w:r>
            <w:r>
              <w:rPr>
                <w:bCs/>
                <w:sz w:val="22"/>
                <w:szCs w:val="22"/>
              </w:rPr>
              <w:tab/>
              <w:t>December 2018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0C3E" w14:textId="77777777" w:rsidR="00B05A53" w:rsidRDefault="00B05A53" w:rsidP="00456A95">
      <w:r>
        <w:separator/>
      </w:r>
    </w:p>
  </w:footnote>
  <w:footnote w:type="continuationSeparator" w:id="0">
    <w:p w14:paraId="3AB031F0" w14:textId="77777777" w:rsidR="00B05A53" w:rsidRDefault="00B05A53" w:rsidP="0045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C5C5" w14:textId="77777777" w:rsidR="00B05A53" w:rsidRDefault="00B05A53">
    <w:pPr>
      <w:pStyle w:val="Header"/>
    </w:pPr>
    <w:r>
      <w:rPr>
        <w:noProof/>
        <w:lang w:val="en-AU" w:eastAsia="en-AU"/>
      </w:rPr>
      <w:drawing>
        <wp:anchor distT="0" distB="0" distL="114300" distR="114300" simplePos="0" relativeHeight="251658240" behindDoc="1" locked="0" layoutInCell="1" allowOverlap="1" wp14:anchorId="24B14993" wp14:editId="40605F46">
          <wp:simplePos x="0" y="0"/>
          <wp:positionH relativeFrom="column">
            <wp:posOffset>-835025</wp:posOffset>
          </wp:positionH>
          <wp:positionV relativeFrom="paragraph">
            <wp:posOffset>-447675</wp:posOffset>
          </wp:positionV>
          <wp:extent cx="7585922" cy="10735233"/>
          <wp:effectExtent l="0" t="0" r="8890" b="9525"/>
          <wp:wrapNone/>
          <wp:docPr id="3" name="Picture 3" descr="SCS Job Folders 2:0513 - Office for Women Report cards:Artwork:0513 Report cards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 Job Folders 2:0513 - Office for Women Report cards:Artwork:0513 Report cards1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922" cy="10735233"/>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EBC27" w14:textId="77777777" w:rsidR="00B05A53" w:rsidRDefault="00B05A53">
    <w:pPr>
      <w:pStyle w:val="Header"/>
    </w:pPr>
    <w:r>
      <w:rPr>
        <w:noProof/>
        <w:lang w:val="en-AU" w:eastAsia="en-AU"/>
      </w:rPr>
      <w:drawing>
        <wp:anchor distT="0" distB="0" distL="114300" distR="114300" simplePos="0" relativeHeight="251660288" behindDoc="1" locked="0" layoutInCell="1" allowOverlap="1" wp14:anchorId="4C33D639" wp14:editId="7BAE21B8">
          <wp:simplePos x="0" y="0"/>
          <wp:positionH relativeFrom="page">
            <wp:align>right</wp:align>
          </wp:positionH>
          <wp:positionV relativeFrom="paragraph">
            <wp:posOffset>-457200</wp:posOffset>
          </wp:positionV>
          <wp:extent cx="7571976" cy="10701020"/>
          <wp:effectExtent l="0" t="0" r="0" b="5080"/>
          <wp:wrapNone/>
          <wp:docPr id="4" name="Picture 4" descr="SCS Job Folders 2:0513 - Office for Women Report cards:Artwork:0513 Report ca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513 - Office for Women Report cards:Artwork:0513 Report card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976" cy="1070102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0D50" w14:textId="77777777" w:rsidR="00B05A53" w:rsidRDefault="00B05A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0869" w14:textId="77777777" w:rsidR="00B05A53" w:rsidRDefault="00B05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962"/>
    <w:multiLevelType w:val="hybridMultilevel"/>
    <w:tmpl w:val="3BE08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217F9"/>
    <w:multiLevelType w:val="hybridMultilevel"/>
    <w:tmpl w:val="63BA7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D027DD"/>
    <w:multiLevelType w:val="hybridMultilevel"/>
    <w:tmpl w:val="14C88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6B80"/>
    <w:multiLevelType w:val="hybridMultilevel"/>
    <w:tmpl w:val="8CAC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706F"/>
    <w:multiLevelType w:val="hybridMultilevel"/>
    <w:tmpl w:val="2EF82D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926CF"/>
    <w:multiLevelType w:val="hybridMultilevel"/>
    <w:tmpl w:val="FE4E9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1270CC"/>
    <w:multiLevelType w:val="hybridMultilevel"/>
    <w:tmpl w:val="0C6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3342AC"/>
    <w:multiLevelType w:val="hybridMultilevel"/>
    <w:tmpl w:val="8ED86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00EC8"/>
    <w:multiLevelType w:val="hybridMultilevel"/>
    <w:tmpl w:val="3A809F74"/>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9E393D"/>
    <w:multiLevelType w:val="hybridMultilevel"/>
    <w:tmpl w:val="4414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59010B"/>
    <w:multiLevelType w:val="hybridMultilevel"/>
    <w:tmpl w:val="5F18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F4230"/>
    <w:multiLevelType w:val="hybridMultilevel"/>
    <w:tmpl w:val="E4AC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E25C5"/>
    <w:multiLevelType w:val="hybridMultilevel"/>
    <w:tmpl w:val="2E083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5525D7"/>
    <w:multiLevelType w:val="hybridMultilevel"/>
    <w:tmpl w:val="C76AC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0B5134"/>
    <w:multiLevelType w:val="hybridMultilevel"/>
    <w:tmpl w:val="EA683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E33B8F"/>
    <w:multiLevelType w:val="hybridMultilevel"/>
    <w:tmpl w:val="25989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CC104D"/>
    <w:multiLevelType w:val="hybridMultilevel"/>
    <w:tmpl w:val="149A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BF580A"/>
    <w:multiLevelType w:val="hybridMultilevel"/>
    <w:tmpl w:val="5E0C6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D227A1"/>
    <w:multiLevelType w:val="hybridMultilevel"/>
    <w:tmpl w:val="E8B892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171754B"/>
    <w:multiLevelType w:val="hybridMultilevel"/>
    <w:tmpl w:val="FE9C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C51CB1"/>
    <w:multiLevelType w:val="hybridMultilevel"/>
    <w:tmpl w:val="F3AA7B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3863C6"/>
    <w:multiLevelType w:val="hybridMultilevel"/>
    <w:tmpl w:val="D1E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75F5A"/>
    <w:multiLevelType w:val="hybridMultilevel"/>
    <w:tmpl w:val="8F1C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B7560D"/>
    <w:multiLevelType w:val="hybridMultilevel"/>
    <w:tmpl w:val="FAE0F2C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5"/>
  </w:num>
  <w:num w:numId="2">
    <w:abstractNumId w:val="3"/>
  </w:num>
  <w:num w:numId="3">
    <w:abstractNumId w:val="16"/>
  </w:num>
  <w:num w:numId="4">
    <w:abstractNumId w:val="10"/>
  </w:num>
  <w:num w:numId="5">
    <w:abstractNumId w:val="22"/>
  </w:num>
  <w:num w:numId="6">
    <w:abstractNumId w:val="21"/>
  </w:num>
  <w:num w:numId="7">
    <w:abstractNumId w:val="1"/>
  </w:num>
  <w:num w:numId="8">
    <w:abstractNumId w:val="18"/>
  </w:num>
  <w:num w:numId="9">
    <w:abstractNumId w:val="19"/>
  </w:num>
  <w:num w:numId="10">
    <w:abstractNumId w:val="13"/>
  </w:num>
  <w:num w:numId="11">
    <w:abstractNumId w:val="24"/>
  </w:num>
  <w:num w:numId="12">
    <w:abstractNumId w:val="12"/>
  </w:num>
  <w:num w:numId="13">
    <w:abstractNumId w:val="7"/>
  </w:num>
  <w:num w:numId="14">
    <w:abstractNumId w:val="15"/>
  </w:num>
  <w:num w:numId="15">
    <w:abstractNumId w:val="23"/>
  </w:num>
  <w:num w:numId="16">
    <w:abstractNumId w:val="8"/>
  </w:num>
  <w:num w:numId="17">
    <w:abstractNumId w:val="14"/>
  </w:num>
  <w:num w:numId="18">
    <w:abstractNumId w:val="17"/>
  </w:num>
  <w:num w:numId="19">
    <w:abstractNumId w:val="6"/>
  </w:num>
  <w:num w:numId="20">
    <w:abstractNumId w:val="0"/>
  </w:num>
  <w:num w:numId="21">
    <w:abstractNumId w:val="9"/>
  </w:num>
  <w:num w:numId="22">
    <w:abstractNumId w:val="2"/>
  </w:num>
  <w:num w:numId="23">
    <w:abstractNumId w:val="25"/>
  </w:num>
  <w:num w:numId="24">
    <w:abstractNumId w:val="2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6C49"/>
    <w:rsid w:val="00006DFA"/>
    <w:rsid w:val="0001008E"/>
    <w:rsid w:val="000124CF"/>
    <w:rsid w:val="00015183"/>
    <w:rsid w:val="00021779"/>
    <w:rsid w:val="00023AF5"/>
    <w:rsid w:val="00027654"/>
    <w:rsid w:val="00031B70"/>
    <w:rsid w:val="00036A06"/>
    <w:rsid w:val="00036F45"/>
    <w:rsid w:val="00037944"/>
    <w:rsid w:val="00040655"/>
    <w:rsid w:val="00041AB3"/>
    <w:rsid w:val="00043B0F"/>
    <w:rsid w:val="00044F2C"/>
    <w:rsid w:val="0004670F"/>
    <w:rsid w:val="0005294B"/>
    <w:rsid w:val="0005312B"/>
    <w:rsid w:val="00053B2B"/>
    <w:rsid w:val="00054D57"/>
    <w:rsid w:val="00061070"/>
    <w:rsid w:val="0006470D"/>
    <w:rsid w:val="000651FA"/>
    <w:rsid w:val="000712D3"/>
    <w:rsid w:val="00072446"/>
    <w:rsid w:val="00072A0F"/>
    <w:rsid w:val="00082673"/>
    <w:rsid w:val="00083FC6"/>
    <w:rsid w:val="000916D7"/>
    <w:rsid w:val="000965CE"/>
    <w:rsid w:val="000A520A"/>
    <w:rsid w:val="000B2466"/>
    <w:rsid w:val="000B273E"/>
    <w:rsid w:val="000B5DEB"/>
    <w:rsid w:val="000C0807"/>
    <w:rsid w:val="000C1B26"/>
    <w:rsid w:val="000C77F8"/>
    <w:rsid w:val="000D0970"/>
    <w:rsid w:val="000D3994"/>
    <w:rsid w:val="000F3F5A"/>
    <w:rsid w:val="00100260"/>
    <w:rsid w:val="001002DA"/>
    <w:rsid w:val="00105A55"/>
    <w:rsid w:val="001078B4"/>
    <w:rsid w:val="001238B8"/>
    <w:rsid w:val="00123E26"/>
    <w:rsid w:val="00127A1A"/>
    <w:rsid w:val="00132378"/>
    <w:rsid w:val="00133B41"/>
    <w:rsid w:val="00141117"/>
    <w:rsid w:val="00144906"/>
    <w:rsid w:val="001451B7"/>
    <w:rsid w:val="001452DC"/>
    <w:rsid w:val="00147FB4"/>
    <w:rsid w:val="001644A4"/>
    <w:rsid w:val="00173AF9"/>
    <w:rsid w:val="00183F65"/>
    <w:rsid w:val="001871FF"/>
    <w:rsid w:val="001A1E42"/>
    <w:rsid w:val="001A473D"/>
    <w:rsid w:val="001B024F"/>
    <w:rsid w:val="001B0769"/>
    <w:rsid w:val="001B3CC3"/>
    <w:rsid w:val="001B40D0"/>
    <w:rsid w:val="001B4290"/>
    <w:rsid w:val="001C46B9"/>
    <w:rsid w:val="001D086D"/>
    <w:rsid w:val="001D6E3A"/>
    <w:rsid w:val="001E29D6"/>
    <w:rsid w:val="001E657F"/>
    <w:rsid w:val="001F7D5C"/>
    <w:rsid w:val="0020125E"/>
    <w:rsid w:val="00204418"/>
    <w:rsid w:val="00204C17"/>
    <w:rsid w:val="00212181"/>
    <w:rsid w:val="0021279D"/>
    <w:rsid w:val="00215B4B"/>
    <w:rsid w:val="00216CEB"/>
    <w:rsid w:val="002243E0"/>
    <w:rsid w:val="0022581C"/>
    <w:rsid w:val="00227000"/>
    <w:rsid w:val="002324FE"/>
    <w:rsid w:val="00234DCB"/>
    <w:rsid w:val="0024031B"/>
    <w:rsid w:val="00250635"/>
    <w:rsid w:val="00252320"/>
    <w:rsid w:val="00256FBE"/>
    <w:rsid w:val="002640F6"/>
    <w:rsid w:val="00265A92"/>
    <w:rsid w:val="002700A0"/>
    <w:rsid w:val="00270957"/>
    <w:rsid w:val="00271A96"/>
    <w:rsid w:val="00275900"/>
    <w:rsid w:val="00275E32"/>
    <w:rsid w:val="0028026A"/>
    <w:rsid w:val="0028315A"/>
    <w:rsid w:val="0028355C"/>
    <w:rsid w:val="002853DB"/>
    <w:rsid w:val="00294478"/>
    <w:rsid w:val="00296A7B"/>
    <w:rsid w:val="002A46FF"/>
    <w:rsid w:val="002A48B1"/>
    <w:rsid w:val="002A7A86"/>
    <w:rsid w:val="002B29CC"/>
    <w:rsid w:val="002C00B0"/>
    <w:rsid w:val="002D4C87"/>
    <w:rsid w:val="002D7F06"/>
    <w:rsid w:val="002E02BF"/>
    <w:rsid w:val="002E54A4"/>
    <w:rsid w:val="002F4033"/>
    <w:rsid w:val="002F57CF"/>
    <w:rsid w:val="002F5AF0"/>
    <w:rsid w:val="00303239"/>
    <w:rsid w:val="00305DEA"/>
    <w:rsid w:val="00306A6D"/>
    <w:rsid w:val="00311208"/>
    <w:rsid w:val="003138C7"/>
    <w:rsid w:val="00322981"/>
    <w:rsid w:val="00326BA2"/>
    <w:rsid w:val="00335235"/>
    <w:rsid w:val="00335780"/>
    <w:rsid w:val="00341C22"/>
    <w:rsid w:val="00342BDB"/>
    <w:rsid w:val="003443F9"/>
    <w:rsid w:val="00356D91"/>
    <w:rsid w:val="00361D12"/>
    <w:rsid w:val="003646BA"/>
    <w:rsid w:val="00365F64"/>
    <w:rsid w:val="00366485"/>
    <w:rsid w:val="00375F40"/>
    <w:rsid w:val="003762DB"/>
    <w:rsid w:val="003767AE"/>
    <w:rsid w:val="0037769B"/>
    <w:rsid w:val="0038018D"/>
    <w:rsid w:val="00383EA2"/>
    <w:rsid w:val="00385F66"/>
    <w:rsid w:val="00386AB9"/>
    <w:rsid w:val="00387A67"/>
    <w:rsid w:val="003952C5"/>
    <w:rsid w:val="003A47DA"/>
    <w:rsid w:val="003B0E61"/>
    <w:rsid w:val="003B7B35"/>
    <w:rsid w:val="003C1FD0"/>
    <w:rsid w:val="003D08D2"/>
    <w:rsid w:val="003D3BF3"/>
    <w:rsid w:val="003D70D7"/>
    <w:rsid w:val="003E3B44"/>
    <w:rsid w:val="003E5540"/>
    <w:rsid w:val="003F5FFD"/>
    <w:rsid w:val="00403B61"/>
    <w:rsid w:val="00405050"/>
    <w:rsid w:val="0040737F"/>
    <w:rsid w:val="00407D8B"/>
    <w:rsid w:val="0041049D"/>
    <w:rsid w:val="00414503"/>
    <w:rsid w:val="004147C8"/>
    <w:rsid w:val="00415A0B"/>
    <w:rsid w:val="004171E3"/>
    <w:rsid w:val="004178CE"/>
    <w:rsid w:val="00430739"/>
    <w:rsid w:val="0043643A"/>
    <w:rsid w:val="00441D99"/>
    <w:rsid w:val="00446CDA"/>
    <w:rsid w:val="00450737"/>
    <w:rsid w:val="00456A95"/>
    <w:rsid w:val="00457AE0"/>
    <w:rsid w:val="004612F3"/>
    <w:rsid w:val="004633D2"/>
    <w:rsid w:val="00465CD1"/>
    <w:rsid w:val="0046732E"/>
    <w:rsid w:val="00467A9A"/>
    <w:rsid w:val="00475973"/>
    <w:rsid w:val="00477491"/>
    <w:rsid w:val="00482964"/>
    <w:rsid w:val="004850B8"/>
    <w:rsid w:val="00486BA7"/>
    <w:rsid w:val="004932F6"/>
    <w:rsid w:val="004964B3"/>
    <w:rsid w:val="004A0008"/>
    <w:rsid w:val="004A26E8"/>
    <w:rsid w:val="004B041B"/>
    <w:rsid w:val="004B7841"/>
    <w:rsid w:val="004C3A90"/>
    <w:rsid w:val="004C768A"/>
    <w:rsid w:val="004E4F16"/>
    <w:rsid w:val="004E5981"/>
    <w:rsid w:val="004E72C2"/>
    <w:rsid w:val="004E75DF"/>
    <w:rsid w:val="004E78DB"/>
    <w:rsid w:val="004F3095"/>
    <w:rsid w:val="004F5C8A"/>
    <w:rsid w:val="004F67A2"/>
    <w:rsid w:val="00504EC2"/>
    <w:rsid w:val="00521D88"/>
    <w:rsid w:val="005243E4"/>
    <w:rsid w:val="005256CD"/>
    <w:rsid w:val="00541359"/>
    <w:rsid w:val="0054196B"/>
    <w:rsid w:val="0054279F"/>
    <w:rsid w:val="00543F71"/>
    <w:rsid w:val="00550B28"/>
    <w:rsid w:val="0055543F"/>
    <w:rsid w:val="00557913"/>
    <w:rsid w:val="00561CD2"/>
    <w:rsid w:val="00562F4F"/>
    <w:rsid w:val="0056382A"/>
    <w:rsid w:val="0057050A"/>
    <w:rsid w:val="0057291D"/>
    <w:rsid w:val="00580913"/>
    <w:rsid w:val="005812FB"/>
    <w:rsid w:val="005875E0"/>
    <w:rsid w:val="00591396"/>
    <w:rsid w:val="00591616"/>
    <w:rsid w:val="00591D23"/>
    <w:rsid w:val="00592A6F"/>
    <w:rsid w:val="005948C3"/>
    <w:rsid w:val="005976A5"/>
    <w:rsid w:val="00597BCB"/>
    <w:rsid w:val="005A4617"/>
    <w:rsid w:val="005A5900"/>
    <w:rsid w:val="005A7D1C"/>
    <w:rsid w:val="005B5316"/>
    <w:rsid w:val="005B5EEA"/>
    <w:rsid w:val="005B670E"/>
    <w:rsid w:val="005B6F80"/>
    <w:rsid w:val="005C0459"/>
    <w:rsid w:val="005C057F"/>
    <w:rsid w:val="005C4914"/>
    <w:rsid w:val="005C5664"/>
    <w:rsid w:val="005D299E"/>
    <w:rsid w:val="005D415D"/>
    <w:rsid w:val="005D5004"/>
    <w:rsid w:val="005E0346"/>
    <w:rsid w:val="005E1553"/>
    <w:rsid w:val="005E15C8"/>
    <w:rsid w:val="005E2327"/>
    <w:rsid w:val="005F3EE0"/>
    <w:rsid w:val="006003A5"/>
    <w:rsid w:val="00601C86"/>
    <w:rsid w:val="006031B4"/>
    <w:rsid w:val="006108CA"/>
    <w:rsid w:val="0061096D"/>
    <w:rsid w:val="0061111B"/>
    <w:rsid w:val="00612268"/>
    <w:rsid w:val="006206D0"/>
    <w:rsid w:val="0062155C"/>
    <w:rsid w:val="00625789"/>
    <w:rsid w:val="00636ACB"/>
    <w:rsid w:val="00636C1A"/>
    <w:rsid w:val="00644471"/>
    <w:rsid w:val="006449DC"/>
    <w:rsid w:val="00654044"/>
    <w:rsid w:val="00654F1E"/>
    <w:rsid w:val="00656308"/>
    <w:rsid w:val="006628B1"/>
    <w:rsid w:val="00663B8C"/>
    <w:rsid w:val="00664735"/>
    <w:rsid w:val="006751FF"/>
    <w:rsid w:val="006801EF"/>
    <w:rsid w:val="00681F8B"/>
    <w:rsid w:val="00685962"/>
    <w:rsid w:val="00692C14"/>
    <w:rsid w:val="006A1EA0"/>
    <w:rsid w:val="006A6F2E"/>
    <w:rsid w:val="006B0E7B"/>
    <w:rsid w:val="006B3341"/>
    <w:rsid w:val="006B64EC"/>
    <w:rsid w:val="006C1037"/>
    <w:rsid w:val="006C42B5"/>
    <w:rsid w:val="006D05D3"/>
    <w:rsid w:val="006D2367"/>
    <w:rsid w:val="006D2ED4"/>
    <w:rsid w:val="006D7584"/>
    <w:rsid w:val="006E44AA"/>
    <w:rsid w:val="006E562C"/>
    <w:rsid w:val="006E619A"/>
    <w:rsid w:val="006F0663"/>
    <w:rsid w:val="006F1D82"/>
    <w:rsid w:val="006F53C4"/>
    <w:rsid w:val="006F6A3F"/>
    <w:rsid w:val="0070757E"/>
    <w:rsid w:val="007078B3"/>
    <w:rsid w:val="007111D0"/>
    <w:rsid w:val="0072151F"/>
    <w:rsid w:val="00721969"/>
    <w:rsid w:val="00740DF2"/>
    <w:rsid w:val="00744F58"/>
    <w:rsid w:val="007477A0"/>
    <w:rsid w:val="00756DE2"/>
    <w:rsid w:val="007725C1"/>
    <w:rsid w:val="007769E3"/>
    <w:rsid w:val="00784F83"/>
    <w:rsid w:val="00791D83"/>
    <w:rsid w:val="007A0B06"/>
    <w:rsid w:val="007A54DF"/>
    <w:rsid w:val="007A5EEB"/>
    <w:rsid w:val="007A612D"/>
    <w:rsid w:val="007A6B83"/>
    <w:rsid w:val="007B07F9"/>
    <w:rsid w:val="007C5342"/>
    <w:rsid w:val="007C5589"/>
    <w:rsid w:val="007C62BC"/>
    <w:rsid w:val="007D272E"/>
    <w:rsid w:val="007D677A"/>
    <w:rsid w:val="007E0A35"/>
    <w:rsid w:val="007E1EA3"/>
    <w:rsid w:val="007E2EFD"/>
    <w:rsid w:val="007E79B7"/>
    <w:rsid w:val="007F155D"/>
    <w:rsid w:val="007F6254"/>
    <w:rsid w:val="007F729D"/>
    <w:rsid w:val="00801453"/>
    <w:rsid w:val="008065A5"/>
    <w:rsid w:val="008071E4"/>
    <w:rsid w:val="00811538"/>
    <w:rsid w:val="008120C8"/>
    <w:rsid w:val="00826D95"/>
    <w:rsid w:val="008356CD"/>
    <w:rsid w:val="00853EA2"/>
    <w:rsid w:val="0085727B"/>
    <w:rsid w:val="008576CC"/>
    <w:rsid w:val="008578FD"/>
    <w:rsid w:val="00864861"/>
    <w:rsid w:val="00864E54"/>
    <w:rsid w:val="008652B4"/>
    <w:rsid w:val="00874938"/>
    <w:rsid w:val="00880C04"/>
    <w:rsid w:val="00891582"/>
    <w:rsid w:val="0089439B"/>
    <w:rsid w:val="008963DB"/>
    <w:rsid w:val="008B33C6"/>
    <w:rsid w:val="008B648E"/>
    <w:rsid w:val="008B7ED3"/>
    <w:rsid w:val="008D47AB"/>
    <w:rsid w:val="008E08E2"/>
    <w:rsid w:val="008E0E8F"/>
    <w:rsid w:val="008E4A09"/>
    <w:rsid w:val="008F1FB1"/>
    <w:rsid w:val="008F6378"/>
    <w:rsid w:val="00900E0E"/>
    <w:rsid w:val="009042B8"/>
    <w:rsid w:val="0092042A"/>
    <w:rsid w:val="0092092A"/>
    <w:rsid w:val="009218F0"/>
    <w:rsid w:val="009223ED"/>
    <w:rsid w:val="00930949"/>
    <w:rsid w:val="00936EF6"/>
    <w:rsid w:val="00940A01"/>
    <w:rsid w:val="00942297"/>
    <w:rsid w:val="00945958"/>
    <w:rsid w:val="009547F6"/>
    <w:rsid w:val="00957B09"/>
    <w:rsid w:val="009660EC"/>
    <w:rsid w:val="00966BBC"/>
    <w:rsid w:val="0097166D"/>
    <w:rsid w:val="00987FB2"/>
    <w:rsid w:val="00994FB7"/>
    <w:rsid w:val="00996315"/>
    <w:rsid w:val="009971DE"/>
    <w:rsid w:val="009A20D3"/>
    <w:rsid w:val="009B65B6"/>
    <w:rsid w:val="009B6BCB"/>
    <w:rsid w:val="009C1CFB"/>
    <w:rsid w:val="009E4581"/>
    <w:rsid w:val="009E5056"/>
    <w:rsid w:val="009F2905"/>
    <w:rsid w:val="009F3700"/>
    <w:rsid w:val="009F3B94"/>
    <w:rsid w:val="00A1094E"/>
    <w:rsid w:val="00A171B2"/>
    <w:rsid w:val="00A20A85"/>
    <w:rsid w:val="00A26D3D"/>
    <w:rsid w:val="00A27119"/>
    <w:rsid w:val="00A273E3"/>
    <w:rsid w:val="00A403AA"/>
    <w:rsid w:val="00A41498"/>
    <w:rsid w:val="00A423B5"/>
    <w:rsid w:val="00A61F43"/>
    <w:rsid w:val="00A64012"/>
    <w:rsid w:val="00A7080F"/>
    <w:rsid w:val="00A71EAF"/>
    <w:rsid w:val="00A7267A"/>
    <w:rsid w:val="00A762EB"/>
    <w:rsid w:val="00A84A62"/>
    <w:rsid w:val="00A8770D"/>
    <w:rsid w:val="00A90013"/>
    <w:rsid w:val="00A94F85"/>
    <w:rsid w:val="00A971C4"/>
    <w:rsid w:val="00AA26AA"/>
    <w:rsid w:val="00AA7E28"/>
    <w:rsid w:val="00AB1189"/>
    <w:rsid w:val="00AB754D"/>
    <w:rsid w:val="00AC5290"/>
    <w:rsid w:val="00AC59E3"/>
    <w:rsid w:val="00AC5C32"/>
    <w:rsid w:val="00AC5D93"/>
    <w:rsid w:val="00AC6D79"/>
    <w:rsid w:val="00AD09AD"/>
    <w:rsid w:val="00AD0AB1"/>
    <w:rsid w:val="00AF2AC6"/>
    <w:rsid w:val="00AF39B0"/>
    <w:rsid w:val="00AF3A7F"/>
    <w:rsid w:val="00AF4099"/>
    <w:rsid w:val="00AF5897"/>
    <w:rsid w:val="00AF6C62"/>
    <w:rsid w:val="00B05525"/>
    <w:rsid w:val="00B05A53"/>
    <w:rsid w:val="00B1662E"/>
    <w:rsid w:val="00B16998"/>
    <w:rsid w:val="00B32240"/>
    <w:rsid w:val="00B336A5"/>
    <w:rsid w:val="00B34BFC"/>
    <w:rsid w:val="00B36D3A"/>
    <w:rsid w:val="00B41C8C"/>
    <w:rsid w:val="00B42654"/>
    <w:rsid w:val="00B476C4"/>
    <w:rsid w:val="00B53701"/>
    <w:rsid w:val="00B702F4"/>
    <w:rsid w:val="00B71DBD"/>
    <w:rsid w:val="00B720BB"/>
    <w:rsid w:val="00B773D7"/>
    <w:rsid w:val="00B81C4E"/>
    <w:rsid w:val="00B82A55"/>
    <w:rsid w:val="00B910BA"/>
    <w:rsid w:val="00B918BB"/>
    <w:rsid w:val="00B92792"/>
    <w:rsid w:val="00BA0E90"/>
    <w:rsid w:val="00BA1532"/>
    <w:rsid w:val="00BA156B"/>
    <w:rsid w:val="00BA2C54"/>
    <w:rsid w:val="00BA2F99"/>
    <w:rsid w:val="00BB4200"/>
    <w:rsid w:val="00BD687C"/>
    <w:rsid w:val="00BD6E86"/>
    <w:rsid w:val="00BE5276"/>
    <w:rsid w:val="00BF03F0"/>
    <w:rsid w:val="00BF5E9C"/>
    <w:rsid w:val="00C04327"/>
    <w:rsid w:val="00C0549D"/>
    <w:rsid w:val="00C06858"/>
    <w:rsid w:val="00C17330"/>
    <w:rsid w:val="00C20C69"/>
    <w:rsid w:val="00C241B6"/>
    <w:rsid w:val="00C24938"/>
    <w:rsid w:val="00C24EF3"/>
    <w:rsid w:val="00C24F29"/>
    <w:rsid w:val="00C27A81"/>
    <w:rsid w:val="00C27C37"/>
    <w:rsid w:val="00C3478C"/>
    <w:rsid w:val="00C379FC"/>
    <w:rsid w:val="00C42C4F"/>
    <w:rsid w:val="00C456B6"/>
    <w:rsid w:val="00C45E3A"/>
    <w:rsid w:val="00C47475"/>
    <w:rsid w:val="00C50458"/>
    <w:rsid w:val="00C52ED0"/>
    <w:rsid w:val="00C5425C"/>
    <w:rsid w:val="00C56E7A"/>
    <w:rsid w:val="00C57867"/>
    <w:rsid w:val="00C72AC4"/>
    <w:rsid w:val="00C73218"/>
    <w:rsid w:val="00C772B7"/>
    <w:rsid w:val="00C77C32"/>
    <w:rsid w:val="00C8189F"/>
    <w:rsid w:val="00C82554"/>
    <w:rsid w:val="00C845A2"/>
    <w:rsid w:val="00C85F86"/>
    <w:rsid w:val="00C9153D"/>
    <w:rsid w:val="00C94885"/>
    <w:rsid w:val="00C94C39"/>
    <w:rsid w:val="00C94D40"/>
    <w:rsid w:val="00C94E42"/>
    <w:rsid w:val="00CA2AB7"/>
    <w:rsid w:val="00CA2B68"/>
    <w:rsid w:val="00CA566B"/>
    <w:rsid w:val="00CB3AA2"/>
    <w:rsid w:val="00CB6415"/>
    <w:rsid w:val="00CC09E8"/>
    <w:rsid w:val="00CC254E"/>
    <w:rsid w:val="00CE02F8"/>
    <w:rsid w:val="00CE0943"/>
    <w:rsid w:val="00CF2E63"/>
    <w:rsid w:val="00CF6918"/>
    <w:rsid w:val="00D0320D"/>
    <w:rsid w:val="00D03CBF"/>
    <w:rsid w:val="00D0698A"/>
    <w:rsid w:val="00D10FC1"/>
    <w:rsid w:val="00D11825"/>
    <w:rsid w:val="00D202CC"/>
    <w:rsid w:val="00D20A66"/>
    <w:rsid w:val="00D300E4"/>
    <w:rsid w:val="00D303B1"/>
    <w:rsid w:val="00D316C1"/>
    <w:rsid w:val="00D33DC2"/>
    <w:rsid w:val="00D34F1B"/>
    <w:rsid w:val="00D36B51"/>
    <w:rsid w:val="00D42802"/>
    <w:rsid w:val="00D4444A"/>
    <w:rsid w:val="00D44543"/>
    <w:rsid w:val="00D44A73"/>
    <w:rsid w:val="00D44D53"/>
    <w:rsid w:val="00D45C19"/>
    <w:rsid w:val="00D46A5F"/>
    <w:rsid w:val="00D54A0D"/>
    <w:rsid w:val="00D55C7C"/>
    <w:rsid w:val="00D56B07"/>
    <w:rsid w:val="00D56C20"/>
    <w:rsid w:val="00D5775A"/>
    <w:rsid w:val="00D57B83"/>
    <w:rsid w:val="00D60F52"/>
    <w:rsid w:val="00D65F47"/>
    <w:rsid w:val="00D71527"/>
    <w:rsid w:val="00D7375A"/>
    <w:rsid w:val="00D85EEC"/>
    <w:rsid w:val="00D946DD"/>
    <w:rsid w:val="00D94D8C"/>
    <w:rsid w:val="00D96226"/>
    <w:rsid w:val="00DA274D"/>
    <w:rsid w:val="00DA2D54"/>
    <w:rsid w:val="00DA3B61"/>
    <w:rsid w:val="00DB1863"/>
    <w:rsid w:val="00DB5539"/>
    <w:rsid w:val="00DC0ABC"/>
    <w:rsid w:val="00DC7CCD"/>
    <w:rsid w:val="00DD012B"/>
    <w:rsid w:val="00DD132B"/>
    <w:rsid w:val="00DE1D2B"/>
    <w:rsid w:val="00DE2A51"/>
    <w:rsid w:val="00DE3392"/>
    <w:rsid w:val="00DE377D"/>
    <w:rsid w:val="00DE7446"/>
    <w:rsid w:val="00DF38E3"/>
    <w:rsid w:val="00E0092C"/>
    <w:rsid w:val="00E04AAE"/>
    <w:rsid w:val="00E0652E"/>
    <w:rsid w:val="00E14282"/>
    <w:rsid w:val="00E14590"/>
    <w:rsid w:val="00E14CC6"/>
    <w:rsid w:val="00E17409"/>
    <w:rsid w:val="00E17614"/>
    <w:rsid w:val="00E20ED9"/>
    <w:rsid w:val="00E2159E"/>
    <w:rsid w:val="00E25C47"/>
    <w:rsid w:val="00E35036"/>
    <w:rsid w:val="00E373F5"/>
    <w:rsid w:val="00E43A74"/>
    <w:rsid w:val="00E43EB7"/>
    <w:rsid w:val="00E479A0"/>
    <w:rsid w:val="00E511BD"/>
    <w:rsid w:val="00E52EB5"/>
    <w:rsid w:val="00E5456A"/>
    <w:rsid w:val="00E57119"/>
    <w:rsid w:val="00E621F5"/>
    <w:rsid w:val="00E6360E"/>
    <w:rsid w:val="00E6682F"/>
    <w:rsid w:val="00E7236B"/>
    <w:rsid w:val="00E7640B"/>
    <w:rsid w:val="00E8092A"/>
    <w:rsid w:val="00E82DAF"/>
    <w:rsid w:val="00E845BA"/>
    <w:rsid w:val="00E94E33"/>
    <w:rsid w:val="00EA0E66"/>
    <w:rsid w:val="00EA2F77"/>
    <w:rsid w:val="00EA7E5F"/>
    <w:rsid w:val="00EB4E94"/>
    <w:rsid w:val="00EB63F6"/>
    <w:rsid w:val="00EC0B16"/>
    <w:rsid w:val="00ED230A"/>
    <w:rsid w:val="00EE09A5"/>
    <w:rsid w:val="00EF3024"/>
    <w:rsid w:val="00EF319A"/>
    <w:rsid w:val="00EF45DE"/>
    <w:rsid w:val="00EF5256"/>
    <w:rsid w:val="00EF5AEF"/>
    <w:rsid w:val="00F06FBF"/>
    <w:rsid w:val="00F1384C"/>
    <w:rsid w:val="00F145F0"/>
    <w:rsid w:val="00F20981"/>
    <w:rsid w:val="00F30B85"/>
    <w:rsid w:val="00F31437"/>
    <w:rsid w:val="00F44965"/>
    <w:rsid w:val="00F449B3"/>
    <w:rsid w:val="00F47B21"/>
    <w:rsid w:val="00F60E6E"/>
    <w:rsid w:val="00F65795"/>
    <w:rsid w:val="00F826CF"/>
    <w:rsid w:val="00F85ACD"/>
    <w:rsid w:val="00F87150"/>
    <w:rsid w:val="00F914A1"/>
    <w:rsid w:val="00F917B7"/>
    <w:rsid w:val="00F92982"/>
    <w:rsid w:val="00F92F1B"/>
    <w:rsid w:val="00F97E5D"/>
    <w:rsid w:val="00FA3E41"/>
    <w:rsid w:val="00FB2B9F"/>
    <w:rsid w:val="00FB5272"/>
    <w:rsid w:val="00FC775A"/>
    <w:rsid w:val="00FD0A02"/>
    <w:rsid w:val="00FD3C1D"/>
    <w:rsid w:val="00FD41C5"/>
    <w:rsid w:val="00FD4A6B"/>
    <w:rsid w:val="00FD4DD2"/>
    <w:rsid w:val="00FD60C3"/>
    <w:rsid w:val="00FE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1D24057"/>
  <w14:defaultImageDpi w14:val="300"/>
  <w15:docId w15:val="{6602758D-BF10-4708-953E-BA2C3D9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semiHidden/>
    <w:unhideWhenUsed/>
    <w:rsid w:val="00144906"/>
    <w:rPr>
      <w:sz w:val="20"/>
      <w:szCs w:val="20"/>
    </w:rPr>
  </w:style>
  <w:style w:type="character" w:customStyle="1" w:styleId="EndnoteTextChar">
    <w:name w:val="Endnote Text Char"/>
    <w:basedOn w:val="DefaultParagraphFont"/>
    <w:link w:val="EndnoteText"/>
    <w:uiPriority w:val="99"/>
    <w:semiHidden/>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
    <w:name w:val="Mention"/>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63c0b91530f494add3c28ab4ccaaaad4">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62060aebc85aeff586735324e3e7ca9f"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UNCLASSIFIED" ma:description="Assessment of the requirements for confidentiality, availability and integrity of an asset." ma:format="Dropdown" ma:internalName="Nexus_SecurityClassification" ma:readOnly="false">
      <xsd:simpleType>
        <xsd:restriction base="dms:Choice">
          <xsd:enumeration value="UNCLASSIFIED"/>
          <xsd:enumeration value="IN CONFIDENCE"/>
          <xsd:enumeration value="PROTECTED"/>
          <xsd:enumeration value="HIGHLY PROTECT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eaths"/>
              <xsd:enumeration value="DET profiles"/>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18-19" ma:format="Dropdown" ma:indexed="true" ma:internalName="Financial_x0020_Year0"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 xsi:nil="true"/>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2017-18</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PROJQGSR-8-789</_dlc_DocId>
    <_dlc_DocIdUrl xmlns="d702e6c2-0216-4f5f-bd9e-a6ff7cce144f">
      <Url>https://nexus.treasury.qld.gov.au/project/qgso-statistical-reports/_layouts/15/DocIdRedir.aspx?ID=PROJQGSR-8-789</Url>
      <Description>PROJQGSR-8-789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2F93-BF18-48E1-BCDE-476FAC25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3.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4.xml><?xml version="1.0" encoding="utf-8"?>
<ds:datastoreItem xmlns:ds="http://schemas.openxmlformats.org/officeDocument/2006/customXml" ds:itemID="{5C439036-AF81-46BB-80EF-63298C1FFDC0}">
  <ds:schemaRefs>
    <ds:schemaRef ds:uri="http://purl.org/dc/terms/"/>
    <ds:schemaRef ds:uri="http://schemas.openxmlformats.org/package/2006/metadata/core-properties"/>
    <ds:schemaRef ds:uri="http://schemas.microsoft.com/office/2006/documentManagement/types"/>
    <ds:schemaRef ds:uri="http://www.w3.org/XML/1998/namespace"/>
    <ds:schemaRef ds:uri="d702e6c2-0216-4f5f-bd9e-a6ff7cce144f"/>
    <ds:schemaRef ds:uri="http://purl.org/dc/elements/1.1/"/>
    <ds:schemaRef ds:uri="http://schemas.microsoft.com/office/2006/metadata/properties"/>
    <ds:schemaRef ds:uri="http://schemas.microsoft.com/Sharepoint/v3"/>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5CB0592-FC84-40EB-850D-4773A124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Queensland Women's Strategy: 2018 report cards</vt:lpstr>
    </vt:vector>
  </TitlesOfParts>
  <Manager/>
  <Company>Queensland Government</Company>
  <LinksUpToDate>false</LinksUpToDate>
  <CharactersWithSpaces>5014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2018 report cards</dc:title>
  <dc:subject>Queensland Women's Strategy: 2018 report cards</dc:subject>
  <dc:creator>Queensland Government</dc:creator>
  <cp:keywords>queensland women's strategy, report cards, gender equality, participation, leadership, economic security, gender statistics, workforce, labour force,</cp:keywords>
  <dc:description/>
  <cp:lastModifiedBy>Amanda Schneider</cp:lastModifiedBy>
  <cp:revision>7</cp:revision>
  <cp:lastPrinted>2019-01-30T00:28:00Z</cp:lastPrinted>
  <dcterms:created xsi:type="dcterms:W3CDTF">2019-01-30T00:23:00Z</dcterms:created>
  <dcterms:modified xsi:type="dcterms:W3CDTF">2019-01-30T06:53:00Z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_dlc_DocIdItemGuid">
    <vt:lpwstr>9fa6903b-722d-4588-a33b-4c3ab57f13bb</vt:lpwstr>
  </property>
  <property fmtid="{D5CDD505-2E9C-101B-9397-08002B2CF9AE}" pid="4" name="RecordPoint_WorkflowType">
    <vt:lpwstr>ActiveSubmitStub</vt:lpwstr>
  </property>
  <property fmtid="{D5CDD505-2E9C-101B-9397-08002B2CF9AE}" pid="5" name="RecordPoint_ActiveItemListId">
    <vt:lpwstr>{58a76ca8-191d-4b6d-869a-10e21c93d317}</vt:lpwstr>
  </property>
  <property fmtid="{D5CDD505-2E9C-101B-9397-08002B2CF9AE}" pid="6" name="RecordPoint_ActiveItemUniqueId">
    <vt:lpwstr>{9fa6903b-722d-4588-a33b-4c3ab57f13bb}</vt:lpwstr>
  </property>
  <property fmtid="{D5CDD505-2E9C-101B-9397-08002B2CF9AE}" pid="7" name="RecordPoint_ActiveItemWebId">
    <vt:lpwstr>{d702e6c2-0216-4f5f-bd9e-a6ff7cce144f}</vt:lpwstr>
  </property>
  <property fmtid="{D5CDD505-2E9C-101B-9397-08002B2CF9AE}" pid="8" name="RecordPoint_ActiveItemSiteId">
    <vt:lpwstr>{2464a2f2-e3f2-4c80-94b1-60563d2a108f}</vt:lpwstr>
  </property>
  <property fmtid="{D5CDD505-2E9C-101B-9397-08002B2CF9AE}" pid="9" name="RecordPoint_RecordNumberSubmitted">
    <vt:lpwstr>R0000873260</vt:lpwstr>
  </property>
  <property fmtid="{D5CDD505-2E9C-101B-9397-08002B2CF9AE}" pid="10" name="RecordPoint_SubmissionCompleted">
    <vt:lpwstr>2018-06-29T18:52:07.2595306+10:00</vt:lpwstr>
  </property>
</Properties>
</file>