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6F" w:rsidRDefault="00F7466F" w:rsidP="00F7466F">
      <w:pPr>
        <w:pStyle w:val="Heading1"/>
        <w:spacing w:before="0"/>
      </w:pPr>
      <w:bookmarkStart w:id="0" w:name="_GoBack"/>
      <w:bookmarkEnd w:id="0"/>
      <w:r>
        <w:t xml:space="preserve">Report card </w:t>
      </w:r>
    </w:p>
    <w:p w:rsidR="00F7466F" w:rsidRPr="003136E5" w:rsidRDefault="00F7466F" w:rsidP="00F7466F">
      <w:pPr>
        <w:pStyle w:val="Heading1"/>
        <w:spacing w:before="0"/>
      </w:pPr>
      <w:r w:rsidRPr="003136E5">
        <w:t>Gender equality — how Queensland is faring</w:t>
      </w:r>
    </w:p>
    <w:p w:rsidR="00F7466F" w:rsidRPr="003136E5" w:rsidRDefault="00F7466F" w:rsidP="00F7466F">
      <w:pPr>
        <w:pStyle w:val="Heading2"/>
      </w:pPr>
      <w:r w:rsidRPr="003136E5">
        <w:t>Women’s participation and leadership</w:t>
      </w:r>
    </w:p>
    <w:p w:rsidR="00F7466F" w:rsidRPr="003136E5" w:rsidRDefault="00F7466F" w:rsidP="00F7466F">
      <w:r w:rsidRPr="003136E5">
        <w:t>Queensland females</w:t>
      </w:r>
      <w:r>
        <w:t>:</w:t>
      </w:r>
    </w:p>
    <w:p w:rsidR="00F7466F" w:rsidRPr="003136E5" w:rsidRDefault="00F7466F" w:rsidP="00F7466F">
      <w:pPr>
        <w:numPr>
          <w:ilvl w:val="0"/>
          <w:numId w:val="1"/>
        </w:numPr>
      </w:pPr>
      <w:r w:rsidRPr="003136E5">
        <w:t xml:space="preserve">make up 1 in 8 workers (12.6%) in the construction industry and 1 in 6 workers (17.4%) in the mining industry in February 2015 </w:t>
      </w:r>
    </w:p>
    <w:p w:rsidR="00F7466F" w:rsidRPr="003136E5" w:rsidRDefault="00F7466F" w:rsidP="00F7466F">
      <w:pPr>
        <w:numPr>
          <w:ilvl w:val="0"/>
          <w:numId w:val="1"/>
        </w:numPr>
      </w:pPr>
      <w:r w:rsidRPr="003136E5">
        <w:t xml:space="preserve">have a labour force participation rate of 59.9% in April 2015, compared with 70.8% for males </w:t>
      </w:r>
    </w:p>
    <w:p w:rsidR="00F7466F" w:rsidRPr="003136E5" w:rsidRDefault="00F7466F" w:rsidP="00F7466F">
      <w:pPr>
        <w:numPr>
          <w:ilvl w:val="0"/>
          <w:numId w:val="1"/>
        </w:numPr>
      </w:pPr>
      <w:r w:rsidRPr="003136E5">
        <w:t xml:space="preserve">are more than twice as likely as men to work part-time at 44.3% of all female employees in April 2015, compared with 16.6% of all male employees – nationally 46.6% and 18.0% </w:t>
      </w:r>
    </w:p>
    <w:p w:rsidR="00F7466F" w:rsidRPr="00903F8B" w:rsidRDefault="00F7466F" w:rsidP="00F7466F">
      <w:pPr>
        <w:numPr>
          <w:ilvl w:val="0"/>
          <w:numId w:val="1"/>
        </w:numPr>
      </w:pPr>
      <w:r w:rsidRPr="00903F8B">
        <w:t>experience labour underutilisation</w:t>
      </w:r>
      <w:r>
        <w:t>:</w:t>
      </w:r>
      <w:r w:rsidRPr="00903F8B">
        <w:t xml:space="preserve"> 14.8% women in the labour force either </w:t>
      </w:r>
      <w:r>
        <w:t xml:space="preserve">(1) </w:t>
      </w:r>
      <w:r w:rsidRPr="00903F8B">
        <w:t xml:space="preserve">unemployed, or </w:t>
      </w:r>
      <w:r>
        <w:t>(2) preferred and are available</w:t>
      </w:r>
      <w:r w:rsidRPr="00903F8B">
        <w:t xml:space="preserve"> to work more hours, compared with 11.5% of males in 2013 </w:t>
      </w:r>
    </w:p>
    <w:p w:rsidR="00F7466F" w:rsidRPr="003136E5" w:rsidRDefault="00F7466F" w:rsidP="00F7466F">
      <w:pPr>
        <w:numPr>
          <w:ilvl w:val="0"/>
          <w:numId w:val="1"/>
        </w:numPr>
      </w:pPr>
      <w:r w:rsidRPr="003136E5">
        <w:t>of Aboriginal and Torres Strait Islander origin are almost four times more likely than non-Indigenous women to be unemployed at 19.6% compared with 5.4% in 2011 – nationally 16.2% and 5.2%</w:t>
      </w:r>
    </w:p>
    <w:p w:rsidR="00F7466F" w:rsidRPr="003136E5" w:rsidRDefault="00F7466F" w:rsidP="00F7466F">
      <w:pPr>
        <w:numPr>
          <w:ilvl w:val="0"/>
          <w:numId w:val="1"/>
        </w:numPr>
      </w:pPr>
      <w:r w:rsidRPr="003136E5">
        <w:t>represent 78.0% of clerical and administrative workers but 14.2% of technicians and trades workers in February 2015 – nationally 74.4% and 14.3%</w:t>
      </w:r>
    </w:p>
    <w:p w:rsidR="00F7466F" w:rsidRPr="003136E5" w:rsidRDefault="00F7466F" w:rsidP="00F7466F">
      <w:pPr>
        <w:numPr>
          <w:ilvl w:val="0"/>
          <w:numId w:val="1"/>
        </w:numPr>
      </w:pPr>
      <w:r w:rsidRPr="003136E5">
        <w:t>aged 15 years and older are 2.5 times more likely than males to spend 15 hours or more every week on unpaid domestic activities – 43.6% of females compared with 17.6% of males in 2011</w:t>
      </w:r>
    </w:p>
    <w:p w:rsidR="00F7466F" w:rsidRPr="003136E5" w:rsidRDefault="00F7466F" w:rsidP="00F7466F">
      <w:pPr>
        <w:numPr>
          <w:ilvl w:val="0"/>
          <w:numId w:val="1"/>
        </w:numPr>
      </w:pPr>
      <w:r w:rsidRPr="003136E5">
        <w:t>are likely to provide unpaid child care in all age groups, with the 25-34 and 35-44 years age group</w:t>
      </w:r>
      <w:r>
        <w:t>s</w:t>
      </w:r>
      <w:r w:rsidRPr="003136E5">
        <w:t xml:space="preserve"> showing the greatest gender gap, with women accounting for 61.3% and 56.3% respectively in 2011</w:t>
      </w:r>
    </w:p>
    <w:p w:rsidR="00F7466F" w:rsidRPr="00903F8B" w:rsidRDefault="00F7466F" w:rsidP="00F7466F">
      <w:pPr>
        <w:numPr>
          <w:ilvl w:val="0"/>
          <w:numId w:val="1"/>
        </w:numPr>
      </w:pPr>
      <w:r w:rsidRPr="00903F8B">
        <w:t xml:space="preserve">are much more likely than males to structure their work arrangements to meet family needs, with 38.4% of working mothers using part-time work to care for a child in 2014, compared with </w:t>
      </w:r>
      <w:r>
        <w:t>3.1%</w:t>
      </w:r>
      <w:r w:rsidRPr="00903F8B">
        <w:t xml:space="preserve"> of working fathers using this arrangement.</w:t>
      </w:r>
    </w:p>
    <w:p w:rsidR="00F7466F" w:rsidRPr="003136E5" w:rsidRDefault="00F7466F" w:rsidP="00F7466F">
      <w:pPr>
        <w:numPr>
          <w:ilvl w:val="0"/>
          <w:numId w:val="1"/>
        </w:numPr>
      </w:pPr>
      <w:r w:rsidRPr="003136E5">
        <w:t xml:space="preserve">comprise 70.4% of all primary carers and 89.0% of all parents who were primary carers of people with a disability in 2012 </w:t>
      </w:r>
    </w:p>
    <w:p w:rsidR="00F7466F" w:rsidRPr="00903F8B" w:rsidRDefault="00F7466F" w:rsidP="00F7466F">
      <w:pPr>
        <w:numPr>
          <w:ilvl w:val="0"/>
          <w:numId w:val="1"/>
        </w:numPr>
      </w:pPr>
      <w:r w:rsidRPr="00903F8B">
        <w:t>comprise:</w:t>
      </w:r>
    </w:p>
    <w:p w:rsidR="00F7466F" w:rsidRPr="003136E5" w:rsidRDefault="00F7466F" w:rsidP="00F7466F">
      <w:pPr>
        <w:numPr>
          <w:ilvl w:val="1"/>
          <w:numId w:val="1"/>
        </w:numPr>
      </w:pPr>
      <w:r w:rsidRPr="003136E5">
        <w:t xml:space="preserve">28.1% (25 of 89 seats) of Queensland parliamentarians in June 2015 </w:t>
      </w:r>
    </w:p>
    <w:p w:rsidR="00F7466F" w:rsidRPr="003136E5" w:rsidRDefault="00F7466F" w:rsidP="00F7466F">
      <w:pPr>
        <w:numPr>
          <w:ilvl w:val="1"/>
          <w:numId w:val="1"/>
        </w:numPr>
      </w:pPr>
      <w:r w:rsidRPr="003136E5">
        <w:t>30.4% of all serving judges and magistrates in June 2015 – nationally 34.5% of Commonwealth judges/justices as at March 2015</w:t>
      </w:r>
    </w:p>
    <w:p w:rsidR="00F7466F" w:rsidRPr="003136E5" w:rsidRDefault="00F7466F" w:rsidP="00F7466F">
      <w:pPr>
        <w:numPr>
          <w:ilvl w:val="1"/>
          <w:numId w:val="1"/>
        </w:numPr>
      </w:pPr>
      <w:r w:rsidRPr="003136E5">
        <w:t xml:space="preserve">33.1% of Senior Executive Service officers and above and 49.1% of Senior Officers in the public service in June 2014 </w:t>
      </w:r>
    </w:p>
    <w:p w:rsidR="003070EB" w:rsidRPr="00F7466F" w:rsidRDefault="00F7466F" w:rsidP="00F7466F">
      <w:pPr>
        <w:pStyle w:val="ListParagraph"/>
        <w:numPr>
          <w:ilvl w:val="1"/>
          <w:numId w:val="1"/>
        </w:numPr>
      </w:pPr>
      <w:r w:rsidRPr="003136E5">
        <w:t>3</w:t>
      </w:r>
      <w:r>
        <w:t>7</w:t>
      </w:r>
      <w:r w:rsidRPr="003136E5">
        <w:t>% of positions on the Queensland Government bo</w:t>
      </w:r>
      <w:r>
        <w:t>ards</w:t>
      </w:r>
      <w:r w:rsidRPr="003136E5">
        <w:t xml:space="preserve"> as at 27 January 2016. </w:t>
      </w:r>
      <w:r w:rsidR="003070EB" w:rsidRPr="00F7466F">
        <w:t xml:space="preserve"> </w:t>
      </w:r>
    </w:p>
    <w:sectPr w:rsidR="003070EB" w:rsidRPr="00F74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00EC8"/>
    <w:multiLevelType w:val="hybridMultilevel"/>
    <w:tmpl w:val="47C0F6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761EF6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EB"/>
    <w:rsid w:val="00000774"/>
    <w:rsid w:val="002823E3"/>
    <w:rsid w:val="003070EB"/>
    <w:rsid w:val="00395187"/>
    <w:rsid w:val="00577A1B"/>
    <w:rsid w:val="007440D2"/>
    <w:rsid w:val="007C0C66"/>
    <w:rsid w:val="00F7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D1B50-97DC-4205-A34B-4A1AFBE2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466F"/>
    <w:pPr>
      <w:keepNext/>
      <w:keepLines/>
      <w:spacing w:before="480" w:after="0"/>
      <w:outlineLvl w:val="0"/>
    </w:pPr>
    <w:rPr>
      <w:rFonts w:ascii="Cambria" w:eastAsia="Malgun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66F"/>
    <w:pPr>
      <w:keepNext/>
      <w:keepLines/>
      <w:spacing w:before="200" w:after="0"/>
      <w:outlineLvl w:val="1"/>
    </w:pPr>
    <w:rPr>
      <w:rFonts w:ascii="Cambria" w:eastAsia="Malgun Gothic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7466F"/>
    <w:rPr>
      <w:rFonts w:ascii="Cambria" w:eastAsia="Malgun Gothic" w:hAnsi="Cambria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F7466F"/>
    <w:rPr>
      <w:rFonts w:ascii="Cambria" w:eastAsia="Malgun Gothic" w:hAnsi="Cambria"/>
      <w:b/>
      <w:bCs/>
      <w:color w:val="4F81BD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F74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Women's Strategy</vt:lpstr>
    </vt:vector>
  </TitlesOfParts>
  <Company>Department of Communities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Women's Strategy</dc:title>
  <dc:subject>Queensland Women's Strategy</dc:subject>
  <dc:creator>Queensland Government</dc:creator>
  <cp:keywords>Queensland Women's Strategy, gender equality, leadership, participation, report card</cp:keywords>
  <cp:lastModifiedBy>Joanne Boyd</cp:lastModifiedBy>
  <cp:revision>2</cp:revision>
  <dcterms:created xsi:type="dcterms:W3CDTF">2021-03-29T23:59:00Z</dcterms:created>
  <dcterms:modified xsi:type="dcterms:W3CDTF">2021-03-29T23:59:00Z</dcterms:modified>
</cp:coreProperties>
</file>