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206D0" w:rsidRPr="006206D0" w:rsidRDefault="006206D0" w:rsidP="006206D0">
      <w:pPr>
        <w:rPr>
          <w:rFonts w:ascii="Arial" w:hAnsi="Arial"/>
          <w:sz w:val="22"/>
          <w:szCs w:val="22"/>
        </w:rPr>
      </w:pPr>
      <w:r w:rsidRPr="006206D0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25342E4" wp14:editId="7F3A2135">
                <wp:simplePos x="0" y="0"/>
                <wp:positionH relativeFrom="column">
                  <wp:posOffset>1697431</wp:posOffset>
                </wp:positionH>
                <wp:positionV relativeFrom="topMargin">
                  <wp:posOffset>933475</wp:posOffset>
                </wp:positionV>
                <wp:extent cx="4711700" cy="321310"/>
                <wp:effectExtent l="0" t="0" r="0" b="254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7769E3" w:rsidRPr="005674EC" w:rsidRDefault="007769E3" w:rsidP="006206D0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GENDER EQUALITY — HOW QUEENSLAND IS FARING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5342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3.65pt;margin-top:73.5pt;width:371pt;height:25.3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" filled="f" stroked="f">
                <v:textbox>
                  <w:txbxContent>
                    <w:p w:rsidR="007769E3" w:rsidRPr="005674EC" w:rsidRDefault="007769E3" w:rsidP="006206D0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GENDER EQUALITY — HOW QUEENSLAND IS FARING</w:t>
                      </w:r>
                    </w:p>
                  </w:txbxContent>
                </v:textbox>
                <w10:wrap type="topAndBottom" anchory="margin"/>
              </v:shape>
            </w:pict>
          </mc:Fallback>
        </mc:AlternateContent>
      </w:r>
    </w:p>
    <w:p w:rsidR="006206D0" w:rsidRPr="006206D0" w:rsidRDefault="006206D0" w:rsidP="006206D0">
      <w:pPr>
        <w:rPr>
          <w:rFonts w:ascii="Arial" w:hAnsi="Arial"/>
          <w:sz w:val="22"/>
          <w:szCs w:val="22"/>
        </w:rPr>
      </w:pPr>
    </w:p>
    <w:p w:rsidR="006206D0" w:rsidRPr="006206D0" w:rsidRDefault="006206D0" w:rsidP="006206D0">
      <w:pPr>
        <w:rPr>
          <w:rFonts w:ascii="Arial" w:hAnsi="Arial"/>
          <w:sz w:val="22"/>
          <w:szCs w:val="22"/>
        </w:rPr>
      </w:pPr>
    </w:p>
    <w:p w:rsidR="006206D0" w:rsidRPr="006206D0" w:rsidRDefault="006206D0" w:rsidP="006206D0">
      <w:pPr>
        <w:rPr>
          <w:rFonts w:ascii="Arial" w:hAnsi="Arial"/>
          <w:sz w:val="22"/>
          <w:szCs w:val="22"/>
        </w:rPr>
      </w:pPr>
    </w:p>
    <w:p w:rsidR="006206D0" w:rsidRPr="006206D0" w:rsidRDefault="006206D0" w:rsidP="006206D0">
      <w:pPr>
        <w:rPr>
          <w:rFonts w:ascii="Arial" w:hAnsi="Arial"/>
          <w:sz w:val="22"/>
          <w:szCs w:val="22"/>
        </w:rPr>
      </w:pPr>
    </w:p>
    <w:p w:rsidR="006206D0" w:rsidRPr="006206D0" w:rsidRDefault="006206D0" w:rsidP="006206D0">
      <w:pPr>
        <w:rPr>
          <w:rFonts w:ascii="Arial" w:hAnsi="Arial"/>
          <w:sz w:val="22"/>
          <w:szCs w:val="22"/>
        </w:rPr>
      </w:pPr>
    </w:p>
    <w:p w:rsidR="006206D0" w:rsidRPr="006206D0" w:rsidRDefault="006206D0" w:rsidP="006206D0">
      <w:pPr>
        <w:rPr>
          <w:rFonts w:ascii="Arial" w:hAnsi="Arial"/>
          <w:sz w:val="22"/>
          <w:szCs w:val="22"/>
        </w:rPr>
      </w:pPr>
    </w:p>
    <w:p w:rsidR="006206D0" w:rsidRDefault="006206D0" w:rsidP="006206D0">
      <w:pPr>
        <w:rPr>
          <w:rFonts w:ascii="Arial" w:hAnsi="Arial"/>
          <w:sz w:val="22"/>
          <w:szCs w:val="22"/>
        </w:rPr>
      </w:pPr>
    </w:p>
    <w:p w:rsidR="006206D0" w:rsidRPr="006206D0" w:rsidRDefault="006206D0" w:rsidP="006206D0">
      <w:pPr>
        <w:rPr>
          <w:b/>
        </w:rPr>
        <w:sectPr w:rsidR="006206D0" w:rsidRPr="006206D0" w:rsidSect="00456A95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0" w:h="16840"/>
          <w:pgMar w:top="1843" w:right="1127" w:bottom="1440" w:left="1276" w:header="708" w:footer="708" w:gutter="0"/>
          <w:cols w:space="708"/>
          <w:titlePg/>
          <w:docGrid w:linePitch="360"/>
        </w:sectPr>
      </w:pPr>
    </w:p>
    <w:p w:rsidR="006206D0" w:rsidRPr="003B7B35" w:rsidRDefault="006206D0" w:rsidP="00880C04">
      <w:pPr>
        <w:spacing w:after="120"/>
        <w:rPr>
          <w:rFonts w:ascii="Arial" w:hAnsi="Arial" w:cs="Arial"/>
          <w:b/>
          <w:sz w:val="22"/>
          <w:szCs w:val="22"/>
        </w:rPr>
      </w:pPr>
      <w:r w:rsidRPr="006206D0">
        <w:rPr>
          <w:rFonts w:ascii="Arial" w:hAnsi="Arial" w:cs="Arial"/>
          <w:b/>
          <w:sz w:val="22"/>
          <w:szCs w:val="22"/>
        </w:rPr>
        <w:t>Education and training</w:t>
      </w:r>
    </w:p>
    <w:p w:rsidR="006206D0" w:rsidRPr="006206D0" w:rsidRDefault="006206D0" w:rsidP="00880C04">
      <w:pPr>
        <w:spacing w:after="120"/>
        <w:rPr>
          <w:rFonts w:ascii="Arial" w:hAnsi="Arial" w:cs="Arial"/>
          <w:sz w:val="22"/>
          <w:szCs w:val="22"/>
        </w:rPr>
      </w:pPr>
      <w:r w:rsidRPr="006206D0">
        <w:rPr>
          <w:rFonts w:ascii="Arial" w:hAnsi="Arial" w:cs="Arial"/>
          <w:sz w:val="22"/>
          <w:szCs w:val="22"/>
        </w:rPr>
        <w:t>Females are consistently more likely than males to continue onto Years 11 and 12, with higher retention rates for females than for males at 90.6% and 86.8% respectively in 2016.</w:t>
      </w:r>
      <w:r w:rsidRPr="006206D0">
        <w:rPr>
          <w:rFonts w:ascii="Arial" w:hAnsi="Arial" w:cs="Arial"/>
          <w:sz w:val="22"/>
          <w:szCs w:val="22"/>
          <w:vertAlign w:val="superscript"/>
        </w:rPr>
        <w:endnoteReference w:id="1"/>
      </w:r>
      <w:r w:rsidRPr="006206D0">
        <w:rPr>
          <w:rFonts w:ascii="Arial" w:hAnsi="Arial" w:cs="Arial"/>
          <w:sz w:val="22"/>
          <w:szCs w:val="22"/>
        </w:rPr>
        <w:t xml:space="preserve"> </w:t>
      </w:r>
    </w:p>
    <w:p w:rsidR="006206D0" w:rsidRPr="006206D0" w:rsidRDefault="006206D0" w:rsidP="00880C04">
      <w:pPr>
        <w:spacing w:after="120"/>
        <w:rPr>
          <w:rFonts w:ascii="Arial" w:hAnsi="Arial" w:cs="Arial"/>
          <w:sz w:val="22"/>
          <w:szCs w:val="22"/>
        </w:rPr>
      </w:pPr>
      <w:r w:rsidRPr="006206D0">
        <w:rPr>
          <w:rFonts w:ascii="Arial" w:hAnsi="Arial" w:cs="Arial"/>
          <w:sz w:val="22"/>
          <w:szCs w:val="22"/>
        </w:rPr>
        <w:t>Aboriginal and Torres Strait Islander females (74.4%) were more likely than Aboriginal and Torres Strait Islander males (69.5%) to finish Year 12 in 2016.</w:t>
      </w:r>
      <w:r w:rsidRPr="006206D0">
        <w:rPr>
          <w:rFonts w:ascii="Arial" w:hAnsi="Arial" w:cs="Arial"/>
          <w:sz w:val="22"/>
          <w:szCs w:val="22"/>
          <w:vertAlign w:val="superscript"/>
        </w:rPr>
        <w:endnoteReference w:id="2"/>
      </w:r>
    </w:p>
    <w:p w:rsidR="006206D0" w:rsidRPr="006206D0" w:rsidRDefault="006206D0" w:rsidP="00880C04">
      <w:pPr>
        <w:spacing w:after="120"/>
        <w:ind w:right="-142"/>
        <w:rPr>
          <w:rFonts w:ascii="Arial" w:hAnsi="Arial" w:cs="Arial"/>
          <w:sz w:val="22"/>
          <w:szCs w:val="22"/>
        </w:rPr>
      </w:pPr>
      <w:r w:rsidRPr="006206D0">
        <w:rPr>
          <w:rFonts w:ascii="Arial" w:hAnsi="Arial" w:cs="Arial"/>
          <w:sz w:val="22"/>
          <w:szCs w:val="22"/>
        </w:rPr>
        <w:t xml:space="preserve">Females comprised 59.1% of </w:t>
      </w:r>
      <w:r w:rsidR="00C06858">
        <w:rPr>
          <w:rFonts w:ascii="Arial" w:hAnsi="Arial" w:cs="Arial"/>
          <w:sz w:val="22"/>
          <w:szCs w:val="22"/>
        </w:rPr>
        <w:t>c</w:t>
      </w:r>
      <w:r w:rsidRPr="006206D0">
        <w:rPr>
          <w:rFonts w:ascii="Arial" w:hAnsi="Arial" w:cs="Arial"/>
          <w:sz w:val="22"/>
          <w:szCs w:val="22"/>
        </w:rPr>
        <w:t>ommencements and 60.1% of completions of higher education award courses in 2015.</w:t>
      </w:r>
      <w:r w:rsidRPr="006206D0">
        <w:rPr>
          <w:rFonts w:ascii="Arial" w:hAnsi="Arial" w:cs="Arial"/>
          <w:sz w:val="22"/>
          <w:szCs w:val="22"/>
          <w:vertAlign w:val="superscript"/>
        </w:rPr>
        <w:endnoteReference w:id="3"/>
      </w:r>
      <w:r w:rsidRPr="006206D0">
        <w:rPr>
          <w:rFonts w:ascii="Arial" w:hAnsi="Arial" w:cs="Arial"/>
          <w:sz w:val="22"/>
          <w:szCs w:val="22"/>
        </w:rPr>
        <w:t xml:space="preserve"> </w:t>
      </w:r>
      <w:r w:rsidRPr="006206D0">
        <w:rPr>
          <w:rFonts w:ascii="Arial" w:hAnsi="Arial" w:cs="Arial"/>
          <w:sz w:val="22"/>
          <w:szCs w:val="22"/>
          <w:vertAlign w:val="superscript"/>
        </w:rPr>
        <w:endnoteReference w:id="4"/>
      </w:r>
    </w:p>
    <w:p w:rsidR="006206D0" w:rsidRPr="006206D0" w:rsidRDefault="006206D0" w:rsidP="00880C04">
      <w:pPr>
        <w:spacing w:after="120"/>
        <w:rPr>
          <w:rFonts w:ascii="Arial" w:hAnsi="Arial" w:cs="Arial"/>
          <w:sz w:val="22"/>
          <w:szCs w:val="22"/>
        </w:rPr>
      </w:pPr>
      <w:r w:rsidRPr="006206D0">
        <w:rPr>
          <w:rFonts w:ascii="Arial" w:hAnsi="Arial" w:cs="Arial"/>
          <w:sz w:val="22"/>
          <w:szCs w:val="22"/>
        </w:rPr>
        <w:t xml:space="preserve">Of people aged 15-74 years, </w:t>
      </w:r>
      <w:r w:rsidR="007D272E">
        <w:rPr>
          <w:rFonts w:ascii="Arial" w:hAnsi="Arial" w:cs="Arial"/>
          <w:sz w:val="22"/>
          <w:szCs w:val="22"/>
        </w:rPr>
        <w:t>16</w:t>
      </w:r>
      <w:r w:rsidRPr="006206D0">
        <w:rPr>
          <w:rFonts w:ascii="Arial" w:hAnsi="Arial" w:cs="Arial"/>
          <w:sz w:val="22"/>
          <w:szCs w:val="22"/>
        </w:rPr>
        <w:t>.2% of women obtained a Bachelor Degree, compared to 1</w:t>
      </w:r>
      <w:r w:rsidR="007D272E">
        <w:rPr>
          <w:rFonts w:ascii="Arial" w:hAnsi="Arial" w:cs="Arial"/>
          <w:sz w:val="22"/>
          <w:szCs w:val="22"/>
        </w:rPr>
        <w:t>2</w:t>
      </w:r>
      <w:r w:rsidRPr="006206D0">
        <w:rPr>
          <w:rFonts w:ascii="Arial" w:hAnsi="Arial" w:cs="Arial"/>
          <w:sz w:val="22"/>
          <w:szCs w:val="22"/>
        </w:rPr>
        <w:t>.</w:t>
      </w:r>
      <w:r w:rsidR="007D272E">
        <w:rPr>
          <w:rFonts w:ascii="Arial" w:hAnsi="Arial" w:cs="Arial"/>
          <w:sz w:val="22"/>
          <w:szCs w:val="22"/>
        </w:rPr>
        <w:t>2</w:t>
      </w:r>
      <w:r w:rsidRPr="006206D0">
        <w:rPr>
          <w:rFonts w:ascii="Arial" w:hAnsi="Arial" w:cs="Arial"/>
          <w:sz w:val="22"/>
          <w:szCs w:val="22"/>
        </w:rPr>
        <w:t xml:space="preserve">% for men, in </w:t>
      </w:r>
      <w:r w:rsidR="007D272E">
        <w:rPr>
          <w:rFonts w:ascii="Arial" w:hAnsi="Arial" w:cs="Arial"/>
          <w:sz w:val="22"/>
          <w:szCs w:val="22"/>
        </w:rPr>
        <w:t xml:space="preserve">May </w:t>
      </w:r>
      <w:r w:rsidRPr="006206D0">
        <w:rPr>
          <w:rFonts w:ascii="Arial" w:hAnsi="Arial" w:cs="Arial"/>
          <w:sz w:val="22"/>
          <w:szCs w:val="22"/>
        </w:rPr>
        <w:t>2016.</w:t>
      </w:r>
      <w:r w:rsidRPr="006206D0">
        <w:rPr>
          <w:rFonts w:ascii="Arial" w:hAnsi="Arial" w:cs="Arial"/>
          <w:sz w:val="22"/>
          <w:szCs w:val="22"/>
          <w:vertAlign w:val="superscript"/>
        </w:rPr>
        <w:endnoteReference w:id="5"/>
      </w:r>
    </w:p>
    <w:p w:rsidR="006206D0" w:rsidRPr="006206D0" w:rsidRDefault="006206D0" w:rsidP="00880C04">
      <w:pPr>
        <w:spacing w:after="120"/>
        <w:rPr>
          <w:rFonts w:ascii="Arial" w:hAnsi="Arial" w:cs="Arial"/>
          <w:sz w:val="22"/>
          <w:szCs w:val="22"/>
        </w:rPr>
      </w:pPr>
      <w:r w:rsidRPr="006206D0">
        <w:rPr>
          <w:rFonts w:ascii="Arial" w:hAnsi="Arial" w:cs="Arial"/>
          <w:sz w:val="22"/>
          <w:szCs w:val="22"/>
        </w:rPr>
        <w:t>Females of Aboriginal and Torres Strait Islander origin were more than twice (2212) as likely as Aboriginal and Torres Strait Islander males (1005) to hold a bachelor’s degree in 2011.</w:t>
      </w:r>
      <w:r w:rsidRPr="006206D0">
        <w:rPr>
          <w:rFonts w:ascii="Arial" w:hAnsi="Arial" w:cs="Arial"/>
          <w:sz w:val="22"/>
          <w:szCs w:val="22"/>
          <w:vertAlign w:val="superscript"/>
        </w:rPr>
        <w:endnoteReference w:id="6"/>
      </w:r>
      <w:r w:rsidRPr="006206D0">
        <w:rPr>
          <w:rFonts w:ascii="Arial" w:hAnsi="Arial" w:cs="Arial"/>
          <w:sz w:val="22"/>
          <w:szCs w:val="22"/>
        </w:rPr>
        <w:t xml:space="preserve"> </w:t>
      </w:r>
    </w:p>
    <w:p w:rsidR="006206D0" w:rsidRPr="006206D0" w:rsidRDefault="006206D0" w:rsidP="00880C04">
      <w:pPr>
        <w:spacing w:after="120"/>
        <w:rPr>
          <w:rFonts w:ascii="Arial" w:hAnsi="Arial" w:cs="Arial"/>
          <w:sz w:val="22"/>
          <w:szCs w:val="22"/>
        </w:rPr>
      </w:pPr>
      <w:r w:rsidRPr="006206D0">
        <w:rPr>
          <w:rFonts w:ascii="Arial" w:hAnsi="Arial" w:cs="Arial"/>
          <w:sz w:val="22"/>
          <w:szCs w:val="22"/>
        </w:rPr>
        <w:t>Year 12 female students made up about 9 in 10 home economics (93.2%), and dance (91.7%) subjects, but 1 in 10 technology studies (10.8%), and engineering technology (11.7%) in 2016.</w:t>
      </w:r>
      <w:r w:rsidRPr="006206D0">
        <w:rPr>
          <w:rFonts w:ascii="Arial" w:hAnsi="Arial" w:cs="Arial"/>
          <w:sz w:val="22"/>
          <w:szCs w:val="22"/>
          <w:vertAlign w:val="superscript"/>
        </w:rPr>
        <w:endnoteReference w:id="7"/>
      </w:r>
      <w:r w:rsidRPr="006206D0">
        <w:rPr>
          <w:rFonts w:ascii="Arial" w:hAnsi="Arial" w:cs="Arial"/>
          <w:sz w:val="22"/>
          <w:szCs w:val="22"/>
        </w:rPr>
        <w:t xml:space="preserve"> </w:t>
      </w:r>
      <w:r w:rsidRPr="006206D0">
        <w:rPr>
          <w:rFonts w:ascii="Arial" w:hAnsi="Arial" w:cs="Arial"/>
          <w:sz w:val="22"/>
          <w:szCs w:val="22"/>
          <w:vertAlign w:val="superscript"/>
        </w:rPr>
        <w:endnoteReference w:id="8"/>
      </w:r>
    </w:p>
    <w:p w:rsidR="006206D0" w:rsidRPr="006206D0" w:rsidRDefault="006206D0" w:rsidP="00880C04">
      <w:pPr>
        <w:spacing w:after="120"/>
        <w:ind w:left="46"/>
        <w:rPr>
          <w:rFonts w:ascii="Arial" w:hAnsi="Arial" w:cs="Arial"/>
          <w:sz w:val="22"/>
          <w:szCs w:val="22"/>
        </w:rPr>
      </w:pPr>
      <w:r w:rsidRPr="006206D0">
        <w:rPr>
          <w:rFonts w:ascii="Arial" w:hAnsi="Arial" w:cs="Arial"/>
          <w:sz w:val="22"/>
          <w:szCs w:val="22"/>
        </w:rPr>
        <w:t>Females comprised the vast majority of non-trade apprenticeships or traineeships, such as personal assistants and secretaries (97.3%), and carers and aides (93.3%), but significantly underrepresented in trade-related occupations such as construction trades workers (1.9%), automotive and engineering trades workers (2.9%), and electrotechnology and telecommunications trades apprentices (3.1%) in 2016.</w:t>
      </w:r>
      <w:r w:rsidRPr="006206D0">
        <w:rPr>
          <w:rFonts w:ascii="Arial" w:hAnsi="Arial" w:cs="Arial"/>
          <w:sz w:val="22"/>
          <w:szCs w:val="22"/>
          <w:vertAlign w:val="superscript"/>
        </w:rPr>
        <w:endnoteReference w:id="9"/>
      </w:r>
      <w:r w:rsidRPr="006206D0">
        <w:rPr>
          <w:rFonts w:ascii="Arial" w:hAnsi="Arial" w:cs="Arial"/>
          <w:sz w:val="22"/>
          <w:szCs w:val="22"/>
        </w:rPr>
        <w:t xml:space="preserve">  </w:t>
      </w:r>
    </w:p>
    <w:p w:rsidR="006206D0" w:rsidRPr="006206D0" w:rsidRDefault="006206D0" w:rsidP="00880C04">
      <w:pPr>
        <w:spacing w:before="240" w:after="120"/>
        <w:rPr>
          <w:rFonts w:ascii="Arial" w:hAnsi="Arial" w:cs="Arial"/>
          <w:b/>
          <w:sz w:val="22"/>
          <w:szCs w:val="22"/>
        </w:rPr>
      </w:pPr>
      <w:r w:rsidRPr="006206D0">
        <w:rPr>
          <w:rFonts w:ascii="Arial" w:hAnsi="Arial" w:cs="Arial"/>
          <w:b/>
          <w:sz w:val="22"/>
          <w:szCs w:val="22"/>
        </w:rPr>
        <w:t>Income</w:t>
      </w:r>
    </w:p>
    <w:p w:rsidR="006206D0" w:rsidRDefault="006206D0" w:rsidP="00880C04">
      <w:pPr>
        <w:spacing w:after="120"/>
        <w:rPr>
          <w:rFonts w:ascii="Arial" w:hAnsi="Arial" w:cs="Arial"/>
          <w:sz w:val="22"/>
          <w:szCs w:val="22"/>
        </w:rPr>
      </w:pPr>
      <w:r w:rsidRPr="006206D0">
        <w:rPr>
          <w:rFonts w:ascii="Arial" w:hAnsi="Arial" w:cs="Arial"/>
          <w:sz w:val="22"/>
          <w:szCs w:val="22"/>
        </w:rPr>
        <w:t>Females, on average, earnt $1333.10 in a full-time working week in May 2017, compared to $1599.60 for males in a full-</w:t>
      </w:r>
      <w:r w:rsidRPr="006206D0">
        <w:rPr>
          <w:rFonts w:ascii="Arial" w:hAnsi="Arial" w:cs="Arial"/>
          <w:sz w:val="22"/>
          <w:szCs w:val="22"/>
        </w:rPr>
        <w:t>time working week, resulting in the 16.7% gender pay gap</w:t>
      </w:r>
      <w:r w:rsidRPr="006206D0">
        <w:rPr>
          <w:rFonts w:ascii="Arial" w:hAnsi="Arial" w:cs="Arial"/>
          <w:sz w:val="22"/>
          <w:szCs w:val="22"/>
          <w:vertAlign w:val="superscript"/>
        </w:rPr>
        <w:endnoteReference w:id="10"/>
      </w:r>
      <w:r w:rsidRPr="006206D0">
        <w:rPr>
          <w:rFonts w:ascii="Arial" w:hAnsi="Arial" w:cs="Arial"/>
          <w:sz w:val="22"/>
          <w:szCs w:val="22"/>
        </w:rPr>
        <w:t xml:space="preserve"> — nationally 15.3% (full-time average weekly earnings of $1,387.10 for females and $1,638.30 for males)</w:t>
      </w:r>
      <w:r w:rsidRPr="006206D0">
        <w:rPr>
          <w:rFonts w:ascii="Arial" w:hAnsi="Arial" w:cs="Arial"/>
          <w:sz w:val="22"/>
          <w:szCs w:val="22"/>
          <w:vertAlign w:val="superscript"/>
        </w:rPr>
        <w:endnoteReference w:id="11"/>
      </w:r>
      <w:r w:rsidRPr="006206D0">
        <w:rPr>
          <w:rFonts w:ascii="Arial" w:hAnsi="Arial" w:cs="Arial"/>
          <w:sz w:val="22"/>
          <w:szCs w:val="22"/>
        </w:rPr>
        <w:t>.</w:t>
      </w:r>
    </w:p>
    <w:p w:rsidR="003B7B35" w:rsidRDefault="00F826CF" w:rsidP="00E2159E">
      <w:pPr>
        <w:spacing w:after="100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val="en-AU" w:eastAsia="en-AU"/>
        </w:rPr>
        <w:drawing>
          <wp:inline distT="0" distB="0" distL="0" distR="0" wp14:anchorId="70449F92" wp14:editId="0BEABC5F">
            <wp:extent cx="2070201" cy="2498470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70201" cy="249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6D0" w:rsidRPr="006206D0" w:rsidRDefault="006206D0" w:rsidP="001F7D5C">
      <w:pPr>
        <w:spacing w:after="120"/>
        <w:rPr>
          <w:rFonts w:ascii="Arial" w:hAnsi="Arial" w:cs="Arial"/>
          <w:sz w:val="22"/>
          <w:szCs w:val="22"/>
        </w:rPr>
      </w:pPr>
      <w:r w:rsidRPr="006206D0">
        <w:rPr>
          <w:rFonts w:ascii="Arial" w:hAnsi="Arial" w:cs="Arial"/>
          <w:sz w:val="22"/>
          <w:szCs w:val="22"/>
        </w:rPr>
        <w:t>Across occupations, technicians and trades workers were likely to have the largest gap, in terms of average hourly ordinary time cash earnings, with females earning 22.4% less than males.</w:t>
      </w:r>
      <w:r w:rsidRPr="006206D0">
        <w:rPr>
          <w:rFonts w:ascii="Arial" w:hAnsi="Arial" w:cs="Arial"/>
          <w:sz w:val="22"/>
          <w:szCs w:val="22"/>
          <w:vertAlign w:val="superscript"/>
        </w:rPr>
        <w:endnoteReference w:id="12"/>
      </w:r>
      <w:r w:rsidRPr="006206D0">
        <w:rPr>
          <w:rFonts w:ascii="Arial" w:hAnsi="Arial" w:cs="Arial"/>
          <w:sz w:val="22"/>
          <w:szCs w:val="22"/>
        </w:rPr>
        <w:t xml:space="preserve"> The lowest gender gap was for labourers (7.6%), followed by Machinery operators and drivers (10.9%).</w:t>
      </w:r>
      <w:r w:rsidRPr="006206D0">
        <w:rPr>
          <w:rFonts w:ascii="Arial" w:hAnsi="Arial" w:cs="Arial"/>
          <w:sz w:val="22"/>
          <w:szCs w:val="22"/>
          <w:vertAlign w:val="superscript"/>
        </w:rPr>
        <w:endnoteReference w:id="13"/>
      </w:r>
    </w:p>
    <w:p w:rsidR="006206D0" w:rsidRPr="006206D0" w:rsidRDefault="006206D0" w:rsidP="001F7D5C">
      <w:pPr>
        <w:spacing w:after="120"/>
        <w:rPr>
          <w:rFonts w:ascii="Arial" w:hAnsi="Arial" w:cs="Arial"/>
          <w:sz w:val="22"/>
          <w:szCs w:val="22"/>
        </w:rPr>
      </w:pPr>
      <w:r w:rsidRPr="006206D0">
        <w:rPr>
          <w:rFonts w:ascii="Arial" w:hAnsi="Arial" w:cs="Arial"/>
          <w:sz w:val="22"/>
          <w:szCs w:val="22"/>
        </w:rPr>
        <w:t>The largest pay gap was in the finance and insurance services industry, with females earning $33.30 per hour — 39.0% less than that of males ($54.60), based on the average hourly ordinary time cash earnings of adult employees working in non-managerial roles), and the lowest gender pay gap was in the transport, postal and warehousing industry with females earning $35.00 — 2.2% less than that of males ($35.89).</w:t>
      </w:r>
      <w:r w:rsidRPr="006206D0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6206D0">
        <w:rPr>
          <w:rFonts w:ascii="Arial" w:hAnsi="Arial" w:cs="Arial"/>
          <w:sz w:val="22"/>
          <w:szCs w:val="22"/>
          <w:vertAlign w:val="superscript"/>
        </w:rPr>
        <w:endnoteReference w:id="14"/>
      </w:r>
      <w:r w:rsidRPr="006206D0">
        <w:rPr>
          <w:rFonts w:ascii="Arial" w:hAnsi="Arial" w:cs="Arial"/>
          <w:sz w:val="22"/>
          <w:szCs w:val="22"/>
        </w:rPr>
        <w:t xml:space="preserve"> </w:t>
      </w:r>
      <w:r w:rsidRPr="006206D0">
        <w:rPr>
          <w:rFonts w:ascii="Arial" w:hAnsi="Arial" w:cs="Arial"/>
          <w:sz w:val="22"/>
          <w:szCs w:val="22"/>
          <w:vertAlign w:val="superscript"/>
        </w:rPr>
        <w:endnoteReference w:id="15"/>
      </w:r>
    </w:p>
    <w:p w:rsidR="006206D0" w:rsidRPr="006206D0" w:rsidRDefault="006206D0" w:rsidP="00880C04">
      <w:pPr>
        <w:spacing w:after="120"/>
        <w:rPr>
          <w:rFonts w:ascii="Arial" w:hAnsi="Arial" w:cs="Arial"/>
          <w:sz w:val="22"/>
          <w:szCs w:val="22"/>
        </w:rPr>
      </w:pPr>
      <w:r w:rsidRPr="006206D0">
        <w:rPr>
          <w:rFonts w:ascii="Arial" w:hAnsi="Arial" w:cs="Arial"/>
          <w:sz w:val="22"/>
          <w:szCs w:val="22"/>
        </w:rPr>
        <w:t xml:space="preserve">In May 2016, based on average weekly total cash earnings, </w:t>
      </w:r>
    </w:p>
    <w:p w:rsidR="006206D0" w:rsidRPr="006206D0" w:rsidRDefault="006206D0" w:rsidP="00880C04">
      <w:pPr>
        <w:numPr>
          <w:ilvl w:val="0"/>
          <w:numId w:val="9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6206D0">
        <w:rPr>
          <w:rFonts w:ascii="Arial" w:hAnsi="Arial" w:cs="Arial"/>
          <w:sz w:val="22"/>
          <w:szCs w:val="22"/>
        </w:rPr>
        <w:t>females working part-time on a casual basis earnt, on average, a total of</w:t>
      </w:r>
      <w:r w:rsidR="007725C1">
        <w:rPr>
          <w:rFonts w:ascii="Arial" w:hAnsi="Arial" w:cs="Arial"/>
          <w:sz w:val="22"/>
          <w:szCs w:val="22"/>
        </w:rPr>
        <w:t xml:space="preserve"> </w:t>
      </w:r>
      <w:r w:rsidRPr="006206D0">
        <w:rPr>
          <w:rFonts w:ascii="Arial" w:hAnsi="Arial" w:cs="Arial"/>
          <w:sz w:val="22"/>
          <w:szCs w:val="22"/>
        </w:rPr>
        <w:t>$522.00 weekly — 20.6% less than that of their male counterparts ($657.10)</w:t>
      </w:r>
      <w:r w:rsidRPr="006206D0">
        <w:rPr>
          <w:rFonts w:ascii="Arial" w:hAnsi="Arial" w:cs="Arial"/>
          <w:sz w:val="22"/>
          <w:szCs w:val="22"/>
          <w:vertAlign w:val="superscript"/>
        </w:rPr>
        <w:endnoteReference w:id="16"/>
      </w:r>
    </w:p>
    <w:p w:rsidR="006206D0" w:rsidRPr="00C06858" w:rsidRDefault="006206D0" w:rsidP="00880C04">
      <w:pPr>
        <w:numPr>
          <w:ilvl w:val="0"/>
          <w:numId w:val="9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6206D0">
        <w:rPr>
          <w:rFonts w:ascii="Arial" w:hAnsi="Arial" w:cs="Arial"/>
          <w:sz w:val="22"/>
          <w:szCs w:val="22"/>
        </w:rPr>
        <w:lastRenderedPageBreak/>
        <w:t>all female employees (working full-time or part-time) on a casual basis earnt, on average, a total of $579.60 weekly — 34.8% less than that of their male counterparts ($888.50)</w:t>
      </w:r>
      <w:r w:rsidRPr="006206D0">
        <w:rPr>
          <w:rFonts w:ascii="Arial" w:hAnsi="Arial" w:cs="Arial"/>
          <w:sz w:val="22"/>
          <w:szCs w:val="22"/>
          <w:vertAlign w:val="superscript"/>
        </w:rPr>
        <w:endnoteReference w:id="17"/>
      </w:r>
      <w:r w:rsidR="00C45E3A">
        <w:rPr>
          <w:rFonts w:ascii="Arial" w:hAnsi="Arial" w:cs="Arial"/>
          <w:sz w:val="22"/>
          <w:szCs w:val="22"/>
        </w:rPr>
        <w:t>.</w:t>
      </w:r>
    </w:p>
    <w:p w:rsidR="006206D0" w:rsidRPr="00C06858" w:rsidRDefault="006206D0" w:rsidP="00880C04">
      <w:pPr>
        <w:spacing w:before="240" w:after="120"/>
        <w:rPr>
          <w:rFonts w:ascii="Arial" w:hAnsi="Arial" w:cs="Arial"/>
          <w:b/>
          <w:sz w:val="22"/>
          <w:szCs w:val="22"/>
        </w:rPr>
      </w:pPr>
      <w:r w:rsidRPr="006206D0">
        <w:rPr>
          <w:rFonts w:ascii="Arial" w:hAnsi="Arial" w:cs="Arial"/>
          <w:b/>
          <w:sz w:val="22"/>
          <w:szCs w:val="22"/>
        </w:rPr>
        <w:t>Income support</w:t>
      </w:r>
    </w:p>
    <w:p w:rsidR="006206D0" w:rsidRPr="006206D0" w:rsidRDefault="006206D0" w:rsidP="00880C04">
      <w:pPr>
        <w:spacing w:after="120"/>
        <w:rPr>
          <w:rFonts w:ascii="Arial" w:hAnsi="Arial" w:cs="Arial"/>
          <w:sz w:val="22"/>
          <w:szCs w:val="22"/>
        </w:rPr>
      </w:pPr>
      <w:r w:rsidRPr="006206D0">
        <w:rPr>
          <w:rFonts w:ascii="Arial" w:hAnsi="Arial" w:cs="Arial"/>
          <w:sz w:val="22"/>
          <w:szCs w:val="22"/>
        </w:rPr>
        <w:t xml:space="preserve">For people </w:t>
      </w:r>
      <w:r w:rsidR="00897482">
        <w:rPr>
          <w:rFonts w:ascii="Arial" w:hAnsi="Arial" w:cs="Arial"/>
          <w:sz w:val="22"/>
          <w:szCs w:val="22"/>
        </w:rPr>
        <w:t xml:space="preserve">aged 65 years and over </w:t>
      </w:r>
      <w:r w:rsidRPr="006206D0">
        <w:rPr>
          <w:rFonts w:ascii="Arial" w:hAnsi="Arial" w:cs="Arial"/>
          <w:sz w:val="22"/>
          <w:szCs w:val="22"/>
        </w:rPr>
        <w:t>who were not in the labour force, government pensions and allowances were the main source of income for 79.7% of women and 73.1% of men in 2013-14</w:t>
      </w:r>
      <w:r w:rsidRPr="006206D0">
        <w:rPr>
          <w:rFonts w:ascii="Arial" w:hAnsi="Arial" w:cs="Arial"/>
          <w:sz w:val="22"/>
          <w:szCs w:val="22"/>
          <w:vertAlign w:val="superscript"/>
        </w:rPr>
        <w:endnoteReference w:id="18"/>
      </w:r>
      <w:r w:rsidRPr="006206D0">
        <w:rPr>
          <w:rFonts w:ascii="Arial" w:hAnsi="Arial" w:cs="Arial"/>
          <w:sz w:val="22"/>
          <w:szCs w:val="22"/>
        </w:rPr>
        <w:t xml:space="preserve"> — nationally 77.8% of women and 72.4% of men</w:t>
      </w:r>
      <w:r w:rsidRPr="006206D0">
        <w:rPr>
          <w:rFonts w:ascii="Arial" w:hAnsi="Arial" w:cs="Arial"/>
          <w:sz w:val="22"/>
          <w:szCs w:val="22"/>
          <w:vertAlign w:val="superscript"/>
        </w:rPr>
        <w:endnoteReference w:id="19"/>
      </w:r>
      <w:r w:rsidRPr="006206D0">
        <w:rPr>
          <w:rFonts w:ascii="Arial" w:hAnsi="Arial" w:cs="Arial"/>
          <w:sz w:val="22"/>
          <w:szCs w:val="22"/>
        </w:rPr>
        <w:t xml:space="preserve">. </w:t>
      </w:r>
    </w:p>
    <w:p w:rsidR="006206D0" w:rsidRPr="006206D0" w:rsidRDefault="006206D0" w:rsidP="006C1037">
      <w:pPr>
        <w:spacing w:after="120"/>
        <w:rPr>
          <w:rFonts w:ascii="Arial" w:hAnsi="Arial" w:cs="Arial"/>
          <w:sz w:val="22"/>
          <w:szCs w:val="22"/>
        </w:rPr>
      </w:pPr>
      <w:r w:rsidRPr="006206D0">
        <w:rPr>
          <w:rFonts w:ascii="Arial" w:hAnsi="Arial" w:cs="Arial"/>
          <w:sz w:val="22"/>
          <w:szCs w:val="22"/>
        </w:rPr>
        <w:t>Females comprised 94.5% of total 61,378 single parents who received Parenting Payment, having principal care of a child or children under the age of eight years</w:t>
      </w:r>
      <w:r w:rsidRPr="006206D0">
        <w:rPr>
          <w:rFonts w:ascii="Arial" w:hAnsi="Arial" w:cs="Arial"/>
          <w:sz w:val="22"/>
          <w:szCs w:val="22"/>
          <w:vertAlign w:val="superscript"/>
        </w:rPr>
        <w:endnoteReference w:id="20"/>
      </w:r>
      <w:r w:rsidRPr="006206D0">
        <w:rPr>
          <w:rFonts w:ascii="Arial" w:hAnsi="Arial" w:cs="Arial"/>
          <w:sz w:val="22"/>
          <w:szCs w:val="22"/>
        </w:rPr>
        <w:t>, and 70.4% of total 40,450 people receiving Carer Payment in Queensland in 2013</w:t>
      </w:r>
      <w:r w:rsidRPr="006206D0">
        <w:rPr>
          <w:rFonts w:ascii="Arial" w:hAnsi="Arial" w:cs="Arial"/>
          <w:sz w:val="22"/>
          <w:szCs w:val="22"/>
          <w:vertAlign w:val="superscript"/>
        </w:rPr>
        <w:endnoteReference w:id="21"/>
      </w:r>
      <w:r w:rsidRPr="006206D0">
        <w:rPr>
          <w:rFonts w:ascii="Arial" w:hAnsi="Arial" w:cs="Arial"/>
          <w:sz w:val="22"/>
          <w:szCs w:val="22"/>
        </w:rPr>
        <w:t>.</w:t>
      </w:r>
    </w:p>
    <w:p w:rsidR="006206D0" w:rsidRPr="00C06858" w:rsidRDefault="006206D0" w:rsidP="00880C04">
      <w:pPr>
        <w:spacing w:before="240" w:after="120"/>
        <w:rPr>
          <w:rFonts w:ascii="Arial" w:hAnsi="Arial" w:cs="Arial"/>
          <w:b/>
          <w:sz w:val="22"/>
          <w:szCs w:val="22"/>
        </w:rPr>
      </w:pPr>
      <w:r w:rsidRPr="006206D0">
        <w:rPr>
          <w:rFonts w:ascii="Arial" w:hAnsi="Arial" w:cs="Arial"/>
          <w:b/>
          <w:sz w:val="22"/>
          <w:szCs w:val="22"/>
        </w:rPr>
        <w:t>Retirement and superannuation</w:t>
      </w:r>
    </w:p>
    <w:p w:rsidR="006206D0" w:rsidRPr="006206D0" w:rsidRDefault="006206D0" w:rsidP="00C06858">
      <w:pPr>
        <w:spacing w:after="100"/>
        <w:rPr>
          <w:rFonts w:ascii="Arial" w:hAnsi="Arial" w:cs="Arial"/>
          <w:sz w:val="22"/>
          <w:szCs w:val="22"/>
        </w:rPr>
      </w:pPr>
      <w:r w:rsidRPr="006206D0">
        <w:rPr>
          <w:rFonts w:ascii="Arial" w:hAnsi="Arial" w:cs="Arial"/>
          <w:sz w:val="22"/>
          <w:szCs w:val="22"/>
        </w:rPr>
        <w:t>The average superannuation balance was $80,443 for females and $123,755 for males in 2013-14</w:t>
      </w:r>
      <w:r w:rsidRPr="006206D0">
        <w:rPr>
          <w:rFonts w:ascii="Arial" w:hAnsi="Arial" w:cs="Arial"/>
          <w:sz w:val="22"/>
          <w:szCs w:val="22"/>
          <w:vertAlign w:val="superscript"/>
        </w:rPr>
        <w:endnoteReference w:id="22"/>
      </w:r>
      <w:r w:rsidRPr="006206D0">
        <w:rPr>
          <w:rFonts w:ascii="Arial" w:hAnsi="Arial" w:cs="Arial"/>
          <w:sz w:val="22"/>
          <w:szCs w:val="22"/>
        </w:rPr>
        <w:t xml:space="preserve"> — nationally $83,110 for females and $134,800 for males</w:t>
      </w:r>
      <w:r w:rsidRPr="006206D0">
        <w:rPr>
          <w:rFonts w:ascii="Arial" w:hAnsi="Arial" w:cs="Arial"/>
          <w:sz w:val="22"/>
          <w:szCs w:val="22"/>
          <w:vertAlign w:val="superscript"/>
        </w:rPr>
        <w:endnoteReference w:id="23"/>
      </w:r>
      <w:r w:rsidR="00880C04">
        <w:rPr>
          <w:rFonts w:ascii="Arial" w:hAnsi="Arial" w:cs="Arial"/>
          <w:sz w:val="22"/>
          <w:szCs w:val="22"/>
        </w:rPr>
        <w:t>.</w:t>
      </w:r>
    </w:p>
    <w:p w:rsidR="006206D0" w:rsidRDefault="006206D0" w:rsidP="006C1037">
      <w:pPr>
        <w:spacing w:after="120"/>
        <w:rPr>
          <w:rFonts w:ascii="Arial" w:hAnsi="Arial" w:cs="Arial"/>
          <w:sz w:val="22"/>
          <w:szCs w:val="22"/>
        </w:rPr>
      </w:pPr>
      <w:r w:rsidRPr="006206D0">
        <w:rPr>
          <w:rFonts w:ascii="Arial" w:hAnsi="Arial" w:cs="Arial"/>
          <w:sz w:val="22"/>
          <w:szCs w:val="22"/>
        </w:rPr>
        <w:t>In every age group, on average, females had lower superannuation balances than males, with the 55-64 year age group, which is approaching retirement, showing the largest gap of $172,780 for females and $316,094 for males in 2013-14</w:t>
      </w:r>
      <w:r w:rsidRPr="006206D0">
        <w:rPr>
          <w:rFonts w:ascii="Arial" w:hAnsi="Arial" w:cs="Arial"/>
          <w:sz w:val="22"/>
          <w:szCs w:val="22"/>
          <w:vertAlign w:val="superscript"/>
        </w:rPr>
        <w:endnoteReference w:id="24"/>
      </w:r>
      <w:r w:rsidRPr="006206D0">
        <w:rPr>
          <w:rFonts w:ascii="Arial" w:hAnsi="Arial" w:cs="Arial"/>
          <w:sz w:val="22"/>
          <w:szCs w:val="22"/>
        </w:rPr>
        <w:t xml:space="preserve"> — nationally</w:t>
      </w:r>
      <w:r w:rsidR="00C06858">
        <w:rPr>
          <w:rFonts w:ascii="Arial" w:hAnsi="Arial" w:cs="Arial"/>
          <w:sz w:val="22"/>
          <w:szCs w:val="22"/>
        </w:rPr>
        <w:t xml:space="preserve"> </w:t>
      </w:r>
      <w:r w:rsidRPr="006206D0">
        <w:rPr>
          <w:rFonts w:ascii="Arial" w:hAnsi="Arial" w:cs="Arial"/>
          <w:sz w:val="22"/>
          <w:szCs w:val="22"/>
        </w:rPr>
        <w:t>$180,013 for females and $321,993 for males</w:t>
      </w:r>
      <w:r w:rsidRPr="006206D0">
        <w:rPr>
          <w:rFonts w:ascii="Arial" w:hAnsi="Arial" w:cs="Arial"/>
          <w:sz w:val="22"/>
          <w:szCs w:val="22"/>
          <w:vertAlign w:val="superscript"/>
        </w:rPr>
        <w:endnoteReference w:id="25"/>
      </w:r>
      <w:r w:rsidRPr="006206D0">
        <w:rPr>
          <w:rFonts w:ascii="Arial" w:hAnsi="Arial" w:cs="Arial"/>
          <w:sz w:val="22"/>
          <w:szCs w:val="22"/>
        </w:rPr>
        <w:t>.</w:t>
      </w:r>
    </w:p>
    <w:p w:rsidR="00E2159E" w:rsidRDefault="00F826CF" w:rsidP="00E2159E">
      <w:pPr>
        <w:spacing w:after="100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val="en-AU" w:eastAsia="en-AU"/>
        </w:rPr>
        <w:drawing>
          <wp:inline distT="0" distB="0" distL="0" distR="0" wp14:anchorId="7036E92C" wp14:editId="3AB0EC40">
            <wp:extent cx="2449830" cy="2472537"/>
            <wp:effectExtent l="0" t="0" r="762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0309" cy="248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6D0" w:rsidRPr="006206D0" w:rsidRDefault="006206D0" w:rsidP="001F7D5C">
      <w:pPr>
        <w:spacing w:after="120"/>
        <w:rPr>
          <w:rFonts w:ascii="Arial" w:hAnsi="Arial" w:cs="Arial"/>
          <w:sz w:val="22"/>
          <w:szCs w:val="22"/>
        </w:rPr>
      </w:pPr>
      <w:r w:rsidRPr="006206D0">
        <w:rPr>
          <w:rFonts w:ascii="Arial" w:hAnsi="Arial" w:cs="Arial"/>
          <w:sz w:val="22"/>
          <w:szCs w:val="22"/>
        </w:rPr>
        <w:t xml:space="preserve">Superannuation pension or annuity was the main source of income for 9.6% of women, aged 65 years and over who were not in the labour force, compared with 14.5% of their </w:t>
      </w:r>
      <w:r w:rsidRPr="006206D0">
        <w:rPr>
          <w:rFonts w:ascii="Arial" w:hAnsi="Arial" w:cs="Arial"/>
          <w:sz w:val="22"/>
          <w:szCs w:val="22"/>
        </w:rPr>
        <w:t>male counterparts in 2013-14</w:t>
      </w:r>
      <w:r w:rsidRPr="006206D0">
        <w:rPr>
          <w:rFonts w:ascii="Arial" w:hAnsi="Arial" w:cs="Arial"/>
          <w:sz w:val="22"/>
          <w:szCs w:val="22"/>
          <w:vertAlign w:val="superscript"/>
        </w:rPr>
        <w:endnoteReference w:id="26"/>
      </w:r>
      <w:r w:rsidRPr="006206D0">
        <w:rPr>
          <w:rFonts w:ascii="Arial" w:hAnsi="Arial" w:cs="Arial"/>
          <w:sz w:val="22"/>
          <w:szCs w:val="22"/>
        </w:rPr>
        <w:t xml:space="preserve"> — nationally 10.9% of females and 17.7% of males</w:t>
      </w:r>
      <w:r w:rsidRPr="006206D0">
        <w:rPr>
          <w:rFonts w:ascii="Arial" w:hAnsi="Arial" w:cs="Arial"/>
          <w:sz w:val="22"/>
          <w:szCs w:val="22"/>
          <w:vertAlign w:val="superscript"/>
        </w:rPr>
        <w:endnoteReference w:id="27"/>
      </w:r>
      <w:r w:rsidRPr="006206D0">
        <w:rPr>
          <w:rFonts w:ascii="Arial" w:hAnsi="Arial" w:cs="Arial"/>
          <w:sz w:val="22"/>
          <w:szCs w:val="22"/>
        </w:rPr>
        <w:t xml:space="preserve">. </w:t>
      </w:r>
    </w:p>
    <w:p w:rsidR="006206D0" w:rsidRPr="006206D0" w:rsidRDefault="006206D0" w:rsidP="001F7D5C">
      <w:pPr>
        <w:spacing w:after="120"/>
        <w:rPr>
          <w:rFonts w:ascii="Arial" w:hAnsi="Arial" w:cs="Arial"/>
          <w:sz w:val="22"/>
          <w:szCs w:val="22"/>
        </w:rPr>
      </w:pPr>
      <w:r w:rsidRPr="006206D0">
        <w:rPr>
          <w:rFonts w:ascii="Arial" w:hAnsi="Arial" w:cs="Arial"/>
          <w:sz w:val="22"/>
          <w:szCs w:val="22"/>
        </w:rPr>
        <w:t xml:space="preserve">Of people aged 15-64 years, females were more likely than males to have no superannuation coverage, with the 55-64 year group showing the greatest gender gap: </w:t>
      </w:r>
    </w:p>
    <w:p w:rsidR="006206D0" w:rsidRPr="00C06858" w:rsidRDefault="006206D0" w:rsidP="001F7D5C">
      <w:pPr>
        <w:numPr>
          <w:ilvl w:val="0"/>
          <w:numId w:val="10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6206D0">
        <w:rPr>
          <w:rFonts w:ascii="Arial" w:hAnsi="Arial" w:cs="Arial"/>
          <w:sz w:val="22"/>
          <w:szCs w:val="22"/>
        </w:rPr>
        <w:t>26.8% of females aged 55-64 years had no superannuation coverage, compared with 17.9% of males in the same age group, in 2013-14</w:t>
      </w:r>
      <w:r w:rsidRPr="006206D0">
        <w:rPr>
          <w:vertAlign w:val="superscript"/>
        </w:rPr>
        <w:endnoteReference w:id="28"/>
      </w:r>
      <w:r w:rsidRPr="006206D0">
        <w:rPr>
          <w:rFonts w:ascii="Arial" w:hAnsi="Arial" w:cs="Arial"/>
          <w:sz w:val="22"/>
          <w:szCs w:val="22"/>
        </w:rPr>
        <w:t xml:space="preserve"> — nationally 27.3% of females and 16.9% of males</w:t>
      </w:r>
      <w:r w:rsidRPr="006206D0">
        <w:rPr>
          <w:vertAlign w:val="superscript"/>
        </w:rPr>
        <w:endnoteReference w:id="29"/>
      </w:r>
      <w:r w:rsidRPr="006206D0">
        <w:rPr>
          <w:rFonts w:ascii="Arial" w:hAnsi="Arial" w:cs="Arial"/>
          <w:sz w:val="22"/>
          <w:szCs w:val="22"/>
        </w:rPr>
        <w:t>.</w:t>
      </w:r>
    </w:p>
    <w:p w:rsidR="006206D0" w:rsidRPr="006206D0" w:rsidRDefault="006206D0" w:rsidP="001F7D5C">
      <w:pPr>
        <w:spacing w:after="120"/>
        <w:rPr>
          <w:rFonts w:ascii="Arial" w:hAnsi="Arial" w:cs="Arial"/>
          <w:b/>
          <w:sz w:val="22"/>
          <w:szCs w:val="22"/>
        </w:rPr>
      </w:pPr>
      <w:r w:rsidRPr="006206D0">
        <w:rPr>
          <w:rFonts w:ascii="Arial" w:hAnsi="Arial" w:cs="Arial"/>
          <w:sz w:val="22"/>
          <w:szCs w:val="22"/>
        </w:rPr>
        <w:t xml:space="preserve">34.4% of females aged 15-64 years with disability and 27.6% of females aged 15-64 years who were born overseas had no </w:t>
      </w:r>
      <w:r w:rsidR="006C1037" w:rsidRPr="006C1037">
        <w:rPr>
          <w:rFonts w:ascii="Arial" w:hAnsi="Arial" w:cs="Arial"/>
          <w:sz w:val="22"/>
          <w:szCs w:val="22"/>
        </w:rPr>
        <w:t>superannuation coverage in 2013-14.</w:t>
      </w:r>
      <w:r w:rsidR="006C1037" w:rsidRPr="006C1037">
        <w:rPr>
          <w:rFonts w:ascii="Arial" w:hAnsi="Arial" w:cs="Arial"/>
          <w:sz w:val="22"/>
          <w:szCs w:val="22"/>
          <w:vertAlign w:val="superscript"/>
        </w:rPr>
        <w:endnoteReference w:id="30"/>
      </w:r>
    </w:p>
    <w:p w:rsidR="006206D0" w:rsidRPr="00C06858" w:rsidRDefault="006206D0" w:rsidP="00880C04">
      <w:pPr>
        <w:spacing w:before="240" w:after="120"/>
        <w:rPr>
          <w:rFonts w:ascii="Arial" w:hAnsi="Arial" w:cs="Arial"/>
          <w:b/>
          <w:sz w:val="22"/>
          <w:szCs w:val="22"/>
        </w:rPr>
      </w:pPr>
      <w:r w:rsidRPr="006206D0">
        <w:rPr>
          <w:rFonts w:ascii="Arial" w:hAnsi="Arial" w:cs="Arial"/>
          <w:b/>
          <w:sz w:val="22"/>
          <w:szCs w:val="22"/>
        </w:rPr>
        <w:t>Housing and homelessness</w:t>
      </w:r>
    </w:p>
    <w:p w:rsidR="006206D0" w:rsidRPr="006206D0" w:rsidRDefault="006206D0" w:rsidP="001F7D5C">
      <w:pPr>
        <w:spacing w:after="120"/>
        <w:rPr>
          <w:rFonts w:ascii="Arial" w:hAnsi="Arial" w:cs="Arial"/>
          <w:sz w:val="22"/>
          <w:szCs w:val="22"/>
        </w:rPr>
      </w:pPr>
      <w:r w:rsidRPr="006206D0">
        <w:rPr>
          <w:rFonts w:ascii="Arial" w:hAnsi="Arial" w:cs="Arial"/>
          <w:sz w:val="22"/>
          <w:szCs w:val="22"/>
        </w:rPr>
        <w:t>Females comprised 64.9% (or 35,586) of all public rental housing tenants and 74.1% (or 2,688) of all state-owned and managed Indigenous housing tenants, as at 30 June 2016.</w:t>
      </w:r>
      <w:r w:rsidRPr="006206D0">
        <w:rPr>
          <w:rFonts w:ascii="Arial" w:hAnsi="Arial" w:cs="Arial"/>
          <w:sz w:val="22"/>
          <w:szCs w:val="22"/>
          <w:vertAlign w:val="superscript"/>
        </w:rPr>
        <w:endnoteReference w:id="31"/>
      </w:r>
    </w:p>
    <w:p w:rsidR="006206D0" w:rsidRPr="006206D0" w:rsidRDefault="006206D0" w:rsidP="001F7D5C">
      <w:pPr>
        <w:spacing w:after="120"/>
        <w:rPr>
          <w:rFonts w:ascii="Arial" w:hAnsi="Arial" w:cs="Arial"/>
          <w:sz w:val="22"/>
          <w:szCs w:val="22"/>
        </w:rPr>
      </w:pPr>
      <w:r w:rsidRPr="006206D0">
        <w:rPr>
          <w:rFonts w:ascii="Arial" w:hAnsi="Arial" w:cs="Arial"/>
          <w:sz w:val="22"/>
          <w:szCs w:val="22"/>
        </w:rPr>
        <w:t>Single females aged over 55 years (19.0%) and single mothers with children, whose youngest child was under 18 years (17.9%), together made up over a third (36.8% or 21,542) of all public housing tenant.</w:t>
      </w:r>
      <w:r w:rsidRPr="006206D0">
        <w:rPr>
          <w:rFonts w:ascii="Arial" w:hAnsi="Arial" w:cs="Arial"/>
          <w:sz w:val="22"/>
          <w:szCs w:val="22"/>
          <w:vertAlign w:val="superscript"/>
        </w:rPr>
        <w:endnoteReference w:id="32"/>
      </w:r>
    </w:p>
    <w:p w:rsidR="006206D0" w:rsidRPr="006206D0" w:rsidRDefault="006206D0" w:rsidP="001F7D5C">
      <w:pPr>
        <w:spacing w:after="120"/>
        <w:rPr>
          <w:rFonts w:ascii="Arial" w:hAnsi="Arial" w:cs="Arial"/>
          <w:sz w:val="22"/>
          <w:szCs w:val="22"/>
        </w:rPr>
      </w:pPr>
      <w:r w:rsidRPr="006206D0">
        <w:rPr>
          <w:rFonts w:ascii="Arial" w:hAnsi="Arial" w:cs="Arial"/>
          <w:sz w:val="22"/>
          <w:szCs w:val="22"/>
        </w:rPr>
        <w:t>Females were more likely to experience homelessness at some time in their lives with 14.5% of females, compared with 12.2% of males in 2014</w:t>
      </w:r>
      <w:r w:rsidRPr="006206D0">
        <w:rPr>
          <w:rFonts w:ascii="Arial" w:hAnsi="Arial" w:cs="Arial"/>
          <w:sz w:val="22"/>
          <w:szCs w:val="22"/>
          <w:vertAlign w:val="superscript"/>
        </w:rPr>
        <w:endnoteReference w:id="33"/>
      </w:r>
      <w:r w:rsidRPr="006206D0">
        <w:rPr>
          <w:rFonts w:ascii="Arial" w:hAnsi="Arial" w:cs="Arial"/>
          <w:sz w:val="22"/>
          <w:szCs w:val="22"/>
        </w:rPr>
        <w:t>, having ever previously been without a permanent place to live because of reasons</w:t>
      </w:r>
      <w:r w:rsidRPr="006206D0">
        <w:rPr>
          <w:rFonts w:ascii="Arial" w:hAnsi="Arial" w:cs="Arial"/>
          <w:sz w:val="22"/>
          <w:szCs w:val="22"/>
          <w:vertAlign w:val="superscript"/>
        </w:rPr>
        <w:endnoteReference w:id="34"/>
      </w:r>
      <w:r w:rsidRPr="006206D0">
        <w:rPr>
          <w:rFonts w:ascii="Arial" w:hAnsi="Arial" w:cs="Arial"/>
          <w:sz w:val="22"/>
          <w:szCs w:val="22"/>
        </w:rPr>
        <w:t xml:space="preserve"> including family/relationship breakdowns, financial problems, and tight rental/property markets.</w:t>
      </w:r>
    </w:p>
    <w:p w:rsidR="006206D0" w:rsidRPr="006206D0" w:rsidRDefault="006206D0" w:rsidP="001F7D5C">
      <w:pPr>
        <w:spacing w:after="120"/>
        <w:rPr>
          <w:rFonts w:ascii="Arial" w:hAnsi="Arial" w:cs="Arial"/>
          <w:sz w:val="22"/>
          <w:szCs w:val="22"/>
        </w:rPr>
      </w:pPr>
      <w:r w:rsidRPr="006206D0">
        <w:rPr>
          <w:rFonts w:ascii="Arial" w:hAnsi="Arial" w:cs="Arial"/>
          <w:sz w:val="22"/>
          <w:szCs w:val="22"/>
        </w:rPr>
        <w:t>Females accounted for 55.1% of people accessing government-funded specialist homelessness services in 2015-16, with women aged 18-44 years comprising more than half (53.8%) of female clients and just under a third (29.6%) of all clients.</w:t>
      </w:r>
      <w:r w:rsidRPr="006206D0">
        <w:rPr>
          <w:rFonts w:ascii="Arial" w:hAnsi="Arial" w:cs="Arial"/>
          <w:sz w:val="22"/>
          <w:szCs w:val="22"/>
          <w:vertAlign w:val="superscript"/>
        </w:rPr>
        <w:endnoteReference w:id="35"/>
      </w:r>
    </w:p>
    <w:p w:rsidR="006206D0" w:rsidRPr="006206D0" w:rsidRDefault="006206D0" w:rsidP="001F7D5C">
      <w:pPr>
        <w:spacing w:after="120"/>
        <w:rPr>
          <w:rFonts w:ascii="Arial" w:hAnsi="Arial" w:cs="Arial"/>
          <w:sz w:val="22"/>
          <w:szCs w:val="22"/>
          <w:lang w:val="en-AU"/>
        </w:rPr>
      </w:pPr>
      <w:r w:rsidRPr="006206D0">
        <w:rPr>
          <w:rFonts w:ascii="Arial" w:hAnsi="Arial" w:cs="Arial"/>
          <w:sz w:val="22"/>
          <w:szCs w:val="22"/>
        </w:rPr>
        <w:t>Females head</w:t>
      </w:r>
      <w:r w:rsidR="00654F1E">
        <w:rPr>
          <w:rFonts w:ascii="Arial" w:hAnsi="Arial" w:cs="Arial"/>
          <w:sz w:val="22"/>
          <w:szCs w:val="22"/>
        </w:rPr>
        <w:t>ed</w:t>
      </w:r>
      <w:r w:rsidRPr="006206D0">
        <w:rPr>
          <w:rFonts w:ascii="Arial" w:hAnsi="Arial" w:cs="Arial"/>
          <w:sz w:val="22"/>
          <w:szCs w:val="22"/>
        </w:rPr>
        <w:t xml:space="preserve"> 85.0% of one-parent families with children under 15 years in 2016.</w:t>
      </w:r>
      <w:r w:rsidRPr="006206D0">
        <w:rPr>
          <w:rFonts w:ascii="Arial" w:hAnsi="Arial" w:cs="Arial"/>
          <w:sz w:val="22"/>
          <w:szCs w:val="22"/>
          <w:vertAlign w:val="superscript"/>
        </w:rPr>
        <w:endnoteReference w:id="36"/>
      </w:r>
      <w:r w:rsidRPr="006206D0">
        <w:rPr>
          <w:rFonts w:ascii="Arial" w:hAnsi="Arial" w:cs="Arial"/>
          <w:sz w:val="22"/>
          <w:szCs w:val="22"/>
        </w:rPr>
        <w:t xml:space="preserve"> </w:t>
      </w:r>
    </w:p>
    <w:p w:rsidR="006206D0" w:rsidRDefault="006206D0" w:rsidP="001F7D5C">
      <w:pPr>
        <w:numPr>
          <w:ilvl w:val="0"/>
          <w:numId w:val="10"/>
        </w:numPr>
        <w:spacing w:after="120"/>
        <w:rPr>
          <w:rFonts w:ascii="Arial" w:hAnsi="Arial" w:cs="Arial"/>
          <w:sz w:val="22"/>
          <w:szCs w:val="22"/>
        </w:rPr>
      </w:pPr>
      <w:r w:rsidRPr="006206D0">
        <w:rPr>
          <w:rFonts w:ascii="Arial" w:hAnsi="Arial" w:cs="Arial"/>
          <w:sz w:val="22"/>
          <w:szCs w:val="22"/>
        </w:rPr>
        <w:t>One-parent families with dependent children spent 25 per cent of their average gross income on housing costs in 2013–14, compared with 15 per cent for couple families with dependent children.</w:t>
      </w:r>
      <w:r w:rsidRPr="006206D0">
        <w:rPr>
          <w:rFonts w:ascii="Arial" w:hAnsi="Arial" w:cs="Arial"/>
          <w:sz w:val="22"/>
          <w:szCs w:val="22"/>
          <w:vertAlign w:val="superscript"/>
        </w:rPr>
        <w:endnoteReference w:id="37"/>
      </w:r>
    </w:p>
    <w:p w:rsidR="00562F4F" w:rsidRPr="00C45E3A" w:rsidRDefault="00562F4F" w:rsidP="001F7D5C">
      <w:pPr>
        <w:numPr>
          <w:ilvl w:val="0"/>
          <w:numId w:val="10"/>
        </w:numPr>
        <w:spacing w:after="120"/>
        <w:rPr>
          <w:rFonts w:ascii="Arial" w:hAnsi="Arial" w:cs="Arial"/>
          <w:sz w:val="22"/>
          <w:szCs w:val="22"/>
        </w:rPr>
        <w:sectPr w:rsidR="00562F4F" w:rsidRPr="00C45E3A" w:rsidSect="00C56E7A">
          <w:endnotePr>
            <w:numFmt w:val="decimal"/>
          </w:endnotePr>
          <w:type w:val="continuous"/>
          <w:pgSz w:w="11900" w:h="16840"/>
          <w:pgMar w:top="1843" w:right="1127" w:bottom="709" w:left="1276" w:header="708" w:footer="708" w:gutter="0"/>
          <w:cols w:num="2" w:space="708"/>
          <w:titlePg/>
          <w:docGrid w:linePitch="360"/>
        </w:sectPr>
      </w:pPr>
    </w:p>
    <w:p w:rsidR="00456A95" w:rsidRPr="00457AE0" w:rsidRDefault="00456A95" w:rsidP="00E57119">
      <w:pPr>
        <w:rPr>
          <w:rFonts w:ascii="Arial" w:hAnsi="Arial"/>
          <w:sz w:val="22"/>
          <w:szCs w:val="22"/>
        </w:rPr>
      </w:pPr>
    </w:p>
    <w:sectPr w:rsidR="00456A95" w:rsidRPr="00457AE0" w:rsidSect="00987FB2">
      <w:headerReference w:type="default" r:id="rId14"/>
      <w:headerReference w:type="first" r:id="rId15"/>
      <w:endnotePr>
        <w:numFmt w:val="decimal"/>
      </w:endnotePr>
      <w:pgSz w:w="11900" w:h="16840"/>
      <w:pgMar w:top="1843" w:right="1127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43A" w:rsidRDefault="0043643A" w:rsidP="00456A95">
      <w:r>
        <w:separator/>
      </w:r>
    </w:p>
  </w:endnote>
  <w:endnote w:type="continuationSeparator" w:id="0">
    <w:p w:rsidR="0043643A" w:rsidRDefault="0043643A" w:rsidP="00456A95">
      <w:r>
        <w:continuationSeparator/>
      </w:r>
    </w:p>
  </w:endnote>
  <w:endnote w:id="1">
    <w:p w:rsidR="007769E3" w:rsidRPr="00D03CBF" w:rsidRDefault="007769E3" w:rsidP="00D03CBF">
      <w:pPr>
        <w:pStyle w:val="EndnoteText"/>
        <w:ind w:left="227" w:hanging="227"/>
        <w:rPr>
          <w:rFonts w:ascii="Arial" w:hAnsi="Arial" w:cs="Arial"/>
          <w:sz w:val="16"/>
          <w:szCs w:val="16"/>
        </w:rPr>
      </w:pPr>
      <w:r w:rsidRPr="00D03CBF">
        <w:rPr>
          <w:rStyle w:val="EndnoteReference"/>
          <w:rFonts w:ascii="Arial" w:hAnsi="Arial" w:cs="Arial"/>
          <w:sz w:val="16"/>
          <w:szCs w:val="16"/>
        </w:rPr>
        <w:endnoteRef/>
      </w:r>
      <w:r w:rsidRPr="00D03CBF">
        <w:rPr>
          <w:rFonts w:ascii="Arial" w:hAnsi="Arial" w:cs="Arial"/>
          <w:sz w:val="16"/>
          <w:szCs w:val="16"/>
        </w:rPr>
        <w:t xml:space="preserve"> Australian Bureau of Statistics, 2017, </w:t>
      </w:r>
      <w:r w:rsidRPr="00D03CBF">
        <w:rPr>
          <w:rFonts w:ascii="Arial" w:hAnsi="Arial" w:cs="Arial"/>
          <w:i/>
          <w:iCs/>
          <w:sz w:val="16"/>
          <w:szCs w:val="16"/>
        </w:rPr>
        <w:t>Schools, Australia 2016</w:t>
      </w:r>
      <w:r w:rsidRPr="00D03CBF">
        <w:rPr>
          <w:rFonts w:ascii="Arial" w:hAnsi="Arial" w:cs="Arial"/>
          <w:sz w:val="16"/>
          <w:szCs w:val="16"/>
        </w:rPr>
        <w:t>, ‘Table 64a Capped apparent retention rates (APR) by year (grade) range, affiliation, sex, Indigenous status, states and territories, 2010-2016’, cat. no. 4221.0.</w:t>
      </w:r>
    </w:p>
  </w:endnote>
  <w:endnote w:id="2">
    <w:p w:rsidR="007769E3" w:rsidRPr="00D03CBF" w:rsidRDefault="007769E3" w:rsidP="00D03CBF">
      <w:pPr>
        <w:pStyle w:val="EndnoteText"/>
        <w:ind w:left="227" w:hanging="227"/>
        <w:rPr>
          <w:rFonts w:ascii="Arial" w:hAnsi="Arial" w:cs="Arial"/>
          <w:sz w:val="16"/>
          <w:szCs w:val="16"/>
        </w:rPr>
      </w:pPr>
      <w:r w:rsidRPr="00D03CBF">
        <w:rPr>
          <w:rStyle w:val="EndnoteReference"/>
          <w:rFonts w:ascii="Arial" w:hAnsi="Arial" w:cs="Arial"/>
          <w:sz w:val="16"/>
          <w:szCs w:val="16"/>
        </w:rPr>
        <w:endnoteRef/>
      </w:r>
      <w:r w:rsidRPr="00D03CBF">
        <w:rPr>
          <w:rFonts w:ascii="Arial" w:hAnsi="Arial" w:cs="Arial"/>
          <w:sz w:val="16"/>
          <w:szCs w:val="16"/>
        </w:rPr>
        <w:t xml:space="preserve"> </w:t>
      </w:r>
      <w:r w:rsidRPr="00D03CBF">
        <w:rPr>
          <w:rFonts w:ascii="Arial" w:hAnsi="Arial" w:cs="Arial"/>
          <w:i/>
          <w:sz w:val="16"/>
          <w:szCs w:val="16"/>
        </w:rPr>
        <w:t>ibid</w:t>
      </w:r>
      <w:r w:rsidRPr="00D03CBF">
        <w:rPr>
          <w:rFonts w:ascii="Arial" w:hAnsi="Arial" w:cs="Arial"/>
          <w:sz w:val="16"/>
          <w:szCs w:val="16"/>
        </w:rPr>
        <w:t>.</w:t>
      </w:r>
    </w:p>
  </w:endnote>
  <w:endnote w:id="3">
    <w:p w:rsidR="007769E3" w:rsidRPr="00D03CBF" w:rsidRDefault="007769E3" w:rsidP="00D03CBF">
      <w:pPr>
        <w:pStyle w:val="EndnoteText"/>
        <w:ind w:left="227" w:hanging="227"/>
        <w:rPr>
          <w:rFonts w:ascii="Arial" w:hAnsi="Arial" w:cs="Arial"/>
          <w:sz w:val="16"/>
          <w:szCs w:val="16"/>
        </w:rPr>
      </w:pPr>
      <w:r w:rsidRPr="00D03CBF">
        <w:rPr>
          <w:rStyle w:val="EndnoteReference"/>
          <w:rFonts w:ascii="Arial" w:hAnsi="Arial" w:cs="Arial"/>
          <w:sz w:val="16"/>
          <w:szCs w:val="16"/>
        </w:rPr>
        <w:endnoteRef/>
      </w:r>
      <w:r w:rsidRPr="00D03CBF">
        <w:rPr>
          <w:rFonts w:ascii="Arial" w:hAnsi="Arial" w:cs="Arial"/>
          <w:sz w:val="16"/>
          <w:szCs w:val="16"/>
        </w:rPr>
        <w:t xml:space="preserve"> Australian Government Department of Education and Training, Higher Education Data Collections, uCube. </w:t>
      </w:r>
    </w:p>
  </w:endnote>
  <w:endnote w:id="4">
    <w:p w:rsidR="007769E3" w:rsidRPr="00D03CBF" w:rsidRDefault="007769E3" w:rsidP="00D03CBF">
      <w:pPr>
        <w:pStyle w:val="EndnoteText"/>
        <w:ind w:left="227" w:hanging="227"/>
        <w:rPr>
          <w:rFonts w:ascii="Arial" w:hAnsi="Arial" w:cs="Arial"/>
          <w:sz w:val="16"/>
          <w:szCs w:val="16"/>
          <w:lang w:eastAsia="ko-KR"/>
        </w:rPr>
      </w:pPr>
      <w:r w:rsidRPr="00D03CBF">
        <w:rPr>
          <w:rStyle w:val="EndnoteReference"/>
          <w:rFonts w:ascii="Arial" w:hAnsi="Arial" w:cs="Arial"/>
          <w:sz w:val="16"/>
          <w:szCs w:val="16"/>
        </w:rPr>
        <w:endnoteRef/>
      </w:r>
      <w:r w:rsidRPr="00D03CBF">
        <w:rPr>
          <w:rFonts w:ascii="Arial" w:hAnsi="Arial" w:cs="Arial"/>
          <w:sz w:val="16"/>
          <w:szCs w:val="16"/>
        </w:rPr>
        <w:t xml:space="preserve"> Includes domestic students only. Excludes students who commenced and completed enabling programs or non-award units of study, which do not lead to a higher education award.  </w:t>
      </w:r>
    </w:p>
  </w:endnote>
  <w:endnote w:id="5">
    <w:p w:rsidR="007769E3" w:rsidRPr="00D03CBF" w:rsidRDefault="007769E3" w:rsidP="00D03CBF">
      <w:pPr>
        <w:pStyle w:val="EndnoteText"/>
        <w:ind w:left="227" w:hanging="227"/>
        <w:rPr>
          <w:rFonts w:ascii="Arial" w:hAnsi="Arial" w:cs="Arial"/>
          <w:sz w:val="16"/>
          <w:szCs w:val="16"/>
        </w:rPr>
      </w:pPr>
      <w:r w:rsidRPr="00D03CBF">
        <w:rPr>
          <w:rStyle w:val="EndnoteReference"/>
          <w:rFonts w:ascii="Arial" w:hAnsi="Arial" w:cs="Arial"/>
          <w:sz w:val="16"/>
          <w:szCs w:val="16"/>
        </w:rPr>
        <w:endnoteRef/>
      </w:r>
      <w:r w:rsidRPr="00D03CBF">
        <w:rPr>
          <w:rFonts w:ascii="Arial" w:hAnsi="Arial" w:cs="Arial"/>
          <w:sz w:val="16"/>
          <w:szCs w:val="16"/>
        </w:rPr>
        <w:t xml:space="preserve"> Australian Bureau of Statistics, 2016, </w:t>
      </w:r>
      <w:r w:rsidRPr="00D03CBF">
        <w:rPr>
          <w:rFonts w:ascii="Arial" w:hAnsi="Arial" w:cs="Arial"/>
          <w:i/>
          <w:sz w:val="16"/>
          <w:szCs w:val="16"/>
        </w:rPr>
        <w:t>Education and work, Australia, May 2016</w:t>
      </w:r>
      <w:r w:rsidRPr="00D03CBF">
        <w:rPr>
          <w:rFonts w:ascii="Arial" w:hAnsi="Arial" w:cs="Arial"/>
          <w:sz w:val="16"/>
          <w:szCs w:val="16"/>
        </w:rPr>
        <w:t>, ‘Table 9 Highest educational attainment: level – by state or territory of usual residence and sex, persons aged 15-74 years’, cat. no. 6227.0.</w:t>
      </w:r>
    </w:p>
  </w:endnote>
  <w:endnote w:id="6">
    <w:p w:rsidR="007769E3" w:rsidRPr="00D03CBF" w:rsidRDefault="007769E3" w:rsidP="00D03CBF">
      <w:pPr>
        <w:pStyle w:val="EndnoteText"/>
        <w:ind w:left="227" w:hanging="227"/>
        <w:rPr>
          <w:rFonts w:ascii="Arial" w:hAnsi="Arial" w:cs="Arial"/>
          <w:sz w:val="16"/>
          <w:szCs w:val="16"/>
          <w:lang w:eastAsia="ko-KR"/>
        </w:rPr>
      </w:pPr>
      <w:r w:rsidRPr="00D03CBF">
        <w:rPr>
          <w:rStyle w:val="EndnoteReference"/>
          <w:rFonts w:ascii="Arial" w:hAnsi="Arial" w:cs="Arial"/>
          <w:sz w:val="16"/>
          <w:szCs w:val="16"/>
        </w:rPr>
        <w:endnoteRef/>
      </w:r>
      <w:r w:rsidRPr="00D03CBF">
        <w:rPr>
          <w:rFonts w:ascii="Arial" w:hAnsi="Arial" w:cs="Arial"/>
          <w:sz w:val="16"/>
          <w:szCs w:val="16"/>
        </w:rPr>
        <w:t xml:space="preserve"> </w:t>
      </w:r>
      <w:r w:rsidRPr="00D03CBF">
        <w:rPr>
          <w:rFonts w:ascii="Arial" w:hAnsi="Arial" w:cs="Arial"/>
          <w:sz w:val="16"/>
          <w:szCs w:val="16"/>
          <w:lang w:eastAsia="ko-KR"/>
        </w:rPr>
        <w:t xml:space="preserve">Australian Bureau of Statistics, 2012, </w:t>
      </w:r>
      <w:r w:rsidRPr="00D03CBF">
        <w:rPr>
          <w:rFonts w:ascii="Arial" w:hAnsi="Arial" w:cs="Arial"/>
          <w:i/>
          <w:iCs/>
          <w:sz w:val="16"/>
          <w:szCs w:val="16"/>
          <w:lang w:eastAsia="ko-KR"/>
        </w:rPr>
        <w:t>2011 Census of Population and Housing</w:t>
      </w:r>
      <w:r w:rsidRPr="00D03CBF">
        <w:rPr>
          <w:rFonts w:ascii="Arial" w:hAnsi="Arial" w:cs="Arial"/>
          <w:sz w:val="16"/>
          <w:szCs w:val="16"/>
          <w:lang w:eastAsia="ko-KR"/>
        </w:rPr>
        <w:t>, ‘Queensland (State/Territory), Indigenous Profile, Table I15 Non-school qualification: level of education by Indigenous status by age by sex’, cat. no. 2002.0.</w:t>
      </w:r>
    </w:p>
  </w:endnote>
  <w:endnote w:id="7">
    <w:p w:rsidR="007769E3" w:rsidRPr="00D03CBF" w:rsidRDefault="007769E3" w:rsidP="00D03CBF">
      <w:pPr>
        <w:pStyle w:val="EndnoteText"/>
        <w:ind w:left="227" w:hanging="227"/>
        <w:rPr>
          <w:rFonts w:ascii="Arial" w:hAnsi="Arial" w:cs="Arial"/>
          <w:sz w:val="16"/>
          <w:szCs w:val="16"/>
        </w:rPr>
      </w:pPr>
      <w:r w:rsidRPr="00D03CBF">
        <w:rPr>
          <w:rStyle w:val="EndnoteReference"/>
          <w:rFonts w:ascii="Arial" w:hAnsi="Arial" w:cs="Arial"/>
          <w:sz w:val="16"/>
          <w:szCs w:val="16"/>
        </w:rPr>
        <w:endnoteRef/>
      </w:r>
      <w:r w:rsidRPr="00D03CBF">
        <w:rPr>
          <w:rFonts w:ascii="Arial" w:hAnsi="Arial" w:cs="Arial"/>
          <w:sz w:val="16"/>
          <w:szCs w:val="16"/>
        </w:rPr>
        <w:t xml:space="preserve"> Queensland Curriculum and Assessment Authority, 2017, </w:t>
      </w:r>
      <w:r w:rsidRPr="00D03CBF">
        <w:rPr>
          <w:rFonts w:ascii="Arial" w:hAnsi="Arial" w:cs="Arial"/>
          <w:i/>
          <w:sz w:val="16"/>
          <w:szCs w:val="16"/>
        </w:rPr>
        <w:t>Subject enrolments and levels of achievement – 2016</w:t>
      </w:r>
      <w:r w:rsidRPr="00D03CBF">
        <w:rPr>
          <w:rFonts w:ascii="Arial" w:hAnsi="Arial" w:cs="Arial"/>
          <w:sz w:val="16"/>
          <w:szCs w:val="16"/>
        </w:rPr>
        <w:t>.</w:t>
      </w:r>
    </w:p>
  </w:endnote>
  <w:endnote w:id="8">
    <w:p w:rsidR="007769E3" w:rsidRPr="00D03CBF" w:rsidRDefault="007769E3" w:rsidP="00D03CBF">
      <w:pPr>
        <w:pStyle w:val="EndnoteText"/>
        <w:ind w:left="227" w:hanging="227"/>
        <w:rPr>
          <w:rFonts w:ascii="Arial" w:hAnsi="Arial" w:cs="Arial"/>
          <w:sz w:val="16"/>
          <w:szCs w:val="16"/>
        </w:rPr>
      </w:pPr>
      <w:r w:rsidRPr="00D03CBF">
        <w:rPr>
          <w:rStyle w:val="EndnoteReference"/>
          <w:rFonts w:ascii="Arial" w:hAnsi="Arial" w:cs="Arial"/>
          <w:sz w:val="16"/>
          <w:szCs w:val="16"/>
        </w:rPr>
        <w:endnoteRef/>
      </w:r>
      <w:r w:rsidRPr="00D03CBF">
        <w:rPr>
          <w:rFonts w:ascii="Arial" w:hAnsi="Arial" w:cs="Arial"/>
          <w:sz w:val="16"/>
          <w:szCs w:val="16"/>
        </w:rPr>
        <w:t xml:space="preserve"> Includes Year 12 Enrolments in Authority subjects (including Senior External Authority subjects) and excludes those subjects studied by less than 100 students in 2015. </w:t>
      </w:r>
    </w:p>
  </w:endnote>
  <w:endnote w:id="9">
    <w:p w:rsidR="007769E3" w:rsidRPr="00D03CBF" w:rsidRDefault="007769E3" w:rsidP="00D03CBF">
      <w:pPr>
        <w:pStyle w:val="EndnoteText"/>
        <w:ind w:left="227" w:hanging="227"/>
        <w:rPr>
          <w:rFonts w:ascii="Arial" w:hAnsi="Arial" w:cs="Arial"/>
          <w:sz w:val="16"/>
          <w:szCs w:val="16"/>
        </w:rPr>
      </w:pPr>
      <w:r w:rsidRPr="00D03CBF">
        <w:rPr>
          <w:rStyle w:val="EndnoteReference"/>
          <w:rFonts w:ascii="Arial" w:hAnsi="Arial" w:cs="Arial"/>
          <w:sz w:val="16"/>
          <w:szCs w:val="16"/>
        </w:rPr>
        <w:endnoteRef/>
      </w:r>
      <w:r w:rsidRPr="00D03CBF">
        <w:rPr>
          <w:rFonts w:ascii="Arial" w:hAnsi="Arial" w:cs="Arial"/>
          <w:sz w:val="16"/>
          <w:szCs w:val="16"/>
        </w:rPr>
        <w:t xml:space="preserve"> National Centre for Vocational Education Research, 2016, </w:t>
      </w:r>
      <w:r w:rsidRPr="00D03CBF">
        <w:rPr>
          <w:rFonts w:ascii="Arial" w:hAnsi="Arial" w:cs="Arial"/>
          <w:i/>
          <w:sz w:val="16"/>
          <w:szCs w:val="16"/>
        </w:rPr>
        <w:t>Australian vocational education and training statistics: Apprentice and Trainee Collection, June quarter 2016: pivot tables</w:t>
      </w:r>
      <w:r w:rsidRPr="00D03CBF">
        <w:rPr>
          <w:rFonts w:ascii="Arial" w:hAnsi="Arial" w:cs="Arial"/>
          <w:sz w:val="16"/>
          <w:szCs w:val="16"/>
        </w:rPr>
        <w:t>, NCVER, Adelaide.</w:t>
      </w:r>
    </w:p>
  </w:endnote>
  <w:endnote w:id="10">
    <w:p w:rsidR="007769E3" w:rsidRPr="00D03CBF" w:rsidRDefault="007769E3" w:rsidP="00D03CBF">
      <w:pPr>
        <w:pStyle w:val="EndnoteText"/>
        <w:ind w:left="227" w:hanging="227"/>
        <w:rPr>
          <w:rFonts w:ascii="Arial" w:hAnsi="Arial" w:cs="Arial"/>
          <w:sz w:val="16"/>
          <w:szCs w:val="16"/>
        </w:rPr>
      </w:pPr>
      <w:r w:rsidRPr="00D03CBF">
        <w:rPr>
          <w:rStyle w:val="EndnoteReference"/>
          <w:rFonts w:ascii="Arial" w:hAnsi="Arial" w:cs="Arial"/>
          <w:sz w:val="16"/>
          <w:szCs w:val="16"/>
        </w:rPr>
        <w:endnoteRef/>
      </w:r>
      <w:r w:rsidRPr="00D03CBF">
        <w:rPr>
          <w:rFonts w:ascii="Arial" w:hAnsi="Arial" w:cs="Arial"/>
          <w:sz w:val="16"/>
          <w:szCs w:val="16"/>
        </w:rPr>
        <w:t xml:space="preserve"> Australian Bureau of Statistics, 2017, </w:t>
      </w:r>
      <w:r w:rsidRPr="00D03CBF">
        <w:rPr>
          <w:rFonts w:ascii="Arial" w:hAnsi="Arial" w:cs="Arial"/>
          <w:i/>
          <w:iCs/>
          <w:sz w:val="16"/>
          <w:szCs w:val="16"/>
        </w:rPr>
        <w:t>Average weekly earnings, Australia, May 2017</w:t>
      </w:r>
      <w:r w:rsidRPr="00D03CBF">
        <w:rPr>
          <w:rFonts w:ascii="Arial" w:hAnsi="Arial" w:cs="Arial"/>
          <w:sz w:val="16"/>
          <w:szCs w:val="16"/>
        </w:rPr>
        <w:t xml:space="preserve">, ‘Table 11C. Average weekly earnings, Queensland (dollars) – trend’, cat. no. 6302.0. </w:t>
      </w:r>
    </w:p>
  </w:endnote>
  <w:endnote w:id="11">
    <w:p w:rsidR="007769E3" w:rsidRPr="00D03CBF" w:rsidRDefault="007769E3" w:rsidP="00D03CBF">
      <w:pPr>
        <w:pStyle w:val="EndnoteText"/>
        <w:ind w:left="227" w:hanging="227"/>
        <w:rPr>
          <w:rFonts w:ascii="Arial" w:hAnsi="Arial" w:cs="Arial"/>
          <w:sz w:val="16"/>
          <w:szCs w:val="16"/>
        </w:rPr>
      </w:pPr>
      <w:r w:rsidRPr="00D03CBF">
        <w:rPr>
          <w:rStyle w:val="EndnoteReference"/>
          <w:rFonts w:ascii="Arial" w:hAnsi="Arial" w:cs="Arial"/>
          <w:sz w:val="16"/>
          <w:szCs w:val="16"/>
        </w:rPr>
        <w:endnoteRef/>
      </w:r>
      <w:r w:rsidRPr="00D03CBF">
        <w:rPr>
          <w:rFonts w:ascii="Arial" w:hAnsi="Arial" w:cs="Arial"/>
          <w:sz w:val="16"/>
          <w:szCs w:val="16"/>
        </w:rPr>
        <w:t xml:space="preserve"> Australian Bureau of Statistics, 2017, </w:t>
      </w:r>
      <w:r w:rsidRPr="00D03CBF">
        <w:rPr>
          <w:rFonts w:ascii="Arial" w:hAnsi="Arial" w:cs="Arial"/>
          <w:i/>
          <w:iCs/>
          <w:sz w:val="16"/>
          <w:szCs w:val="16"/>
        </w:rPr>
        <w:t>Average weekly earnings, Australia, May 2017</w:t>
      </w:r>
      <w:r w:rsidRPr="00D03CBF">
        <w:rPr>
          <w:rFonts w:ascii="Arial" w:hAnsi="Arial" w:cs="Arial"/>
          <w:sz w:val="16"/>
          <w:szCs w:val="16"/>
        </w:rPr>
        <w:t xml:space="preserve">, ‘Table 1. Average weekly earnings, Australia (dollars) – trend’, cat. no. 6302.0. </w:t>
      </w:r>
    </w:p>
  </w:endnote>
  <w:endnote w:id="12">
    <w:p w:rsidR="007769E3" w:rsidRPr="00D03CBF" w:rsidRDefault="007769E3" w:rsidP="00D03CBF">
      <w:pPr>
        <w:pStyle w:val="EndnoteText"/>
        <w:ind w:left="227" w:hanging="227"/>
        <w:rPr>
          <w:rFonts w:ascii="Arial" w:hAnsi="Arial" w:cs="Arial"/>
          <w:sz w:val="16"/>
          <w:szCs w:val="16"/>
        </w:rPr>
      </w:pPr>
      <w:r w:rsidRPr="00D03CBF">
        <w:rPr>
          <w:rStyle w:val="EndnoteReference"/>
          <w:rFonts w:ascii="Arial" w:hAnsi="Arial" w:cs="Arial"/>
          <w:sz w:val="16"/>
          <w:szCs w:val="16"/>
        </w:rPr>
        <w:endnoteRef/>
      </w:r>
      <w:r w:rsidRPr="00D03CBF">
        <w:rPr>
          <w:rFonts w:ascii="Arial" w:hAnsi="Arial" w:cs="Arial"/>
          <w:sz w:val="16"/>
          <w:szCs w:val="16"/>
        </w:rPr>
        <w:t xml:space="preserve"> Australian Bureau of Statistics, 2017, </w:t>
      </w:r>
      <w:r w:rsidRPr="00D03CBF">
        <w:rPr>
          <w:rFonts w:ascii="Arial" w:hAnsi="Arial" w:cs="Arial"/>
          <w:i/>
          <w:sz w:val="16"/>
          <w:szCs w:val="16"/>
        </w:rPr>
        <w:t>Employee earnings and hours, Australia, May 2016</w:t>
      </w:r>
      <w:r w:rsidRPr="00D03CBF">
        <w:rPr>
          <w:rFonts w:ascii="Arial" w:hAnsi="Arial" w:cs="Arial"/>
          <w:sz w:val="16"/>
          <w:szCs w:val="16"/>
        </w:rPr>
        <w:t>, ‘Table: All Queensland employees paid at the adult rate, average weekly total cash earnings, average hourly ordinary time cash earnings – occupation by sex’, cat. no. 6306.0, customised data.</w:t>
      </w:r>
    </w:p>
  </w:endnote>
  <w:endnote w:id="13">
    <w:p w:rsidR="007769E3" w:rsidRPr="00D03CBF" w:rsidRDefault="007769E3" w:rsidP="00D03CBF">
      <w:pPr>
        <w:pStyle w:val="EndnoteText"/>
        <w:ind w:left="227" w:hanging="227"/>
        <w:rPr>
          <w:rFonts w:ascii="Arial" w:hAnsi="Arial" w:cs="Arial"/>
          <w:sz w:val="16"/>
          <w:szCs w:val="16"/>
        </w:rPr>
      </w:pPr>
      <w:r w:rsidRPr="00D03CBF">
        <w:rPr>
          <w:rStyle w:val="EndnoteReference"/>
          <w:rFonts w:ascii="Arial" w:hAnsi="Arial" w:cs="Arial"/>
          <w:sz w:val="16"/>
          <w:szCs w:val="16"/>
        </w:rPr>
        <w:endnoteRef/>
      </w:r>
      <w:r w:rsidRPr="00D03CBF">
        <w:rPr>
          <w:rFonts w:ascii="Arial" w:hAnsi="Arial" w:cs="Arial"/>
          <w:sz w:val="16"/>
          <w:szCs w:val="16"/>
        </w:rPr>
        <w:t xml:space="preserve"> Australian Bureau of Statistics, 2017, </w:t>
      </w:r>
      <w:r w:rsidRPr="00D03CBF">
        <w:rPr>
          <w:rFonts w:ascii="Arial" w:hAnsi="Arial" w:cs="Arial"/>
          <w:i/>
          <w:sz w:val="16"/>
          <w:szCs w:val="16"/>
        </w:rPr>
        <w:t>Employee earnings and hours, Australia, May 2016</w:t>
      </w:r>
      <w:r w:rsidRPr="00D03CBF">
        <w:rPr>
          <w:rFonts w:ascii="Arial" w:hAnsi="Arial" w:cs="Arial"/>
          <w:sz w:val="16"/>
          <w:szCs w:val="16"/>
        </w:rPr>
        <w:t>, ‘Table: All Queensland employees paid at the adult rate, average weekly total cash earnings, average hourly ordinary time cash earnings – occupation by sex’, cat. no. 6306.0, customised data.</w:t>
      </w:r>
    </w:p>
  </w:endnote>
  <w:endnote w:id="14">
    <w:p w:rsidR="007769E3" w:rsidRPr="00D03CBF" w:rsidRDefault="007769E3" w:rsidP="00D03CBF">
      <w:pPr>
        <w:pStyle w:val="EndnoteText"/>
        <w:ind w:left="227" w:hanging="227"/>
        <w:rPr>
          <w:rFonts w:ascii="Arial" w:hAnsi="Arial" w:cs="Arial"/>
          <w:sz w:val="16"/>
          <w:szCs w:val="16"/>
        </w:rPr>
      </w:pPr>
      <w:r w:rsidRPr="00D03CBF">
        <w:rPr>
          <w:rStyle w:val="EndnoteReference"/>
          <w:rFonts w:ascii="Arial" w:hAnsi="Arial" w:cs="Arial"/>
          <w:sz w:val="16"/>
          <w:szCs w:val="16"/>
        </w:rPr>
        <w:endnoteRef/>
      </w:r>
      <w:r w:rsidRPr="00D03CBF">
        <w:rPr>
          <w:rFonts w:ascii="Arial" w:hAnsi="Arial" w:cs="Arial"/>
          <w:sz w:val="16"/>
          <w:szCs w:val="16"/>
        </w:rPr>
        <w:t xml:space="preserve"> Australian Bureau of Statistics, 2017, </w:t>
      </w:r>
      <w:r w:rsidRPr="00D03CBF">
        <w:rPr>
          <w:rFonts w:ascii="Arial" w:hAnsi="Arial" w:cs="Arial"/>
          <w:i/>
          <w:sz w:val="16"/>
          <w:szCs w:val="16"/>
        </w:rPr>
        <w:t>Employee earnings and hours, Australia, May 2016</w:t>
      </w:r>
      <w:r w:rsidRPr="00D03CBF">
        <w:rPr>
          <w:rFonts w:ascii="Arial" w:hAnsi="Arial" w:cs="Arial"/>
          <w:sz w:val="16"/>
          <w:szCs w:val="16"/>
        </w:rPr>
        <w:t>, ‘Table: All Queensland employees paid at the adult rate, average weekly total cash earnings, average hourly ordinary time cash earnings – industry, managerial status by sex’, cat. no. 6306.0, customised data.</w:t>
      </w:r>
    </w:p>
  </w:endnote>
  <w:endnote w:id="15">
    <w:p w:rsidR="007769E3" w:rsidRPr="00D03CBF" w:rsidRDefault="007769E3" w:rsidP="00D03CBF">
      <w:pPr>
        <w:pStyle w:val="EndnoteText"/>
        <w:ind w:left="227" w:hanging="227"/>
        <w:rPr>
          <w:rFonts w:ascii="Arial" w:hAnsi="Arial" w:cs="Arial"/>
          <w:sz w:val="16"/>
          <w:szCs w:val="16"/>
        </w:rPr>
      </w:pPr>
      <w:r w:rsidRPr="00D03CBF">
        <w:rPr>
          <w:rStyle w:val="EndnoteReference"/>
          <w:rFonts w:ascii="Arial" w:hAnsi="Arial" w:cs="Arial"/>
          <w:sz w:val="16"/>
          <w:szCs w:val="16"/>
        </w:rPr>
        <w:endnoteRef/>
      </w:r>
      <w:r w:rsidRPr="00D03CBF">
        <w:rPr>
          <w:rFonts w:ascii="Arial" w:hAnsi="Arial" w:cs="Arial"/>
          <w:sz w:val="16"/>
          <w:szCs w:val="16"/>
        </w:rPr>
        <w:t xml:space="preserve"> Due to data unavailability, average hourly ordinary time cash earnings for non-managerial employees in Mining, Public administration and safety, Arts and recreation services industries are not included.</w:t>
      </w:r>
    </w:p>
  </w:endnote>
  <w:endnote w:id="16">
    <w:p w:rsidR="007769E3" w:rsidRPr="00D03CBF" w:rsidRDefault="007769E3" w:rsidP="00D03CBF">
      <w:pPr>
        <w:pStyle w:val="EndnoteText"/>
        <w:ind w:left="227" w:hanging="227"/>
        <w:rPr>
          <w:rFonts w:ascii="Arial" w:hAnsi="Arial" w:cs="Arial"/>
          <w:sz w:val="16"/>
          <w:szCs w:val="16"/>
        </w:rPr>
      </w:pPr>
      <w:r w:rsidRPr="00D03CBF">
        <w:rPr>
          <w:rStyle w:val="EndnoteReference"/>
          <w:rFonts w:ascii="Arial" w:hAnsi="Arial" w:cs="Arial"/>
          <w:sz w:val="16"/>
          <w:szCs w:val="16"/>
        </w:rPr>
        <w:endnoteRef/>
      </w:r>
      <w:r w:rsidRPr="00D03CBF">
        <w:rPr>
          <w:rFonts w:ascii="Arial" w:hAnsi="Arial" w:cs="Arial"/>
          <w:sz w:val="16"/>
          <w:szCs w:val="16"/>
        </w:rPr>
        <w:t xml:space="preserve"> Australian Bureau of Statistics, 2017, </w:t>
      </w:r>
      <w:r w:rsidRPr="00D03CBF">
        <w:rPr>
          <w:rFonts w:ascii="Arial" w:hAnsi="Arial" w:cs="Arial"/>
          <w:i/>
          <w:sz w:val="16"/>
          <w:szCs w:val="16"/>
        </w:rPr>
        <w:t>Employee earnings and hours, Australia, May 2016</w:t>
      </w:r>
      <w:r w:rsidRPr="00D03CBF">
        <w:rPr>
          <w:rFonts w:ascii="Arial" w:hAnsi="Arial" w:cs="Arial"/>
          <w:sz w:val="16"/>
          <w:szCs w:val="16"/>
        </w:rPr>
        <w:t>, ‘Table: All Queensland non-managerial employees paid at the adult rate, number of employees, average weekly total cash earnings, average hourly ordinary time cash earnings – type of employee, employment status by sex’, cat. no. 6306.0, customised data.</w:t>
      </w:r>
    </w:p>
  </w:endnote>
  <w:endnote w:id="17">
    <w:p w:rsidR="007769E3" w:rsidRPr="00D03CBF" w:rsidRDefault="007769E3" w:rsidP="00D03CBF">
      <w:pPr>
        <w:pStyle w:val="EndnoteText"/>
        <w:ind w:left="227" w:hanging="227"/>
        <w:rPr>
          <w:rFonts w:ascii="Arial" w:hAnsi="Arial" w:cs="Arial"/>
          <w:sz w:val="16"/>
          <w:szCs w:val="16"/>
        </w:rPr>
      </w:pPr>
      <w:r w:rsidRPr="00D03CBF">
        <w:rPr>
          <w:rStyle w:val="EndnoteReference"/>
          <w:rFonts w:ascii="Arial" w:hAnsi="Arial" w:cs="Arial"/>
          <w:sz w:val="16"/>
          <w:szCs w:val="16"/>
        </w:rPr>
        <w:endnoteRef/>
      </w:r>
      <w:r w:rsidRPr="00D03CBF">
        <w:rPr>
          <w:rFonts w:ascii="Arial" w:hAnsi="Arial" w:cs="Arial"/>
          <w:sz w:val="16"/>
          <w:szCs w:val="16"/>
        </w:rPr>
        <w:t xml:space="preserve"> Australian Bureau of Statistics, 2017, </w:t>
      </w:r>
      <w:r w:rsidRPr="00D03CBF">
        <w:rPr>
          <w:rFonts w:ascii="Arial" w:hAnsi="Arial" w:cs="Arial"/>
          <w:i/>
          <w:sz w:val="16"/>
          <w:szCs w:val="16"/>
        </w:rPr>
        <w:t>Employee earnings and hours, Australia, May 2016</w:t>
      </w:r>
      <w:r w:rsidRPr="00D03CBF">
        <w:rPr>
          <w:rFonts w:ascii="Arial" w:hAnsi="Arial" w:cs="Arial"/>
          <w:sz w:val="16"/>
          <w:szCs w:val="16"/>
        </w:rPr>
        <w:t>, ‘Table: All Queensland non-managerial employees paid at the adult rate, number of employees, average weekly total cash earnings, average hourly ordinary time cash earnings – type of employee, employment status by sex’, cat. no. 6306.0, customised data.</w:t>
      </w:r>
    </w:p>
  </w:endnote>
  <w:endnote w:id="18">
    <w:p w:rsidR="007769E3" w:rsidRPr="00D03CBF" w:rsidRDefault="007769E3" w:rsidP="00D03CBF">
      <w:pPr>
        <w:pStyle w:val="EndnoteText"/>
        <w:ind w:left="227" w:hanging="227"/>
        <w:rPr>
          <w:rFonts w:ascii="Arial" w:hAnsi="Arial" w:cs="Arial"/>
          <w:sz w:val="16"/>
          <w:szCs w:val="16"/>
        </w:rPr>
      </w:pPr>
      <w:r w:rsidRPr="00D03CBF">
        <w:rPr>
          <w:rStyle w:val="EndnoteReference"/>
          <w:rFonts w:ascii="Arial" w:hAnsi="Arial" w:cs="Arial"/>
          <w:sz w:val="16"/>
          <w:szCs w:val="16"/>
        </w:rPr>
        <w:endnoteRef/>
      </w:r>
      <w:r w:rsidRPr="00D03CBF">
        <w:rPr>
          <w:rFonts w:ascii="Arial" w:hAnsi="Arial" w:cs="Arial"/>
          <w:sz w:val="16"/>
          <w:szCs w:val="16"/>
        </w:rPr>
        <w:t xml:space="preserve"> Australian Bureau of Statistics, 2017, </w:t>
      </w:r>
      <w:r w:rsidRPr="00D03CBF">
        <w:rPr>
          <w:rFonts w:ascii="Arial" w:hAnsi="Arial" w:cs="Arial"/>
          <w:i/>
          <w:sz w:val="16"/>
          <w:szCs w:val="16"/>
        </w:rPr>
        <w:t>Gender indicators, Australia, August 2016</w:t>
      </w:r>
      <w:r w:rsidRPr="00D03CBF">
        <w:rPr>
          <w:rFonts w:ascii="Arial" w:hAnsi="Arial" w:cs="Arial"/>
          <w:sz w:val="16"/>
          <w:szCs w:val="16"/>
        </w:rPr>
        <w:t>, 1. Economic security ‘Persons not in labour force aged 65 years and over by main source of personal income, 2003-04 to 2013-14, Queensland’, cat. no. 4125.0, customised data.</w:t>
      </w:r>
    </w:p>
  </w:endnote>
  <w:endnote w:id="19">
    <w:p w:rsidR="007769E3" w:rsidRPr="00D03CBF" w:rsidRDefault="007769E3" w:rsidP="00D03CBF">
      <w:pPr>
        <w:pStyle w:val="EndnoteText"/>
        <w:ind w:left="227" w:hanging="227"/>
        <w:rPr>
          <w:rFonts w:ascii="Arial" w:hAnsi="Arial" w:cs="Arial"/>
          <w:sz w:val="16"/>
          <w:szCs w:val="16"/>
        </w:rPr>
      </w:pPr>
      <w:r w:rsidRPr="00D03CBF">
        <w:rPr>
          <w:rStyle w:val="EndnoteReference"/>
          <w:rFonts w:ascii="Arial" w:hAnsi="Arial" w:cs="Arial"/>
          <w:sz w:val="16"/>
          <w:szCs w:val="16"/>
        </w:rPr>
        <w:endnoteRef/>
      </w:r>
      <w:r w:rsidRPr="00D03CBF">
        <w:rPr>
          <w:rFonts w:ascii="Arial" w:hAnsi="Arial" w:cs="Arial"/>
          <w:sz w:val="16"/>
          <w:szCs w:val="16"/>
        </w:rPr>
        <w:t xml:space="preserve"> Australian Bureau of Statistics, 2016, </w:t>
      </w:r>
      <w:r w:rsidRPr="00D03CBF">
        <w:rPr>
          <w:rFonts w:ascii="Arial" w:hAnsi="Arial" w:cs="Arial"/>
          <w:i/>
          <w:sz w:val="16"/>
          <w:szCs w:val="16"/>
        </w:rPr>
        <w:t>Gender indicators, Australia, August 2016</w:t>
      </w:r>
      <w:r w:rsidRPr="00D03CBF">
        <w:rPr>
          <w:rFonts w:ascii="Arial" w:hAnsi="Arial" w:cs="Arial"/>
          <w:sz w:val="16"/>
          <w:szCs w:val="16"/>
        </w:rPr>
        <w:t>, 1. Economic security ‘Table 24: Persons not in labour force aged 65 years and over by main source of personal income, 2003-04 to 2013-14’, cat. no. 4125.0.</w:t>
      </w:r>
    </w:p>
  </w:endnote>
  <w:endnote w:id="20">
    <w:p w:rsidR="007769E3" w:rsidRPr="00D03CBF" w:rsidRDefault="007769E3" w:rsidP="00D03CBF">
      <w:pPr>
        <w:pStyle w:val="EndnoteText"/>
        <w:ind w:left="227" w:hanging="227"/>
        <w:rPr>
          <w:rFonts w:ascii="Arial" w:hAnsi="Arial" w:cs="Arial"/>
          <w:sz w:val="16"/>
          <w:szCs w:val="16"/>
          <w:lang w:eastAsia="ko-KR"/>
        </w:rPr>
      </w:pPr>
      <w:r w:rsidRPr="00D03CBF">
        <w:rPr>
          <w:rStyle w:val="EndnoteReference"/>
          <w:rFonts w:ascii="Arial" w:hAnsi="Arial" w:cs="Arial"/>
          <w:sz w:val="16"/>
          <w:szCs w:val="16"/>
        </w:rPr>
        <w:endnoteRef/>
      </w:r>
      <w:r w:rsidRPr="00D03CBF">
        <w:rPr>
          <w:rFonts w:ascii="Arial" w:hAnsi="Arial" w:cs="Arial"/>
          <w:sz w:val="16"/>
          <w:szCs w:val="16"/>
        </w:rPr>
        <w:t xml:space="preserve"> </w:t>
      </w:r>
      <w:r w:rsidRPr="00D03CBF">
        <w:rPr>
          <w:rFonts w:ascii="Arial" w:hAnsi="Arial" w:cs="Arial"/>
          <w:sz w:val="16"/>
          <w:szCs w:val="16"/>
          <w:lang w:eastAsia="ko-KR"/>
        </w:rPr>
        <w:t xml:space="preserve">Department of Social Services, 2014, </w:t>
      </w:r>
      <w:r w:rsidRPr="00D03CBF">
        <w:rPr>
          <w:rFonts w:ascii="Arial" w:hAnsi="Arial" w:cs="Arial"/>
          <w:i/>
          <w:sz w:val="16"/>
          <w:szCs w:val="16"/>
          <w:lang w:eastAsia="ko-KR"/>
        </w:rPr>
        <w:t>Income support customers: a statistical overview 2013</w:t>
      </w:r>
      <w:r w:rsidRPr="00D03CBF">
        <w:rPr>
          <w:rFonts w:ascii="Arial" w:hAnsi="Arial" w:cs="Arial"/>
          <w:sz w:val="16"/>
          <w:szCs w:val="16"/>
          <w:lang w:eastAsia="ko-KR"/>
        </w:rPr>
        <w:t>, ‘Table 43: Parenting payment (single) recipients by state/territory and sex, June 2013’, p. 48, Statistical paper no.12.</w:t>
      </w:r>
    </w:p>
  </w:endnote>
  <w:endnote w:id="21">
    <w:p w:rsidR="007769E3" w:rsidRPr="00D03CBF" w:rsidRDefault="007769E3" w:rsidP="00D03CBF">
      <w:pPr>
        <w:pStyle w:val="EndnoteText"/>
        <w:ind w:left="227" w:hanging="227"/>
        <w:rPr>
          <w:rFonts w:ascii="Arial" w:hAnsi="Arial" w:cs="Arial"/>
          <w:sz w:val="16"/>
          <w:szCs w:val="16"/>
          <w:lang w:eastAsia="ko-KR"/>
        </w:rPr>
      </w:pPr>
      <w:r w:rsidRPr="00D03CBF">
        <w:rPr>
          <w:rStyle w:val="EndnoteReference"/>
          <w:rFonts w:ascii="Arial" w:hAnsi="Arial" w:cs="Arial"/>
          <w:sz w:val="16"/>
          <w:szCs w:val="16"/>
        </w:rPr>
        <w:endnoteRef/>
      </w:r>
      <w:r w:rsidRPr="00D03CBF">
        <w:rPr>
          <w:rFonts w:ascii="Arial" w:hAnsi="Arial" w:cs="Arial"/>
          <w:sz w:val="16"/>
          <w:szCs w:val="16"/>
        </w:rPr>
        <w:t xml:space="preserve"> </w:t>
      </w:r>
      <w:r w:rsidRPr="00D03CBF">
        <w:rPr>
          <w:rFonts w:ascii="Arial" w:hAnsi="Arial" w:cs="Arial"/>
          <w:sz w:val="16"/>
          <w:szCs w:val="16"/>
          <w:lang w:eastAsia="ko-KR"/>
        </w:rPr>
        <w:t xml:space="preserve">Department of Social Services, 2014, </w:t>
      </w:r>
      <w:r w:rsidRPr="00D03CBF">
        <w:rPr>
          <w:rFonts w:ascii="Arial" w:hAnsi="Arial" w:cs="Arial"/>
          <w:i/>
          <w:sz w:val="16"/>
          <w:szCs w:val="16"/>
          <w:lang w:eastAsia="ko-KR"/>
        </w:rPr>
        <w:t>Income support customers: a statistical overview 2013</w:t>
      </w:r>
      <w:r w:rsidRPr="00D03CBF">
        <w:rPr>
          <w:rFonts w:ascii="Arial" w:hAnsi="Arial" w:cs="Arial"/>
          <w:sz w:val="16"/>
          <w:szCs w:val="16"/>
          <w:lang w:eastAsia="ko-KR"/>
        </w:rPr>
        <w:t>, ‘Table 20: Carer payment recipients by state/territory and sex, June 2013’, p. 25, Statistical paper no.12.</w:t>
      </w:r>
    </w:p>
  </w:endnote>
  <w:endnote w:id="22">
    <w:p w:rsidR="007769E3" w:rsidRPr="00D03CBF" w:rsidRDefault="007769E3" w:rsidP="00D03CBF">
      <w:pPr>
        <w:pStyle w:val="EndnoteText"/>
        <w:ind w:left="227" w:hanging="227"/>
        <w:rPr>
          <w:rFonts w:ascii="Arial" w:hAnsi="Arial" w:cs="Arial"/>
          <w:sz w:val="16"/>
          <w:szCs w:val="16"/>
        </w:rPr>
      </w:pPr>
      <w:r w:rsidRPr="00D03CBF">
        <w:rPr>
          <w:rStyle w:val="EndnoteReference"/>
          <w:rFonts w:ascii="Arial" w:hAnsi="Arial" w:cs="Arial"/>
          <w:sz w:val="16"/>
          <w:szCs w:val="16"/>
        </w:rPr>
        <w:endnoteRef/>
      </w:r>
      <w:r w:rsidRPr="00D03CBF">
        <w:rPr>
          <w:rFonts w:ascii="Arial" w:hAnsi="Arial" w:cs="Arial"/>
          <w:sz w:val="16"/>
          <w:szCs w:val="16"/>
        </w:rPr>
        <w:t xml:space="preserve"> Australian Bureau of Statistics, 2017, </w:t>
      </w:r>
      <w:r w:rsidRPr="00D03CBF">
        <w:rPr>
          <w:rFonts w:ascii="Arial" w:hAnsi="Arial" w:cs="Arial"/>
          <w:i/>
          <w:sz w:val="16"/>
          <w:szCs w:val="16"/>
        </w:rPr>
        <w:t>Gender indicators, Australia, August 2016</w:t>
      </w:r>
      <w:r w:rsidRPr="00D03CBF">
        <w:rPr>
          <w:rFonts w:ascii="Arial" w:hAnsi="Arial" w:cs="Arial"/>
          <w:sz w:val="16"/>
          <w:szCs w:val="16"/>
        </w:rPr>
        <w:t>, 1. Economic security, ‘Superannuation balance at, or approaching preservation age, by age and by relationship in the household, 15 years and over, 2003–04 to 2013–14, Queensland’, cat. no. 4125.0, customised data.</w:t>
      </w:r>
    </w:p>
  </w:endnote>
  <w:endnote w:id="23">
    <w:p w:rsidR="007769E3" w:rsidRPr="00D03CBF" w:rsidRDefault="007769E3" w:rsidP="00D03CBF">
      <w:pPr>
        <w:pStyle w:val="EndnoteText"/>
        <w:ind w:left="227" w:hanging="227"/>
        <w:rPr>
          <w:rFonts w:ascii="Arial" w:hAnsi="Arial" w:cs="Arial"/>
          <w:sz w:val="16"/>
          <w:szCs w:val="16"/>
        </w:rPr>
      </w:pPr>
      <w:r w:rsidRPr="00D03CBF">
        <w:rPr>
          <w:rStyle w:val="EndnoteReference"/>
          <w:rFonts w:ascii="Arial" w:hAnsi="Arial" w:cs="Arial"/>
          <w:sz w:val="16"/>
          <w:szCs w:val="16"/>
        </w:rPr>
        <w:endnoteRef/>
      </w:r>
      <w:r w:rsidRPr="00D03CBF">
        <w:rPr>
          <w:rFonts w:ascii="Arial" w:hAnsi="Arial" w:cs="Arial"/>
          <w:sz w:val="16"/>
          <w:szCs w:val="16"/>
        </w:rPr>
        <w:t xml:space="preserve"> Australian Bureau of Statistics, 2016, </w:t>
      </w:r>
      <w:r w:rsidRPr="00D03CBF">
        <w:rPr>
          <w:rFonts w:ascii="Arial" w:hAnsi="Arial" w:cs="Arial"/>
          <w:i/>
          <w:sz w:val="16"/>
          <w:szCs w:val="16"/>
        </w:rPr>
        <w:t>Gender indicators, Australia, August 2016</w:t>
      </w:r>
      <w:r w:rsidRPr="00D03CBF">
        <w:rPr>
          <w:rFonts w:ascii="Arial" w:hAnsi="Arial" w:cs="Arial"/>
          <w:sz w:val="16"/>
          <w:szCs w:val="16"/>
        </w:rPr>
        <w:t>, 1. Economic security ‘Table 25: Superannuation balance at, or approaching preservation age, by age and by relationship in the household, 15 years and over, 2003–04 to 2013–14’, cat. no. 4125.0.</w:t>
      </w:r>
    </w:p>
  </w:endnote>
  <w:endnote w:id="24">
    <w:p w:rsidR="007769E3" w:rsidRPr="00D03CBF" w:rsidRDefault="007769E3" w:rsidP="00D03CBF">
      <w:pPr>
        <w:pStyle w:val="EndnoteText"/>
        <w:ind w:left="227" w:hanging="227"/>
        <w:rPr>
          <w:rFonts w:ascii="Arial" w:hAnsi="Arial" w:cs="Arial"/>
          <w:sz w:val="16"/>
          <w:szCs w:val="16"/>
        </w:rPr>
      </w:pPr>
      <w:r w:rsidRPr="00D03CBF">
        <w:rPr>
          <w:rStyle w:val="EndnoteReference"/>
          <w:rFonts w:ascii="Arial" w:hAnsi="Arial" w:cs="Arial"/>
          <w:sz w:val="16"/>
          <w:szCs w:val="16"/>
        </w:rPr>
        <w:endnoteRef/>
      </w:r>
      <w:r w:rsidRPr="00D03CBF">
        <w:rPr>
          <w:rFonts w:ascii="Arial" w:hAnsi="Arial" w:cs="Arial"/>
          <w:sz w:val="16"/>
          <w:szCs w:val="16"/>
        </w:rPr>
        <w:t xml:space="preserve"> Australian Bureau of Statistics, 2017, </w:t>
      </w:r>
      <w:r w:rsidRPr="00D03CBF">
        <w:rPr>
          <w:rFonts w:ascii="Arial" w:hAnsi="Arial" w:cs="Arial"/>
          <w:i/>
          <w:sz w:val="16"/>
          <w:szCs w:val="16"/>
        </w:rPr>
        <w:t>Gender indicators, Australia, August 2016</w:t>
      </w:r>
      <w:r w:rsidRPr="00D03CBF">
        <w:rPr>
          <w:rFonts w:ascii="Arial" w:hAnsi="Arial" w:cs="Arial"/>
          <w:sz w:val="16"/>
          <w:szCs w:val="16"/>
        </w:rPr>
        <w:t>, 1. Economic security, ‘Superannuation balance at, or approaching preservation age, by age and by relationship in the household, 15 years and over, 2003–04 to 2013–14, Queensland’, cat. no. 4125.0, customised data.</w:t>
      </w:r>
    </w:p>
  </w:endnote>
  <w:endnote w:id="25">
    <w:p w:rsidR="007769E3" w:rsidRPr="00D03CBF" w:rsidRDefault="007769E3" w:rsidP="00D03CBF">
      <w:pPr>
        <w:pStyle w:val="EndnoteText"/>
        <w:ind w:left="227" w:hanging="227"/>
        <w:rPr>
          <w:rFonts w:ascii="Arial" w:hAnsi="Arial" w:cs="Arial"/>
          <w:sz w:val="16"/>
          <w:szCs w:val="16"/>
        </w:rPr>
      </w:pPr>
      <w:r w:rsidRPr="00D03CBF">
        <w:rPr>
          <w:rStyle w:val="EndnoteReference"/>
          <w:rFonts w:ascii="Arial" w:hAnsi="Arial" w:cs="Arial"/>
          <w:sz w:val="16"/>
          <w:szCs w:val="16"/>
        </w:rPr>
        <w:endnoteRef/>
      </w:r>
      <w:r w:rsidRPr="00D03CBF">
        <w:rPr>
          <w:rFonts w:ascii="Arial" w:hAnsi="Arial" w:cs="Arial"/>
          <w:sz w:val="16"/>
          <w:szCs w:val="16"/>
        </w:rPr>
        <w:t xml:space="preserve"> Australian Bureau of Statistics, 2016, </w:t>
      </w:r>
      <w:r w:rsidRPr="00D03CBF">
        <w:rPr>
          <w:rFonts w:ascii="Arial" w:hAnsi="Arial" w:cs="Arial"/>
          <w:i/>
          <w:sz w:val="16"/>
          <w:szCs w:val="16"/>
        </w:rPr>
        <w:t>Gender indicators, Australia, August 2016</w:t>
      </w:r>
      <w:r w:rsidRPr="00D03CBF">
        <w:rPr>
          <w:rFonts w:ascii="Arial" w:hAnsi="Arial" w:cs="Arial"/>
          <w:sz w:val="16"/>
          <w:szCs w:val="16"/>
        </w:rPr>
        <w:t>, 1. Economic security ‘Table 25: Superannuation balance at, or approaching preservation age, by age and by relationship in the household, 15 years and over, 2003–04 to 2013–14’, cat. no. 4125.0.</w:t>
      </w:r>
    </w:p>
  </w:endnote>
  <w:endnote w:id="26">
    <w:p w:rsidR="007769E3" w:rsidRPr="00D03CBF" w:rsidRDefault="007769E3" w:rsidP="00D03CBF">
      <w:pPr>
        <w:pStyle w:val="EndnoteText"/>
        <w:ind w:left="227" w:hanging="227"/>
        <w:rPr>
          <w:rFonts w:ascii="Arial" w:hAnsi="Arial" w:cs="Arial"/>
          <w:sz w:val="16"/>
          <w:szCs w:val="16"/>
        </w:rPr>
      </w:pPr>
      <w:r w:rsidRPr="00D03CBF">
        <w:rPr>
          <w:rStyle w:val="EndnoteReference"/>
          <w:rFonts w:ascii="Arial" w:hAnsi="Arial" w:cs="Arial"/>
          <w:sz w:val="16"/>
          <w:szCs w:val="16"/>
        </w:rPr>
        <w:endnoteRef/>
      </w:r>
      <w:r w:rsidRPr="00D03CBF">
        <w:rPr>
          <w:rFonts w:ascii="Arial" w:hAnsi="Arial" w:cs="Arial"/>
          <w:sz w:val="16"/>
          <w:szCs w:val="16"/>
        </w:rPr>
        <w:t xml:space="preserve"> Australian Bureau of Statistics, 2017, </w:t>
      </w:r>
      <w:r w:rsidRPr="00D03CBF">
        <w:rPr>
          <w:rFonts w:ascii="Arial" w:hAnsi="Arial" w:cs="Arial"/>
          <w:i/>
          <w:sz w:val="16"/>
          <w:szCs w:val="16"/>
        </w:rPr>
        <w:t>Gender indicators, Australia, August 2016</w:t>
      </w:r>
      <w:r w:rsidRPr="00D03CBF">
        <w:rPr>
          <w:rFonts w:ascii="Arial" w:hAnsi="Arial" w:cs="Arial"/>
          <w:sz w:val="16"/>
          <w:szCs w:val="16"/>
        </w:rPr>
        <w:t>, 1. Economic security ‘Persons not in labour force aged 65 years and over by main source of personal income, 2003-04 to 2013-14, Queensland’, cat. no. 4125.0, customised data.</w:t>
      </w:r>
    </w:p>
  </w:endnote>
  <w:endnote w:id="27">
    <w:p w:rsidR="007769E3" w:rsidRPr="00D03CBF" w:rsidRDefault="007769E3" w:rsidP="00D03CBF">
      <w:pPr>
        <w:pStyle w:val="EndnoteText"/>
        <w:ind w:left="227" w:hanging="227"/>
        <w:rPr>
          <w:rFonts w:ascii="Arial" w:hAnsi="Arial" w:cs="Arial"/>
          <w:sz w:val="16"/>
          <w:szCs w:val="16"/>
        </w:rPr>
      </w:pPr>
      <w:r w:rsidRPr="00D03CBF">
        <w:rPr>
          <w:rStyle w:val="EndnoteReference"/>
          <w:rFonts w:ascii="Arial" w:hAnsi="Arial" w:cs="Arial"/>
          <w:sz w:val="16"/>
          <w:szCs w:val="16"/>
        </w:rPr>
        <w:endnoteRef/>
      </w:r>
      <w:r w:rsidRPr="00D03CBF">
        <w:rPr>
          <w:rFonts w:ascii="Arial" w:hAnsi="Arial" w:cs="Arial"/>
          <w:sz w:val="16"/>
          <w:szCs w:val="16"/>
        </w:rPr>
        <w:t xml:space="preserve"> Australian Bureau of Statistics, 2017, </w:t>
      </w:r>
      <w:r w:rsidRPr="00D03CBF">
        <w:rPr>
          <w:rFonts w:ascii="Arial" w:hAnsi="Arial" w:cs="Arial"/>
          <w:i/>
          <w:sz w:val="16"/>
          <w:szCs w:val="16"/>
        </w:rPr>
        <w:t>Gender indicators, Australia, August 2016</w:t>
      </w:r>
      <w:r w:rsidRPr="00D03CBF">
        <w:rPr>
          <w:rFonts w:ascii="Arial" w:hAnsi="Arial" w:cs="Arial"/>
          <w:sz w:val="16"/>
          <w:szCs w:val="16"/>
        </w:rPr>
        <w:t>, 1. Economic security ‘Main source of income at retirement, Persons not in the labour force, by main source of personal income (65 years and over), 2003-04 to 2013-14, Queensland’, cat. no. 4125.0, customised data.</w:t>
      </w:r>
    </w:p>
  </w:endnote>
  <w:endnote w:id="28">
    <w:p w:rsidR="007769E3" w:rsidRPr="00D03CBF" w:rsidRDefault="007769E3" w:rsidP="00D03CBF">
      <w:pPr>
        <w:pStyle w:val="EndnoteText"/>
        <w:ind w:left="227" w:hanging="227"/>
        <w:rPr>
          <w:rFonts w:ascii="Arial" w:hAnsi="Arial" w:cs="Arial"/>
          <w:sz w:val="16"/>
          <w:szCs w:val="16"/>
        </w:rPr>
      </w:pPr>
      <w:r w:rsidRPr="00D03CBF">
        <w:rPr>
          <w:rStyle w:val="EndnoteReference"/>
          <w:rFonts w:ascii="Arial" w:hAnsi="Arial" w:cs="Arial"/>
          <w:sz w:val="16"/>
          <w:szCs w:val="16"/>
        </w:rPr>
        <w:endnoteRef/>
      </w:r>
      <w:r w:rsidRPr="00D03CBF">
        <w:rPr>
          <w:rFonts w:ascii="Arial" w:hAnsi="Arial" w:cs="Arial"/>
          <w:sz w:val="16"/>
          <w:szCs w:val="16"/>
        </w:rPr>
        <w:t xml:space="preserve"> Australian Bureau of Statistics, 2017, </w:t>
      </w:r>
      <w:r w:rsidRPr="00D03CBF">
        <w:rPr>
          <w:rFonts w:ascii="Arial" w:hAnsi="Arial" w:cs="Arial"/>
          <w:i/>
          <w:sz w:val="16"/>
          <w:szCs w:val="16"/>
        </w:rPr>
        <w:t>Gender indicators, Australia, August 2016</w:t>
      </w:r>
      <w:r w:rsidRPr="00D03CBF">
        <w:rPr>
          <w:rFonts w:ascii="Arial" w:hAnsi="Arial" w:cs="Arial"/>
          <w:sz w:val="16"/>
          <w:szCs w:val="16"/>
        </w:rPr>
        <w:t>, 1. Economic security ‘No superannuation coverage by age and relationship in the household, 15–64 years, 2003–04 to 2013–14, Queensland’, cat. no. 4125.0, customised data.</w:t>
      </w:r>
    </w:p>
  </w:endnote>
  <w:endnote w:id="29">
    <w:p w:rsidR="007769E3" w:rsidRPr="00D03CBF" w:rsidRDefault="007769E3" w:rsidP="00D03CBF">
      <w:pPr>
        <w:pStyle w:val="EndnoteText"/>
        <w:ind w:left="227" w:hanging="227"/>
        <w:rPr>
          <w:rFonts w:ascii="Arial" w:hAnsi="Arial" w:cs="Arial"/>
          <w:sz w:val="16"/>
          <w:szCs w:val="16"/>
        </w:rPr>
      </w:pPr>
      <w:r w:rsidRPr="00D03CBF">
        <w:rPr>
          <w:rStyle w:val="EndnoteReference"/>
          <w:rFonts w:ascii="Arial" w:hAnsi="Arial" w:cs="Arial"/>
          <w:sz w:val="16"/>
          <w:szCs w:val="16"/>
        </w:rPr>
        <w:endnoteRef/>
      </w:r>
      <w:r w:rsidRPr="00D03CBF">
        <w:rPr>
          <w:rFonts w:ascii="Arial" w:hAnsi="Arial" w:cs="Arial"/>
          <w:sz w:val="16"/>
          <w:szCs w:val="16"/>
        </w:rPr>
        <w:t xml:space="preserve"> Australian Bureau of Statistics, 2016, </w:t>
      </w:r>
      <w:r w:rsidRPr="00D03CBF">
        <w:rPr>
          <w:rFonts w:ascii="Arial" w:hAnsi="Arial" w:cs="Arial"/>
          <w:i/>
          <w:sz w:val="16"/>
          <w:szCs w:val="16"/>
        </w:rPr>
        <w:t>Gender indicators, Australia, August 2016</w:t>
      </w:r>
      <w:r w:rsidRPr="00D03CBF">
        <w:rPr>
          <w:rFonts w:ascii="Arial" w:hAnsi="Arial" w:cs="Arial"/>
          <w:sz w:val="16"/>
          <w:szCs w:val="16"/>
        </w:rPr>
        <w:t>, 1. Economic security ‘Table 26: No superannuation coverage by age and relationship in the household, 15–64 years, 2003–04 to 2013–14’, cat. no 4125.0.</w:t>
      </w:r>
    </w:p>
  </w:endnote>
  <w:endnote w:id="30">
    <w:p w:rsidR="006C1037" w:rsidRPr="00D03CBF" w:rsidRDefault="006C1037" w:rsidP="006C1037">
      <w:pPr>
        <w:pStyle w:val="EndnoteText"/>
        <w:ind w:left="227" w:hanging="227"/>
        <w:rPr>
          <w:rFonts w:ascii="Arial" w:hAnsi="Arial" w:cs="Arial"/>
          <w:sz w:val="16"/>
          <w:szCs w:val="16"/>
        </w:rPr>
      </w:pPr>
      <w:r w:rsidRPr="00D03CBF">
        <w:rPr>
          <w:rStyle w:val="EndnoteReference"/>
          <w:rFonts w:ascii="Arial" w:hAnsi="Arial" w:cs="Arial"/>
          <w:sz w:val="16"/>
          <w:szCs w:val="16"/>
        </w:rPr>
        <w:endnoteRef/>
      </w:r>
      <w:r w:rsidRPr="00D03CBF">
        <w:rPr>
          <w:rFonts w:ascii="Arial" w:hAnsi="Arial" w:cs="Arial"/>
          <w:sz w:val="16"/>
          <w:szCs w:val="16"/>
        </w:rPr>
        <w:t xml:space="preserve"> Australian Bureau of Statistics, 2017, </w:t>
      </w:r>
      <w:r w:rsidRPr="00D03CBF">
        <w:rPr>
          <w:rFonts w:ascii="Arial" w:hAnsi="Arial" w:cs="Arial"/>
          <w:i/>
          <w:sz w:val="16"/>
          <w:szCs w:val="16"/>
        </w:rPr>
        <w:t>Gender indicators, Australia, August 2016</w:t>
      </w:r>
      <w:r w:rsidRPr="00D03CBF">
        <w:rPr>
          <w:rFonts w:ascii="Arial" w:hAnsi="Arial" w:cs="Arial"/>
          <w:sz w:val="16"/>
          <w:szCs w:val="16"/>
        </w:rPr>
        <w:t>, 1. Economic security ‘No superannuation coverage, 15–64 years, by selected populations, 2009–10, 2011–12 and 2013–14, Queensland’, cat. no. 4125.0, customised data.</w:t>
      </w:r>
    </w:p>
  </w:endnote>
  <w:endnote w:id="31">
    <w:p w:rsidR="007769E3" w:rsidRPr="00D03CBF" w:rsidRDefault="007769E3" w:rsidP="00D03CBF">
      <w:pPr>
        <w:pStyle w:val="EndnoteText"/>
        <w:ind w:left="227" w:hanging="227"/>
        <w:rPr>
          <w:rFonts w:ascii="Arial" w:hAnsi="Arial" w:cs="Arial"/>
          <w:sz w:val="16"/>
          <w:szCs w:val="16"/>
          <w:lang w:eastAsia="ko-KR"/>
        </w:rPr>
      </w:pPr>
      <w:r w:rsidRPr="00D03CBF">
        <w:rPr>
          <w:rStyle w:val="EndnoteReference"/>
          <w:rFonts w:ascii="Arial" w:hAnsi="Arial" w:cs="Arial"/>
          <w:sz w:val="16"/>
          <w:szCs w:val="16"/>
        </w:rPr>
        <w:endnoteRef/>
      </w:r>
      <w:r w:rsidRPr="00D03CBF">
        <w:rPr>
          <w:rFonts w:ascii="Arial" w:hAnsi="Arial" w:cs="Arial"/>
          <w:sz w:val="16"/>
          <w:szCs w:val="16"/>
        </w:rPr>
        <w:t xml:space="preserve"> </w:t>
      </w:r>
      <w:r w:rsidRPr="00D03CBF">
        <w:rPr>
          <w:rFonts w:ascii="Arial" w:hAnsi="Arial" w:cs="Arial"/>
          <w:sz w:val="16"/>
          <w:szCs w:val="16"/>
          <w:lang w:eastAsia="ko-KR"/>
        </w:rPr>
        <w:t>Queensland Department of Housing and Public Works, SAP R/3, June 2016, unpublished data.</w:t>
      </w:r>
    </w:p>
  </w:endnote>
  <w:endnote w:id="32">
    <w:p w:rsidR="007769E3" w:rsidRPr="00D03CBF" w:rsidRDefault="007769E3" w:rsidP="00D03CBF">
      <w:pPr>
        <w:pStyle w:val="EndnoteText"/>
        <w:ind w:left="227" w:hanging="227"/>
        <w:rPr>
          <w:rFonts w:ascii="Arial" w:hAnsi="Arial" w:cs="Arial"/>
          <w:sz w:val="16"/>
          <w:szCs w:val="16"/>
          <w:lang w:eastAsia="ko-KR"/>
        </w:rPr>
      </w:pPr>
      <w:r w:rsidRPr="00D03CBF">
        <w:rPr>
          <w:rStyle w:val="EndnoteReference"/>
          <w:rFonts w:ascii="Arial" w:hAnsi="Arial" w:cs="Arial"/>
          <w:sz w:val="16"/>
          <w:szCs w:val="16"/>
        </w:rPr>
        <w:endnoteRef/>
      </w:r>
      <w:r w:rsidRPr="00D03CBF">
        <w:rPr>
          <w:rFonts w:ascii="Arial" w:hAnsi="Arial" w:cs="Arial"/>
          <w:sz w:val="16"/>
          <w:szCs w:val="16"/>
        </w:rPr>
        <w:t xml:space="preserve"> </w:t>
      </w:r>
      <w:r w:rsidR="001F7D5C" w:rsidRPr="001F7D5C">
        <w:rPr>
          <w:rFonts w:ascii="Arial" w:hAnsi="Arial" w:cs="Arial"/>
          <w:i/>
          <w:sz w:val="16"/>
          <w:szCs w:val="16"/>
          <w:lang w:eastAsia="ko-KR"/>
        </w:rPr>
        <w:t>ibid</w:t>
      </w:r>
      <w:r w:rsidRPr="00D03CBF">
        <w:rPr>
          <w:rFonts w:ascii="Arial" w:hAnsi="Arial" w:cs="Arial"/>
          <w:sz w:val="16"/>
          <w:szCs w:val="16"/>
          <w:lang w:eastAsia="ko-KR"/>
        </w:rPr>
        <w:t>.</w:t>
      </w:r>
    </w:p>
  </w:endnote>
  <w:endnote w:id="33">
    <w:p w:rsidR="007769E3" w:rsidRPr="00D03CBF" w:rsidRDefault="007769E3" w:rsidP="00D03CBF">
      <w:pPr>
        <w:pStyle w:val="EndnoteText"/>
        <w:ind w:left="227" w:hanging="227"/>
        <w:rPr>
          <w:rFonts w:ascii="Arial" w:hAnsi="Arial" w:cs="Arial"/>
          <w:sz w:val="16"/>
          <w:szCs w:val="16"/>
        </w:rPr>
      </w:pPr>
      <w:r w:rsidRPr="00D03CBF">
        <w:rPr>
          <w:rStyle w:val="EndnoteReference"/>
          <w:rFonts w:ascii="Arial" w:hAnsi="Arial" w:cs="Arial"/>
          <w:sz w:val="16"/>
          <w:szCs w:val="16"/>
        </w:rPr>
        <w:endnoteRef/>
      </w:r>
      <w:r w:rsidRPr="00D03CBF">
        <w:rPr>
          <w:rFonts w:ascii="Arial" w:hAnsi="Arial" w:cs="Arial"/>
          <w:sz w:val="16"/>
          <w:szCs w:val="16"/>
        </w:rPr>
        <w:t xml:space="preserve"> Australian Bureau of Statistics, 2017, </w:t>
      </w:r>
      <w:r w:rsidRPr="00D03CBF">
        <w:rPr>
          <w:rFonts w:ascii="Arial" w:hAnsi="Arial" w:cs="Arial"/>
          <w:i/>
          <w:sz w:val="16"/>
          <w:szCs w:val="16"/>
        </w:rPr>
        <w:t>General social survey, summary results, Australia, 2014</w:t>
      </w:r>
      <w:r w:rsidRPr="00D03CBF">
        <w:rPr>
          <w:rFonts w:ascii="Arial" w:hAnsi="Arial" w:cs="Arial"/>
          <w:sz w:val="16"/>
          <w:szCs w:val="16"/>
        </w:rPr>
        <w:t xml:space="preserve">, ‘Table 3.3 All persons, selected personal characteristics – by state and territory’, cat. no. 4159.0, customised data. </w:t>
      </w:r>
    </w:p>
  </w:endnote>
  <w:endnote w:id="34">
    <w:p w:rsidR="007769E3" w:rsidRPr="00D03CBF" w:rsidRDefault="007769E3" w:rsidP="00D03CBF">
      <w:pPr>
        <w:pStyle w:val="EndnoteText"/>
        <w:ind w:left="227" w:hanging="227"/>
        <w:rPr>
          <w:rFonts w:ascii="Arial" w:hAnsi="Arial" w:cs="Arial"/>
          <w:sz w:val="16"/>
          <w:szCs w:val="16"/>
        </w:rPr>
      </w:pPr>
      <w:r w:rsidRPr="00D03CBF">
        <w:rPr>
          <w:rStyle w:val="EndnoteReference"/>
          <w:rFonts w:ascii="Arial" w:hAnsi="Arial" w:cs="Arial"/>
          <w:sz w:val="16"/>
          <w:szCs w:val="16"/>
        </w:rPr>
        <w:endnoteRef/>
      </w:r>
      <w:r w:rsidRPr="00D03CBF">
        <w:rPr>
          <w:rFonts w:ascii="Arial" w:hAnsi="Arial" w:cs="Arial"/>
          <w:sz w:val="16"/>
          <w:szCs w:val="16"/>
        </w:rPr>
        <w:t xml:space="preserve"> Reasons other than one (or more) of the following only: saving money; work related reasons; building or renovating their home; travelling/on holiday; house-sitting or having just moved back to a town or city. People who had ever previously been without a permanent place to live for other reasons (e.g. family/relationship breakdowns, financial problems, tight rental/property markets etc.) were counted in the survey as having had an experience of homelessness. </w:t>
      </w:r>
    </w:p>
  </w:endnote>
  <w:endnote w:id="35">
    <w:p w:rsidR="007769E3" w:rsidRPr="00D03CBF" w:rsidRDefault="007769E3" w:rsidP="00D03CBF">
      <w:pPr>
        <w:pStyle w:val="EndnoteText"/>
        <w:ind w:left="227" w:hanging="227"/>
        <w:rPr>
          <w:rFonts w:ascii="Arial" w:hAnsi="Arial" w:cs="Arial"/>
          <w:sz w:val="16"/>
          <w:szCs w:val="16"/>
          <w:lang w:eastAsia="ko-KR"/>
        </w:rPr>
      </w:pPr>
      <w:r w:rsidRPr="00D03CBF">
        <w:rPr>
          <w:rStyle w:val="EndnoteReference"/>
          <w:rFonts w:ascii="Arial" w:hAnsi="Arial" w:cs="Arial"/>
          <w:sz w:val="16"/>
          <w:szCs w:val="16"/>
        </w:rPr>
        <w:endnoteRef/>
      </w:r>
      <w:r w:rsidRPr="00D03CBF">
        <w:rPr>
          <w:rFonts w:ascii="Arial" w:hAnsi="Arial" w:cs="Arial"/>
          <w:sz w:val="16"/>
          <w:szCs w:val="16"/>
        </w:rPr>
        <w:t xml:space="preserve"> </w:t>
      </w:r>
      <w:r w:rsidRPr="00D03CBF">
        <w:rPr>
          <w:rFonts w:ascii="Arial" w:hAnsi="Arial" w:cs="Arial"/>
          <w:sz w:val="16"/>
          <w:szCs w:val="16"/>
          <w:lang w:eastAsia="ko-KR"/>
        </w:rPr>
        <w:t xml:space="preserve">Australian Institute of Health and Welfare, 2017, </w:t>
      </w:r>
      <w:r w:rsidRPr="00D03CBF">
        <w:rPr>
          <w:rFonts w:ascii="Arial" w:hAnsi="Arial" w:cs="Arial"/>
          <w:i/>
          <w:iCs/>
          <w:sz w:val="16"/>
          <w:szCs w:val="16"/>
          <w:lang w:eastAsia="ko-KR"/>
        </w:rPr>
        <w:t>Specialist homelessness services 2015-16, Supplementary tables - Queensland</w:t>
      </w:r>
      <w:r w:rsidRPr="00D03CBF">
        <w:rPr>
          <w:rFonts w:ascii="Arial" w:hAnsi="Arial" w:cs="Arial"/>
          <w:sz w:val="16"/>
          <w:szCs w:val="16"/>
          <w:lang w:eastAsia="ko-KR"/>
        </w:rPr>
        <w:t>, ‘Table QLD CLIENTS.1: Clients and support periods, by age and sex, 2015-16, adjusted for non-response’, cat. no. HOU 283.</w:t>
      </w:r>
    </w:p>
  </w:endnote>
  <w:endnote w:id="36">
    <w:p w:rsidR="007769E3" w:rsidRPr="00D03CBF" w:rsidRDefault="007769E3" w:rsidP="00D03CBF">
      <w:pPr>
        <w:pStyle w:val="EndnoteText"/>
        <w:ind w:left="227" w:hanging="227"/>
        <w:rPr>
          <w:rFonts w:ascii="Arial" w:hAnsi="Arial" w:cs="Arial"/>
          <w:sz w:val="16"/>
          <w:szCs w:val="16"/>
          <w:lang w:eastAsia="ko-KR"/>
        </w:rPr>
      </w:pPr>
      <w:r w:rsidRPr="00D03CBF">
        <w:rPr>
          <w:rStyle w:val="EndnoteReference"/>
          <w:rFonts w:ascii="Arial" w:hAnsi="Arial" w:cs="Arial"/>
          <w:sz w:val="16"/>
          <w:szCs w:val="16"/>
        </w:rPr>
        <w:endnoteRef/>
      </w:r>
      <w:r w:rsidRPr="00D03CBF">
        <w:rPr>
          <w:rFonts w:ascii="Arial" w:hAnsi="Arial" w:cs="Arial"/>
          <w:sz w:val="16"/>
          <w:szCs w:val="16"/>
        </w:rPr>
        <w:t xml:space="preserve"> </w:t>
      </w:r>
      <w:r w:rsidRPr="00D03CBF">
        <w:rPr>
          <w:rFonts w:ascii="Arial" w:hAnsi="Arial" w:cs="Arial"/>
          <w:sz w:val="16"/>
          <w:szCs w:val="16"/>
          <w:lang w:eastAsia="ko-KR"/>
        </w:rPr>
        <w:t xml:space="preserve">Australian Bureau of Statistics, 2017, </w:t>
      </w:r>
      <w:r w:rsidRPr="00D03CBF">
        <w:rPr>
          <w:rFonts w:ascii="Arial" w:hAnsi="Arial" w:cs="Arial"/>
          <w:i/>
          <w:iCs/>
          <w:sz w:val="16"/>
          <w:szCs w:val="16"/>
          <w:lang w:eastAsia="ko-KR"/>
        </w:rPr>
        <w:t>2016 Census of Population and Housing</w:t>
      </w:r>
      <w:r w:rsidRPr="00D03CBF">
        <w:rPr>
          <w:rFonts w:ascii="Arial" w:hAnsi="Arial" w:cs="Arial"/>
          <w:sz w:val="16"/>
          <w:szCs w:val="16"/>
          <w:lang w:eastAsia="ko-KR"/>
        </w:rPr>
        <w:t xml:space="preserve">, ‘Queensland (State/Territory), General Community Profile, Table G25 Family composition’, cat. no. 2001.0, data generated using ABS TableBuilder.  </w:t>
      </w:r>
    </w:p>
  </w:endnote>
  <w:endnote w:id="37">
    <w:p w:rsidR="007769E3" w:rsidRPr="00D03CBF" w:rsidRDefault="007769E3" w:rsidP="00D03CBF">
      <w:pPr>
        <w:pStyle w:val="EndnoteText"/>
        <w:ind w:left="227" w:hanging="227"/>
        <w:rPr>
          <w:rFonts w:ascii="Arial" w:hAnsi="Arial" w:cs="Arial"/>
          <w:sz w:val="16"/>
          <w:szCs w:val="16"/>
          <w:lang w:eastAsia="ko-KR"/>
        </w:rPr>
      </w:pPr>
      <w:r w:rsidRPr="00D03CBF">
        <w:rPr>
          <w:rStyle w:val="EndnoteReference"/>
          <w:rFonts w:ascii="Arial" w:hAnsi="Arial" w:cs="Arial"/>
          <w:sz w:val="16"/>
          <w:szCs w:val="16"/>
        </w:rPr>
        <w:endnoteRef/>
      </w:r>
      <w:r w:rsidRPr="00D03CBF">
        <w:rPr>
          <w:rFonts w:ascii="Arial" w:hAnsi="Arial" w:cs="Arial"/>
          <w:sz w:val="16"/>
          <w:szCs w:val="16"/>
        </w:rPr>
        <w:t xml:space="preserve"> </w:t>
      </w:r>
      <w:r w:rsidRPr="00D03CBF">
        <w:rPr>
          <w:rFonts w:ascii="Arial" w:hAnsi="Arial" w:cs="Arial"/>
          <w:sz w:val="16"/>
          <w:szCs w:val="16"/>
          <w:lang w:eastAsia="ko-KR"/>
        </w:rPr>
        <w:t xml:space="preserve">Australian Bureau of Statistics, 2015, </w:t>
      </w:r>
      <w:r w:rsidRPr="00D03CBF">
        <w:rPr>
          <w:rFonts w:ascii="Arial" w:hAnsi="Arial" w:cs="Arial"/>
          <w:i/>
          <w:iCs/>
          <w:sz w:val="16"/>
          <w:szCs w:val="16"/>
          <w:lang w:eastAsia="ko-KR"/>
        </w:rPr>
        <w:t>Housing occupancy and costs, 2013-14</w:t>
      </w:r>
      <w:r w:rsidRPr="00D03CBF">
        <w:rPr>
          <w:rFonts w:ascii="Arial" w:hAnsi="Arial" w:cs="Arial"/>
          <w:sz w:val="16"/>
          <w:szCs w:val="16"/>
          <w:lang w:eastAsia="ko-KR"/>
        </w:rPr>
        <w:t xml:space="preserve">, State and territory data, 1994-95 to 2013-14, ‘Table 11 QLD households, housing costs as a proportion of gross income by selected household characteristics’, cat. no. 4130.0.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A83" w:rsidRPr="001D5A83" w:rsidRDefault="001D5A83" w:rsidP="001D5A83">
    <w:pPr>
      <w:pStyle w:val="Footer"/>
      <w:jc w:val="center"/>
      <w:rPr>
        <w:rFonts w:ascii="Arial Narrow" w:hAnsi="Arial Narrow" w:cs="Arial"/>
      </w:rPr>
    </w:pPr>
    <w:r w:rsidRPr="00CE02F8">
      <w:rPr>
        <w:rFonts w:ascii="Arial Narrow" w:hAnsi="Arial Narrow" w:cs="Arial"/>
      </w:rPr>
      <w:t>SEPTEMBER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A83" w:rsidRPr="00CE02F8" w:rsidRDefault="001D5A83" w:rsidP="001D5A83">
    <w:pPr>
      <w:pStyle w:val="Footer"/>
      <w:jc w:val="center"/>
      <w:rPr>
        <w:rFonts w:ascii="Arial Narrow" w:hAnsi="Arial Narrow" w:cs="Arial"/>
      </w:rPr>
    </w:pPr>
    <w:r w:rsidRPr="00CE02F8">
      <w:rPr>
        <w:rFonts w:ascii="Arial Narrow" w:hAnsi="Arial Narrow" w:cs="Arial"/>
      </w:rPr>
      <w:t>SEPTEMBER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43A" w:rsidRDefault="0043643A" w:rsidP="00456A95">
      <w:r>
        <w:separator/>
      </w:r>
    </w:p>
  </w:footnote>
  <w:footnote w:type="continuationSeparator" w:id="0">
    <w:p w:rsidR="0043643A" w:rsidRDefault="0043643A" w:rsidP="00456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9E3" w:rsidRDefault="007769E3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0" layoutInCell="1" allowOverlap="1" wp14:anchorId="7577166C" wp14:editId="74A42617">
          <wp:simplePos x="0" y="0"/>
          <wp:positionH relativeFrom="page">
            <wp:align>left</wp:align>
          </wp:positionH>
          <wp:positionV relativeFrom="paragraph">
            <wp:posOffset>-446280</wp:posOffset>
          </wp:positionV>
          <wp:extent cx="7561166" cy="10677442"/>
          <wp:effectExtent l="0" t="0" r="1905" b="0"/>
          <wp:wrapNone/>
          <wp:docPr id="26" name="Picture 26" descr="SCS Job Folders 2:0513 - Office for Women Report cards:Artwork:0513 Report cards2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S Job Folders 2:0513 - Office for Women Report cards:Artwork:0513 Report cards2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166" cy="106774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9E3" w:rsidRDefault="007769E3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3360" behindDoc="1" locked="0" layoutInCell="1" allowOverlap="1" wp14:anchorId="5856401B" wp14:editId="7FE64078">
          <wp:simplePos x="0" y="0"/>
          <wp:positionH relativeFrom="column">
            <wp:posOffset>-810260</wp:posOffset>
          </wp:positionH>
          <wp:positionV relativeFrom="paragraph">
            <wp:posOffset>-448310</wp:posOffset>
          </wp:positionV>
          <wp:extent cx="7565411" cy="10700597"/>
          <wp:effectExtent l="0" t="0" r="3810" b="0"/>
          <wp:wrapNone/>
          <wp:docPr id="27" name="Picture 27" descr="SCS Job Folders 2:0513 - Office for Women Report cards:Artwork:0513 Report cards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S Job Folders 2:0513 - Office for Women Report cards:Artwork:0513 Report cards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411" cy="107005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9E3" w:rsidRDefault="007769E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9E3" w:rsidRDefault="007769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0962"/>
    <w:multiLevelType w:val="hybridMultilevel"/>
    <w:tmpl w:val="3BE088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217F9"/>
    <w:multiLevelType w:val="hybridMultilevel"/>
    <w:tmpl w:val="4FB083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56B80"/>
    <w:multiLevelType w:val="hybridMultilevel"/>
    <w:tmpl w:val="8CAC2F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926CF"/>
    <w:multiLevelType w:val="hybridMultilevel"/>
    <w:tmpl w:val="FE4E9E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1270CC"/>
    <w:multiLevelType w:val="hybridMultilevel"/>
    <w:tmpl w:val="0C64D5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3342AC"/>
    <w:multiLevelType w:val="hybridMultilevel"/>
    <w:tmpl w:val="1CD0DB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D00EC8"/>
    <w:multiLevelType w:val="hybridMultilevel"/>
    <w:tmpl w:val="3A809F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761EF6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9E393D"/>
    <w:multiLevelType w:val="hybridMultilevel"/>
    <w:tmpl w:val="441405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59010B"/>
    <w:multiLevelType w:val="hybridMultilevel"/>
    <w:tmpl w:val="5F189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E25C5"/>
    <w:multiLevelType w:val="hybridMultilevel"/>
    <w:tmpl w:val="2E0832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5525D7"/>
    <w:multiLevelType w:val="hybridMultilevel"/>
    <w:tmpl w:val="C76ACC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0B5134"/>
    <w:multiLevelType w:val="hybridMultilevel"/>
    <w:tmpl w:val="EA6837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E33B8F"/>
    <w:multiLevelType w:val="hybridMultilevel"/>
    <w:tmpl w:val="259894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CC104D"/>
    <w:multiLevelType w:val="hybridMultilevel"/>
    <w:tmpl w:val="149AA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F580A"/>
    <w:multiLevelType w:val="hybridMultilevel"/>
    <w:tmpl w:val="5E0C63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D227A1"/>
    <w:multiLevelType w:val="hybridMultilevel"/>
    <w:tmpl w:val="E8B892C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71754B"/>
    <w:multiLevelType w:val="hybridMultilevel"/>
    <w:tmpl w:val="FE9C6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863C6"/>
    <w:multiLevelType w:val="hybridMultilevel"/>
    <w:tmpl w:val="D1E4D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75F5A"/>
    <w:multiLevelType w:val="hybridMultilevel"/>
    <w:tmpl w:val="8F1C8D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023CF"/>
    <w:multiLevelType w:val="hybridMultilevel"/>
    <w:tmpl w:val="FBA0EF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247EF9"/>
    <w:multiLevelType w:val="hybridMultilevel"/>
    <w:tmpl w:val="F7EE23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8"/>
  </w:num>
  <w:num w:numId="5">
    <w:abstractNumId w:val="18"/>
  </w:num>
  <w:num w:numId="6">
    <w:abstractNumId w:val="17"/>
  </w:num>
  <w:num w:numId="7">
    <w:abstractNumId w:val="1"/>
  </w:num>
  <w:num w:numId="8">
    <w:abstractNumId w:val="15"/>
  </w:num>
  <w:num w:numId="9">
    <w:abstractNumId w:val="16"/>
  </w:num>
  <w:num w:numId="10">
    <w:abstractNumId w:val="10"/>
  </w:num>
  <w:num w:numId="11">
    <w:abstractNumId w:val="20"/>
  </w:num>
  <w:num w:numId="12">
    <w:abstractNumId w:val="9"/>
  </w:num>
  <w:num w:numId="13">
    <w:abstractNumId w:val="5"/>
  </w:num>
  <w:num w:numId="14">
    <w:abstractNumId w:val="12"/>
  </w:num>
  <w:num w:numId="15">
    <w:abstractNumId w:val="19"/>
  </w:num>
  <w:num w:numId="16">
    <w:abstractNumId w:val="6"/>
  </w:num>
  <w:num w:numId="17">
    <w:abstractNumId w:val="11"/>
  </w:num>
  <w:num w:numId="18">
    <w:abstractNumId w:val="14"/>
  </w:num>
  <w:num w:numId="19">
    <w:abstractNumId w:val="4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95"/>
    <w:rsid w:val="0001008E"/>
    <w:rsid w:val="00015183"/>
    <w:rsid w:val="00053B2B"/>
    <w:rsid w:val="00061070"/>
    <w:rsid w:val="00072A0F"/>
    <w:rsid w:val="000916D7"/>
    <w:rsid w:val="000C77F8"/>
    <w:rsid w:val="000D3994"/>
    <w:rsid w:val="00106613"/>
    <w:rsid w:val="00141117"/>
    <w:rsid w:val="00144906"/>
    <w:rsid w:val="00147FB4"/>
    <w:rsid w:val="00173AF9"/>
    <w:rsid w:val="001A473D"/>
    <w:rsid w:val="001B40D0"/>
    <w:rsid w:val="001D5A83"/>
    <w:rsid w:val="001F7D5C"/>
    <w:rsid w:val="0020125E"/>
    <w:rsid w:val="00204C17"/>
    <w:rsid w:val="002640F6"/>
    <w:rsid w:val="00265A92"/>
    <w:rsid w:val="00275E32"/>
    <w:rsid w:val="002A7A86"/>
    <w:rsid w:val="002D4C87"/>
    <w:rsid w:val="003138C7"/>
    <w:rsid w:val="00326BA2"/>
    <w:rsid w:val="003443F9"/>
    <w:rsid w:val="00361D12"/>
    <w:rsid w:val="00375F40"/>
    <w:rsid w:val="003B7B35"/>
    <w:rsid w:val="003F5FFD"/>
    <w:rsid w:val="00407D8B"/>
    <w:rsid w:val="0043643A"/>
    <w:rsid w:val="00456A95"/>
    <w:rsid w:val="00457AE0"/>
    <w:rsid w:val="00477491"/>
    <w:rsid w:val="00486BA7"/>
    <w:rsid w:val="004B041B"/>
    <w:rsid w:val="005243E4"/>
    <w:rsid w:val="00562F4F"/>
    <w:rsid w:val="00580913"/>
    <w:rsid w:val="005812FB"/>
    <w:rsid w:val="005875E0"/>
    <w:rsid w:val="005B670E"/>
    <w:rsid w:val="005C057F"/>
    <w:rsid w:val="005C5664"/>
    <w:rsid w:val="005E15C8"/>
    <w:rsid w:val="005E2327"/>
    <w:rsid w:val="006206D0"/>
    <w:rsid w:val="0062155C"/>
    <w:rsid w:val="006449DC"/>
    <w:rsid w:val="00654F1E"/>
    <w:rsid w:val="006628B1"/>
    <w:rsid w:val="00685962"/>
    <w:rsid w:val="006C1037"/>
    <w:rsid w:val="006C42B5"/>
    <w:rsid w:val="0072151F"/>
    <w:rsid w:val="007725C1"/>
    <w:rsid w:val="007769E3"/>
    <w:rsid w:val="00784F83"/>
    <w:rsid w:val="007A0B06"/>
    <w:rsid w:val="007C5589"/>
    <w:rsid w:val="007D272E"/>
    <w:rsid w:val="007E0A35"/>
    <w:rsid w:val="007F729D"/>
    <w:rsid w:val="00874938"/>
    <w:rsid w:val="00880C04"/>
    <w:rsid w:val="00897482"/>
    <w:rsid w:val="008B33C6"/>
    <w:rsid w:val="00930949"/>
    <w:rsid w:val="00940A01"/>
    <w:rsid w:val="00942297"/>
    <w:rsid w:val="00945958"/>
    <w:rsid w:val="00987FB2"/>
    <w:rsid w:val="00994FB7"/>
    <w:rsid w:val="00996315"/>
    <w:rsid w:val="00A27119"/>
    <w:rsid w:val="00A403AA"/>
    <w:rsid w:val="00A71EAF"/>
    <w:rsid w:val="00A762EB"/>
    <w:rsid w:val="00A90013"/>
    <w:rsid w:val="00A94F85"/>
    <w:rsid w:val="00AA26AA"/>
    <w:rsid w:val="00AB754D"/>
    <w:rsid w:val="00AC5D93"/>
    <w:rsid w:val="00B1662E"/>
    <w:rsid w:val="00B16998"/>
    <w:rsid w:val="00B773D7"/>
    <w:rsid w:val="00B910BA"/>
    <w:rsid w:val="00B918BB"/>
    <w:rsid w:val="00BA156B"/>
    <w:rsid w:val="00BD687C"/>
    <w:rsid w:val="00BE5276"/>
    <w:rsid w:val="00C06858"/>
    <w:rsid w:val="00C24938"/>
    <w:rsid w:val="00C24EF3"/>
    <w:rsid w:val="00C45E3A"/>
    <w:rsid w:val="00C52ED0"/>
    <w:rsid w:val="00C5425C"/>
    <w:rsid w:val="00C56E7A"/>
    <w:rsid w:val="00C765FF"/>
    <w:rsid w:val="00C7710A"/>
    <w:rsid w:val="00C77C32"/>
    <w:rsid w:val="00C94D40"/>
    <w:rsid w:val="00C94E42"/>
    <w:rsid w:val="00CE02F8"/>
    <w:rsid w:val="00CF6918"/>
    <w:rsid w:val="00D03CBF"/>
    <w:rsid w:val="00D300E4"/>
    <w:rsid w:val="00D303B1"/>
    <w:rsid w:val="00D316C1"/>
    <w:rsid w:val="00D56B07"/>
    <w:rsid w:val="00D57B83"/>
    <w:rsid w:val="00DA274D"/>
    <w:rsid w:val="00DA2D54"/>
    <w:rsid w:val="00DD012B"/>
    <w:rsid w:val="00DE1D2B"/>
    <w:rsid w:val="00E0092C"/>
    <w:rsid w:val="00E14590"/>
    <w:rsid w:val="00E14CC6"/>
    <w:rsid w:val="00E2159E"/>
    <w:rsid w:val="00E25C47"/>
    <w:rsid w:val="00E43EB7"/>
    <w:rsid w:val="00E479A0"/>
    <w:rsid w:val="00E52EB5"/>
    <w:rsid w:val="00E57119"/>
    <w:rsid w:val="00E6682F"/>
    <w:rsid w:val="00EE09A5"/>
    <w:rsid w:val="00F20981"/>
    <w:rsid w:val="00F30B85"/>
    <w:rsid w:val="00F65795"/>
    <w:rsid w:val="00F826CF"/>
    <w:rsid w:val="00F87150"/>
    <w:rsid w:val="00F917B7"/>
    <w:rsid w:val="00FB5272"/>
    <w:rsid w:val="00FD0A02"/>
    <w:rsid w:val="00FD3C1D"/>
    <w:rsid w:val="00FD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efaultImageDpi w14:val="300"/>
  <w15:docId w15:val="{6602758D-BF10-4708-953E-BA2C3D93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A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A95"/>
  </w:style>
  <w:style w:type="paragraph" w:styleId="Footer">
    <w:name w:val="footer"/>
    <w:basedOn w:val="Normal"/>
    <w:link w:val="FooterChar"/>
    <w:uiPriority w:val="99"/>
    <w:unhideWhenUsed/>
    <w:rsid w:val="00456A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A95"/>
  </w:style>
  <w:style w:type="paragraph" w:styleId="BalloonText">
    <w:name w:val="Balloon Text"/>
    <w:basedOn w:val="Normal"/>
    <w:link w:val="BalloonTextChar"/>
    <w:uiPriority w:val="99"/>
    <w:semiHidden/>
    <w:unhideWhenUsed/>
    <w:rsid w:val="00456A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A95"/>
    <w:rPr>
      <w:rFonts w:ascii="Lucida Grande" w:hAnsi="Lucida Grande" w:cs="Lucida Grand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4490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44906"/>
    <w:rPr>
      <w:sz w:val="20"/>
      <w:szCs w:val="20"/>
    </w:rPr>
  </w:style>
  <w:style w:type="character" w:styleId="EndnoteReference">
    <w:name w:val="endnote reference"/>
    <w:uiPriority w:val="99"/>
    <w:rsid w:val="00144906"/>
    <w:rPr>
      <w:vertAlign w:val="superscript"/>
    </w:rPr>
  </w:style>
  <w:style w:type="paragraph" w:styleId="ListParagraph">
    <w:name w:val="List Paragraph"/>
    <w:basedOn w:val="Normal"/>
    <w:uiPriority w:val="34"/>
    <w:qFormat/>
    <w:rsid w:val="00141117"/>
    <w:pPr>
      <w:ind w:left="720"/>
      <w:contextualSpacing/>
    </w:pPr>
  </w:style>
  <w:style w:type="table" w:styleId="TableGrid">
    <w:name w:val="Table Grid"/>
    <w:basedOn w:val="TableNormal"/>
    <w:uiPriority w:val="59"/>
    <w:rsid w:val="0062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7996A-8041-49FA-A94E-B4B5FC17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Women's Strategy report card - priority area 2: Women's economic security</vt:lpstr>
    </vt:vector>
  </TitlesOfParts>
  <Manager/>
  <Company>Qld Government</Company>
  <LinksUpToDate>false</LinksUpToDate>
  <CharactersWithSpaces>5701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Women's Strategy report card - priority area 2: Women's economic security</dc:title>
  <dc:subject>Queensland Women's Strategy report card - priority area 2: Women's economic security</dc:subject>
  <dc:creator>Queensland Government</dc:creator>
  <cp:keywords>Queensland Women's Strategy,report card,priority area,Women's economic security</cp:keywords>
  <cp:lastModifiedBy>Amanda Schneider</cp:lastModifiedBy>
  <cp:revision>2</cp:revision>
  <cp:lastPrinted>2017-08-23T05:37:00Z</cp:lastPrinted>
  <dcterms:created xsi:type="dcterms:W3CDTF">2019-01-30T06:58:00Z</dcterms:created>
  <dcterms:modified xsi:type="dcterms:W3CDTF">2019-01-30T06:58:00Z</dcterms:modified>
</cp:coreProperties>
</file>