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8518" w14:textId="09394749" w:rsidR="00EE68B0" w:rsidRPr="00AA60B7" w:rsidRDefault="00AA60B7">
      <w:pPr>
        <w:rPr>
          <w:b/>
          <w:bCs/>
          <w:color w:val="AC1D37"/>
          <w:sz w:val="36"/>
          <w:szCs w:val="36"/>
        </w:rPr>
      </w:pPr>
      <w:r w:rsidRPr="00AA60B7">
        <w:rPr>
          <w:b/>
          <w:bCs/>
          <w:color w:val="AC1D37"/>
          <w:sz w:val="36"/>
          <w:szCs w:val="36"/>
        </w:rPr>
        <w:t>Newsletter and other content</w:t>
      </w:r>
    </w:p>
    <w:p w14:paraId="7BB25AFF" w14:textId="77777777" w:rsidR="00AA60B7" w:rsidRDefault="00AA60B7"/>
    <w:p w14:paraId="7B99C138" w14:textId="56B5BD32" w:rsidR="00AA60B7" w:rsidRDefault="00AA60B7" w:rsidP="00AA60B7">
      <w:r>
        <w:t xml:space="preserve">Use this content in your organisation’s newsletters, </w:t>
      </w:r>
      <w:proofErr w:type="spellStart"/>
      <w:r>
        <w:t>eDM</w:t>
      </w:r>
      <w:proofErr w:type="spellEnd"/>
      <w:r>
        <w:t xml:space="preserve"> or other channels. </w:t>
      </w:r>
    </w:p>
    <w:p w14:paraId="2D1DAE2D" w14:textId="77777777" w:rsidR="00AA60B7" w:rsidRDefault="00AA60B7" w:rsidP="00AA60B7"/>
    <w:tbl>
      <w:tblPr>
        <w:tblpPr w:leftFromText="180" w:rightFromText="180" w:vertAnchor="page" w:horzAnchor="margin" w:tblpY="3271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56598" w:rsidRPr="00DB64CD" w14:paraId="6216DE60" w14:textId="77777777" w:rsidTr="00AA60B7">
        <w:tc>
          <w:tcPr>
            <w:tcW w:w="5000" w:type="pct"/>
            <w:shd w:val="clear" w:color="auto" w:fill="auto"/>
          </w:tcPr>
          <w:p w14:paraId="00D142D7" w14:textId="77777777" w:rsidR="00F56598" w:rsidRPr="00DB64CD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C</w:t>
            </w:r>
            <w:r w:rsidRPr="00DB64CD"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ontent</w:t>
            </w:r>
            <w:r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 – short</w:t>
            </w:r>
          </w:p>
          <w:p w14:paraId="67A5E389" w14:textId="76FDDFBC" w:rsidR="00F56598" w:rsidRPr="00DB64CD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color w:val="000000"/>
                <w:sz w:val="16"/>
                <w:szCs w:val="16"/>
                <w:lang w:val="en-GB" w:eastAsia="en-US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en-GB" w:eastAsia="en-US"/>
              </w:rPr>
              <w:t>Heading with 50-80 words, with image option/s</w:t>
            </w:r>
            <w:r w:rsidRPr="00DB64CD">
              <w:rPr>
                <w:rFonts w:eastAsia="MS Mincho" w:cs="Arial"/>
                <w:color w:val="000000"/>
                <w:sz w:val="16"/>
                <w:szCs w:val="16"/>
                <w:lang w:val="en-GB" w:eastAsia="en-US"/>
              </w:rPr>
              <w:t>.</w:t>
            </w:r>
          </w:p>
        </w:tc>
      </w:tr>
      <w:tr w:rsidR="00F56598" w:rsidRPr="007A4DB9" w14:paraId="6CB33974" w14:textId="77777777" w:rsidTr="00AA60B7">
        <w:trPr>
          <w:trHeight w:val="1733"/>
        </w:trPr>
        <w:tc>
          <w:tcPr>
            <w:tcW w:w="5000" w:type="pct"/>
            <w:shd w:val="clear" w:color="auto" w:fill="auto"/>
          </w:tcPr>
          <w:p w14:paraId="047D20E5" w14:textId="77777777" w:rsidR="00F56598" w:rsidRPr="00B348AA" w:rsidRDefault="00F56598" w:rsidP="00F56598">
            <w:pPr>
              <w:suppressAutoHyphens/>
              <w:spacing w:before="40" w:after="40"/>
              <w:ind w:right="45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New skills </w:t>
            </w:r>
            <w:r w:rsidRPr="00316B7B">
              <w:rPr>
                <w:rFonts w:cs="Arial"/>
                <w:b/>
                <w:bCs/>
                <w:sz w:val="20"/>
                <w:szCs w:val="20"/>
                <w:lang w:val="en-GB"/>
              </w:rPr>
              <w:t>strategy d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elivers great training</w:t>
            </w:r>
            <w:r w:rsidRPr="00316B7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for good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jobs</w:t>
            </w:r>
            <w:proofErr w:type="gramEnd"/>
          </w:p>
          <w:p w14:paraId="4F6397EE" w14:textId="77777777" w:rsidR="00F56598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</w:p>
          <w:p w14:paraId="3AC85BC7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  <w:r w:rsidRPr="002D4A36">
              <w:rPr>
                <w:rFonts w:eastAsia="Times"/>
                <w:sz w:val="20"/>
                <w:szCs w:val="20"/>
              </w:rPr>
              <w:t xml:space="preserve">The Queensland Government has </w:t>
            </w:r>
            <w:r>
              <w:rPr>
                <w:rFonts w:eastAsia="Times"/>
                <w:sz w:val="20"/>
                <w:szCs w:val="20"/>
              </w:rPr>
              <w:t>released</w:t>
            </w:r>
            <w:r w:rsidRPr="002D4A36">
              <w:rPr>
                <w:rFonts w:eastAsia="Times"/>
                <w:sz w:val="20"/>
                <w:szCs w:val="20"/>
              </w:rPr>
              <w:t xml:space="preserve"> a five-year plan for the state's training system – the </w:t>
            </w:r>
            <w:r w:rsidRPr="002D4A36">
              <w:rPr>
                <w:rFonts w:cs="Arial"/>
                <w:i/>
                <w:iCs/>
                <w:color w:val="000000"/>
                <w:sz w:val="20"/>
                <w:szCs w:val="20"/>
              </w:rPr>
              <w:t>Good Jobs, Great Training: Queensland Skills Strategy 2024 – 2028</w:t>
            </w:r>
            <w:r w:rsidRPr="002D4A36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3375C4B9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</w:p>
          <w:p w14:paraId="4808C878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Across five focus areas and five years, the strategy will further strengthen the </w:t>
            </w:r>
            <w:r w:rsidRPr="005E3961">
              <w:rPr>
                <w:rFonts w:eastAsia="Times"/>
                <w:sz w:val="20"/>
                <w:szCs w:val="20"/>
              </w:rPr>
              <w:t xml:space="preserve">state’s </w:t>
            </w:r>
            <w:r>
              <w:rPr>
                <w:rFonts w:eastAsia="Times"/>
                <w:sz w:val="20"/>
                <w:szCs w:val="20"/>
              </w:rPr>
              <w:t xml:space="preserve">TAFE and </w:t>
            </w:r>
            <w:r w:rsidRPr="005E3961">
              <w:rPr>
                <w:rFonts w:eastAsia="Times"/>
                <w:sz w:val="20"/>
                <w:szCs w:val="20"/>
              </w:rPr>
              <w:t>training system</w:t>
            </w:r>
            <w:r>
              <w:rPr>
                <w:rFonts w:eastAsia="Times"/>
                <w:sz w:val="20"/>
                <w:szCs w:val="20"/>
              </w:rPr>
              <w:t xml:space="preserve"> while investing billions into skills to power our economy and open doors to good jobs for Queenslanders at all career stages. </w:t>
            </w:r>
            <w:proofErr w:type="gramStart"/>
            <w:r>
              <w:rPr>
                <w:rFonts w:eastAsia="Times"/>
                <w:sz w:val="20"/>
                <w:szCs w:val="20"/>
                <w:lang w:val="en-US"/>
              </w:rPr>
              <w:t>More Free</w:t>
            </w:r>
            <w:proofErr w:type="gramEnd"/>
            <w:r>
              <w:rPr>
                <w:rFonts w:eastAsia="Times"/>
                <w:sz w:val="20"/>
                <w:szCs w:val="20"/>
                <w:lang w:val="en-US"/>
              </w:rPr>
              <w:t xml:space="preserve"> TAFE, Trade Tasters for school students and funded higher-level qualifications are just the start!</w:t>
            </w:r>
          </w:p>
          <w:p w14:paraId="13FF8694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  <w:lang w:val="en-US"/>
              </w:rPr>
            </w:pPr>
          </w:p>
          <w:p w14:paraId="4CDA8D38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eastAsia="Times"/>
                <w:sz w:val="20"/>
                <w:szCs w:val="20"/>
              </w:rPr>
              <w:t xml:space="preserve">A significant action </w:t>
            </w:r>
            <w:r w:rsidRPr="005D09EB">
              <w:rPr>
                <w:rFonts w:eastAsia="Times"/>
                <w:sz w:val="20"/>
                <w:szCs w:val="20"/>
              </w:rPr>
              <w:t xml:space="preserve">under the Queensland Workforce Strategy, </w:t>
            </w:r>
            <w:r>
              <w:rPr>
                <w:rFonts w:eastAsia="Times"/>
                <w:sz w:val="20"/>
                <w:szCs w:val="20"/>
              </w:rPr>
              <w:t xml:space="preserve">you can </w:t>
            </w:r>
            <w:r w:rsidRPr="005D09EB">
              <w:rPr>
                <w:rFonts w:eastAsia="Times"/>
                <w:sz w:val="20"/>
                <w:szCs w:val="20"/>
              </w:rPr>
              <w:t xml:space="preserve">read all the </w:t>
            </w:r>
            <w:r w:rsidRPr="005D09EB"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>details</w:t>
            </w:r>
            <w:r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 xml:space="preserve"> and discover insights from consultation with more than 8,000 Queenslanders </w:t>
            </w:r>
            <w:r w:rsidRPr="007D6D89"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>at</w:t>
            </w:r>
            <w:r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hyperlink r:id="rId7" w:history="1">
              <w:r w:rsidRPr="001E5535">
                <w:rPr>
                  <w:rStyle w:val="Hyperlink"/>
                  <w:rFonts w:eastAsia="MS Mincho" w:cs="Arial"/>
                  <w:sz w:val="20"/>
                  <w:szCs w:val="20"/>
                  <w:lang w:val="en-GB" w:eastAsia="en-US"/>
                </w:rPr>
                <w:t>www.qld.gov.au/SkillsStrategy</w:t>
              </w:r>
            </w:hyperlink>
            <w:r w:rsidRPr="007D6D89"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 xml:space="preserve">. </w:t>
            </w:r>
          </w:p>
          <w:p w14:paraId="6B59BCF7" w14:textId="77777777" w:rsidR="00F56598" w:rsidRPr="007A4DB9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F56598" w:rsidRPr="002B5785" w14:paraId="32F8D033" w14:textId="77777777" w:rsidTr="00AA60B7">
        <w:trPr>
          <w:trHeight w:val="3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72AF" w14:textId="77777777" w:rsidR="00F56598" w:rsidRPr="002B5785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r w:rsidRPr="002B5785"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Content – long</w:t>
            </w:r>
            <w:r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er </w:t>
            </w:r>
            <w:proofErr w:type="gramStart"/>
            <w:r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  <w:t>form</w:t>
            </w:r>
            <w:proofErr w:type="gramEnd"/>
          </w:p>
          <w:p w14:paraId="24718B46" w14:textId="7D049F81" w:rsidR="00F56598" w:rsidRPr="002B5785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color w:val="000000"/>
                <w:sz w:val="16"/>
                <w:szCs w:val="16"/>
                <w:lang w:val="en-GB" w:eastAsia="en-US"/>
              </w:rPr>
            </w:pPr>
            <w:r w:rsidRPr="002B5785">
              <w:rPr>
                <w:rFonts w:eastAsia="MS Mincho" w:cs="Arial"/>
                <w:color w:val="000000"/>
                <w:sz w:val="16"/>
                <w:szCs w:val="16"/>
                <w:lang w:val="en-GB" w:eastAsia="en-US"/>
              </w:rPr>
              <w:t>Heading with 200-300 words, with image option/s.</w:t>
            </w:r>
          </w:p>
        </w:tc>
      </w:tr>
      <w:tr w:rsidR="00F56598" w:rsidRPr="007A4DB9" w14:paraId="7E048BAD" w14:textId="77777777" w:rsidTr="00AA60B7">
        <w:trPr>
          <w:trHeight w:val="25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027D" w14:textId="77777777" w:rsidR="00F56598" w:rsidRPr="00B348AA" w:rsidRDefault="00F56598" w:rsidP="00F56598">
            <w:pPr>
              <w:suppressAutoHyphens/>
              <w:spacing w:before="40" w:after="40"/>
              <w:ind w:right="45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New skills </w:t>
            </w:r>
            <w:r w:rsidRPr="00316B7B">
              <w:rPr>
                <w:rFonts w:cs="Arial"/>
                <w:b/>
                <w:bCs/>
                <w:sz w:val="20"/>
                <w:szCs w:val="20"/>
                <w:lang w:val="en-GB"/>
              </w:rPr>
              <w:t>strategy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16B7B">
              <w:rPr>
                <w:rFonts w:cs="Arial"/>
                <w:b/>
                <w:bCs/>
                <w:sz w:val="20"/>
                <w:szCs w:val="20"/>
                <w:lang w:val="en-GB"/>
              </w:rPr>
              <w:t>d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elivers great training</w:t>
            </w:r>
            <w:r w:rsidRPr="00316B7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for good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jobs</w:t>
            </w:r>
            <w:proofErr w:type="gramEnd"/>
          </w:p>
          <w:p w14:paraId="72343B2A" w14:textId="77777777" w:rsidR="00F56598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</w:p>
          <w:p w14:paraId="58CEBE94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The</w:t>
            </w:r>
            <w:r w:rsidRPr="00F0155E">
              <w:rPr>
                <w:rFonts w:eastAsia="Times"/>
                <w:sz w:val="20"/>
                <w:szCs w:val="20"/>
              </w:rPr>
              <w:t xml:space="preserve"> Queensland Government has </w:t>
            </w:r>
            <w:r>
              <w:rPr>
                <w:rFonts w:eastAsia="Times"/>
                <w:sz w:val="20"/>
                <w:szCs w:val="20"/>
              </w:rPr>
              <w:t>released</w:t>
            </w:r>
            <w:r w:rsidRPr="00F0155E">
              <w:rPr>
                <w:rFonts w:eastAsia="Times"/>
                <w:sz w:val="20"/>
                <w:szCs w:val="20"/>
              </w:rPr>
              <w:t xml:space="preserve"> a five-year plan for the state</w:t>
            </w:r>
            <w:r w:rsidRPr="002D4A36">
              <w:rPr>
                <w:rFonts w:eastAsia="Times"/>
                <w:sz w:val="20"/>
                <w:szCs w:val="20"/>
              </w:rPr>
              <w:t xml:space="preserve">'s </w:t>
            </w:r>
            <w:r>
              <w:rPr>
                <w:rFonts w:eastAsia="Times"/>
                <w:sz w:val="20"/>
                <w:szCs w:val="20"/>
              </w:rPr>
              <w:t xml:space="preserve">TAFE and </w:t>
            </w:r>
            <w:r w:rsidRPr="002D4A36">
              <w:rPr>
                <w:rFonts w:eastAsia="Times"/>
                <w:sz w:val="20"/>
                <w:szCs w:val="20"/>
              </w:rPr>
              <w:t xml:space="preserve">training system – the </w:t>
            </w:r>
            <w:r w:rsidRPr="002D4A36">
              <w:rPr>
                <w:rFonts w:cs="Arial"/>
                <w:i/>
                <w:iCs/>
                <w:color w:val="000000"/>
                <w:sz w:val="20"/>
                <w:szCs w:val="20"/>
              </w:rPr>
              <w:t>Good Jobs, Great Training: Queensland Skills Strategy 2024 – 2028</w:t>
            </w:r>
            <w:r w:rsidRPr="002D4A36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0E722B94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  <w:lang w:val="en-US"/>
              </w:rPr>
            </w:pPr>
          </w:p>
          <w:p w14:paraId="4CFE9140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  <w:lang w:val="en-US"/>
              </w:rPr>
            </w:pPr>
            <w:r>
              <w:rPr>
                <w:rFonts w:eastAsia="Times"/>
                <w:sz w:val="20"/>
                <w:szCs w:val="20"/>
                <w:lang w:val="en-US"/>
              </w:rPr>
              <w:t xml:space="preserve">As Queensland’s strong economy drives opportunities across our industries and regions, the </w:t>
            </w:r>
            <w:r w:rsidRPr="003939B4">
              <w:rPr>
                <w:rFonts w:eastAsia="Times"/>
                <w:sz w:val="20"/>
                <w:szCs w:val="20"/>
                <w:lang w:val="en-US"/>
              </w:rPr>
              <w:t xml:space="preserve">new </w:t>
            </w:r>
            <w:r>
              <w:rPr>
                <w:rFonts w:eastAsia="Times"/>
                <w:sz w:val="20"/>
                <w:szCs w:val="20"/>
                <w:lang w:val="en-US"/>
              </w:rPr>
              <w:t xml:space="preserve">skills </w:t>
            </w:r>
            <w:r w:rsidRPr="003939B4">
              <w:rPr>
                <w:rFonts w:eastAsia="Times"/>
                <w:sz w:val="20"/>
                <w:szCs w:val="20"/>
                <w:lang w:val="en-US"/>
              </w:rPr>
              <w:t xml:space="preserve">strategy sharpens focus on the role of TAFE, developing priority skills and </w:t>
            </w:r>
            <w:r>
              <w:rPr>
                <w:rFonts w:eastAsia="Times"/>
                <w:sz w:val="20"/>
                <w:szCs w:val="20"/>
                <w:lang w:val="en-US"/>
              </w:rPr>
              <w:t>delivering training for</w:t>
            </w:r>
            <w:r w:rsidRPr="003939B4">
              <w:rPr>
                <w:rFonts w:eastAsia="Times"/>
                <w:sz w:val="20"/>
                <w:szCs w:val="20"/>
                <w:lang w:val="en-US"/>
              </w:rPr>
              <w:t xml:space="preserve"> good jobs for all Queenslanders now and into the future.</w:t>
            </w:r>
          </w:p>
          <w:p w14:paraId="5D171ED6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  <w:lang w:val="en-US"/>
              </w:rPr>
            </w:pPr>
          </w:p>
          <w:p w14:paraId="5B06E8BC" w14:textId="7FB16ED2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"/>
                <w:sz w:val="20"/>
                <w:szCs w:val="20"/>
                <w:lang w:val="en-US"/>
              </w:rPr>
              <w:t>More Free</w:t>
            </w:r>
            <w:proofErr w:type="gramEnd"/>
            <w:r>
              <w:rPr>
                <w:rFonts w:eastAsia="Times"/>
                <w:sz w:val="20"/>
                <w:szCs w:val="20"/>
                <w:lang w:val="en-US"/>
              </w:rPr>
              <w:t xml:space="preserve"> TAFE, Trade Tasters for school students and funded higher-level qualifications are just the start, with 22 initial actions </w:t>
            </w:r>
            <w:r w:rsidR="00BC3FA1">
              <w:rPr>
                <w:rFonts w:eastAsia="Times"/>
                <w:sz w:val="20"/>
                <w:szCs w:val="20"/>
                <w:lang w:val="en-US"/>
              </w:rPr>
              <w:t>across five focus areas</w:t>
            </w:r>
            <w:r>
              <w:rPr>
                <w:rFonts w:eastAsia="Times"/>
                <w:sz w:val="20"/>
                <w:szCs w:val="20"/>
                <w:lang w:val="en-US"/>
              </w:rPr>
              <w:t>.</w:t>
            </w:r>
          </w:p>
          <w:p w14:paraId="331B4AD7" w14:textId="77777777" w:rsidR="00F56598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  <w:lang w:val="en-US"/>
              </w:rPr>
            </w:pPr>
          </w:p>
          <w:p w14:paraId="3912EC14" w14:textId="3C1AFB7C" w:rsidR="00F56598" w:rsidRPr="003F121F" w:rsidRDefault="00523BE0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Over </w:t>
            </w:r>
            <w:r w:rsidR="00F56598" w:rsidRPr="003F121F">
              <w:rPr>
                <w:rFonts w:eastAsia="Times"/>
                <w:sz w:val="20"/>
                <w:szCs w:val="20"/>
              </w:rPr>
              <w:t xml:space="preserve">five years, the strategy </w:t>
            </w:r>
            <w:r w:rsidR="00246401">
              <w:rPr>
                <w:rFonts w:eastAsia="Times"/>
                <w:sz w:val="20"/>
                <w:szCs w:val="20"/>
              </w:rPr>
              <w:t>will further</w:t>
            </w:r>
            <w:r w:rsidR="00F56598" w:rsidRPr="003F121F">
              <w:rPr>
                <w:rFonts w:eastAsia="Times"/>
                <w:sz w:val="20"/>
                <w:szCs w:val="20"/>
              </w:rPr>
              <w:t xml:space="preserve"> strengthen the state’s TAFE and training system while guiding billions in skills investment to maximise productivity and participation across our growing and changing workforce – building on strong foundations set by the Queensland Government’s </w:t>
            </w:r>
            <w:r w:rsidR="00F56598" w:rsidRPr="003F121F">
              <w:rPr>
                <w:rFonts w:eastAsia="Times"/>
                <w:i/>
                <w:iCs/>
                <w:sz w:val="20"/>
                <w:szCs w:val="20"/>
              </w:rPr>
              <w:t>Good people. Good jobs: Queensland Workforce Strategy 2022</w:t>
            </w:r>
            <w:r w:rsidR="00F56598">
              <w:rPr>
                <w:rFonts w:eastAsia="Times"/>
                <w:i/>
                <w:iCs/>
                <w:sz w:val="20"/>
                <w:szCs w:val="20"/>
              </w:rPr>
              <w:t xml:space="preserve"> </w:t>
            </w:r>
            <w:r w:rsidR="00F56598" w:rsidRPr="003F121F">
              <w:rPr>
                <w:rFonts w:eastAsia="Times"/>
                <w:i/>
                <w:iCs/>
                <w:sz w:val="20"/>
                <w:szCs w:val="20"/>
              </w:rPr>
              <w:t>–</w:t>
            </w:r>
            <w:r w:rsidR="00F56598">
              <w:rPr>
                <w:rFonts w:eastAsia="Times"/>
                <w:i/>
                <w:iCs/>
                <w:sz w:val="20"/>
                <w:szCs w:val="20"/>
              </w:rPr>
              <w:t xml:space="preserve"> </w:t>
            </w:r>
            <w:r w:rsidR="00F56598" w:rsidRPr="003F121F">
              <w:rPr>
                <w:rFonts w:eastAsia="Times"/>
                <w:i/>
                <w:iCs/>
                <w:sz w:val="20"/>
                <w:szCs w:val="20"/>
              </w:rPr>
              <w:t>2032</w:t>
            </w:r>
            <w:r w:rsidR="00F56598" w:rsidRPr="003F121F">
              <w:rPr>
                <w:rFonts w:eastAsia="Times"/>
                <w:sz w:val="20"/>
                <w:szCs w:val="20"/>
              </w:rPr>
              <w:t>.</w:t>
            </w:r>
          </w:p>
          <w:p w14:paraId="25F78A2B" w14:textId="77777777" w:rsidR="00F56598" w:rsidRPr="003F121F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</w:p>
          <w:p w14:paraId="247C515D" w14:textId="19CB714A" w:rsidR="00F56598" w:rsidRPr="003F121F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sz w:val="20"/>
                <w:szCs w:val="20"/>
              </w:rPr>
            </w:pPr>
            <w:r w:rsidRPr="003F121F">
              <w:rPr>
                <w:rFonts w:eastAsia="Times"/>
                <w:sz w:val="20"/>
                <w:szCs w:val="20"/>
              </w:rPr>
              <w:t xml:space="preserve">The strategy is also Queensland’s roadmap to deliver on the landmark National Skills Agreement, unlocking funds for national priorities such as </w:t>
            </w:r>
            <w:r w:rsidR="000F7E96">
              <w:rPr>
                <w:rFonts w:eastAsia="Times"/>
                <w:sz w:val="20"/>
                <w:szCs w:val="20"/>
              </w:rPr>
              <w:t xml:space="preserve"> </w:t>
            </w:r>
            <w:r w:rsidR="000F7E96">
              <w:rPr>
                <w:rFonts w:eastAsia="Times"/>
                <w:sz w:val="20"/>
                <w:szCs w:val="20"/>
              </w:rPr>
              <w:t>critical</w:t>
            </w:r>
            <w:r w:rsidR="000F7E96" w:rsidRPr="009F0CA4">
              <w:rPr>
                <w:rFonts w:eastAsia="Times"/>
                <w:sz w:val="20"/>
                <w:szCs w:val="20"/>
              </w:rPr>
              <w:t xml:space="preserve"> skills growth, delivering TAFE Centres of Excellence, Closing the Gap for First Nations Queenslanders, improving course completions and providing greater access to foundation skills.</w:t>
            </w:r>
          </w:p>
          <w:p w14:paraId="504A2A09" w14:textId="77777777" w:rsidR="00F56598" w:rsidRPr="003F121F" w:rsidRDefault="00F56598" w:rsidP="00F56598">
            <w:pPr>
              <w:tabs>
                <w:tab w:val="left" w:pos="765"/>
              </w:tabs>
              <w:suppressAutoHyphens/>
              <w:spacing w:before="40" w:after="40"/>
              <w:ind w:right="45"/>
              <w:rPr>
                <w:rFonts w:eastAsia="Times"/>
                <w:i/>
                <w:iCs/>
                <w:sz w:val="20"/>
                <w:szCs w:val="20"/>
              </w:rPr>
            </w:pPr>
          </w:p>
          <w:p w14:paraId="483B7F86" w14:textId="77777777" w:rsidR="00F56598" w:rsidRPr="003F121F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</w:pPr>
            <w:r w:rsidRPr="003F121F"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 xml:space="preserve">Read all the details and discover insights from consultation with more than 8,000 Queenslanders at </w:t>
            </w:r>
            <w:hyperlink r:id="rId8" w:history="1">
              <w:r w:rsidRPr="003F121F">
                <w:rPr>
                  <w:rStyle w:val="Hyperlink"/>
                  <w:rFonts w:eastAsia="MS Mincho" w:cs="Arial"/>
                  <w:sz w:val="20"/>
                  <w:szCs w:val="20"/>
                  <w:lang w:val="en-GB" w:eastAsia="en-US"/>
                </w:rPr>
                <w:t>www.qld.gov.au/SkillsStrategy</w:t>
              </w:r>
            </w:hyperlink>
            <w:hyperlink r:id="rId9" w:history="1"/>
            <w:r w:rsidRPr="003F121F"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  <w:t>.</w:t>
            </w:r>
          </w:p>
          <w:p w14:paraId="2D9812DE" w14:textId="77777777" w:rsidR="00F56598" w:rsidRPr="003F121F" w:rsidRDefault="00F56598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color w:val="000000"/>
                <w:sz w:val="20"/>
                <w:szCs w:val="20"/>
                <w:lang w:val="en-GB" w:eastAsia="en-US"/>
              </w:rPr>
            </w:pPr>
          </w:p>
          <w:p w14:paraId="3A4B839A" w14:textId="3E18AAA9" w:rsidR="00F56598" w:rsidRPr="007A4DB9" w:rsidRDefault="00F35FF7" w:rsidP="00F56598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eastAsia="MS Mincho" w:cs="Arial"/>
                <w:b/>
                <w:bCs/>
                <w:color w:val="000000"/>
                <w:sz w:val="20"/>
                <w:szCs w:val="20"/>
                <w:lang w:val="en-GB" w:eastAsia="en-US"/>
              </w:rPr>
            </w:pPr>
            <w:hyperlink r:id="rId10" w:history="1">
              <w:r w:rsidR="00F56598" w:rsidRPr="003F121F">
                <w:rPr>
                  <w:rStyle w:val="Hyperlink"/>
                  <w:rFonts w:eastAsia="Times"/>
                  <w:sz w:val="20"/>
                  <w:szCs w:val="20"/>
                </w:rPr>
                <w:t>Subscribe</w:t>
              </w:r>
            </w:hyperlink>
            <w:r w:rsidR="00F56598" w:rsidRPr="003F121F">
              <w:rPr>
                <w:rFonts w:eastAsia="Times"/>
                <w:sz w:val="20"/>
                <w:szCs w:val="20"/>
              </w:rPr>
              <w:t xml:space="preserve"> to stay </w:t>
            </w:r>
            <w:proofErr w:type="gramStart"/>
            <w:r w:rsidR="00F56598" w:rsidRPr="003F121F">
              <w:rPr>
                <w:rFonts w:eastAsia="Times"/>
                <w:sz w:val="20"/>
                <w:szCs w:val="20"/>
              </w:rPr>
              <w:t>up-to-date</w:t>
            </w:r>
            <w:proofErr w:type="gramEnd"/>
            <w:r w:rsidR="00F56598" w:rsidRPr="003F121F">
              <w:rPr>
                <w:rFonts w:eastAsia="Times"/>
                <w:sz w:val="20"/>
                <w:szCs w:val="20"/>
              </w:rPr>
              <w:t xml:space="preserve"> on the </w:t>
            </w:r>
            <w:r w:rsidR="00F56598" w:rsidRPr="003F121F">
              <w:rPr>
                <w:sz w:val="20"/>
                <w:szCs w:val="20"/>
              </w:rPr>
              <w:t>implementation of Queensland’s Good Jobs, Great Training strategy</w:t>
            </w:r>
            <w:r w:rsidR="00F56598" w:rsidRPr="003F121F">
              <w:rPr>
                <w:rFonts w:eastAsia="Times"/>
                <w:sz w:val="20"/>
                <w:szCs w:val="20"/>
              </w:rPr>
              <w:t>.</w:t>
            </w:r>
          </w:p>
        </w:tc>
      </w:tr>
    </w:tbl>
    <w:p w14:paraId="0820F39D" w14:textId="355E5DBE" w:rsidR="00AA60B7" w:rsidRDefault="00AA60B7" w:rsidP="00AA60B7">
      <w:r>
        <w:t xml:space="preserve">Download image options and other materials from the </w:t>
      </w:r>
      <w:hyperlink r:id="rId11" w:history="1">
        <w:r w:rsidRPr="00AA60B7">
          <w:rPr>
            <w:rStyle w:val="Hyperlink"/>
          </w:rPr>
          <w:t>promotional pack</w:t>
        </w:r>
      </w:hyperlink>
      <w:r>
        <w:t>.</w:t>
      </w:r>
    </w:p>
    <w:sectPr w:rsidR="00AA6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B7"/>
    <w:rsid w:val="000A45F3"/>
    <w:rsid w:val="000F7E96"/>
    <w:rsid w:val="00167267"/>
    <w:rsid w:val="00246401"/>
    <w:rsid w:val="004D7685"/>
    <w:rsid w:val="00523BE0"/>
    <w:rsid w:val="00822CDD"/>
    <w:rsid w:val="009A5488"/>
    <w:rsid w:val="00AA60B7"/>
    <w:rsid w:val="00BC3FA1"/>
    <w:rsid w:val="00EE68B0"/>
    <w:rsid w:val="00F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2C4A"/>
  <w15:chartTrackingRefBased/>
  <w15:docId w15:val="{75D81B9A-988D-4D73-BAFF-B9CFB833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B7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60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SkillsStrateg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qld.gov.au/SkillsStrategy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tesb.qld.gov.au/cn/ainos/SkillsStrateg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nalytics-au.clickdimensions.com/australiagovau-ainos/pages/ecj4ohfee2pbgaisomkjg.html?PageId=a378c2795ff8ed118f6e002248e32426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qld.gov.au/qvet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38F7AB517134BAE061FC89FF94295" ma:contentTypeVersion="15" ma:contentTypeDescription="Create a new document." ma:contentTypeScope="" ma:versionID="9595f5ea553cee4e9100111fde66c1cd">
  <xsd:schema xmlns:xsd="http://www.w3.org/2001/XMLSchema" xmlns:xs="http://www.w3.org/2001/XMLSchema" xmlns:p="http://schemas.microsoft.com/office/2006/metadata/properties" xmlns:ns2="54eb3893-2f20-41f4-a2a9-f9b711723157" xmlns:ns3="06c5a2bc-5e6a-47a4-8123-3ff7103a1095" targetNamespace="http://schemas.microsoft.com/office/2006/metadata/properties" ma:root="true" ma:fieldsID="dcd9d4d0f9190e035665f4761e59b431" ns2:_="" ns3:_="">
    <xsd:import namespace="54eb3893-2f20-41f4-a2a9-f9b711723157"/>
    <xsd:import namespace="06c5a2bc-5e6a-47a4-8123-3ff7103a1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3893-2f20-41f4-a2a9-f9b71172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a2bc-5e6a-47a4-8123-3ff7103a1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d4a144-0c8e-488b-8114-892a281fd3a8}" ma:internalName="TaxCatchAll" ma:showField="CatchAllData" ma:web="06c5a2bc-5e6a-47a4-8123-3ff7103a1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3893-2f20-41f4-a2a9-f9b711723157">
      <Terms xmlns="http://schemas.microsoft.com/office/infopath/2007/PartnerControls"/>
    </lcf76f155ced4ddcb4097134ff3c332f>
    <TaxCatchAll xmlns="06c5a2bc-5e6a-47a4-8123-3ff7103a109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7C404-8568-41A6-A5C2-C1AAA943A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3893-2f20-41f4-a2a9-f9b711723157"/>
    <ds:schemaRef ds:uri="06c5a2bc-5e6a-47a4-8123-3ff7103a1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92BB7-7936-48FC-BE45-B6484F6162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c5a2bc-5e6a-47a4-8123-3ff7103a1095"/>
    <ds:schemaRef ds:uri="54eb3893-2f20-41f4-a2a9-f9b7117231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579FA-0F60-4CDB-AC0E-8FBCB716D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Dianne Britten</cp:lastModifiedBy>
  <cp:revision>2</cp:revision>
  <dcterms:created xsi:type="dcterms:W3CDTF">2024-04-24T11:36:00Z</dcterms:created>
  <dcterms:modified xsi:type="dcterms:W3CDTF">2024-04-24T11:36:00Z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0x010100F7D38F7AB517134BAE061FC89FF94295</vt:lpwstr>
  </property>
  <property fmtid="{D5CDD505-2E9C-101B-9397-08002B2CF9AE}" pid="3" name="MediaServiceImageTags">
    <vt:lpwstr/>
  </property>
</Properties>
</file>