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23A73" w14:textId="44568C76" w:rsidR="008635DD" w:rsidRPr="00194F5C" w:rsidRDefault="00164A9F" w:rsidP="00786FA0">
      <w:pPr>
        <w:ind w:left="-426"/>
        <w:rPr>
          <w:rFonts w:ascii="Arial" w:hAnsi="Arial" w:cs="Arial"/>
          <w:b/>
          <w:sz w:val="44"/>
          <w:szCs w:val="44"/>
        </w:rPr>
      </w:pPr>
      <w:r w:rsidRPr="00E907AC">
        <w:rPr>
          <w:rFonts w:ascii="Arial" w:hAnsi="Arial" w:cs="Arial"/>
          <w:b/>
          <w:sz w:val="40"/>
          <w:szCs w:val="40"/>
        </w:rPr>
        <w:t xml:space="preserve">Financial </w:t>
      </w:r>
      <w:r w:rsidR="000350B6" w:rsidRPr="00E907AC">
        <w:rPr>
          <w:rFonts w:ascii="Arial" w:hAnsi="Arial" w:cs="Arial"/>
          <w:b/>
          <w:sz w:val="40"/>
          <w:szCs w:val="40"/>
        </w:rPr>
        <w:t>Data Dictionary</w:t>
      </w:r>
    </w:p>
    <w:p w14:paraId="0972604E" w14:textId="77777777" w:rsidR="00237EAF" w:rsidRPr="00751F13" w:rsidRDefault="00237EAF" w:rsidP="00786FA0">
      <w:pPr>
        <w:ind w:left="-426"/>
        <w:rPr>
          <w:rFonts w:ascii="Arial" w:hAnsi="Arial" w:cs="Arial"/>
          <w:b/>
          <w:szCs w:val="24"/>
        </w:rPr>
      </w:pPr>
    </w:p>
    <w:p w14:paraId="03E554D3" w14:textId="77777777" w:rsidR="00237EAF" w:rsidRPr="00C974EC" w:rsidRDefault="000350B6" w:rsidP="00786FA0">
      <w:pPr>
        <w:ind w:left="-426"/>
        <w:rPr>
          <w:rFonts w:ascii="Arial" w:hAnsi="Arial" w:cs="Arial"/>
          <w:b/>
          <w:sz w:val="32"/>
          <w:szCs w:val="32"/>
        </w:rPr>
      </w:pPr>
      <w:r w:rsidRPr="00C974EC">
        <w:rPr>
          <w:rFonts w:ascii="Arial" w:hAnsi="Arial" w:cs="Arial"/>
          <w:b/>
          <w:sz w:val="32"/>
          <w:szCs w:val="32"/>
        </w:rPr>
        <w:t xml:space="preserve">Budget </w:t>
      </w:r>
    </w:p>
    <w:p w14:paraId="0FF3D6E1" w14:textId="77777777" w:rsidR="00237EAF" w:rsidRPr="00E82A8A" w:rsidRDefault="00237EAF" w:rsidP="00786FA0">
      <w:pPr>
        <w:ind w:left="-426"/>
        <w:rPr>
          <w:rFonts w:ascii="Arial" w:hAnsi="Arial" w:cs="Arial"/>
          <w:szCs w:val="24"/>
        </w:rPr>
      </w:pPr>
    </w:p>
    <w:p w14:paraId="1887405F" w14:textId="63B072DC" w:rsidR="004A505B" w:rsidRPr="00862744" w:rsidRDefault="000350B6" w:rsidP="00786FA0">
      <w:pPr>
        <w:ind w:left="-426"/>
        <w:rPr>
          <w:rFonts w:ascii="Arial" w:hAnsi="Arial" w:cs="Arial"/>
          <w:sz w:val="20"/>
        </w:rPr>
      </w:pPr>
      <w:r w:rsidRPr="00862744">
        <w:rPr>
          <w:rFonts w:ascii="Arial" w:hAnsi="Arial" w:cs="Arial"/>
          <w:sz w:val="20"/>
        </w:rPr>
        <w:t>Please read thi</w:t>
      </w:r>
      <w:r w:rsidR="00FA0791" w:rsidRPr="00862744">
        <w:rPr>
          <w:rFonts w:ascii="Arial" w:hAnsi="Arial" w:cs="Arial"/>
          <w:sz w:val="20"/>
        </w:rPr>
        <w:t>s document when completing the financial section of</w:t>
      </w:r>
      <w:r w:rsidRPr="00862744">
        <w:rPr>
          <w:rFonts w:ascii="Arial" w:hAnsi="Arial" w:cs="Arial"/>
          <w:sz w:val="20"/>
        </w:rPr>
        <w:t xml:space="preserve"> your </w:t>
      </w:r>
      <w:r w:rsidR="00164A9F" w:rsidRPr="00862744">
        <w:rPr>
          <w:rFonts w:ascii="Arial" w:hAnsi="Arial" w:cs="Arial"/>
          <w:sz w:val="20"/>
        </w:rPr>
        <w:t>a</w:t>
      </w:r>
      <w:r w:rsidRPr="00862744">
        <w:rPr>
          <w:rFonts w:ascii="Arial" w:hAnsi="Arial" w:cs="Arial"/>
          <w:sz w:val="20"/>
        </w:rPr>
        <w:t>pplication in SmartyGrants.</w:t>
      </w:r>
      <w:r w:rsidR="004A7CE4">
        <w:rPr>
          <w:rFonts w:ascii="Arial" w:hAnsi="Arial" w:cs="Arial"/>
          <w:sz w:val="20"/>
        </w:rPr>
        <w:br/>
      </w:r>
    </w:p>
    <w:p w14:paraId="17BD2CB2" w14:textId="77777777" w:rsidR="004A505B" w:rsidRPr="00862744" w:rsidRDefault="004A505B" w:rsidP="00786FA0">
      <w:pPr>
        <w:ind w:left="-426"/>
        <w:rPr>
          <w:rFonts w:ascii="Arial" w:hAnsi="Arial" w:cs="Arial"/>
          <w:sz w:val="20"/>
        </w:rPr>
      </w:pPr>
    </w:p>
    <w:p w14:paraId="4F685446" w14:textId="77777777" w:rsidR="003F57D0" w:rsidRPr="00E907AC" w:rsidRDefault="003F57D0" w:rsidP="00786FA0">
      <w:pPr>
        <w:spacing w:after="240"/>
        <w:ind w:left="-426"/>
        <w:rPr>
          <w:rFonts w:ascii="Arial" w:hAnsi="Arial" w:cs="Arial"/>
          <w:b/>
          <w:sz w:val="32"/>
          <w:szCs w:val="32"/>
        </w:rPr>
      </w:pPr>
      <w:bookmarkStart w:id="0" w:name="_Toc7707027"/>
      <w:r w:rsidRPr="00E907AC">
        <w:rPr>
          <w:rFonts w:ascii="Arial" w:hAnsi="Arial" w:cs="Arial"/>
          <w:b/>
          <w:sz w:val="32"/>
          <w:szCs w:val="32"/>
        </w:rPr>
        <w:t xml:space="preserve">Financial </w:t>
      </w:r>
      <w:r w:rsidR="00FA0791" w:rsidRPr="00E907AC">
        <w:rPr>
          <w:rFonts w:ascii="Arial" w:hAnsi="Arial" w:cs="Arial"/>
          <w:b/>
          <w:sz w:val="32"/>
          <w:szCs w:val="32"/>
        </w:rPr>
        <w:t>History - Financial Statements</w:t>
      </w:r>
    </w:p>
    <w:p w14:paraId="7075D054" w14:textId="77777777" w:rsidR="003F57D0" w:rsidRPr="00533EC6" w:rsidRDefault="003F57D0" w:rsidP="00786FA0">
      <w:pPr>
        <w:ind w:left="-426"/>
        <w:rPr>
          <w:rFonts w:ascii="Arial" w:hAnsi="Arial" w:cs="Arial"/>
          <w:b/>
        </w:rPr>
      </w:pPr>
      <w:r w:rsidRPr="00533EC6">
        <w:rPr>
          <w:rFonts w:ascii="Arial" w:hAnsi="Arial" w:cs="Arial"/>
          <w:b/>
        </w:rPr>
        <w:t>Documents for Upload</w:t>
      </w:r>
      <w:bookmarkEnd w:id="0"/>
    </w:p>
    <w:p w14:paraId="72C60A9E" w14:textId="77777777" w:rsidR="003F57D0" w:rsidRPr="003F57D0" w:rsidRDefault="003F57D0" w:rsidP="00786FA0">
      <w:pPr>
        <w:ind w:left="-426"/>
        <w:rPr>
          <w:rFonts w:ascii="Arial" w:hAnsi="Arial" w:cs="Arial"/>
          <w:b/>
          <w:color w:val="31849B" w:themeColor="accent5" w:themeShade="BF"/>
          <w:szCs w:val="24"/>
        </w:rPr>
      </w:pPr>
    </w:p>
    <w:tbl>
      <w:tblPr>
        <w:tblStyle w:val="TableGrid"/>
        <w:tblW w:w="0" w:type="auto"/>
        <w:tblInd w:w="-431" w:type="dxa"/>
        <w:tblLook w:val="04A0" w:firstRow="1" w:lastRow="0" w:firstColumn="1" w:lastColumn="0" w:noHBand="0" w:noVBand="1"/>
      </w:tblPr>
      <w:tblGrid>
        <w:gridCol w:w="3545"/>
        <w:gridCol w:w="5902"/>
      </w:tblGrid>
      <w:tr w:rsidR="003F57D0" w:rsidRPr="00F637BA" w14:paraId="172D2108" w14:textId="77777777" w:rsidTr="00F07C71">
        <w:tc>
          <w:tcPr>
            <w:tcW w:w="3545" w:type="dxa"/>
          </w:tcPr>
          <w:p w14:paraId="32924304" w14:textId="77777777" w:rsidR="003F57D0" w:rsidRPr="00F637BA" w:rsidRDefault="003F57D0" w:rsidP="00F07C71">
            <w:pPr>
              <w:spacing w:before="80" w:afterLines="80" w:after="192" w:line="280" w:lineRule="exact"/>
              <w:ind w:left="33"/>
              <w:rPr>
                <w:rFonts w:ascii="Arial" w:eastAsia="Times New Roman" w:hAnsi="Arial" w:cs="Arial"/>
                <w:b/>
                <w:color w:val="000000"/>
                <w:sz w:val="20"/>
                <w:lang w:eastAsia="en-AU"/>
              </w:rPr>
            </w:pPr>
            <w:r w:rsidRPr="00F637BA">
              <w:rPr>
                <w:rFonts w:ascii="Arial" w:eastAsia="Times New Roman" w:hAnsi="Arial" w:cs="Arial"/>
                <w:b/>
                <w:color w:val="000000"/>
                <w:sz w:val="20"/>
                <w:lang w:eastAsia="en-AU"/>
              </w:rPr>
              <w:t xml:space="preserve">Current Balance Sheet </w:t>
            </w:r>
          </w:p>
        </w:tc>
        <w:tc>
          <w:tcPr>
            <w:tcW w:w="5902" w:type="dxa"/>
          </w:tcPr>
          <w:p w14:paraId="3021AE6C" w14:textId="77777777" w:rsidR="003F57D0" w:rsidRPr="00F637BA" w:rsidRDefault="003F57D0" w:rsidP="00E63DD6">
            <w:pPr>
              <w:spacing w:before="80" w:afterLines="80" w:after="192" w:line="280" w:lineRule="exact"/>
              <w:ind w:left="32"/>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Your balance sheet as at 30 June 2021 </w:t>
            </w:r>
          </w:p>
        </w:tc>
      </w:tr>
      <w:tr w:rsidR="003F57D0" w:rsidRPr="00F637BA" w14:paraId="1294173F" w14:textId="77777777" w:rsidTr="00F07C71">
        <w:trPr>
          <w:trHeight w:val="1000"/>
        </w:trPr>
        <w:tc>
          <w:tcPr>
            <w:tcW w:w="3545" w:type="dxa"/>
          </w:tcPr>
          <w:p w14:paraId="3958E16F" w14:textId="77777777" w:rsidR="003F57D0" w:rsidRPr="00F637BA" w:rsidRDefault="003F57D0" w:rsidP="00F07C71">
            <w:pPr>
              <w:spacing w:before="80" w:afterLines="80" w:after="192" w:line="280" w:lineRule="exact"/>
              <w:ind w:left="33"/>
              <w:rPr>
                <w:rFonts w:ascii="Arial" w:eastAsia="Times New Roman" w:hAnsi="Arial" w:cs="Arial"/>
                <w:b/>
                <w:color w:val="000000"/>
                <w:sz w:val="20"/>
                <w:lang w:eastAsia="en-AU"/>
              </w:rPr>
            </w:pPr>
            <w:r w:rsidRPr="00F637BA">
              <w:rPr>
                <w:rFonts w:ascii="Arial" w:eastAsia="Times New Roman" w:hAnsi="Arial" w:cs="Arial"/>
                <w:b/>
                <w:color w:val="000000"/>
                <w:sz w:val="20"/>
                <w:lang w:eastAsia="en-AU"/>
              </w:rPr>
              <w:t xml:space="preserve">Profit and Loss </w:t>
            </w:r>
          </w:p>
          <w:p w14:paraId="21CD3BA3" w14:textId="77777777" w:rsidR="003F57D0" w:rsidRPr="005E7D6D" w:rsidRDefault="003F57D0" w:rsidP="00F07C71">
            <w:pPr>
              <w:spacing w:before="80" w:afterLines="80" w:after="192" w:line="280" w:lineRule="exact"/>
              <w:ind w:left="33"/>
              <w:rPr>
                <w:rFonts w:ascii="Arial" w:eastAsia="Times New Roman" w:hAnsi="Arial" w:cs="Arial"/>
                <w:b/>
                <w:color w:val="000000"/>
                <w:sz w:val="20"/>
                <w:lang w:eastAsia="en-AU"/>
              </w:rPr>
            </w:pPr>
          </w:p>
        </w:tc>
        <w:tc>
          <w:tcPr>
            <w:tcW w:w="5902" w:type="dxa"/>
          </w:tcPr>
          <w:p w14:paraId="5975ADA9" w14:textId="6FB6339C" w:rsidR="003F57D0" w:rsidRPr="00F637BA" w:rsidRDefault="003F57D0" w:rsidP="00E63DD6">
            <w:pPr>
              <w:spacing w:before="80" w:afterLines="80" w:after="192" w:line="280" w:lineRule="exact"/>
              <w:ind w:left="32"/>
              <w:rPr>
                <w:rFonts w:ascii="Arial" w:hAnsi="Arial" w:cs="Arial"/>
                <w:sz w:val="20"/>
              </w:rPr>
            </w:pPr>
            <w:r w:rsidRPr="00F637BA">
              <w:rPr>
                <w:rFonts w:ascii="Arial" w:eastAsia="Times New Roman" w:hAnsi="Arial" w:cs="Arial"/>
                <w:color w:val="000000"/>
                <w:sz w:val="20"/>
                <w:lang w:eastAsia="en-AU"/>
              </w:rPr>
              <w:t>Your profit and loss statement, showing actuals to 30 June 202</w:t>
            </w:r>
            <w:r w:rsidR="00FA0791" w:rsidRPr="00F637BA">
              <w:rPr>
                <w:rFonts w:ascii="Arial" w:eastAsia="Times New Roman" w:hAnsi="Arial" w:cs="Arial"/>
                <w:color w:val="000000"/>
                <w:sz w:val="20"/>
                <w:lang w:eastAsia="en-AU"/>
              </w:rPr>
              <w:t>1</w:t>
            </w:r>
            <w:r w:rsidRPr="00F637BA">
              <w:rPr>
                <w:rFonts w:ascii="Arial" w:eastAsia="Times New Roman" w:hAnsi="Arial" w:cs="Arial"/>
                <w:color w:val="000000"/>
                <w:sz w:val="20"/>
                <w:lang w:eastAsia="en-AU"/>
              </w:rPr>
              <w:t xml:space="preserve">. This can be taken directly from your in-house finance system. </w:t>
            </w:r>
          </w:p>
        </w:tc>
      </w:tr>
      <w:tr w:rsidR="003F57D0" w:rsidRPr="00F637BA" w14:paraId="71EAC72A" w14:textId="77777777" w:rsidTr="00F07C71">
        <w:tc>
          <w:tcPr>
            <w:tcW w:w="3545" w:type="dxa"/>
          </w:tcPr>
          <w:p w14:paraId="564C801C" w14:textId="77777777" w:rsidR="003F57D0" w:rsidRPr="005E7D6D" w:rsidRDefault="00267CBB" w:rsidP="00F07C71">
            <w:pPr>
              <w:spacing w:before="80" w:afterLines="80" w:after="192" w:line="280" w:lineRule="exact"/>
              <w:ind w:left="33"/>
              <w:rPr>
                <w:rFonts w:ascii="Arial" w:eastAsia="Times New Roman" w:hAnsi="Arial" w:cs="Arial"/>
                <w:b/>
                <w:color w:val="000000"/>
                <w:sz w:val="20"/>
                <w:lang w:eastAsia="en-AU"/>
              </w:rPr>
            </w:pPr>
            <w:r w:rsidRPr="00F637BA">
              <w:rPr>
                <w:rFonts w:ascii="Arial" w:eastAsia="Times New Roman" w:hAnsi="Arial" w:cs="Arial"/>
                <w:b/>
                <w:color w:val="000000"/>
                <w:sz w:val="20"/>
                <w:lang w:eastAsia="en-AU"/>
              </w:rPr>
              <w:t>12 month Cash F</w:t>
            </w:r>
            <w:r w:rsidR="003F57D0" w:rsidRPr="00F637BA">
              <w:rPr>
                <w:rFonts w:ascii="Arial" w:eastAsia="Times New Roman" w:hAnsi="Arial" w:cs="Arial"/>
                <w:b/>
                <w:color w:val="000000"/>
                <w:sz w:val="20"/>
                <w:lang w:eastAsia="en-AU"/>
              </w:rPr>
              <w:t xml:space="preserve">low </w:t>
            </w:r>
          </w:p>
        </w:tc>
        <w:tc>
          <w:tcPr>
            <w:tcW w:w="5902" w:type="dxa"/>
          </w:tcPr>
          <w:p w14:paraId="4FDBA32A" w14:textId="77777777" w:rsidR="003F57D0" w:rsidRPr="00DA6FAA" w:rsidRDefault="003F57D0" w:rsidP="00E63DD6">
            <w:pPr>
              <w:spacing w:before="80" w:afterLines="80" w:after="192" w:line="280" w:lineRule="exact"/>
              <w:ind w:left="32"/>
              <w:rPr>
                <w:rFonts w:ascii="Arial" w:eastAsia="Times New Roman" w:hAnsi="Arial" w:cs="Arial"/>
                <w:color w:val="000000"/>
                <w:sz w:val="20"/>
                <w:lang w:eastAsia="en-AU"/>
              </w:rPr>
            </w:pPr>
            <w:r w:rsidRPr="00DA6FAA">
              <w:rPr>
                <w:rFonts w:ascii="Arial" w:eastAsia="Times New Roman" w:hAnsi="Arial" w:cs="Arial"/>
                <w:color w:val="000000"/>
                <w:sz w:val="20"/>
                <w:lang w:eastAsia="en-AU"/>
              </w:rPr>
              <w:t>A month-by-month cash flow showing:</w:t>
            </w:r>
          </w:p>
          <w:p w14:paraId="380F58CD" w14:textId="6CB71D28" w:rsidR="003F57D0" w:rsidRPr="00DA6FAA" w:rsidRDefault="00EE482E" w:rsidP="00E63DD6">
            <w:pPr>
              <w:pStyle w:val="ListParagraph"/>
              <w:numPr>
                <w:ilvl w:val="0"/>
                <w:numId w:val="13"/>
              </w:numPr>
              <w:spacing w:before="80" w:afterLines="80" w:after="192" w:line="280" w:lineRule="exact"/>
              <w:ind w:left="32"/>
              <w:rPr>
                <w:rFonts w:eastAsia="Times New Roman"/>
                <w:color w:val="000000"/>
                <w:sz w:val="20"/>
                <w:lang w:eastAsia="en-AU"/>
              </w:rPr>
            </w:pPr>
            <w:r>
              <w:rPr>
                <w:rFonts w:eastAsia="Times New Roman"/>
                <w:color w:val="000000"/>
                <w:sz w:val="20"/>
                <w:lang w:eastAsia="en-AU"/>
              </w:rPr>
              <w:t>f</w:t>
            </w:r>
            <w:r w:rsidR="003F57D0" w:rsidRPr="00DA6FAA">
              <w:rPr>
                <w:rFonts w:eastAsia="Times New Roman"/>
                <w:color w:val="000000"/>
                <w:sz w:val="20"/>
                <w:lang w:eastAsia="en-AU"/>
              </w:rPr>
              <w:t>orecast of cash that will be received and spent each month up to the end of the year</w:t>
            </w:r>
            <w:r>
              <w:rPr>
                <w:rFonts w:eastAsia="Times New Roman"/>
                <w:color w:val="000000"/>
                <w:sz w:val="20"/>
                <w:lang w:eastAsia="en-AU"/>
              </w:rPr>
              <w:t>.</w:t>
            </w:r>
            <w:r w:rsidR="003F57D0" w:rsidRPr="00DA6FAA">
              <w:rPr>
                <w:rFonts w:eastAsia="Times New Roman"/>
                <w:color w:val="000000"/>
                <w:sz w:val="20"/>
                <w:lang w:eastAsia="en-AU"/>
              </w:rPr>
              <w:t xml:space="preserve"> </w:t>
            </w:r>
          </w:p>
          <w:p w14:paraId="3FCE8272" w14:textId="77777777" w:rsidR="003F57D0" w:rsidRPr="00DA6FAA" w:rsidRDefault="003F57D0" w:rsidP="00E63DD6">
            <w:pPr>
              <w:spacing w:before="80" w:afterLines="80" w:after="192" w:line="280" w:lineRule="exact"/>
              <w:ind w:left="32"/>
              <w:rPr>
                <w:rFonts w:ascii="Arial" w:eastAsia="Times New Roman" w:hAnsi="Arial" w:cs="Arial"/>
                <w:color w:val="000000"/>
                <w:sz w:val="20"/>
                <w:lang w:eastAsia="en-AU"/>
              </w:rPr>
            </w:pPr>
            <w:r w:rsidRPr="00DA6FAA">
              <w:rPr>
                <w:rFonts w:ascii="Arial" w:eastAsia="Times New Roman" w:hAnsi="Arial" w:cs="Arial"/>
                <w:color w:val="000000"/>
                <w:sz w:val="20"/>
                <w:lang w:eastAsia="en-AU"/>
              </w:rPr>
              <w:t xml:space="preserve">Note: Cash Flows should include Opening and Closing Balances for each month, and should not include non-cash items such as depreciations or in-kind income or expenditure. </w:t>
            </w:r>
          </w:p>
          <w:p w14:paraId="706F1E50" w14:textId="63AD9F9E" w:rsidR="003F57D0" w:rsidRPr="00F637BA" w:rsidRDefault="003F57D0" w:rsidP="00E63DD6">
            <w:pPr>
              <w:spacing w:before="80" w:line="280" w:lineRule="exact"/>
              <w:ind w:left="32"/>
              <w:rPr>
                <w:rFonts w:ascii="Arial" w:hAnsi="Arial" w:cs="Arial"/>
                <w:sz w:val="20"/>
              </w:rPr>
            </w:pPr>
            <w:r w:rsidRPr="00F637BA">
              <w:rPr>
                <w:rFonts w:ascii="Arial" w:hAnsi="Arial" w:cs="Arial"/>
                <w:sz w:val="20"/>
              </w:rPr>
              <w:t xml:space="preserve">For </w:t>
            </w:r>
            <w:r w:rsidR="00A539EF" w:rsidRPr="00F637BA">
              <w:rPr>
                <w:rFonts w:ascii="Arial" w:hAnsi="Arial" w:cs="Arial"/>
                <w:sz w:val="20"/>
              </w:rPr>
              <w:t>tips on managing</w:t>
            </w:r>
            <w:r w:rsidRPr="00F637BA">
              <w:rPr>
                <w:rFonts w:ascii="Arial" w:hAnsi="Arial" w:cs="Arial"/>
                <w:sz w:val="20"/>
              </w:rPr>
              <w:t xml:space="preserve"> cash flow</w:t>
            </w:r>
            <w:r w:rsidR="00A539EF" w:rsidRPr="00F637BA">
              <w:rPr>
                <w:rFonts w:ascii="Arial" w:hAnsi="Arial" w:cs="Arial"/>
                <w:sz w:val="20"/>
              </w:rPr>
              <w:t xml:space="preserve">, please see </w:t>
            </w:r>
            <w:hyperlink r:id="rId11" w:history="1">
              <w:r w:rsidR="00A539EF" w:rsidRPr="00F637BA">
                <w:rPr>
                  <w:rStyle w:val="Hyperlink"/>
                  <w:rFonts w:ascii="Arial" w:hAnsi="Arial" w:cs="Arial"/>
                  <w:sz w:val="20"/>
                </w:rPr>
                <w:t>Arts Acumen</w:t>
              </w:r>
            </w:hyperlink>
            <w:r w:rsidR="00A539EF" w:rsidRPr="00F637BA">
              <w:rPr>
                <w:rFonts w:ascii="Arial" w:hAnsi="Arial" w:cs="Arial"/>
                <w:sz w:val="20"/>
              </w:rPr>
              <w:t xml:space="preserve"> and for sample cash flow templates, </w:t>
            </w:r>
            <w:hyperlink r:id="rId12" w:history="1">
              <w:r w:rsidR="00A539EF" w:rsidRPr="00F637BA">
                <w:rPr>
                  <w:rStyle w:val="Hyperlink"/>
                  <w:rFonts w:ascii="Arial" w:hAnsi="Arial" w:cs="Arial"/>
                  <w:sz w:val="20"/>
                </w:rPr>
                <w:t>click here</w:t>
              </w:r>
            </w:hyperlink>
            <w:r w:rsidR="00A539EF" w:rsidRPr="00F637BA">
              <w:rPr>
                <w:rFonts w:ascii="Arial" w:hAnsi="Arial" w:cs="Arial"/>
                <w:sz w:val="20"/>
              </w:rPr>
              <w:t xml:space="preserve">. </w:t>
            </w:r>
            <w:r w:rsidR="004E0B3C">
              <w:rPr>
                <w:rFonts w:ascii="Arial" w:hAnsi="Arial" w:cs="Arial"/>
                <w:sz w:val="20"/>
              </w:rPr>
              <w:br/>
            </w:r>
          </w:p>
        </w:tc>
      </w:tr>
      <w:tr w:rsidR="003F57D0" w:rsidRPr="00F637BA" w14:paraId="3D962FC3" w14:textId="77777777" w:rsidTr="00F07C71">
        <w:tc>
          <w:tcPr>
            <w:tcW w:w="3545" w:type="dxa"/>
          </w:tcPr>
          <w:p w14:paraId="56E789DF" w14:textId="77777777" w:rsidR="003F57D0" w:rsidRPr="005E7D6D" w:rsidRDefault="003F57D0" w:rsidP="00F07C71">
            <w:pPr>
              <w:spacing w:before="80" w:afterLines="80" w:after="192" w:line="280" w:lineRule="exact"/>
              <w:ind w:left="33"/>
              <w:rPr>
                <w:rFonts w:ascii="Arial" w:eastAsia="Times New Roman" w:hAnsi="Arial" w:cs="Arial"/>
                <w:b/>
                <w:color w:val="000000"/>
                <w:sz w:val="20"/>
                <w:lang w:eastAsia="en-AU"/>
              </w:rPr>
            </w:pPr>
            <w:r w:rsidRPr="00F637BA">
              <w:rPr>
                <w:rFonts w:ascii="Arial" w:eastAsia="Times New Roman" w:hAnsi="Arial" w:cs="Arial"/>
                <w:b/>
                <w:color w:val="000000"/>
                <w:sz w:val="20"/>
                <w:lang w:eastAsia="en-AU"/>
              </w:rPr>
              <w:t>Audited Financials (or equivalent)</w:t>
            </w:r>
          </w:p>
        </w:tc>
        <w:tc>
          <w:tcPr>
            <w:tcW w:w="5902" w:type="dxa"/>
          </w:tcPr>
          <w:p w14:paraId="0BA11458" w14:textId="2F3FBDCC" w:rsidR="003F57D0" w:rsidRPr="00F637BA" w:rsidRDefault="00FA0791" w:rsidP="00E63DD6">
            <w:pPr>
              <w:spacing w:before="80" w:afterLines="80" w:after="192" w:line="280" w:lineRule="exact"/>
              <w:ind w:left="32"/>
              <w:rPr>
                <w:rFonts w:ascii="Arial" w:hAnsi="Arial" w:cs="Arial"/>
                <w:sz w:val="20"/>
              </w:rPr>
            </w:pPr>
            <w:r w:rsidRPr="00F637BA">
              <w:rPr>
                <w:rFonts w:ascii="Arial" w:eastAsia="Times New Roman" w:hAnsi="Arial" w:cs="Arial"/>
                <w:color w:val="000000"/>
                <w:sz w:val="20"/>
                <w:lang w:eastAsia="en-AU"/>
              </w:rPr>
              <w:t>Previous 2 years</w:t>
            </w:r>
            <w:r w:rsidR="00063384" w:rsidRPr="00F637BA">
              <w:rPr>
                <w:rFonts w:ascii="Arial" w:eastAsia="Times New Roman" w:hAnsi="Arial" w:cs="Arial"/>
                <w:color w:val="000000"/>
                <w:sz w:val="20"/>
                <w:lang w:eastAsia="en-AU"/>
              </w:rPr>
              <w:t>’</w:t>
            </w:r>
            <w:r w:rsidRPr="00F637BA">
              <w:rPr>
                <w:rFonts w:ascii="Arial" w:eastAsia="Times New Roman" w:hAnsi="Arial" w:cs="Arial"/>
                <w:color w:val="000000"/>
                <w:sz w:val="20"/>
                <w:lang w:eastAsia="en-AU"/>
              </w:rPr>
              <w:t xml:space="preserve"> signed a</w:t>
            </w:r>
            <w:r w:rsidR="003F57D0" w:rsidRPr="00F637BA">
              <w:rPr>
                <w:rFonts w:ascii="Arial" w:eastAsia="Times New Roman" w:hAnsi="Arial" w:cs="Arial"/>
                <w:color w:val="000000"/>
                <w:sz w:val="20"/>
                <w:lang w:eastAsia="en-AU"/>
              </w:rPr>
              <w:t xml:space="preserve">udited financial statements, signed by the board and auditor. For applicants that do not currently complete a full independent audit, financial statements must be accompanied by an independent accountant’s letter verifying the accuracy and completeness of financial statements. </w:t>
            </w:r>
          </w:p>
        </w:tc>
      </w:tr>
    </w:tbl>
    <w:p w14:paraId="45B323BB" w14:textId="77777777" w:rsidR="003F57D0" w:rsidRPr="00F637BA" w:rsidRDefault="003F57D0" w:rsidP="00521D69">
      <w:pPr>
        <w:spacing w:after="240"/>
        <w:rPr>
          <w:rFonts w:ascii="Arial" w:hAnsi="Arial" w:cs="Arial"/>
          <w:b/>
          <w:sz w:val="20"/>
        </w:rPr>
      </w:pPr>
    </w:p>
    <w:p w14:paraId="046E9940" w14:textId="0F9EAB35" w:rsidR="003F57D0" w:rsidRDefault="003F57D0" w:rsidP="00521D69">
      <w:pPr>
        <w:spacing w:after="240"/>
        <w:rPr>
          <w:rFonts w:ascii="Arial" w:hAnsi="Arial" w:cs="Arial"/>
          <w:b/>
          <w:sz w:val="20"/>
        </w:rPr>
      </w:pPr>
    </w:p>
    <w:p w14:paraId="551AB917" w14:textId="10135235" w:rsidR="007E7A03" w:rsidRDefault="00783FB3" w:rsidP="00521D69">
      <w:pPr>
        <w:spacing w:after="240"/>
        <w:rPr>
          <w:rFonts w:ascii="Arial" w:hAnsi="Arial" w:cs="Arial"/>
          <w:b/>
          <w:sz w:val="20"/>
        </w:rPr>
      </w:pPr>
      <w:r>
        <w:rPr>
          <w:rFonts w:ascii="Arial" w:hAnsi="Arial" w:cs="Arial"/>
          <w:b/>
          <w:sz w:val="20"/>
        </w:rPr>
        <w:br/>
      </w:r>
    </w:p>
    <w:p w14:paraId="1406709C" w14:textId="2F9D3C10" w:rsidR="007E7A03" w:rsidRDefault="007E7A03" w:rsidP="00521D69">
      <w:pPr>
        <w:spacing w:after="240"/>
        <w:rPr>
          <w:rFonts w:ascii="Arial" w:hAnsi="Arial" w:cs="Arial"/>
          <w:b/>
          <w:sz w:val="20"/>
        </w:rPr>
      </w:pPr>
    </w:p>
    <w:p w14:paraId="3E15F5D9" w14:textId="77777777" w:rsidR="001367BB" w:rsidRDefault="001367BB" w:rsidP="00521D69">
      <w:pPr>
        <w:spacing w:after="240"/>
        <w:rPr>
          <w:rFonts w:ascii="Arial" w:hAnsi="Arial" w:cs="Arial"/>
          <w:b/>
          <w:sz w:val="20"/>
        </w:rPr>
      </w:pPr>
    </w:p>
    <w:p w14:paraId="471E83B8" w14:textId="4E0A485A" w:rsidR="007E7A03" w:rsidRDefault="007E7A03" w:rsidP="00521D69">
      <w:pPr>
        <w:spacing w:after="240"/>
        <w:rPr>
          <w:rFonts w:ascii="Arial" w:hAnsi="Arial" w:cs="Arial"/>
          <w:b/>
          <w:sz w:val="20"/>
        </w:rPr>
      </w:pPr>
      <w:bookmarkStart w:id="1" w:name="_GoBack"/>
      <w:bookmarkEnd w:id="1"/>
    </w:p>
    <w:p w14:paraId="08C6C2BB" w14:textId="082397B7" w:rsidR="003F57D0" w:rsidRPr="00F86501" w:rsidRDefault="00F75F29" w:rsidP="00786FA0">
      <w:pPr>
        <w:spacing w:after="240"/>
        <w:ind w:left="-426"/>
        <w:rPr>
          <w:rFonts w:ascii="Arial" w:hAnsi="Arial" w:cs="Arial"/>
          <w:b/>
          <w:sz w:val="32"/>
        </w:rPr>
      </w:pPr>
      <w:r w:rsidRPr="00F86501">
        <w:rPr>
          <w:rFonts w:ascii="Arial" w:hAnsi="Arial" w:cs="Arial"/>
          <w:b/>
          <w:sz w:val="32"/>
        </w:rPr>
        <w:t>Current Financial position and forecast budgets</w:t>
      </w:r>
    </w:p>
    <w:p w14:paraId="4C293428" w14:textId="77777777" w:rsidR="00C839AA" w:rsidRPr="00533EC6" w:rsidRDefault="00C839AA" w:rsidP="00786FA0">
      <w:pPr>
        <w:spacing w:after="240"/>
        <w:ind w:left="-426"/>
        <w:rPr>
          <w:rFonts w:ascii="Arial" w:hAnsi="Arial" w:cs="Arial"/>
          <w:b/>
        </w:rPr>
      </w:pPr>
      <w:r w:rsidRPr="00533EC6">
        <w:rPr>
          <w:rFonts w:ascii="Arial" w:hAnsi="Arial" w:cs="Arial"/>
          <w:b/>
        </w:rPr>
        <w:t>Income</w:t>
      </w:r>
    </w:p>
    <w:tbl>
      <w:tblPr>
        <w:tblW w:w="10070" w:type="dxa"/>
        <w:tblInd w:w="-431" w:type="dxa"/>
        <w:tblLook w:val="04A0" w:firstRow="1" w:lastRow="0" w:firstColumn="1" w:lastColumn="0" w:noHBand="0" w:noVBand="1"/>
      </w:tblPr>
      <w:tblGrid>
        <w:gridCol w:w="3261"/>
        <w:gridCol w:w="6809"/>
      </w:tblGrid>
      <w:tr w:rsidR="00A31008" w:rsidRPr="00F637BA" w14:paraId="6FAB66AD" w14:textId="77777777" w:rsidTr="006716B6">
        <w:trPr>
          <w:trHeight w:val="285"/>
        </w:trPr>
        <w:tc>
          <w:tcPr>
            <w:tcW w:w="3261" w:type="dxa"/>
            <w:tcBorders>
              <w:top w:val="single" w:sz="4" w:space="0" w:color="auto"/>
              <w:left w:val="single" w:sz="4" w:space="0" w:color="auto"/>
              <w:bottom w:val="nil"/>
              <w:right w:val="nil"/>
            </w:tcBorders>
            <w:shd w:val="clear" w:color="auto" w:fill="B8CCE4" w:themeFill="accent1" w:themeFillTint="66"/>
            <w:noWrap/>
            <w:hideMark/>
          </w:tcPr>
          <w:p w14:paraId="63C2D385" w14:textId="77777777" w:rsidR="00C839AA" w:rsidRPr="00C87F29" w:rsidRDefault="00A31008" w:rsidP="008803B0">
            <w:pPr>
              <w:spacing w:before="80" w:afterLines="80" w:after="192" w:line="280" w:lineRule="exact"/>
              <w:rPr>
                <w:rFonts w:ascii="Arial" w:eastAsia="Times New Roman" w:hAnsi="Arial" w:cs="Arial"/>
                <w:b/>
                <w:color w:val="000000"/>
                <w:szCs w:val="24"/>
                <w:lang w:eastAsia="en-AU"/>
              </w:rPr>
            </w:pPr>
            <w:r w:rsidRPr="00C87F29">
              <w:rPr>
                <w:rFonts w:ascii="Arial" w:eastAsia="Times New Roman" w:hAnsi="Arial" w:cs="Arial"/>
                <w:b/>
                <w:color w:val="000000"/>
                <w:szCs w:val="24"/>
                <w:lang w:eastAsia="en-AU"/>
              </w:rPr>
              <w:t>Government Income</w:t>
            </w:r>
          </w:p>
        </w:tc>
        <w:tc>
          <w:tcPr>
            <w:tcW w:w="6809" w:type="dxa"/>
            <w:tcBorders>
              <w:top w:val="single" w:sz="4" w:space="0" w:color="auto"/>
              <w:left w:val="nil"/>
              <w:bottom w:val="nil"/>
              <w:right w:val="single" w:sz="4" w:space="0" w:color="auto"/>
            </w:tcBorders>
            <w:shd w:val="clear" w:color="auto" w:fill="B8CCE4" w:themeFill="accent1" w:themeFillTint="66"/>
            <w:hideMark/>
          </w:tcPr>
          <w:p w14:paraId="44399239" w14:textId="77777777" w:rsidR="00C839AA" w:rsidRPr="007C347D" w:rsidRDefault="00C839AA" w:rsidP="007C347D">
            <w:pPr>
              <w:spacing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 </w:t>
            </w:r>
          </w:p>
        </w:tc>
      </w:tr>
      <w:tr w:rsidR="00A31008" w:rsidRPr="00F637BA" w14:paraId="45FDBEEA" w14:textId="77777777" w:rsidTr="006716B6">
        <w:trPr>
          <w:trHeight w:val="285"/>
        </w:trPr>
        <w:tc>
          <w:tcPr>
            <w:tcW w:w="3261" w:type="dxa"/>
            <w:tcBorders>
              <w:top w:val="single" w:sz="4" w:space="0" w:color="auto"/>
              <w:left w:val="single" w:sz="4" w:space="0" w:color="auto"/>
              <w:bottom w:val="nil"/>
              <w:right w:val="nil"/>
            </w:tcBorders>
            <w:shd w:val="clear" w:color="000000" w:fill="000000"/>
            <w:noWrap/>
          </w:tcPr>
          <w:p w14:paraId="1D8EF01D" w14:textId="77777777" w:rsidR="00A31008" w:rsidRPr="00076CDB" w:rsidRDefault="00A31008" w:rsidP="008803B0">
            <w:pPr>
              <w:spacing w:before="80" w:afterLines="80" w:after="192" w:line="280" w:lineRule="exact"/>
              <w:rPr>
                <w:rFonts w:ascii="Arial" w:eastAsia="Times New Roman" w:hAnsi="Arial" w:cs="Arial"/>
                <w:b/>
                <w:color w:val="FFFFFF" w:themeColor="background1"/>
                <w:szCs w:val="24"/>
                <w:lang w:eastAsia="en-AU"/>
              </w:rPr>
            </w:pPr>
            <w:r w:rsidRPr="00076CDB">
              <w:rPr>
                <w:rFonts w:ascii="Arial" w:eastAsia="Times New Roman" w:hAnsi="Arial" w:cs="Arial"/>
                <w:b/>
                <w:color w:val="FFFFFF" w:themeColor="background1"/>
                <w:szCs w:val="24"/>
                <w:lang w:eastAsia="en-AU"/>
              </w:rPr>
              <w:t>Operational Income</w:t>
            </w:r>
          </w:p>
        </w:tc>
        <w:tc>
          <w:tcPr>
            <w:tcW w:w="6809" w:type="dxa"/>
            <w:tcBorders>
              <w:top w:val="single" w:sz="4" w:space="0" w:color="auto"/>
              <w:left w:val="nil"/>
              <w:bottom w:val="nil"/>
              <w:right w:val="single" w:sz="4" w:space="0" w:color="auto"/>
            </w:tcBorders>
            <w:shd w:val="clear" w:color="000000" w:fill="000000"/>
          </w:tcPr>
          <w:p w14:paraId="0F9E465B" w14:textId="77777777" w:rsidR="00A31008" w:rsidRPr="00076CDB" w:rsidRDefault="00A31008" w:rsidP="007C347D">
            <w:pPr>
              <w:spacing w:afterLines="80" w:after="192" w:line="280" w:lineRule="exact"/>
              <w:rPr>
                <w:rFonts w:ascii="Arial" w:eastAsia="Times New Roman" w:hAnsi="Arial" w:cs="Arial"/>
                <w:b/>
                <w:color w:val="FFFFFF" w:themeColor="background1"/>
                <w:szCs w:val="24"/>
                <w:lang w:eastAsia="en-AU"/>
              </w:rPr>
            </w:pPr>
          </w:p>
        </w:tc>
      </w:tr>
      <w:tr w:rsidR="00C839AA" w:rsidRPr="00F637BA" w14:paraId="673C9B11" w14:textId="77777777" w:rsidTr="006716B6">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291F724" w14:textId="77777777" w:rsidR="00C839AA" w:rsidRPr="007866E4" w:rsidRDefault="00C839AA" w:rsidP="005E7D6D">
            <w:pPr>
              <w:spacing w:before="80" w:afterLines="80" w:after="192" w:line="280" w:lineRule="exact"/>
              <w:rPr>
                <w:rFonts w:ascii="Arial" w:eastAsia="Times New Roman" w:hAnsi="Arial" w:cs="Arial"/>
                <w:b/>
                <w:color w:val="000000"/>
                <w:sz w:val="20"/>
                <w:lang w:eastAsia="en-AU"/>
              </w:rPr>
            </w:pPr>
            <w:r w:rsidRPr="007866E4">
              <w:rPr>
                <w:rFonts w:ascii="Arial" w:eastAsia="Times New Roman" w:hAnsi="Arial" w:cs="Arial"/>
                <w:b/>
                <w:color w:val="000000"/>
                <w:sz w:val="20"/>
                <w:lang w:eastAsia="en-AU"/>
              </w:rPr>
              <w:t>Arts QLD Operational</w:t>
            </w:r>
          </w:p>
        </w:tc>
        <w:tc>
          <w:tcPr>
            <w:tcW w:w="6809" w:type="dxa"/>
            <w:tcBorders>
              <w:top w:val="single" w:sz="4" w:space="0" w:color="auto"/>
              <w:left w:val="nil"/>
              <w:bottom w:val="single" w:sz="4" w:space="0" w:color="auto"/>
              <w:right w:val="single" w:sz="4" w:space="0" w:color="auto"/>
            </w:tcBorders>
            <w:shd w:val="clear" w:color="auto" w:fill="auto"/>
            <w:hideMark/>
          </w:tcPr>
          <w:p w14:paraId="24C2FBA4" w14:textId="094AE594" w:rsidR="00C839AA" w:rsidRPr="00F637BA" w:rsidRDefault="004B161E" w:rsidP="005810F6">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Operational funding you receive</w:t>
            </w:r>
            <w:r w:rsidR="00164A9F" w:rsidRPr="007C347D">
              <w:rPr>
                <w:rFonts w:ascii="Arial" w:eastAsia="Times New Roman" w:hAnsi="Arial" w:cs="Arial"/>
                <w:color w:val="000000"/>
                <w:sz w:val="20"/>
                <w:lang w:eastAsia="en-AU"/>
              </w:rPr>
              <w:t xml:space="preserve"> </w:t>
            </w:r>
            <w:r w:rsidRPr="007C347D">
              <w:rPr>
                <w:rFonts w:ascii="Arial" w:eastAsia="Times New Roman" w:hAnsi="Arial" w:cs="Arial"/>
                <w:color w:val="000000"/>
                <w:sz w:val="20"/>
                <w:lang w:eastAsia="en-AU"/>
              </w:rPr>
              <w:t xml:space="preserve">or are applying for </w:t>
            </w:r>
            <w:r w:rsidR="00164A9F" w:rsidRPr="007C347D">
              <w:rPr>
                <w:rFonts w:ascii="Arial" w:eastAsia="Times New Roman" w:hAnsi="Arial" w:cs="Arial"/>
                <w:color w:val="000000"/>
                <w:sz w:val="20"/>
                <w:lang w:eastAsia="en-AU"/>
              </w:rPr>
              <w:t>from</w:t>
            </w:r>
            <w:r w:rsidRPr="007C347D">
              <w:rPr>
                <w:rFonts w:ascii="Arial" w:eastAsia="Times New Roman" w:hAnsi="Arial" w:cs="Arial"/>
                <w:color w:val="000000"/>
                <w:sz w:val="20"/>
                <w:lang w:eastAsia="en-AU"/>
              </w:rPr>
              <w:t xml:space="preserve"> Arts Queensland</w:t>
            </w:r>
            <w:r w:rsidR="00747E44" w:rsidRPr="007C347D">
              <w:rPr>
                <w:rFonts w:ascii="Arial" w:eastAsia="Times New Roman" w:hAnsi="Arial" w:cs="Arial"/>
                <w:color w:val="000000"/>
                <w:sz w:val="20"/>
                <w:lang w:eastAsia="en-AU"/>
              </w:rPr>
              <w:t>.</w:t>
            </w:r>
          </w:p>
        </w:tc>
      </w:tr>
      <w:tr w:rsidR="00C839AA" w:rsidRPr="00F637BA" w14:paraId="69633E0A" w14:textId="77777777" w:rsidTr="006716B6">
        <w:trPr>
          <w:trHeight w:val="1482"/>
        </w:trPr>
        <w:tc>
          <w:tcPr>
            <w:tcW w:w="3261" w:type="dxa"/>
            <w:tcBorders>
              <w:top w:val="nil"/>
              <w:left w:val="single" w:sz="4" w:space="0" w:color="auto"/>
              <w:bottom w:val="single" w:sz="4" w:space="0" w:color="auto"/>
              <w:right w:val="single" w:sz="4" w:space="0" w:color="auto"/>
            </w:tcBorders>
            <w:shd w:val="clear" w:color="auto" w:fill="auto"/>
            <w:hideMark/>
          </w:tcPr>
          <w:p w14:paraId="1B15C8E0" w14:textId="77777777" w:rsidR="00C839AA" w:rsidRPr="007866E4" w:rsidRDefault="00C839AA" w:rsidP="005E7D6D">
            <w:pPr>
              <w:spacing w:before="80" w:afterLines="80" w:after="192" w:line="280" w:lineRule="exact"/>
              <w:rPr>
                <w:rFonts w:ascii="Arial" w:eastAsia="Times New Roman" w:hAnsi="Arial" w:cs="Arial"/>
                <w:b/>
                <w:color w:val="000000"/>
                <w:sz w:val="20"/>
                <w:lang w:eastAsia="en-AU"/>
              </w:rPr>
            </w:pPr>
            <w:r w:rsidRPr="007866E4">
              <w:rPr>
                <w:rFonts w:ascii="Arial" w:eastAsia="Times New Roman" w:hAnsi="Arial" w:cs="Arial"/>
                <w:b/>
                <w:color w:val="000000"/>
                <w:sz w:val="20"/>
                <w:lang w:eastAsia="en-AU"/>
              </w:rPr>
              <w:t>Other Government Operational</w:t>
            </w:r>
          </w:p>
        </w:tc>
        <w:tc>
          <w:tcPr>
            <w:tcW w:w="6809" w:type="dxa"/>
            <w:tcBorders>
              <w:top w:val="nil"/>
              <w:left w:val="nil"/>
              <w:bottom w:val="single" w:sz="4" w:space="0" w:color="auto"/>
              <w:right w:val="single" w:sz="4" w:space="0" w:color="auto"/>
            </w:tcBorders>
            <w:shd w:val="clear" w:color="auto" w:fill="auto"/>
            <w:hideMark/>
          </w:tcPr>
          <w:p w14:paraId="2DC7E9DB" w14:textId="02330394" w:rsidR="00C839AA" w:rsidRPr="00F637BA" w:rsidRDefault="00C839AA" w:rsidP="005810F6">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Funding from other government departments and agencies (i.e. sources other than Arts Queensland) towards your annual program and operations - such as other Queensland Government departments and agencies, other Commonwealth Government departments and agencies, local councils.</w:t>
            </w:r>
          </w:p>
        </w:tc>
      </w:tr>
      <w:tr w:rsidR="00C839AA" w:rsidRPr="00F637BA" w14:paraId="5FF6BBEA" w14:textId="77777777" w:rsidTr="006716B6">
        <w:trPr>
          <w:trHeight w:val="285"/>
        </w:trPr>
        <w:tc>
          <w:tcPr>
            <w:tcW w:w="3261" w:type="dxa"/>
            <w:tcBorders>
              <w:top w:val="nil"/>
              <w:left w:val="single" w:sz="4" w:space="0" w:color="auto"/>
              <w:bottom w:val="nil"/>
              <w:right w:val="nil"/>
            </w:tcBorders>
            <w:shd w:val="clear" w:color="000000" w:fill="000000"/>
            <w:noWrap/>
            <w:hideMark/>
          </w:tcPr>
          <w:p w14:paraId="1F4FEA6A" w14:textId="77777777" w:rsidR="00C839AA" w:rsidRPr="00280A49" w:rsidRDefault="00C839AA" w:rsidP="008803B0">
            <w:pPr>
              <w:spacing w:before="80" w:afterLines="80" w:after="192" w:line="280" w:lineRule="exact"/>
              <w:rPr>
                <w:rFonts w:ascii="Arial" w:eastAsia="Times New Roman" w:hAnsi="Arial" w:cs="Arial"/>
                <w:b/>
                <w:color w:val="FFFFFF" w:themeColor="background1"/>
                <w:lang w:eastAsia="en-AU"/>
              </w:rPr>
            </w:pPr>
            <w:r w:rsidRPr="00280A49">
              <w:rPr>
                <w:rFonts w:ascii="Arial" w:eastAsia="Times New Roman" w:hAnsi="Arial" w:cs="Arial"/>
                <w:b/>
                <w:color w:val="FFFFFF" w:themeColor="background1"/>
                <w:szCs w:val="24"/>
                <w:lang w:eastAsia="en-AU"/>
              </w:rPr>
              <w:t>Project Grants</w:t>
            </w:r>
          </w:p>
        </w:tc>
        <w:tc>
          <w:tcPr>
            <w:tcW w:w="6809" w:type="dxa"/>
            <w:tcBorders>
              <w:top w:val="nil"/>
              <w:left w:val="nil"/>
              <w:bottom w:val="nil"/>
              <w:right w:val="single" w:sz="4" w:space="0" w:color="auto"/>
            </w:tcBorders>
            <w:shd w:val="clear" w:color="000000" w:fill="000000"/>
            <w:hideMark/>
          </w:tcPr>
          <w:p w14:paraId="57E0A3BF" w14:textId="77777777" w:rsidR="00C839AA" w:rsidRPr="00280A49" w:rsidRDefault="00C839AA" w:rsidP="007C347D">
            <w:pPr>
              <w:spacing w:afterLines="80" w:after="192" w:line="280" w:lineRule="exact"/>
              <w:rPr>
                <w:rFonts w:ascii="Arial" w:eastAsia="Times New Roman" w:hAnsi="Arial" w:cs="Arial"/>
                <w:color w:val="FFFFFF" w:themeColor="background1"/>
                <w:sz w:val="20"/>
                <w:lang w:eastAsia="en-AU"/>
              </w:rPr>
            </w:pPr>
            <w:r w:rsidRPr="00280A49">
              <w:rPr>
                <w:rFonts w:ascii="Arial" w:eastAsia="Times New Roman" w:hAnsi="Arial" w:cs="Arial"/>
                <w:color w:val="FFFFFF" w:themeColor="background1"/>
                <w:sz w:val="20"/>
                <w:lang w:eastAsia="en-AU"/>
              </w:rPr>
              <w:t> </w:t>
            </w:r>
          </w:p>
        </w:tc>
      </w:tr>
      <w:tr w:rsidR="00C839AA" w:rsidRPr="00F637BA" w14:paraId="69FADC5D" w14:textId="77777777" w:rsidTr="006716B6">
        <w:trPr>
          <w:trHeight w:val="8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793DE92" w14:textId="77777777" w:rsidR="00C839AA" w:rsidRPr="007866E4" w:rsidRDefault="00C839AA" w:rsidP="00F30977">
            <w:pPr>
              <w:spacing w:before="80" w:afterLines="80" w:after="192" w:line="280" w:lineRule="exact"/>
              <w:rPr>
                <w:rFonts w:ascii="Arial" w:eastAsia="Times New Roman" w:hAnsi="Arial" w:cs="Arial"/>
                <w:b/>
                <w:color w:val="000000"/>
                <w:sz w:val="20"/>
                <w:lang w:eastAsia="en-AU"/>
              </w:rPr>
            </w:pPr>
            <w:r w:rsidRPr="007866E4">
              <w:rPr>
                <w:rFonts w:ascii="Arial" w:eastAsia="Times New Roman" w:hAnsi="Arial" w:cs="Arial"/>
                <w:b/>
                <w:color w:val="000000"/>
                <w:sz w:val="20"/>
                <w:lang w:eastAsia="en-AU"/>
              </w:rPr>
              <w:t>Arts QLD Project</w:t>
            </w:r>
          </w:p>
        </w:tc>
        <w:tc>
          <w:tcPr>
            <w:tcW w:w="6809" w:type="dxa"/>
            <w:tcBorders>
              <w:top w:val="single" w:sz="4" w:space="0" w:color="auto"/>
              <w:left w:val="nil"/>
              <w:bottom w:val="single" w:sz="4" w:space="0" w:color="auto"/>
              <w:right w:val="single" w:sz="4" w:space="0" w:color="auto"/>
            </w:tcBorders>
            <w:shd w:val="clear" w:color="auto" w:fill="auto"/>
            <w:hideMark/>
          </w:tcPr>
          <w:p w14:paraId="1ECE435C" w14:textId="77777777" w:rsidR="00C839AA" w:rsidRPr="00F637BA" w:rsidRDefault="00C839AA" w:rsidP="005810F6">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One-off Arts Queensland funding towards specific projects, e.g. Queensland Arts Showcase Program</w:t>
            </w:r>
            <w:r w:rsidR="00164A9F" w:rsidRPr="007C347D">
              <w:rPr>
                <w:rFonts w:ascii="Arial" w:eastAsia="Times New Roman" w:hAnsi="Arial" w:cs="Arial"/>
                <w:color w:val="000000"/>
                <w:sz w:val="20"/>
                <w:lang w:eastAsia="en-AU"/>
              </w:rPr>
              <w:t>, First Nations Commissioning Fund</w:t>
            </w:r>
            <w:r w:rsidRPr="007C347D">
              <w:rPr>
                <w:rFonts w:ascii="Arial" w:eastAsia="Times New Roman" w:hAnsi="Arial" w:cs="Arial"/>
                <w:color w:val="000000"/>
                <w:sz w:val="20"/>
                <w:lang w:eastAsia="en-AU"/>
              </w:rPr>
              <w:t xml:space="preserve"> and </w:t>
            </w:r>
            <w:r w:rsidR="00164A9F" w:rsidRPr="007C347D">
              <w:rPr>
                <w:rFonts w:ascii="Arial" w:eastAsia="Times New Roman" w:hAnsi="Arial" w:cs="Arial"/>
                <w:color w:val="000000"/>
                <w:sz w:val="20"/>
                <w:lang w:eastAsia="en-AU"/>
              </w:rPr>
              <w:t xml:space="preserve">Touring </w:t>
            </w:r>
            <w:r w:rsidRPr="007C347D">
              <w:rPr>
                <w:rFonts w:ascii="Arial" w:eastAsia="Times New Roman" w:hAnsi="Arial" w:cs="Arial"/>
                <w:color w:val="000000"/>
                <w:sz w:val="20"/>
                <w:lang w:eastAsia="en-AU"/>
              </w:rPr>
              <w:t xml:space="preserve">Queensland </w:t>
            </w:r>
            <w:r w:rsidR="003E6A4F" w:rsidRPr="007C347D">
              <w:rPr>
                <w:rFonts w:ascii="Arial" w:eastAsia="Times New Roman" w:hAnsi="Arial" w:cs="Arial"/>
                <w:color w:val="000000"/>
                <w:sz w:val="20"/>
                <w:lang w:eastAsia="en-AU"/>
              </w:rPr>
              <w:t>Fund</w:t>
            </w:r>
            <w:r w:rsidRPr="007C347D">
              <w:rPr>
                <w:rFonts w:ascii="Arial" w:eastAsia="Times New Roman" w:hAnsi="Arial" w:cs="Arial"/>
                <w:color w:val="000000"/>
                <w:sz w:val="20"/>
                <w:lang w:eastAsia="en-AU"/>
              </w:rPr>
              <w:t>.</w:t>
            </w:r>
          </w:p>
        </w:tc>
      </w:tr>
      <w:tr w:rsidR="00C839AA" w:rsidRPr="00F637BA" w14:paraId="40E07601" w14:textId="77777777" w:rsidTr="006716B6">
        <w:trPr>
          <w:trHeight w:val="1290"/>
        </w:trPr>
        <w:tc>
          <w:tcPr>
            <w:tcW w:w="3261" w:type="dxa"/>
            <w:tcBorders>
              <w:top w:val="nil"/>
              <w:left w:val="single" w:sz="4" w:space="0" w:color="auto"/>
              <w:bottom w:val="single" w:sz="4" w:space="0" w:color="auto"/>
              <w:right w:val="single" w:sz="4" w:space="0" w:color="auto"/>
            </w:tcBorders>
            <w:shd w:val="clear" w:color="auto" w:fill="auto"/>
            <w:hideMark/>
          </w:tcPr>
          <w:p w14:paraId="57E4C19D" w14:textId="77777777" w:rsidR="00C839AA" w:rsidRPr="007866E4" w:rsidRDefault="00C839AA" w:rsidP="00F30977">
            <w:pPr>
              <w:spacing w:before="80" w:afterLines="80" w:after="192" w:line="280" w:lineRule="exact"/>
              <w:rPr>
                <w:rFonts w:ascii="Arial" w:eastAsia="Times New Roman" w:hAnsi="Arial" w:cs="Arial"/>
                <w:b/>
                <w:color w:val="000000"/>
                <w:sz w:val="20"/>
                <w:lang w:eastAsia="en-AU"/>
              </w:rPr>
            </w:pPr>
            <w:r w:rsidRPr="007866E4">
              <w:rPr>
                <w:rFonts w:ascii="Arial" w:eastAsia="Times New Roman" w:hAnsi="Arial" w:cs="Arial"/>
                <w:b/>
                <w:color w:val="000000"/>
                <w:sz w:val="20"/>
                <w:lang w:eastAsia="en-AU"/>
              </w:rPr>
              <w:t>Other Government Project</w:t>
            </w:r>
          </w:p>
        </w:tc>
        <w:tc>
          <w:tcPr>
            <w:tcW w:w="6809" w:type="dxa"/>
            <w:tcBorders>
              <w:top w:val="nil"/>
              <w:left w:val="nil"/>
              <w:bottom w:val="single" w:sz="4" w:space="0" w:color="auto"/>
              <w:right w:val="single" w:sz="4" w:space="0" w:color="auto"/>
            </w:tcBorders>
            <w:shd w:val="clear" w:color="auto" w:fill="auto"/>
            <w:hideMark/>
          </w:tcPr>
          <w:p w14:paraId="7DE4781A" w14:textId="77777777" w:rsidR="00C839AA" w:rsidRPr="00F637BA" w:rsidRDefault="00C839AA" w:rsidP="00F30977">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Funding for one-off projects from other government departments and agencies (i.e. sources other than Arts Queensland) - such as other Queensland Government departments and agencies, Australia Council </w:t>
            </w:r>
            <w:r w:rsidR="003A33CF" w:rsidRPr="00F637BA">
              <w:rPr>
                <w:rFonts w:ascii="Arial" w:eastAsia="Times New Roman" w:hAnsi="Arial" w:cs="Arial"/>
                <w:color w:val="000000"/>
                <w:sz w:val="20"/>
                <w:lang w:eastAsia="en-AU"/>
              </w:rPr>
              <w:t>p</w:t>
            </w:r>
            <w:r w:rsidR="00E5359A" w:rsidRPr="00F637BA">
              <w:rPr>
                <w:rFonts w:ascii="Arial" w:eastAsia="Times New Roman" w:hAnsi="Arial" w:cs="Arial"/>
                <w:color w:val="000000"/>
                <w:sz w:val="20"/>
                <w:lang w:eastAsia="en-AU"/>
              </w:rPr>
              <w:t xml:space="preserve">roject </w:t>
            </w:r>
            <w:r w:rsidR="003A33CF" w:rsidRPr="00F637BA">
              <w:rPr>
                <w:rFonts w:ascii="Arial" w:eastAsia="Times New Roman" w:hAnsi="Arial" w:cs="Arial"/>
                <w:color w:val="000000"/>
                <w:sz w:val="20"/>
                <w:lang w:eastAsia="en-AU"/>
              </w:rPr>
              <w:t>f</w:t>
            </w:r>
            <w:r w:rsidRPr="00F637BA">
              <w:rPr>
                <w:rFonts w:ascii="Arial" w:eastAsia="Times New Roman" w:hAnsi="Arial" w:cs="Arial"/>
                <w:color w:val="000000"/>
                <w:sz w:val="20"/>
                <w:lang w:eastAsia="en-AU"/>
              </w:rPr>
              <w:t>unding, other Commonwealth Government departments and agencies, local councils.</w:t>
            </w:r>
          </w:p>
        </w:tc>
      </w:tr>
      <w:tr w:rsidR="00E5359A" w:rsidRPr="00F637BA" w14:paraId="7269D50C" w14:textId="77777777" w:rsidTr="006716B6">
        <w:trPr>
          <w:trHeight w:val="1100"/>
        </w:trPr>
        <w:tc>
          <w:tcPr>
            <w:tcW w:w="3261" w:type="dxa"/>
            <w:tcBorders>
              <w:top w:val="nil"/>
              <w:left w:val="single" w:sz="4" w:space="0" w:color="auto"/>
              <w:bottom w:val="single" w:sz="4" w:space="0" w:color="auto"/>
              <w:right w:val="single" w:sz="4" w:space="0" w:color="auto"/>
            </w:tcBorders>
            <w:shd w:val="clear" w:color="auto" w:fill="auto"/>
          </w:tcPr>
          <w:p w14:paraId="7E1BE83D" w14:textId="77777777" w:rsidR="00E5359A" w:rsidRPr="007866E4" w:rsidRDefault="00E5359A" w:rsidP="00F30977">
            <w:pPr>
              <w:spacing w:before="80" w:afterLines="80" w:after="192" w:line="280" w:lineRule="exact"/>
              <w:rPr>
                <w:rFonts w:ascii="Arial" w:eastAsia="Times New Roman" w:hAnsi="Arial" w:cs="Arial"/>
                <w:b/>
                <w:color w:val="000000"/>
                <w:sz w:val="20"/>
                <w:lang w:eastAsia="en-AU"/>
              </w:rPr>
            </w:pPr>
            <w:r w:rsidRPr="007866E4">
              <w:rPr>
                <w:rFonts w:ascii="Arial" w:eastAsia="Times New Roman" w:hAnsi="Arial" w:cs="Arial"/>
                <w:b/>
                <w:color w:val="000000"/>
                <w:sz w:val="20"/>
                <w:lang w:eastAsia="en-AU"/>
              </w:rPr>
              <w:t>COVID-19 Government stimulus</w:t>
            </w:r>
          </w:p>
        </w:tc>
        <w:tc>
          <w:tcPr>
            <w:tcW w:w="6809" w:type="dxa"/>
            <w:tcBorders>
              <w:top w:val="nil"/>
              <w:left w:val="nil"/>
              <w:bottom w:val="single" w:sz="4" w:space="0" w:color="auto"/>
              <w:right w:val="single" w:sz="4" w:space="0" w:color="auto"/>
            </w:tcBorders>
            <w:shd w:val="clear" w:color="auto" w:fill="auto"/>
          </w:tcPr>
          <w:p w14:paraId="0FA9713C" w14:textId="77777777" w:rsidR="00E5359A" w:rsidRPr="00F637BA" w:rsidRDefault="00E5359A" w:rsidP="00F30977">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Relief funding in response to COVID-19 restrictions. Including </w:t>
            </w:r>
            <w:r w:rsidR="00451D5E" w:rsidRPr="00F637BA">
              <w:rPr>
                <w:rFonts w:ascii="Arial" w:eastAsia="Times New Roman" w:hAnsi="Arial" w:cs="Arial"/>
                <w:color w:val="000000"/>
                <w:sz w:val="20"/>
                <w:lang w:eastAsia="en-AU"/>
              </w:rPr>
              <w:t xml:space="preserve">Arts Queensland </w:t>
            </w:r>
            <w:r w:rsidR="00E77329" w:rsidRPr="00F637BA">
              <w:rPr>
                <w:rFonts w:ascii="Arial" w:eastAsia="Times New Roman" w:hAnsi="Arial" w:cs="Arial"/>
                <w:color w:val="000000"/>
                <w:sz w:val="20"/>
                <w:lang w:eastAsia="en-AU"/>
              </w:rPr>
              <w:t xml:space="preserve">Arts and Cultural Recovery </w:t>
            </w:r>
            <w:r w:rsidR="00451D5E" w:rsidRPr="00F637BA">
              <w:rPr>
                <w:rFonts w:ascii="Arial" w:eastAsia="Times New Roman" w:hAnsi="Arial" w:cs="Arial"/>
                <w:color w:val="000000"/>
                <w:sz w:val="20"/>
                <w:lang w:eastAsia="en-AU"/>
              </w:rPr>
              <w:t xml:space="preserve">funding and </w:t>
            </w:r>
            <w:r w:rsidRPr="00F637BA">
              <w:rPr>
                <w:rFonts w:ascii="Arial" w:eastAsia="Times New Roman" w:hAnsi="Arial" w:cs="Arial"/>
                <w:color w:val="000000"/>
                <w:sz w:val="20"/>
                <w:lang w:eastAsia="en-AU"/>
              </w:rPr>
              <w:t xml:space="preserve">the federal Government Job keeper and </w:t>
            </w:r>
            <w:r w:rsidR="00E77329" w:rsidRPr="00F637BA">
              <w:rPr>
                <w:rFonts w:ascii="Arial" w:eastAsia="Times New Roman" w:hAnsi="Arial" w:cs="Arial"/>
                <w:color w:val="000000"/>
                <w:sz w:val="20"/>
                <w:lang w:eastAsia="en-AU"/>
              </w:rPr>
              <w:t xml:space="preserve">other </w:t>
            </w:r>
            <w:r w:rsidRPr="00F637BA">
              <w:rPr>
                <w:rFonts w:ascii="Arial" w:eastAsia="Times New Roman" w:hAnsi="Arial" w:cs="Arial"/>
                <w:color w:val="000000"/>
                <w:sz w:val="20"/>
                <w:lang w:eastAsia="en-AU"/>
              </w:rPr>
              <w:t xml:space="preserve">one-off stimulus funding. </w:t>
            </w:r>
          </w:p>
        </w:tc>
      </w:tr>
      <w:tr w:rsidR="007866E4" w:rsidRPr="00F637BA" w14:paraId="353BA05A" w14:textId="77777777" w:rsidTr="006716B6">
        <w:trPr>
          <w:trHeight w:val="243"/>
        </w:trPr>
        <w:tc>
          <w:tcPr>
            <w:tcW w:w="10070" w:type="dxa"/>
            <w:gridSpan w:val="2"/>
            <w:tcBorders>
              <w:top w:val="nil"/>
              <w:left w:val="single" w:sz="4" w:space="0" w:color="auto"/>
              <w:bottom w:val="single" w:sz="4" w:space="0" w:color="auto"/>
              <w:right w:val="single" w:sz="4" w:space="0" w:color="auto"/>
            </w:tcBorders>
            <w:shd w:val="clear" w:color="auto" w:fill="B8CCE4" w:themeFill="accent1" w:themeFillTint="66"/>
          </w:tcPr>
          <w:p w14:paraId="042C5EC0" w14:textId="0254528C" w:rsidR="007866E4" w:rsidRPr="008803B0" w:rsidRDefault="007866E4" w:rsidP="008803B0">
            <w:pPr>
              <w:spacing w:before="80" w:afterLines="80" w:after="192" w:line="280" w:lineRule="exact"/>
              <w:rPr>
                <w:rFonts w:ascii="Arial" w:eastAsia="Times New Roman" w:hAnsi="Arial" w:cs="Arial"/>
                <w:b/>
                <w:color w:val="000000"/>
                <w:szCs w:val="24"/>
                <w:lang w:eastAsia="en-AU"/>
              </w:rPr>
            </w:pPr>
            <w:r w:rsidRPr="007866E4">
              <w:rPr>
                <w:rFonts w:ascii="Arial" w:eastAsia="Times New Roman" w:hAnsi="Arial" w:cs="Arial"/>
                <w:b/>
                <w:color w:val="000000"/>
                <w:szCs w:val="24"/>
                <w:lang w:eastAsia="en-AU"/>
              </w:rPr>
              <w:t>Non-Government income</w:t>
            </w:r>
          </w:p>
        </w:tc>
      </w:tr>
      <w:tr w:rsidR="00C839AA" w:rsidRPr="00F637BA" w14:paraId="0A9897C7" w14:textId="77777777" w:rsidTr="006716B6">
        <w:trPr>
          <w:trHeight w:val="285"/>
        </w:trPr>
        <w:tc>
          <w:tcPr>
            <w:tcW w:w="10070" w:type="dxa"/>
            <w:gridSpan w:val="2"/>
            <w:tcBorders>
              <w:top w:val="nil"/>
              <w:left w:val="single" w:sz="4" w:space="0" w:color="auto"/>
              <w:right w:val="single" w:sz="4" w:space="0" w:color="auto"/>
            </w:tcBorders>
            <w:shd w:val="clear" w:color="000000" w:fill="000000"/>
            <w:noWrap/>
            <w:hideMark/>
          </w:tcPr>
          <w:p w14:paraId="4B8363CD" w14:textId="77777777" w:rsidR="00C839AA" w:rsidRPr="00280A49" w:rsidRDefault="00E5359A" w:rsidP="008803B0">
            <w:pPr>
              <w:spacing w:before="80" w:afterLines="80" w:after="192" w:line="280" w:lineRule="exact"/>
              <w:rPr>
                <w:rFonts w:ascii="Arial" w:eastAsia="Times New Roman" w:hAnsi="Arial" w:cs="Arial"/>
                <w:b/>
                <w:color w:val="FFFFFF" w:themeColor="background1"/>
                <w:szCs w:val="24"/>
                <w:lang w:eastAsia="en-AU"/>
              </w:rPr>
            </w:pPr>
            <w:r w:rsidRPr="00280A49">
              <w:rPr>
                <w:rFonts w:ascii="Arial" w:eastAsia="Times New Roman" w:hAnsi="Arial" w:cs="Arial"/>
                <w:b/>
                <w:color w:val="FFFFFF" w:themeColor="background1"/>
                <w:szCs w:val="24"/>
                <w:lang w:eastAsia="en-AU"/>
              </w:rPr>
              <w:t>Earned Income</w:t>
            </w:r>
          </w:p>
        </w:tc>
      </w:tr>
      <w:tr w:rsidR="003F24DB" w:rsidRPr="00F637BA" w14:paraId="775DF739" w14:textId="77777777" w:rsidTr="006716B6">
        <w:trPr>
          <w:trHeight w:val="285"/>
        </w:trPr>
        <w:tc>
          <w:tcPr>
            <w:tcW w:w="3261" w:type="dxa"/>
            <w:tcBorders>
              <w:top w:val="nil"/>
              <w:left w:val="single" w:sz="4" w:space="0" w:color="auto"/>
              <w:bottom w:val="single" w:sz="4" w:space="0" w:color="auto"/>
              <w:right w:val="single" w:sz="4" w:space="0" w:color="auto"/>
            </w:tcBorders>
            <w:shd w:val="clear" w:color="auto" w:fill="auto"/>
            <w:noWrap/>
          </w:tcPr>
          <w:p w14:paraId="1B035AC7" w14:textId="77777777" w:rsidR="003F24DB" w:rsidRPr="007C347D" w:rsidRDefault="003F24DB" w:rsidP="007C347D">
            <w:pPr>
              <w:spacing w:afterLines="80" w:after="192" w:line="280" w:lineRule="exact"/>
              <w:rPr>
                <w:rFonts w:ascii="Arial" w:eastAsia="Times New Roman" w:hAnsi="Arial" w:cs="Arial"/>
                <w:color w:val="000000"/>
                <w:sz w:val="20"/>
                <w:lang w:eastAsia="en-AU"/>
              </w:rPr>
            </w:pPr>
          </w:p>
        </w:tc>
        <w:tc>
          <w:tcPr>
            <w:tcW w:w="6809" w:type="dxa"/>
            <w:tcBorders>
              <w:top w:val="nil"/>
              <w:left w:val="single" w:sz="4" w:space="0" w:color="auto"/>
              <w:bottom w:val="single" w:sz="4" w:space="0" w:color="auto"/>
              <w:right w:val="single" w:sz="4" w:space="0" w:color="auto"/>
            </w:tcBorders>
            <w:shd w:val="clear" w:color="auto" w:fill="auto"/>
          </w:tcPr>
          <w:p w14:paraId="6ABE4195" w14:textId="77777777" w:rsidR="003F24DB" w:rsidRPr="007C347D" w:rsidRDefault="003F24DB" w:rsidP="00A65D75">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Income from ticket sales for self-presented shows, events or exhibitions. Fees received to perform or exhibit, including recording and broadcast fees, and income/box office splits received as part of a co-production or venue contract.</w:t>
            </w:r>
          </w:p>
          <w:p w14:paraId="1FE6E14D" w14:textId="77777777" w:rsidR="003F24DB" w:rsidRPr="007C347D" w:rsidRDefault="003F24DB" w:rsidP="00A65D75">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lastRenderedPageBreak/>
              <w:t>Income from activities that are not event related. This includes participant fees, workshop fees, dance classes, administration fees, management fees, consultancy fees, commissions, membership fees.</w:t>
            </w:r>
            <w:r w:rsidR="00B44E99" w:rsidRPr="007C347D">
              <w:rPr>
                <w:rFonts w:ascii="Arial" w:eastAsia="Times New Roman" w:hAnsi="Arial" w:cs="Arial"/>
                <w:color w:val="000000"/>
                <w:sz w:val="20"/>
                <w:lang w:eastAsia="en-AU"/>
              </w:rPr>
              <w:t xml:space="preserve"> Income from goods sold as part of your business including food and beverage sales.</w:t>
            </w:r>
          </w:p>
        </w:tc>
      </w:tr>
      <w:tr w:rsidR="00C839AA" w:rsidRPr="00F637BA" w14:paraId="59A75F12" w14:textId="77777777" w:rsidTr="006716B6">
        <w:trPr>
          <w:trHeight w:val="285"/>
        </w:trPr>
        <w:tc>
          <w:tcPr>
            <w:tcW w:w="3261" w:type="dxa"/>
            <w:tcBorders>
              <w:top w:val="single" w:sz="4" w:space="0" w:color="auto"/>
              <w:left w:val="single" w:sz="4" w:space="0" w:color="auto"/>
              <w:bottom w:val="nil"/>
              <w:right w:val="nil"/>
            </w:tcBorders>
            <w:shd w:val="clear" w:color="000000" w:fill="000000"/>
            <w:noWrap/>
            <w:hideMark/>
          </w:tcPr>
          <w:p w14:paraId="6AE24502" w14:textId="77777777" w:rsidR="00C839AA" w:rsidRPr="00EE372E" w:rsidRDefault="00C839AA" w:rsidP="0064225D">
            <w:pPr>
              <w:spacing w:before="80" w:afterLines="80" w:after="192" w:line="280" w:lineRule="exact"/>
              <w:rPr>
                <w:rFonts w:ascii="Arial" w:eastAsia="Times New Roman" w:hAnsi="Arial" w:cs="Arial"/>
                <w:b/>
                <w:color w:val="FFFFFF" w:themeColor="background1"/>
                <w:lang w:eastAsia="en-AU"/>
              </w:rPr>
            </w:pPr>
            <w:r w:rsidRPr="0064225D">
              <w:rPr>
                <w:rFonts w:ascii="Arial" w:eastAsia="Times New Roman" w:hAnsi="Arial" w:cs="Arial"/>
                <w:b/>
                <w:color w:val="FFFFFF" w:themeColor="background1"/>
                <w:szCs w:val="24"/>
                <w:lang w:eastAsia="en-AU"/>
              </w:rPr>
              <w:lastRenderedPageBreak/>
              <w:t xml:space="preserve">Private Sector </w:t>
            </w:r>
            <w:r w:rsidR="00B44E99" w:rsidRPr="0064225D">
              <w:rPr>
                <w:rFonts w:ascii="Arial" w:eastAsia="Times New Roman" w:hAnsi="Arial" w:cs="Arial"/>
                <w:b/>
                <w:color w:val="FFFFFF" w:themeColor="background1"/>
                <w:szCs w:val="24"/>
                <w:lang w:eastAsia="en-AU"/>
              </w:rPr>
              <w:t>Cash</w:t>
            </w:r>
          </w:p>
        </w:tc>
        <w:tc>
          <w:tcPr>
            <w:tcW w:w="6809" w:type="dxa"/>
            <w:tcBorders>
              <w:top w:val="single" w:sz="4" w:space="0" w:color="auto"/>
              <w:left w:val="nil"/>
              <w:bottom w:val="nil"/>
              <w:right w:val="single" w:sz="4" w:space="0" w:color="auto"/>
            </w:tcBorders>
            <w:shd w:val="clear" w:color="000000" w:fill="000000"/>
            <w:hideMark/>
          </w:tcPr>
          <w:p w14:paraId="057E4EF2" w14:textId="77777777" w:rsidR="00C839AA" w:rsidRPr="00EE372E" w:rsidRDefault="00C839AA" w:rsidP="00A65D75">
            <w:pPr>
              <w:spacing w:before="80" w:line="280" w:lineRule="exact"/>
              <w:rPr>
                <w:rFonts w:ascii="Arial" w:eastAsia="Times New Roman" w:hAnsi="Arial" w:cs="Arial"/>
                <w:b/>
                <w:color w:val="FFFFFF" w:themeColor="background1"/>
                <w:lang w:eastAsia="en-AU"/>
              </w:rPr>
            </w:pPr>
            <w:r w:rsidRPr="00EE372E">
              <w:rPr>
                <w:rFonts w:ascii="Arial" w:eastAsia="Times New Roman" w:hAnsi="Arial" w:cs="Arial"/>
                <w:b/>
                <w:color w:val="FFFFFF" w:themeColor="background1"/>
                <w:lang w:eastAsia="en-AU"/>
              </w:rPr>
              <w:t> </w:t>
            </w:r>
          </w:p>
        </w:tc>
      </w:tr>
      <w:tr w:rsidR="00C839AA" w:rsidRPr="00F637BA" w14:paraId="7CD4446B" w14:textId="77777777" w:rsidTr="006716B6">
        <w:trPr>
          <w:trHeight w:val="22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4F7287C" w14:textId="77777777" w:rsidR="00C839AA" w:rsidRPr="007C347D" w:rsidRDefault="00C839AA" w:rsidP="007C347D">
            <w:pPr>
              <w:spacing w:afterLines="80" w:after="192" w:line="280" w:lineRule="exact"/>
              <w:rPr>
                <w:rFonts w:ascii="Arial" w:eastAsia="Times New Roman" w:hAnsi="Arial" w:cs="Arial"/>
                <w:color w:val="000000"/>
                <w:sz w:val="20"/>
                <w:lang w:eastAsia="en-AU"/>
              </w:rPr>
            </w:pPr>
          </w:p>
        </w:tc>
        <w:tc>
          <w:tcPr>
            <w:tcW w:w="6809" w:type="dxa"/>
            <w:tcBorders>
              <w:top w:val="single" w:sz="4" w:space="0" w:color="auto"/>
              <w:left w:val="nil"/>
              <w:bottom w:val="single" w:sz="4" w:space="0" w:color="auto"/>
              <w:right w:val="single" w:sz="4" w:space="0" w:color="auto"/>
            </w:tcBorders>
            <w:shd w:val="clear" w:color="auto" w:fill="auto"/>
            <w:hideMark/>
          </w:tcPr>
          <w:p w14:paraId="18D8C297" w14:textId="77777777" w:rsidR="00A31008" w:rsidRPr="00F637BA" w:rsidRDefault="00A31008" w:rsidP="005810F6">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Cash received through corporate and private sponsorship. </w:t>
            </w:r>
          </w:p>
          <w:p w14:paraId="4EADCE68" w14:textId="180296AD" w:rsidR="00063384" w:rsidRPr="00F637BA" w:rsidRDefault="00A31008" w:rsidP="005810F6">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Donations of any size provided by individuals where the donor does not receive a material benefit in return. Include gifts and bequests here. Philanthropic giving, grants and donations provided by community-based organisations, trusts and foundations.</w:t>
            </w:r>
            <w:r w:rsidR="00B44E99" w:rsidRPr="00F637BA">
              <w:rPr>
                <w:rFonts w:ascii="Arial" w:eastAsia="Times New Roman" w:hAnsi="Arial" w:cs="Arial"/>
                <w:color w:val="000000"/>
                <w:sz w:val="20"/>
                <w:lang w:eastAsia="en-AU"/>
              </w:rPr>
              <w:t xml:space="preserve"> Income from fundraising appeals where there is a material benefit to the donor (including raffles and income via fundraising events such as dinners, charity auctions, and other fundraising drives).</w:t>
            </w:r>
            <w:r w:rsidRPr="00F637BA">
              <w:rPr>
                <w:rFonts w:ascii="Arial" w:eastAsia="Times New Roman" w:hAnsi="Arial" w:cs="Arial"/>
                <w:color w:val="000000"/>
                <w:sz w:val="20"/>
                <w:lang w:eastAsia="en-AU"/>
              </w:rPr>
              <w:t>Do not include State Government sponsorship. This is included in grants above.</w:t>
            </w:r>
          </w:p>
        </w:tc>
      </w:tr>
      <w:tr w:rsidR="00C839AA" w:rsidRPr="005E648E" w14:paraId="3E048C47" w14:textId="77777777" w:rsidTr="006716B6">
        <w:trPr>
          <w:trHeight w:val="717"/>
        </w:trPr>
        <w:tc>
          <w:tcPr>
            <w:tcW w:w="3261" w:type="dxa"/>
            <w:tcBorders>
              <w:top w:val="nil"/>
              <w:left w:val="single" w:sz="4" w:space="0" w:color="auto"/>
              <w:bottom w:val="nil"/>
              <w:right w:val="nil"/>
            </w:tcBorders>
            <w:shd w:val="clear" w:color="000000" w:fill="000000"/>
            <w:noWrap/>
            <w:hideMark/>
          </w:tcPr>
          <w:p w14:paraId="7651B880" w14:textId="77777777" w:rsidR="00C839AA" w:rsidRPr="0064225D" w:rsidRDefault="00A31008" w:rsidP="0064225D">
            <w:pPr>
              <w:spacing w:before="80" w:afterLines="80" w:after="192" w:line="280" w:lineRule="exact"/>
              <w:rPr>
                <w:rFonts w:ascii="Arial" w:eastAsia="Times New Roman" w:hAnsi="Arial" w:cs="Arial"/>
                <w:b/>
                <w:color w:val="FFFFFF" w:themeColor="background1"/>
                <w:szCs w:val="24"/>
                <w:lang w:eastAsia="en-AU"/>
              </w:rPr>
            </w:pPr>
            <w:r w:rsidRPr="0064225D">
              <w:rPr>
                <w:rFonts w:ascii="Arial" w:eastAsia="Times New Roman" w:hAnsi="Arial" w:cs="Arial"/>
                <w:b/>
                <w:color w:val="FFFFFF" w:themeColor="background1"/>
                <w:szCs w:val="24"/>
                <w:lang w:eastAsia="en-AU"/>
              </w:rPr>
              <w:t xml:space="preserve">Private Sector </w:t>
            </w:r>
            <w:r w:rsidR="00B44E99" w:rsidRPr="0064225D">
              <w:rPr>
                <w:rFonts w:ascii="Arial" w:eastAsia="Times New Roman" w:hAnsi="Arial" w:cs="Arial"/>
                <w:b/>
                <w:color w:val="FFFFFF" w:themeColor="background1"/>
                <w:szCs w:val="24"/>
                <w:lang w:eastAsia="en-AU"/>
              </w:rPr>
              <w:t xml:space="preserve">In-Kind </w:t>
            </w:r>
          </w:p>
        </w:tc>
        <w:tc>
          <w:tcPr>
            <w:tcW w:w="6809" w:type="dxa"/>
            <w:tcBorders>
              <w:top w:val="nil"/>
              <w:left w:val="nil"/>
              <w:bottom w:val="nil"/>
              <w:right w:val="single" w:sz="4" w:space="0" w:color="auto"/>
            </w:tcBorders>
            <w:shd w:val="clear" w:color="000000" w:fill="000000"/>
            <w:hideMark/>
          </w:tcPr>
          <w:p w14:paraId="27B08C07" w14:textId="54F25FA6" w:rsidR="00C839AA" w:rsidRPr="0064225D" w:rsidRDefault="00E712E4" w:rsidP="005E648E">
            <w:pPr>
              <w:spacing w:before="80" w:afterLines="80" w:after="192" w:line="280" w:lineRule="exact"/>
              <w:rPr>
                <w:rFonts w:ascii="Arial" w:eastAsia="Times New Roman" w:hAnsi="Arial" w:cs="Arial"/>
                <w:b/>
                <w:color w:val="FFFFFF" w:themeColor="background1"/>
                <w:szCs w:val="24"/>
                <w:lang w:eastAsia="en-AU"/>
              </w:rPr>
            </w:pPr>
            <w:r w:rsidRPr="0064225D">
              <w:rPr>
                <w:rFonts w:ascii="Arial" w:eastAsia="Times New Roman" w:hAnsi="Arial" w:cs="Arial"/>
                <w:b/>
                <w:color w:val="FFFFFF" w:themeColor="background1"/>
                <w:szCs w:val="24"/>
                <w:lang w:eastAsia="en-AU"/>
              </w:rPr>
              <w:tab/>
            </w:r>
          </w:p>
        </w:tc>
      </w:tr>
      <w:tr w:rsidR="00C839AA" w:rsidRPr="00F637BA" w14:paraId="45C882DC" w14:textId="77777777" w:rsidTr="006716B6">
        <w:trPr>
          <w:trHeight w:val="18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F865C41" w14:textId="77777777" w:rsidR="00C839AA" w:rsidRPr="003C18FE" w:rsidRDefault="00C839AA" w:rsidP="0064225D">
            <w:pPr>
              <w:spacing w:before="80" w:afterLines="80" w:after="192" w:line="280" w:lineRule="exact"/>
              <w:rPr>
                <w:rFonts w:ascii="Arial" w:eastAsia="Times New Roman" w:hAnsi="Arial" w:cs="Arial"/>
                <w:color w:val="000000"/>
                <w:sz w:val="20"/>
                <w:lang w:eastAsia="en-AU"/>
              </w:rPr>
            </w:pPr>
          </w:p>
        </w:tc>
        <w:tc>
          <w:tcPr>
            <w:tcW w:w="6809" w:type="dxa"/>
            <w:tcBorders>
              <w:top w:val="single" w:sz="4" w:space="0" w:color="auto"/>
              <w:left w:val="nil"/>
              <w:bottom w:val="single" w:sz="4" w:space="0" w:color="auto"/>
              <w:right w:val="single" w:sz="4" w:space="0" w:color="auto"/>
            </w:tcBorders>
            <w:shd w:val="clear" w:color="auto" w:fill="auto"/>
            <w:hideMark/>
          </w:tcPr>
          <w:p w14:paraId="708E08FF" w14:textId="3DBD1DBE" w:rsidR="00A31008" w:rsidRPr="00F637BA" w:rsidRDefault="00A31008" w:rsidP="000760C9">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In-kind income refers to the dollar value of any goods and services you receive but do not pay for. For example equipment, materials, venue and office space, professional services (e.g. legal, financial) and technical services etc.  </w:t>
            </w:r>
            <w:r w:rsidR="00B44E99" w:rsidRPr="00F637BA">
              <w:rPr>
                <w:rFonts w:ascii="Arial" w:eastAsia="Times New Roman" w:hAnsi="Arial" w:cs="Arial"/>
                <w:color w:val="000000"/>
                <w:sz w:val="20"/>
                <w:lang w:eastAsia="en-AU"/>
              </w:rPr>
              <w:t>Includes in-kind goods and services (including rental subsidies) provided by Arts Queensland (e.g. Judith Wright Centre of Contemporary Arts, Bulmba-ja, Festival</w:t>
            </w:r>
            <w:r w:rsidR="00063384" w:rsidRPr="00F637BA">
              <w:rPr>
                <w:rFonts w:ascii="Arial" w:eastAsia="Times New Roman" w:hAnsi="Arial" w:cs="Arial"/>
                <w:color w:val="000000"/>
                <w:sz w:val="20"/>
                <w:lang w:eastAsia="en-AU"/>
              </w:rPr>
              <w:t xml:space="preserve"> </w:t>
            </w:r>
            <w:r w:rsidR="00B44E99" w:rsidRPr="00F637BA">
              <w:rPr>
                <w:rFonts w:ascii="Arial" w:eastAsia="Times New Roman" w:hAnsi="Arial" w:cs="Arial"/>
                <w:color w:val="000000"/>
                <w:sz w:val="20"/>
                <w:lang w:eastAsia="en-AU"/>
              </w:rPr>
              <w:t>House).</w:t>
            </w:r>
            <w:r w:rsidRPr="00F637BA">
              <w:rPr>
                <w:rFonts w:ascii="Arial" w:eastAsia="Times New Roman" w:hAnsi="Arial" w:cs="Arial"/>
                <w:color w:val="000000"/>
                <w:sz w:val="20"/>
                <w:lang w:eastAsia="en-AU"/>
              </w:rPr>
              <w:t xml:space="preserve">You must itemise in-kind goods and services in the notes to your budget. </w:t>
            </w:r>
          </w:p>
          <w:p w14:paraId="13FC013F" w14:textId="54080425" w:rsidR="00E712E4" w:rsidRPr="00F637BA" w:rsidRDefault="00A31008" w:rsidP="000760C9">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Do not include in-kind income that will not be reported in your audited financial statements. (You can note this income in the comments section instead).  </w:t>
            </w:r>
          </w:p>
        </w:tc>
      </w:tr>
      <w:tr w:rsidR="00C839AA" w:rsidRPr="00F637BA" w14:paraId="15C5AE7A" w14:textId="77777777" w:rsidTr="006716B6">
        <w:trPr>
          <w:trHeight w:val="285"/>
        </w:trPr>
        <w:tc>
          <w:tcPr>
            <w:tcW w:w="3261" w:type="dxa"/>
            <w:tcBorders>
              <w:top w:val="nil"/>
              <w:left w:val="single" w:sz="4" w:space="0" w:color="auto"/>
              <w:bottom w:val="nil"/>
              <w:right w:val="nil"/>
            </w:tcBorders>
            <w:shd w:val="clear" w:color="000000" w:fill="000000"/>
            <w:noWrap/>
            <w:hideMark/>
          </w:tcPr>
          <w:p w14:paraId="38511BDF" w14:textId="77777777" w:rsidR="00C839AA" w:rsidRPr="0064225D" w:rsidRDefault="00C839AA" w:rsidP="0064225D">
            <w:pPr>
              <w:spacing w:before="80" w:afterLines="80" w:after="192" w:line="280" w:lineRule="exact"/>
              <w:rPr>
                <w:rFonts w:ascii="Arial" w:eastAsia="Times New Roman" w:hAnsi="Arial" w:cs="Arial"/>
                <w:b/>
                <w:color w:val="FFFFFF" w:themeColor="background1"/>
                <w:szCs w:val="24"/>
                <w:lang w:eastAsia="en-AU"/>
              </w:rPr>
            </w:pPr>
            <w:r w:rsidRPr="0064225D">
              <w:rPr>
                <w:rFonts w:ascii="Arial" w:eastAsia="Times New Roman" w:hAnsi="Arial" w:cs="Arial"/>
                <w:b/>
                <w:color w:val="FFFFFF" w:themeColor="background1"/>
                <w:szCs w:val="24"/>
                <w:lang w:eastAsia="en-AU"/>
              </w:rPr>
              <w:t>Other Income</w:t>
            </w:r>
          </w:p>
        </w:tc>
        <w:tc>
          <w:tcPr>
            <w:tcW w:w="6809" w:type="dxa"/>
            <w:tcBorders>
              <w:top w:val="nil"/>
              <w:left w:val="nil"/>
              <w:bottom w:val="nil"/>
              <w:right w:val="single" w:sz="4" w:space="0" w:color="auto"/>
            </w:tcBorders>
            <w:shd w:val="clear" w:color="000000" w:fill="000000"/>
            <w:hideMark/>
          </w:tcPr>
          <w:p w14:paraId="1AA70DB6" w14:textId="77777777" w:rsidR="00C839AA" w:rsidRPr="00EE372E" w:rsidRDefault="00C839AA" w:rsidP="00646C6E">
            <w:pPr>
              <w:spacing w:beforeLines="80" w:before="192" w:line="280" w:lineRule="exact"/>
              <w:rPr>
                <w:rFonts w:ascii="Arial" w:eastAsia="Times New Roman" w:hAnsi="Arial" w:cs="Arial"/>
                <w:b/>
                <w:color w:val="FFFFFF" w:themeColor="background1"/>
                <w:lang w:eastAsia="en-AU"/>
              </w:rPr>
            </w:pPr>
            <w:r w:rsidRPr="00EE372E">
              <w:rPr>
                <w:rFonts w:ascii="Arial" w:eastAsia="Times New Roman" w:hAnsi="Arial" w:cs="Arial"/>
                <w:b/>
                <w:color w:val="FFFFFF" w:themeColor="background1"/>
                <w:lang w:eastAsia="en-AU"/>
              </w:rPr>
              <w:t> </w:t>
            </w:r>
          </w:p>
        </w:tc>
      </w:tr>
      <w:tr w:rsidR="00C839AA" w:rsidRPr="00F637BA" w14:paraId="54733D6A" w14:textId="77777777" w:rsidTr="006716B6">
        <w:trPr>
          <w:trHeight w:val="126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BC32A01" w14:textId="77777777" w:rsidR="00C839AA" w:rsidRPr="007C347D" w:rsidRDefault="00C839AA" w:rsidP="007C347D">
            <w:pPr>
              <w:spacing w:afterLines="80" w:after="192" w:line="280" w:lineRule="exact"/>
              <w:rPr>
                <w:rFonts w:ascii="Arial" w:eastAsia="Times New Roman" w:hAnsi="Arial" w:cs="Arial"/>
                <w:color w:val="000000"/>
                <w:sz w:val="20"/>
                <w:lang w:eastAsia="en-AU"/>
              </w:rPr>
            </w:pPr>
          </w:p>
        </w:tc>
        <w:tc>
          <w:tcPr>
            <w:tcW w:w="6809" w:type="dxa"/>
            <w:tcBorders>
              <w:top w:val="single" w:sz="4" w:space="0" w:color="auto"/>
              <w:left w:val="nil"/>
              <w:bottom w:val="single" w:sz="4" w:space="0" w:color="auto"/>
              <w:right w:val="single" w:sz="4" w:space="0" w:color="auto"/>
            </w:tcBorders>
            <w:shd w:val="clear" w:color="auto" w:fill="auto"/>
            <w:hideMark/>
          </w:tcPr>
          <w:p w14:paraId="692F3E3B" w14:textId="3F476D6B" w:rsidR="00985AE5" w:rsidRPr="00F637BA" w:rsidRDefault="00C839AA" w:rsidP="003C18FE">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Sundry and other earned income not included elsewhere such as one-off sales of assets, income received from reimbursements and recoveries. Also includes Bank interest, dividends and all income derived from cash investments and shares etc. held by the company.</w:t>
            </w:r>
          </w:p>
        </w:tc>
      </w:tr>
    </w:tbl>
    <w:p w14:paraId="6407FF7F" w14:textId="77777777" w:rsidR="00C839AA" w:rsidRPr="00F637BA" w:rsidRDefault="00C839AA">
      <w:pPr>
        <w:rPr>
          <w:rFonts w:ascii="Arial" w:hAnsi="Arial" w:cs="Arial"/>
          <w:sz w:val="20"/>
        </w:rPr>
      </w:pPr>
    </w:p>
    <w:p w14:paraId="637DAD59" w14:textId="12136818" w:rsidR="00303B3C" w:rsidRDefault="00303B3C" w:rsidP="00303B3C">
      <w:pPr>
        <w:spacing w:after="240"/>
        <w:ind w:left="-426"/>
        <w:rPr>
          <w:rFonts w:ascii="Arial" w:hAnsi="Arial" w:cs="Arial"/>
          <w:b/>
          <w:szCs w:val="24"/>
        </w:rPr>
      </w:pPr>
    </w:p>
    <w:p w14:paraId="0D8D0D61" w14:textId="496C5784" w:rsidR="00303B3C" w:rsidRDefault="00303B3C" w:rsidP="00303B3C">
      <w:pPr>
        <w:spacing w:after="240"/>
        <w:ind w:left="-426"/>
        <w:rPr>
          <w:rFonts w:ascii="Arial" w:hAnsi="Arial" w:cs="Arial"/>
          <w:b/>
          <w:szCs w:val="24"/>
        </w:rPr>
      </w:pPr>
    </w:p>
    <w:p w14:paraId="5C664688" w14:textId="52D760EC" w:rsidR="00303B3C" w:rsidRDefault="00303B3C" w:rsidP="00303B3C">
      <w:pPr>
        <w:spacing w:after="240"/>
        <w:ind w:left="-426"/>
        <w:rPr>
          <w:rFonts w:ascii="Arial" w:hAnsi="Arial" w:cs="Arial"/>
          <w:b/>
          <w:szCs w:val="24"/>
        </w:rPr>
      </w:pPr>
    </w:p>
    <w:p w14:paraId="2BAE297C" w14:textId="394110BE" w:rsidR="00303B3C" w:rsidRDefault="00303B3C" w:rsidP="00303B3C">
      <w:pPr>
        <w:spacing w:after="240"/>
        <w:ind w:left="-426"/>
        <w:rPr>
          <w:rFonts w:ascii="Arial" w:hAnsi="Arial" w:cs="Arial"/>
          <w:b/>
          <w:szCs w:val="24"/>
        </w:rPr>
      </w:pPr>
    </w:p>
    <w:p w14:paraId="102C2ACF" w14:textId="3327141D" w:rsidR="00303B3C" w:rsidRDefault="00303B3C" w:rsidP="00303B3C">
      <w:pPr>
        <w:spacing w:after="240"/>
        <w:ind w:left="-426"/>
        <w:rPr>
          <w:rFonts w:ascii="Arial" w:hAnsi="Arial" w:cs="Arial"/>
          <w:b/>
          <w:szCs w:val="24"/>
        </w:rPr>
      </w:pPr>
    </w:p>
    <w:p w14:paraId="7D3B5B66" w14:textId="77777777" w:rsidR="00303B3C" w:rsidRDefault="00303B3C" w:rsidP="00303B3C">
      <w:pPr>
        <w:spacing w:after="240"/>
        <w:ind w:left="-426"/>
        <w:rPr>
          <w:rFonts w:ascii="Arial" w:hAnsi="Arial" w:cs="Arial"/>
          <w:b/>
          <w:szCs w:val="24"/>
        </w:rPr>
      </w:pPr>
    </w:p>
    <w:p w14:paraId="64BFB098" w14:textId="265D471B" w:rsidR="00C839AA" w:rsidRPr="0061136E" w:rsidRDefault="00C839AA" w:rsidP="00303B3C">
      <w:pPr>
        <w:spacing w:after="240"/>
        <w:ind w:left="-426"/>
        <w:rPr>
          <w:rFonts w:ascii="Arial" w:hAnsi="Arial" w:cs="Arial"/>
          <w:b/>
          <w:szCs w:val="24"/>
        </w:rPr>
      </w:pPr>
      <w:r w:rsidRPr="0061136E">
        <w:rPr>
          <w:rFonts w:ascii="Arial" w:hAnsi="Arial" w:cs="Arial"/>
          <w:b/>
          <w:szCs w:val="24"/>
        </w:rPr>
        <w:t>Expenses</w:t>
      </w:r>
    </w:p>
    <w:tbl>
      <w:tblPr>
        <w:tblW w:w="10065" w:type="dxa"/>
        <w:tblInd w:w="-431" w:type="dxa"/>
        <w:tblLayout w:type="fixed"/>
        <w:tblLook w:val="04A0" w:firstRow="1" w:lastRow="0" w:firstColumn="1" w:lastColumn="0" w:noHBand="0" w:noVBand="1"/>
      </w:tblPr>
      <w:tblGrid>
        <w:gridCol w:w="3545"/>
        <w:gridCol w:w="6520"/>
      </w:tblGrid>
      <w:tr w:rsidR="00C839AA" w:rsidRPr="007C347D" w14:paraId="73FFDABE" w14:textId="77777777" w:rsidTr="00303B3C">
        <w:trPr>
          <w:trHeight w:val="285"/>
        </w:trPr>
        <w:tc>
          <w:tcPr>
            <w:tcW w:w="3545" w:type="dxa"/>
            <w:tcBorders>
              <w:top w:val="single" w:sz="4" w:space="0" w:color="auto"/>
              <w:left w:val="single" w:sz="4" w:space="0" w:color="auto"/>
              <w:bottom w:val="nil"/>
              <w:right w:val="nil"/>
            </w:tcBorders>
            <w:shd w:val="clear" w:color="000000" w:fill="000000"/>
            <w:noWrap/>
            <w:hideMark/>
          </w:tcPr>
          <w:p w14:paraId="28E6951B" w14:textId="0D272A33" w:rsidR="00C839AA" w:rsidRPr="0064225D" w:rsidRDefault="00C839AA" w:rsidP="0064225D">
            <w:pPr>
              <w:spacing w:before="80" w:afterLines="80" w:after="192" w:line="280" w:lineRule="exact"/>
              <w:rPr>
                <w:rFonts w:ascii="Arial" w:eastAsia="Times New Roman" w:hAnsi="Arial" w:cs="Arial"/>
                <w:b/>
                <w:color w:val="FFFFFF" w:themeColor="background1"/>
                <w:szCs w:val="24"/>
                <w:lang w:eastAsia="en-AU"/>
              </w:rPr>
            </w:pPr>
            <w:r w:rsidRPr="0064225D">
              <w:rPr>
                <w:rFonts w:ascii="Arial" w:eastAsia="Times New Roman" w:hAnsi="Arial" w:cs="Arial"/>
                <w:b/>
                <w:color w:val="FFFFFF" w:themeColor="background1"/>
                <w:szCs w:val="24"/>
                <w:lang w:eastAsia="en-AU"/>
              </w:rPr>
              <w:t xml:space="preserve">Salaries, Wages and </w:t>
            </w:r>
            <w:r w:rsidR="00482110" w:rsidRPr="0064225D">
              <w:rPr>
                <w:rFonts w:ascii="Arial" w:eastAsia="Times New Roman" w:hAnsi="Arial" w:cs="Arial"/>
                <w:b/>
                <w:color w:val="FFFFFF" w:themeColor="background1"/>
                <w:szCs w:val="24"/>
                <w:lang w:eastAsia="en-AU"/>
              </w:rPr>
              <w:t>f</w:t>
            </w:r>
            <w:r w:rsidRPr="0064225D">
              <w:rPr>
                <w:rFonts w:ascii="Arial" w:eastAsia="Times New Roman" w:hAnsi="Arial" w:cs="Arial"/>
                <w:b/>
                <w:color w:val="FFFFFF" w:themeColor="background1"/>
                <w:szCs w:val="24"/>
                <w:lang w:eastAsia="en-AU"/>
              </w:rPr>
              <w:t>ees</w:t>
            </w:r>
          </w:p>
        </w:tc>
        <w:tc>
          <w:tcPr>
            <w:tcW w:w="6520" w:type="dxa"/>
            <w:tcBorders>
              <w:top w:val="single" w:sz="4" w:space="0" w:color="auto"/>
              <w:left w:val="nil"/>
              <w:bottom w:val="nil"/>
              <w:right w:val="single" w:sz="4" w:space="0" w:color="auto"/>
            </w:tcBorders>
            <w:shd w:val="clear" w:color="000000" w:fill="000000"/>
            <w:hideMark/>
          </w:tcPr>
          <w:p w14:paraId="30F2F724" w14:textId="77777777" w:rsidR="00C839AA" w:rsidRPr="0064225D" w:rsidRDefault="00C839AA" w:rsidP="0064225D">
            <w:pPr>
              <w:spacing w:before="80" w:afterLines="80" w:after="192" w:line="280" w:lineRule="exact"/>
              <w:rPr>
                <w:rFonts w:ascii="Arial" w:eastAsia="Times New Roman" w:hAnsi="Arial" w:cs="Arial"/>
                <w:b/>
                <w:color w:val="FFFFFF" w:themeColor="background1"/>
                <w:szCs w:val="24"/>
                <w:lang w:eastAsia="en-AU"/>
              </w:rPr>
            </w:pPr>
            <w:r w:rsidRPr="0064225D">
              <w:rPr>
                <w:rFonts w:ascii="Arial" w:eastAsia="Times New Roman" w:hAnsi="Arial" w:cs="Arial"/>
                <w:b/>
                <w:color w:val="FFFFFF" w:themeColor="background1"/>
                <w:szCs w:val="24"/>
                <w:lang w:eastAsia="en-AU"/>
              </w:rPr>
              <w:t> </w:t>
            </w:r>
          </w:p>
        </w:tc>
      </w:tr>
      <w:tr w:rsidR="00A31008" w:rsidRPr="007C347D" w14:paraId="7AC5CEBC" w14:textId="77777777" w:rsidTr="00303B3C">
        <w:trPr>
          <w:trHeight w:val="5261"/>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977B3D8" w14:textId="77777777" w:rsidR="00A31008" w:rsidRPr="007C347D" w:rsidRDefault="00A31008" w:rsidP="007C347D">
            <w:pPr>
              <w:spacing w:afterLines="80" w:after="192" w:line="280" w:lineRule="exact"/>
              <w:rPr>
                <w:rFonts w:ascii="Arial" w:eastAsia="Times New Roman" w:hAnsi="Arial" w:cs="Arial"/>
                <w:color w:val="000000"/>
                <w:sz w:val="20"/>
                <w:lang w:eastAsia="en-AU"/>
              </w:rPr>
            </w:pPr>
          </w:p>
        </w:tc>
        <w:tc>
          <w:tcPr>
            <w:tcW w:w="6520" w:type="dxa"/>
            <w:tcBorders>
              <w:top w:val="single" w:sz="4" w:space="0" w:color="auto"/>
              <w:left w:val="nil"/>
              <w:bottom w:val="single" w:sz="4" w:space="0" w:color="auto"/>
              <w:right w:val="single" w:sz="4" w:space="0" w:color="auto"/>
            </w:tcBorders>
            <w:shd w:val="clear" w:color="auto" w:fill="auto"/>
          </w:tcPr>
          <w:p w14:paraId="3A212095" w14:textId="1EEC23D6" w:rsidR="008C5A79" w:rsidRPr="00F637BA" w:rsidRDefault="00A31008" w:rsidP="00E40643">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Salaries fees and wages associated with management and administrative activities, marketing and business development, artist, arts workers and creative personnel. </w:t>
            </w:r>
            <w:r w:rsidR="008C5A79" w:rsidRPr="00F637BA">
              <w:rPr>
                <w:rFonts w:ascii="Arial" w:eastAsia="Times New Roman" w:hAnsi="Arial" w:cs="Arial"/>
                <w:color w:val="000000"/>
                <w:sz w:val="20"/>
                <w:lang w:eastAsia="en-AU"/>
              </w:rPr>
              <w:t>Include salaries fees and wages for creative personnel such as artistic directors, directors, musical directors, choreographers, lighting, set and costume designers, curators and Performers/Artists: salaries, wages and fees specifically associated with appearing in a work.</w:t>
            </w:r>
          </w:p>
          <w:p w14:paraId="2604CEE4" w14:textId="4C42CE22" w:rsidR="008C5A79" w:rsidRPr="00F637BA" w:rsidRDefault="00A31008" w:rsidP="00E40643">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On-costs: including, for example, workers' compensation, superannuation, annual, long service and sick leave costs, salary packaging expenses, payroll tax, fringe benefits tax, termination payments and other wage-related fees or employment-related overheads.</w:t>
            </w:r>
          </w:p>
          <w:p w14:paraId="0BE2B87D" w14:textId="49521C25" w:rsidR="008C5A79" w:rsidRPr="00F637BA" w:rsidRDefault="00A31008" w:rsidP="00E40643">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On-costs also include professional development and training for staff, and costs associated with employment support and staff wellbeing e.g. job support, vocational development.</w:t>
            </w:r>
          </w:p>
          <w:p w14:paraId="650B3A3B" w14:textId="17500F15" w:rsidR="00725DBF" w:rsidRPr="00F637BA" w:rsidRDefault="00A31008" w:rsidP="00BC26F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Allowances: include travel allowances that are not associated with a production, exhibition or touring. (For event-related travel costs – see Production/Exhibition below).</w:t>
            </w:r>
          </w:p>
        </w:tc>
      </w:tr>
      <w:tr w:rsidR="00562E74" w:rsidRPr="007C347D" w14:paraId="3394D62F" w14:textId="77777777" w:rsidTr="00303B3C">
        <w:trPr>
          <w:trHeight w:val="285"/>
        </w:trPr>
        <w:tc>
          <w:tcPr>
            <w:tcW w:w="10065" w:type="dxa"/>
            <w:gridSpan w:val="2"/>
            <w:tcBorders>
              <w:top w:val="nil"/>
              <w:left w:val="single" w:sz="4" w:space="0" w:color="auto"/>
              <w:bottom w:val="nil"/>
              <w:right w:val="single" w:sz="4" w:space="0" w:color="auto"/>
            </w:tcBorders>
            <w:shd w:val="clear" w:color="000000" w:fill="000000"/>
            <w:noWrap/>
            <w:hideMark/>
          </w:tcPr>
          <w:p w14:paraId="1198F251" w14:textId="77777777" w:rsidR="00562E74" w:rsidRPr="007C347D" w:rsidRDefault="00562E74" w:rsidP="0064225D">
            <w:pPr>
              <w:spacing w:before="80" w:afterLines="80" w:after="192" w:line="280" w:lineRule="exact"/>
              <w:rPr>
                <w:rFonts w:ascii="Arial" w:eastAsia="Times New Roman" w:hAnsi="Arial" w:cs="Arial"/>
                <w:color w:val="000000"/>
                <w:sz w:val="20"/>
                <w:lang w:eastAsia="en-AU"/>
              </w:rPr>
            </w:pPr>
            <w:r w:rsidRPr="0064225D">
              <w:rPr>
                <w:rFonts w:ascii="Arial" w:eastAsia="Times New Roman" w:hAnsi="Arial" w:cs="Arial"/>
                <w:b/>
                <w:color w:val="FFFFFF" w:themeColor="background1"/>
                <w:szCs w:val="24"/>
                <w:lang w:eastAsia="en-AU"/>
              </w:rPr>
              <w:t>Production/Exhibition/Touring</w:t>
            </w:r>
          </w:p>
        </w:tc>
      </w:tr>
      <w:tr w:rsidR="00C839AA" w:rsidRPr="007C347D" w14:paraId="09D771C7" w14:textId="77777777" w:rsidTr="00303B3C">
        <w:trPr>
          <w:trHeight w:val="146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6FE98ADC" w14:textId="77777777" w:rsidR="00C839A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Production and Exhibition</w:t>
            </w:r>
          </w:p>
        </w:tc>
        <w:tc>
          <w:tcPr>
            <w:tcW w:w="6520" w:type="dxa"/>
            <w:tcBorders>
              <w:top w:val="single" w:sz="4" w:space="0" w:color="auto"/>
              <w:left w:val="nil"/>
              <w:bottom w:val="single" w:sz="4" w:space="0" w:color="auto"/>
              <w:right w:val="single" w:sz="4" w:space="0" w:color="auto"/>
            </w:tcBorders>
            <w:shd w:val="clear" w:color="auto" w:fill="auto"/>
            <w:hideMark/>
          </w:tcPr>
          <w:p w14:paraId="6D810631" w14:textId="256788C0" w:rsidR="00063384" w:rsidRPr="00F637BA" w:rsidRDefault="00C839AA" w:rsidP="00CA3BD0">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Direct costs associate</w:t>
            </w:r>
            <w:r w:rsidR="008C5A79" w:rsidRPr="007C347D">
              <w:rPr>
                <w:rFonts w:ascii="Arial" w:eastAsia="Times New Roman" w:hAnsi="Arial" w:cs="Arial"/>
                <w:color w:val="000000"/>
                <w:sz w:val="20"/>
                <w:lang w:eastAsia="en-AU"/>
              </w:rPr>
              <w:t>d with the development of a work or event</w:t>
            </w:r>
            <w:r w:rsidRPr="007C347D">
              <w:rPr>
                <w:rFonts w:ascii="Arial" w:eastAsia="Times New Roman" w:hAnsi="Arial" w:cs="Arial"/>
                <w:color w:val="000000"/>
                <w:sz w:val="20"/>
                <w:lang w:eastAsia="en-AU"/>
              </w:rPr>
              <w:t>. For example lighting, sound and visual equipment and hire, sets, staging equipment and hire, royalties paid, creative development costs, commissioning costs, costumes and wardrobe costs, other creation costs (e.g. materials).</w:t>
            </w:r>
            <w:r w:rsidR="008C5A79" w:rsidRPr="007C347D">
              <w:rPr>
                <w:rFonts w:ascii="Arial" w:eastAsia="Times New Roman" w:hAnsi="Arial" w:cs="Arial"/>
                <w:color w:val="000000"/>
                <w:sz w:val="20"/>
                <w:lang w:eastAsia="en-AU"/>
              </w:rPr>
              <w:t xml:space="preserve"> Venue related costs directly associated with a production or event. For example, hire of a theatre, performance space, rehearsal space, front-of-house costs, </w:t>
            </w:r>
            <w:r w:rsidR="00063384" w:rsidRPr="007C347D">
              <w:rPr>
                <w:rFonts w:ascii="Arial" w:eastAsia="Times New Roman" w:hAnsi="Arial" w:cs="Arial"/>
                <w:color w:val="000000"/>
                <w:sz w:val="20"/>
                <w:lang w:eastAsia="en-AU"/>
              </w:rPr>
              <w:t xml:space="preserve">and </w:t>
            </w:r>
            <w:r w:rsidR="008C5A79" w:rsidRPr="007C347D">
              <w:rPr>
                <w:rFonts w:ascii="Arial" w:eastAsia="Times New Roman" w:hAnsi="Arial" w:cs="Arial"/>
                <w:color w:val="000000"/>
                <w:sz w:val="20"/>
                <w:lang w:eastAsia="en-AU"/>
              </w:rPr>
              <w:t>other event-related venue costs e.g. cleaning fees.</w:t>
            </w:r>
          </w:p>
        </w:tc>
      </w:tr>
      <w:tr w:rsidR="00C839AA" w:rsidRPr="007C347D" w14:paraId="5AB074C3" w14:textId="77777777" w:rsidTr="00303B3C">
        <w:trPr>
          <w:trHeight w:val="1067"/>
        </w:trPr>
        <w:tc>
          <w:tcPr>
            <w:tcW w:w="3545" w:type="dxa"/>
            <w:tcBorders>
              <w:top w:val="nil"/>
              <w:left w:val="single" w:sz="4" w:space="0" w:color="auto"/>
              <w:bottom w:val="single" w:sz="4" w:space="0" w:color="auto"/>
              <w:right w:val="single" w:sz="4" w:space="0" w:color="auto"/>
            </w:tcBorders>
            <w:shd w:val="clear" w:color="auto" w:fill="auto"/>
            <w:hideMark/>
          </w:tcPr>
          <w:p w14:paraId="29348908" w14:textId="77777777" w:rsidR="00C839A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lastRenderedPageBreak/>
              <w:t>Travel Touring</w:t>
            </w:r>
          </w:p>
        </w:tc>
        <w:tc>
          <w:tcPr>
            <w:tcW w:w="6520" w:type="dxa"/>
            <w:tcBorders>
              <w:top w:val="nil"/>
              <w:left w:val="nil"/>
              <w:bottom w:val="single" w:sz="4" w:space="0" w:color="auto"/>
              <w:right w:val="single" w:sz="4" w:space="0" w:color="auto"/>
            </w:tcBorders>
            <w:shd w:val="clear" w:color="auto" w:fill="auto"/>
            <w:hideMark/>
          </w:tcPr>
          <w:p w14:paraId="378DEBFE" w14:textId="024A4C3F" w:rsidR="00C839AA" w:rsidRPr="00741681" w:rsidRDefault="00C839AA" w:rsidP="00CA3BD0">
            <w:pPr>
              <w:spacing w:before="80" w:afterLines="80" w:after="192" w:line="280" w:lineRule="exact"/>
              <w:rPr>
                <w:rFonts w:ascii="Arial" w:eastAsia="Times New Roman" w:hAnsi="Arial" w:cs="Arial"/>
                <w:sz w:val="20"/>
                <w:lang w:eastAsia="en-AU"/>
              </w:rPr>
            </w:pPr>
            <w:r w:rsidRPr="007C347D">
              <w:rPr>
                <w:rFonts w:ascii="Arial" w:eastAsia="Times New Roman" w:hAnsi="Arial" w:cs="Arial"/>
                <w:color w:val="000000"/>
                <w:sz w:val="20"/>
                <w:lang w:eastAsia="en-AU"/>
              </w:rPr>
              <w:t>Direct costs associated with presenting outside of your home location. Can include travel, installation costs, bump in/out consumables, travel allowances and per diems.</w:t>
            </w:r>
          </w:p>
        </w:tc>
      </w:tr>
      <w:tr w:rsidR="00C839AA" w:rsidRPr="007C347D" w14:paraId="21C8878C" w14:textId="77777777" w:rsidTr="00303B3C">
        <w:trPr>
          <w:trHeight w:val="2947"/>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71C3E79B" w14:textId="77777777" w:rsidR="00C2205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Community/Education/</w:t>
            </w:r>
          </w:p>
          <w:p w14:paraId="3E7C4717" w14:textId="0588F24B" w:rsidR="00C839A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Workshops</w:t>
            </w:r>
          </w:p>
        </w:tc>
        <w:tc>
          <w:tcPr>
            <w:tcW w:w="6520" w:type="dxa"/>
            <w:tcBorders>
              <w:top w:val="single" w:sz="4" w:space="0" w:color="auto"/>
              <w:left w:val="nil"/>
              <w:bottom w:val="single" w:sz="4" w:space="0" w:color="auto"/>
              <w:right w:val="single" w:sz="4" w:space="0" w:color="auto"/>
            </w:tcBorders>
            <w:shd w:val="clear" w:color="auto" w:fill="auto"/>
            <w:hideMark/>
          </w:tcPr>
          <w:p w14:paraId="40C00690" w14:textId="32FFF874" w:rsidR="000C615A" w:rsidRPr="00F637BA" w:rsidRDefault="00C839AA" w:rsidP="002437FB">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Direct costs such as travel and venue costs, project materials. May include consultant fees for project/protocols/engagement strategy.</w:t>
            </w:r>
            <w:r w:rsidRPr="007C347D">
              <w:rPr>
                <w:rFonts w:ascii="Arial" w:eastAsia="Times New Roman" w:hAnsi="Arial" w:cs="Arial"/>
                <w:color w:val="000000"/>
                <w:sz w:val="20"/>
                <w:lang w:eastAsia="en-AU"/>
              </w:rPr>
              <w:br/>
              <w:t>Direct costs associated with education programs such as schools programs or workshops. May include costs such as materials, travel and venue costs or consultants’ fees to develop project or educational resources.</w:t>
            </w:r>
            <w:r w:rsidR="00141D9A">
              <w:rPr>
                <w:rFonts w:ascii="Arial" w:eastAsia="Times New Roman" w:hAnsi="Arial" w:cs="Arial"/>
                <w:color w:val="000000"/>
                <w:sz w:val="20"/>
                <w:lang w:eastAsia="en-AU"/>
              </w:rPr>
              <w:br/>
            </w:r>
            <w:r w:rsidRPr="007C347D">
              <w:rPr>
                <w:rFonts w:ascii="Arial" w:eastAsia="Times New Roman" w:hAnsi="Arial" w:cs="Arial"/>
                <w:color w:val="000000"/>
                <w:sz w:val="20"/>
                <w:lang w:eastAsia="en-AU"/>
              </w:rPr>
              <w:br/>
              <w:t>Direct costs associated with classes, workshops etc. for external participants. Examples include dance and music classes, theatre or visual arts workshops, writing workshops, seminars and conferences.</w:t>
            </w:r>
          </w:p>
        </w:tc>
      </w:tr>
      <w:tr w:rsidR="00C839AA" w:rsidRPr="007C347D" w14:paraId="3641989A" w14:textId="77777777" w:rsidTr="00303B3C">
        <w:trPr>
          <w:trHeight w:val="1072"/>
        </w:trPr>
        <w:tc>
          <w:tcPr>
            <w:tcW w:w="3545" w:type="dxa"/>
            <w:tcBorders>
              <w:top w:val="nil"/>
              <w:left w:val="single" w:sz="4" w:space="0" w:color="auto"/>
              <w:bottom w:val="single" w:sz="4" w:space="0" w:color="auto"/>
              <w:right w:val="single" w:sz="4" w:space="0" w:color="auto"/>
            </w:tcBorders>
            <w:shd w:val="clear" w:color="auto" w:fill="auto"/>
            <w:hideMark/>
          </w:tcPr>
          <w:p w14:paraId="2504D968" w14:textId="77777777" w:rsidR="00C839A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Artist Development and Mentorship</w:t>
            </w:r>
          </w:p>
        </w:tc>
        <w:tc>
          <w:tcPr>
            <w:tcW w:w="6520" w:type="dxa"/>
            <w:tcBorders>
              <w:top w:val="nil"/>
              <w:left w:val="nil"/>
              <w:bottom w:val="single" w:sz="4" w:space="0" w:color="auto"/>
              <w:right w:val="single" w:sz="4" w:space="0" w:color="auto"/>
            </w:tcBorders>
            <w:shd w:val="clear" w:color="auto" w:fill="auto"/>
            <w:hideMark/>
          </w:tcPr>
          <w:p w14:paraId="46153290" w14:textId="27BF5A38" w:rsidR="004E0B3C" w:rsidRPr="00F637BA" w:rsidRDefault="00C839AA" w:rsidP="00BC26F4">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Direct costs associated with mentoring and professional skills development of artists. Can include costs of residencies. Do not include professional development costs for your staff, this is recorded in Allowances On-Costs above.</w:t>
            </w:r>
          </w:p>
        </w:tc>
      </w:tr>
      <w:tr w:rsidR="00C839AA" w:rsidRPr="007C347D" w14:paraId="47BA06A0" w14:textId="77777777" w:rsidTr="00303B3C">
        <w:trPr>
          <w:trHeight w:val="285"/>
        </w:trPr>
        <w:tc>
          <w:tcPr>
            <w:tcW w:w="10065" w:type="dxa"/>
            <w:gridSpan w:val="2"/>
            <w:tcBorders>
              <w:top w:val="nil"/>
              <w:left w:val="single" w:sz="4" w:space="0" w:color="auto"/>
              <w:bottom w:val="nil"/>
              <w:right w:val="single" w:sz="4" w:space="0" w:color="000000"/>
            </w:tcBorders>
            <w:shd w:val="clear" w:color="000000" w:fill="000000"/>
            <w:noWrap/>
            <w:hideMark/>
          </w:tcPr>
          <w:p w14:paraId="383E43C1" w14:textId="77777777" w:rsidR="00C839AA" w:rsidRPr="007C347D" w:rsidRDefault="00C839AA" w:rsidP="0065528A">
            <w:pPr>
              <w:spacing w:before="80" w:afterLines="80" w:after="192" w:line="280" w:lineRule="exact"/>
              <w:rPr>
                <w:rFonts w:ascii="Arial" w:eastAsia="Times New Roman" w:hAnsi="Arial" w:cs="Arial"/>
                <w:color w:val="000000"/>
                <w:sz w:val="20"/>
                <w:lang w:eastAsia="en-AU"/>
              </w:rPr>
            </w:pPr>
            <w:r w:rsidRPr="0065528A">
              <w:rPr>
                <w:rFonts w:ascii="Arial" w:eastAsia="Times New Roman" w:hAnsi="Arial" w:cs="Arial"/>
                <w:b/>
                <w:color w:val="FFFFFF" w:themeColor="background1"/>
                <w:szCs w:val="24"/>
                <w:lang w:eastAsia="en-AU"/>
              </w:rPr>
              <w:t xml:space="preserve">Marketing </w:t>
            </w:r>
          </w:p>
        </w:tc>
      </w:tr>
      <w:tr w:rsidR="00C839AA" w:rsidRPr="007C347D" w14:paraId="1FCD9862" w14:textId="77777777" w:rsidTr="00303B3C">
        <w:trPr>
          <w:trHeight w:val="3099"/>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469CF4DA" w14:textId="2B7C1D9E" w:rsidR="00C839AA" w:rsidRPr="0065528A" w:rsidRDefault="00C839AA" w:rsidP="0065528A">
            <w:pPr>
              <w:spacing w:before="80" w:afterLines="80" w:after="192" w:line="280" w:lineRule="exact"/>
              <w:rPr>
                <w:rFonts w:ascii="Arial" w:eastAsia="Times New Roman" w:hAnsi="Arial" w:cs="Arial"/>
                <w:b/>
                <w:color w:val="FFFFFF" w:themeColor="background1"/>
                <w:szCs w:val="24"/>
                <w:lang w:eastAsia="en-AU"/>
              </w:rPr>
            </w:pPr>
          </w:p>
        </w:tc>
        <w:tc>
          <w:tcPr>
            <w:tcW w:w="6520" w:type="dxa"/>
            <w:tcBorders>
              <w:top w:val="single" w:sz="4" w:space="0" w:color="auto"/>
              <w:left w:val="nil"/>
              <w:bottom w:val="single" w:sz="4" w:space="0" w:color="auto"/>
              <w:right w:val="single" w:sz="4" w:space="0" w:color="auto"/>
            </w:tcBorders>
            <w:shd w:val="clear" w:color="auto" w:fill="auto"/>
            <w:hideMark/>
          </w:tcPr>
          <w:p w14:paraId="0E6A290A" w14:textId="6E81227D" w:rsidR="008C5A79" w:rsidRPr="007C347D" w:rsidRDefault="00860A0F" w:rsidP="00BC26F4">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I</w:t>
            </w:r>
            <w:r w:rsidR="00C839AA" w:rsidRPr="007C347D">
              <w:rPr>
                <w:rFonts w:ascii="Arial" w:eastAsia="Times New Roman" w:hAnsi="Arial" w:cs="Arial"/>
                <w:color w:val="000000"/>
                <w:sz w:val="20"/>
                <w:lang w:eastAsia="en-AU"/>
              </w:rPr>
              <w:t xml:space="preserve">ncludes advertising, promotional materials, general marketing and PR costs, hospitality, brochures, flyers, posters, displays and signage, program design and artwork, program photography and visuals, programs printing, distribution/ mail out costs. </w:t>
            </w:r>
          </w:p>
          <w:p w14:paraId="139D979A" w14:textId="5AA9DFA1" w:rsidR="00BA4C7E" w:rsidRPr="007C347D" w:rsidRDefault="00C839AA" w:rsidP="007762C2">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Selling costs: such as point of sale costs, ticket agency charges and fees, EFT and merchant fees, ticket printing and complimentary ticket costs, agency and booking fees. Website costs: design, content, maintenance, and hosting – if not capitalised. Documentation and reporting costs: photographic and audio-visual documentation, newsletters, annual reports and other publications not for sale.</w:t>
            </w:r>
          </w:p>
        </w:tc>
      </w:tr>
      <w:tr w:rsidR="008C5A79" w:rsidRPr="007C347D" w14:paraId="30EB6253" w14:textId="77777777" w:rsidTr="00303B3C">
        <w:trPr>
          <w:trHeight w:val="285"/>
        </w:trPr>
        <w:tc>
          <w:tcPr>
            <w:tcW w:w="10065" w:type="dxa"/>
            <w:gridSpan w:val="2"/>
            <w:tcBorders>
              <w:top w:val="nil"/>
              <w:left w:val="single" w:sz="4" w:space="0" w:color="auto"/>
              <w:bottom w:val="nil"/>
              <w:right w:val="single" w:sz="4" w:space="0" w:color="000000"/>
            </w:tcBorders>
            <w:shd w:val="clear" w:color="000000" w:fill="000000"/>
            <w:noWrap/>
            <w:hideMark/>
          </w:tcPr>
          <w:p w14:paraId="2D5BAC3D" w14:textId="77777777" w:rsidR="008C5A79" w:rsidRPr="0065528A" w:rsidRDefault="008C5A79" w:rsidP="0065528A">
            <w:pPr>
              <w:spacing w:before="80" w:afterLines="80" w:after="192" w:line="280" w:lineRule="exact"/>
              <w:rPr>
                <w:rFonts w:ascii="Arial" w:eastAsia="Times New Roman" w:hAnsi="Arial" w:cs="Arial"/>
                <w:b/>
                <w:color w:val="FFFFFF" w:themeColor="background1"/>
                <w:szCs w:val="24"/>
                <w:lang w:eastAsia="en-AU"/>
              </w:rPr>
            </w:pPr>
            <w:r w:rsidRPr="0065528A">
              <w:rPr>
                <w:rFonts w:ascii="Arial" w:eastAsia="Times New Roman" w:hAnsi="Arial" w:cs="Arial"/>
                <w:b/>
                <w:color w:val="FFFFFF" w:themeColor="background1"/>
                <w:szCs w:val="24"/>
                <w:lang w:eastAsia="en-AU"/>
              </w:rPr>
              <w:t>Business Development</w:t>
            </w:r>
          </w:p>
        </w:tc>
      </w:tr>
      <w:tr w:rsidR="008C5A79" w:rsidRPr="007C347D" w14:paraId="22B95092" w14:textId="77777777" w:rsidTr="00303B3C">
        <w:trPr>
          <w:trHeight w:val="181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5127CC8A" w14:textId="3069AE8C" w:rsidR="008C5A79" w:rsidRPr="007C347D" w:rsidRDefault="008C5A79" w:rsidP="007C347D">
            <w:pPr>
              <w:spacing w:afterLines="80" w:after="192" w:line="280" w:lineRule="exact"/>
              <w:rPr>
                <w:rFonts w:ascii="Arial" w:eastAsia="Times New Roman" w:hAnsi="Arial" w:cs="Arial"/>
                <w:color w:val="000000"/>
                <w:sz w:val="20"/>
                <w:lang w:eastAsia="en-AU"/>
              </w:rPr>
            </w:pPr>
          </w:p>
        </w:tc>
        <w:tc>
          <w:tcPr>
            <w:tcW w:w="6520" w:type="dxa"/>
            <w:tcBorders>
              <w:top w:val="single" w:sz="4" w:space="0" w:color="auto"/>
              <w:left w:val="nil"/>
              <w:bottom w:val="single" w:sz="4" w:space="0" w:color="auto"/>
              <w:right w:val="single" w:sz="4" w:space="0" w:color="auto"/>
            </w:tcBorders>
            <w:shd w:val="clear" w:color="auto" w:fill="auto"/>
          </w:tcPr>
          <w:p w14:paraId="5CA68779" w14:textId="6B9E8A98" w:rsidR="0041786F" w:rsidRPr="007C347D" w:rsidRDefault="00DA3671" w:rsidP="008E22C7">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Include up to $30,000 per year for the organisation</w:t>
            </w:r>
            <w:r w:rsidR="00AA53CA" w:rsidRPr="007C347D">
              <w:rPr>
                <w:rFonts w:ascii="Arial" w:eastAsia="Times New Roman" w:hAnsi="Arial" w:cs="Arial"/>
                <w:color w:val="000000"/>
                <w:sz w:val="20"/>
                <w:lang w:eastAsia="en-AU"/>
              </w:rPr>
              <w:t>’</w:t>
            </w:r>
            <w:r w:rsidRPr="007C347D">
              <w:rPr>
                <w:rFonts w:ascii="Arial" w:eastAsia="Times New Roman" w:hAnsi="Arial" w:cs="Arial"/>
                <w:color w:val="000000"/>
                <w:sz w:val="20"/>
                <w:lang w:eastAsia="en-AU"/>
              </w:rPr>
              <w:t xml:space="preserve">s business development needs. </w:t>
            </w:r>
          </w:p>
          <w:p w14:paraId="601F1018" w14:textId="0ECF344D" w:rsidR="00185C7C" w:rsidRPr="007C347D" w:rsidRDefault="008A1249" w:rsidP="007762C2">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 xml:space="preserve">Costs associated with </w:t>
            </w:r>
            <w:r w:rsidR="00095165" w:rsidRPr="007C347D">
              <w:rPr>
                <w:rFonts w:ascii="Arial" w:eastAsia="Times New Roman" w:hAnsi="Arial" w:cs="Arial"/>
                <w:color w:val="000000"/>
                <w:sz w:val="20"/>
                <w:lang w:eastAsia="en-AU"/>
              </w:rPr>
              <w:t xml:space="preserve">business development </w:t>
            </w:r>
            <w:r w:rsidR="0041786F" w:rsidRPr="007C347D">
              <w:rPr>
                <w:rFonts w:ascii="Arial" w:eastAsia="Times New Roman" w:hAnsi="Arial" w:cs="Arial"/>
                <w:color w:val="000000"/>
                <w:sz w:val="20"/>
                <w:lang w:eastAsia="en-AU"/>
              </w:rPr>
              <w:t>may include c</w:t>
            </w:r>
            <w:r w:rsidR="00860A0F" w:rsidRPr="007C347D">
              <w:rPr>
                <w:rFonts w:ascii="Arial" w:eastAsia="Times New Roman" w:hAnsi="Arial" w:cs="Arial"/>
                <w:color w:val="000000"/>
                <w:sz w:val="20"/>
                <w:lang w:eastAsia="en-AU"/>
              </w:rPr>
              <w:t>onsultancy costs, business strategies</w:t>
            </w:r>
            <w:r w:rsidR="004B105B" w:rsidRPr="007C347D">
              <w:rPr>
                <w:rFonts w:ascii="Arial" w:eastAsia="Times New Roman" w:hAnsi="Arial" w:cs="Arial"/>
                <w:color w:val="000000"/>
                <w:sz w:val="20"/>
                <w:lang w:eastAsia="en-AU"/>
              </w:rPr>
              <w:t xml:space="preserve">, </w:t>
            </w:r>
            <w:r w:rsidR="00860A0F" w:rsidRPr="007C347D">
              <w:rPr>
                <w:rFonts w:ascii="Arial" w:eastAsia="Times New Roman" w:hAnsi="Arial" w:cs="Arial"/>
                <w:color w:val="000000"/>
                <w:sz w:val="20"/>
                <w:lang w:eastAsia="en-AU"/>
              </w:rPr>
              <w:t>governance frameworks</w:t>
            </w:r>
            <w:r w:rsidR="004B105B" w:rsidRPr="007C347D">
              <w:rPr>
                <w:rFonts w:ascii="Arial" w:eastAsia="Times New Roman" w:hAnsi="Arial" w:cs="Arial"/>
                <w:color w:val="000000"/>
                <w:sz w:val="20"/>
                <w:lang w:eastAsia="en-AU"/>
              </w:rPr>
              <w:t xml:space="preserve">, </w:t>
            </w:r>
            <w:r w:rsidR="00E83FFB" w:rsidRPr="007C347D">
              <w:rPr>
                <w:rFonts w:ascii="Arial" w:eastAsia="Times New Roman" w:hAnsi="Arial" w:cs="Arial"/>
                <w:color w:val="000000"/>
                <w:sz w:val="20"/>
                <w:lang w:eastAsia="en-AU"/>
              </w:rPr>
              <w:t xml:space="preserve">growing </w:t>
            </w:r>
            <w:r w:rsidR="00E4444E" w:rsidRPr="007C347D">
              <w:rPr>
                <w:rFonts w:ascii="Arial" w:eastAsia="Times New Roman" w:hAnsi="Arial" w:cs="Arial"/>
                <w:color w:val="000000"/>
                <w:sz w:val="20"/>
                <w:lang w:eastAsia="en-AU"/>
              </w:rPr>
              <w:t>philanthrop</w:t>
            </w:r>
            <w:r w:rsidR="00E83FFB" w:rsidRPr="007C347D">
              <w:rPr>
                <w:rFonts w:ascii="Arial" w:eastAsia="Times New Roman" w:hAnsi="Arial" w:cs="Arial"/>
                <w:color w:val="000000"/>
                <w:sz w:val="20"/>
                <w:lang w:eastAsia="en-AU"/>
              </w:rPr>
              <w:t>ic/sponsorship,</w:t>
            </w:r>
            <w:r w:rsidR="004B105B" w:rsidRPr="007C347D">
              <w:rPr>
                <w:rFonts w:ascii="Arial" w:eastAsia="Times New Roman" w:hAnsi="Arial" w:cs="Arial"/>
                <w:color w:val="000000"/>
                <w:sz w:val="20"/>
                <w:lang w:eastAsia="en-AU"/>
              </w:rPr>
              <w:t xml:space="preserve"> and audience development.  </w:t>
            </w:r>
          </w:p>
        </w:tc>
      </w:tr>
    </w:tbl>
    <w:p w14:paraId="6D40E676" w14:textId="77777777" w:rsidR="002E30BE" w:rsidRDefault="002E30BE">
      <w:r>
        <w:br w:type="page"/>
      </w:r>
    </w:p>
    <w:tbl>
      <w:tblPr>
        <w:tblW w:w="9634" w:type="dxa"/>
        <w:tblLayout w:type="fixed"/>
        <w:tblLook w:val="04A0" w:firstRow="1" w:lastRow="0" w:firstColumn="1" w:lastColumn="0" w:noHBand="0" w:noVBand="1"/>
      </w:tblPr>
      <w:tblGrid>
        <w:gridCol w:w="3114"/>
        <w:gridCol w:w="6520"/>
      </w:tblGrid>
      <w:tr w:rsidR="00C839AA" w:rsidRPr="007C347D" w14:paraId="608DBBB4" w14:textId="77777777" w:rsidTr="008B32F7">
        <w:trPr>
          <w:trHeight w:val="285"/>
        </w:trPr>
        <w:tc>
          <w:tcPr>
            <w:tcW w:w="9634" w:type="dxa"/>
            <w:gridSpan w:val="2"/>
            <w:tcBorders>
              <w:top w:val="nil"/>
              <w:left w:val="single" w:sz="4" w:space="0" w:color="auto"/>
              <w:bottom w:val="nil"/>
              <w:right w:val="single" w:sz="4" w:space="0" w:color="000000"/>
            </w:tcBorders>
            <w:shd w:val="clear" w:color="000000" w:fill="000000"/>
            <w:noWrap/>
            <w:hideMark/>
          </w:tcPr>
          <w:p w14:paraId="3A54C170" w14:textId="3F16EAF7" w:rsidR="00C839AA" w:rsidRPr="007C347D" w:rsidRDefault="00C839AA" w:rsidP="0064225D">
            <w:pPr>
              <w:spacing w:before="80" w:afterLines="80" w:after="192" w:line="280" w:lineRule="exact"/>
              <w:rPr>
                <w:rFonts w:ascii="Arial" w:eastAsia="Times New Roman" w:hAnsi="Arial" w:cs="Arial"/>
                <w:color w:val="000000"/>
                <w:sz w:val="20"/>
                <w:lang w:eastAsia="en-AU"/>
              </w:rPr>
            </w:pPr>
            <w:r w:rsidRPr="0064225D">
              <w:rPr>
                <w:rFonts w:ascii="Arial" w:eastAsia="Times New Roman" w:hAnsi="Arial" w:cs="Arial"/>
                <w:b/>
                <w:color w:val="FFFFFF" w:themeColor="background1"/>
                <w:szCs w:val="24"/>
                <w:lang w:eastAsia="en-AU"/>
              </w:rPr>
              <w:lastRenderedPageBreak/>
              <w:t>Infrastructure and Administration</w:t>
            </w:r>
          </w:p>
        </w:tc>
      </w:tr>
      <w:tr w:rsidR="00C839AA" w:rsidRPr="007C347D" w14:paraId="47504559" w14:textId="77777777" w:rsidTr="008B32F7">
        <w:trPr>
          <w:trHeight w:val="2682"/>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866D650" w14:textId="7C257863" w:rsidR="00C839AA" w:rsidRPr="007C347D" w:rsidRDefault="00C839AA" w:rsidP="007C347D">
            <w:pPr>
              <w:spacing w:afterLines="80" w:after="192" w:line="280" w:lineRule="exact"/>
              <w:rPr>
                <w:rFonts w:ascii="Arial" w:eastAsia="Times New Roman" w:hAnsi="Arial" w:cs="Arial"/>
                <w:color w:val="000000"/>
                <w:sz w:val="20"/>
                <w:lang w:eastAsia="en-AU"/>
              </w:rPr>
            </w:pPr>
          </w:p>
        </w:tc>
        <w:tc>
          <w:tcPr>
            <w:tcW w:w="6520" w:type="dxa"/>
            <w:tcBorders>
              <w:top w:val="single" w:sz="4" w:space="0" w:color="auto"/>
              <w:left w:val="nil"/>
              <w:bottom w:val="single" w:sz="4" w:space="0" w:color="auto"/>
              <w:right w:val="single" w:sz="4" w:space="0" w:color="auto"/>
            </w:tcBorders>
            <w:shd w:val="clear" w:color="auto" w:fill="auto"/>
            <w:hideMark/>
          </w:tcPr>
          <w:p w14:paraId="7EA476E4" w14:textId="0023F190" w:rsidR="00181B3D" w:rsidRPr="007C347D" w:rsidRDefault="00C839AA" w:rsidP="00BC26F4">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 xml:space="preserve">Includes rent and </w:t>
            </w:r>
            <w:r w:rsidR="00181B3D" w:rsidRPr="007C347D">
              <w:rPr>
                <w:rFonts w:ascii="Arial" w:eastAsia="Times New Roman" w:hAnsi="Arial" w:cs="Arial"/>
                <w:color w:val="000000"/>
                <w:sz w:val="20"/>
                <w:lang w:eastAsia="en-AU"/>
              </w:rPr>
              <w:t xml:space="preserve">running costs </w:t>
            </w:r>
            <w:r w:rsidRPr="007C347D">
              <w:rPr>
                <w:rFonts w:ascii="Arial" w:eastAsia="Times New Roman" w:hAnsi="Arial" w:cs="Arial"/>
                <w:color w:val="000000"/>
                <w:sz w:val="20"/>
                <w:lang w:eastAsia="en-AU"/>
              </w:rPr>
              <w:t>related to maintaining an office including parking, cleaning and rubbish removal, security, relocation costs, rates and taxes, maintenance, gas, electricity, water, staff amenities.</w:t>
            </w:r>
            <w:r w:rsidR="00C0658F">
              <w:rPr>
                <w:rFonts w:ascii="Arial" w:eastAsia="Times New Roman" w:hAnsi="Arial" w:cs="Arial"/>
                <w:color w:val="000000"/>
                <w:sz w:val="20"/>
                <w:lang w:eastAsia="en-AU"/>
              </w:rPr>
              <w:br/>
            </w:r>
            <w:r w:rsidRPr="007C347D">
              <w:rPr>
                <w:rFonts w:ascii="Arial" w:eastAsia="Times New Roman" w:hAnsi="Arial" w:cs="Arial"/>
                <w:color w:val="000000"/>
                <w:sz w:val="20"/>
                <w:lang w:eastAsia="en-AU"/>
              </w:rPr>
              <w:br/>
              <w:t xml:space="preserve">If operating a performance or exhibition venue include venue security, WH&amp;S costs, furniture and fixtures not being capitalised, equipment hire, venue cleaning costs, venue rubbish removal, venue repairs and maintenance. </w:t>
            </w:r>
          </w:p>
          <w:p w14:paraId="5549248D" w14:textId="624108B9" w:rsidR="00181B3D" w:rsidRPr="00F637BA" w:rsidRDefault="00181B3D" w:rsidP="00BC26F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Outgoings related to general operations including office supplies, printing and copying</w:t>
            </w:r>
            <w:r w:rsidR="003E2A21" w:rsidRPr="00F637BA">
              <w:rPr>
                <w:rFonts w:ascii="Arial" w:eastAsia="Times New Roman" w:hAnsi="Arial" w:cs="Arial"/>
                <w:color w:val="000000"/>
                <w:sz w:val="20"/>
                <w:lang w:eastAsia="en-AU"/>
              </w:rPr>
              <w:t xml:space="preserve">, </w:t>
            </w:r>
            <w:r w:rsidRPr="00F637BA">
              <w:rPr>
                <w:rFonts w:ascii="Arial" w:eastAsia="Times New Roman" w:hAnsi="Arial" w:cs="Arial"/>
                <w:color w:val="000000"/>
                <w:sz w:val="20"/>
                <w:lang w:eastAsia="en-AU"/>
              </w:rPr>
              <w:t>memberships and affiliations, computer consumables, software purchases and maintenance, equipment repairs and maintenance, minor equipment purchases (under $500), equipment rental, postage, couriers, freight, internet, telephone, local and staff travel, vehicle hire (which is not a direct production or project cost), insurance.</w:t>
            </w:r>
            <w:r w:rsidR="00392D9D" w:rsidRPr="00F637BA">
              <w:rPr>
                <w:rFonts w:ascii="Arial" w:eastAsia="Times New Roman" w:hAnsi="Arial" w:cs="Arial"/>
                <w:color w:val="000000"/>
                <w:sz w:val="20"/>
                <w:lang w:eastAsia="en-AU"/>
              </w:rPr>
              <w:t xml:space="preserve"> A</w:t>
            </w:r>
            <w:r w:rsidRPr="00F637BA">
              <w:rPr>
                <w:rFonts w:ascii="Arial" w:eastAsia="Times New Roman" w:hAnsi="Arial" w:cs="Arial"/>
                <w:color w:val="000000"/>
                <w:sz w:val="20"/>
                <w:lang w:eastAsia="en-AU"/>
              </w:rPr>
              <w:t>ny costs related to legal advice and services</w:t>
            </w:r>
            <w:r w:rsidR="00392D9D" w:rsidRPr="00F637BA">
              <w:rPr>
                <w:rFonts w:ascii="Arial" w:eastAsia="Times New Roman" w:hAnsi="Arial" w:cs="Arial"/>
                <w:color w:val="000000"/>
                <w:sz w:val="20"/>
                <w:lang w:eastAsia="en-AU"/>
              </w:rPr>
              <w:t xml:space="preserve"> and financial services including </w:t>
            </w:r>
            <w:r w:rsidRPr="00F637BA">
              <w:rPr>
                <w:rFonts w:ascii="Arial" w:eastAsia="Times New Roman" w:hAnsi="Arial" w:cs="Arial"/>
                <w:color w:val="000000"/>
                <w:sz w:val="20"/>
                <w:lang w:eastAsia="en-AU"/>
              </w:rPr>
              <w:t>bank charges and interest, leasing interest, stamp duty, late fees and penalties, bad and doubtful debts, rounding off/adjustments, accounting and audit fees.</w:t>
            </w:r>
          </w:p>
          <w:p w14:paraId="553758A3" w14:textId="6043C16F" w:rsidR="00BB6443" w:rsidRPr="00F637BA" w:rsidRDefault="00181B3D" w:rsidP="00BC26F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Governance: costs of board operations and support, company planning, membership support costs, AGM and general meetings, company fees and returns, business name registrations.</w:t>
            </w:r>
          </w:p>
        </w:tc>
      </w:tr>
      <w:tr w:rsidR="00181B3D" w:rsidRPr="007C347D" w14:paraId="12F023AF" w14:textId="77777777" w:rsidTr="00894551">
        <w:trPr>
          <w:trHeight w:val="285"/>
        </w:trPr>
        <w:tc>
          <w:tcPr>
            <w:tcW w:w="9634" w:type="dxa"/>
            <w:gridSpan w:val="2"/>
            <w:tcBorders>
              <w:top w:val="nil"/>
              <w:left w:val="single" w:sz="4" w:space="0" w:color="auto"/>
              <w:bottom w:val="nil"/>
              <w:right w:val="single" w:sz="4" w:space="0" w:color="000000"/>
            </w:tcBorders>
            <w:shd w:val="clear" w:color="000000" w:fill="000000"/>
            <w:noWrap/>
            <w:hideMark/>
          </w:tcPr>
          <w:p w14:paraId="6D8142E4" w14:textId="77777777" w:rsidR="00181B3D" w:rsidRPr="007C347D" w:rsidRDefault="00181B3D" w:rsidP="0065528A">
            <w:pPr>
              <w:spacing w:before="80" w:afterLines="80" w:after="192" w:line="280" w:lineRule="exact"/>
              <w:rPr>
                <w:rFonts w:ascii="Arial" w:eastAsia="Times New Roman" w:hAnsi="Arial" w:cs="Arial"/>
                <w:color w:val="000000"/>
                <w:sz w:val="20"/>
                <w:lang w:eastAsia="en-AU"/>
              </w:rPr>
            </w:pPr>
            <w:r w:rsidRPr="0065528A">
              <w:rPr>
                <w:rFonts w:ascii="Arial" w:eastAsia="Times New Roman" w:hAnsi="Arial" w:cs="Arial"/>
                <w:b/>
                <w:color w:val="FFFFFF" w:themeColor="background1"/>
                <w:szCs w:val="24"/>
                <w:lang w:eastAsia="en-AU"/>
              </w:rPr>
              <w:t>Other Expenses</w:t>
            </w:r>
            <w:r w:rsidRPr="007C347D">
              <w:rPr>
                <w:rFonts w:ascii="Arial" w:eastAsia="Times New Roman" w:hAnsi="Arial" w:cs="Arial"/>
                <w:color w:val="000000"/>
                <w:sz w:val="20"/>
                <w:lang w:eastAsia="en-AU"/>
              </w:rPr>
              <w:t xml:space="preserve"> </w:t>
            </w:r>
          </w:p>
        </w:tc>
      </w:tr>
      <w:tr w:rsidR="00181B3D" w:rsidRPr="007C347D" w14:paraId="6A4CFAFF" w14:textId="77777777" w:rsidTr="00894551">
        <w:trPr>
          <w:trHeight w:val="795"/>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2195B7FC"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Other Expenses</w:t>
            </w:r>
          </w:p>
        </w:tc>
        <w:tc>
          <w:tcPr>
            <w:tcW w:w="6520" w:type="dxa"/>
            <w:tcBorders>
              <w:top w:val="single" w:sz="4" w:space="0" w:color="auto"/>
              <w:left w:val="nil"/>
              <w:bottom w:val="single" w:sz="4" w:space="0" w:color="auto"/>
              <w:right w:val="single" w:sz="4" w:space="0" w:color="auto"/>
            </w:tcBorders>
            <w:shd w:val="clear" w:color="auto" w:fill="auto"/>
            <w:hideMark/>
          </w:tcPr>
          <w:p w14:paraId="07BFF5FF" w14:textId="2D7694A9" w:rsidR="00BB6443" w:rsidRPr="00F637BA" w:rsidRDefault="003E2A21" w:rsidP="00BC26F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Minor and incidental one-off expenses which cannot be classified elsewhere.</w:t>
            </w:r>
          </w:p>
        </w:tc>
      </w:tr>
      <w:tr w:rsidR="00C839AA" w:rsidRPr="007C347D" w14:paraId="63C04076" w14:textId="77777777" w:rsidTr="008B32F7">
        <w:trPr>
          <w:trHeight w:val="285"/>
        </w:trPr>
        <w:tc>
          <w:tcPr>
            <w:tcW w:w="9634" w:type="dxa"/>
            <w:gridSpan w:val="2"/>
            <w:tcBorders>
              <w:top w:val="nil"/>
              <w:left w:val="single" w:sz="4" w:space="0" w:color="auto"/>
              <w:bottom w:val="nil"/>
              <w:right w:val="single" w:sz="4" w:space="0" w:color="000000"/>
            </w:tcBorders>
            <w:shd w:val="clear" w:color="000000" w:fill="000000"/>
            <w:noWrap/>
            <w:hideMark/>
          </w:tcPr>
          <w:p w14:paraId="2645EDCB" w14:textId="77777777" w:rsidR="00C839AA" w:rsidRPr="00966970" w:rsidRDefault="00C839AA" w:rsidP="0065528A">
            <w:pPr>
              <w:spacing w:before="80" w:afterLines="80" w:after="192" w:line="280" w:lineRule="exact"/>
              <w:rPr>
                <w:rFonts w:ascii="Arial" w:eastAsia="Times New Roman" w:hAnsi="Arial" w:cs="Arial"/>
                <w:b/>
                <w:color w:val="000000"/>
                <w:sz w:val="20"/>
                <w:lang w:eastAsia="en-AU"/>
              </w:rPr>
            </w:pPr>
            <w:r w:rsidRPr="0065528A">
              <w:rPr>
                <w:rFonts w:ascii="Arial" w:eastAsia="Times New Roman" w:hAnsi="Arial" w:cs="Arial"/>
                <w:b/>
                <w:color w:val="FFFFFF" w:themeColor="background1"/>
                <w:szCs w:val="24"/>
                <w:lang w:eastAsia="en-AU"/>
              </w:rPr>
              <w:t>In-Kind Expenses (total in-kind expenses should equal total in-kind income above)</w:t>
            </w:r>
          </w:p>
        </w:tc>
      </w:tr>
      <w:tr w:rsidR="00C839AA" w:rsidRPr="007C347D" w14:paraId="62A05304" w14:textId="77777777" w:rsidTr="008B32F7">
        <w:trPr>
          <w:trHeight w:val="795"/>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175E627" w14:textId="77777777" w:rsidR="00C839AA" w:rsidRPr="00966970" w:rsidRDefault="00C839AA"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In-Kind Expenses</w:t>
            </w:r>
          </w:p>
        </w:tc>
        <w:tc>
          <w:tcPr>
            <w:tcW w:w="6520" w:type="dxa"/>
            <w:tcBorders>
              <w:top w:val="single" w:sz="4" w:space="0" w:color="auto"/>
              <w:left w:val="nil"/>
              <w:bottom w:val="single" w:sz="4" w:space="0" w:color="auto"/>
              <w:right w:val="single" w:sz="4" w:space="0" w:color="auto"/>
            </w:tcBorders>
            <w:shd w:val="clear" w:color="auto" w:fill="auto"/>
            <w:hideMark/>
          </w:tcPr>
          <w:p w14:paraId="030B469B" w14:textId="3A564F48" w:rsidR="00BB6443" w:rsidRPr="00F637BA" w:rsidRDefault="00C839AA" w:rsidP="00BC26F4">
            <w:pPr>
              <w:spacing w:before="80" w:afterLines="80" w:after="192" w:line="280" w:lineRule="exact"/>
              <w:rPr>
                <w:rFonts w:ascii="Arial" w:eastAsia="Times New Roman" w:hAnsi="Arial" w:cs="Arial"/>
                <w:color w:val="000000"/>
                <w:sz w:val="20"/>
                <w:lang w:eastAsia="en-AU"/>
              </w:rPr>
            </w:pPr>
            <w:r w:rsidRPr="007C347D">
              <w:rPr>
                <w:rFonts w:ascii="Arial" w:eastAsia="Times New Roman" w:hAnsi="Arial" w:cs="Arial"/>
                <w:color w:val="000000"/>
                <w:sz w:val="20"/>
                <w:lang w:eastAsia="en-AU"/>
              </w:rPr>
              <w:t>Rent, goods and services of types listed under: Salaries, Wages and Fees, Production/Exhibition/Touring, Marketing and Business Development, Infrastructure and Admin.</w:t>
            </w:r>
          </w:p>
        </w:tc>
      </w:tr>
    </w:tbl>
    <w:p w14:paraId="75679A48" w14:textId="77777777" w:rsidR="001C73D6" w:rsidRDefault="003C3774" w:rsidP="00F277B8">
      <w:pPr>
        <w:spacing w:afterLines="80" w:after="192" w:line="280" w:lineRule="exact"/>
        <w:ind w:left="-284"/>
        <w:rPr>
          <w:rFonts w:ascii="Arial" w:eastAsia="Times New Roman" w:hAnsi="Arial" w:cs="Arial"/>
          <w:b/>
          <w:color w:val="000000"/>
          <w:sz w:val="20"/>
          <w:lang w:eastAsia="en-AU"/>
        </w:rPr>
      </w:pPr>
      <w:bookmarkStart w:id="2" w:name="_Toc7707026"/>
      <w:r>
        <w:rPr>
          <w:rFonts w:ascii="Arial" w:eastAsia="Times New Roman" w:hAnsi="Arial" w:cs="Arial"/>
          <w:b/>
          <w:color w:val="000000"/>
          <w:sz w:val="20"/>
          <w:lang w:eastAsia="en-AU"/>
        </w:rPr>
        <w:br/>
      </w:r>
      <w:r w:rsidR="00F075EF">
        <w:rPr>
          <w:rFonts w:ascii="Arial" w:eastAsia="Times New Roman" w:hAnsi="Arial" w:cs="Arial"/>
          <w:b/>
          <w:color w:val="000000"/>
          <w:sz w:val="20"/>
          <w:lang w:eastAsia="en-AU"/>
        </w:rPr>
        <w:br/>
      </w:r>
      <w:r w:rsidR="00F075EF">
        <w:rPr>
          <w:rFonts w:ascii="Arial" w:eastAsia="Times New Roman" w:hAnsi="Arial" w:cs="Arial"/>
          <w:b/>
          <w:color w:val="000000"/>
          <w:sz w:val="20"/>
          <w:lang w:eastAsia="en-AU"/>
        </w:rPr>
        <w:br/>
      </w:r>
    </w:p>
    <w:p w14:paraId="16BBAB0F" w14:textId="211072AF" w:rsidR="00181B3D" w:rsidRPr="001520CF" w:rsidRDefault="00F075EF" w:rsidP="00F277B8">
      <w:pPr>
        <w:spacing w:afterLines="80" w:after="192" w:line="280" w:lineRule="exact"/>
        <w:ind w:left="-284"/>
        <w:rPr>
          <w:rFonts w:ascii="Arial" w:eastAsia="Times New Roman" w:hAnsi="Arial" w:cs="Arial"/>
          <w:b/>
          <w:color w:val="000000"/>
          <w:sz w:val="20"/>
          <w:lang w:eastAsia="en-AU"/>
        </w:rPr>
      </w:pPr>
      <w:r>
        <w:rPr>
          <w:rFonts w:ascii="Arial" w:eastAsia="Times New Roman" w:hAnsi="Arial" w:cs="Arial"/>
          <w:b/>
          <w:color w:val="000000"/>
          <w:sz w:val="20"/>
          <w:lang w:eastAsia="en-AU"/>
        </w:rPr>
        <w:lastRenderedPageBreak/>
        <w:br/>
      </w:r>
      <w:r w:rsidR="001C700F">
        <w:rPr>
          <w:rFonts w:ascii="Arial" w:eastAsia="Times New Roman" w:hAnsi="Arial" w:cs="Arial"/>
          <w:b/>
          <w:color w:val="000000"/>
          <w:sz w:val="20"/>
          <w:lang w:eastAsia="en-AU"/>
        </w:rPr>
        <w:br/>
      </w:r>
      <w:r>
        <w:rPr>
          <w:rFonts w:ascii="Arial" w:eastAsia="Times New Roman" w:hAnsi="Arial" w:cs="Arial"/>
          <w:b/>
          <w:color w:val="000000"/>
          <w:sz w:val="20"/>
          <w:lang w:eastAsia="en-AU"/>
        </w:rPr>
        <w:br/>
      </w:r>
      <w:r w:rsidR="00181B3D" w:rsidRPr="00F277B8">
        <w:rPr>
          <w:rFonts w:ascii="Arial" w:eastAsia="Times New Roman" w:hAnsi="Arial" w:cs="Arial"/>
          <w:b/>
          <w:color w:val="000000"/>
          <w:lang w:eastAsia="en-AU"/>
        </w:rPr>
        <w:t>Balance Sheet</w:t>
      </w:r>
      <w:bookmarkEnd w:id="2"/>
      <w:r w:rsidR="00181B3D" w:rsidRPr="00F277B8">
        <w:rPr>
          <w:rFonts w:ascii="Arial" w:eastAsia="Times New Roman" w:hAnsi="Arial" w:cs="Arial"/>
          <w:b/>
          <w:color w:val="000000"/>
          <w:lang w:eastAsia="en-AU"/>
        </w:rPr>
        <w:t xml:space="preserve">  </w:t>
      </w:r>
    </w:p>
    <w:tbl>
      <w:tblPr>
        <w:tblW w:w="95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690"/>
      </w:tblGrid>
      <w:tr w:rsidR="00181B3D" w:rsidRPr="007C347D" w14:paraId="25E2C316" w14:textId="77777777" w:rsidTr="000D79BB">
        <w:trPr>
          <w:trHeight w:val="288"/>
        </w:trPr>
        <w:tc>
          <w:tcPr>
            <w:tcW w:w="9531" w:type="dxa"/>
            <w:gridSpan w:val="2"/>
            <w:shd w:val="clear" w:color="auto" w:fill="000000" w:themeFill="text1"/>
            <w:noWrap/>
            <w:hideMark/>
          </w:tcPr>
          <w:p w14:paraId="389E2448" w14:textId="0382853C" w:rsidR="00181B3D" w:rsidRPr="007C347D" w:rsidRDefault="00320890" w:rsidP="009468A2">
            <w:pPr>
              <w:spacing w:before="80" w:afterLines="80" w:after="192" w:line="280" w:lineRule="exact"/>
              <w:rPr>
                <w:rFonts w:ascii="Arial" w:eastAsia="Times New Roman" w:hAnsi="Arial" w:cs="Arial"/>
                <w:color w:val="000000"/>
                <w:sz w:val="20"/>
                <w:lang w:eastAsia="en-AU"/>
              </w:rPr>
            </w:pPr>
            <w:r w:rsidRPr="009468A2">
              <w:rPr>
                <w:rFonts w:ascii="Arial" w:eastAsia="Times New Roman" w:hAnsi="Arial" w:cs="Arial"/>
                <w:b/>
                <w:color w:val="FFFFFF" w:themeColor="background1"/>
                <w:szCs w:val="24"/>
                <w:lang w:eastAsia="en-AU"/>
              </w:rPr>
              <w:t>Current assets</w:t>
            </w:r>
          </w:p>
        </w:tc>
      </w:tr>
      <w:tr w:rsidR="00181B3D" w:rsidRPr="007C347D" w14:paraId="36A56997" w14:textId="77777777" w:rsidTr="000D79BB">
        <w:trPr>
          <w:trHeight w:val="288"/>
        </w:trPr>
        <w:tc>
          <w:tcPr>
            <w:tcW w:w="2841" w:type="dxa"/>
            <w:tcBorders>
              <w:right w:val="single" w:sz="4" w:space="0" w:color="auto"/>
            </w:tcBorders>
            <w:shd w:val="clear" w:color="auto" w:fill="auto"/>
            <w:noWrap/>
            <w:hideMark/>
          </w:tcPr>
          <w:p w14:paraId="0762F02C"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Cash and Cash Equivalents</w:t>
            </w:r>
          </w:p>
        </w:tc>
        <w:tc>
          <w:tcPr>
            <w:tcW w:w="6690" w:type="dxa"/>
            <w:tcBorders>
              <w:left w:val="single" w:sz="4" w:space="0" w:color="auto"/>
            </w:tcBorders>
            <w:shd w:val="clear" w:color="auto" w:fill="auto"/>
            <w:noWrap/>
            <w:hideMark/>
          </w:tcPr>
          <w:p w14:paraId="79A47EE7" w14:textId="62DC00ED" w:rsidR="00181B3D" w:rsidRPr="00F637BA" w:rsidRDefault="00181B3D" w:rsidP="00882E48">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Includes cheque and bank account(s) including bank overdraft, electronic payments clearing, un-deposited funds, petty cash, cash floats, term deposits and short-term investments that are expected to be converted to cash in next 12 months.</w:t>
            </w:r>
          </w:p>
        </w:tc>
      </w:tr>
      <w:tr w:rsidR="00181B3D" w:rsidRPr="007C347D" w14:paraId="07F04703" w14:textId="77777777" w:rsidTr="000D79BB">
        <w:trPr>
          <w:trHeight w:val="288"/>
        </w:trPr>
        <w:tc>
          <w:tcPr>
            <w:tcW w:w="2841" w:type="dxa"/>
            <w:shd w:val="clear" w:color="auto" w:fill="auto"/>
            <w:noWrap/>
            <w:hideMark/>
          </w:tcPr>
          <w:p w14:paraId="02D0A17F"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Inventories</w:t>
            </w:r>
          </w:p>
        </w:tc>
        <w:tc>
          <w:tcPr>
            <w:tcW w:w="6690" w:type="dxa"/>
            <w:shd w:val="clear" w:color="auto" w:fill="auto"/>
            <w:noWrap/>
            <w:hideMark/>
          </w:tcPr>
          <w:p w14:paraId="18D03E3C" w14:textId="329F9408" w:rsidR="00181B3D" w:rsidRPr="00F637BA" w:rsidRDefault="00181B3D" w:rsidP="00882E48">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Items held for resale expected to be consumed in the next financial year. Includes fundraising stock, trading stock, publications for sale and client support inventory. May include work in progress being produced, such as materials and supplies awaiting use in the production process.  </w:t>
            </w:r>
          </w:p>
        </w:tc>
      </w:tr>
      <w:tr w:rsidR="00181B3D" w:rsidRPr="007C347D" w14:paraId="41E372A9" w14:textId="77777777" w:rsidTr="000D79BB">
        <w:trPr>
          <w:trHeight w:val="288"/>
        </w:trPr>
        <w:tc>
          <w:tcPr>
            <w:tcW w:w="2841" w:type="dxa"/>
            <w:shd w:val="clear" w:color="auto" w:fill="auto"/>
            <w:noWrap/>
            <w:hideMark/>
          </w:tcPr>
          <w:p w14:paraId="27E105F3"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Other Current Assets</w:t>
            </w:r>
          </w:p>
        </w:tc>
        <w:tc>
          <w:tcPr>
            <w:tcW w:w="6690" w:type="dxa"/>
            <w:shd w:val="clear" w:color="auto" w:fill="auto"/>
            <w:noWrap/>
            <w:hideMark/>
          </w:tcPr>
          <w:p w14:paraId="7EADF62B" w14:textId="77777777" w:rsidR="00181B3D" w:rsidRPr="00F637BA" w:rsidRDefault="00181B3D" w:rsidP="00882E48">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Other financial assets that are available for sale or trading that can be converted into cash within the next 12 months such as securities, investment trusts, managed funds and shares.</w:t>
            </w:r>
          </w:p>
          <w:p w14:paraId="72C9C6FB" w14:textId="23F4C5DE" w:rsidR="00181B3D" w:rsidRPr="00F637BA" w:rsidRDefault="00181B3D" w:rsidP="00882E48">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Other current assets not specifically included in previous rows. May include some prepayments, deposits and bonds.</w:t>
            </w:r>
          </w:p>
        </w:tc>
      </w:tr>
      <w:tr w:rsidR="00181B3D" w:rsidRPr="007C347D" w14:paraId="19045384" w14:textId="77777777" w:rsidTr="000D79BB">
        <w:trPr>
          <w:trHeight w:val="288"/>
        </w:trPr>
        <w:tc>
          <w:tcPr>
            <w:tcW w:w="2841" w:type="dxa"/>
            <w:shd w:val="clear" w:color="auto" w:fill="auto"/>
            <w:noWrap/>
            <w:hideMark/>
          </w:tcPr>
          <w:p w14:paraId="4DB29163"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Receivables and Prepayments</w:t>
            </w:r>
          </w:p>
        </w:tc>
        <w:tc>
          <w:tcPr>
            <w:tcW w:w="6690" w:type="dxa"/>
            <w:shd w:val="clear" w:color="auto" w:fill="auto"/>
            <w:noWrap/>
            <w:hideMark/>
          </w:tcPr>
          <w:p w14:paraId="5680748E" w14:textId="4F5D8E0E"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Also known as trade debtors. This account shows the gross accounts receivable still owing by debtors to the organisation at the end of the financial period and which are expected to be collected in the next 12 months. Also includes doubtful debts, deposits with suppliers, security bonds paid, agency sales held in trust, accrued income, other debtors.</w:t>
            </w:r>
          </w:p>
        </w:tc>
      </w:tr>
      <w:tr w:rsidR="00181B3D" w:rsidRPr="007C347D" w14:paraId="0A794BE7" w14:textId="77777777" w:rsidTr="000D79BB">
        <w:trPr>
          <w:trHeight w:val="288"/>
        </w:trPr>
        <w:tc>
          <w:tcPr>
            <w:tcW w:w="9531" w:type="dxa"/>
            <w:gridSpan w:val="2"/>
            <w:shd w:val="clear" w:color="auto" w:fill="000000" w:themeFill="text1"/>
            <w:noWrap/>
            <w:hideMark/>
          </w:tcPr>
          <w:p w14:paraId="56049FF5" w14:textId="77777777" w:rsidR="00181B3D" w:rsidRPr="007C347D" w:rsidRDefault="00181B3D" w:rsidP="009468A2">
            <w:pPr>
              <w:spacing w:before="80" w:afterLines="80" w:after="192" w:line="280" w:lineRule="exact"/>
              <w:rPr>
                <w:rFonts w:ascii="Arial" w:eastAsia="Times New Roman" w:hAnsi="Arial" w:cs="Arial"/>
                <w:color w:val="000000"/>
                <w:sz w:val="20"/>
                <w:lang w:eastAsia="en-AU"/>
              </w:rPr>
            </w:pPr>
            <w:r w:rsidRPr="009468A2">
              <w:rPr>
                <w:rFonts w:ascii="Arial" w:eastAsia="Times New Roman" w:hAnsi="Arial" w:cs="Arial"/>
                <w:b/>
                <w:color w:val="FFFFFF" w:themeColor="background1"/>
                <w:szCs w:val="24"/>
                <w:lang w:eastAsia="en-AU"/>
              </w:rPr>
              <w:t>NON-CURRENT ASSETS</w:t>
            </w:r>
          </w:p>
        </w:tc>
      </w:tr>
      <w:tr w:rsidR="00181B3D" w:rsidRPr="007C347D" w14:paraId="317B6954" w14:textId="77777777" w:rsidTr="000D79BB">
        <w:trPr>
          <w:trHeight w:val="288"/>
        </w:trPr>
        <w:tc>
          <w:tcPr>
            <w:tcW w:w="2841" w:type="dxa"/>
            <w:shd w:val="clear" w:color="auto" w:fill="auto"/>
            <w:noWrap/>
            <w:hideMark/>
          </w:tcPr>
          <w:p w14:paraId="6A61A4D9"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Intangibles (Net)</w:t>
            </w:r>
          </w:p>
        </w:tc>
        <w:tc>
          <w:tcPr>
            <w:tcW w:w="6690" w:type="dxa"/>
            <w:shd w:val="clear" w:color="auto" w:fill="auto"/>
            <w:noWrap/>
            <w:hideMark/>
          </w:tcPr>
          <w:p w14:paraId="3EFE010F" w14:textId="337C2DDC" w:rsidR="00181B3D" w:rsidRPr="00F637BA" w:rsidRDefault="00181B3D" w:rsidP="000F71B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Includes intangibles purchased (not internally generated) e.g. bespoke computer software, distribution rights, intellectual property, licences, patents and trademarks LESS accumulated amortisation.</w:t>
            </w:r>
          </w:p>
        </w:tc>
      </w:tr>
      <w:tr w:rsidR="00181B3D" w:rsidRPr="007C347D" w14:paraId="7E6C27F7"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hideMark/>
          </w:tcPr>
          <w:p w14:paraId="66847CED"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Long-Term Investments</w:t>
            </w:r>
          </w:p>
        </w:tc>
        <w:tc>
          <w:tcPr>
            <w:tcW w:w="6690" w:type="dxa"/>
            <w:tcBorders>
              <w:top w:val="single" w:sz="4" w:space="0" w:color="auto"/>
              <w:left w:val="single" w:sz="4" w:space="0" w:color="auto"/>
              <w:bottom w:val="single" w:sz="4" w:space="0" w:color="auto"/>
              <w:right w:val="single" w:sz="4" w:space="0" w:color="auto"/>
            </w:tcBorders>
            <w:shd w:val="clear" w:color="auto" w:fill="auto"/>
            <w:noWrap/>
            <w:hideMark/>
          </w:tcPr>
          <w:p w14:paraId="03B97FE5" w14:textId="7F95C803" w:rsidR="00181B3D" w:rsidRPr="00F637BA" w:rsidRDefault="00181B3D" w:rsidP="000F71B4">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Includes any long-term investments, e.g. securities or shares in listed and unlisted companies not expected to be realised in the next 12 months. Each year, the list is reviewed and investments expected to be sold within the next 12 months should be moved to Current Assets.</w:t>
            </w:r>
          </w:p>
        </w:tc>
      </w:tr>
      <w:tr w:rsidR="00181B3D" w:rsidRPr="007C347D" w14:paraId="106F9A7F"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hideMark/>
          </w:tcPr>
          <w:p w14:paraId="16461C47"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Other Non-Current Assets</w:t>
            </w:r>
          </w:p>
        </w:tc>
        <w:tc>
          <w:tcPr>
            <w:tcW w:w="6690" w:type="dxa"/>
            <w:tcBorders>
              <w:top w:val="single" w:sz="4" w:space="0" w:color="auto"/>
              <w:left w:val="single" w:sz="4" w:space="0" w:color="auto"/>
              <w:bottom w:val="single" w:sz="4" w:space="0" w:color="auto"/>
              <w:right w:val="single" w:sz="4" w:space="0" w:color="auto"/>
            </w:tcBorders>
            <w:shd w:val="clear" w:color="auto" w:fill="auto"/>
            <w:noWrap/>
            <w:hideMark/>
          </w:tcPr>
          <w:p w14:paraId="1AB798DA" w14:textId="77777777" w:rsidR="00181B3D" w:rsidRPr="00F637BA" w:rsidRDefault="00181B3D" w:rsidP="007C347D">
            <w:pPr>
              <w:spacing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 xml:space="preserve">Other non-current assets not specifically included in previous items, which may include biological assets and long-term assets to be sold, but </w:t>
            </w:r>
            <w:r w:rsidRPr="00F637BA">
              <w:rPr>
                <w:rFonts w:ascii="Arial" w:eastAsia="Times New Roman" w:hAnsi="Arial" w:cs="Arial"/>
                <w:color w:val="000000"/>
                <w:sz w:val="20"/>
                <w:lang w:eastAsia="en-AU"/>
              </w:rPr>
              <w:lastRenderedPageBreak/>
              <w:t xml:space="preserve">not in the next 12 months, including long-term receivables and prepayments. </w:t>
            </w:r>
          </w:p>
        </w:tc>
      </w:tr>
      <w:tr w:rsidR="00181B3D" w:rsidRPr="007C347D" w14:paraId="3E09874D" w14:textId="77777777" w:rsidTr="000D79BB">
        <w:trPr>
          <w:trHeight w:val="288"/>
        </w:trPr>
        <w:tc>
          <w:tcPr>
            <w:tcW w:w="2841" w:type="dxa"/>
            <w:shd w:val="clear" w:color="auto" w:fill="auto"/>
            <w:noWrap/>
          </w:tcPr>
          <w:p w14:paraId="2486AF90"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lastRenderedPageBreak/>
              <w:t>Property, Plant &amp; Equipment (Net)</w:t>
            </w:r>
          </w:p>
        </w:tc>
        <w:tc>
          <w:tcPr>
            <w:tcW w:w="6690" w:type="dxa"/>
            <w:shd w:val="clear" w:color="auto" w:fill="auto"/>
            <w:noWrap/>
          </w:tcPr>
          <w:p w14:paraId="5E09EE58"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Includes land and buildings, leasehold improvements, movable plant and equipment, IT and office equipment, libraries and educational resources, musical instruments, art collections, costumes, scenery sets and production properties, furniture and fixtures and motor vehicles LESS the accumulated depreciation for each asset class.</w:t>
            </w:r>
          </w:p>
        </w:tc>
      </w:tr>
      <w:tr w:rsidR="00181B3D" w:rsidRPr="007C347D" w14:paraId="08981679" w14:textId="77777777" w:rsidTr="000D79BB">
        <w:trPr>
          <w:trHeight w:val="288"/>
        </w:trPr>
        <w:tc>
          <w:tcPr>
            <w:tcW w:w="9531" w:type="dxa"/>
            <w:gridSpan w:val="2"/>
            <w:shd w:val="clear" w:color="auto" w:fill="000000" w:themeFill="text1"/>
            <w:noWrap/>
            <w:hideMark/>
          </w:tcPr>
          <w:p w14:paraId="0E986CF1" w14:textId="77777777" w:rsidR="00181B3D" w:rsidRPr="009468A2" w:rsidRDefault="00181B3D" w:rsidP="009468A2">
            <w:pPr>
              <w:spacing w:before="80" w:afterLines="80" w:after="192" w:line="280" w:lineRule="exact"/>
              <w:rPr>
                <w:rFonts w:ascii="Arial" w:eastAsia="Times New Roman" w:hAnsi="Arial" w:cs="Arial"/>
                <w:b/>
                <w:color w:val="FFFFFF" w:themeColor="background1"/>
                <w:szCs w:val="24"/>
                <w:lang w:eastAsia="en-AU"/>
              </w:rPr>
            </w:pPr>
            <w:r w:rsidRPr="009468A2">
              <w:rPr>
                <w:rFonts w:ascii="Arial" w:eastAsia="Times New Roman" w:hAnsi="Arial" w:cs="Arial"/>
                <w:b/>
                <w:color w:val="FFFFFF" w:themeColor="background1"/>
                <w:szCs w:val="24"/>
                <w:lang w:eastAsia="en-AU"/>
              </w:rPr>
              <w:t>CURRENT LIABILITIES</w:t>
            </w:r>
          </w:p>
        </w:tc>
      </w:tr>
      <w:tr w:rsidR="00181B3D" w:rsidRPr="007C347D" w14:paraId="7BA76E48"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tcPr>
          <w:p w14:paraId="4DA2C6EB"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Current Employee Benefits</w:t>
            </w:r>
          </w:p>
        </w:tc>
        <w:tc>
          <w:tcPr>
            <w:tcW w:w="6690" w:type="dxa"/>
            <w:tcBorders>
              <w:top w:val="single" w:sz="4" w:space="0" w:color="auto"/>
              <w:left w:val="single" w:sz="4" w:space="0" w:color="auto"/>
              <w:bottom w:val="single" w:sz="4" w:space="0" w:color="auto"/>
              <w:right w:val="single" w:sz="4" w:space="0" w:color="auto"/>
            </w:tcBorders>
            <w:shd w:val="clear" w:color="auto" w:fill="auto"/>
            <w:noWrap/>
          </w:tcPr>
          <w:p w14:paraId="78B61097"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Employee benefits that may be payable within the next 12 months including provision for annual leave, provision for long service leave, provision for personal/carer's leave, and salary sacrifice.</w:t>
            </w:r>
          </w:p>
        </w:tc>
      </w:tr>
      <w:tr w:rsidR="00181B3D" w:rsidRPr="007C347D" w14:paraId="56AB450B"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tcPr>
          <w:p w14:paraId="613EC30E"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 xml:space="preserve">Current Income in Advance </w:t>
            </w:r>
          </w:p>
        </w:tc>
        <w:tc>
          <w:tcPr>
            <w:tcW w:w="6690" w:type="dxa"/>
            <w:tcBorders>
              <w:top w:val="single" w:sz="4" w:space="0" w:color="auto"/>
              <w:left w:val="single" w:sz="4" w:space="0" w:color="auto"/>
              <w:bottom w:val="single" w:sz="4" w:space="0" w:color="auto"/>
              <w:right w:val="single" w:sz="4" w:space="0" w:color="auto"/>
            </w:tcBorders>
            <w:shd w:val="clear" w:color="auto" w:fill="auto"/>
            <w:noWrap/>
          </w:tcPr>
          <w:p w14:paraId="3FCDD683"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Any revenue or income that relates to future reporting periods such as earned income received in advance, membership fees in advance, subscriptions in advance, sponsorship received in advance, box office income in advance.</w:t>
            </w:r>
          </w:p>
        </w:tc>
      </w:tr>
      <w:tr w:rsidR="00181B3D" w:rsidRPr="007C347D" w14:paraId="4941DA2D"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tcPr>
          <w:p w14:paraId="03848E97"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Current Interest-Bearing Loans and Borrowings</w:t>
            </w:r>
          </w:p>
        </w:tc>
        <w:tc>
          <w:tcPr>
            <w:tcW w:w="6690" w:type="dxa"/>
            <w:tcBorders>
              <w:top w:val="single" w:sz="4" w:space="0" w:color="auto"/>
              <w:left w:val="single" w:sz="4" w:space="0" w:color="auto"/>
              <w:bottom w:val="single" w:sz="4" w:space="0" w:color="auto"/>
              <w:right w:val="single" w:sz="4" w:space="0" w:color="auto"/>
            </w:tcBorders>
            <w:shd w:val="clear" w:color="auto" w:fill="auto"/>
            <w:noWrap/>
          </w:tcPr>
          <w:p w14:paraId="0F5EF74C"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Short-term interest-bearing loans and borrowings from banks and other sources due and payable within the next 12 months such as bank loans, unsecured bank overdraft, current financial lease liabilities (but not office rental lease), credit cards, hire purchase or lease agreements due within the next 12 months.</w:t>
            </w:r>
          </w:p>
        </w:tc>
      </w:tr>
      <w:tr w:rsidR="00181B3D" w:rsidRPr="007C347D" w14:paraId="44EB5C01" w14:textId="77777777" w:rsidTr="000D79BB">
        <w:trPr>
          <w:trHeight w:val="288"/>
        </w:trPr>
        <w:tc>
          <w:tcPr>
            <w:tcW w:w="2841" w:type="dxa"/>
            <w:shd w:val="clear" w:color="auto" w:fill="auto"/>
            <w:noWrap/>
            <w:hideMark/>
          </w:tcPr>
          <w:p w14:paraId="7E5BD9B1"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Current Trade Creditors and Other Payables</w:t>
            </w:r>
          </w:p>
        </w:tc>
        <w:tc>
          <w:tcPr>
            <w:tcW w:w="6690" w:type="dxa"/>
            <w:shd w:val="clear" w:color="auto" w:fill="auto"/>
            <w:noWrap/>
            <w:hideMark/>
          </w:tcPr>
          <w:p w14:paraId="24BB6A57"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Includes accounts payable. Also known as trade creditors. Accrued expenses such as auditors’ fees, unpaid salaries, unpaid electricity, unpaid telephone at year-end, tax and other withholdings such as GST, FBT, PAYG withholdings, superannuation.</w:t>
            </w:r>
          </w:p>
        </w:tc>
      </w:tr>
      <w:tr w:rsidR="00181B3D" w:rsidRPr="007C347D" w14:paraId="6B6DCD47" w14:textId="77777777" w:rsidTr="000D79BB">
        <w:trPr>
          <w:trHeight w:val="288"/>
        </w:trPr>
        <w:tc>
          <w:tcPr>
            <w:tcW w:w="2841" w:type="dxa"/>
            <w:shd w:val="clear" w:color="auto" w:fill="auto"/>
            <w:noWrap/>
          </w:tcPr>
          <w:p w14:paraId="14356862"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Grants in Advance</w:t>
            </w:r>
          </w:p>
        </w:tc>
        <w:tc>
          <w:tcPr>
            <w:tcW w:w="6690" w:type="dxa"/>
            <w:shd w:val="clear" w:color="auto" w:fill="auto"/>
            <w:noWrap/>
          </w:tcPr>
          <w:p w14:paraId="5FF23F28"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Grants received in advance, and unexpended grants.</w:t>
            </w:r>
          </w:p>
        </w:tc>
      </w:tr>
      <w:tr w:rsidR="00181B3D" w:rsidRPr="007C347D" w14:paraId="2142DCDD" w14:textId="77777777" w:rsidTr="000D79BB">
        <w:trPr>
          <w:trHeight w:val="288"/>
        </w:trPr>
        <w:tc>
          <w:tcPr>
            <w:tcW w:w="2841" w:type="dxa"/>
            <w:tcBorders>
              <w:top w:val="single" w:sz="4" w:space="0" w:color="auto"/>
              <w:left w:val="single" w:sz="4" w:space="0" w:color="auto"/>
              <w:bottom w:val="single" w:sz="4" w:space="0" w:color="auto"/>
              <w:right w:val="single" w:sz="4" w:space="0" w:color="auto"/>
            </w:tcBorders>
            <w:shd w:val="clear" w:color="auto" w:fill="auto"/>
            <w:noWrap/>
          </w:tcPr>
          <w:p w14:paraId="6E68FE46"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Other Current Liabilities</w:t>
            </w:r>
          </w:p>
        </w:tc>
        <w:tc>
          <w:tcPr>
            <w:tcW w:w="6690" w:type="dxa"/>
            <w:tcBorders>
              <w:top w:val="single" w:sz="4" w:space="0" w:color="auto"/>
              <w:left w:val="single" w:sz="4" w:space="0" w:color="auto"/>
              <w:bottom w:val="single" w:sz="4" w:space="0" w:color="auto"/>
              <w:right w:val="single" w:sz="4" w:space="0" w:color="auto"/>
            </w:tcBorders>
            <w:shd w:val="clear" w:color="auto" w:fill="auto"/>
            <w:noWrap/>
          </w:tcPr>
          <w:p w14:paraId="4CEFA968"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Other current liabilities not specifically included in other items and payable within 12 months. This includes funds held in trust for a third party to be passed onto a different recipient than your organisation - such as DGR trust funds, auspiced grants and income, unexpended auspiced grants, deposits collected.</w:t>
            </w:r>
          </w:p>
        </w:tc>
      </w:tr>
      <w:tr w:rsidR="00181B3D" w:rsidRPr="007C347D" w14:paraId="6A2960AF" w14:textId="77777777" w:rsidTr="000D79BB">
        <w:trPr>
          <w:trHeight w:val="288"/>
        </w:trPr>
        <w:tc>
          <w:tcPr>
            <w:tcW w:w="9531" w:type="dxa"/>
            <w:gridSpan w:val="2"/>
            <w:shd w:val="clear" w:color="auto" w:fill="000000" w:themeFill="text1"/>
            <w:noWrap/>
            <w:hideMark/>
          </w:tcPr>
          <w:p w14:paraId="1D1FDB36" w14:textId="77777777" w:rsidR="00181B3D" w:rsidRPr="007C347D" w:rsidRDefault="00181B3D" w:rsidP="009468A2">
            <w:pPr>
              <w:spacing w:before="80" w:afterLines="80" w:after="192" w:line="280" w:lineRule="exact"/>
              <w:rPr>
                <w:rFonts w:ascii="Arial" w:eastAsia="Times New Roman" w:hAnsi="Arial" w:cs="Arial"/>
                <w:color w:val="000000"/>
                <w:sz w:val="20"/>
                <w:lang w:eastAsia="en-AU"/>
              </w:rPr>
            </w:pPr>
            <w:r w:rsidRPr="009468A2">
              <w:rPr>
                <w:rFonts w:ascii="Arial" w:eastAsia="Times New Roman" w:hAnsi="Arial" w:cs="Arial"/>
                <w:b/>
                <w:color w:val="FFFFFF" w:themeColor="background1"/>
                <w:szCs w:val="24"/>
                <w:lang w:eastAsia="en-AU"/>
              </w:rPr>
              <w:t>NON-CURRENT LIABILITIES</w:t>
            </w:r>
          </w:p>
        </w:tc>
      </w:tr>
      <w:tr w:rsidR="00181B3D" w:rsidRPr="007C347D" w14:paraId="3B624FEA" w14:textId="77777777" w:rsidTr="000D79BB">
        <w:trPr>
          <w:trHeight w:val="288"/>
        </w:trPr>
        <w:tc>
          <w:tcPr>
            <w:tcW w:w="2841" w:type="dxa"/>
            <w:shd w:val="clear" w:color="auto" w:fill="auto"/>
            <w:noWrap/>
            <w:hideMark/>
          </w:tcPr>
          <w:p w14:paraId="506F1102"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lastRenderedPageBreak/>
              <w:t>Non-Current Employee Benefits</w:t>
            </w:r>
          </w:p>
        </w:tc>
        <w:tc>
          <w:tcPr>
            <w:tcW w:w="6690" w:type="dxa"/>
            <w:shd w:val="clear" w:color="auto" w:fill="auto"/>
            <w:noWrap/>
            <w:hideMark/>
          </w:tcPr>
          <w:p w14:paraId="4FEC6818"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Refers to all employee-related long-term provisions e.g. long service leave that has been accumulated by employees and is not expected to be paid within the next 12 months.</w:t>
            </w:r>
          </w:p>
        </w:tc>
      </w:tr>
      <w:tr w:rsidR="00181B3D" w:rsidRPr="007C347D" w14:paraId="60AA622E" w14:textId="77777777" w:rsidTr="000D79BB">
        <w:trPr>
          <w:trHeight w:val="288"/>
        </w:trPr>
        <w:tc>
          <w:tcPr>
            <w:tcW w:w="2841" w:type="dxa"/>
            <w:tcBorders>
              <w:right w:val="single" w:sz="4" w:space="0" w:color="auto"/>
            </w:tcBorders>
            <w:shd w:val="clear" w:color="auto" w:fill="auto"/>
            <w:noWrap/>
            <w:hideMark/>
          </w:tcPr>
          <w:p w14:paraId="45A08CC3"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Non-Current Interest-Bearing Loans and Borrowings</w:t>
            </w:r>
          </w:p>
        </w:tc>
        <w:tc>
          <w:tcPr>
            <w:tcW w:w="6690" w:type="dxa"/>
            <w:tcBorders>
              <w:left w:val="single" w:sz="4" w:space="0" w:color="auto"/>
              <w:right w:val="single" w:sz="4" w:space="0" w:color="auto"/>
            </w:tcBorders>
            <w:shd w:val="clear" w:color="auto" w:fill="auto"/>
            <w:noWrap/>
            <w:hideMark/>
          </w:tcPr>
          <w:p w14:paraId="3B44FCFE"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The long-term components (i.e. more than 12 months in the future) of long-term borrowing, hire purchase agreements, vehicle lease agreements, lease liabilities, bank loans, directors’ loans.</w:t>
            </w:r>
          </w:p>
        </w:tc>
      </w:tr>
      <w:tr w:rsidR="00181B3D" w:rsidRPr="007C347D" w14:paraId="2E63DC3B" w14:textId="77777777" w:rsidTr="000D79BB">
        <w:trPr>
          <w:trHeight w:val="288"/>
        </w:trPr>
        <w:tc>
          <w:tcPr>
            <w:tcW w:w="2841" w:type="dxa"/>
            <w:shd w:val="clear" w:color="auto" w:fill="auto"/>
            <w:noWrap/>
            <w:hideMark/>
          </w:tcPr>
          <w:p w14:paraId="03856A9D" w14:textId="77777777" w:rsidR="00181B3D" w:rsidRPr="00966970" w:rsidRDefault="00181B3D" w:rsidP="005E7D6D">
            <w:pPr>
              <w:spacing w:before="80" w:afterLines="80" w:after="192" w:line="280" w:lineRule="exact"/>
              <w:rPr>
                <w:rFonts w:ascii="Arial" w:eastAsia="Times New Roman" w:hAnsi="Arial" w:cs="Arial"/>
                <w:b/>
                <w:color w:val="000000"/>
                <w:sz w:val="20"/>
                <w:lang w:eastAsia="en-AU"/>
              </w:rPr>
            </w:pPr>
            <w:r w:rsidRPr="00966970">
              <w:rPr>
                <w:rFonts w:ascii="Arial" w:eastAsia="Times New Roman" w:hAnsi="Arial" w:cs="Arial"/>
                <w:b/>
                <w:color w:val="000000"/>
                <w:sz w:val="20"/>
                <w:lang w:eastAsia="en-AU"/>
              </w:rPr>
              <w:t>Other Non-Current Liabilities</w:t>
            </w:r>
          </w:p>
        </w:tc>
        <w:tc>
          <w:tcPr>
            <w:tcW w:w="6690" w:type="dxa"/>
            <w:shd w:val="clear" w:color="auto" w:fill="auto"/>
            <w:noWrap/>
            <w:hideMark/>
          </w:tcPr>
          <w:p w14:paraId="3057ABBA" w14:textId="77777777" w:rsidR="00181B3D" w:rsidRPr="00F637BA" w:rsidRDefault="00181B3D" w:rsidP="003B702D">
            <w:pPr>
              <w:spacing w:before="80" w:afterLines="80" w:after="192" w:line="280" w:lineRule="exact"/>
              <w:rPr>
                <w:rFonts w:ascii="Arial" w:eastAsia="Times New Roman" w:hAnsi="Arial" w:cs="Arial"/>
                <w:color w:val="000000"/>
                <w:sz w:val="20"/>
                <w:lang w:eastAsia="en-AU"/>
              </w:rPr>
            </w:pPr>
            <w:r w:rsidRPr="00F637BA">
              <w:rPr>
                <w:rFonts w:ascii="Arial" w:eastAsia="Times New Roman" w:hAnsi="Arial" w:cs="Arial"/>
                <w:color w:val="000000"/>
                <w:sz w:val="20"/>
                <w:lang w:eastAsia="en-AU"/>
              </w:rPr>
              <w:t>Any other liabilities that are not expected to be discharged in the next 12 months and that are not specifically listed in other items.</w:t>
            </w:r>
          </w:p>
        </w:tc>
      </w:tr>
    </w:tbl>
    <w:p w14:paraId="48049F38" w14:textId="77777777" w:rsidR="00181B3D" w:rsidRPr="007C347D" w:rsidRDefault="00181B3D" w:rsidP="007C347D">
      <w:pPr>
        <w:spacing w:afterLines="80" w:after="192" w:line="280" w:lineRule="exact"/>
        <w:rPr>
          <w:rFonts w:ascii="Arial" w:eastAsia="Times New Roman" w:hAnsi="Arial" w:cs="Arial"/>
          <w:color w:val="000000"/>
          <w:sz w:val="20"/>
          <w:lang w:eastAsia="en-AU"/>
        </w:rPr>
      </w:pPr>
    </w:p>
    <w:p w14:paraId="17952351" w14:textId="77777777" w:rsidR="00181B3D" w:rsidRPr="007C347D" w:rsidRDefault="00181B3D" w:rsidP="007C347D">
      <w:pPr>
        <w:spacing w:afterLines="80" w:after="192" w:line="280" w:lineRule="exact"/>
        <w:rPr>
          <w:rFonts w:ascii="Arial" w:eastAsia="Times New Roman" w:hAnsi="Arial" w:cs="Arial"/>
          <w:color w:val="000000"/>
          <w:sz w:val="20"/>
          <w:lang w:eastAsia="en-AU"/>
        </w:rPr>
      </w:pPr>
    </w:p>
    <w:p w14:paraId="4F789E4F" w14:textId="77777777" w:rsidR="00181B3D" w:rsidRPr="007C347D" w:rsidRDefault="00181B3D" w:rsidP="007C347D">
      <w:pPr>
        <w:spacing w:afterLines="80" w:after="192" w:line="280" w:lineRule="exact"/>
        <w:rPr>
          <w:rFonts w:ascii="Arial" w:eastAsia="Times New Roman" w:hAnsi="Arial" w:cs="Arial"/>
          <w:color w:val="000000"/>
          <w:sz w:val="20"/>
          <w:lang w:eastAsia="en-AU"/>
        </w:rPr>
      </w:pPr>
    </w:p>
    <w:sectPr w:rsidR="00181B3D" w:rsidRPr="007C347D" w:rsidSect="00153EF3">
      <w:headerReference w:type="default" r:id="rId13"/>
      <w:footerReference w:type="default" r:id="rId14"/>
      <w:headerReference w:type="first" r:id="rId15"/>
      <w:footerReference w:type="first" r:id="rId16"/>
      <w:pgSz w:w="11906" w:h="16838"/>
      <w:pgMar w:top="2086" w:right="851" w:bottom="567" w:left="1440" w:header="1020"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6F199" w14:textId="77777777" w:rsidR="009514EA" w:rsidRDefault="009514EA" w:rsidP="00AC0B97">
      <w:r>
        <w:separator/>
      </w:r>
    </w:p>
  </w:endnote>
  <w:endnote w:type="continuationSeparator" w:id="0">
    <w:p w14:paraId="3C842BE4" w14:textId="77777777" w:rsidR="009514EA" w:rsidRDefault="009514EA"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roman"/>
    <w:notTrueType/>
    <w:pitch w:val="default"/>
  </w:font>
  <w:font w:name="FGZFW G+ Meta Normal LF">
    <w:altName w:val="Meta Normal LF"/>
    <w:panose1 w:val="00000000000000000000"/>
    <w:charset w:val="00"/>
    <w:family w:val="roman"/>
    <w:notTrueType/>
    <w:pitch w:val="default"/>
    <w:sig w:usb0="00000003" w:usb1="00000000" w:usb2="00000000" w:usb3="00000000" w:csb0="00000001" w:csb1="00000000"/>
  </w:font>
  <w:font w:name="FGZFW G+ Meta Plus Bold">
    <w:altName w:val="Meta Plus Bold"/>
    <w:panose1 w:val="00000000000000000000"/>
    <w:charset w:val="00"/>
    <w:family w:val="roman"/>
    <w:notTrueType/>
    <w:pitch w:val="default"/>
    <w:sig w:usb0="00000003" w:usb1="00000000" w:usb2="00000000" w:usb3="00000000" w:csb0="00000001" w:csb1="00000000"/>
  </w:font>
  <w:font w:name="MetaNormalLF-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58754"/>
      <w:docPartObj>
        <w:docPartGallery w:val="Page Numbers (Bottom of Page)"/>
        <w:docPartUnique/>
      </w:docPartObj>
    </w:sdtPr>
    <w:sdtEndPr/>
    <w:sdtContent>
      <w:sdt>
        <w:sdtPr>
          <w:id w:val="-1769616900"/>
          <w:docPartObj>
            <w:docPartGallery w:val="Page Numbers (Top of Page)"/>
            <w:docPartUnique/>
          </w:docPartObj>
        </w:sdtPr>
        <w:sdtEndPr/>
        <w:sdtContent>
          <w:p w14:paraId="1E094DBA" w14:textId="247CFDEC" w:rsidR="00CA1AF3" w:rsidRDefault="00CA1AF3">
            <w:pPr>
              <w:pStyle w:val="Footer"/>
              <w:jc w:val="right"/>
            </w:pPr>
            <w:r w:rsidRPr="00F9178E">
              <w:rPr>
                <w:rFonts w:ascii="Arial" w:hAnsi="Arial" w:cs="Arial"/>
                <w:sz w:val="20"/>
              </w:rPr>
              <w:t xml:space="preserve">Page </w:t>
            </w:r>
            <w:r w:rsidRPr="00F9178E">
              <w:rPr>
                <w:rFonts w:ascii="Arial" w:hAnsi="Arial" w:cs="Arial"/>
                <w:b/>
                <w:bCs/>
                <w:sz w:val="20"/>
              </w:rPr>
              <w:fldChar w:fldCharType="begin"/>
            </w:r>
            <w:r w:rsidRPr="00F9178E">
              <w:rPr>
                <w:rFonts w:ascii="Arial" w:hAnsi="Arial" w:cs="Arial"/>
                <w:b/>
                <w:bCs/>
                <w:sz w:val="20"/>
              </w:rPr>
              <w:instrText xml:space="preserve"> PAGE </w:instrText>
            </w:r>
            <w:r w:rsidRPr="00F9178E">
              <w:rPr>
                <w:rFonts w:ascii="Arial" w:hAnsi="Arial" w:cs="Arial"/>
                <w:b/>
                <w:bCs/>
                <w:sz w:val="20"/>
              </w:rPr>
              <w:fldChar w:fldCharType="separate"/>
            </w:r>
            <w:r w:rsidR="00A737BC">
              <w:rPr>
                <w:rFonts w:ascii="Arial" w:hAnsi="Arial" w:cs="Arial"/>
                <w:b/>
                <w:bCs/>
                <w:noProof/>
                <w:sz w:val="20"/>
              </w:rPr>
              <w:t>2</w:t>
            </w:r>
            <w:r w:rsidRPr="00F9178E">
              <w:rPr>
                <w:rFonts w:ascii="Arial" w:hAnsi="Arial" w:cs="Arial"/>
                <w:b/>
                <w:bCs/>
                <w:sz w:val="20"/>
              </w:rPr>
              <w:fldChar w:fldCharType="end"/>
            </w:r>
            <w:r w:rsidRPr="00F9178E">
              <w:rPr>
                <w:rFonts w:ascii="Arial" w:hAnsi="Arial" w:cs="Arial"/>
                <w:sz w:val="20"/>
              </w:rPr>
              <w:t xml:space="preserve"> of </w:t>
            </w:r>
            <w:r w:rsidRPr="00F9178E">
              <w:rPr>
                <w:rFonts w:ascii="Arial" w:hAnsi="Arial" w:cs="Arial"/>
                <w:b/>
                <w:bCs/>
                <w:sz w:val="20"/>
              </w:rPr>
              <w:fldChar w:fldCharType="begin"/>
            </w:r>
            <w:r w:rsidRPr="00F9178E">
              <w:rPr>
                <w:rFonts w:ascii="Arial" w:hAnsi="Arial" w:cs="Arial"/>
                <w:b/>
                <w:bCs/>
                <w:sz w:val="20"/>
              </w:rPr>
              <w:instrText xml:space="preserve"> NUMPAGES  </w:instrText>
            </w:r>
            <w:r w:rsidRPr="00F9178E">
              <w:rPr>
                <w:rFonts w:ascii="Arial" w:hAnsi="Arial" w:cs="Arial"/>
                <w:b/>
                <w:bCs/>
                <w:sz w:val="20"/>
              </w:rPr>
              <w:fldChar w:fldCharType="separate"/>
            </w:r>
            <w:r w:rsidR="00A737BC">
              <w:rPr>
                <w:rFonts w:ascii="Arial" w:hAnsi="Arial" w:cs="Arial"/>
                <w:b/>
                <w:bCs/>
                <w:noProof/>
                <w:sz w:val="20"/>
              </w:rPr>
              <w:t>9</w:t>
            </w:r>
            <w:r w:rsidRPr="00F9178E">
              <w:rPr>
                <w:rFonts w:ascii="Arial" w:hAnsi="Arial" w:cs="Arial"/>
                <w:b/>
                <w:bCs/>
                <w:sz w:val="20"/>
              </w:rPr>
              <w:fldChar w:fldCharType="end"/>
            </w:r>
          </w:p>
        </w:sdtContent>
      </w:sdt>
    </w:sdtContent>
  </w:sdt>
  <w:p w14:paraId="7A1A4DC6" w14:textId="06BC31B9" w:rsidR="00C2205A" w:rsidRDefault="00153EF3">
    <w:pPr>
      <w:pStyle w:val="Footer"/>
    </w:pPr>
    <w:r>
      <w:rPr>
        <w:noProof/>
        <w:sz w:val="20"/>
        <w:lang w:eastAsia="en-AU"/>
      </w:rPr>
      <w:drawing>
        <wp:anchor distT="0" distB="0" distL="114300" distR="114300" simplePos="0" relativeHeight="251669504" behindDoc="0" locked="0" layoutInCell="1" allowOverlap="1" wp14:anchorId="3B21E488" wp14:editId="15289F18">
          <wp:simplePos x="0" y="0"/>
          <wp:positionH relativeFrom="page">
            <wp:align>right</wp:align>
          </wp:positionH>
          <wp:positionV relativeFrom="paragraph">
            <wp:posOffset>167640</wp:posOffset>
          </wp:positionV>
          <wp:extent cx="2187575" cy="1257216"/>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CRPjpg.jpg"/>
                  <pic:cNvPicPr/>
                </pic:nvPicPr>
                <pic:blipFill rotWithShape="1">
                  <a:blip r:embed="rId1">
                    <a:extLst>
                      <a:ext uri="{28A0092B-C50C-407E-A947-70E740481C1C}">
                        <a14:useLocalDpi xmlns:a14="http://schemas.microsoft.com/office/drawing/2010/main" val="0"/>
                      </a:ext>
                    </a:extLst>
                  </a:blip>
                  <a:srcRect l="71063"/>
                  <a:stretch/>
                </pic:blipFill>
                <pic:spPr bwMode="auto">
                  <a:xfrm>
                    <a:off x="0" y="0"/>
                    <a:ext cx="2187575" cy="125721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B816" w14:textId="0530AD93" w:rsidR="00AC0B97" w:rsidRDefault="006319C3">
    <w:pPr>
      <w:pStyle w:val="Footer"/>
    </w:pPr>
    <w:r>
      <w:rPr>
        <w:noProof/>
        <w:sz w:val="20"/>
        <w:lang w:eastAsia="en-AU"/>
      </w:rPr>
      <w:drawing>
        <wp:anchor distT="0" distB="0" distL="114300" distR="114300" simplePos="0" relativeHeight="251667456" behindDoc="0" locked="0" layoutInCell="1" allowOverlap="1" wp14:anchorId="377F97A0" wp14:editId="7590169C">
          <wp:simplePos x="0" y="0"/>
          <wp:positionH relativeFrom="page">
            <wp:align>right</wp:align>
          </wp:positionH>
          <wp:positionV relativeFrom="paragraph">
            <wp:posOffset>167005</wp:posOffset>
          </wp:positionV>
          <wp:extent cx="2187575" cy="1257216"/>
          <wp:effectExtent l="0" t="0" r="3175"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CRPjpg.jpg"/>
                  <pic:cNvPicPr/>
                </pic:nvPicPr>
                <pic:blipFill rotWithShape="1">
                  <a:blip r:embed="rId1">
                    <a:extLst>
                      <a:ext uri="{28A0092B-C50C-407E-A947-70E740481C1C}">
                        <a14:useLocalDpi xmlns:a14="http://schemas.microsoft.com/office/drawing/2010/main" val="0"/>
                      </a:ext>
                    </a:extLst>
                  </a:blip>
                  <a:srcRect l="71063"/>
                  <a:stretch/>
                </pic:blipFill>
                <pic:spPr bwMode="auto">
                  <a:xfrm>
                    <a:off x="0" y="0"/>
                    <a:ext cx="2187575" cy="125721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66F6" w14:textId="77777777" w:rsidR="009514EA" w:rsidRDefault="009514EA" w:rsidP="00AC0B97">
      <w:r>
        <w:separator/>
      </w:r>
    </w:p>
  </w:footnote>
  <w:footnote w:type="continuationSeparator" w:id="0">
    <w:p w14:paraId="461A742B" w14:textId="77777777" w:rsidR="009514EA" w:rsidRDefault="009514EA"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1A92" w14:textId="78440728" w:rsidR="007E7A03" w:rsidRPr="00CA1AF3" w:rsidRDefault="007E7A03">
    <w:pPr>
      <w:pStyle w:val="Header"/>
      <w:rPr>
        <w:rFonts w:ascii="Arial" w:hAnsi="Arial" w:cs="Arial"/>
        <w:sz w:val="20"/>
      </w:rPr>
    </w:pPr>
    <w:r w:rsidRPr="00CA1AF3">
      <w:rPr>
        <w:rFonts w:ascii="Arial" w:hAnsi="Arial" w:cs="Arial"/>
        <w:noProof/>
        <w:sz w:val="20"/>
        <w:lang w:eastAsia="en-AU"/>
      </w:rPr>
      <w:drawing>
        <wp:anchor distT="0" distB="0" distL="114300" distR="114300" simplePos="0" relativeHeight="251665408" behindDoc="0" locked="0" layoutInCell="1" allowOverlap="1" wp14:anchorId="64D385D6" wp14:editId="4A28C849">
          <wp:simplePos x="0" y="0"/>
          <wp:positionH relativeFrom="page">
            <wp:align>left</wp:align>
          </wp:positionH>
          <wp:positionV relativeFrom="paragraph">
            <wp:posOffset>-648970</wp:posOffset>
          </wp:positionV>
          <wp:extent cx="7560554" cy="1257300"/>
          <wp:effectExtent l="0" t="0" r="254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_First Nations Pathways.jpg"/>
                  <pic:cNvPicPr/>
                </pic:nvPicPr>
                <pic:blipFill>
                  <a:blip r:embed="rId1">
                    <a:extLst>
                      <a:ext uri="{28A0092B-C50C-407E-A947-70E740481C1C}">
                        <a14:useLocalDpi xmlns:a14="http://schemas.microsoft.com/office/drawing/2010/main" val="0"/>
                      </a:ext>
                    </a:extLst>
                  </a:blip>
                  <a:stretch>
                    <a:fillRect/>
                  </a:stretch>
                </pic:blipFill>
                <pic:spPr>
                  <a:xfrm>
                    <a:off x="0" y="0"/>
                    <a:ext cx="7560554"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D1EC" w14:textId="3B526F79" w:rsidR="00AC0B97" w:rsidRDefault="00134F33">
    <w:pPr>
      <w:pStyle w:val="Header"/>
    </w:pPr>
    <w:r w:rsidRPr="00134F33">
      <w:rPr>
        <w:rFonts w:ascii="Arial" w:eastAsia="Calibri" w:hAnsi="Arial" w:cs="Times New Roman"/>
        <w:noProof/>
        <w:szCs w:val="22"/>
        <w:lang w:eastAsia="en-AU"/>
      </w:rPr>
      <w:drawing>
        <wp:anchor distT="0" distB="0" distL="114300" distR="114300" simplePos="0" relativeHeight="251661312" behindDoc="0" locked="0" layoutInCell="1" allowOverlap="1" wp14:anchorId="648B5264" wp14:editId="115EB175">
          <wp:simplePos x="0" y="0"/>
          <wp:positionH relativeFrom="page">
            <wp:posOffset>-635</wp:posOffset>
          </wp:positionH>
          <wp:positionV relativeFrom="paragraph">
            <wp:posOffset>-651510</wp:posOffset>
          </wp:positionV>
          <wp:extent cx="7560554" cy="125730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_First Nations Pathways.jpg"/>
                  <pic:cNvPicPr/>
                </pic:nvPicPr>
                <pic:blipFill>
                  <a:blip r:embed="rId1">
                    <a:extLst>
                      <a:ext uri="{28A0092B-C50C-407E-A947-70E740481C1C}">
                        <a14:useLocalDpi xmlns:a14="http://schemas.microsoft.com/office/drawing/2010/main" val="0"/>
                      </a:ext>
                    </a:extLst>
                  </a:blip>
                  <a:stretch>
                    <a:fillRect/>
                  </a:stretch>
                </pic:blipFill>
                <pic:spPr>
                  <a:xfrm>
                    <a:off x="0" y="0"/>
                    <a:ext cx="7560554" cy="12573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8CD"/>
    <w:multiLevelType w:val="hybridMultilevel"/>
    <w:tmpl w:val="64F2F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45DE7"/>
    <w:multiLevelType w:val="hybridMultilevel"/>
    <w:tmpl w:val="48BCB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E7B22"/>
    <w:multiLevelType w:val="hybridMultilevel"/>
    <w:tmpl w:val="3F7E4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F77F80"/>
    <w:multiLevelType w:val="hybridMultilevel"/>
    <w:tmpl w:val="28F479D2"/>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4" w15:restartNumberingAfterBreak="0">
    <w:nsid w:val="2D9E4C80"/>
    <w:multiLevelType w:val="hybridMultilevel"/>
    <w:tmpl w:val="074AF01A"/>
    <w:lvl w:ilvl="0" w:tplc="B9405FC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43F8E"/>
    <w:multiLevelType w:val="hybridMultilevel"/>
    <w:tmpl w:val="1F44B4FC"/>
    <w:lvl w:ilvl="0" w:tplc="48E0096C">
      <w:start w:val="1"/>
      <w:numFmt w:val="decimal"/>
      <w:lvlText w:val="%1."/>
      <w:lvlJc w:val="left"/>
      <w:pPr>
        <w:ind w:left="720" w:hanging="360"/>
      </w:pPr>
      <w:rPr>
        <w:rFonts w:hint="default"/>
      </w:rPr>
    </w:lvl>
    <w:lvl w:ilvl="1" w:tplc="F926B7C4" w:tentative="1">
      <w:start w:val="1"/>
      <w:numFmt w:val="bullet"/>
      <w:lvlText w:val="o"/>
      <w:lvlJc w:val="left"/>
      <w:pPr>
        <w:ind w:left="1440" w:hanging="360"/>
      </w:pPr>
      <w:rPr>
        <w:rFonts w:ascii="Courier New" w:hAnsi="Courier New" w:cs="Courier New" w:hint="default"/>
      </w:rPr>
    </w:lvl>
    <w:lvl w:ilvl="2" w:tplc="6E84574A" w:tentative="1">
      <w:start w:val="1"/>
      <w:numFmt w:val="bullet"/>
      <w:lvlText w:val=""/>
      <w:lvlJc w:val="left"/>
      <w:pPr>
        <w:ind w:left="2160" w:hanging="360"/>
      </w:pPr>
      <w:rPr>
        <w:rFonts w:ascii="Wingdings" w:hAnsi="Wingdings" w:hint="default"/>
      </w:rPr>
    </w:lvl>
    <w:lvl w:ilvl="3" w:tplc="163EAD04" w:tentative="1">
      <w:start w:val="1"/>
      <w:numFmt w:val="bullet"/>
      <w:lvlText w:val=""/>
      <w:lvlJc w:val="left"/>
      <w:pPr>
        <w:ind w:left="2880" w:hanging="360"/>
      </w:pPr>
      <w:rPr>
        <w:rFonts w:ascii="Symbol" w:hAnsi="Symbol" w:hint="default"/>
      </w:rPr>
    </w:lvl>
    <w:lvl w:ilvl="4" w:tplc="DE52B15C" w:tentative="1">
      <w:start w:val="1"/>
      <w:numFmt w:val="bullet"/>
      <w:lvlText w:val="o"/>
      <w:lvlJc w:val="left"/>
      <w:pPr>
        <w:ind w:left="3600" w:hanging="360"/>
      </w:pPr>
      <w:rPr>
        <w:rFonts w:ascii="Courier New" w:hAnsi="Courier New" w:cs="Courier New" w:hint="default"/>
      </w:rPr>
    </w:lvl>
    <w:lvl w:ilvl="5" w:tplc="CD107EA8" w:tentative="1">
      <w:start w:val="1"/>
      <w:numFmt w:val="bullet"/>
      <w:lvlText w:val=""/>
      <w:lvlJc w:val="left"/>
      <w:pPr>
        <w:ind w:left="4320" w:hanging="360"/>
      </w:pPr>
      <w:rPr>
        <w:rFonts w:ascii="Wingdings" w:hAnsi="Wingdings" w:hint="default"/>
      </w:rPr>
    </w:lvl>
    <w:lvl w:ilvl="6" w:tplc="9712306E" w:tentative="1">
      <w:start w:val="1"/>
      <w:numFmt w:val="bullet"/>
      <w:lvlText w:val=""/>
      <w:lvlJc w:val="left"/>
      <w:pPr>
        <w:ind w:left="5040" w:hanging="360"/>
      </w:pPr>
      <w:rPr>
        <w:rFonts w:ascii="Symbol" w:hAnsi="Symbol" w:hint="default"/>
      </w:rPr>
    </w:lvl>
    <w:lvl w:ilvl="7" w:tplc="587C2540" w:tentative="1">
      <w:start w:val="1"/>
      <w:numFmt w:val="bullet"/>
      <w:lvlText w:val="o"/>
      <w:lvlJc w:val="left"/>
      <w:pPr>
        <w:ind w:left="5760" w:hanging="360"/>
      </w:pPr>
      <w:rPr>
        <w:rFonts w:ascii="Courier New" w:hAnsi="Courier New" w:cs="Courier New" w:hint="default"/>
      </w:rPr>
    </w:lvl>
    <w:lvl w:ilvl="8" w:tplc="6E1CC516" w:tentative="1">
      <w:start w:val="1"/>
      <w:numFmt w:val="bullet"/>
      <w:lvlText w:val=""/>
      <w:lvlJc w:val="left"/>
      <w:pPr>
        <w:ind w:left="6480" w:hanging="360"/>
      </w:pPr>
      <w:rPr>
        <w:rFonts w:ascii="Wingdings" w:hAnsi="Wingdings" w:hint="default"/>
      </w:rPr>
    </w:lvl>
  </w:abstractNum>
  <w:abstractNum w:abstractNumId="6" w15:restartNumberingAfterBreak="0">
    <w:nsid w:val="493A7124"/>
    <w:multiLevelType w:val="hybridMultilevel"/>
    <w:tmpl w:val="5EBA8E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A25B9"/>
    <w:multiLevelType w:val="hybridMultilevel"/>
    <w:tmpl w:val="B3985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794BC4"/>
    <w:multiLevelType w:val="hybridMultilevel"/>
    <w:tmpl w:val="DE84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AC76A8"/>
    <w:multiLevelType w:val="hybridMultilevel"/>
    <w:tmpl w:val="E6529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611472"/>
    <w:multiLevelType w:val="hybridMultilevel"/>
    <w:tmpl w:val="10C24F6A"/>
    <w:lvl w:ilvl="0" w:tplc="DD14CF8C">
      <w:start w:val="1"/>
      <w:numFmt w:val="bullet"/>
      <w:lvlText w:val=""/>
      <w:lvlJc w:val="left"/>
      <w:pPr>
        <w:ind w:left="720" w:hanging="360"/>
      </w:pPr>
      <w:rPr>
        <w:rFonts w:ascii="Symbol" w:hAnsi="Symbol" w:hint="default"/>
      </w:rPr>
    </w:lvl>
    <w:lvl w:ilvl="1" w:tplc="CA02318E" w:tentative="1">
      <w:start w:val="1"/>
      <w:numFmt w:val="bullet"/>
      <w:lvlText w:val="o"/>
      <w:lvlJc w:val="left"/>
      <w:pPr>
        <w:ind w:left="1440" w:hanging="360"/>
      </w:pPr>
      <w:rPr>
        <w:rFonts w:ascii="Courier New" w:hAnsi="Courier New" w:cs="Courier New" w:hint="default"/>
      </w:rPr>
    </w:lvl>
    <w:lvl w:ilvl="2" w:tplc="927E51A2" w:tentative="1">
      <w:start w:val="1"/>
      <w:numFmt w:val="bullet"/>
      <w:lvlText w:val=""/>
      <w:lvlJc w:val="left"/>
      <w:pPr>
        <w:ind w:left="2160" w:hanging="360"/>
      </w:pPr>
      <w:rPr>
        <w:rFonts w:ascii="Wingdings" w:hAnsi="Wingdings" w:hint="default"/>
      </w:rPr>
    </w:lvl>
    <w:lvl w:ilvl="3" w:tplc="1D024B80" w:tentative="1">
      <w:start w:val="1"/>
      <w:numFmt w:val="bullet"/>
      <w:lvlText w:val=""/>
      <w:lvlJc w:val="left"/>
      <w:pPr>
        <w:ind w:left="2880" w:hanging="360"/>
      </w:pPr>
      <w:rPr>
        <w:rFonts w:ascii="Symbol" w:hAnsi="Symbol" w:hint="default"/>
      </w:rPr>
    </w:lvl>
    <w:lvl w:ilvl="4" w:tplc="BAB2DCD2" w:tentative="1">
      <w:start w:val="1"/>
      <w:numFmt w:val="bullet"/>
      <w:lvlText w:val="o"/>
      <w:lvlJc w:val="left"/>
      <w:pPr>
        <w:ind w:left="3600" w:hanging="360"/>
      </w:pPr>
      <w:rPr>
        <w:rFonts w:ascii="Courier New" w:hAnsi="Courier New" w:cs="Courier New" w:hint="default"/>
      </w:rPr>
    </w:lvl>
    <w:lvl w:ilvl="5" w:tplc="0BECB1B2" w:tentative="1">
      <w:start w:val="1"/>
      <w:numFmt w:val="bullet"/>
      <w:lvlText w:val=""/>
      <w:lvlJc w:val="left"/>
      <w:pPr>
        <w:ind w:left="4320" w:hanging="360"/>
      </w:pPr>
      <w:rPr>
        <w:rFonts w:ascii="Wingdings" w:hAnsi="Wingdings" w:hint="default"/>
      </w:rPr>
    </w:lvl>
    <w:lvl w:ilvl="6" w:tplc="69AEC4E2" w:tentative="1">
      <w:start w:val="1"/>
      <w:numFmt w:val="bullet"/>
      <w:lvlText w:val=""/>
      <w:lvlJc w:val="left"/>
      <w:pPr>
        <w:ind w:left="5040" w:hanging="360"/>
      </w:pPr>
      <w:rPr>
        <w:rFonts w:ascii="Symbol" w:hAnsi="Symbol" w:hint="default"/>
      </w:rPr>
    </w:lvl>
    <w:lvl w:ilvl="7" w:tplc="93EC66A6" w:tentative="1">
      <w:start w:val="1"/>
      <w:numFmt w:val="bullet"/>
      <w:lvlText w:val="o"/>
      <w:lvlJc w:val="left"/>
      <w:pPr>
        <w:ind w:left="5760" w:hanging="360"/>
      </w:pPr>
      <w:rPr>
        <w:rFonts w:ascii="Courier New" w:hAnsi="Courier New" w:cs="Courier New" w:hint="default"/>
      </w:rPr>
    </w:lvl>
    <w:lvl w:ilvl="8" w:tplc="5B540CDE" w:tentative="1">
      <w:start w:val="1"/>
      <w:numFmt w:val="bullet"/>
      <w:lvlText w:val=""/>
      <w:lvlJc w:val="left"/>
      <w:pPr>
        <w:ind w:left="6480" w:hanging="360"/>
      </w:pPr>
      <w:rPr>
        <w:rFonts w:ascii="Wingdings" w:hAnsi="Wingdings" w:hint="default"/>
      </w:rPr>
    </w:lvl>
  </w:abstractNum>
  <w:abstractNum w:abstractNumId="11" w15:restartNumberingAfterBreak="0">
    <w:nsid w:val="75EC2F64"/>
    <w:multiLevelType w:val="hybridMultilevel"/>
    <w:tmpl w:val="A49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10"/>
  </w:num>
  <w:num w:numId="6">
    <w:abstractNumId w:val="2"/>
  </w:num>
  <w:num w:numId="7">
    <w:abstractNumId w:val="11"/>
  </w:num>
  <w:num w:numId="8">
    <w:abstractNumId w:val="5"/>
  </w:num>
  <w:num w:numId="9">
    <w:abstractNumId w:val="6"/>
    <w:lvlOverride w:ilvl="0">
      <w:lvl w:ilvl="0" w:tplc="0C09000F">
        <w:start w:val="1"/>
        <w:numFmt w:val="decimal"/>
        <w:lvlText w:val="%1."/>
        <w:lvlJc w:val="left"/>
        <w:pPr>
          <w:ind w:left="720" w:hanging="360"/>
        </w:pPr>
        <w:rPr>
          <w:rFonts w:hint="default"/>
        </w:rPr>
      </w:lvl>
    </w:lvlOverride>
    <w:lvlOverride w:ilvl="1">
      <w:lvl w:ilvl="1" w:tplc="0C090003" w:tentative="1">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2C"/>
    <w:rsid w:val="00007767"/>
    <w:rsid w:val="0001616C"/>
    <w:rsid w:val="00016F9E"/>
    <w:rsid w:val="000350B6"/>
    <w:rsid w:val="00044B3D"/>
    <w:rsid w:val="000544AF"/>
    <w:rsid w:val="00054E63"/>
    <w:rsid w:val="00057956"/>
    <w:rsid w:val="00060488"/>
    <w:rsid w:val="00063384"/>
    <w:rsid w:val="00074937"/>
    <w:rsid w:val="000760C9"/>
    <w:rsid w:val="00076CDB"/>
    <w:rsid w:val="00095165"/>
    <w:rsid w:val="000A418B"/>
    <w:rsid w:val="000B0578"/>
    <w:rsid w:val="000C615A"/>
    <w:rsid w:val="000D1669"/>
    <w:rsid w:val="000D34D0"/>
    <w:rsid w:val="000D79BB"/>
    <w:rsid w:val="000E13E4"/>
    <w:rsid w:val="000F71B4"/>
    <w:rsid w:val="001079D6"/>
    <w:rsid w:val="00127700"/>
    <w:rsid w:val="0013200E"/>
    <w:rsid w:val="00134F33"/>
    <w:rsid w:val="00135AAE"/>
    <w:rsid w:val="001367BB"/>
    <w:rsid w:val="00141D9A"/>
    <w:rsid w:val="00144ED7"/>
    <w:rsid w:val="001520CF"/>
    <w:rsid w:val="00153EF3"/>
    <w:rsid w:val="00164A9F"/>
    <w:rsid w:val="00181B3D"/>
    <w:rsid w:val="00185C7C"/>
    <w:rsid w:val="00194F5C"/>
    <w:rsid w:val="001A61B8"/>
    <w:rsid w:val="001C2700"/>
    <w:rsid w:val="001C700F"/>
    <w:rsid w:val="001C73D6"/>
    <w:rsid w:val="001D6ADF"/>
    <w:rsid w:val="00205D11"/>
    <w:rsid w:val="00223439"/>
    <w:rsid w:val="00223A45"/>
    <w:rsid w:val="00237EAF"/>
    <w:rsid w:val="002437FB"/>
    <w:rsid w:val="00247701"/>
    <w:rsid w:val="002534AB"/>
    <w:rsid w:val="00255FD8"/>
    <w:rsid w:val="00267CBB"/>
    <w:rsid w:val="00280A49"/>
    <w:rsid w:val="002842CD"/>
    <w:rsid w:val="002A19C4"/>
    <w:rsid w:val="002B1486"/>
    <w:rsid w:val="002C4E6B"/>
    <w:rsid w:val="002C5F89"/>
    <w:rsid w:val="002E30BE"/>
    <w:rsid w:val="002F154A"/>
    <w:rsid w:val="00303B3C"/>
    <w:rsid w:val="0030655F"/>
    <w:rsid w:val="00320890"/>
    <w:rsid w:val="00327AD6"/>
    <w:rsid w:val="00330526"/>
    <w:rsid w:val="00332632"/>
    <w:rsid w:val="00337AEA"/>
    <w:rsid w:val="00353A55"/>
    <w:rsid w:val="00374D20"/>
    <w:rsid w:val="00392D9D"/>
    <w:rsid w:val="003A33CF"/>
    <w:rsid w:val="003B3EE0"/>
    <w:rsid w:val="003B702D"/>
    <w:rsid w:val="003C18FE"/>
    <w:rsid w:val="003C261C"/>
    <w:rsid w:val="003C3774"/>
    <w:rsid w:val="003E276D"/>
    <w:rsid w:val="003E2A21"/>
    <w:rsid w:val="003E6A4F"/>
    <w:rsid w:val="003F24DB"/>
    <w:rsid w:val="003F57D0"/>
    <w:rsid w:val="004055E2"/>
    <w:rsid w:val="0041786F"/>
    <w:rsid w:val="00425391"/>
    <w:rsid w:val="00451D5E"/>
    <w:rsid w:val="004521CC"/>
    <w:rsid w:val="0045332C"/>
    <w:rsid w:val="004610C2"/>
    <w:rsid w:val="004700DD"/>
    <w:rsid w:val="00471B51"/>
    <w:rsid w:val="00472B86"/>
    <w:rsid w:val="0048059F"/>
    <w:rsid w:val="00482110"/>
    <w:rsid w:val="00487A8C"/>
    <w:rsid w:val="004942FA"/>
    <w:rsid w:val="0049504B"/>
    <w:rsid w:val="004963CD"/>
    <w:rsid w:val="004A207D"/>
    <w:rsid w:val="004A505B"/>
    <w:rsid w:val="004A7CE4"/>
    <w:rsid w:val="004B105B"/>
    <w:rsid w:val="004B161E"/>
    <w:rsid w:val="004C4A8F"/>
    <w:rsid w:val="004D52F6"/>
    <w:rsid w:val="004D7849"/>
    <w:rsid w:val="004E0B3C"/>
    <w:rsid w:val="004E148D"/>
    <w:rsid w:val="00521D69"/>
    <w:rsid w:val="0052418D"/>
    <w:rsid w:val="00532FD0"/>
    <w:rsid w:val="00533EC6"/>
    <w:rsid w:val="00553771"/>
    <w:rsid w:val="005540FC"/>
    <w:rsid w:val="00562E74"/>
    <w:rsid w:val="005810F6"/>
    <w:rsid w:val="005A2191"/>
    <w:rsid w:val="005B046C"/>
    <w:rsid w:val="005C0249"/>
    <w:rsid w:val="005C3415"/>
    <w:rsid w:val="005C4B8A"/>
    <w:rsid w:val="005D4CD2"/>
    <w:rsid w:val="005E648E"/>
    <w:rsid w:val="005E7D6D"/>
    <w:rsid w:val="0061136E"/>
    <w:rsid w:val="006149A1"/>
    <w:rsid w:val="006226FC"/>
    <w:rsid w:val="006319C3"/>
    <w:rsid w:val="00640033"/>
    <w:rsid w:val="0064225D"/>
    <w:rsid w:val="00646B43"/>
    <w:rsid w:val="00646C6E"/>
    <w:rsid w:val="0065528A"/>
    <w:rsid w:val="006615D1"/>
    <w:rsid w:val="006716B6"/>
    <w:rsid w:val="00682DCC"/>
    <w:rsid w:val="00687D90"/>
    <w:rsid w:val="006A382E"/>
    <w:rsid w:val="006B0D8A"/>
    <w:rsid w:val="006B7F80"/>
    <w:rsid w:val="006C264F"/>
    <w:rsid w:val="006D7C2D"/>
    <w:rsid w:val="006E1A7E"/>
    <w:rsid w:val="00706F55"/>
    <w:rsid w:val="00710818"/>
    <w:rsid w:val="007158A8"/>
    <w:rsid w:val="00725DBF"/>
    <w:rsid w:val="00741681"/>
    <w:rsid w:val="00747E44"/>
    <w:rsid w:val="00751F13"/>
    <w:rsid w:val="007577C0"/>
    <w:rsid w:val="00762404"/>
    <w:rsid w:val="007762C2"/>
    <w:rsid w:val="00783FB3"/>
    <w:rsid w:val="007866E4"/>
    <w:rsid w:val="00786FA0"/>
    <w:rsid w:val="0079141A"/>
    <w:rsid w:val="007B4AF9"/>
    <w:rsid w:val="007C347D"/>
    <w:rsid w:val="007C63F5"/>
    <w:rsid w:val="007C7CBD"/>
    <w:rsid w:val="007D2DA4"/>
    <w:rsid w:val="007D30EE"/>
    <w:rsid w:val="007E7A03"/>
    <w:rsid w:val="007F512D"/>
    <w:rsid w:val="00802E5D"/>
    <w:rsid w:val="008307B1"/>
    <w:rsid w:val="008447DC"/>
    <w:rsid w:val="00851C17"/>
    <w:rsid w:val="00860A0F"/>
    <w:rsid w:val="00862744"/>
    <w:rsid w:val="008635DD"/>
    <w:rsid w:val="00877291"/>
    <w:rsid w:val="008803B0"/>
    <w:rsid w:val="00882E48"/>
    <w:rsid w:val="00893381"/>
    <w:rsid w:val="008A1249"/>
    <w:rsid w:val="008B32F7"/>
    <w:rsid w:val="008B350D"/>
    <w:rsid w:val="008C1D1F"/>
    <w:rsid w:val="008C4411"/>
    <w:rsid w:val="008C57D2"/>
    <w:rsid w:val="008C5A79"/>
    <w:rsid w:val="008C6C06"/>
    <w:rsid w:val="008D1D08"/>
    <w:rsid w:val="008E22C7"/>
    <w:rsid w:val="008F1968"/>
    <w:rsid w:val="008F5C6A"/>
    <w:rsid w:val="009009F1"/>
    <w:rsid w:val="00912365"/>
    <w:rsid w:val="00916004"/>
    <w:rsid w:val="00923544"/>
    <w:rsid w:val="00937804"/>
    <w:rsid w:val="00940688"/>
    <w:rsid w:val="009468A2"/>
    <w:rsid w:val="009475EF"/>
    <w:rsid w:val="009514EA"/>
    <w:rsid w:val="00956ADE"/>
    <w:rsid w:val="00966970"/>
    <w:rsid w:val="00971344"/>
    <w:rsid w:val="00974EF3"/>
    <w:rsid w:val="00985AE5"/>
    <w:rsid w:val="00985E20"/>
    <w:rsid w:val="00993750"/>
    <w:rsid w:val="009A1414"/>
    <w:rsid w:val="009B1A9C"/>
    <w:rsid w:val="009D240D"/>
    <w:rsid w:val="009F03BA"/>
    <w:rsid w:val="00A0508F"/>
    <w:rsid w:val="00A13222"/>
    <w:rsid w:val="00A210A0"/>
    <w:rsid w:val="00A21A7A"/>
    <w:rsid w:val="00A2229E"/>
    <w:rsid w:val="00A26084"/>
    <w:rsid w:val="00A31008"/>
    <w:rsid w:val="00A35EAC"/>
    <w:rsid w:val="00A4276B"/>
    <w:rsid w:val="00A539EF"/>
    <w:rsid w:val="00A65D75"/>
    <w:rsid w:val="00A66A8C"/>
    <w:rsid w:val="00A737BC"/>
    <w:rsid w:val="00A8289D"/>
    <w:rsid w:val="00A86417"/>
    <w:rsid w:val="00A91A9F"/>
    <w:rsid w:val="00A922DA"/>
    <w:rsid w:val="00A94419"/>
    <w:rsid w:val="00AA53CA"/>
    <w:rsid w:val="00AA66D5"/>
    <w:rsid w:val="00AC0B97"/>
    <w:rsid w:val="00AD0352"/>
    <w:rsid w:val="00AD0D02"/>
    <w:rsid w:val="00AD60B9"/>
    <w:rsid w:val="00AE71A6"/>
    <w:rsid w:val="00AF35DA"/>
    <w:rsid w:val="00AF505A"/>
    <w:rsid w:val="00AF6206"/>
    <w:rsid w:val="00B30568"/>
    <w:rsid w:val="00B441B7"/>
    <w:rsid w:val="00B44E99"/>
    <w:rsid w:val="00B454C8"/>
    <w:rsid w:val="00B549FD"/>
    <w:rsid w:val="00B5629C"/>
    <w:rsid w:val="00B57B23"/>
    <w:rsid w:val="00B70FDE"/>
    <w:rsid w:val="00B95E62"/>
    <w:rsid w:val="00B97446"/>
    <w:rsid w:val="00BA4C7E"/>
    <w:rsid w:val="00BB6443"/>
    <w:rsid w:val="00BB682D"/>
    <w:rsid w:val="00BB74A8"/>
    <w:rsid w:val="00BC26F4"/>
    <w:rsid w:val="00BF1431"/>
    <w:rsid w:val="00C057AF"/>
    <w:rsid w:val="00C0658F"/>
    <w:rsid w:val="00C105B8"/>
    <w:rsid w:val="00C14D9F"/>
    <w:rsid w:val="00C2205A"/>
    <w:rsid w:val="00C50709"/>
    <w:rsid w:val="00C5670F"/>
    <w:rsid w:val="00C577DA"/>
    <w:rsid w:val="00C64F95"/>
    <w:rsid w:val="00C839AA"/>
    <w:rsid w:val="00C851C9"/>
    <w:rsid w:val="00C87F29"/>
    <w:rsid w:val="00C95703"/>
    <w:rsid w:val="00C974EC"/>
    <w:rsid w:val="00CA1AF3"/>
    <w:rsid w:val="00CA3BD0"/>
    <w:rsid w:val="00CA3EB8"/>
    <w:rsid w:val="00CC159F"/>
    <w:rsid w:val="00CD304D"/>
    <w:rsid w:val="00CD379E"/>
    <w:rsid w:val="00CD688A"/>
    <w:rsid w:val="00CE446B"/>
    <w:rsid w:val="00CE7001"/>
    <w:rsid w:val="00D13A08"/>
    <w:rsid w:val="00D21471"/>
    <w:rsid w:val="00D277EC"/>
    <w:rsid w:val="00D30F4A"/>
    <w:rsid w:val="00D37D22"/>
    <w:rsid w:val="00D54758"/>
    <w:rsid w:val="00D563CB"/>
    <w:rsid w:val="00D82351"/>
    <w:rsid w:val="00D87D55"/>
    <w:rsid w:val="00D94C2D"/>
    <w:rsid w:val="00DA3671"/>
    <w:rsid w:val="00DA6FAA"/>
    <w:rsid w:val="00DC1745"/>
    <w:rsid w:val="00DE2248"/>
    <w:rsid w:val="00DF3A46"/>
    <w:rsid w:val="00E066AE"/>
    <w:rsid w:val="00E112A6"/>
    <w:rsid w:val="00E16D55"/>
    <w:rsid w:val="00E17F05"/>
    <w:rsid w:val="00E24758"/>
    <w:rsid w:val="00E361B3"/>
    <w:rsid w:val="00E40643"/>
    <w:rsid w:val="00E4444E"/>
    <w:rsid w:val="00E5359A"/>
    <w:rsid w:val="00E606EA"/>
    <w:rsid w:val="00E63DD6"/>
    <w:rsid w:val="00E712E4"/>
    <w:rsid w:val="00E77329"/>
    <w:rsid w:val="00E82A8A"/>
    <w:rsid w:val="00E83FFB"/>
    <w:rsid w:val="00E907AC"/>
    <w:rsid w:val="00E9114E"/>
    <w:rsid w:val="00EA1583"/>
    <w:rsid w:val="00EA18BC"/>
    <w:rsid w:val="00EB4DA0"/>
    <w:rsid w:val="00EC30E4"/>
    <w:rsid w:val="00ED1877"/>
    <w:rsid w:val="00ED1E83"/>
    <w:rsid w:val="00EE372E"/>
    <w:rsid w:val="00EE482E"/>
    <w:rsid w:val="00EE57F0"/>
    <w:rsid w:val="00EF009A"/>
    <w:rsid w:val="00F03290"/>
    <w:rsid w:val="00F04181"/>
    <w:rsid w:val="00F075EF"/>
    <w:rsid w:val="00F07C71"/>
    <w:rsid w:val="00F23AA0"/>
    <w:rsid w:val="00F277B8"/>
    <w:rsid w:val="00F30977"/>
    <w:rsid w:val="00F31C38"/>
    <w:rsid w:val="00F45815"/>
    <w:rsid w:val="00F542AE"/>
    <w:rsid w:val="00F60E6C"/>
    <w:rsid w:val="00F62A2F"/>
    <w:rsid w:val="00F637BA"/>
    <w:rsid w:val="00F7564C"/>
    <w:rsid w:val="00F75F29"/>
    <w:rsid w:val="00F86501"/>
    <w:rsid w:val="00F9178E"/>
    <w:rsid w:val="00FA0791"/>
    <w:rsid w:val="00FA28DF"/>
    <w:rsid w:val="00FB0BB8"/>
    <w:rsid w:val="00FB7117"/>
    <w:rsid w:val="00FC3CB3"/>
    <w:rsid w:val="00FF166A"/>
    <w:rsid w:val="00FF5E1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2119E9B"/>
  <w15:docId w15:val="{C43DE203-B92B-4788-8BE8-1B5A513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paragraph" w:styleId="Heading1">
    <w:name w:val="heading 1"/>
    <w:basedOn w:val="Normal"/>
    <w:next w:val="Normal"/>
    <w:link w:val="Heading1Char"/>
    <w:uiPriority w:val="9"/>
    <w:qFormat/>
    <w:rsid w:val="00181B3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E82A8A"/>
    <w:pPr>
      <w:keepNext/>
      <w:keepLines/>
      <w:spacing w:before="200"/>
      <w:outlineLvl w:val="1"/>
    </w:pPr>
    <w:rPr>
      <w:rFonts w:ascii="Arial" w:eastAsiaTheme="majorEastAsia"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character" w:customStyle="1" w:styleId="Heading2Char">
    <w:name w:val="Heading 2 Char"/>
    <w:basedOn w:val="DefaultParagraphFont"/>
    <w:link w:val="Heading2"/>
    <w:uiPriority w:val="9"/>
    <w:rsid w:val="00E82A8A"/>
    <w:rPr>
      <w:rFonts w:ascii="Arial" w:eastAsiaTheme="majorEastAsia" w:hAnsi="Arial" w:cs="Arial"/>
      <w:b/>
      <w:bCs/>
      <w:sz w:val="32"/>
      <w:szCs w:val="26"/>
    </w:rPr>
  </w:style>
  <w:style w:type="paragraph" w:customStyle="1" w:styleId="Default">
    <w:name w:val="Default"/>
    <w:rsid w:val="00E82A8A"/>
    <w:pPr>
      <w:autoSpaceDE w:val="0"/>
      <w:autoSpaceDN w:val="0"/>
      <w:adjustRightInd w:val="0"/>
    </w:pPr>
    <w:rPr>
      <w:rFonts w:ascii="FGZFW G+ Meta Normal LF" w:hAnsi="FGZFW G+ Meta Normal LF" w:cs="FGZFW G+ Meta Normal LF"/>
      <w:color w:val="000000"/>
      <w:sz w:val="24"/>
      <w:szCs w:val="24"/>
    </w:rPr>
  </w:style>
  <w:style w:type="paragraph" w:styleId="ListParagraph">
    <w:name w:val="List Paragraph"/>
    <w:aliases w:val="Bullet Point,Bullet copy,Bullet point,Bullet points,Bulleted List,Content descriptions,F5 List Paragraph,L,List Bullet Paragraph,List Paragraph1,List Paragraph11,List Paragraph111,Lists,Lists_CAB,Lists_FCF,Lists_FM,NFP GP Bulleted List"/>
    <w:basedOn w:val="Normal"/>
    <w:link w:val="ListParagraphChar"/>
    <w:uiPriority w:val="34"/>
    <w:qFormat/>
    <w:rsid w:val="00E82A8A"/>
    <w:pPr>
      <w:ind w:left="720"/>
      <w:contextualSpacing/>
    </w:pPr>
    <w:rPr>
      <w:rFonts w:ascii="Arial" w:hAnsi="Arial" w:cs="Arial"/>
    </w:rPr>
  </w:style>
  <w:style w:type="paragraph" w:customStyle="1" w:styleId="Pa0">
    <w:name w:val="Pa0"/>
    <w:basedOn w:val="Default"/>
    <w:next w:val="Default"/>
    <w:uiPriority w:val="99"/>
    <w:rsid w:val="00E82A8A"/>
    <w:pPr>
      <w:spacing w:line="201" w:lineRule="atLeast"/>
    </w:pPr>
    <w:rPr>
      <w:rFonts w:ascii="FGZFW G+ Meta Plus Bold" w:hAnsi="FGZFW G+ Meta Plus Bold" w:cstheme="minorBidi"/>
      <w:color w:val="auto"/>
    </w:rPr>
  </w:style>
  <w:style w:type="paragraph" w:customStyle="1" w:styleId="Pa2">
    <w:name w:val="Pa2"/>
    <w:basedOn w:val="Default"/>
    <w:next w:val="Default"/>
    <w:uiPriority w:val="99"/>
    <w:rsid w:val="00E82A8A"/>
    <w:pPr>
      <w:spacing w:line="201" w:lineRule="atLeast"/>
    </w:pPr>
    <w:rPr>
      <w:rFonts w:ascii="FGZFW G+ Meta Plus Bold" w:hAnsi="FGZFW G+ Meta Plus Bold" w:cstheme="minorBidi"/>
      <w:color w:val="auto"/>
    </w:rPr>
  </w:style>
  <w:style w:type="character" w:styleId="Hyperlink">
    <w:name w:val="Hyperlink"/>
    <w:basedOn w:val="DefaultParagraphFont"/>
    <w:uiPriority w:val="99"/>
    <w:unhideWhenUsed/>
    <w:rsid w:val="00E82A8A"/>
    <w:rPr>
      <w:color w:val="0000FF" w:themeColor="hyperlink"/>
      <w:u w:val="single"/>
    </w:rPr>
  </w:style>
  <w:style w:type="character" w:customStyle="1" w:styleId="ListParagraphChar">
    <w:name w:val="List Paragraph Char"/>
    <w:aliases w:val="Bullet Point Char,Bullet copy Char,Bullet point Char,Bullet points Char,Bulleted List Char,Content descriptions Char,F5 List Paragraph Char,L Char,List Bullet Paragraph Char,List Paragraph1 Char,List Paragraph11 Char,Lists Char"/>
    <w:link w:val="ListParagraph"/>
    <w:uiPriority w:val="34"/>
    <w:locked/>
    <w:rsid w:val="00E82A8A"/>
    <w:rPr>
      <w:rFonts w:ascii="Arial" w:hAnsi="Arial" w:cs="Arial"/>
      <w:sz w:val="24"/>
    </w:rPr>
  </w:style>
  <w:style w:type="paragraph" w:customStyle="1" w:styleId="body">
    <w:name w:val="body"/>
    <w:basedOn w:val="Normal"/>
    <w:uiPriority w:val="99"/>
    <w:rsid w:val="00E82A8A"/>
    <w:pPr>
      <w:widowControl w:val="0"/>
      <w:suppressAutoHyphens/>
      <w:autoSpaceDE w:val="0"/>
      <w:autoSpaceDN w:val="0"/>
      <w:adjustRightInd w:val="0"/>
      <w:spacing w:after="113" w:line="280" w:lineRule="atLeast"/>
      <w:textAlignment w:val="center"/>
    </w:pPr>
    <w:rPr>
      <w:rFonts w:ascii="MetaNormalLF-Roman" w:hAnsi="MetaNormalLF-Roman" w:cs="MetaNormalLF-Roman"/>
      <w:color w:val="000000"/>
      <w:sz w:val="20"/>
      <w:lang w:val="en-US"/>
    </w:rPr>
  </w:style>
  <w:style w:type="table" w:styleId="TableGrid">
    <w:name w:val="Table Grid"/>
    <w:basedOn w:val="TableNormal"/>
    <w:uiPriority w:val="39"/>
    <w:rsid w:val="00E8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6ADF"/>
    <w:rPr>
      <w:sz w:val="16"/>
      <w:szCs w:val="16"/>
    </w:rPr>
  </w:style>
  <w:style w:type="paragraph" w:styleId="CommentText">
    <w:name w:val="annotation text"/>
    <w:basedOn w:val="Normal"/>
    <w:link w:val="CommentTextChar"/>
    <w:uiPriority w:val="99"/>
    <w:semiHidden/>
    <w:unhideWhenUsed/>
    <w:rsid w:val="001D6ADF"/>
    <w:rPr>
      <w:sz w:val="20"/>
    </w:rPr>
  </w:style>
  <w:style w:type="character" w:customStyle="1" w:styleId="CommentTextChar">
    <w:name w:val="Comment Text Char"/>
    <w:basedOn w:val="DefaultParagraphFont"/>
    <w:link w:val="CommentText"/>
    <w:uiPriority w:val="99"/>
    <w:semiHidden/>
    <w:rsid w:val="001D6ADF"/>
  </w:style>
  <w:style w:type="paragraph" w:styleId="CommentSubject">
    <w:name w:val="annotation subject"/>
    <w:basedOn w:val="CommentText"/>
    <w:next w:val="CommentText"/>
    <w:link w:val="CommentSubjectChar"/>
    <w:uiPriority w:val="99"/>
    <w:semiHidden/>
    <w:unhideWhenUsed/>
    <w:rsid w:val="001D6ADF"/>
    <w:rPr>
      <w:b/>
      <w:bCs/>
    </w:rPr>
  </w:style>
  <w:style w:type="character" w:customStyle="1" w:styleId="CommentSubjectChar">
    <w:name w:val="Comment Subject Char"/>
    <w:basedOn w:val="CommentTextChar"/>
    <w:link w:val="CommentSubject"/>
    <w:uiPriority w:val="99"/>
    <w:semiHidden/>
    <w:rsid w:val="001D6ADF"/>
    <w:rPr>
      <w:b/>
      <w:bCs/>
    </w:rPr>
  </w:style>
  <w:style w:type="paragraph" w:styleId="Revision">
    <w:name w:val="Revision"/>
    <w:hidden/>
    <w:uiPriority w:val="99"/>
    <w:semiHidden/>
    <w:rsid w:val="001D6ADF"/>
    <w:rPr>
      <w:sz w:val="24"/>
    </w:rPr>
  </w:style>
  <w:style w:type="character" w:styleId="FollowedHyperlink">
    <w:name w:val="FollowedHyperlink"/>
    <w:basedOn w:val="DefaultParagraphFont"/>
    <w:uiPriority w:val="99"/>
    <w:semiHidden/>
    <w:unhideWhenUsed/>
    <w:rsid w:val="00F7564C"/>
    <w:rPr>
      <w:color w:val="800080" w:themeColor="followedHyperlink"/>
      <w:u w:val="single"/>
    </w:rPr>
  </w:style>
  <w:style w:type="character" w:customStyle="1" w:styleId="Heading1Char">
    <w:name w:val="Heading 1 Char"/>
    <w:basedOn w:val="DefaultParagraphFont"/>
    <w:link w:val="Heading1"/>
    <w:uiPriority w:val="9"/>
    <w:rsid w:val="00181B3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13461">
      <w:bodyDiv w:val="1"/>
      <w:marLeft w:val="0"/>
      <w:marRight w:val="0"/>
      <w:marTop w:val="0"/>
      <w:marBottom w:val="0"/>
      <w:divBdr>
        <w:top w:val="none" w:sz="0" w:space="0" w:color="auto"/>
        <w:left w:val="none" w:sz="0" w:space="0" w:color="auto"/>
        <w:bottom w:val="none" w:sz="0" w:space="0" w:color="auto"/>
        <w:right w:val="none" w:sz="0" w:space="0" w:color="auto"/>
      </w:divBdr>
    </w:div>
    <w:div w:id="1561942675">
      <w:bodyDiv w:val="1"/>
      <w:marLeft w:val="0"/>
      <w:marRight w:val="0"/>
      <w:marTop w:val="0"/>
      <w:marBottom w:val="0"/>
      <w:divBdr>
        <w:top w:val="none" w:sz="0" w:space="0" w:color="auto"/>
        <w:left w:val="none" w:sz="0" w:space="0" w:color="auto"/>
        <w:bottom w:val="none" w:sz="0" w:space="0" w:color="auto"/>
        <w:right w:val="none" w:sz="0" w:space="0" w:color="auto"/>
      </w:divBdr>
    </w:div>
    <w:div w:id="2080396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ations.qld.gov.au/dataset/financial-plan-template/resource/6a0fdb55-8790-4c8d-911d-8d4bc9842e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running-business/finances-cash-flow/managing-money/managing-cash-flow"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ownloads\A4%20portrait%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758a9ce4-dd73-4d0f-8c60-b7a0236788e0"/>
    <ds:schemaRef ds:uri="http://schemas.microsoft.com/sharepoint/v3"/>
  </ds:schemaRefs>
</ds:datastoreItem>
</file>

<file path=customXml/itemProps2.xml><?xml version="1.0" encoding="utf-8"?>
<ds:datastoreItem xmlns:ds="http://schemas.openxmlformats.org/officeDocument/2006/customXml" ds:itemID="{A16F9D40-EF9E-42C2-A4AA-9ADF7ABD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91c853-3905-4f38-9a0c-0a8ded748a5c"/>
    <ds:schemaRef ds:uri="758a9ce4-dd73-4d0f-8c60-b7a02367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4.xml><?xml version="1.0" encoding="utf-8"?>
<ds:datastoreItem xmlns:ds="http://schemas.openxmlformats.org/officeDocument/2006/customXml" ds:itemID="{C4719965-CC26-4F1F-97F6-EBB46255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white</Template>
  <TotalTime>0</TotalTime>
  <Pages>9</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jgeiser</dc:creator>
  <cp:keywords/>
  <dc:description/>
  <cp:lastModifiedBy>Alison Brearley</cp:lastModifiedBy>
  <cp:revision>2</cp:revision>
  <cp:lastPrinted>2021-01-19T05:22:00Z</cp:lastPrinted>
  <dcterms:created xsi:type="dcterms:W3CDTF">2021-07-22T00:05:00Z</dcterms:created>
  <dcterms:modified xsi:type="dcterms:W3CDTF">2021-07-22T00:05:00Z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